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4520CAB" w14:textId="77777777" w:rsidTr="00ED0C8B">
        <w:tc>
          <w:tcPr>
            <w:tcW w:w="8720" w:type="dxa"/>
          </w:tcPr>
          <w:p w14:paraId="70A13A9A" w14:textId="6194FB55" w:rsidR="001D480A" w:rsidRPr="009401F6" w:rsidRDefault="00E33A2B" w:rsidP="00ED0C8B">
            <w:pPr>
              <w:pStyle w:val="Title"/>
            </w:pPr>
            <w:r>
              <w:t>Boundary and combination products - medicines, medical devices, and biologicals</w:t>
            </w:r>
          </w:p>
        </w:tc>
      </w:tr>
      <w:tr w:rsidR="00ED0C8B" w:rsidRPr="009401F6" w14:paraId="0F56CBD5" w14:textId="77777777" w:rsidTr="00ED0C8B">
        <w:trPr>
          <w:trHeight w:val="1387"/>
        </w:trPr>
        <w:tc>
          <w:tcPr>
            <w:tcW w:w="8720" w:type="dxa"/>
          </w:tcPr>
          <w:p w14:paraId="0ABCFD87" w14:textId="6DA34A90" w:rsidR="001D480A" w:rsidRPr="009401F6" w:rsidRDefault="001D480A" w:rsidP="00ED0C8B">
            <w:pPr>
              <w:pStyle w:val="Subtitle"/>
              <w:ind w:left="0"/>
              <w:rPr>
                <w:lang w:eastAsia="en-AU"/>
              </w:rPr>
            </w:pPr>
          </w:p>
        </w:tc>
      </w:tr>
      <w:tr w:rsidR="00ED0C8B" w:rsidRPr="009401F6" w14:paraId="30736E5C" w14:textId="77777777" w:rsidTr="00ED0C8B">
        <w:tc>
          <w:tcPr>
            <w:tcW w:w="8720" w:type="dxa"/>
          </w:tcPr>
          <w:p w14:paraId="0FD66F2B" w14:textId="03A429DF" w:rsidR="00ED0C8B" w:rsidRPr="009401F6" w:rsidRDefault="00ED0C8B" w:rsidP="00EB182C">
            <w:pPr>
              <w:pStyle w:val="Date"/>
              <w:rPr>
                <w:lang w:eastAsia="en-AU"/>
              </w:rPr>
            </w:pPr>
            <w:r w:rsidRPr="009401F6">
              <w:rPr>
                <w:lang w:eastAsia="en-AU"/>
              </w:rPr>
              <w:t xml:space="preserve">Version 1.0, </w:t>
            </w:r>
            <w:r w:rsidR="00155AE9">
              <w:rPr>
                <w:lang w:eastAsia="en-AU"/>
              </w:rPr>
              <w:t>October</w:t>
            </w:r>
            <w:r w:rsidR="00481EA4">
              <w:rPr>
                <w:lang w:eastAsia="en-AU"/>
              </w:rPr>
              <w:t xml:space="preserve"> 2022</w:t>
            </w:r>
          </w:p>
        </w:tc>
      </w:tr>
    </w:tbl>
    <w:p w14:paraId="575D7991" w14:textId="77777777" w:rsidR="00BA6FF1" w:rsidRPr="009401F6" w:rsidRDefault="00BA6FF1" w:rsidP="007C7B5B">
      <w:pPr>
        <w:rPr>
          <w:lang w:eastAsia="en-AU"/>
        </w:rPr>
      </w:pPr>
    </w:p>
    <w:p w14:paraId="380D87B8" w14:textId="77777777" w:rsidR="001D480A" w:rsidRPr="009401F6" w:rsidRDefault="001D480A" w:rsidP="0054583D">
      <w:pPr>
        <w:rPr>
          <w:lang w:eastAsia="en-AU"/>
        </w:rPr>
        <w:sectPr w:rsidR="001D480A" w:rsidRPr="009401F6" w:rsidSect="00F8404D">
          <w:headerReference w:type="even" r:id="rId8"/>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14:paraId="7A1C61BA" w14:textId="77777777" w:rsidR="00BA6FF1" w:rsidRPr="005D4EA1" w:rsidRDefault="00BA6FF1" w:rsidP="00FE1941">
      <w:pPr>
        <w:pStyle w:val="LegalSubheading"/>
        <w:pageBreakBefore/>
      </w:pPr>
      <w:r w:rsidRPr="00691723">
        <w:lastRenderedPageBreak/>
        <w:t>Copyright</w:t>
      </w:r>
    </w:p>
    <w:p w14:paraId="2DDE0C24" w14:textId="77777777" w:rsidR="00611B57" w:rsidRDefault="00EA453A" w:rsidP="00FE1941">
      <w:pPr>
        <w:pStyle w:val="LegalCopy"/>
        <w:spacing w:after="0"/>
      </w:pPr>
      <w:r w:rsidRPr="009401F6">
        <w:t>© Commonwealth of Australia 20</w:t>
      </w:r>
      <w:r w:rsidR="00D433BD">
        <w:t>2</w:t>
      </w:r>
      <w:r w:rsidR="00F54E3F">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r w:rsidR="00A52262">
        <w:t>.</w:t>
      </w:r>
    </w:p>
    <w:p w14:paraId="3A848663" w14:textId="77777777" w:rsidR="008D2B09" w:rsidRPr="009401F6" w:rsidRDefault="008D2B09" w:rsidP="00611B57">
      <w:pPr>
        <w:pStyle w:val="LegalSubheading"/>
      </w:pPr>
      <w:r w:rsidRPr="009401F6">
        <w:t>Confidentiality</w:t>
      </w:r>
    </w:p>
    <w:p w14:paraId="09245E7B" w14:textId="40E522F5" w:rsidR="00E84091" w:rsidRDefault="008D2B09" w:rsidP="003204DD">
      <w:pPr>
        <w:pStyle w:val="LegalCopy"/>
        <w:rPr>
          <w:lang w:eastAsia="en-AU"/>
        </w:rPr>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p w14:paraId="317AD869" w14:textId="77777777" w:rsidR="00E84091" w:rsidRDefault="00E84091">
      <w:pPr>
        <w:spacing w:before="0" w:after="0" w:line="240" w:lineRule="auto"/>
        <w:rPr>
          <w:sz w:val="17"/>
          <w:lang w:eastAsia="en-AU"/>
        </w:rPr>
      </w:pPr>
      <w:r>
        <w:rPr>
          <w:lang w:eastAsia="en-AU"/>
        </w:rPr>
        <w:br w:type="page"/>
      </w:r>
    </w:p>
    <w:bookmarkEnd w:id="0" w:displacedByCustomXml="next"/>
    <w:sdt>
      <w:sdtPr>
        <w:rPr>
          <w:rFonts w:ascii="Cambria" w:hAnsi="Cambria"/>
          <w:b w:val="0"/>
          <w:sz w:val="22"/>
        </w:rPr>
        <w:id w:val="21514769"/>
        <w:docPartObj>
          <w:docPartGallery w:val="Table of Contents"/>
          <w:docPartUnique/>
        </w:docPartObj>
      </w:sdtPr>
      <w:sdtEndPr/>
      <w:sdtContent>
        <w:p w14:paraId="356CBDE2" w14:textId="77777777" w:rsidR="00481EA4" w:rsidRPr="00215D48" w:rsidRDefault="00481EA4" w:rsidP="00481EA4">
          <w:pPr>
            <w:pStyle w:val="NonTOCheading2"/>
          </w:pPr>
          <w:r w:rsidRPr="00215D48">
            <w:t>Contents</w:t>
          </w:r>
        </w:p>
        <w:p w14:paraId="3C879A8D" w14:textId="0D174DD6" w:rsidR="00E84091" w:rsidRDefault="00481EA4">
          <w:pPr>
            <w:pStyle w:val="TOC1"/>
            <w:rPr>
              <w:rFonts w:asciiTheme="minorHAnsi" w:eastAsiaTheme="minorEastAsia" w:hAnsiTheme="minorHAnsi" w:cstheme="minorBidi"/>
              <w:b w:val="0"/>
              <w:noProof/>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15442862" w:history="1">
            <w:r w:rsidR="00E84091" w:rsidRPr="0065411C">
              <w:rPr>
                <w:rStyle w:val="Hyperlink"/>
                <w:noProof/>
              </w:rPr>
              <w:t>About this guidance</w:t>
            </w:r>
            <w:r w:rsidR="00E84091">
              <w:rPr>
                <w:noProof/>
                <w:webHidden/>
              </w:rPr>
              <w:tab/>
            </w:r>
            <w:r w:rsidR="00E84091">
              <w:rPr>
                <w:noProof/>
                <w:webHidden/>
              </w:rPr>
              <w:fldChar w:fldCharType="begin"/>
            </w:r>
            <w:r w:rsidR="00E84091">
              <w:rPr>
                <w:noProof/>
                <w:webHidden/>
              </w:rPr>
              <w:instrText xml:space="preserve"> PAGEREF _Toc115442862 \h </w:instrText>
            </w:r>
            <w:r w:rsidR="00E84091">
              <w:rPr>
                <w:noProof/>
                <w:webHidden/>
              </w:rPr>
            </w:r>
            <w:r w:rsidR="00E84091">
              <w:rPr>
                <w:noProof/>
                <w:webHidden/>
              </w:rPr>
              <w:fldChar w:fldCharType="separate"/>
            </w:r>
            <w:r w:rsidR="001A5AA6">
              <w:rPr>
                <w:noProof/>
                <w:webHidden/>
              </w:rPr>
              <w:t>4</w:t>
            </w:r>
            <w:r w:rsidR="00E84091">
              <w:rPr>
                <w:noProof/>
                <w:webHidden/>
              </w:rPr>
              <w:fldChar w:fldCharType="end"/>
            </w:r>
          </w:hyperlink>
        </w:p>
        <w:p w14:paraId="3940F60E" w14:textId="39D2666F" w:rsidR="00E84091" w:rsidRDefault="008C10F0">
          <w:pPr>
            <w:pStyle w:val="TOC1"/>
            <w:rPr>
              <w:rFonts w:asciiTheme="minorHAnsi" w:eastAsiaTheme="minorEastAsia" w:hAnsiTheme="minorHAnsi" w:cstheme="minorBidi"/>
              <w:b w:val="0"/>
              <w:noProof/>
              <w:sz w:val="22"/>
              <w:szCs w:val="22"/>
              <w:lang w:eastAsia="en-AU"/>
            </w:rPr>
          </w:pPr>
          <w:hyperlink w:anchor="_Toc115442863" w:history="1">
            <w:r w:rsidR="00E84091" w:rsidRPr="0065411C">
              <w:rPr>
                <w:rStyle w:val="Hyperlink"/>
                <w:noProof/>
              </w:rPr>
              <w:t>Definitions</w:t>
            </w:r>
            <w:r w:rsidR="00E84091">
              <w:rPr>
                <w:noProof/>
                <w:webHidden/>
              </w:rPr>
              <w:tab/>
            </w:r>
            <w:r w:rsidR="00E84091">
              <w:rPr>
                <w:noProof/>
                <w:webHidden/>
              </w:rPr>
              <w:fldChar w:fldCharType="begin"/>
            </w:r>
            <w:r w:rsidR="00E84091">
              <w:rPr>
                <w:noProof/>
                <w:webHidden/>
              </w:rPr>
              <w:instrText xml:space="preserve"> PAGEREF _Toc115442863 \h </w:instrText>
            </w:r>
            <w:r w:rsidR="00E84091">
              <w:rPr>
                <w:noProof/>
                <w:webHidden/>
              </w:rPr>
            </w:r>
            <w:r w:rsidR="00E84091">
              <w:rPr>
                <w:noProof/>
                <w:webHidden/>
              </w:rPr>
              <w:fldChar w:fldCharType="separate"/>
            </w:r>
            <w:r w:rsidR="001A5AA6">
              <w:rPr>
                <w:noProof/>
                <w:webHidden/>
              </w:rPr>
              <w:t>5</w:t>
            </w:r>
            <w:r w:rsidR="00E84091">
              <w:rPr>
                <w:noProof/>
                <w:webHidden/>
              </w:rPr>
              <w:fldChar w:fldCharType="end"/>
            </w:r>
          </w:hyperlink>
        </w:p>
        <w:p w14:paraId="0C2C40F8" w14:textId="67327AC3" w:rsidR="00E84091" w:rsidRDefault="008C10F0">
          <w:pPr>
            <w:pStyle w:val="TOC2"/>
            <w:rPr>
              <w:rFonts w:asciiTheme="minorHAnsi" w:eastAsiaTheme="minorEastAsia" w:hAnsiTheme="minorHAnsi" w:cstheme="minorBidi"/>
              <w:b w:val="0"/>
              <w:noProof/>
              <w:sz w:val="22"/>
              <w:szCs w:val="22"/>
              <w:lang w:eastAsia="en-AU"/>
            </w:rPr>
          </w:pPr>
          <w:hyperlink w:anchor="_Toc115442864" w:history="1">
            <w:r w:rsidR="00E84091" w:rsidRPr="0065411C">
              <w:rPr>
                <w:rStyle w:val="Hyperlink"/>
                <w:noProof/>
              </w:rPr>
              <w:t>Medicine</w:t>
            </w:r>
            <w:r w:rsidR="00E84091">
              <w:rPr>
                <w:noProof/>
                <w:webHidden/>
              </w:rPr>
              <w:tab/>
            </w:r>
            <w:r w:rsidR="00E84091">
              <w:rPr>
                <w:noProof/>
                <w:webHidden/>
              </w:rPr>
              <w:fldChar w:fldCharType="begin"/>
            </w:r>
            <w:r w:rsidR="00E84091">
              <w:rPr>
                <w:noProof/>
                <w:webHidden/>
              </w:rPr>
              <w:instrText xml:space="preserve"> PAGEREF _Toc115442864 \h </w:instrText>
            </w:r>
            <w:r w:rsidR="00E84091">
              <w:rPr>
                <w:noProof/>
                <w:webHidden/>
              </w:rPr>
            </w:r>
            <w:r w:rsidR="00E84091">
              <w:rPr>
                <w:noProof/>
                <w:webHidden/>
              </w:rPr>
              <w:fldChar w:fldCharType="separate"/>
            </w:r>
            <w:r w:rsidR="001A5AA6">
              <w:rPr>
                <w:noProof/>
                <w:webHidden/>
              </w:rPr>
              <w:t>5</w:t>
            </w:r>
            <w:r w:rsidR="00E84091">
              <w:rPr>
                <w:noProof/>
                <w:webHidden/>
              </w:rPr>
              <w:fldChar w:fldCharType="end"/>
            </w:r>
          </w:hyperlink>
        </w:p>
        <w:p w14:paraId="18C52152" w14:textId="56B37F12" w:rsidR="00E84091" w:rsidRDefault="008C10F0">
          <w:pPr>
            <w:pStyle w:val="TOC2"/>
            <w:rPr>
              <w:rFonts w:asciiTheme="minorHAnsi" w:eastAsiaTheme="minorEastAsia" w:hAnsiTheme="minorHAnsi" w:cstheme="minorBidi"/>
              <w:b w:val="0"/>
              <w:noProof/>
              <w:sz w:val="22"/>
              <w:szCs w:val="22"/>
              <w:lang w:eastAsia="en-AU"/>
            </w:rPr>
          </w:pPr>
          <w:hyperlink w:anchor="_Toc115442865" w:history="1">
            <w:r w:rsidR="00E84091" w:rsidRPr="0065411C">
              <w:rPr>
                <w:rStyle w:val="Hyperlink"/>
                <w:noProof/>
              </w:rPr>
              <w:t>Medical device</w:t>
            </w:r>
            <w:r w:rsidR="00E84091">
              <w:rPr>
                <w:noProof/>
                <w:webHidden/>
              </w:rPr>
              <w:tab/>
            </w:r>
            <w:r w:rsidR="00E84091">
              <w:rPr>
                <w:noProof/>
                <w:webHidden/>
              </w:rPr>
              <w:fldChar w:fldCharType="begin"/>
            </w:r>
            <w:r w:rsidR="00E84091">
              <w:rPr>
                <w:noProof/>
                <w:webHidden/>
              </w:rPr>
              <w:instrText xml:space="preserve"> PAGEREF _Toc115442865 \h </w:instrText>
            </w:r>
            <w:r w:rsidR="00E84091">
              <w:rPr>
                <w:noProof/>
                <w:webHidden/>
              </w:rPr>
            </w:r>
            <w:r w:rsidR="00E84091">
              <w:rPr>
                <w:noProof/>
                <w:webHidden/>
              </w:rPr>
              <w:fldChar w:fldCharType="separate"/>
            </w:r>
            <w:r w:rsidR="001A5AA6">
              <w:rPr>
                <w:noProof/>
                <w:webHidden/>
              </w:rPr>
              <w:t>5</w:t>
            </w:r>
            <w:r w:rsidR="00E84091">
              <w:rPr>
                <w:noProof/>
                <w:webHidden/>
              </w:rPr>
              <w:fldChar w:fldCharType="end"/>
            </w:r>
          </w:hyperlink>
        </w:p>
        <w:p w14:paraId="5D9BF53E" w14:textId="3077CDD1" w:rsidR="00E84091" w:rsidRDefault="008C10F0">
          <w:pPr>
            <w:pStyle w:val="TOC2"/>
            <w:rPr>
              <w:rFonts w:asciiTheme="minorHAnsi" w:eastAsiaTheme="minorEastAsia" w:hAnsiTheme="minorHAnsi" w:cstheme="minorBidi"/>
              <w:b w:val="0"/>
              <w:noProof/>
              <w:sz w:val="22"/>
              <w:szCs w:val="22"/>
              <w:lang w:eastAsia="en-AU"/>
            </w:rPr>
          </w:pPr>
          <w:hyperlink w:anchor="_Toc115442866" w:history="1">
            <w:r w:rsidR="00E84091" w:rsidRPr="0065411C">
              <w:rPr>
                <w:rStyle w:val="Hyperlink"/>
                <w:noProof/>
              </w:rPr>
              <w:t>Biological</w:t>
            </w:r>
            <w:r w:rsidR="00E84091">
              <w:rPr>
                <w:noProof/>
                <w:webHidden/>
              </w:rPr>
              <w:tab/>
            </w:r>
            <w:r w:rsidR="00E84091">
              <w:rPr>
                <w:noProof/>
                <w:webHidden/>
              </w:rPr>
              <w:fldChar w:fldCharType="begin"/>
            </w:r>
            <w:r w:rsidR="00E84091">
              <w:rPr>
                <w:noProof/>
                <w:webHidden/>
              </w:rPr>
              <w:instrText xml:space="preserve"> PAGEREF _Toc115442866 \h </w:instrText>
            </w:r>
            <w:r w:rsidR="00E84091">
              <w:rPr>
                <w:noProof/>
                <w:webHidden/>
              </w:rPr>
            </w:r>
            <w:r w:rsidR="00E84091">
              <w:rPr>
                <w:noProof/>
                <w:webHidden/>
              </w:rPr>
              <w:fldChar w:fldCharType="separate"/>
            </w:r>
            <w:r w:rsidR="001A5AA6">
              <w:rPr>
                <w:noProof/>
                <w:webHidden/>
              </w:rPr>
              <w:t>5</w:t>
            </w:r>
            <w:r w:rsidR="00E84091">
              <w:rPr>
                <w:noProof/>
                <w:webHidden/>
              </w:rPr>
              <w:fldChar w:fldCharType="end"/>
            </w:r>
          </w:hyperlink>
        </w:p>
        <w:p w14:paraId="431C3D0A" w14:textId="49161589" w:rsidR="00E84091" w:rsidRDefault="008C10F0">
          <w:pPr>
            <w:pStyle w:val="TOC2"/>
            <w:rPr>
              <w:rFonts w:asciiTheme="minorHAnsi" w:eastAsiaTheme="minorEastAsia" w:hAnsiTheme="minorHAnsi" w:cstheme="minorBidi"/>
              <w:b w:val="0"/>
              <w:noProof/>
              <w:sz w:val="22"/>
              <w:szCs w:val="22"/>
              <w:lang w:eastAsia="en-AU"/>
            </w:rPr>
          </w:pPr>
          <w:hyperlink w:anchor="_Toc115442867" w:history="1">
            <w:r w:rsidR="00E84091" w:rsidRPr="0065411C">
              <w:rPr>
                <w:rStyle w:val="Hyperlink"/>
                <w:noProof/>
                <w:lang w:eastAsia="en-AU"/>
              </w:rPr>
              <w:t>Differentiating terms</w:t>
            </w:r>
            <w:r w:rsidR="00E84091">
              <w:rPr>
                <w:noProof/>
                <w:webHidden/>
              </w:rPr>
              <w:tab/>
            </w:r>
            <w:r w:rsidR="00E84091">
              <w:rPr>
                <w:noProof/>
                <w:webHidden/>
              </w:rPr>
              <w:fldChar w:fldCharType="begin"/>
            </w:r>
            <w:r w:rsidR="00E84091">
              <w:rPr>
                <w:noProof/>
                <w:webHidden/>
              </w:rPr>
              <w:instrText xml:space="preserve"> PAGEREF _Toc115442867 \h </w:instrText>
            </w:r>
            <w:r w:rsidR="00E84091">
              <w:rPr>
                <w:noProof/>
                <w:webHidden/>
              </w:rPr>
            </w:r>
            <w:r w:rsidR="00E84091">
              <w:rPr>
                <w:noProof/>
                <w:webHidden/>
              </w:rPr>
              <w:fldChar w:fldCharType="separate"/>
            </w:r>
            <w:r w:rsidR="001A5AA6">
              <w:rPr>
                <w:noProof/>
                <w:webHidden/>
              </w:rPr>
              <w:t>5</w:t>
            </w:r>
            <w:r w:rsidR="00E84091">
              <w:rPr>
                <w:noProof/>
                <w:webHidden/>
              </w:rPr>
              <w:fldChar w:fldCharType="end"/>
            </w:r>
          </w:hyperlink>
        </w:p>
        <w:p w14:paraId="2D5E8997" w14:textId="0B1EBC41" w:rsidR="00E84091" w:rsidRDefault="008C10F0">
          <w:pPr>
            <w:pStyle w:val="TOC2"/>
            <w:rPr>
              <w:rFonts w:asciiTheme="minorHAnsi" w:eastAsiaTheme="minorEastAsia" w:hAnsiTheme="minorHAnsi" w:cstheme="minorBidi"/>
              <w:b w:val="0"/>
              <w:noProof/>
              <w:sz w:val="22"/>
              <w:szCs w:val="22"/>
              <w:lang w:eastAsia="en-AU"/>
            </w:rPr>
          </w:pPr>
          <w:hyperlink w:anchor="_Toc115442868" w:history="1">
            <w:r w:rsidR="00E84091" w:rsidRPr="0065411C">
              <w:rPr>
                <w:rStyle w:val="Hyperlink"/>
                <w:noProof/>
              </w:rPr>
              <w:t>Registrable, listable or included goods</w:t>
            </w:r>
            <w:r w:rsidR="00E84091">
              <w:rPr>
                <w:noProof/>
                <w:webHidden/>
              </w:rPr>
              <w:tab/>
            </w:r>
            <w:r w:rsidR="00E84091">
              <w:rPr>
                <w:noProof/>
                <w:webHidden/>
              </w:rPr>
              <w:fldChar w:fldCharType="begin"/>
            </w:r>
            <w:r w:rsidR="00E84091">
              <w:rPr>
                <w:noProof/>
                <w:webHidden/>
              </w:rPr>
              <w:instrText xml:space="preserve"> PAGEREF _Toc115442868 \h </w:instrText>
            </w:r>
            <w:r w:rsidR="00E84091">
              <w:rPr>
                <w:noProof/>
                <w:webHidden/>
              </w:rPr>
            </w:r>
            <w:r w:rsidR="00E84091">
              <w:rPr>
                <w:noProof/>
                <w:webHidden/>
              </w:rPr>
              <w:fldChar w:fldCharType="separate"/>
            </w:r>
            <w:r w:rsidR="001A5AA6">
              <w:rPr>
                <w:noProof/>
                <w:webHidden/>
              </w:rPr>
              <w:t>7</w:t>
            </w:r>
            <w:r w:rsidR="00E84091">
              <w:rPr>
                <w:noProof/>
                <w:webHidden/>
              </w:rPr>
              <w:fldChar w:fldCharType="end"/>
            </w:r>
          </w:hyperlink>
        </w:p>
        <w:p w14:paraId="1ED14158" w14:textId="23B4334B" w:rsidR="00E84091" w:rsidRDefault="008C10F0">
          <w:pPr>
            <w:pStyle w:val="TOC2"/>
            <w:rPr>
              <w:rFonts w:asciiTheme="minorHAnsi" w:eastAsiaTheme="minorEastAsia" w:hAnsiTheme="minorHAnsi" w:cstheme="minorBidi"/>
              <w:b w:val="0"/>
              <w:noProof/>
              <w:sz w:val="22"/>
              <w:szCs w:val="22"/>
              <w:lang w:eastAsia="en-AU"/>
            </w:rPr>
          </w:pPr>
          <w:hyperlink w:anchor="_Toc115442869" w:history="1">
            <w:r w:rsidR="00E84091" w:rsidRPr="0065411C">
              <w:rPr>
                <w:rStyle w:val="Hyperlink"/>
                <w:noProof/>
              </w:rPr>
              <w:t>Other therapeutic goods</w:t>
            </w:r>
            <w:r w:rsidR="00E84091">
              <w:rPr>
                <w:noProof/>
                <w:webHidden/>
              </w:rPr>
              <w:tab/>
            </w:r>
            <w:r w:rsidR="00E84091">
              <w:rPr>
                <w:noProof/>
                <w:webHidden/>
              </w:rPr>
              <w:fldChar w:fldCharType="begin"/>
            </w:r>
            <w:r w:rsidR="00E84091">
              <w:rPr>
                <w:noProof/>
                <w:webHidden/>
              </w:rPr>
              <w:instrText xml:space="preserve"> PAGEREF _Toc115442869 \h </w:instrText>
            </w:r>
            <w:r w:rsidR="00E84091">
              <w:rPr>
                <w:noProof/>
                <w:webHidden/>
              </w:rPr>
            </w:r>
            <w:r w:rsidR="00E84091">
              <w:rPr>
                <w:noProof/>
                <w:webHidden/>
              </w:rPr>
              <w:fldChar w:fldCharType="separate"/>
            </w:r>
            <w:r w:rsidR="001A5AA6">
              <w:rPr>
                <w:noProof/>
                <w:webHidden/>
              </w:rPr>
              <w:t>7</w:t>
            </w:r>
            <w:r w:rsidR="00E84091">
              <w:rPr>
                <w:noProof/>
                <w:webHidden/>
              </w:rPr>
              <w:fldChar w:fldCharType="end"/>
            </w:r>
          </w:hyperlink>
        </w:p>
        <w:p w14:paraId="5CC49E7D" w14:textId="198FD2E6" w:rsidR="00E84091" w:rsidRDefault="008C10F0">
          <w:pPr>
            <w:pStyle w:val="TOC1"/>
            <w:rPr>
              <w:rFonts w:asciiTheme="minorHAnsi" w:eastAsiaTheme="minorEastAsia" w:hAnsiTheme="minorHAnsi" w:cstheme="minorBidi"/>
              <w:b w:val="0"/>
              <w:noProof/>
              <w:sz w:val="22"/>
              <w:szCs w:val="22"/>
              <w:lang w:eastAsia="en-AU"/>
            </w:rPr>
          </w:pPr>
          <w:hyperlink w:anchor="_Toc115442870" w:history="1">
            <w:r w:rsidR="00E84091" w:rsidRPr="0065411C">
              <w:rPr>
                <w:rStyle w:val="Hyperlink"/>
                <w:noProof/>
              </w:rPr>
              <w:t>Boundary products</w:t>
            </w:r>
            <w:r w:rsidR="00E84091">
              <w:rPr>
                <w:noProof/>
                <w:webHidden/>
              </w:rPr>
              <w:tab/>
            </w:r>
            <w:r w:rsidR="00E84091">
              <w:rPr>
                <w:noProof/>
                <w:webHidden/>
              </w:rPr>
              <w:fldChar w:fldCharType="begin"/>
            </w:r>
            <w:r w:rsidR="00E84091">
              <w:rPr>
                <w:noProof/>
                <w:webHidden/>
              </w:rPr>
              <w:instrText xml:space="preserve"> PAGEREF _Toc115442870 \h </w:instrText>
            </w:r>
            <w:r w:rsidR="00E84091">
              <w:rPr>
                <w:noProof/>
                <w:webHidden/>
              </w:rPr>
            </w:r>
            <w:r w:rsidR="00E84091">
              <w:rPr>
                <w:noProof/>
                <w:webHidden/>
              </w:rPr>
              <w:fldChar w:fldCharType="separate"/>
            </w:r>
            <w:r w:rsidR="001A5AA6">
              <w:rPr>
                <w:noProof/>
                <w:webHidden/>
              </w:rPr>
              <w:t>8</w:t>
            </w:r>
            <w:r w:rsidR="00E84091">
              <w:rPr>
                <w:noProof/>
                <w:webHidden/>
              </w:rPr>
              <w:fldChar w:fldCharType="end"/>
            </w:r>
          </w:hyperlink>
        </w:p>
        <w:p w14:paraId="7E011339" w14:textId="2FA58EDC" w:rsidR="00E84091" w:rsidRDefault="008C10F0">
          <w:pPr>
            <w:pStyle w:val="TOC1"/>
            <w:rPr>
              <w:rFonts w:asciiTheme="minorHAnsi" w:eastAsiaTheme="minorEastAsia" w:hAnsiTheme="minorHAnsi" w:cstheme="minorBidi"/>
              <w:b w:val="0"/>
              <w:noProof/>
              <w:sz w:val="22"/>
              <w:szCs w:val="22"/>
              <w:lang w:eastAsia="en-AU"/>
            </w:rPr>
          </w:pPr>
          <w:hyperlink w:anchor="_Toc115442871" w:history="1">
            <w:r w:rsidR="00E84091" w:rsidRPr="0065411C">
              <w:rPr>
                <w:rStyle w:val="Hyperlink"/>
                <w:noProof/>
              </w:rPr>
              <w:t>Combination products</w:t>
            </w:r>
            <w:r w:rsidR="00E84091">
              <w:rPr>
                <w:noProof/>
                <w:webHidden/>
              </w:rPr>
              <w:tab/>
            </w:r>
            <w:r w:rsidR="00E84091">
              <w:rPr>
                <w:noProof/>
                <w:webHidden/>
              </w:rPr>
              <w:fldChar w:fldCharType="begin"/>
            </w:r>
            <w:r w:rsidR="00E84091">
              <w:rPr>
                <w:noProof/>
                <w:webHidden/>
              </w:rPr>
              <w:instrText xml:space="preserve"> PAGEREF _Toc115442871 \h </w:instrText>
            </w:r>
            <w:r w:rsidR="00E84091">
              <w:rPr>
                <w:noProof/>
                <w:webHidden/>
              </w:rPr>
            </w:r>
            <w:r w:rsidR="00E84091">
              <w:rPr>
                <w:noProof/>
                <w:webHidden/>
              </w:rPr>
              <w:fldChar w:fldCharType="separate"/>
            </w:r>
            <w:r w:rsidR="001A5AA6">
              <w:rPr>
                <w:noProof/>
                <w:webHidden/>
              </w:rPr>
              <w:t>10</w:t>
            </w:r>
            <w:r w:rsidR="00E84091">
              <w:rPr>
                <w:noProof/>
                <w:webHidden/>
              </w:rPr>
              <w:fldChar w:fldCharType="end"/>
            </w:r>
          </w:hyperlink>
        </w:p>
        <w:p w14:paraId="0A4B6E8B" w14:textId="3D8EF06F" w:rsidR="00E84091" w:rsidRDefault="008C10F0">
          <w:pPr>
            <w:pStyle w:val="TOC2"/>
            <w:rPr>
              <w:rFonts w:asciiTheme="minorHAnsi" w:eastAsiaTheme="minorEastAsia" w:hAnsiTheme="minorHAnsi" w:cstheme="minorBidi"/>
              <w:b w:val="0"/>
              <w:noProof/>
              <w:sz w:val="22"/>
              <w:szCs w:val="22"/>
              <w:lang w:eastAsia="en-AU"/>
            </w:rPr>
          </w:pPr>
          <w:hyperlink w:anchor="_Toc115442872" w:history="1">
            <w:r w:rsidR="00E84091" w:rsidRPr="0065411C">
              <w:rPr>
                <w:rStyle w:val="Hyperlink"/>
                <w:noProof/>
              </w:rPr>
              <w:t>Medicine-device combinations</w:t>
            </w:r>
            <w:r w:rsidR="00E84091">
              <w:rPr>
                <w:noProof/>
                <w:webHidden/>
              </w:rPr>
              <w:tab/>
            </w:r>
            <w:r w:rsidR="00E84091">
              <w:rPr>
                <w:noProof/>
                <w:webHidden/>
              </w:rPr>
              <w:fldChar w:fldCharType="begin"/>
            </w:r>
            <w:r w:rsidR="00E84091">
              <w:rPr>
                <w:noProof/>
                <w:webHidden/>
              </w:rPr>
              <w:instrText xml:space="preserve"> PAGEREF _Toc115442872 \h </w:instrText>
            </w:r>
            <w:r w:rsidR="00E84091">
              <w:rPr>
                <w:noProof/>
                <w:webHidden/>
              </w:rPr>
            </w:r>
            <w:r w:rsidR="00E84091">
              <w:rPr>
                <w:noProof/>
                <w:webHidden/>
              </w:rPr>
              <w:fldChar w:fldCharType="separate"/>
            </w:r>
            <w:r w:rsidR="001A5AA6">
              <w:rPr>
                <w:noProof/>
                <w:webHidden/>
              </w:rPr>
              <w:t>10</w:t>
            </w:r>
            <w:r w:rsidR="00E84091">
              <w:rPr>
                <w:noProof/>
                <w:webHidden/>
              </w:rPr>
              <w:fldChar w:fldCharType="end"/>
            </w:r>
          </w:hyperlink>
        </w:p>
        <w:p w14:paraId="0ADC6F4A" w14:textId="0F1A8527" w:rsidR="00E84091" w:rsidRDefault="008C10F0">
          <w:pPr>
            <w:pStyle w:val="TOC3"/>
            <w:rPr>
              <w:rFonts w:asciiTheme="minorHAnsi" w:eastAsiaTheme="minorEastAsia" w:hAnsiTheme="minorHAnsi" w:cstheme="minorBidi"/>
              <w:b w:val="0"/>
              <w:noProof/>
              <w:szCs w:val="22"/>
              <w:lang w:eastAsia="en-AU"/>
            </w:rPr>
          </w:pPr>
          <w:hyperlink w:anchor="_Toc115442873" w:history="1">
            <w:r w:rsidR="00E84091" w:rsidRPr="0065411C">
              <w:rPr>
                <w:rStyle w:val="Hyperlink"/>
                <w:noProof/>
              </w:rPr>
              <w:t>Three types of medicine-device combinations</w:t>
            </w:r>
            <w:r w:rsidR="00E84091">
              <w:rPr>
                <w:noProof/>
                <w:webHidden/>
              </w:rPr>
              <w:tab/>
            </w:r>
            <w:r w:rsidR="00E84091">
              <w:rPr>
                <w:noProof/>
                <w:webHidden/>
              </w:rPr>
              <w:fldChar w:fldCharType="begin"/>
            </w:r>
            <w:r w:rsidR="00E84091">
              <w:rPr>
                <w:noProof/>
                <w:webHidden/>
              </w:rPr>
              <w:instrText xml:space="preserve"> PAGEREF _Toc115442873 \h </w:instrText>
            </w:r>
            <w:r w:rsidR="00E84091">
              <w:rPr>
                <w:noProof/>
                <w:webHidden/>
              </w:rPr>
            </w:r>
            <w:r w:rsidR="00E84091">
              <w:rPr>
                <w:noProof/>
                <w:webHidden/>
              </w:rPr>
              <w:fldChar w:fldCharType="separate"/>
            </w:r>
            <w:r w:rsidR="001A5AA6">
              <w:rPr>
                <w:noProof/>
                <w:webHidden/>
              </w:rPr>
              <w:t>10</w:t>
            </w:r>
            <w:r w:rsidR="00E84091">
              <w:rPr>
                <w:noProof/>
                <w:webHidden/>
              </w:rPr>
              <w:fldChar w:fldCharType="end"/>
            </w:r>
          </w:hyperlink>
        </w:p>
        <w:p w14:paraId="45A6247A" w14:textId="2C856CDE" w:rsidR="00E84091" w:rsidRDefault="008C10F0">
          <w:pPr>
            <w:pStyle w:val="TOC2"/>
            <w:rPr>
              <w:rFonts w:asciiTheme="minorHAnsi" w:eastAsiaTheme="minorEastAsia" w:hAnsiTheme="minorHAnsi" w:cstheme="minorBidi"/>
              <w:b w:val="0"/>
              <w:noProof/>
              <w:sz w:val="22"/>
              <w:szCs w:val="22"/>
              <w:lang w:eastAsia="en-AU"/>
            </w:rPr>
          </w:pPr>
          <w:hyperlink w:anchor="_Toc115442874" w:history="1">
            <w:r w:rsidR="00E84091" w:rsidRPr="0065411C">
              <w:rPr>
                <w:rStyle w:val="Hyperlink"/>
                <w:noProof/>
              </w:rPr>
              <w:t>Biological – medical device combinations</w:t>
            </w:r>
            <w:r w:rsidR="00E84091">
              <w:rPr>
                <w:noProof/>
                <w:webHidden/>
              </w:rPr>
              <w:tab/>
            </w:r>
            <w:r w:rsidR="00E84091">
              <w:rPr>
                <w:noProof/>
                <w:webHidden/>
              </w:rPr>
              <w:fldChar w:fldCharType="begin"/>
            </w:r>
            <w:r w:rsidR="00E84091">
              <w:rPr>
                <w:noProof/>
                <w:webHidden/>
              </w:rPr>
              <w:instrText xml:space="preserve"> PAGEREF _Toc115442874 \h </w:instrText>
            </w:r>
            <w:r w:rsidR="00E84091">
              <w:rPr>
                <w:noProof/>
                <w:webHidden/>
              </w:rPr>
            </w:r>
            <w:r w:rsidR="00E84091">
              <w:rPr>
                <w:noProof/>
                <w:webHidden/>
              </w:rPr>
              <w:fldChar w:fldCharType="separate"/>
            </w:r>
            <w:r w:rsidR="001A5AA6">
              <w:rPr>
                <w:noProof/>
                <w:webHidden/>
              </w:rPr>
              <w:t>11</w:t>
            </w:r>
            <w:r w:rsidR="00E84091">
              <w:rPr>
                <w:noProof/>
                <w:webHidden/>
              </w:rPr>
              <w:fldChar w:fldCharType="end"/>
            </w:r>
          </w:hyperlink>
        </w:p>
        <w:p w14:paraId="11D237D0" w14:textId="71D91424" w:rsidR="00E84091" w:rsidRDefault="008C10F0">
          <w:pPr>
            <w:pStyle w:val="TOC2"/>
            <w:rPr>
              <w:rFonts w:asciiTheme="minorHAnsi" w:eastAsiaTheme="minorEastAsia" w:hAnsiTheme="minorHAnsi" w:cstheme="minorBidi"/>
              <w:b w:val="0"/>
              <w:noProof/>
              <w:sz w:val="22"/>
              <w:szCs w:val="22"/>
              <w:lang w:eastAsia="en-AU"/>
            </w:rPr>
          </w:pPr>
          <w:hyperlink w:anchor="_Toc115442875" w:history="1">
            <w:r w:rsidR="00E84091" w:rsidRPr="0065411C">
              <w:rPr>
                <w:rStyle w:val="Hyperlink"/>
                <w:noProof/>
              </w:rPr>
              <w:t>Biological – medicine combinations</w:t>
            </w:r>
            <w:r w:rsidR="00E84091">
              <w:rPr>
                <w:noProof/>
                <w:webHidden/>
              </w:rPr>
              <w:tab/>
            </w:r>
            <w:r w:rsidR="00E84091">
              <w:rPr>
                <w:noProof/>
                <w:webHidden/>
              </w:rPr>
              <w:fldChar w:fldCharType="begin"/>
            </w:r>
            <w:r w:rsidR="00E84091">
              <w:rPr>
                <w:noProof/>
                <w:webHidden/>
              </w:rPr>
              <w:instrText xml:space="preserve"> PAGEREF _Toc115442875 \h </w:instrText>
            </w:r>
            <w:r w:rsidR="00E84091">
              <w:rPr>
                <w:noProof/>
                <w:webHidden/>
              </w:rPr>
            </w:r>
            <w:r w:rsidR="00E84091">
              <w:rPr>
                <w:noProof/>
                <w:webHidden/>
              </w:rPr>
              <w:fldChar w:fldCharType="separate"/>
            </w:r>
            <w:r w:rsidR="001A5AA6">
              <w:rPr>
                <w:noProof/>
                <w:webHidden/>
              </w:rPr>
              <w:t>11</w:t>
            </w:r>
            <w:r w:rsidR="00E84091">
              <w:rPr>
                <w:noProof/>
                <w:webHidden/>
              </w:rPr>
              <w:fldChar w:fldCharType="end"/>
            </w:r>
          </w:hyperlink>
        </w:p>
        <w:p w14:paraId="48B3D1B9" w14:textId="6D987BEF" w:rsidR="00E84091" w:rsidRDefault="008C10F0">
          <w:pPr>
            <w:pStyle w:val="TOC2"/>
            <w:rPr>
              <w:rFonts w:asciiTheme="minorHAnsi" w:eastAsiaTheme="minorEastAsia" w:hAnsiTheme="minorHAnsi" w:cstheme="minorBidi"/>
              <w:b w:val="0"/>
              <w:noProof/>
              <w:sz w:val="22"/>
              <w:szCs w:val="22"/>
              <w:lang w:eastAsia="en-AU"/>
            </w:rPr>
          </w:pPr>
          <w:hyperlink w:anchor="_Toc115442876" w:history="1">
            <w:r w:rsidR="00E84091" w:rsidRPr="0065411C">
              <w:rPr>
                <w:rStyle w:val="Hyperlink"/>
                <w:noProof/>
                <w:lang w:eastAsia="en-AU"/>
              </w:rPr>
              <w:t>Excluded goods</w:t>
            </w:r>
            <w:r w:rsidR="00E84091">
              <w:rPr>
                <w:noProof/>
                <w:webHidden/>
              </w:rPr>
              <w:tab/>
            </w:r>
            <w:r w:rsidR="00E84091">
              <w:rPr>
                <w:noProof/>
                <w:webHidden/>
              </w:rPr>
              <w:fldChar w:fldCharType="begin"/>
            </w:r>
            <w:r w:rsidR="00E84091">
              <w:rPr>
                <w:noProof/>
                <w:webHidden/>
              </w:rPr>
              <w:instrText xml:space="preserve"> PAGEREF _Toc115442876 \h </w:instrText>
            </w:r>
            <w:r w:rsidR="00E84091">
              <w:rPr>
                <w:noProof/>
                <w:webHidden/>
              </w:rPr>
            </w:r>
            <w:r w:rsidR="00E84091">
              <w:rPr>
                <w:noProof/>
                <w:webHidden/>
              </w:rPr>
              <w:fldChar w:fldCharType="separate"/>
            </w:r>
            <w:r w:rsidR="001A5AA6">
              <w:rPr>
                <w:noProof/>
                <w:webHidden/>
              </w:rPr>
              <w:t>11</w:t>
            </w:r>
            <w:r w:rsidR="00E84091">
              <w:rPr>
                <w:noProof/>
                <w:webHidden/>
              </w:rPr>
              <w:fldChar w:fldCharType="end"/>
            </w:r>
          </w:hyperlink>
        </w:p>
        <w:p w14:paraId="358171A9" w14:textId="5EF66C79" w:rsidR="00E84091" w:rsidRDefault="008C10F0">
          <w:pPr>
            <w:pStyle w:val="TOC2"/>
            <w:rPr>
              <w:rFonts w:asciiTheme="minorHAnsi" w:eastAsiaTheme="minorEastAsia" w:hAnsiTheme="minorHAnsi" w:cstheme="minorBidi"/>
              <w:b w:val="0"/>
              <w:noProof/>
              <w:sz w:val="22"/>
              <w:szCs w:val="22"/>
              <w:lang w:eastAsia="en-AU"/>
            </w:rPr>
          </w:pPr>
          <w:hyperlink w:anchor="_Toc115442877" w:history="1">
            <w:r w:rsidR="00E84091" w:rsidRPr="0065411C">
              <w:rPr>
                <w:rStyle w:val="Hyperlink"/>
                <w:noProof/>
                <w:lang w:eastAsia="en-AU"/>
              </w:rPr>
              <w:t>Exempt goods</w:t>
            </w:r>
            <w:r w:rsidR="00E84091">
              <w:rPr>
                <w:noProof/>
                <w:webHidden/>
              </w:rPr>
              <w:tab/>
            </w:r>
            <w:r w:rsidR="00E84091">
              <w:rPr>
                <w:noProof/>
                <w:webHidden/>
              </w:rPr>
              <w:fldChar w:fldCharType="begin"/>
            </w:r>
            <w:r w:rsidR="00E84091">
              <w:rPr>
                <w:noProof/>
                <w:webHidden/>
              </w:rPr>
              <w:instrText xml:space="preserve"> PAGEREF _Toc115442877 \h </w:instrText>
            </w:r>
            <w:r w:rsidR="00E84091">
              <w:rPr>
                <w:noProof/>
                <w:webHidden/>
              </w:rPr>
            </w:r>
            <w:r w:rsidR="00E84091">
              <w:rPr>
                <w:noProof/>
                <w:webHidden/>
              </w:rPr>
              <w:fldChar w:fldCharType="separate"/>
            </w:r>
            <w:r w:rsidR="001A5AA6">
              <w:rPr>
                <w:noProof/>
                <w:webHidden/>
              </w:rPr>
              <w:t>11</w:t>
            </w:r>
            <w:r w:rsidR="00E84091">
              <w:rPr>
                <w:noProof/>
                <w:webHidden/>
              </w:rPr>
              <w:fldChar w:fldCharType="end"/>
            </w:r>
          </w:hyperlink>
        </w:p>
        <w:p w14:paraId="41F236DD" w14:textId="15B48F46" w:rsidR="00E84091" w:rsidRDefault="008C10F0">
          <w:pPr>
            <w:pStyle w:val="TOC2"/>
            <w:rPr>
              <w:rFonts w:asciiTheme="minorHAnsi" w:eastAsiaTheme="minorEastAsia" w:hAnsiTheme="minorHAnsi" w:cstheme="minorBidi"/>
              <w:b w:val="0"/>
              <w:noProof/>
              <w:sz w:val="22"/>
              <w:szCs w:val="22"/>
              <w:lang w:eastAsia="en-AU"/>
            </w:rPr>
          </w:pPr>
          <w:hyperlink w:anchor="_Toc115442878" w:history="1">
            <w:r w:rsidR="00E84091" w:rsidRPr="0065411C">
              <w:rPr>
                <w:rStyle w:val="Hyperlink"/>
                <w:noProof/>
                <w:lang w:eastAsia="en-AU"/>
              </w:rPr>
              <w:t>Specific Boundary Product Guidance</w:t>
            </w:r>
            <w:r w:rsidR="00E84091">
              <w:rPr>
                <w:noProof/>
                <w:webHidden/>
              </w:rPr>
              <w:tab/>
            </w:r>
            <w:r w:rsidR="00E84091">
              <w:rPr>
                <w:noProof/>
                <w:webHidden/>
              </w:rPr>
              <w:fldChar w:fldCharType="begin"/>
            </w:r>
            <w:r w:rsidR="00E84091">
              <w:rPr>
                <w:noProof/>
                <w:webHidden/>
              </w:rPr>
              <w:instrText xml:space="preserve"> PAGEREF _Toc115442878 \h </w:instrText>
            </w:r>
            <w:r w:rsidR="00E84091">
              <w:rPr>
                <w:noProof/>
                <w:webHidden/>
              </w:rPr>
            </w:r>
            <w:r w:rsidR="00E84091">
              <w:rPr>
                <w:noProof/>
                <w:webHidden/>
              </w:rPr>
              <w:fldChar w:fldCharType="separate"/>
            </w:r>
            <w:r w:rsidR="001A5AA6">
              <w:rPr>
                <w:noProof/>
                <w:webHidden/>
              </w:rPr>
              <w:t>11</w:t>
            </w:r>
            <w:r w:rsidR="00E84091">
              <w:rPr>
                <w:noProof/>
                <w:webHidden/>
              </w:rPr>
              <w:fldChar w:fldCharType="end"/>
            </w:r>
          </w:hyperlink>
        </w:p>
        <w:p w14:paraId="042F874B" w14:textId="00531518" w:rsidR="00E84091" w:rsidRDefault="008C10F0">
          <w:pPr>
            <w:pStyle w:val="TOC1"/>
            <w:rPr>
              <w:rFonts w:asciiTheme="minorHAnsi" w:eastAsiaTheme="minorEastAsia" w:hAnsiTheme="minorHAnsi" w:cstheme="minorBidi"/>
              <w:b w:val="0"/>
              <w:noProof/>
              <w:sz w:val="22"/>
              <w:szCs w:val="22"/>
              <w:lang w:eastAsia="en-AU"/>
            </w:rPr>
          </w:pPr>
          <w:hyperlink w:anchor="_Toc115442879" w:history="1">
            <w:r w:rsidR="00E84091" w:rsidRPr="0065411C">
              <w:rPr>
                <w:rStyle w:val="Hyperlink"/>
                <w:noProof/>
              </w:rPr>
              <w:t>Appendix 1</w:t>
            </w:r>
            <w:r w:rsidR="00E84091">
              <w:rPr>
                <w:noProof/>
                <w:webHidden/>
              </w:rPr>
              <w:tab/>
            </w:r>
            <w:r w:rsidR="00E84091">
              <w:rPr>
                <w:noProof/>
                <w:webHidden/>
              </w:rPr>
              <w:fldChar w:fldCharType="begin"/>
            </w:r>
            <w:r w:rsidR="00E84091">
              <w:rPr>
                <w:noProof/>
                <w:webHidden/>
              </w:rPr>
              <w:instrText xml:space="preserve"> PAGEREF _Toc115442879 \h </w:instrText>
            </w:r>
            <w:r w:rsidR="00E84091">
              <w:rPr>
                <w:noProof/>
                <w:webHidden/>
              </w:rPr>
            </w:r>
            <w:r w:rsidR="00E84091">
              <w:rPr>
                <w:noProof/>
                <w:webHidden/>
              </w:rPr>
              <w:fldChar w:fldCharType="separate"/>
            </w:r>
            <w:r w:rsidR="001A5AA6">
              <w:rPr>
                <w:noProof/>
                <w:webHidden/>
              </w:rPr>
              <w:t>12</w:t>
            </w:r>
            <w:r w:rsidR="00E84091">
              <w:rPr>
                <w:noProof/>
                <w:webHidden/>
              </w:rPr>
              <w:fldChar w:fldCharType="end"/>
            </w:r>
          </w:hyperlink>
        </w:p>
        <w:p w14:paraId="2E65F4E8" w14:textId="464C97AD" w:rsidR="00E84091" w:rsidRDefault="008C10F0">
          <w:pPr>
            <w:pStyle w:val="TOC2"/>
            <w:rPr>
              <w:rFonts w:asciiTheme="minorHAnsi" w:eastAsiaTheme="minorEastAsia" w:hAnsiTheme="minorHAnsi" w:cstheme="minorBidi"/>
              <w:b w:val="0"/>
              <w:noProof/>
              <w:sz w:val="22"/>
              <w:szCs w:val="22"/>
              <w:lang w:eastAsia="en-AU"/>
            </w:rPr>
          </w:pPr>
          <w:hyperlink w:anchor="_Toc115442880" w:history="1">
            <w:r w:rsidR="00E84091" w:rsidRPr="0065411C">
              <w:rPr>
                <w:rStyle w:val="Hyperlink"/>
                <w:noProof/>
              </w:rPr>
              <w:t>Guidance on product regulatory pathway</w:t>
            </w:r>
            <w:r w:rsidR="00E84091">
              <w:rPr>
                <w:noProof/>
                <w:webHidden/>
              </w:rPr>
              <w:tab/>
            </w:r>
            <w:r w:rsidR="00E84091">
              <w:rPr>
                <w:noProof/>
                <w:webHidden/>
              </w:rPr>
              <w:fldChar w:fldCharType="begin"/>
            </w:r>
            <w:r w:rsidR="00E84091">
              <w:rPr>
                <w:noProof/>
                <w:webHidden/>
              </w:rPr>
              <w:instrText xml:space="preserve"> PAGEREF _Toc115442880 \h </w:instrText>
            </w:r>
            <w:r w:rsidR="00E84091">
              <w:rPr>
                <w:noProof/>
                <w:webHidden/>
              </w:rPr>
            </w:r>
            <w:r w:rsidR="00E84091">
              <w:rPr>
                <w:noProof/>
                <w:webHidden/>
              </w:rPr>
              <w:fldChar w:fldCharType="separate"/>
            </w:r>
            <w:r w:rsidR="001A5AA6">
              <w:rPr>
                <w:noProof/>
                <w:webHidden/>
              </w:rPr>
              <w:t>12</w:t>
            </w:r>
            <w:r w:rsidR="00E84091">
              <w:rPr>
                <w:noProof/>
                <w:webHidden/>
              </w:rPr>
              <w:fldChar w:fldCharType="end"/>
            </w:r>
          </w:hyperlink>
        </w:p>
        <w:p w14:paraId="0EEEC717" w14:textId="187125A6" w:rsidR="00481EA4" w:rsidRPr="00215D48" w:rsidRDefault="00481EA4" w:rsidP="00481EA4">
          <w:r w:rsidRPr="00215D48">
            <w:fldChar w:fldCharType="end"/>
          </w:r>
        </w:p>
      </w:sdtContent>
    </w:sdt>
    <w:p w14:paraId="79587A32" w14:textId="77777777" w:rsidR="00481EA4" w:rsidRPr="00215D48" w:rsidRDefault="00481EA4" w:rsidP="00481EA4">
      <w:r w:rsidRPr="00215D48">
        <w:br w:type="page"/>
      </w:r>
    </w:p>
    <w:p w14:paraId="5254BCE2" w14:textId="4F97F657" w:rsidR="00481EA4" w:rsidRDefault="00481EA4" w:rsidP="00481EA4">
      <w:pPr>
        <w:pStyle w:val="Heading2"/>
      </w:pPr>
      <w:bookmarkStart w:id="1" w:name="_Toc115442862"/>
      <w:r>
        <w:lastRenderedPageBreak/>
        <w:t>About this guidance</w:t>
      </w:r>
      <w:bookmarkEnd w:id="1"/>
    </w:p>
    <w:p w14:paraId="17DF1986" w14:textId="1515369B" w:rsidR="00481EA4" w:rsidRPr="00E91E80" w:rsidRDefault="00481EA4" w:rsidP="00481EA4">
      <w:pPr>
        <w:rPr>
          <w:lang w:eastAsia="en-AU"/>
        </w:rPr>
      </w:pPr>
      <w:r>
        <w:rPr>
          <w:lang w:eastAsia="en-AU"/>
        </w:rPr>
        <w:t xml:space="preserve">Under the </w:t>
      </w:r>
      <w:r>
        <w:rPr>
          <w:i/>
          <w:iCs/>
          <w:lang w:eastAsia="en-AU"/>
        </w:rPr>
        <w:t>Therapeutic Goods Act 1989</w:t>
      </w:r>
      <w:r>
        <w:rPr>
          <w:lang w:eastAsia="en-AU"/>
        </w:rPr>
        <w:t xml:space="preserve"> (the Act), therapeutic goods are regulated as medicines, biologicals, medical </w:t>
      </w:r>
      <w:proofErr w:type="gramStart"/>
      <w:r>
        <w:rPr>
          <w:lang w:eastAsia="en-AU"/>
        </w:rPr>
        <w:t>devices</w:t>
      </w:r>
      <w:proofErr w:type="gramEnd"/>
      <w:r>
        <w:rPr>
          <w:lang w:eastAsia="en-AU"/>
        </w:rPr>
        <w:t xml:space="preserve"> or other therapeutic goods.  </w:t>
      </w:r>
      <w:r w:rsidRPr="0032504E">
        <w:rPr>
          <w:lang w:eastAsia="en-AU"/>
        </w:rPr>
        <w:t xml:space="preserve">However, in some cases, </w:t>
      </w:r>
      <w:r w:rsidRPr="0032504E">
        <w:t>determining which therapeutic goods definition applies to a product and the appropriate regulatory pathway can be complex.  There are some products that may appear to fall within more than one definition and require further analysis to determine which therapeutic goods definition applies</w:t>
      </w:r>
      <w:r w:rsidRPr="0032504E">
        <w:rPr>
          <w:lang w:eastAsia="en-AU"/>
        </w:rPr>
        <w:t xml:space="preserve">, </w:t>
      </w:r>
      <w:r w:rsidR="00090D92">
        <w:rPr>
          <w:lang w:eastAsia="en-AU"/>
        </w:rPr>
        <w:t xml:space="preserve">these </w:t>
      </w:r>
      <w:r w:rsidRPr="0032504E">
        <w:rPr>
          <w:lang w:eastAsia="en-AU"/>
        </w:rPr>
        <w:t xml:space="preserve">are often referred to as ‘boundary </w:t>
      </w:r>
      <w:proofErr w:type="gramStart"/>
      <w:r w:rsidRPr="0032504E">
        <w:rPr>
          <w:lang w:eastAsia="en-AU"/>
        </w:rPr>
        <w:t>products’</w:t>
      </w:r>
      <w:proofErr w:type="gramEnd"/>
      <w:r w:rsidRPr="0032504E">
        <w:rPr>
          <w:lang w:eastAsia="en-AU"/>
        </w:rPr>
        <w:t xml:space="preserve">. This guidance </w:t>
      </w:r>
      <w:r w:rsidRPr="00E91E80">
        <w:rPr>
          <w:lang w:eastAsia="en-AU"/>
        </w:rPr>
        <w:t xml:space="preserve">sets out, in broad terms, </w:t>
      </w:r>
      <w:r>
        <w:rPr>
          <w:lang w:eastAsia="en-AU"/>
        </w:rPr>
        <w:t xml:space="preserve">principles to assist in determining which requirements within the Australian regulatory framework may apply to a certain product and lists some examples of these boundary products. </w:t>
      </w:r>
    </w:p>
    <w:p w14:paraId="64E2E0FA" w14:textId="77777777" w:rsidR="00481EA4" w:rsidRPr="00E91E80" w:rsidRDefault="00481EA4" w:rsidP="00481EA4">
      <w:pPr>
        <w:rPr>
          <w:lang w:eastAsia="en-AU"/>
        </w:rPr>
      </w:pPr>
      <w:r>
        <w:rPr>
          <w:lang w:eastAsia="en-AU"/>
        </w:rPr>
        <w:t>Within</w:t>
      </w:r>
      <w:r w:rsidRPr="00E91E80">
        <w:rPr>
          <w:lang w:eastAsia="en-AU"/>
        </w:rPr>
        <w:t xml:space="preserve"> medical devices </w:t>
      </w:r>
      <w:r>
        <w:rPr>
          <w:lang w:eastAsia="en-AU"/>
        </w:rPr>
        <w:t xml:space="preserve">there are also other borderlines </w:t>
      </w:r>
      <w:r w:rsidRPr="00E91E80">
        <w:rPr>
          <w:lang w:eastAsia="en-AU"/>
        </w:rPr>
        <w:t>(for example with</w:t>
      </w:r>
      <w:r>
        <w:rPr>
          <w:lang w:eastAsia="en-AU"/>
        </w:rPr>
        <w:t xml:space="preserve"> </w:t>
      </w:r>
      <w:r w:rsidRPr="00E91E80">
        <w:rPr>
          <w:lang w:eastAsia="en-AU"/>
        </w:rPr>
        <w:t>cosmetics, personal protective equipment, biocides etc)</w:t>
      </w:r>
      <w:r>
        <w:rPr>
          <w:lang w:eastAsia="en-AU"/>
        </w:rPr>
        <w:t>. However,</w:t>
      </w:r>
      <w:r w:rsidRPr="00E91E80">
        <w:rPr>
          <w:lang w:eastAsia="en-AU"/>
        </w:rPr>
        <w:t xml:space="preserve"> this document relates specifically to the differentiation between medical devices</w:t>
      </w:r>
      <w:r>
        <w:rPr>
          <w:lang w:eastAsia="en-AU"/>
        </w:rPr>
        <w:t>,</w:t>
      </w:r>
      <w:r w:rsidRPr="00E91E80">
        <w:rPr>
          <w:lang w:eastAsia="en-AU"/>
        </w:rPr>
        <w:t xml:space="preserve"> </w:t>
      </w:r>
      <w:proofErr w:type="gramStart"/>
      <w:r w:rsidRPr="00E91E80">
        <w:rPr>
          <w:lang w:eastAsia="en-AU"/>
        </w:rPr>
        <w:t>medicin</w:t>
      </w:r>
      <w:r>
        <w:rPr>
          <w:lang w:eastAsia="en-AU"/>
        </w:rPr>
        <w:t>es</w:t>
      </w:r>
      <w:proofErr w:type="gramEnd"/>
      <w:r w:rsidRPr="00E91E80">
        <w:rPr>
          <w:lang w:eastAsia="en-AU"/>
        </w:rPr>
        <w:t xml:space="preserve"> </w:t>
      </w:r>
      <w:r>
        <w:rPr>
          <w:lang w:eastAsia="en-AU"/>
        </w:rPr>
        <w:t>and</w:t>
      </w:r>
      <w:r w:rsidRPr="00E91E80">
        <w:rPr>
          <w:lang w:eastAsia="en-AU"/>
        </w:rPr>
        <w:t xml:space="preserve"> biological</w:t>
      </w:r>
      <w:r>
        <w:rPr>
          <w:lang w:eastAsia="en-AU"/>
        </w:rPr>
        <w:t>s</w:t>
      </w:r>
      <w:r w:rsidRPr="00E91E80">
        <w:rPr>
          <w:lang w:eastAsia="en-AU"/>
        </w:rPr>
        <w:t>.</w:t>
      </w:r>
    </w:p>
    <w:p w14:paraId="6EDDB29B" w14:textId="77777777" w:rsidR="00481EA4" w:rsidRPr="00E91E80" w:rsidRDefault="00481EA4" w:rsidP="00481EA4">
      <w:pPr>
        <w:rPr>
          <w:lang w:eastAsia="en-AU"/>
        </w:rPr>
      </w:pPr>
      <w:r w:rsidRPr="00E91E80">
        <w:rPr>
          <w:lang w:eastAsia="en-AU"/>
        </w:rPr>
        <w:t xml:space="preserve">These guidelines are to assist sponsors </w:t>
      </w:r>
      <w:r>
        <w:rPr>
          <w:lang w:eastAsia="en-AU"/>
        </w:rPr>
        <w:t xml:space="preserve">and manufacturers </w:t>
      </w:r>
      <w:r w:rsidRPr="00E91E80">
        <w:rPr>
          <w:lang w:eastAsia="en-AU"/>
        </w:rPr>
        <w:t xml:space="preserve">in determining the status of therapeutic goods that </w:t>
      </w:r>
      <w:r>
        <w:rPr>
          <w:lang w:eastAsia="en-AU"/>
        </w:rPr>
        <w:t xml:space="preserve">may not fit clearly within existing definitions for </w:t>
      </w:r>
      <w:r w:rsidRPr="00E91E80">
        <w:rPr>
          <w:lang w:eastAsia="en-AU"/>
        </w:rPr>
        <w:t>medicines</w:t>
      </w:r>
      <w:r>
        <w:rPr>
          <w:lang w:eastAsia="en-AU"/>
        </w:rPr>
        <w:t>, biologicals,</w:t>
      </w:r>
      <w:r w:rsidRPr="00E91E80">
        <w:rPr>
          <w:lang w:eastAsia="en-AU"/>
        </w:rPr>
        <w:t xml:space="preserve"> or </w:t>
      </w:r>
      <w:r>
        <w:rPr>
          <w:lang w:eastAsia="en-AU"/>
        </w:rPr>
        <w:t xml:space="preserve">medical </w:t>
      </w:r>
      <w:r w:rsidRPr="00E91E80">
        <w:rPr>
          <w:lang w:eastAsia="en-AU"/>
        </w:rPr>
        <w:t xml:space="preserve">devices. In developing the list, the status of each product </w:t>
      </w:r>
      <w:r>
        <w:rPr>
          <w:lang w:eastAsia="en-AU"/>
        </w:rPr>
        <w:t xml:space="preserve">in the US </w:t>
      </w:r>
      <w:r w:rsidRPr="00E91E80">
        <w:rPr>
          <w:lang w:eastAsia="en-AU"/>
        </w:rPr>
        <w:t xml:space="preserve">and </w:t>
      </w:r>
      <w:r>
        <w:rPr>
          <w:lang w:eastAsia="en-AU"/>
        </w:rPr>
        <w:t xml:space="preserve">the </w:t>
      </w:r>
      <w:r w:rsidRPr="00E91E80">
        <w:rPr>
          <w:lang w:eastAsia="en-AU"/>
        </w:rPr>
        <w:t xml:space="preserve">European Union was considered with the desire that distinctions </w:t>
      </w:r>
      <w:r>
        <w:rPr>
          <w:lang w:eastAsia="en-AU"/>
        </w:rPr>
        <w:t xml:space="preserve">recognised in those jurisdictions </w:t>
      </w:r>
      <w:r w:rsidRPr="00E91E80">
        <w:rPr>
          <w:lang w:eastAsia="en-AU"/>
        </w:rPr>
        <w:t xml:space="preserve">be adopted </w:t>
      </w:r>
      <w:r>
        <w:rPr>
          <w:lang w:eastAsia="en-AU"/>
        </w:rPr>
        <w:t>where consistent with the Act</w:t>
      </w:r>
      <w:r w:rsidRPr="00E91E80">
        <w:rPr>
          <w:lang w:eastAsia="en-AU"/>
        </w:rPr>
        <w:t xml:space="preserve">. </w:t>
      </w:r>
    </w:p>
    <w:p w14:paraId="4A19D1B4" w14:textId="4F2775F4" w:rsidR="00481EA4" w:rsidRPr="00E91E80" w:rsidRDefault="00481EA4" w:rsidP="00481EA4">
      <w:pPr>
        <w:rPr>
          <w:lang w:eastAsia="en-AU"/>
        </w:rPr>
      </w:pPr>
      <w:r>
        <w:rPr>
          <w:lang w:eastAsia="en-AU"/>
        </w:rPr>
        <w:t>The</w:t>
      </w:r>
      <w:r w:rsidRPr="00E91E80">
        <w:rPr>
          <w:lang w:eastAsia="en-AU"/>
        </w:rPr>
        <w:t xml:space="preserve"> list of products</w:t>
      </w:r>
      <w:r>
        <w:rPr>
          <w:lang w:eastAsia="en-AU"/>
        </w:rPr>
        <w:t xml:space="preserve"> (Appendix 1)</w:t>
      </w:r>
      <w:r w:rsidRPr="00E91E80">
        <w:rPr>
          <w:lang w:eastAsia="en-AU"/>
        </w:rPr>
        <w:t xml:space="preserve"> </w:t>
      </w:r>
      <w:r>
        <w:rPr>
          <w:lang w:eastAsia="en-AU"/>
        </w:rPr>
        <w:t>includes</w:t>
      </w:r>
      <w:r w:rsidRPr="00E91E80">
        <w:rPr>
          <w:lang w:eastAsia="en-AU"/>
        </w:rPr>
        <w:t xml:space="preserve"> guidance </w:t>
      </w:r>
      <w:r w:rsidR="005B7A63">
        <w:rPr>
          <w:lang w:eastAsia="en-AU"/>
        </w:rPr>
        <w:t>on</w:t>
      </w:r>
      <w:r w:rsidRPr="00E91E80">
        <w:rPr>
          <w:lang w:eastAsia="en-AU"/>
        </w:rPr>
        <w:t xml:space="preserve"> the</w:t>
      </w:r>
      <w:r w:rsidR="00155AE9">
        <w:rPr>
          <w:lang w:eastAsia="en-AU"/>
        </w:rPr>
        <w:t xml:space="preserve"> regulatory</w:t>
      </w:r>
      <w:r>
        <w:rPr>
          <w:lang w:eastAsia="en-AU"/>
        </w:rPr>
        <w:t xml:space="preserve"> framework</w:t>
      </w:r>
      <w:r w:rsidRPr="00E91E80">
        <w:rPr>
          <w:lang w:eastAsia="en-AU"/>
        </w:rPr>
        <w:t xml:space="preserve"> likely to apply to such products. </w:t>
      </w:r>
      <w:r>
        <w:rPr>
          <w:lang w:eastAsia="en-AU"/>
        </w:rPr>
        <w:t>In the case of products containing both medicine and device components, the TGA will evaluate both components even if the product overall is regulated as a medical device or medicine.</w:t>
      </w:r>
    </w:p>
    <w:p w14:paraId="5B8EC7B9" w14:textId="77C7E799" w:rsidR="00481EA4" w:rsidRPr="00E91E80" w:rsidRDefault="00481EA4" w:rsidP="00481EA4">
      <w:pPr>
        <w:rPr>
          <w:lang w:eastAsia="en-AU"/>
        </w:rPr>
      </w:pPr>
      <w:r w:rsidRPr="00CC3231">
        <w:rPr>
          <w:lang w:eastAsia="en-AU"/>
        </w:rPr>
        <w:t xml:space="preserve">This guidance will assist in determining the </w:t>
      </w:r>
      <w:r w:rsidR="005B7A63">
        <w:rPr>
          <w:lang w:eastAsia="en-AU"/>
        </w:rPr>
        <w:t xml:space="preserve">most appropriate </w:t>
      </w:r>
      <w:r w:rsidRPr="00CC3231">
        <w:rPr>
          <w:lang w:eastAsia="en-AU"/>
        </w:rPr>
        <w:t xml:space="preserve">regulatory pathway </w:t>
      </w:r>
      <w:r w:rsidR="005B7A63">
        <w:rPr>
          <w:lang w:eastAsia="en-AU"/>
        </w:rPr>
        <w:t>for</w:t>
      </w:r>
      <w:r w:rsidRPr="00CC3231">
        <w:rPr>
          <w:lang w:eastAsia="en-AU"/>
        </w:rPr>
        <w:t xml:space="preserve"> a </w:t>
      </w:r>
      <w:proofErr w:type="gramStart"/>
      <w:r w:rsidRPr="00CC3231">
        <w:rPr>
          <w:lang w:eastAsia="en-AU"/>
        </w:rPr>
        <w:t>product.</w:t>
      </w:r>
      <w:r w:rsidR="005B7A63">
        <w:rPr>
          <w:lang w:eastAsia="en-AU"/>
        </w:rPr>
        <w:t>.</w:t>
      </w:r>
      <w:proofErr w:type="gramEnd"/>
      <w:r w:rsidRPr="00E91E80">
        <w:rPr>
          <w:lang w:eastAsia="en-AU"/>
        </w:rPr>
        <w:t xml:space="preserve"> If in doubt sponsors should consult the TGA regarding the status of their product.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81EA4" w:rsidRPr="00215D48" w14:paraId="58F5D058" w14:textId="77777777" w:rsidTr="00F46BB9">
        <w:trPr>
          <w:trHeight w:val="2400"/>
        </w:trPr>
        <w:tc>
          <w:tcPr>
            <w:tcW w:w="1276" w:type="dxa"/>
            <w:vAlign w:val="center"/>
          </w:tcPr>
          <w:p w14:paraId="0F90DC2D" w14:textId="77777777" w:rsidR="00481EA4" w:rsidRPr="00215D48" w:rsidRDefault="00481EA4" w:rsidP="00F46BB9">
            <w:pPr>
              <w:spacing w:before="0"/>
              <w:rPr>
                <w:sz w:val="20"/>
              </w:rPr>
            </w:pPr>
            <w:r w:rsidRPr="00215D48">
              <w:rPr>
                <w:noProof/>
                <w:sz w:val="20"/>
                <w:lang w:eastAsia="en-AU"/>
              </w:rPr>
              <w:drawing>
                <wp:inline distT="0" distB="0" distL="0" distR="0" wp14:anchorId="7F494EA5" wp14:editId="3A5B0488">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35B6744" w14:textId="77777777" w:rsidR="00481EA4" w:rsidRDefault="00481EA4" w:rsidP="00F46BB9">
            <w:r w:rsidRPr="008E57AE">
              <w:t xml:space="preserve">This information is provided for guidance only and should not be relied on to address every aspect of the relevant legislation. </w:t>
            </w:r>
          </w:p>
          <w:p w14:paraId="24956908" w14:textId="77777777" w:rsidR="00481EA4" w:rsidRDefault="00481EA4" w:rsidP="00F46BB9">
            <w:r>
              <w:t xml:space="preserve">The </w:t>
            </w:r>
            <w:hyperlink r:id="rId15" w:history="1">
              <w:r w:rsidRPr="000D0F56">
                <w:rPr>
                  <w:rStyle w:val="Hyperlink"/>
                </w:rPr>
                <w:t>therapeutic goods legislation</w:t>
              </w:r>
            </w:hyperlink>
            <w:r>
              <w:t xml:space="preserve"> details the legal requirements for supplying </w:t>
            </w:r>
            <w:r w:rsidRPr="000D0F56">
              <w:t>therapeutic goods</w:t>
            </w:r>
            <w:r>
              <w:t>, including ‘unapproved’ goods, in Australia.</w:t>
            </w:r>
          </w:p>
          <w:p w14:paraId="12EB1CC5" w14:textId="38857D56" w:rsidR="00481EA4" w:rsidRDefault="00481EA4" w:rsidP="00F46BB9">
            <w:r w:rsidRPr="008E57AE">
              <w:t>You should seek your own independent legal advice to ensure that all legislative requirements are met.</w:t>
            </w:r>
          </w:p>
          <w:p w14:paraId="60BB6245" w14:textId="77777777" w:rsidR="00481EA4" w:rsidRDefault="00481EA4" w:rsidP="00F46BB9">
            <w:r>
              <w:t>If you have feedback or require more information, you can email the following TGA areas</w:t>
            </w:r>
          </w:p>
          <w:p w14:paraId="0FB5CD75" w14:textId="77777777" w:rsidR="00481EA4" w:rsidRPr="00FC665E" w:rsidRDefault="00481EA4" w:rsidP="00481EA4">
            <w:pPr>
              <w:pStyle w:val="ListParagraph"/>
              <w:numPr>
                <w:ilvl w:val="0"/>
                <w:numId w:val="9"/>
              </w:numPr>
              <w:rPr>
                <w:rStyle w:val="Hyperlink"/>
              </w:rPr>
            </w:pPr>
            <w:r>
              <w:fldChar w:fldCharType="begin"/>
            </w:r>
            <w:r>
              <w:instrText xml:space="preserve"> HYPERLINK "mailto:info@tga.gov.au" </w:instrText>
            </w:r>
            <w:r>
              <w:fldChar w:fldCharType="separate"/>
            </w:r>
            <w:r w:rsidRPr="00FC665E">
              <w:rPr>
                <w:rStyle w:val="Hyperlink"/>
              </w:rPr>
              <w:t>Prescription Medicines</w:t>
            </w:r>
          </w:p>
          <w:p w14:paraId="4C97B38E" w14:textId="77777777" w:rsidR="00481EA4" w:rsidRPr="00FC665E" w:rsidRDefault="00481EA4" w:rsidP="00481EA4">
            <w:pPr>
              <w:pStyle w:val="ListParagraph"/>
              <w:numPr>
                <w:ilvl w:val="0"/>
                <w:numId w:val="9"/>
              </w:numPr>
            </w:pPr>
            <w:r>
              <w:fldChar w:fldCharType="end"/>
            </w:r>
            <w:hyperlink r:id="rId16" w:history="1">
              <w:r w:rsidRPr="00FC665E">
                <w:rPr>
                  <w:rStyle w:val="Hyperlink"/>
                </w:rPr>
                <w:t>Over-the-counter medicines</w:t>
              </w:r>
            </w:hyperlink>
          </w:p>
          <w:p w14:paraId="72D0354F" w14:textId="77777777" w:rsidR="00481EA4" w:rsidRPr="00FC665E" w:rsidRDefault="008C10F0" w:rsidP="00481EA4">
            <w:pPr>
              <w:pStyle w:val="ListParagraph"/>
              <w:numPr>
                <w:ilvl w:val="0"/>
                <w:numId w:val="9"/>
              </w:numPr>
            </w:pPr>
            <w:hyperlink r:id="rId17" w:history="1">
              <w:r w:rsidR="00481EA4" w:rsidRPr="00FC665E">
                <w:rPr>
                  <w:rStyle w:val="Hyperlink"/>
                </w:rPr>
                <w:t>Medical Devices</w:t>
              </w:r>
            </w:hyperlink>
          </w:p>
          <w:p w14:paraId="389A1907" w14:textId="77777777" w:rsidR="00481EA4" w:rsidRPr="00FC665E" w:rsidRDefault="008C10F0" w:rsidP="00481EA4">
            <w:pPr>
              <w:pStyle w:val="ListParagraph"/>
              <w:numPr>
                <w:ilvl w:val="0"/>
                <w:numId w:val="9"/>
              </w:numPr>
            </w:pPr>
            <w:hyperlink r:id="rId18" w:history="1">
              <w:r w:rsidR="00481EA4" w:rsidRPr="00FC665E">
                <w:rPr>
                  <w:rStyle w:val="Hyperlink"/>
                </w:rPr>
                <w:t>Biologicals</w:t>
              </w:r>
            </w:hyperlink>
          </w:p>
          <w:p w14:paraId="0ABEE8CE" w14:textId="77777777" w:rsidR="00481EA4" w:rsidRPr="00215D48" w:rsidRDefault="008C10F0" w:rsidP="00481EA4">
            <w:pPr>
              <w:pStyle w:val="ListParagraph"/>
              <w:numPr>
                <w:ilvl w:val="0"/>
                <w:numId w:val="9"/>
              </w:numPr>
            </w:pPr>
            <w:hyperlink r:id="rId19" w:history="1">
              <w:r w:rsidR="00481EA4" w:rsidRPr="00FC665E">
                <w:rPr>
                  <w:rStyle w:val="Hyperlink"/>
                </w:rPr>
                <w:t>TGA info</w:t>
              </w:r>
            </w:hyperlink>
          </w:p>
        </w:tc>
      </w:tr>
    </w:tbl>
    <w:p w14:paraId="6946B1EF" w14:textId="77777777" w:rsidR="00481EA4" w:rsidRDefault="00481EA4" w:rsidP="00481EA4">
      <w:pPr>
        <w:pStyle w:val="Heading2"/>
      </w:pPr>
      <w:bookmarkStart w:id="2" w:name="_Toc115442863"/>
      <w:bookmarkStart w:id="3" w:name="_Toc323739590"/>
      <w:bookmarkStart w:id="4" w:name="_Toc356305217"/>
      <w:r>
        <w:lastRenderedPageBreak/>
        <w:t>Definitions</w:t>
      </w:r>
      <w:bookmarkEnd w:id="2"/>
    </w:p>
    <w:p w14:paraId="5825023A" w14:textId="77777777" w:rsidR="00481EA4" w:rsidRDefault="00481EA4" w:rsidP="00481EA4">
      <w:pPr>
        <w:pStyle w:val="Heading3"/>
      </w:pPr>
      <w:bookmarkStart w:id="5" w:name="_Toc115442864"/>
      <w:r>
        <w:t>Medicine</w:t>
      </w:r>
      <w:bookmarkEnd w:id="5"/>
    </w:p>
    <w:p w14:paraId="1ED35432" w14:textId="77777777" w:rsidR="00481EA4" w:rsidRDefault="00481EA4" w:rsidP="00481EA4">
      <w:pPr>
        <w:rPr>
          <w:lang w:eastAsia="en-AU"/>
        </w:rPr>
      </w:pPr>
      <w:r w:rsidRPr="004368E0">
        <w:rPr>
          <w:lang w:eastAsia="en-AU"/>
        </w:rPr>
        <w:t>Medicines are defined</w:t>
      </w:r>
      <w:r>
        <w:rPr>
          <w:lang w:eastAsia="en-AU"/>
        </w:rPr>
        <w:t xml:space="preserve"> in Section 3 of the Act as therapeutic goods that are represented to </w:t>
      </w:r>
      <w:r w:rsidRPr="004368E0">
        <w:rPr>
          <w:lang w:eastAsia="en-AU"/>
        </w:rPr>
        <w:t xml:space="preserve">achieve or are likely to achieve their principal </w:t>
      </w:r>
      <w:r>
        <w:rPr>
          <w:lang w:eastAsia="en-AU"/>
        </w:rPr>
        <w:t xml:space="preserve">intended action </w:t>
      </w:r>
      <w:r w:rsidRPr="004368E0">
        <w:rPr>
          <w:lang w:eastAsia="en-AU"/>
        </w:rPr>
        <w:t>by pharmacological, chemical, immunological</w:t>
      </w:r>
      <w:r>
        <w:rPr>
          <w:lang w:eastAsia="en-AU"/>
        </w:rPr>
        <w:t>,</w:t>
      </w:r>
      <w:r w:rsidRPr="004368E0">
        <w:rPr>
          <w:lang w:eastAsia="en-AU"/>
        </w:rPr>
        <w:t xml:space="preserve"> or metabolic means in or on the body of a human.</w:t>
      </w:r>
    </w:p>
    <w:p w14:paraId="2C51D5EF" w14:textId="77777777" w:rsidR="00481EA4" w:rsidRDefault="00481EA4" w:rsidP="00481EA4">
      <w:pPr>
        <w:pStyle w:val="Heading3"/>
      </w:pPr>
      <w:bookmarkStart w:id="6" w:name="_Toc115442865"/>
      <w:r>
        <w:t>Medical device</w:t>
      </w:r>
      <w:bookmarkEnd w:id="6"/>
    </w:p>
    <w:p w14:paraId="5A890E82" w14:textId="77777777" w:rsidR="00481EA4" w:rsidRDefault="00481EA4" w:rsidP="00481EA4">
      <w:pPr>
        <w:rPr>
          <w:lang w:eastAsia="en-AU"/>
        </w:rPr>
      </w:pPr>
      <w:r w:rsidRPr="004368E0">
        <w:rPr>
          <w:lang w:eastAsia="en-AU"/>
        </w:rPr>
        <w:t xml:space="preserve">Medical devices are defined </w:t>
      </w:r>
      <w:r>
        <w:rPr>
          <w:lang w:eastAsia="en-AU"/>
        </w:rPr>
        <w:t xml:space="preserve">in section 41BD of the Act. </w:t>
      </w:r>
    </w:p>
    <w:p w14:paraId="56FE8584" w14:textId="77777777" w:rsidR="00481EA4" w:rsidRDefault="00481EA4" w:rsidP="00481EA4">
      <w:pPr>
        <w:rPr>
          <w:lang w:eastAsia="en-AU"/>
        </w:rPr>
      </w:pPr>
      <w:r>
        <w:rPr>
          <w:lang w:eastAsia="en-AU"/>
        </w:rPr>
        <w:t xml:space="preserve">Notably, therapeutic goods that achieve their principal intended action in or on the human body by pharmacological, immunological, or metabolic means, are excluded from the definition of medical device.   However, medical devices may be assisted in their function by such means. </w:t>
      </w:r>
    </w:p>
    <w:p w14:paraId="7D54EF31" w14:textId="77777777" w:rsidR="00481EA4" w:rsidRPr="00014FCE" w:rsidRDefault="00481EA4" w:rsidP="00481EA4">
      <w:pPr>
        <w:rPr>
          <w:rFonts w:asciiTheme="minorHAnsi" w:hAnsiTheme="minorHAnsi"/>
          <w:lang w:eastAsia="en-AU"/>
        </w:rPr>
      </w:pPr>
      <w:r>
        <w:rPr>
          <w:rFonts w:asciiTheme="minorHAnsi" w:hAnsiTheme="minorHAnsi"/>
          <w:lang w:eastAsia="en-AU"/>
        </w:rPr>
        <w:t xml:space="preserve">Under subsections 41BD(2A) and (2B) of the Act, the Secretary may specify a particular </w:t>
      </w:r>
      <w:r w:rsidRPr="00257637">
        <w:rPr>
          <w:rFonts w:asciiTheme="minorHAnsi" w:hAnsiTheme="minorHAnsi"/>
          <w:color w:val="333333"/>
          <w:shd w:val="clear" w:color="auto" w:fill="FFFFFF"/>
        </w:rPr>
        <w:t>instrument, apparatus, appliance, software, implant, reagent, material or other article</w:t>
      </w:r>
      <w:r>
        <w:rPr>
          <w:rFonts w:asciiTheme="minorHAnsi" w:hAnsiTheme="minorHAnsi"/>
          <w:color w:val="333333"/>
          <w:shd w:val="clear" w:color="auto" w:fill="FFFFFF"/>
        </w:rPr>
        <w:t xml:space="preserve">, or </w:t>
      </w:r>
      <w:proofErr w:type="gramStart"/>
      <w:r>
        <w:rPr>
          <w:rFonts w:asciiTheme="minorHAnsi" w:hAnsiTheme="minorHAnsi"/>
          <w:color w:val="333333"/>
          <w:shd w:val="clear" w:color="auto" w:fill="FFFFFF"/>
        </w:rPr>
        <w:t>particular class</w:t>
      </w:r>
      <w:proofErr w:type="gramEnd"/>
      <w:r>
        <w:rPr>
          <w:rFonts w:asciiTheme="minorHAnsi" w:hAnsiTheme="minorHAnsi"/>
          <w:color w:val="333333"/>
          <w:shd w:val="clear" w:color="auto" w:fill="FFFFFF"/>
        </w:rPr>
        <w:t xml:space="preserve"> of such goods, as a medical device.</w:t>
      </w:r>
    </w:p>
    <w:p w14:paraId="3E692DA0" w14:textId="77777777" w:rsidR="00481EA4" w:rsidRDefault="00481EA4" w:rsidP="00481EA4">
      <w:pPr>
        <w:rPr>
          <w:rStyle w:val="Hyperlink"/>
          <w:lang w:eastAsia="en-AU"/>
        </w:rPr>
      </w:pPr>
      <w:r>
        <w:rPr>
          <w:rFonts w:asciiTheme="minorHAnsi" w:hAnsiTheme="minorHAnsi"/>
          <w:color w:val="333333"/>
          <w:shd w:val="clear" w:color="auto" w:fill="FFFFFF"/>
        </w:rPr>
        <w:t>Similarly, under s 41</w:t>
      </w:r>
      <w:proofErr w:type="gramStart"/>
      <w:r>
        <w:rPr>
          <w:rFonts w:asciiTheme="minorHAnsi" w:hAnsiTheme="minorHAnsi"/>
          <w:color w:val="333333"/>
          <w:shd w:val="clear" w:color="auto" w:fill="FFFFFF"/>
        </w:rPr>
        <w:t>BD(</w:t>
      </w:r>
      <w:proofErr w:type="gramEnd"/>
      <w:r>
        <w:rPr>
          <w:rFonts w:asciiTheme="minorHAnsi" w:hAnsiTheme="minorHAnsi"/>
          <w:color w:val="333333"/>
          <w:shd w:val="clear" w:color="auto" w:fill="FFFFFF"/>
        </w:rPr>
        <w:t xml:space="preserve">3) of the Act, the Secretary </w:t>
      </w:r>
      <w:r w:rsidRPr="000D765C">
        <w:rPr>
          <w:rFonts w:asciiTheme="minorHAnsi" w:hAnsiTheme="minorHAnsi"/>
          <w:color w:val="333333"/>
          <w:shd w:val="clear" w:color="auto" w:fill="FFFFFF"/>
        </w:rPr>
        <w:t xml:space="preserve">has the power to </w:t>
      </w:r>
      <w:r w:rsidRPr="00014FCE">
        <w:rPr>
          <w:rFonts w:asciiTheme="minorHAnsi" w:hAnsiTheme="minorHAnsi"/>
          <w:color w:val="333333"/>
          <w:shd w:val="clear" w:color="auto" w:fill="FFFFFF"/>
        </w:rPr>
        <w:t>declare that a particular instrument, apparatus, appliance, software, implant, reagent, material or other article</w:t>
      </w:r>
      <w:r>
        <w:rPr>
          <w:rFonts w:asciiTheme="minorHAnsi" w:hAnsiTheme="minorHAnsi"/>
          <w:color w:val="333333"/>
          <w:shd w:val="clear" w:color="auto" w:fill="FFFFFF"/>
        </w:rPr>
        <w:t>, or</w:t>
      </w:r>
      <w:r w:rsidRPr="000D765C">
        <w:rPr>
          <w:rFonts w:asciiTheme="minorHAnsi" w:hAnsiTheme="minorHAnsi"/>
          <w:color w:val="333333"/>
          <w:shd w:val="clear" w:color="auto" w:fill="FFFFFF"/>
        </w:rPr>
        <w:t xml:space="preserve"> a particular </w:t>
      </w:r>
      <w:r w:rsidRPr="00014FCE">
        <w:rPr>
          <w:rFonts w:asciiTheme="minorHAnsi" w:hAnsiTheme="minorHAnsi"/>
          <w:color w:val="333333"/>
          <w:shd w:val="clear" w:color="auto" w:fill="FFFFFF"/>
        </w:rPr>
        <w:t xml:space="preserve">class of </w:t>
      </w:r>
      <w:r>
        <w:rPr>
          <w:rFonts w:asciiTheme="minorHAnsi" w:hAnsiTheme="minorHAnsi"/>
          <w:color w:val="333333"/>
          <w:shd w:val="clear" w:color="auto" w:fill="FFFFFF"/>
        </w:rPr>
        <w:t>such goods</w:t>
      </w:r>
      <w:r w:rsidRPr="00014FCE">
        <w:rPr>
          <w:rFonts w:asciiTheme="minorHAnsi" w:hAnsiTheme="minorHAnsi"/>
          <w:color w:val="333333"/>
          <w:shd w:val="clear" w:color="auto" w:fill="FFFFFF"/>
        </w:rPr>
        <w:t>, a</w:t>
      </w:r>
      <w:r>
        <w:rPr>
          <w:rFonts w:asciiTheme="minorHAnsi" w:hAnsiTheme="minorHAnsi"/>
          <w:color w:val="333333"/>
          <w:shd w:val="clear" w:color="auto" w:fill="FFFFFF"/>
        </w:rPr>
        <w:t>s not being a medical device.  Currently, under this provision, the delegate of the Secretary</w:t>
      </w:r>
      <w:r w:rsidRPr="00014FCE">
        <w:rPr>
          <w:rFonts w:asciiTheme="minorHAnsi" w:hAnsiTheme="minorHAnsi"/>
          <w:lang w:eastAsia="en-AU"/>
        </w:rPr>
        <w:t xml:space="preserve"> </w:t>
      </w:r>
      <w:r>
        <w:rPr>
          <w:lang w:eastAsia="en-AU"/>
        </w:rPr>
        <w:t xml:space="preserve">has declared a number of therapeutic goods not to be medical devices under the </w:t>
      </w:r>
      <w:hyperlink r:id="rId20" w:history="1">
        <w:r w:rsidRPr="00786A9D">
          <w:rPr>
            <w:rStyle w:val="Hyperlink"/>
            <w:lang w:eastAsia="en-AU"/>
          </w:rPr>
          <w:t>Therapeutic Goods (Articles that are not Medical Devices) Order No. 1 of 2010</w:t>
        </w:r>
      </w:hyperlink>
      <w:r>
        <w:rPr>
          <w:rStyle w:val="Hyperlink"/>
          <w:lang w:eastAsia="en-AU"/>
        </w:rPr>
        <w:t>.</w:t>
      </w:r>
    </w:p>
    <w:p w14:paraId="640832A8" w14:textId="77777777" w:rsidR="00481EA4" w:rsidRPr="00014FCE" w:rsidRDefault="00481EA4" w:rsidP="00481EA4">
      <w:pPr>
        <w:rPr>
          <w:rFonts w:asciiTheme="minorHAnsi" w:hAnsiTheme="minorHAnsi"/>
          <w:lang w:eastAsia="en-AU"/>
        </w:rPr>
      </w:pPr>
      <w:r w:rsidRPr="00014FCE">
        <w:rPr>
          <w:rStyle w:val="Hyperlink"/>
          <w:lang w:eastAsia="en-AU"/>
        </w:rPr>
        <w:t xml:space="preserve">In appropriate cases, the Secretary may use these provisions to clarify the status of </w:t>
      </w:r>
      <w:proofErr w:type="gramStart"/>
      <w:r w:rsidRPr="00014FCE">
        <w:rPr>
          <w:rStyle w:val="Hyperlink"/>
          <w:lang w:eastAsia="en-AU"/>
        </w:rPr>
        <w:t>particular therapeutic</w:t>
      </w:r>
      <w:proofErr w:type="gramEnd"/>
      <w:r w:rsidRPr="00014FCE">
        <w:rPr>
          <w:rStyle w:val="Hyperlink"/>
          <w:lang w:eastAsia="en-AU"/>
        </w:rPr>
        <w:t xml:space="preserve"> goods or a class of therapeutic goods. </w:t>
      </w:r>
    </w:p>
    <w:p w14:paraId="298C4793" w14:textId="77777777" w:rsidR="00481EA4" w:rsidRPr="00AD08CB" w:rsidRDefault="00481EA4" w:rsidP="00481EA4">
      <w:pPr>
        <w:pStyle w:val="Heading3"/>
      </w:pPr>
      <w:bookmarkStart w:id="7" w:name="_Toc115442866"/>
      <w:r>
        <w:t>Biological</w:t>
      </w:r>
      <w:bookmarkEnd w:id="7"/>
    </w:p>
    <w:p w14:paraId="05A2A580" w14:textId="77777777" w:rsidR="00481EA4" w:rsidRPr="00274E67" w:rsidRDefault="00481EA4" w:rsidP="00481EA4">
      <w:pPr>
        <w:rPr>
          <w:lang w:eastAsia="en-AU"/>
        </w:rPr>
      </w:pPr>
      <w:r>
        <w:rPr>
          <w:lang w:eastAsia="en-AU"/>
        </w:rPr>
        <w:t>B</w:t>
      </w:r>
      <w:r w:rsidRPr="004368E0">
        <w:rPr>
          <w:lang w:eastAsia="en-AU"/>
        </w:rPr>
        <w:t>iological</w:t>
      </w:r>
      <w:r>
        <w:rPr>
          <w:lang w:eastAsia="en-AU"/>
        </w:rPr>
        <w:t>s</w:t>
      </w:r>
      <w:r w:rsidRPr="004368E0">
        <w:rPr>
          <w:lang w:eastAsia="en-AU"/>
        </w:rPr>
        <w:t xml:space="preserve"> </w:t>
      </w:r>
      <w:r>
        <w:rPr>
          <w:lang w:eastAsia="en-AU"/>
        </w:rPr>
        <w:t>are</w:t>
      </w:r>
      <w:r w:rsidRPr="004368E0">
        <w:rPr>
          <w:lang w:eastAsia="en-AU"/>
        </w:rPr>
        <w:t xml:space="preserve"> defined </w:t>
      </w:r>
      <w:r>
        <w:rPr>
          <w:lang w:eastAsia="en-AU"/>
        </w:rPr>
        <w:t xml:space="preserve">in Section 32A of the Act, and </w:t>
      </w:r>
      <w:r w:rsidRPr="004368E0">
        <w:rPr>
          <w:lang w:eastAsia="en-AU"/>
        </w:rPr>
        <w:t>a</w:t>
      </w:r>
      <w:r>
        <w:rPr>
          <w:lang w:eastAsia="en-AU"/>
        </w:rPr>
        <w:t xml:space="preserve">re therapeutic goods </w:t>
      </w:r>
      <w:r w:rsidRPr="00274E67">
        <w:rPr>
          <w:lang w:eastAsia="en-AU"/>
        </w:rPr>
        <w:t>compris</w:t>
      </w:r>
      <w:r>
        <w:rPr>
          <w:lang w:eastAsia="en-AU"/>
        </w:rPr>
        <w:t>ing</w:t>
      </w:r>
      <w:r w:rsidRPr="00274E67">
        <w:rPr>
          <w:lang w:eastAsia="en-AU"/>
        </w:rPr>
        <w:t>, contain</w:t>
      </w:r>
      <w:r>
        <w:rPr>
          <w:lang w:eastAsia="en-AU"/>
        </w:rPr>
        <w:t>ing,</w:t>
      </w:r>
      <w:r w:rsidRPr="00274E67">
        <w:rPr>
          <w:lang w:eastAsia="en-AU"/>
        </w:rPr>
        <w:t xml:space="preserve"> or </w:t>
      </w:r>
      <w:r>
        <w:rPr>
          <w:lang w:eastAsia="en-AU"/>
        </w:rPr>
        <w:t>are</w:t>
      </w:r>
      <w:r w:rsidRPr="00274E67">
        <w:rPr>
          <w:lang w:eastAsia="en-AU"/>
        </w:rPr>
        <w:t xml:space="preserve"> derived from human cells or human tissues and</w:t>
      </w:r>
      <w:r>
        <w:rPr>
          <w:lang w:eastAsia="en-AU"/>
        </w:rPr>
        <w:t xml:space="preserve"> certain other products comprising or containing live animal cells, tissues, or organs.</w:t>
      </w:r>
    </w:p>
    <w:p w14:paraId="4BB3E3D6" w14:textId="77777777" w:rsidR="00481EA4" w:rsidRPr="006E3178" w:rsidRDefault="00481EA4" w:rsidP="00481EA4">
      <w:pPr>
        <w:pStyle w:val="Heading3"/>
        <w:rPr>
          <w:lang w:eastAsia="en-AU"/>
        </w:rPr>
      </w:pPr>
      <w:bookmarkStart w:id="8" w:name="_Toc115442867"/>
      <w:r>
        <w:rPr>
          <w:lang w:eastAsia="en-AU"/>
        </w:rPr>
        <w:t>Differentiating terms</w:t>
      </w:r>
      <w:bookmarkEnd w:id="8"/>
    </w:p>
    <w:p w14:paraId="4F385565" w14:textId="77777777" w:rsidR="00481EA4" w:rsidRDefault="00481EA4" w:rsidP="00481EA4">
      <w:r>
        <w:t>In determining whether a product is expressly excluded for the definition of a medical device it is necessary to consider whether t</w:t>
      </w:r>
      <w:r w:rsidRPr="00DC3A53">
        <w:t xml:space="preserve">he principal intended action of a therapeutic good </w:t>
      </w:r>
      <w:r>
        <w:t xml:space="preserve">is by pharmacological, </w:t>
      </w:r>
      <w:proofErr w:type="gramStart"/>
      <w:r>
        <w:t>immunological</w:t>
      </w:r>
      <w:proofErr w:type="gramEnd"/>
      <w:r>
        <w:t xml:space="preserve"> or chemical means. </w:t>
      </w:r>
    </w:p>
    <w:p w14:paraId="3F30D690" w14:textId="77777777" w:rsidR="00481EA4" w:rsidRPr="00DC3A53" w:rsidRDefault="00481EA4" w:rsidP="00481EA4">
      <w:r>
        <w:t xml:space="preserve">The principal intended action </w:t>
      </w:r>
      <w:r w:rsidRPr="00DC3A53">
        <w:t xml:space="preserve">refers to the main mechanism of how it exerts its therapeutic effect and allows discrimination between types of therapeutic goods. It must be scientifically plausible considering the clinical indications the product is intended for use in and how physiological and/or pathological processes are affected; the principal intended action must be a desirable therapeutic effect that is verifiable. </w:t>
      </w:r>
    </w:p>
    <w:p w14:paraId="73E84D5F" w14:textId="77777777" w:rsidR="00A9494E" w:rsidRDefault="00A9494E" w:rsidP="00481EA4">
      <w:pPr>
        <w:pStyle w:val="ListBullet"/>
        <w:numPr>
          <w:ilvl w:val="0"/>
          <w:numId w:val="0"/>
        </w:numPr>
        <w:rPr>
          <w:b/>
          <w:bCs/>
          <w:lang w:eastAsia="en-AU"/>
        </w:rPr>
      </w:pPr>
    </w:p>
    <w:p w14:paraId="7204D850" w14:textId="77777777" w:rsidR="00A9494E" w:rsidRDefault="00A9494E" w:rsidP="00481EA4">
      <w:pPr>
        <w:pStyle w:val="ListBullet"/>
        <w:numPr>
          <w:ilvl w:val="0"/>
          <w:numId w:val="0"/>
        </w:numPr>
        <w:rPr>
          <w:b/>
          <w:bCs/>
          <w:lang w:eastAsia="en-AU"/>
        </w:rPr>
      </w:pPr>
    </w:p>
    <w:p w14:paraId="5A255C38" w14:textId="77777777" w:rsidR="00130334" w:rsidRDefault="00130334">
      <w:pPr>
        <w:spacing w:before="0" w:after="0" w:line="240" w:lineRule="auto"/>
        <w:rPr>
          <w:b/>
          <w:bCs/>
          <w:lang w:eastAsia="en-AU"/>
        </w:rPr>
      </w:pPr>
      <w:r>
        <w:rPr>
          <w:b/>
          <w:bCs/>
          <w:lang w:eastAsia="en-AU"/>
        </w:rPr>
        <w:br w:type="page"/>
      </w:r>
    </w:p>
    <w:p w14:paraId="4FA4281B" w14:textId="14FD72AF" w:rsidR="00481EA4" w:rsidRPr="00D12B10" w:rsidRDefault="00481EA4" w:rsidP="00481EA4">
      <w:pPr>
        <w:pStyle w:val="ListBullet"/>
        <w:numPr>
          <w:ilvl w:val="0"/>
          <w:numId w:val="0"/>
        </w:numPr>
        <w:rPr>
          <w:lang w:eastAsia="en-AU"/>
        </w:rPr>
      </w:pPr>
      <w:r w:rsidRPr="00D12B10">
        <w:rPr>
          <w:b/>
          <w:bCs/>
          <w:lang w:eastAsia="en-AU"/>
        </w:rPr>
        <w:lastRenderedPageBreak/>
        <w:t>Key therapeutic actions that discriminate between types of therapeutic goods are</w:t>
      </w:r>
      <w:r w:rsidRPr="00D12B10">
        <w:rPr>
          <w:lang w:eastAsia="en-AU"/>
        </w:rPr>
        <w:t>:</w:t>
      </w:r>
    </w:p>
    <w:p w14:paraId="67A36CD2" w14:textId="77777777" w:rsidR="00481EA4" w:rsidRPr="007E5D36" w:rsidRDefault="00481EA4" w:rsidP="00130334">
      <w:pPr>
        <w:autoSpaceDE w:val="0"/>
        <w:autoSpaceDN w:val="0"/>
        <w:adjustRightInd w:val="0"/>
        <w:spacing w:line="240" w:lineRule="auto"/>
        <w:rPr>
          <w:rFonts w:asciiTheme="minorHAnsi" w:hAnsiTheme="minorHAnsi"/>
          <w:color w:val="000000"/>
          <w:szCs w:val="22"/>
          <w:lang w:eastAsia="en-AU"/>
        </w:rPr>
      </w:pPr>
      <w:r w:rsidRPr="007E5D36">
        <w:rPr>
          <w:rFonts w:asciiTheme="minorHAnsi" w:hAnsiTheme="minorHAnsi"/>
          <w:color w:val="000000"/>
          <w:szCs w:val="22"/>
          <w:lang w:eastAsia="en-AU"/>
        </w:rPr>
        <w:t>‘</w:t>
      </w:r>
      <w:r w:rsidRPr="007E5D36">
        <w:rPr>
          <w:rFonts w:asciiTheme="minorHAnsi" w:hAnsiTheme="minorHAnsi"/>
          <w:b/>
          <w:bCs/>
          <w:color w:val="000000"/>
          <w:szCs w:val="22"/>
          <w:lang w:eastAsia="en-AU"/>
        </w:rPr>
        <w:t>Pharmacological means</w:t>
      </w:r>
      <w:r w:rsidRPr="007E5D36">
        <w:rPr>
          <w:rStyle w:val="FootnoteReference"/>
          <w:rFonts w:asciiTheme="minorHAnsi" w:hAnsiTheme="minorHAnsi"/>
          <w:b/>
          <w:bCs/>
          <w:color w:val="000000"/>
          <w:szCs w:val="22"/>
          <w:lang w:eastAsia="en-AU"/>
        </w:rPr>
        <w:footnoteReference w:id="1"/>
      </w:r>
      <w:r w:rsidRPr="007E5D36">
        <w:rPr>
          <w:rFonts w:asciiTheme="minorHAnsi" w:hAnsiTheme="minorHAnsi"/>
          <w:color w:val="000000"/>
          <w:szCs w:val="22"/>
          <w:lang w:eastAsia="en-AU"/>
        </w:rPr>
        <w:t xml:space="preserve">’ is understood as an interaction typically at a molecular level between a substance or its metabolites and a constituent of the human body which results in initiation, enhancement, reduction or blockade of physiological functions or pathological processes. Examples of constituents of the human body may include, among others: cells and their constituents (cell membranes, intracellular structures, RNA, DNA, proteins, e.g., membrane proteins, enzymes), components of extracellular matrix, foreign objects and organisms that are within the body, components of blood and components of body fluids. </w:t>
      </w:r>
    </w:p>
    <w:p w14:paraId="0392AC67" w14:textId="560B8447" w:rsidR="00481EA4" w:rsidRPr="007E5D36" w:rsidRDefault="00481EA4" w:rsidP="00481EA4">
      <w:pPr>
        <w:autoSpaceDE w:val="0"/>
        <w:autoSpaceDN w:val="0"/>
        <w:adjustRightInd w:val="0"/>
        <w:spacing w:before="0" w:after="0" w:line="240" w:lineRule="auto"/>
        <w:rPr>
          <w:rFonts w:asciiTheme="minorHAnsi" w:hAnsiTheme="minorHAnsi"/>
          <w:color w:val="000000"/>
          <w:szCs w:val="22"/>
          <w:lang w:eastAsia="en-AU"/>
        </w:rPr>
      </w:pPr>
      <w:r w:rsidRPr="007E5D36">
        <w:rPr>
          <w:rFonts w:asciiTheme="minorHAnsi" w:hAnsiTheme="minorHAnsi"/>
          <w:color w:val="000000"/>
          <w:szCs w:val="22"/>
          <w:lang w:eastAsia="en-AU"/>
        </w:rPr>
        <w:t xml:space="preserve">Examples of action via pharmacological means: </w:t>
      </w:r>
    </w:p>
    <w:p w14:paraId="2CECA56A" w14:textId="77777777" w:rsidR="00481EA4" w:rsidRPr="007E5D36" w:rsidRDefault="00481EA4" w:rsidP="00481EA4">
      <w:pPr>
        <w:pStyle w:val="ListParagraph"/>
        <w:numPr>
          <w:ilvl w:val="0"/>
          <w:numId w:val="10"/>
        </w:numPr>
        <w:autoSpaceDE w:val="0"/>
        <w:autoSpaceDN w:val="0"/>
        <w:adjustRightInd w:val="0"/>
        <w:spacing w:after="68"/>
        <w:rPr>
          <w:rFonts w:asciiTheme="minorHAnsi" w:hAnsiTheme="minorHAnsi"/>
          <w:color w:val="000000"/>
          <w:sz w:val="22"/>
          <w:lang w:eastAsia="en-AU"/>
        </w:rPr>
      </w:pPr>
      <w:r w:rsidRPr="007E5D36">
        <w:rPr>
          <w:rFonts w:asciiTheme="minorHAnsi" w:hAnsiTheme="minorHAnsi"/>
          <w:color w:val="000000"/>
          <w:sz w:val="22"/>
          <w:lang w:eastAsia="en-AU"/>
        </w:rPr>
        <w:t xml:space="preserve">interaction between a ligand (e.g., agonist, antagonist) and a receptor </w:t>
      </w:r>
    </w:p>
    <w:p w14:paraId="0D929D9E" w14:textId="77777777" w:rsidR="00481EA4" w:rsidRPr="007E5D36" w:rsidRDefault="00481EA4" w:rsidP="00481EA4">
      <w:pPr>
        <w:pStyle w:val="ListParagraph"/>
        <w:numPr>
          <w:ilvl w:val="0"/>
          <w:numId w:val="10"/>
        </w:numPr>
        <w:autoSpaceDE w:val="0"/>
        <w:autoSpaceDN w:val="0"/>
        <w:adjustRightInd w:val="0"/>
        <w:spacing w:after="68"/>
        <w:rPr>
          <w:rFonts w:asciiTheme="minorHAnsi" w:hAnsiTheme="minorHAnsi"/>
          <w:color w:val="000000"/>
          <w:sz w:val="22"/>
          <w:lang w:eastAsia="en-AU"/>
        </w:rPr>
      </w:pPr>
      <w:r w:rsidRPr="007E5D36">
        <w:rPr>
          <w:rFonts w:asciiTheme="minorHAnsi" w:hAnsiTheme="minorHAnsi"/>
          <w:color w:val="000000"/>
          <w:sz w:val="22"/>
          <w:lang w:eastAsia="en-AU"/>
        </w:rPr>
        <w:t xml:space="preserve">interaction between a substance and membrane lipids </w:t>
      </w:r>
    </w:p>
    <w:p w14:paraId="4CB55C29" w14:textId="77777777" w:rsidR="00481EA4" w:rsidRPr="007E5D36" w:rsidRDefault="00481EA4" w:rsidP="00481EA4">
      <w:pPr>
        <w:pStyle w:val="ListParagraph"/>
        <w:numPr>
          <w:ilvl w:val="0"/>
          <w:numId w:val="10"/>
        </w:numPr>
        <w:autoSpaceDE w:val="0"/>
        <w:autoSpaceDN w:val="0"/>
        <w:adjustRightInd w:val="0"/>
        <w:rPr>
          <w:rFonts w:asciiTheme="minorHAnsi" w:hAnsiTheme="minorHAnsi"/>
          <w:color w:val="000000"/>
          <w:sz w:val="22"/>
          <w:lang w:eastAsia="en-AU"/>
        </w:rPr>
      </w:pPr>
      <w:r w:rsidRPr="007E5D36">
        <w:rPr>
          <w:rFonts w:asciiTheme="minorHAnsi" w:hAnsiTheme="minorHAnsi"/>
          <w:color w:val="000000"/>
          <w:sz w:val="22"/>
          <w:lang w:eastAsia="en-AU"/>
        </w:rPr>
        <w:t>interaction between a substance and components of the cytoskeleton</w:t>
      </w:r>
    </w:p>
    <w:p w14:paraId="649D7FB6" w14:textId="77777777" w:rsidR="00481EA4" w:rsidRPr="007E5D36" w:rsidRDefault="00481EA4" w:rsidP="00481EA4">
      <w:pPr>
        <w:pStyle w:val="ListParagraph"/>
        <w:numPr>
          <w:ilvl w:val="0"/>
          <w:numId w:val="10"/>
        </w:numPr>
        <w:autoSpaceDE w:val="0"/>
        <w:autoSpaceDN w:val="0"/>
        <w:adjustRightInd w:val="0"/>
        <w:rPr>
          <w:rFonts w:asciiTheme="minorHAnsi" w:hAnsiTheme="minorHAnsi"/>
          <w:color w:val="000000"/>
          <w:sz w:val="22"/>
          <w:lang w:eastAsia="en-AU"/>
        </w:rPr>
      </w:pPr>
      <w:r w:rsidRPr="007E5D36">
        <w:rPr>
          <w:rFonts w:asciiTheme="minorHAnsi" w:hAnsiTheme="minorHAnsi"/>
          <w:color w:val="000000"/>
          <w:sz w:val="22"/>
          <w:lang w:eastAsia="en-AU"/>
        </w:rPr>
        <w:t xml:space="preserve">interaction between a substance and a pathogenic organism </w:t>
      </w:r>
    </w:p>
    <w:p w14:paraId="7881F7DE" w14:textId="7B21A0DD" w:rsidR="00481EA4" w:rsidRPr="007E5D36" w:rsidRDefault="00481EA4" w:rsidP="00130334">
      <w:pPr>
        <w:autoSpaceDE w:val="0"/>
        <w:autoSpaceDN w:val="0"/>
        <w:adjustRightInd w:val="0"/>
        <w:spacing w:before="240" w:after="120" w:line="240" w:lineRule="auto"/>
        <w:rPr>
          <w:rFonts w:asciiTheme="minorHAnsi" w:hAnsiTheme="minorHAnsi"/>
          <w:color w:val="000000"/>
          <w:szCs w:val="22"/>
          <w:lang w:eastAsia="en-AU"/>
        </w:rPr>
      </w:pPr>
      <w:r w:rsidRPr="007E5D36">
        <w:rPr>
          <w:rFonts w:asciiTheme="minorHAnsi" w:hAnsiTheme="minorHAnsi"/>
          <w:color w:val="000000"/>
          <w:szCs w:val="22"/>
          <w:lang w:eastAsia="en-AU"/>
        </w:rPr>
        <w:t>‘</w:t>
      </w:r>
      <w:r w:rsidRPr="007E5D36">
        <w:rPr>
          <w:rFonts w:asciiTheme="minorHAnsi" w:hAnsiTheme="minorHAnsi"/>
          <w:b/>
          <w:bCs/>
          <w:color w:val="000000"/>
          <w:szCs w:val="22"/>
          <w:lang w:eastAsia="en-AU"/>
        </w:rPr>
        <w:t>Immunological means</w:t>
      </w:r>
      <w:r w:rsidRPr="007E5D36">
        <w:rPr>
          <w:rStyle w:val="FootnoteReference"/>
          <w:rFonts w:asciiTheme="minorHAnsi" w:hAnsiTheme="minorHAnsi"/>
          <w:b/>
          <w:bCs/>
          <w:color w:val="000000"/>
          <w:szCs w:val="22"/>
          <w:lang w:eastAsia="en-AU"/>
        </w:rPr>
        <w:footnoteReference w:id="2"/>
      </w:r>
      <w:r w:rsidRPr="007E5D36">
        <w:rPr>
          <w:rFonts w:asciiTheme="minorHAnsi" w:hAnsiTheme="minorHAnsi"/>
          <w:color w:val="000000"/>
          <w:szCs w:val="22"/>
          <w:lang w:eastAsia="en-AU"/>
        </w:rPr>
        <w:t xml:space="preserve">’ is understood as an action initiated by a substance or its metabolites on the human body and mediated or exerted (i.e., stimulation, modulation, blocking, replacement) by cells or molecules involved in the functioning of the immune system (e.g., lymphocytes, toll-like receptors, complement factors, cytokines, antibodies). </w:t>
      </w:r>
    </w:p>
    <w:p w14:paraId="2D0EEA0C" w14:textId="77777777" w:rsidR="00481EA4" w:rsidRPr="007E5D36" w:rsidRDefault="00481EA4" w:rsidP="00481EA4">
      <w:pPr>
        <w:autoSpaceDE w:val="0"/>
        <w:autoSpaceDN w:val="0"/>
        <w:adjustRightInd w:val="0"/>
        <w:spacing w:before="0" w:after="0" w:line="240" w:lineRule="auto"/>
        <w:rPr>
          <w:rFonts w:asciiTheme="minorHAnsi" w:hAnsiTheme="minorHAnsi"/>
          <w:color w:val="000000"/>
          <w:szCs w:val="22"/>
          <w:lang w:eastAsia="en-AU"/>
        </w:rPr>
      </w:pPr>
      <w:r w:rsidRPr="007E5D36">
        <w:rPr>
          <w:rFonts w:asciiTheme="minorHAnsi" w:hAnsiTheme="minorHAnsi"/>
          <w:color w:val="000000"/>
          <w:szCs w:val="22"/>
          <w:lang w:eastAsia="en-AU"/>
        </w:rPr>
        <w:t xml:space="preserve">Examples of action via ‘immunological means’: </w:t>
      </w:r>
    </w:p>
    <w:p w14:paraId="3035A581" w14:textId="77777777" w:rsidR="00481EA4" w:rsidRPr="007E5D36" w:rsidRDefault="00481EA4" w:rsidP="00481EA4">
      <w:pPr>
        <w:pStyle w:val="ListParagraph"/>
        <w:numPr>
          <w:ilvl w:val="0"/>
          <w:numId w:val="11"/>
        </w:numPr>
        <w:autoSpaceDE w:val="0"/>
        <w:autoSpaceDN w:val="0"/>
        <w:adjustRightInd w:val="0"/>
        <w:spacing w:after="66"/>
        <w:rPr>
          <w:rFonts w:asciiTheme="minorHAnsi" w:hAnsiTheme="minorHAnsi"/>
          <w:color w:val="000000"/>
          <w:sz w:val="22"/>
          <w:lang w:eastAsia="en-AU"/>
        </w:rPr>
      </w:pPr>
      <w:r w:rsidRPr="007E5D36">
        <w:rPr>
          <w:rFonts w:asciiTheme="minorHAnsi" w:hAnsiTheme="minorHAnsi"/>
          <w:color w:val="000000"/>
          <w:sz w:val="22"/>
          <w:lang w:eastAsia="en-AU"/>
        </w:rPr>
        <w:t>modulation of an immune response (e.g., suppressing, blocking, activating, enhancing</w:t>
      </w:r>
      <w:proofErr w:type="gramStart"/>
      <w:r w:rsidRPr="007E5D36">
        <w:rPr>
          <w:rFonts w:asciiTheme="minorHAnsi" w:hAnsiTheme="minorHAnsi"/>
          <w:color w:val="000000"/>
          <w:sz w:val="22"/>
          <w:lang w:eastAsia="en-AU"/>
        </w:rPr>
        <w:t>);</w:t>
      </w:r>
      <w:proofErr w:type="gramEnd"/>
      <w:r w:rsidRPr="007E5D36">
        <w:rPr>
          <w:rFonts w:asciiTheme="minorHAnsi" w:hAnsiTheme="minorHAnsi"/>
          <w:color w:val="000000"/>
          <w:sz w:val="22"/>
          <w:lang w:eastAsia="en-AU"/>
        </w:rPr>
        <w:t xml:space="preserve"> </w:t>
      </w:r>
    </w:p>
    <w:p w14:paraId="151B02DC" w14:textId="77777777" w:rsidR="00481EA4" w:rsidRPr="007E5D36" w:rsidRDefault="00481EA4" w:rsidP="00481EA4">
      <w:pPr>
        <w:pStyle w:val="ListParagraph"/>
        <w:numPr>
          <w:ilvl w:val="0"/>
          <w:numId w:val="11"/>
        </w:numPr>
        <w:autoSpaceDE w:val="0"/>
        <w:autoSpaceDN w:val="0"/>
        <w:adjustRightInd w:val="0"/>
        <w:spacing w:after="66"/>
        <w:rPr>
          <w:rFonts w:asciiTheme="minorHAnsi" w:hAnsiTheme="minorHAnsi"/>
          <w:color w:val="000000"/>
          <w:sz w:val="22"/>
          <w:lang w:eastAsia="en-AU"/>
        </w:rPr>
      </w:pPr>
      <w:r w:rsidRPr="007E5D36">
        <w:rPr>
          <w:rFonts w:asciiTheme="minorHAnsi" w:hAnsiTheme="minorHAnsi"/>
          <w:color w:val="000000"/>
          <w:sz w:val="22"/>
          <w:lang w:eastAsia="en-AU"/>
        </w:rPr>
        <w:t xml:space="preserve">replacement, </w:t>
      </w:r>
      <w:proofErr w:type="gramStart"/>
      <w:r w:rsidRPr="007E5D36">
        <w:rPr>
          <w:rFonts w:asciiTheme="minorHAnsi" w:hAnsiTheme="minorHAnsi"/>
          <w:color w:val="000000"/>
          <w:sz w:val="22"/>
          <w:lang w:eastAsia="en-AU"/>
        </w:rPr>
        <w:t>reconstitution</w:t>
      </w:r>
      <w:proofErr w:type="gramEnd"/>
      <w:r w:rsidRPr="007E5D36">
        <w:rPr>
          <w:rFonts w:asciiTheme="minorHAnsi" w:hAnsiTheme="minorHAnsi"/>
          <w:color w:val="000000"/>
          <w:sz w:val="22"/>
          <w:lang w:eastAsia="en-AU"/>
        </w:rPr>
        <w:t xml:space="preserve"> or introduction of natural or modified immune cells or molecules. </w:t>
      </w:r>
    </w:p>
    <w:p w14:paraId="48495FDA" w14:textId="77777777" w:rsidR="00481EA4" w:rsidRPr="007E5D36" w:rsidRDefault="00481EA4" w:rsidP="00481EA4">
      <w:pPr>
        <w:pStyle w:val="ListParagraph"/>
        <w:numPr>
          <w:ilvl w:val="0"/>
          <w:numId w:val="11"/>
        </w:numPr>
        <w:autoSpaceDE w:val="0"/>
        <w:autoSpaceDN w:val="0"/>
        <w:adjustRightInd w:val="0"/>
        <w:spacing w:after="66"/>
        <w:rPr>
          <w:rFonts w:asciiTheme="minorHAnsi" w:hAnsiTheme="minorHAnsi"/>
          <w:color w:val="000000"/>
          <w:sz w:val="22"/>
          <w:lang w:eastAsia="en-AU"/>
        </w:rPr>
      </w:pPr>
      <w:r w:rsidRPr="007E5D36">
        <w:rPr>
          <w:rFonts w:asciiTheme="minorHAnsi" w:hAnsiTheme="minorHAnsi"/>
          <w:color w:val="000000"/>
          <w:sz w:val="22"/>
          <w:lang w:eastAsia="en-AU"/>
        </w:rPr>
        <w:t xml:space="preserve">triggering an immune response against the targeted tissues, </w:t>
      </w:r>
      <w:proofErr w:type="gramStart"/>
      <w:r w:rsidRPr="007E5D36">
        <w:rPr>
          <w:rFonts w:asciiTheme="minorHAnsi" w:hAnsiTheme="minorHAnsi"/>
          <w:color w:val="000000"/>
          <w:sz w:val="22"/>
          <w:lang w:eastAsia="en-AU"/>
        </w:rPr>
        <w:t>cells</w:t>
      </w:r>
      <w:proofErr w:type="gramEnd"/>
      <w:r w:rsidRPr="007E5D36">
        <w:rPr>
          <w:rFonts w:asciiTheme="minorHAnsi" w:hAnsiTheme="minorHAnsi"/>
          <w:color w:val="000000"/>
          <w:sz w:val="22"/>
          <w:lang w:eastAsia="en-AU"/>
        </w:rPr>
        <w:t xml:space="preserve"> or antigens by immune-specific recognition. </w:t>
      </w:r>
    </w:p>
    <w:p w14:paraId="41EF154C" w14:textId="77777777" w:rsidR="00481EA4" w:rsidRPr="007E5D36" w:rsidRDefault="00481EA4" w:rsidP="00481EA4">
      <w:pPr>
        <w:pStyle w:val="ListParagraph"/>
        <w:numPr>
          <w:ilvl w:val="0"/>
          <w:numId w:val="11"/>
        </w:numPr>
        <w:autoSpaceDE w:val="0"/>
        <w:autoSpaceDN w:val="0"/>
        <w:adjustRightInd w:val="0"/>
        <w:rPr>
          <w:rFonts w:asciiTheme="minorHAnsi" w:hAnsiTheme="minorHAnsi"/>
          <w:color w:val="000000"/>
          <w:sz w:val="22"/>
          <w:lang w:eastAsia="en-AU"/>
        </w:rPr>
      </w:pPr>
      <w:r w:rsidRPr="007E5D36">
        <w:rPr>
          <w:rFonts w:asciiTheme="minorHAnsi" w:hAnsiTheme="minorHAnsi"/>
          <w:color w:val="000000"/>
          <w:sz w:val="22"/>
          <w:lang w:eastAsia="en-AU"/>
        </w:rPr>
        <w:t xml:space="preserve">targeting action of other linked or coupled substances. </w:t>
      </w:r>
    </w:p>
    <w:p w14:paraId="7DD6B796" w14:textId="77777777" w:rsidR="00481EA4" w:rsidRPr="007E5D36" w:rsidRDefault="00481EA4" w:rsidP="00130334">
      <w:pPr>
        <w:autoSpaceDE w:val="0"/>
        <w:autoSpaceDN w:val="0"/>
        <w:adjustRightInd w:val="0"/>
        <w:spacing w:line="240" w:lineRule="auto"/>
        <w:rPr>
          <w:rFonts w:asciiTheme="minorHAnsi" w:hAnsiTheme="minorHAnsi"/>
          <w:color w:val="000000"/>
          <w:szCs w:val="22"/>
          <w:lang w:eastAsia="en-AU"/>
        </w:rPr>
      </w:pPr>
      <w:r w:rsidRPr="007E5D36">
        <w:rPr>
          <w:rFonts w:asciiTheme="minorHAnsi" w:hAnsiTheme="minorHAnsi"/>
          <w:color w:val="000000"/>
          <w:szCs w:val="22"/>
          <w:lang w:eastAsia="en-AU"/>
        </w:rPr>
        <w:t xml:space="preserve">Examples of substances acting via immunological means: vaccine, tetanus anti-serum, monoclonal antibodies, CAR-T cells, anti-venom, C1 esterase inhibitor. </w:t>
      </w:r>
    </w:p>
    <w:p w14:paraId="314DDFAB" w14:textId="77777777" w:rsidR="00481EA4" w:rsidRPr="007E5D36" w:rsidRDefault="00481EA4" w:rsidP="00130334">
      <w:pPr>
        <w:pStyle w:val="ListBullet"/>
        <w:numPr>
          <w:ilvl w:val="0"/>
          <w:numId w:val="0"/>
        </w:numPr>
        <w:spacing w:line="240" w:lineRule="auto"/>
        <w:rPr>
          <w:rFonts w:asciiTheme="minorHAnsi" w:hAnsiTheme="minorHAnsi"/>
          <w:color w:val="000000"/>
          <w:szCs w:val="22"/>
          <w:lang w:eastAsia="en-AU"/>
        </w:rPr>
      </w:pPr>
      <w:r w:rsidRPr="007E5D36">
        <w:rPr>
          <w:rFonts w:asciiTheme="minorHAnsi" w:hAnsiTheme="minorHAnsi"/>
          <w:color w:val="000000"/>
          <w:szCs w:val="22"/>
          <w:lang w:eastAsia="en-AU"/>
        </w:rPr>
        <w:t xml:space="preserve">When immunological recognition is used to target or direct the effects of linked or coupled substances, this recognition cannot be </w:t>
      </w:r>
      <w:r w:rsidRPr="007E5D36">
        <w:rPr>
          <w:rFonts w:asciiTheme="minorHAnsi" w:hAnsiTheme="minorHAnsi"/>
          <w:szCs w:val="22"/>
          <w:lang w:eastAsia="en-AU"/>
        </w:rPr>
        <w:t>considered an ancillary</w:t>
      </w:r>
      <w:r w:rsidRPr="007E5D36">
        <w:rPr>
          <w:rStyle w:val="FootnoteReference"/>
          <w:rFonts w:asciiTheme="minorHAnsi" w:hAnsiTheme="minorHAnsi"/>
          <w:szCs w:val="22"/>
          <w:lang w:eastAsia="en-AU"/>
        </w:rPr>
        <w:footnoteReference w:id="3"/>
      </w:r>
      <w:r w:rsidRPr="007E5D36">
        <w:rPr>
          <w:rFonts w:asciiTheme="minorHAnsi" w:hAnsiTheme="minorHAnsi"/>
          <w:szCs w:val="22"/>
          <w:lang w:eastAsia="en-AU"/>
        </w:rPr>
        <w:t xml:space="preserve"> action. Such </w:t>
      </w:r>
      <w:r w:rsidRPr="007E5D36">
        <w:rPr>
          <w:rFonts w:asciiTheme="minorHAnsi" w:hAnsiTheme="minorHAnsi"/>
          <w:color w:val="000000"/>
          <w:szCs w:val="22"/>
          <w:lang w:eastAsia="en-AU"/>
        </w:rPr>
        <w:t>products would therefore be deemed to act via immunological means and cannot be considered a medical device.</w:t>
      </w:r>
    </w:p>
    <w:p w14:paraId="3F6223A6" w14:textId="3251E8FD" w:rsidR="00481EA4" w:rsidRDefault="00481EA4" w:rsidP="00130334">
      <w:pPr>
        <w:autoSpaceDE w:val="0"/>
        <w:autoSpaceDN w:val="0"/>
        <w:adjustRightInd w:val="0"/>
        <w:spacing w:before="240" w:after="120" w:line="240" w:lineRule="auto"/>
        <w:rPr>
          <w:rFonts w:asciiTheme="minorHAnsi" w:hAnsiTheme="minorHAnsi"/>
          <w:color w:val="000000"/>
          <w:szCs w:val="22"/>
          <w:lang w:eastAsia="en-AU"/>
        </w:rPr>
      </w:pPr>
      <w:r w:rsidRPr="007E5D36">
        <w:rPr>
          <w:rFonts w:asciiTheme="minorHAnsi" w:hAnsiTheme="minorHAnsi"/>
          <w:color w:val="000000"/>
          <w:szCs w:val="22"/>
          <w:lang w:eastAsia="en-AU"/>
        </w:rPr>
        <w:t>‘</w:t>
      </w:r>
      <w:r w:rsidRPr="007E5D36">
        <w:rPr>
          <w:rFonts w:asciiTheme="minorHAnsi" w:hAnsiTheme="minorHAnsi"/>
          <w:b/>
          <w:bCs/>
          <w:color w:val="000000"/>
          <w:szCs w:val="22"/>
          <w:lang w:eastAsia="en-AU"/>
        </w:rPr>
        <w:t>Metabolic means</w:t>
      </w:r>
      <w:r w:rsidRPr="007E5D36">
        <w:rPr>
          <w:rStyle w:val="FootnoteReference"/>
          <w:rFonts w:asciiTheme="minorHAnsi" w:hAnsiTheme="minorHAnsi"/>
          <w:b/>
          <w:bCs/>
          <w:color w:val="000000"/>
          <w:szCs w:val="22"/>
          <w:lang w:eastAsia="en-AU"/>
        </w:rPr>
        <w:footnoteReference w:id="4"/>
      </w:r>
      <w:r w:rsidRPr="007E5D36">
        <w:rPr>
          <w:rFonts w:asciiTheme="minorHAnsi" w:hAnsiTheme="minorHAnsi"/>
          <w:color w:val="000000"/>
          <w:szCs w:val="22"/>
          <w:lang w:eastAsia="en-AU"/>
        </w:rPr>
        <w:t xml:space="preserve">’ is understood as an action of a substance or its metabolites which involves an alteration, including stopping, </w:t>
      </w:r>
      <w:proofErr w:type="gramStart"/>
      <w:r w:rsidRPr="007E5D36">
        <w:rPr>
          <w:rFonts w:asciiTheme="minorHAnsi" w:hAnsiTheme="minorHAnsi"/>
          <w:color w:val="000000"/>
          <w:szCs w:val="22"/>
          <w:lang w:eastAsia="en-AU"/>
        </w:rPr>
        <w:t>starting</w:t>
      </w:r>
      <w:proofErr w:type="gramEnd"/>
      <w:r w:rsidRPr="007E5D36">
        <w:rPr>
          <w:rFonts w:asciiTheme="minorHAnsi" w:hAnsiTheme="minorHAnsi"/>
          <w:color w:val="000000"/>
          <w:szCs w:val="22"/>
          <w:lang w:eastAsia="en-AU"/>
        </w:rPr>
        <w:t xml:space="preserve"> or changing the rate, extent or nature of a biochemical process, whether physiological or pathological, participating in, and available for, function of the human body. </w:t>
      </w:r>
    </w:p>
    <w:p w14:paraId="32FE665B" w14:textId="77777777" w:rsidR="00481EA4" w:rsidRPr="007E5D36" w:rsidRDefault="00481EA4" w:rsidP="00130334">
      <w:pPr>
        <w:autoSpaceDE w:val="0"/>
        <w:autoSpaceDN w:val="0"/>
        <w:adjustRightInd w:val="0"/>
        <w:spacing w:before="0" w:after="120" w:line="240" w:lineRule="auto"/>
        <w:rPr>
          <w:rFonts w:asciiTheme="minorHAnsi" w:hAnsiTheme="minorHAnsi"/>
          <w:color w:val="000000"/>
          <w:szCs w:val="22"/>
          <w:lang w:eastAsia="en-AU"/>
        </w:rPr>
      </w:pPr>
      <w:r w:rsidRPr="007E5D36">
        <w:rPr>
          <w:rFonts w:asciiTheme="minorHAnsi" w:hAnsiTheme="minorHAnsi"/>
          <w:color w:val="000000"/>
          <w:szCs w:val="22"/>
          <w:lang w:eastAsia="en-AU"/>
        </w:rPr>
        <w:t xml:space="preserve">The term ‘biochemical processes’ is understood as reactions in the human body including anabolic and catabolic reactions and transport of substances between compartments. An interaction with a known receptor is not a prerequisite for the metabolic means of action. </w:t>
      </w:r>
    </w:p>
    <w:p w14:paraId="64A97CBC" w14:textId="77777777" w:rsidR="00481EA4" w:rsidRPr="007E5D36" w:rsidRDefault="00481EA4" w:rsidP="00130334">
      <w:pPr>
        <w:autoSpaceDE w:val="0"/>
        <w:autoSpaceDN w:val="0"/>
        <w:adjustRightInd w:val="0"/>
        <w:spacing w:before="0" w:after="120" w:line="240" w:lineRule="auto"/>
        <w:rPr>
          <w:rFonts w:asciiTheme="minorHAnsi" w:hAnsiTheme="minorHAnsi"/>
          <w:color w:val="000000"/>
          <w:szCs w:val="22"/>
          <w:lang w:eastAsia="en-AU"/>
        </w:rPr>
      </w:pPr>
      <w:r w:rsidRPr="007E5D36">
        <w:rPr>
          <w:rFonts w:asciiTheme="minorHAnsi" w:hAnsiTheme="minorHAnsi"/>
          <w:color w:val="000000"/>
          <w:szCs w:val="22"/>
          <w:lang w:eastAsia="en-AU"/>
        </w:rPr>
        <w:t xml:space="preserve">Examples of action via ‘metabolic means’: </w:t>
      </w:r>
    </w:p>
    <w:p w14:paraId="552323AB" w14:textId="77777777" w:rsidR="00481EA4" w:rsidRPr="007E5D36" w:rsidRDefault="00481EA4" w:rsidP="00481EA4">
      <w:pPr>
        <w:pStyle w:val="ListParagraph"/>
        <w:numPr>
          <w:ilvl w:val="0"/>
          <w:numId w:val="12"/>
        </w:numPr>
        <w:autoSpaceDE w:val="0"/>
        <w:autoSpaceDN w:val="0"/>
        <w:adjustRightInd w:val="0"/>
        <w:spacing w:after="45"/>
        <w:rPr>
          <w:rFonts w:asciiTheme="minorHAnsi" w:hAnsiTheme="minorHAnsi"/>
          <w:color w:val="000000"/>
          <w:sz w:val="22"/>
          <w:lang w:eastAsia="en-AU"/>
        </w:rPr>
      </w:pPr>
      <w:r w:rsidRPr="007E5D36">
        <w:rPr>
          <w:rFonts w:asciiTheme="minorHAnsi" w:hAnsiTheme="minorHAnsi"/>
          <w:color w:val="000000"/>
          <w:sz w:val="22"/>
          <w:lang w:eastAsia="en-AU"/>
        </w:rPr>
        <w:t xml:space="preserve">the movement of water due to active transport of electrolytes mediated by e.g., Na/K ATPase pumps. </w:t>
      </w:r>
    </w:p>
    <w:p w14:paraId="401C3C20" w14:textId="77777777" w:rsidR="00481EA4" w:rsidRPr="007E5D36" w:rsidRDefault="00481EA4" w:rsidP="00481EA4">
      <w:pPr>
        <w:pStyle w:val="ListParagraph"/>
        <w:numPr>
          <w:ilvl w:val="0"/>
          <w:numId w:val="12"/>
        </w:numPr>
        <w:autoSpaceDE w:val="0"/>
        <w:autoSpaceDN w:val="0"/>
        <w:adjustRightInd w:val="0"/>
        <w:spacing w:after="45"/>
        <w:rPr>
          <w:rFonts w:asciiTheme="minorHAnsi" w:hAnsiTheme="minorHAnsi"/>
          <w:color w:val="000000"/>
          <w:sz w:val="22"/>
          <w:lang w:eastAsia="en-AU"/>
        </w:rPr>
      </w:pPr>
      <w:r w:rsidRPr="007E5D36">
        <w:rPr>
          <w:rFonts w:asciiTheme="minorHAnsi" w:hAnsiTheme="minorHAnsi"/>
          <w:color w:val="000000"/>
          <w:sz w:val="22"/>
          <w:lang w:eastAsia="en-AU"/>
        </w:rPr>
        <w:lastRenderedPageBreak/>
        <w:t>inhibition of endogenous enzymes, including the digestive enzymes.</w:t>
      </w:r>
    </w:p>
    <w:p w14:paraId="163B6BC6" w14:textId="77777777" w:rsidR="00481EA4" w:rsidRPr="007E5D36" w:rsidRDefault="00481EA4" w:rsidP="00481EA4">
      <w:pPr>
        <w:pStyle w:val="ListParagraph"/>
        <w:numPr>
          <w:ilvl w:val="0"/>
          <w:numId w:val="12"/>
        </w:numPr>
        <w:autoSpaceDE w:val="0"/>
        <w:autoSpaceDN w:val="0"/>
        <w:adjustRightInd w:val="0"/>
        <w:spacing w:after="45"/>
        <w:rPr>
          <w:rFonts w:asciiTheme="minorHAnsi" w:hAnsiTheme="minorHAnsi"/>
          <w:color w:val="000000"/>
          <w:sz w:val="22"/>
          <w:lang w:eastAsia="en-AU"/>
        </w:rPr>
      </w:pPr>
      <w:r w:rsidRPr="007E5D36">
        <w:rPr>
          <w:rFonts w:asciiTheme="minorHAnsi" w:hAnsiTheme="minorHAnsi"/>
          <w:color w:val="000000"/>
          <w:sz w:val="22"/>
          <w:lang w:eastAsia="en-AU"/>
        </w:rPr>
        <w:t xml:space="preserve">inhibition of absorption of any substance in the alimentary or respiratory tracts. </w:t>
      </w:r>
    </w:p>
    <w:p w14:paraId="00A23DBC" w14:textId="77777777" w:rsidR="00481EA4" w:rsidRPr="007E5D36" w:rsidRDefault="00481EA4" w:rsidP="00481EA4">
      <w:pPr>
        <w:pStyle w:val="ListParagraph"/>
        <w:numPr>
          <w:ilvl w:val="0"/>
          <w:numId w:val="12"/>
        </w:numPr>
        <w:autoSpaceDE w:val="0"/>
        <w:autoSpaceDN w:val="0"/>
        <w:adjustRightInd w:val="0"/>
        <w:rPr>
          <w:rFonts w:asciiTheme="minorHAnsi" w:hAnsiTheme="minorHAnsi"/>
          <w:color w:val="000000"/>
          <w:sz w:val="22"/>
          <w:lang w:eastAsia="en-AU"/>
        </w:rPr>
      </w:pPr>
      <w:r w:rsidRPr="007E5D36">
        <w:rPr>
          <w:rFonts w:asciiTheme="minorHAnsi" w:hAnsiTheme="minorHAnsi"/>
          <w:color w:val="000000"/>
          <w:sz w:val="22"/>
          <w:lang w:eastAsia="en-AU"/>
        </w:rPr>
        <w:t xml:space="preserve">altering the electrolyte balance, including pH and osmolality, of the serum or other body compartment or cavity. </w:t>
      </w:r>
    </w:p>
    <w:p w14:paraId="6B270E9D" w14:textId="77777777" w:rsidR="00481EA4" w:rsidRDefault="00481EA4" w:rsidP="00481EA4">
      <w:pPr>
        <w:pStyle w:val="Heading3"/>
      </w:pPr>
      <w:bookmarkStart w:id="9" w:name="_Toc115442868"/>
      <w:r>
        <w:t>Registrable, listable or included goods</w:t>
      </w:r>
      <w:bookmarkEnd w:id="9"/>
    </w:p>
    <w:p w14:paraId="54689B84" w14:textId="4BAD64A2" w:rsidR="00481EA4" w:rsidRPr="00993625" w:rsidRDefault="00481EA4" w:rsidP="00481EA4">
      <w:pPr>
        <w:rPr>
          <w:lang w:eastAsia="en-AU"/>
        </w:rPr>
      </w:pPr>
      <w:r w:rsidRPr="00993625">
        <w:rPr>
          <w:lang w:eastAsia="en-AU"/>
        </w:rPr>
        <w:t>The Act</w:t>
      </w:r>
      <w:r w:rsidRPr="00993625">
        <w:rPr>
          <w:b/>
          <w:lang w:eastAsia="en-AU"/>
        </w:rPr>
        <w:t xml:space="preserve">, </w:t>
      </w:r>
      <w:r w:rsidRPr="00993625">
        <w:rPr>
          <w:lang w:eastAsia="en-AU"/>
        </w:rPr>
        <w:t xml:space="preserve">the </w:t>
      </w:r>
      <w:r w:rsidRPr="00F65275">
        <w:rPr>
          <w:iCs/>
          <w:lang w:eastAsia="en-AU"/>
        </w:rPr>
        <w:t>Therapeutic Goods Regulations 1990</w:t>
      </w:r>
      <w:r w:rsidR="00172296">
        <w:rPr>
          <w:iCs/>
          <w:lang w:eastAsia="en-AU"/>
        </w:rPr>
        <w:t xml:space="preserve"> (the Regulations)</w:t>
      </w:r>
      <w:r w:rsidRPr="00993625">
        <w:rPr>
          <w:lang w:eastAsia="en-AU"/>
        </w:rPr>
        <w:t xml:space="preserve"> and the </w:t>
      </w:r>
      <w:r w:rsidRPr="00F65275">
        <w:rPr>
          <w:iCs/>
          <w:lang w:eastAsia="en-AU"/>
        </w:rPr>
        <w:t>Therapeutic Goods (Medical Devices) Regulations 2002</w:t>
      </w:r>
      <w:r w:rsidR="00172296">
        <w:rPr>
          <w:iCs/>
          <w:lang w:eastAsia="en-AU"/>
        </w:rPr>
        <w:t xml:space="preserve"> (the MD Regulations)</w:t>
      </w:r>
      <w:r w:rsidRPr="00993625">
        <w:rPr>
          <w:i/>
          <w:lang w:eastAsia="en-AU"/>
        </w:rPr>
        <w:t xml:space="preserve"> </w:t>
      </w:r>
      <w:r w:rsidRPr="00993625">
        <w:rPr>
          <w:lang w:eastAsia="en-AU"/>
        </w:rPr>
        <w:t xml:space="preserve">provide that the ARTG has </w:t>
      </w:r>
      <w:r w:rsidRPr="00057B27">
        <w:rPr>
          <w:lang w:eastAsia="en-AU"/>
        </w:rPr>
        <w:t>5 parts, one relating to registered goods, one relating to provisionally registered goods, one relating to listed goods, one relating to biologicals and the other relating to medical devices.</w:t>
      </w:r>
      <w:r w:rsidRPr="00993625">
        <w:rPr>
          <w:lang w:eastAsia="en-AU"/>
        </w:rPr>
        <w:t xml:space="preserve">  </w:t>
      </w:r>
    </w:p>
    <w:p w14:paraId="4C22ED58" w14:textId="77777777" w:rsidR="00481EA4" w:rsidRPr="00993625" w:rsidRDefault="00481EA4" w:rsidP="00481EA4">
      <w:pPr>
        <w:rPr>
          <w:lang w:eastAsia="en-AU"/>
        </w:rPr>
      </w:pPr>
      <w:r w:rsidRPr="00993625">
        <w:rPr>
          <w:lang w:eastAsia="en-AU"/>
        </w:rPr>
        <w:t>Registrable and listable good</w:t>
      </w:r>
      <w:r>
        <w:rPr>
          <w:lang w:eastAsia="en-AU"/>
        </w:rPr>
        <w:t xml:space="preserve">s </w:t>
      </w:r>
      <w:r w:rsidRPr="00993625">
        <w:rPr>
          <w:lang w:eastAsia="en-AU"/>
        </w:rPr>
        <w:t xml:space="preserve">are regulated under Chapter 3 of the Act.  Registrable goods undergo a more rigorous evaluation of their quality, </w:t>
      </w:r>
      <w:proofErr w:type="gramStart"/>
      <w:r w:rsidRPr="00993625">
        <w:rPr>
          <w:lang w:eastAsia="en-AU"/>
        </w:rPr>
        <w:t>safety</w:t>
      </w:r>
      <w:proofErr w:type="gramEnd"/>
      <w:r w:rsidRPr="00993625">
        <w:rPr>
          <w:lang w:eastAsia="en-AU"/>
        </w:rPr>
        <w:t xml:space="preserve"> and efficacy, before being entered into the ARTG, than listable </w:t>
      </w:r>
      <w:r>
        <w:rPr>
          <w:lang w:eastAsia="en-AU"/>
        </w:rPr>
        <w:t>goods</w:t>
      </w:r>
      <w:r w:rsidRPr="00993625">
        <w:rPr>
          <w:lang w:eastAsia="en-AU"/>
        </w:rPr>
        <w:t xml:space="preserve">.  </w:t>
      </w:r>
    </w:p>
    <w:p w14:paraId="72F8335D" w14:textId="77777777" w:rsidR="00481EA4" w:rsidRPr="00993625" w:rsidRDefault="00481EA4" w:rsidP="00481EA4">
      <w:pPr>
        <w:rPr>
          <w:lang w:eastAsia="en-AU"/>
        </w:rPr>
      </w:pPr>
      <w:r w:rsidRPr="00993625">
        <w:rPr>
          <w:lang w:eastAsia="en-AU"/>
        </w:rPr>
        <w:t xml:space="preserve">Medical devices are regulated under Chapter 4 of the Act and can be included in the ARTG if they comply with the </w:t>
      </w:r>
      <w:r>
        <w:rPr>
          <w:lang w:eastAsia="en-AU"/>
        </w:rPr>
        <w:t>E</w:t>
      </w:r>
      <w:r w:rsidRPr="00993625">
        <w:rPr>
          <w:lang w:eastAsia="en-AU"/>
        </w:rPr>
        <w:t xml:space="preserve">ssential </w:t>
      </w:r>
      <w:r>
        <w:rPr>
          <w:lang w:eastAsia="en-AU"/>
        </w:rPr>
        <w:t>P</w:t>
      </w:r>
      <w:r w:rsidRPr="00993625">
        <w:rPr>
          <w:lang w:eastAsia="en-AU"/>
        </w:rPr>
        <w:t>rinciples</w:t>
      </w:r>
      <w:r>
        <w:rPr>
          <w:lang w:eastAsia="en-AU"/>
        </w:rPr>
        <w:t xml:space="preserve"> for safety and performance</w:t>
      </w:r>
      <w:r w:rsidRPr="00993625">
        <w:rPr>
          <w:lang w:eastAsia="en-AU"/>
        </w:rPr>
        <w:t>, have undergone appropriate conformity assessment procedure</w:t>
      </w:r>
      <w:r>
        <w:rPr>
          <w:lang w:eastAsia="en-AU"/>
        </w:rPr>
        <w:t>s</w:t>
      </w:r>
      <w:r w:rsidRPr="00993625">
        <w:rPr>
          <w:lang w:eastAsia="en-AU"/>
        </w:rPr>
        <w:t xml:space="preserve"> </w:t>
      </w:r>
      <w:r>
        <w:rPr>
          <w:lang w:eastAsia="en-AU"/>
        </w:rPr>
        <w:t xml:space="preserve">(or comparable overseas regulator pathways), </w:t>
      </w:r>
      <w:r w:rsidRPr="00993625">
        <w:rPr>
          <w:lang w:eastAsia="en-AU"/>
        </w:rPr>
        <w:t>and certain other requirements are complied with.</w:t>
      </w:r>
    </w:p>
    <w:p w14:paraId="36D7744A" w14:textId="2C03767C" w:rsidR="00481EA4" w:rsidRDefault="00481EA4" w:rsidP="00481EA4">
      <w:pPr>
        <w:rPr>
          <w:i/>
          <w:lang w:eastAsia="en-AU"/>
        </w:rPr>
      </w:pPr>
      <w:r w:rsidRPr="00993625">
        <w:rPr>
          <w:lang w:eastAsia="en-AU"/>
        </w:rPr>
        <w:t xml:space="preserve">Exemptions from the </w:t>
      </w:r>
      <w:r>
        <w:rPr>
          <w:lang w:eastAsia="en-AU"/>
        </w:rPr>
        <w:t>inclusion</w:t>
      </w:r>
      <w:r w:rsidRPr="00993625">
        <w:rPr>
          <w:lang w:eastAsia="en-AU"/>
        </w:rPr>
        <w:t xml:space="preserve"> provisions of </w:t>
      </w:r>
      <w:r>
        <w:rPr>
          <w:lang w:eastAsia="en-AU"/>
        </w:rPr>
        <w:t>medicines and biologicals</w:t>
      </w:r>
      <w:r w:rsidRPr="00993625">
        <w:rPr>
          <w:lang w:eastAsia="en-AU"/>
        </w:rPr>
        <w:t xml:space="preserve"> are published in Schedules 5 and 5A of the </w:t>
      </w:r>
      <w:r w:rsidRPr="00F65275">
        <w:rPr>
          <w:iCs/>
          <w:lang w:eastAsia="en-AU"/>
        </w:rPr>
        <w:t>Regulations</w:t>
      </w:r>
      <w:r w:rsidRPr="00993625">
        <w:rPr>
          <w:lang w:eastAsia="en-AU"/>
        </w:rPr>
        <w:t xml:space="preserve"> (exempt goods)</w:t>
      </w:r>
      <w:r>
        <w:rPr>
          <w:lang w:eastAsia="en-AU"/>
        </w:rPr>
        <w:t xml:space="preserve"> and exemptions from inclusion of medical devices in Schedule 4 of the </w:t>
      </w:r>
      <w:r w:rsidRPr="00F65275">
        <w:rPr>
          <w:iCs/>
          <w:lang w:eastAsia="en-AU"/>
        </w:rPr>
        <w:t>MD</w:t>
      </w:r>
      <w:r w:rsidR="00172296">
        <w:rPr>
          <w:iCs/>
          <w:lang w:eastAsia="en-AU"/>
        </w:rPr>
        <w:t xml:space="preserve"> </w:t>
      </w:r>
      <w:r w:rsidRPr="00F65275">
        <w:rPr>
          <w:iCs/>
          <w:lang w:eastAsia="en-AU"/>
        </w:rPr>
        <w:t>Regulations</w:t>
      </w:r>
      <w:r w:rsidRPr="00E45DCF">
        <w:rPr>
          <w:i/>
          <w:lang w:eastAsia="en-AU"/>
        </w:rPr>
        <w:t xml:space="preserve">.  </w:t>
      </w:r>
    </w:p>
    <w:p w14:paraId="02951E51" w14:textId="77777777" w:rsidR="00481EA4" w:rsidRDefault="00481EA4" w:rsidP="00481EA4">
      <w:pPr>
        <w:rPr>
          <w:szCs w:val="24"/>
        </w:rPr>
      </w:pPr>
      <w:r>
        <w:rPr>
          <w:szCs w:val="24"/>
        </w:rPr>
        <w:t>Biologicals are included in the ARTG and are</w:t>
      </w:r>
      <w:r w:rsidRPr="008E4A01">
        <w:rPr>
          <w:szCs w:val="24"/>
        </w:rPr>
        <w:t xml:space="preserve"> classified into one of four </w:t>
      </w:r>
      <w:r>
        <w:rPr>
          <w:szCs w:val="24"/>
        </w:rPr>
        <w:t xml:space="preserve">regulatory </w:t>
      </w:r>
      <w:r w:rsidRPr="008E4A01">
        <w:rPr>
          <w:szCs w:val="24"/>
        </w:rPr>
        <w:t xml:space="preserve">classes. </w:t>
      </w:r>
    </w:p>
    <w:p w14:paraId="2DB8BE54" w14:textId="77777777" w:rsidR="00481EA4" w:rsidRDefault="00481EA4" w:rsidP="00481EA4">
      <w:pPr>
        <w:rPr>
          <w:szCs w:val="24"/>
        </w:rPr>
      </w:pPr>
      <w:r>
        <w:rPr>
          <w:szCs w:val="24"/>
        </w:rPr>
        <w:t>The Secretary may</w:t>
      </w:r>
      <w:r w:rsidRPr="008E4A01">
        <w:rPr>
          <w:szCs w:val="24"/>
        </w:rPr>
        <w:t xml:space="preserve"> declare specific therapeutic goods to either be or not be a biological. Goods declared to not be a biological are regulated by the TGA as either a medicine or a medical device but are not included in the Biologicals Regulatory Framework at this time. These products are included in the Therapeutic Goods (Things that are not Biologicals) Determination No.1 of 201</w:t>
      </w:r>
      <w:r>
        <w:rPr>
          <w:szCs w:val="24"/>
        </w:rPr>
        <w:t xml:space="preserve">1, available at </w:t>
      </w:r>
      <w:hyperlink r:id="rId21" w:history="1">
        <w:r w:rsidRPr="00C45C96">
          <w:rPr>
            <w:rStyle w:val="Hyperlink"/>
            <w:rFonts w:ascii="Times New Roman" w:hAnsi="Times New Roman"/>
            <w:sz w:val="24"/>
            <w:szCs w:val="24"/>
          </w:rPr>
          <w:t>https://www.legislation.gov.au/Details/F2011L00894</w:t>
        </w:r>
      </w:hyperlink>
    </w:p>
    <w:p w14:paraId="236A5923" w14:textId="77777777" w:rsidR="00481EA4" w:rsidRDefault="00481EA4" w:rsidP="00481EA4">
      <w:pPr>
        <w:pStyle w:val="Heading3"/>
      </w:pPr>
      <w:bookmarkStart w:id="10" w:name="_Toc115442869"/>
      <w:r>
        <w:t>Other therapeutic goods</w:t>
      </w:r>
      <w:bookmarkEnd w:id="10"/>
    </w:p>
    <w:p w14:paraId="41EA5C2C" w14:textId="1BE54F83" w:rsidR="00481EA4" w:rsidRPr="002C19D9" w:rsidRDefault="00481EA4" w:rsidP="00481EA4">
      <w:pPr>
        <w:rPr>
          <w:szCs w:val="24"/>
        </w:rPr>
      </w:pPr>
      <w:r w:rsidRPr="004C0BBA">
        <w:t xml:space="preserve">Other </w:t>
      </w:r>
      <w:r>
        <w:t>t</w:t>
      </w:r>
      <w:r w:rsidRPr="004C0BBA">
        <w:t xml:space="preserve">herapeutic </w:t>
      </w:r>
      <w:r>
        <w:t>g</w:t>
      </w:r>
      <w:r w:rsidRPr="004C0BBA">
        <w:t xml:space="preserve">oods do not fit the definition of a medical device nor a medicine but are regulated as listed </w:t>
      </w:r>
      <w:r>
        <w:t xml:space="preserve">therapeutic </w:t>
      </w:r>
      <w:r w:rsidRPr="004C0BBA">
        <w:t>goods</w:t>
      </w:r>
      <w:r>
        <w:t xml:space="preserve"> or exempt from entry on the ARTG,</w:t>
      </w:r>
      <w:r w:rsidR="00B844CE">
        <w:t xml:space="preserve"> </w:t>
      </w:r>
      <w:r>
        <w:t>under Chapter 3 of the Act</w:t>
      </w:r>
      <w:r w:rsidRPr="004C0BBA">
        <w:t>.</w:t>
      </w:r>
      <w:r>
        <w:t xml:space="preserve"> This includes </w:t>
      </w:r>
      <w:proofErr w:type="spellStart"/>
      <w:r>
        <w:t>sterilants</w:t>
      </w:r>
      <w:proofErr w:type="spellEnd"/>
      <w:r>
        <w:t>, disinfectants, tampons, and menstrual cups.</w:t>
      </w:r>
    </w:p>
    <w:p w14:paraId="56DED043" w14:textId="77777777" w:rsidR="00481EA4" w:rsidRPr="0016017D" w:rsidRDefault="00481EA4" w:rsidP="00481EA4">
      <w:pPr>
        <w:rPr>
          <w:b/>
          <w:bCs/>
        </w:rPr>
      </w:pPr>
      <w:proofErr w:type="spellStart"/>
      <w:r w:rsidRPr="0016017D">
        <w:t>Sterilants</w:t>
      </w:r>
      <w:proofErr w:type="spellEnd"/>
      <w:r w:rsidRPr="0016017D">
        <w:t xml:space="preserve"> and disinfectants are regulated in a variety of ways in Australia, depending on the intended purpose of the product as discerned from the claims made in the instructions for use, labelling and promotional material. Specific information and guidance on these products are available on the TGA website - </w:t>
      </w:r>
      <w:hyperlink r:id="rId22" w:history="1">
        <w:r w:rsidRPr="0016017D">
          <w:rPr>
            <w:rStyle w:val="Hyperlink"/>
            <w:rFonts w:asciiTheme="minorHAnsi" w:hAnsiTheme="minorHAnsi" w:cs="Noto Sans"/>
            <w:szCs w:val="22"/>
          </w:rPr>
          <w:t xml:space="preserve">Disinfectants, </w:t>
        </w:r>
        <w:proofErr w:type="spellStart"/>
        <w:r w:rsidRPr="0016017D">
          <w:rPr>
            <w:rStyle w:val="Hyperlink"/>
            <w:rFonts w:asciiTheme="minorHAnsi" w:hAnsiTheme="minorHAnsi" w:cs="Noto Sans"/>
            <w:szCs w:val="22"/>
          </w:rPr>
          <w:t>sterilants</w:t>
        </w:r>
        <w:proofErr w:type="spellEnd"/>
        <w:r w:rsidRPr="0016017D">
          <w:rPr>
            <w:rStyle w:val="Hyperlink"/>
            <w:rFonts w:asciiTheme="minorHAnsi" w:hAnsiTheme="minorHAnsi" w:cs="Noto Sans"/>
            <w:szCs w:val="22"/>
          </w:rPr>
          <w:t xml:space="preserve"> and sanitary products</w:t>
        </w:r>
      </w:hyperlink>
      <w:r w:rsidRPr="0016017D">
        <w:t>.</w:t>
      </w:r>
    </w:p>
    <w:p w14:paraId="3C8D477B" w14:textId="77777777" w:rsidR="00E84091" w:rsidRDefault="00E84091">
      <w:pPr>
        <w:spacing w:before="0" w:after="0" w:line="240" w:lineRule="auto"/>
        <w:rPr>
          <w:rFonts w:ascii="Arial" w:eastAsia="Times New Roman" w:hAnsi="Arial"/>
          <w:b/>
          <w:bCs/>
          <w:sz w:val="38"/>
          <w:szCs w:val="38"/>
        </w:rPr>
      </w:pPr>
      <w:r>
        <w:br w:type="page"/>
      </w:r>
    </w:p>
    <w:p w14:paraId="3C39A055" w14:textId="496B82FF" w:rsidR="00481EA4" w:rsidRDefault="00481EA4" w:rsidP="00481EA4">
      <w:pPr>
        <w:pStyle w:val="Heading2"/>
      </w:pPr>
      <w:bookmarkStart w:id="11" w:name="_Toc115442870"/>
      <w:r>
        <w:lastRenderedPageBreak/>
        <w:t>Boundary products</w:t>
      </w:r>
      <w:bookmarkEnd w:id="11"/>
    </w:p>
    <w:p w14:paraId="09C8B406" w14:textId="77777777" w:rsidR="00481EA4" w:rsidRPr="00FD63E9" w:rsidRDefault="00481EA4" w:rsidP="00481EA4">
      <w:r w:rsidRPr="00E9645A">
        <w:t>B</w:t>
      </w:r>
      <w:r>
        <w:t xml:space="preserve">oundary </w:t>
      </w:r>
      <w:r w:rsidRPr="00E9645A">
        <w:t>product</w:t>
      </w:r>
      <w:r>
        <w:t>s are therapeutic goods</w:t>
      </w:r>
      <w:r w:rsidRPr="00E9645A">
        <w:t xml:space="preserve"> </w:t>
      </w:r>
      <w:r>
        <w:t>that</w:t>
      </w:r>
      <w:r w:rsidRPr="00E9645A">
        <w:t xml:space="preserve"> may have some of the attributes of two or more ca</w:t>
      </w:r>
      <w:r>
        <w:t>tegories of regulated good</w:t>
      </w:r>
      <w:r w:rsidRPr="00E9645A">
        <w:t>s</w:t>
      </w:r>
      <w:r>
        <w:t xml:space="preserve">, or they may simply be products for which the appropriate </w:t>
      </w:r>
      <w:r w:rsidRPr="00FD63E9">
        <w:t xml:space="preserve">regulatory pathway is not immediately obvious. </w:t>
      </w:r>
    </w:p>
    <w:p w14:paraId="73AF072B" w14:textId="77777777" w:rsidR="00481EA4" w:rsidRPr="00FD63E9" w:rsidRDefault="00481EA4" w:rsidP="00481EA4">
      <w:r w:rsidRPr="00FD63E9">
        <w:t xml:space="preserve">The action of a medicinal product is typically achieved by pharmacological, chemical, </w:t>
      </w:r>
      <w:proofErr w:type="gramStart"/>
      <w:r w:rsidRPr="00FD63E9">
        <w:t>immunological</w:t>
      </w:r>
      <w:proofErr w:type="gramEnd"/>
      <w:r w:rsidRPr="00FD63E9">
        <w:t xml:space="preserve"> or metabolic means. Note that a substance administered for diagnostic purposes, (</w:t>
      </w:r>
      <w:proofErr w:type="gramStart"/>
      <w:r w:rsidRPr="00FD63E9">
        <w:t>i.e.</w:t>
      </w:r>
      <w:proofErr w:type="gramEnd"/>
      <w:r w:rsidRPr="00FD63E9">
        <w:t xml:space="preserve"> an in vivo diagnostic substance), even though it does not act in such ways, is also usually considered to be a medicinal product.</w:t>
      </w:r>
    </w:p>
    <w:p w14:paraId="1CB2F748" w14:textId="77777777" w:rsidR="00481EA4" w:rsidRPr="00FD63E9" w:rsidRDefault="00481EA4" w:rsidP="00481EA4">
      <w:r w:rsidRPr="00FD63E9">
        <w:t xml:space="preserve">In the case of a medical device, the principal intended action is typically fulfilled by physical means (including mechanical action, solid physical barrier protecting the surface it is applied to, replacement of, or support to, organs or body functions). </w:t>
      </w:r>
    </w:p>
    <w:p w14:paraId="18C545F9" w14:textId="77777777" w:rsidR="00481EA4" w:rsidRPr="009C17DC" w:rsidRDefault="00481EA4" w:rsidP="00481EA4">
      <w:r w:rsidRPr="00FD63E9">
        <w:t xml:space="preserve">Any therapeutic goods that are chemical substances and exert their therapeutic effect through local or systemic chemical means are generally </w:t>
      </w:r>
      <w:r w:rsidRPr="00014FCE">
        <w:rPr>
          <w:b/>
          <w:bCs/>
        </w:rPr>
        <w:t>not</w:t>
      </w:r>
      <w:r w:rsidRPr="00FD63E9">
        <w:t xml:space="preserve"> medical devices. The pharmacological properties of such products are critical to the evaluation of their safety and efficacy.</w:t>
      </w:r>
    </w:p>
    <w:p w14:paraId="631A1980" w14:textId="77777777" w:rsidR="00481EA4" w:rsidRPr="00FD63E9" w:rsidRDefault="00481EA4" w:rsidP="00481EA4">
      <w:r w:rsidRPr="00FD63E9">
        <w:t>In deciding how these products are regulated, the TGA considers:</w:t>
      </w:r>
    </w:p>
    <w:p w14:paraId="7B513E9B" w14:textId="77777777" w:rsidR="00481EA4" w:rsidRPr="00FD63E9" w:rsidRDefault="00481EA4" w:rsidP="00481EA4">
      <w:pPr>
        <w:pStyle w:val="ListBullet"/>
        <w:numPr>
          <w:ilvl w:val="0"/>
          <w:numId w:val="1"/>
        </w:numPr>
      </w:pPr>
      <w:r w:rsidRPr="00FD63E9">
        <w:t>which component or ingredient of the product provides the most important therapeutic effect of the product</w:t>
      </w:r>
    </w:p>
    <w:p w14:paraId="76DBAADB" w14:textId="77777777" w:rsidR="00481EA4" w:rsidRPr="00FD63E9" w:rsidRDefault="00481EA4" w:rsidP="00481EA4">
      <w:pPr>
        <w:pStyle w:val="ListBullet"/>
        <w:numPr>
          <w:ilvl w:val="0"/>
          <w:numId w:val="1"/>
        </w:numPr>
      </w:pPr>
      <w:r w:rsidRPr="00FD63E9">
        <w:t xml:space="preserve">the principal therapeutic effect achieved, when used consistently with the sponsor/manufacturer’s claims </w:t>
      </w:r>
      <w:proofErr w:type="gramStart"/>
      <w:r w:rsidRPr="00FD63E9">
        <w:t>i.e.</w:t>
      </w:r>
      <w:proofErr w:type="gramEnd"/>
      <w:r w:rsidRPr="00FD63E9">
        <w:t xml:space="preserve"> intended use</w:t>
      </w:r>
    </w:p>
    <w:p w14:paraId="643678C9" w14:textId="77777777" w:rsidR="00481EA4" w:rsidRPr="00FD63E9" w:rsidRDefault="00481EA4" w:rsidP="00481EA4">
      <w:pPr>
        <w:pStyle w:val="ListBullet"/>
        <w:numPr>
          <w:ilvl w:val="0"/>
          <w:numId w:val="1"/>
        </w:numPr>
      </w:pPr>
      <w:r w:rsidRPr="00FD63E9">
        <w:t>the primary mode of action of the product in achieving its therapeutic effect and how it</w:t>
      </w:r>
      <w:r w:rsidRPr="0008021B">
        <w:t xml:space="preserve"> relates to the definitions of medicine</w:t>
      </w:r>
      <w:r w:rsidRPr="00FD63E9">
        <w:t>, biological and medical device.</w:t>
      </w:r>
    </w:p>
    <w:p w14:paraId="18C4A026" w14:textId="77777777" w:rsidR="00481EA4" w:rsidRPr="00FD63E9" w:rsidRDefault="00481EA4" w:rsidP="00481EA4">
      <w:r w:rsidRPr="00FD63E9">
        <w:t>Determination of the principal therapeutic effect may be influenced by factors such as:</w:t>
      </w:r>
    </w:p>
    <w:p w14:paraId="4A407F36" w14:textId="77777777" w:rsidR="00481EA4" w:rsidRPr="00FD63E9" w:rsidRDefault="00481EA4" w:rsidP="00481EA4">
      <w:pPr>
        <w:pStyle w:val="ListBullet"/>
        <w:numPr>
          <w:ilvl w:val="0"/>
          <w:numId w:val="1"/>
        </w:numPr>
      </w:pPr>
      <w:r w:rsidRPr="00FD63E9">
        <w:t>actual therapeutic effect of the product and scientifically demonstrated action, verifiable in humans through clinical study findings</w:t>
      </w:r>
    </w:p>
    <w:p w14:paraId="275D174E" w14:textId="77777777" w:rsidR="00481EA4" w:rsidRPr="00FD63E9" w:rsidRDefault="00481EA4" w:rsidP="00481EA4">
      <w:pPr>
        <w:pStyle w:val="ListBullet"/>
        <w:numPr>
          <w:ilvl w:val="0"/>
          <w:numId w:val="1"/>
        </w:numPr>
      </w:pPr>
      <w:r w:rsidRPr="00FD63E9">
        <w:t xml:space="preserve">therapeutic claims made for the product, including any made on websites, linked helplines, </w:t>
      </w:r>
      <w:proofErr w:type="gramStart"/>
      <w:r w:rsidRPr="00FD63E9">
        <w:t>testimonials</w:t>
      </w:r>
      <w:proofErr w:type="gramEnd"/>
      <w:r w:rsidRPr="00FD63E9">
        <w:t xml:space="preserve"> and publications; product names and branding may be deemed implicit claims</w:t>
      </w:r>
    </w:p>
    <w:p w14:paraId="3953D943" w14:textId="77777777" w:rsidR="00481EA4" w:rsidRPr="00FD63E9" w:rsidRDefault="00481EA4" w:rsidP="00481EA4">
      <w:pPr>
        <w:pStyle w:val="ListBullet"/>
        <w:numPr>
          <w:ilvl w:val="0"/>
          <w:numId w:val="1"/>
        </w:numPr>
      </w:pPr>
      <w:r w:rsidRPr="00FD63E9">
        <w:t>the context in which the claims are made, and the overall presentation</w:t>
      </w:r>
    </w:p>
    <w:p w14:paraId="60C2B595" w14:textId="77777777" w:rsidR="00481EA4" w:rsidRPr="00FD63E9" w:rsidRDefault="00481EA4" w:rsidP="00481EA4">
      <w:pPr>
        <w:pStyle w:val="ListBullet"/>
        <w:numPr>
          <w:ilvl w:val="0"/>
          <w:numId w:val="1"/>
        </w:numPr>
      </w:pPr>
      <w:r w:rsidRPr="00FD63E9">
        <w:t xml:space="preserve">the labelling, packaging/package inserts, </w:t>
      </w:r>
      <w:proofErr w:type="gramStart"/>
      <w:r w:rsidRPr="00FD63E9">
        <w:t>pamphlets</w:t>
      </w:r>
      <w:proofErr w:type="gramEnd"/>
      <w:r w:rsidRPr="00FD63E9">
        <w:t xml:space="preserve"> and promotional literature, including any pictures or graphics</w:t>
      </w:r>
    </w:p>
    <w:p w14:paraId="28BCF198" w14:textId="77777777" w:rsidR="00481EA4" w:rsidRPr="00FD63E9" w:rsidRDefault="00481EA4" w:rsidP="00481EA4">
      <w:pPr>
        <w:pStyle w:val="ListBullet"/>
        <w:numPr>
          <w:ilvl w:val="0"/>
          <w:numId w:val="1"/>
        </w:numPr>
      </w:pPr>
      <w:r w:rsidRPr="00FD63E9">
        <w:t xml:space="preserve">advertisements, including those appearing in “advertorials”, on television, other </w:t>
      </w:r>
      <w:proofErr w:type="gramStart"/>
      <w:r w:rsidRPr="00FD63E9">
        <w:t>media</w:t>
      </w:r>
      <w:proofErr w:type="gramEnd"/>
      <w:r w:rsidRPr="00FD63E9">
        <w:t xml:space="preserve"> and the Internet</w:t>
      </w:r>
    </w:p>
    <w:p w14:paraId="738D0D3D" w14:textId="77777777" w:rsidR="00481EA4" w:rsidRDefault="00481EA4" w:rsidP="00481EA4">
      <w:pPr>
        <w:pStyle w:val="ListBullet"/>
        <w:numPr>
          <w:ilvl w:val="0"/>
          <w:numId w:val="1"/>
        </w:numPr>
      </w:pPr>
      <w:r w:rsidRPr="00FD63E9">
        <w:t xml:space="preserve">the product form (capsule, tablet, injection etc.) and the way it is to be used.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81EA4" w:rsidRPr="00215D48" w14:paraId="431E23DF" w14:textId="77777777" w:rsidTr="00F46BB9">
        <w:trPr>
          <w:trHeight w:val="1803"/>
        </w:trPr>
        <w:tc>
          <w:tcPr>
            <w:tcW w:w="1276" w:type="dxa"/>
            <w:vAlign w:val="center"/>
          </w:tcPr>
          <w:p w14:paraId="46669D8A" w14:textId="77777777" w:rsidR="00481EA4" w:rsidRPr="00215D48" w:rsidRDefault="00481EA4" w:rsidP="00F46BB9">
            <w:pPr>
              <w:spacing w:before="0"/>
              <w:rPr>
                <w:sz w:val="20"/>
              </w:rPr>
            </w:pPr>
            <w:r w:rsidRPr="00215D48">
              <w:rPr>
                <w:noProof/>
                <w:sz w:val="20"/>
                <w:lang w:eastAsia="en-AU"/>
              </w:rPr>
              <w:drawing>
                <wp:inline distT="0" distB="0" distL="0" distR="0" wp14:anchorId="50C9A128" wp14:editId="62386DDF">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E4E7654" w14:textId="76A2A570" w:rsidR="00481EA4" w:rsidRPr="00215D48" w:rsidRDefault="00481EA4" w:rsidP="00130334">
            <w:r>
              <w:t xml:space="preserve">The addition of one substance may be enough to change the principal therapeutic effect of the product and hence the type of therapeutic good that the product falls under. </w:t>
            </w:r>
          </w:p>
        </w:tc>
      </w:tr>
    </w:tbl>
    <w:p w14:paraId="7652F40E" w14:textId="77777777" w:rsidR="00481EA4" w:rsidRPr="00FD63E9" w:rsidRDefault="00481EA4" w:rsidP="00481EA4">
      <w:pPr>
        <w:pStyle w:val="ListBullet"/>
        <w:numPr>
          <w:ilvl w:val="0"/>
          <w:numId w:val="0"/>
        </w:numPr>
        <w:ind w:left="360" w:hanging="360"/>
      </w:pPr>
    </w:p>
    <w:p w14:paraId="6769B951" w14:textId="77777777" w:rsidR="00481EA4" w:rsidRPr="009C17DC" w:rsidRDefault="00481EA4" w:rsidP="00481EA4">
      <w:r w:rsidRPr="009C17DC">
        <w:lastRenderedPageBreak/>
        <w:t>Medical devices may contain medicinal substances, including herbal and plant extracts and substances derived from human blood or blood plasma, that act on the body in a manner ancillary to the device. However, when such substances act in a manner that is more than ancillary, the product is likely to be regulated as a medicine.</w:t>
      </w:r>
    </w:p>
    <w:p w14:paraId="5DF7388F" w14:textId="77777777" w:rsidR="00481EA4" w:rsidRPr="009C17DC" w:rsidRDefault="00481EA4" w:rsidP="00481EA4">
      <w:r w:rsidRPr="009C17DC">
        <w:t>For these boundary products containing a medicine component and a medical device component a product deemed to be a:</w:t>
      </w:r>
    </w:p>
    <w:p w14:paraId="7041A182" w14:textId="47280D9C" w:rsidR="00481EA4" w:rsidRPr="009C17DC" w:rsidRDefault="00481EA4" w:rsidP="00481EA4">
      <w:pPr>
        <w:pStyle w:val="ListBullet"/>
        <w:numPr>
          <w:ilvl w:val="0"/>
          <w:numId w:val="1"/>
        </w:numPr>
      </w:pPr>
      <w:r w:rsidRPr="009C17DC">
        <w:t xml:space="preserve">medicine will be assessed </w:t>
      </w:r>
      <w:r>
        <w:t>through</w:t>
      </w:r>
      <w:r w:rsidRPr="009C17DC">
        <w:t xml:space="preserve"> the medicine </w:t>
      </w:r>
      <w:r>
        <w:t>pathways</w:t>
      </w:r>
      <w:r w:rsidRPr="009C17DC">
        <w:t xml:space="preserve">, with input from the </w:t>
      </w:r>
      <w:proofErr w:type="gramStart"/>
      <w:r w:rsidRPr="009C17DC">
        <w:t>devices</w:t>
      </w:r>
      <w:proofErr w:type="gramEnd"/>
      <w:r w:rsidRPr="009C17DC">
        <w:t xml:space="preserve"> </w:t>
      </w:r>
      <w:r>
        <w:t>evaluation area</w:t>
      </w:r>
    </w:p>
    <w:p w14:paraId="20DDF715" w14:textId="77777777" w:rsidR="00481EA4" w:rsidRPr="00FD63E9" w:rsidRDefault="00481EA4" w:rsidP="00481EA4">
      <w:pPr>
        <w:pStyle w:val="ListBullet"/>
        <w:numPr>
          <w:ilvl w:val="0"/>
          <w:numId w:val="1"/>
        </w:numPr>
      </w:pPr>
      <w:r w:rsidRPr="00FD63E9">
        <w:t xml:space="preserve">medical device will be assessed </w:t>
      </w:r>
      <w:r>
        <w:t>through the device pathways</w:t>
      </w:r>
      <w:r w:rsidRPr="00FD63E9">
        <w:t xml:space="preserve">, with input from the </w:t>
      </w:r>
      <w:proofErr w:type="gramStart"/>
      <w:r w:rsidRPr="00FD63E9">
        <w:t>medicines</w:t>
      </w:r>
      <w:proofErr w:type="gramEnd"/>
      <w:r w:rsidRPr="00FD63E9">
        <w:t xml:space="preserve"> </w:t>
      </w:r>
      <w:r>
        <w:t>evaluation area.</w:t>
      </w:r>
    </w:p>
    <w:p w14:paraId="7E5CA808" w14:textId="77777777" w:rsidR="00481EA4" w:rsidRDefault="00481EA4" w:rsidP="00481EA4">
      <w:r w:rsidRPr="00FD63E9">
        <w:t xml:space="preserve">Note that System or Procedure Packs have specific guidance available at </w:t>
      </w:r>
      <w:hyperlink r:id="rId23" w:history="1">
        <w:r w:rsidRPr="00FD63E9">
          <w:rPr>
            <w:rStyle w:val="Hyperlink"/>
          </w:rPr>
          <w:t>System or procedure packs | Therapeutic Goods Administration (TGA)</w:t>
        </w:r>
      </w:hyperlink>
      <w:r w:rsidRPr="00FD63E9">
        <w:t xml:space="preserve"> .</w:t>
      </w:r>
    </w:p>
    <w:p w14:paraId="43A73F14" w14:textId="77777777" w:rsidR="00481EA4" w:rsidRDefault="00481EA4" w:rsidP="00481EA4">
      <w:r w:rsidRPr="004368E0">
        <w:t>The decision on approval will be issued by the lead program.</w:t>
      </w:r>
    </w:p>
    <w:p w14:paraId="022BCBFE" w14:textId="77777777" w:rsidR="00481EA4" w:rsidRPr="004368E0" w:rsidRDefault="00481EA4" w:rsidP="00481EA4">
      <w:pPr>
        <w:tabs>
          <w:tab w:val="left" w:pos="720"/>
        </w:tabs>
        <w:rPr>
          <w:rFonts w:ascii="Times New Roman" w:hAnsi="Times New Roman"/>
          <w:sz w:val="24"/>
          <w:szCs w:val="24"/>
        </w:rPr>
      </w:pPr>
      <w:r w:rsidRPr="004368E0">
        <w:rPr>
          <w:rFonts w:ascii="Times New Roman" w:hAnsi="Times New Roman"/>
          <w:sz w:val="24"/>
          <w:szCs w:val="24"/>
        </w:rPr>
        <w:t>For more information on the regulatory requirements:</w:t>
      </w:r>
    </w:p>
    <w:tbl>
      <w:tblPr>
        <w:tblStyle w:val="TableTGAblue"/>
        <w:tblW w:w="0" w:type="auto"/>
        <w:tblLook w:val="04A0" w:firstRow="1" w:lastRow="0" w:firstColumn="1" w:lastColumn="0" w:noHBand="0" w:noVBand="1"/>
      </w:tblPr>
      <w:tblGrid>
        <w:gridCol w:w="2684"/>
        <w:gridCol w:w="6237"/>
      </w:tblGrid>
      <w:tr w:rsidR="00481EA4" w:rsidRPr="00163C7B" w14:paraId="1570821F" w14:textId="77777777" w:rsidTr="00F4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53D8E10" w14:textId="77777777" w:rsidR="00481EA4" w:rsidRPr="00913595" w:rsidRDefault="00481EA4" w:rsidP="00F46BB9">
            <w:pPr>
              <w:rPr>
                <w:rFonts w:asciiTheme="minorHAnsi" w:hAnsiTheme="minorHAnsi"/>
                <w:szCs w:val="22"/>
              </w:rPr>
            </w:pPr>
            <w:r w:rsidRPr="00913595">
              <w:rPr>
                <w:rFonts w:asciiTheme="minorHAnsi" w:hAnsiTheme="minorHAnsi"/>
                <w:szCs w:val="22"/>
              </w:rPr>
              <w:t>Therapeutic good</w:t>
            </w:r>
          </w:p>
        </w:tc>
        <w:tc>
          <w:tcPr>
            <w:tcW w:w="6237" w:type="dxa"/>
          </w:tcPr>
          <w:p w14:paraId="057FDDE6" w14:textId="77777777" w:rsidR="00481EA4" w:rsidRPr="00913595" w:rsidRDefault="00481EA4" w:rsidP="00F46BB9">
            <w:pP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913595">
              <w:rPr>
                <w:rFonts w:asciiTheme="minorHAnsi" w:hAnsiTheme="minorHAnsi"/>
                <w:szCs w:val="22"/>
              </w:rPr>
              <w:t>Regulatory requirements</w:t>
            </w:r>
          </w:p>
        </w:tc>
      </w:tr>
      <w:tr w:rsidR="00481EA4" w:rsidRPr="00163C7B" w14:paraId="0AA8A5E1" w14:textId="77777777" w:rsidTr="00F46BB9">
        <w:tc>
          <w:tcPr>
            <w:cnfStyle w:val="001000000000" w:firstRow="0" w:lastRow="0" w:firstColumn="1" w:lastColumn="0" w:oddVBand="0" w:evenVBand="0" w:oddHBand="0" w:evenHBand="0" w:firstRowFirstColumn="0" w:firstRowLastColumn="0" w:lastRowFirstColumn="0" w:lastRowLastColumn="0"/>
            <w:tcW w:w="2684" w:type="dxa"/>
          </w:tcPr>
          <w:p w14:paraId="183C9045" w14:textId="77777777" w:rsidR="00481EA4" w:rsidRPr="00913595" w:rsidRDefault="00481EA4" w:rsidP="00F46BB9">
            <w:pPr>
              <w:rPr>
                <w:rFonts w:asciiTheme="minorHAnsi" w:hAnsiTheme="minorHAnsi"/>
                <w:szCs w:val="22"/>
              </w:rPr>
            </w:pPr>
            <w:r w:rsidRPr="00913595">
              <w:rPr>
                <w:rFonts w:asciiTheme="minorHAnsi" w:hAnsiTheme="minorHAnsi"/>
                <w:szCs w:val="22"/>
              </w:rPr>
              <w:t>medical devices</w:t>
            </w:r>
          </w:p>
        </w:tc>
        <w:tc>
          <w:tcPr>
            <w:tcW w:w="6237" w:type="dxa"/>
          </w:tcPr>
          <w:p w14:paraId="66775299" w14:textId="77777777" w:rsidR="00481EA4" w:rsidRPr="00913595" w:rsidRDefault="008C10F0" w:rsidP="00F46BB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hyperlink r:id="rId24" w:history="1">
              <w:r w:rsidR="00481EA4" w:rsidRPr="00913595">
                <w:rPr>
                  <w:rStyle w:val="Hyperlink"/>
                  <w:rFonts w:asciiTheme="minorHAnsi" w:hAnsiTheme="minorHAnsi"/>
                  <w:i/>
                  <w:iCs/>
                  <w:szCs w:val="22"/>
                </w:rPr>
                <w:t>Medical devices &amp; IVDs</w:t>
              </w:r>
            </w:hyperlink>
          </w:p>
        </w:tc>
      </w:tr>
      <w:tr w:rsidR="00481EA4" w:rsidRPr="00163C7B" w14:paraId="2D79FA12" w14:textId="77777777" w:rsidTr="00F46BB9">
        <w:tc>
          <w:tcPr>
            <w:cnfStyle w:val="001000000000" w:firstRow="0" w:lastRow="0" w:firstColumn="1" w:lastColumn="0" w:oddVBand="0" w:evenVBand="0" w:oddHBand="0" w:evenHBand="0" w:firstRowFirstColumn="0" w:firstRowLastColumn="0" w:lastRowFirstColumn="0" w:lastRowLastColumn="0"/>
            <w:tcW w:w="2684" w:type="dxa"/>
          </w:tcPr>
          <w:p w14:paraId="02F06A9B" w14:textId="77777777" w:rsidR="00481EA4" w:rsidRPr="00913595" w:rsidRDefault="00481EA4" w:rsidP="00F46BB9">
            <w:pPr>
              <w:rPr>
                <w:rFonts w:asciiTheme="minorHAnsi" w:hAnsiTheme="minorHAnsi"/>
                <w:szCs w:val="22"/>
              </w:rPr>
            </w:pPr>
            <w:r w:rsidRPr="00913595">
              <w:rPr>
                <w:rFonts w:asciiTheme="minorHAnsi" w:hAnsiTheme="minorHAnsi"/>
                <w:szCs w:val="22"/>
              </w:rPr>
              <w:t>other therapeutic goods</w:t>
            </w:r>
          </w:p>
        </w:tc>
        <w:tc>
          <w:tcPr>
            <w:tcW w:w="6237" w:type="dxa"/>
          </w:tcPr>
          <w:p w14:paraId="5C3662D2" w14:textId="77777777" w:rsidR="00481EA4" w:rsidRPr="00913595" w:rsidRDefault="008C10F0" w:rsidP="00F46BB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hyperlink r:id="rId25" w:history="1">
              <w:r w:rsidR="00481EA4" w:rsidRPr="00913595">
                <w:rPr>
                  <w:rStyle w:val="Hyperlink"/>
                  <w:rFonts w:asciiTheme="minorHAnsi" w:hAnsiTheme="minorHAnsi"/>
                  <w:i/>
                  <w:iCs/>
                  <w:szCs w:val="22"/>
                </w:rPr>
                <w:t>Other therapeutic goods</w:t>
              </w:r>
            </w:hyperlink>
          </w:p>
        </w:tc>
      </w:tr>
      <w:tr w:rsidR="00481EA4" w:rsidRPr="00163C7B" w14:paraId="491EE265" w14:textId="77777777" w:rsidTr="00F46BB9">
        <w:tc>
          <w:tcPr>
            <w:cnfStyle w:val="001000000000" w:firstRow="0" w:lastRow="0" w:firstColumn="1" w:lastColumn="0" w:oddVBand="0" w:evenVBand="0" w:oddHBand="0" w:evenHBand="0" w:firstRowFirstColumn="0" w:firstRowLastColumn="0" w:lastRowFirstColumn="0" w:lastRowLastColumn="0"/>
            <w:tcW w:w="2684" w:type="dxa"/>
          </w:tcPr>
          <w:p w14:paraId="3B7B3E9C" w14:textId="77777777" w:rsidR="00481EA4" w:rsidRPr="00913595" w:rsidRDefault="00481EA4" w:rsidP="00F46BB9">
            <w:pPr>
              <w:rPr>
                <w:rFonts w:asciiTheme="minorHAnsi" w:hAnsiTheme="minorHAnsi"/>
                <w:szCs w:val="22"/>
              </w:rPr>
            </w:pPr>
            <w:r w:rsidRPr="00913595">
              <w:rPr>
                <w:rFonts w:asciiTheme="minorHAnsi" w:hAnsiTheme="minorHAnsi"/>
                <w:szCs w:val="22"/>
              </w:rPr>
              <w:t>prescription medicines</w:t>
            </w:r>
          </w:p>
        </w:tc>
        <w:tc>
          <w:tcPr>
            <w:tcW w:w="6237" w:type="dxa"/>
          </w:tcPr>
          <w:p w14:paraId="021DB7C0" w14:textId="77777777" w:rsidR="00481EA4" w:rsidRPr="00913595" w:rsidRDefault="008C10F0" w:rsidP="00F46BB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hyperlink r:id="rId26" w:history="1">
              <w:r w:rsidR="00481EA4" w:rsidRPr="00913595">
                <w:rPr>
                  <w:rStyle w:val="Hyperlink"/>
                  <w:rFonts w:asciiTheme="minorHAnsi" w:hAnsiTheme="minorHAnsi"/>
                  <w:i/>
                  <w:szCs w:val="22"/>
                </w:rPr>
                <w:t>Australian Regulatory Guidelines for Prescription Medicines</w:t>
              </w:r>
            </w:hyperlink>
          </w:p>
        </w:tc>
      </w:tr>
      <w:tr w:rsidR="00481EA4" w:rsidRPr="00163C7B" w14:paraId="68E338C5" w14:textId="77777777" w:rsidTr="00F46BB9">
        <w:tc>
          <w:tcPr>
            <w:cnfStyle w:val="001000000000" w:firstRow="0" w:lastRow="0" w:firstColumn="1" w:lastColumn="0" w:oddVBand="0" w:evenVBand="0" w:oddHBand="0" w:evenHBand="0" w:firstRowFirstColumn="0" w:firstRowLastColumn="0" w:lastRowFirstColumn="0" w:lastRowLastColumn="0"/>
            <w:tcW w:w="2684" w:type="dxa"/>
          </w:tcPr>
          <w:p w14:paraId="40E00586" w14:textId="77777777" w:rsidR="00481EA4" w:rsidRPr="00913595" w:rsidRDefault="00481EA4" w:rsidP="00F46BB9">
            <w:pPr>
              <w:rPr>
                <w:rFonts w:asciiTheme="minorHAnsi" w:hAnsiTheme="minorHAnsi"/>
                <w:szCs w:val="22"/>
              </w:rPr>
            </w:pPr>
            <w:r w:rsidRPr="00913595">
              <w:rPr>
                <w:rFonts w:asciiTheme="minorHAnsi" w:hAnsiTheme="minorHAnsi"/>
                <w:szCs w:val="22"/>
              </w:rPr>
              <w:t>OTC medicines</w:t>
            </w:r>
          </w:p>
        </w:tc>
        <w:tc>
          <w:tcPr>
            <w:tcW w:w="6237" w:type="dxa"/>
          </w:tcPr>
          <w:p w14:paraId="6D40C570" w14:textId="77777777" w:rsidR="00481EA4" w:rsidRPr="00913595" w:rsidRDefault="008C10F0" w:rsidP="00F46BB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hyperlink r:id="rId27" w:history="1">
              <w:r w:rsidR="00481EA4" w:rsidRPr="00913595">
                <w:rPr>
                  <w:rStyle w:val="Hyperlink"/>
                  <w:rFonts w:asciiTheme="minorHAnsi" w:hAnsiTheme="minorHAnsi"/>
                  <w:i/>
                  <w:szCs w:val="22"/>
                </w:rPr>
                <w:t>Australian Regulatory Guidelines for OTC Medicines</w:t>
              </w:r>
            </w:hyperlink>
          </w:p>
        </w:tc>
      </w:tr>
      <w:tr w:rsidR="00481EA4" w:rsidRPr="00163C7B" w14:paraId="04480D53" w14:textId="77777777" w:rsidTr="00F46BB9">
        <w:tc>
          <w:tcPr>
            <w:cnfStyle w:val="001000000000" w:firstRow="0" w:lastRow="0" w:firstColumn="1" w:lastColumn="0" w:oddVBand="0" w:evenVBand="0" w:oddHBand="0" w:evenHBand="0" w:firstRowFirstColumn="0" w:firstRowLastColumn="0" w:lastRowFirstColumn="0" w:lastRowLastColumn="0"/>
            <w:tcW w:w="2684" w:type="dxa"/>
          </w:tcPr>
          <w:p w14:paraId="7005CABC" w14:textId="77777777" w:rsidR="00481EA4" w:rsidRPr="00913595" w:rsidRDefault="00481EA4" w:rsidP="00F46BB9">
            <w:pPr>
              <w:rPr>
                <w:rFonts w:asciiTheme="minorHAnsi" w:hAnsiTheme="minorHAnsi"/>
                <w:szCs w:val="22"/>
              </w:rPr>
            </w:pPr>
            <w:r w:rsidRPr="00913595">
              <w:rPr>
                <w:rFonts w:asciiTheme="minorHAnsi" w:hAnsiTheme="minorHAnsi"/>
                <w:szCs w:val="22"/>
              </w:rPr>
              <w:t>complementary medicines</w:t>
            </w:r>
          </w:p>
        </w:tc>
        <w:tc>
          <w:tcPr>
            <w:tcW w:w="6237" w:type="dxa"/>
          </w:tcPr>
          <w:p w14:paraId="293F8117" w14:textId="77777777" w:rsidR="00481EA4" w:rsidRPr="00913595" w:rsidRDefault="008C10F0" w:rsidP="00F46BB9">
            <w:pPr>
              <w:cnfStyle w:val="000000000000" w:firstRow="0" w:lastRow="0" w:firstColumn="0" w:lastColumn="0" w:oddVBand="0" w:evenVBand="0" w:oddHBand="0" w:evenHBand="0" w:firstRowFirstColumn="0" w:firstRowLastColumn="0" w:lastRowFirstColumn="0" w:lastRowLastColumn="0"/>
              <w:rPr>
                <w:rFonts w:asciiTheme="minorHAnsi" w:hAnsiTheme="minorHAnsi"/>
                <w:i/>
                <w:iCs/>
                <w:szCs w:val="22"/>
              </w:rPr>
            </w:pPr>
            <w:hyperlink r:id="rId28" w:history="1">
              <w:r w:rsidR="00481EA4" w:rsidRPr="00913595">
                <w:rPr>
                  <w:rStyle w:val="Hyperlink"/>
                  <w:rFonts w:asciiTheme="minorHAnsi" w:hAnsiTheme="minorHAnsi"/>
                  <w:i/>
                  <w:iCs/>
                  <w:szCs w:val="22"/>
                </w:rPr>
                <w:t>Australian Regulatory Guidelines for Listed Medicines and Registered Complementary Medicines</w:t>
              </w:r>
            </w:hyperlink>
          </w:p>
        </w:tc>
      </w:tr>
      <w:tr w:rsidR="00481EA4" w:rsidRPr="00163C7B" w14:paraId="4D168E26" w14:textId="77777777" w:rsidTr="00F46BB9">
        <w:tc>
          <w:tcPr>
            <w:cnfStyle w:val="001000000000" w:firstRow="0" w:lastRow="0" w:firstColumn="1" w:lastColumn="0" w:oddVBand="0" w:evenVBand="0" w:oddHBand="0" w:evenHBand="0" w:firstRowFirstColumn="0" w:firstRowLastColumn="0" w:lastRowFirstColumn="0" w:lastRowLastColumn="0"/>
            <w:tcW w:w="2684" w:type="dxa"/>
          </w:tcPr>
          <w:p w14:paraId="5B33E4F2" w14:textId="1326CBDF" w:rsidR="00481EA4" w:rsidRPr="00913595" w:rsidRDefault="003F3334" w:rsidP="00F46BB9">
            <w:pPr>
              <w:rPr>
                <w:rFonts w:asciiTheme="minorHAnsi" w:hAnsiTheme="minorHAnsi"/>
                <w:szCs w:val="22"/>
              </w:rPr>
            </w:pPr>
            <w:r w:rsidRPr="00913595">
              <w:rPr>
                <w:rFonts w:asciiTheme="minorHAnsi" w:hAnsiTheme="minorHAnsi"/>
                <w:szCs w:val="22"/>
              </w:rPr>
              <w:t>B</w:t>
            </w:r>
            <w:r w:rsidR="00481EA4" w:rsidRPr="00913595">
              <w:rPr>
                <w:rFonts w:asciiTheme="minorHAnsi" w:hAnsiTheme="minorHAnsi"/>
                <w:szCs w:val="22"/>
              </w:rPr>
              <w:t>iologicals</w:t>
            </w:r>
          </w:p>
        </w:tc>
        <w:tc>
          <w:tcPr>
            <w:tcW w:w="6237" w:type="dxa"/>
          </w:tcPr>
          <w:p w14:paraId="70E2EFCD" w14:textId="77777777" w:rsidR="00481EA4" w:rsidRPr="00913595" w:rsidRDefault="008C10F0" w:rsidP="00F46BB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hyperlink r:id="rId29" w:history="1">
              <w:r w:rsidR="00481EA4" w:rsidRPr="00913595">
                <w:rPr>
                  <w:rStyle w:val="Hyperlink"/>
                  <w:rFonts w:asciiTheme="minorHAnsi" w:hAnsiTheme="minorHAnsi"/>
                  <w:i/>
                  <w:szCs w:val="22"/>
                </w:rPr>
                <w:t>Australian Regulatory Guidelines for Biologicals</w:t>
              </w:r>
            </w:hyperlink>
            <w:r w:rsidR="00481EA4" w:rsidRPr="00913595">
              <w:rPr>
                <w:rFonts w:asciiTheme="minorHAnsi" w:hAnsiTheme="minorHAnsi"/>
                <w:i/>
                <w:szCs w:val="22"/>
              </w:rPr>
              <w:t xml:space="preserve"> </w:t>
            </w:r>
          </w:p>
        </w:tc>
      </w:tr>
    </w:tbl>
    <w:p w14:paraId="68C58D09" w14:textId="77777777" w:rsidR="00E84091" w:rsidRDefault="00E84091">
      <w:pPr>
        <w:spacing w:before="0" w:after="0" w:line="240" w:lineRule="auto"/>
        <w:rPr>
          <w:rFonts w:ascii="Arial" w:eastAsia="Times New Roman" w:hAnsi="Arial"/>
          <w:b/>
          <w:bCs/>
          <w:sz w:val="38"/>
          <w:szCs w:val="38"/>
        </w:rPr>
      </w:pPr>
      <w:r>
        <w:br w:type="page"/>
      </w:r>
    </w:p>
    <w:p w14:paraId="4FCD9719" w14:textId="12FC012B" w:rsidR="00481EA4" w:rsidRPr="004368E0" w:rsidRDefault="00481EA4" w:rsidP="00481EA4">
      <w:pPr>
        <w:pStyle w:val="Heading2"/>
      </w:pPr>
      <w:bookmarkStart w:id="12" w:name="_Toc115442871"/>
      <w:r>
        <w:lastRenderedPageBreak/>
        <w:t>Combination products</w:t>
      </w:r>
      <w:bookmarkEnd w:id="12"/>
    </w:p>
    <w:p w14:paraId="1D2A74D3" w14:textId="77777777" w:rsidR="00481EA4" w:rsidRDefault="00481EA4" w:rsidP="00481EA4">
      <w:pPr>
        <w:pStyle w:val="Heading3"/>
      </w:pPr>
      <w:bookmarkStart w:id="13" w:name="_Toc464470446"/>
      <w:bookmarkStart w:id="14" w:name="_Toc115442872"/>
      <w:r>
        <w:t>Medicine-device combinations</w:t>
      </w:r>
      <w:bookmarkEnd w:id="13"/>
      <w:bookmarkEnd w:id="14"/>
      <w:r>
        <w:t xml:space="preserve"> </w:t>
      </w:r>
    </w:p>
    <w:p w14:paraId="00D074DC" w14:textId="77777777" w:rsidR="00481EA4" w:rsidRDefault="00481EA4" w:rsidP="00481EA4">
      <w:r>
        <w:t>Medical devices</w:t>
      </w:r>
      <w:r w:rsidRPr="00BB1FDC">
        <w:t xml:space="preserve"> that incorporate, o</w:t>
      </w:r>
      <w:r>
        <w:t xml:space="preserve">r are used to administer, a medicine </w:t>
      </w:r>
      <w:proofErr w:type="gramStart"/>
      <w:r>
        <w:t>are</w:t>
      </w:r>
      <w:proofErr w:type="gramEnd"/>
      <w:r w:rsidRPr="00BB1FDC">
        <w:t xml:space="preserve"> regulated as either medical devices or as medicinal products, depending on</w:t>
      </w:r>
      <w:r>
        <w:t xml:space="preserve"> the primary intended purpose</w:t>
      </w:r>
      <w:r w:rsidRPr="00BB1FDC">
        <w:t xml:space="preserve"> of the product</w:t>
      </w:r>
      <w:r>
        <w:t>.</w:t>
      </w:r>
      <w:r w:rsidRPr="00BB1FDC">
        <w:t xml:space="preserve"> </w:t>
      </w:r>
    </w:p>
    <w:p w14:paraId="581FC3DC" w14:textId="77777777" w:rsidR="00481EA4" w:rsidRDefault="00481EA4" w:rsidP="00481EA4">
      <w:pPr>
        <w:pStyle w:val="Heading4"/>
      </w:pPr>
      <w:bookmarkStart w:id="15" w:name="_Toc115442873"/>
      <w:r>
        <w:t>Three types of medicine-device combinations</w:t>
      </w:r>
      <w:bookmarkEnd w:id="15"/>
      <w:r>
        <w:t xml:space="preserve"> </w:t>
      </w:r>
    </w:p>
    <w:p w14:paraId="55A9A1A5" w14:textId="3BBB741B" w:rsidR="00481EA4" w:rsidRPr="00BB1FDC" w:rsidRDefault="00481EA4" w:rsidP="00481EA4">
      <w:r w:rsidRPr="00BB1FDC">
        <w:t>There are three main types of medical device</w:t>
      </w:r>
      <w:r w:rsidR="004B7B2D">
        <w:t>s</w:t>
      </w:r>
      <w:r w:rsidRPr="00BB1FDC">
        <w:t xml:space="preserve"> that incorporate,</w:t>
      </w:r>
      <w:r>
        <w:t xml:space="preserve"> or are used to administer, a me</w:t>
      </w:r>
      <w:r w:rsidRPr="00BB1FDC">
        <w:t xml:space="preserve">dicinal product: </w:t>
      </w:r>
    </w:p>
    <w:p w14:paraId="67AB0A42" w14:textId="77777777" w:rsidR="00481EA4" w:rsidRPr="009814BF" w:rsidRDefault="00481EA4" w:rsidP="00481EA4">
      <w:r w:rsidRPr="009814BF">
        <w:rPr>
          <w:b/>
          <w:bCs/>
        </w:rPr>
        <w:t xml:space="preserve">Devices that are used to administer a medicine </w:t>
      </w:r>
    </w:p>
    <w:p w14:paraId="27B58595" w14:textId="77777777" w:rsidR="00481EA4" w:rsidRPr="009814BF" w:rsidRDefault="00481EA4" w:rsidP="00481EA4">
      <w:r w:rsidRPr="009814BF">
        <w:t>For example, a syringe marketed empty, medicine spoons, droppers etc. These products are normally regulated as medical devices when supplied separately.</w:t>
      </w:r>
    </w:p>
    <w:p w14:paraId="79D2656A" w14:textId="77777777" w:rsidR="00481EA4" w:rsidRDefault="00481EA4" w:rsidP="00481EA4">
      <w:r w:rsidRPr="009814BF">
        <w:t xml:space="preserve">When medicine measures are co-packaged with or contained within the same pack as the medicine and where the device is intended to be used to measure </w:t>
      </w:r>
      <w:r>
        <w:t xml:space="preserve">or administer </w:t>
      </w:r>
      <w:r w:rsidRPr="009814BF">
        <w:t>the medicine in the pack, the entire product is regulated as a medicine. Example is paracetamol oral liquid and its measuring syringe or a cup.</w:t>
      </w:r>
      <w:r w:rsidRPr="009814BF" w:rsidDel="009814BF">
        <w:t xml:space="preserve"> </w:t>
      </w:r>
      <w:r>
        <w:t>The device component does not have to be included in the ARTG.</w:t>
      </w:r>
    </w:p>
    <w:p w14:paraId="17898DDE" w14:textId="77777777" w:rsidR="00481EA4" w:rsidRPr="009814BF" w:rsidRDefault="00481EA4" w:rsidP="00481EA4">
      <w:r w:rsidRPr="009814BF">
        <w:rPr>
          <w:b/>
          <w:bCs/>
        </w:rPr>
        <w:t xml:space="preserve">Devices for administering medicines where the device and the medicine form a single integral product designed to be used exclusively in the given combination and that are not re-usable or refillable </w:t>
      </w:r>
    </w:p>
    <w:p w14:paraId="131448F4" w14:textId="77777777" w:rsidR="00481EA4" w:rsidRDefault="00481EA4" w:rsidP="00481EA4">
      <w:r w:rsidRPr="009814BF">
        <w:t xml:space="preserve">Note that this circumstance is covered by the </w:t>
      </w:r>
      <w:hyperlink r:id="rId30" w:history="1">
        <w:r w:rsidRPr="009814BF">
          <w:rPr>
            <w:rStyle w:val="Hyperlink"/>
            <w:lang w:eastAsia="en-AU"/>
          </w:rPr>
          <w:t>Therapeutic Goods (Articles that are not Medical Devices) Order No. 1 of 2010</w:t>
        </w:r>
      </w:hyperlink>
    </w:p>
    <w:p w14:paraId="0C3F812D" w14:textId="5F1A05FB" w:rsidR="00481EA4" w:rsidRPr="00BB1FDC" w:rsidRDefault="00481EA4" w:rsidP="00481EA4">
      <w:r w:rsidRPr="00BB1FDC">
        <w:t>For example</w:t>
      </w:r>
      <w:r w:rsidR="0037442E">
        <w:t>,</w:t>
      </w:r>
      <w:r w:rsidRPr="00BB1FDC">
        <w:t xml:space="preserve"> a syrin</w:t>
      </w:r>
      <w:r>
        <w:t>ge marketed pre-filled with a medicine, or an asthma puffer</w:t>
      </w:r>
      <w:r w:rsidRPr="00BB1FDC">
        <w:t xml:space="preserve">. These products are regulated as medicines, although in addition to this, the relevant Essential Principles of Schedule 1 of the </w:t>
      </w:r>
      <w:r w:rsidR="00F65CC8">
        <w:rPr>
          <w:iCs/>
        </w:rPr>
        <w:t>MD Regulations</w:t>
      </w:r>
      <w:r w:rsidRPr="00BB1FDC">
        <w:rPr>
          <w:i/>
        </w:rPr>
        <w:t xml:space="preserve"> </w:t>
      </w:r>
      <w:r w:rsidRPr="00BB1FDC">
        <w:t>apply with respect to safety and performance related features of the device (</w:t>
      </w:r>
      <w:proofErr w:type="gramStart"/>
      <w:r w:rsidRPr="00BB1FDC">
        <w:t>e.g.</w:t>
      </w:r>
      <w:proofErr w:type="gramEnd"/>
      <w:r w:rsidRPr="00BB1FDC">
        <w:t xml:space="preserve"> a syringe forming part of such a product). </w:t>
      </w:r>
      <w:r>
        <w:t>The device component does not have to be included in the ARTG.</w:t>
      </w:r>
    </w:p>
    <w:p w14:paraId="7B4B483A" w14:textId="77777777" w:rsidR="00481EA4" w:rsidRPr="00BB1FDC" w:rsidRDefault="00481EA4" w:rsidP="00481EA4">
      <w:r w:rsidRPr="00BB1FDC">
        <w:rPr>
          <w:b/>
          <w:bCs/>
        </w:rPr>
        <w:t xml:space="preserve">Devices incorporating, as an integral part, a substance, </w:t>
      </w:r>
      <w:r>
        <w:rPr>
          <w:b/>
          <w:bCs/>
        </w:rPr>
        <w:t>that</w:t>
      </w:r>
      <w:r w:rsidRPr="00BB1FDC">
        <w:rPr>
          <w:b/>
          <w:bCs/>
        </w:rPr>
        <w:t xml:space="preserve">, if used separately, may </w:t>
      </w:r>
      <w:proofErr w:type="gramStart"/>
      <w:r w:rsidRPr="00BB1FDC">
        <w:rPr>
          <w:b/>
          <w:bCs/>
        </w:rPr>
        <w:t>be cons</w:t>
      </w:r>
      <w:r>
        <w:rPr>
          <w:b/>
          <w:bCs/>
        </w:rPr>
        <w:t>idered to be</w:t>
      </w:r>
      <w:proofErr w:type="gramEnd"/>
      <w:r>
        <w:rPr>
          <w:b/>
          <w:bCs/>
        </w:rPr>
        <w:t xml:space="preserve"> a medicine</w:t>
      </w:r>
      <w:r w:rsidRPr="00BB1FDC">
        <w:rPr>
          <w:b/>
          <w:bCs/>
        </w:rPr>
        <w:t xml:space="preserve"> and where the substance is liable to act upon the body with action ancillary to that of the device. </w:t>
      </w:r>
    </w:p>
    <w:p w14:paraId="121ED1B5" w14:textId="77777777" w:rsidR="00481EA4" w:rsidRPr="00BB1FDC" w:rsidRDefault="00481EA4" w:rsidP="00481EA4">
      <w:r w:rsidRPr="00BB1FDC">
        <w:t xml:space="preserve">For example, a heparin coated catheter. These products are regulated as medical devices. In addition, the safety, </w:t>
      </w:r>
      <w:proofErr w:type="gramStart"/>
      <w:r w:rsidRPr="00BB1FDC">
        <w:t>quality</w:t>
      </w:r>
      <w:proofErr w:type="gramEnd"/>
      <w:r w:rsidRPr="00BB1FDC">
        <w:t xml:space="preserve"> and usefulness of the medicinal substance must be verified by the relevant Branch of the TGA. Note</w:t>
      </w:r>
      <w:r>
        <w:t xml:space="preserve"> that ‘medicine</w:t>
      </w:r>
      <w:r w:rsidRPr="00BB1FDC">
        <w:t xml:space="preserve">’ in this context includes all substances </w:t>
      </w:r>
      <w:r>
        <w:t>that</w:t>
      </w:r>
      <w:r w:rsidRPr="00BB1FDC">
        <w:t xml:space="preserve"> may </w:t>
      </w:r>
      <w:proofErr w:type="gramStart"/>
      <w:r w:rsidRPr="00BB1FDC">
        <w:t>be con</w:t>
      </w:r>
      <w:r>
        <w:t>sidered to be</w:t>
      </w:r>
      <w:proofErr w:type="gramEnd"/>
      <w:r>
        <w:t xml:space="preserve"> medicines</w:t>
      </w:r>
      <w:r w:rsidRPr="00BB1FDC">
        <w:t>, inc</w:t>
      </w:r>
      <w:r>
        <w:t>luding herbal medicines</w:t>
      </w:r>
      <w:r w:rsidRPr="00BB1FDC">
        <w:t xml:space="preserve"> (includ</w:t>
      </w:r>
      <w:r>
        <w:t xml:space="preserve">ing herbal and plant extracts) </w:t>
      </w:r>
      <w:r w:rsidRPr="00BB1FDC">
        <w:t xml:space="preserve">and substances derived from human blood or blood plasma. </w:t>
      </w:r>
    </w:p>
    <w:p w14:paraId="435FD150" w14:textId="77777777" w:rsidR="00481EA4" w:rsidRPr="0008021B" w:rsidRDefault="00481EA4" w:rsidP="00481EA4">
      <w:r w:rsidRPr="00BB1FDC">
        <w:t xml:space="preserve">‘Integral’ is usually taken to mean a single component product. However, there may be </w:t>
      </w:r>
      <w:r w:rsidRPr="00FD63E9">
        <w:t xml:space="preserve">circumstances where it may be taken to mean two elements that are packaged together and combined into one product immediately prior to administration to the patient. </w:t>
      </w:r>
    </w:p>
    <w:p w14:paraId="4DEDCB9E" w14:textId="77777777" w:rsidR="00481EA4" w:rsidRDefault="00481EA4" w:rsidP="00481EA4">
      <w:r w:rsidRPr="00FD63E9">
        <w:t xml:space="preserve">Note that medicine device combinations may be covered by System or Procedure Packs and there is specific guidance on these available at </w:t>
      </w:r>
      <w:hyperlink r:id="rId31" w:history="1">
        <w:r w:rsidRPr="00FD63E9">
          <w:rPr>
            <w:rStyle w:val="Hyperlink"/>
          </w:rPr>
          <w:t>System or procedure packs | Therapeutic Goods Administration (TGA)</w:t>
        </w:r>
      </w:hyperlink>
      <w:r w:rsidRPr="00FD63E9">
        <w:t xml:space="preserve"> .</w:t>
      </w:r>
    </w:p>
    <w:p w14:paraId="36A95945" w14:textId="77777777" w:rsidR="00481EA4" w:rsidRPr="00E84091" w:rsidRDefault="00481EA4" w:rsidP="00E84091">
      <w:pPr>
        <w:pStyle w:val="Heading3"/>
      </w:pPr>
      <w:bookmarkStart w:id="16" w:name="_Toc115442874"/>
      <w:r w:rsidRPr="00E84091">
        <w:lastRenderedPageBreak/>
        <w:t>Biological – medical device combinations</w:t>
      </w:r>
      <w:bookmarkEnd w:id="16"/>
    </w:p>
    <w:p w14:paraId="19D282FC" w14:textId="74262F85" w:rsidR="00481EA4" w:rsidRDefault="00481EA4" w:rsidP="00481EA4">
      <w:r w:rsidRPr="006A05A3">
        <w:t>Biologicals presented as a combination product with a medical device</w:t>
      </w:r>
      <w:r>
        <w:t xml:space="preserve"> component</w:t>
      </w:r>
      <w:r w:rsidRPr="006A05A3">
        <w:t xml:space="preserve"> (</w:t>
      </w:r>
      <w:proofErr w:type="gramStart"/>
      <w:r w:rsidRPr="006A05A3">
        <w:t>i.e.</w:t>
      </w:r>
      <w:proofErr w:type="gramEnd"/>
      <w:r w:rsidRPr="006A05A3">
        <w:t xml:space="preserve"> integrated with the medical device)</w:t>
      </w:r>
      <w:r>
        <w:t>,</w:t>
      </w:r>
      <w:r w:rsidRPr="006A05A3">
        <w:t xml:space="preserve"> such as a metal stent coated with a matrix and endothelial cells, </w:t>
      </w:r>
      <w:r>
        <w:t xml:space="preserve">are </w:t>
      </w:r>
      <w:r w:rsidRPr="006A05A3">
        <w:t xml:space="preserve">regulated under the Biologicals Regulatory Framework and included </w:t>
      </w:r>
      <w:r>
        <w:t>i</w:t>
      </w:r>
      <w:r w:rsidRPr="006A05A3">
        <w:t>n the ARTG as a biological. The device (</w:t>
      </w:r>
      <w:proofErr w:type="gramStart"/>
      <w:r w:rsidRPr="006A05A3">
        <w:t>e.g.</w:t>
      </w:r>
      <w:proofErr w:type="gramEnd"/>
      <w:r w:rsidRPr="006A05A3">
        <w:t xml:space="preserve"> the metal stent itself) will be assessed according to medical device regulatory requirements but will not be included </w:t>
      </w:r>
      <w:r>
        <w:t>i</w:t>
      </w:r>
      <w:r w:rsidRPr="006A05A3">
        <w:t>n the ARTG separately.</w:t>
      </w:r>
    </w:p>
    <w:p w14:paraId="3BF7CBFF" w14:textId="77777777" w:rsidR="00481EA4" w:rsidRPr="00E84091" w:rsidRDefault="00481EA4" w:rsidP="00E84091">
      <w:pPr>
        <w:pStyle w:val="Heading3"/>
      </w:pPr>
      <w:bookmarkStart w:id="17" w:name="_Toc115442875"/>
      <w:r w:rsidRPr="00E84091">
        <w:t>Biological – medicine combinations</w:t>
      </w:r>
      <w:bookmarkEnd w:id="17"/>
    </w:p>
    <w:p w14:paraId="2C59D64C" w14:textId="77777777" w:rsidR="00481EA4" w:rsidRDefault="00481EA4" w:rsidP="00481EA4">
      <w:r w:rsidRPr="006A05A3">
        <w:t>Biologicals presented as a combination product with a medic</w:t>
      </w:r>
      <w:r>
        <w:t>ine component</w:t>
      </w:r>
      <w:r w:rsidRPr="006A05A3">
        <w:t xml:space="preserve"> </w:t>
      </w:r>
      <w:r>
        <w:t xml:space="preserve">are </w:t>
      </w:r>
      <w:r w:rsidRPr="006A05A3">
        <w:t xml:space="preserve">regulated under the Biologicals Regulatory Framework and included </w:t>
      </w:r>
      <w:r>
        <w:t>i</w:t>
      </w:r>
      <w:r w:rsidRPr="006A05A3">
        <w:t>n the ARTG as a biological</w:t>
      </w:r>
      <w:r>
        <w:t xml:space="preserve"> </w:t>
      </w:r>
      <w:proofErr w:type="gramStart"/>
      <w:r>
        <w:t>e.g.</w:t>
      </w:r>
      <w:proofErr w:type="gramEnd"/>
      <w:r>
        <w:t xml:space="preserve"> CAR-T with ligand/Ab.</w:t>
      </w:r>
    </w:p>
    <w:p w14:paraId="0D7EE13A" w14:textId="77777777" w:rsidR="00481EA4" w:rsidRPr="00993625" w:rsidRDefault="00481EA4" w:rsidP="00481EA4">
      <w:pPr>
        <w:pStyle w:val="Heading3"/>
        <w:rPr>
          <w:lang w:eastAsia="en-AU"/>
        </w:rPr>
      </w:pPr>
      <w:bookmarkStart w:id="18" w:name="_Toc70482460"/>
      <w:bookmarkStart w:id="19" w:name="_Toc115442876"/>
      <w:r w:rsidRPr="00993625">
        <w:rPr>
          <w:lang w:eastAsia="en-AU"/>
        </w:rPr>
        <w:t>Excluded goods</w:t>
      </w:r>
      <w:bookmarkEnd w:id="18"/>
      <w:bookmarkEnd w:id="19"/>
    </w:p>
    <w:p w14:paraId="579329B6" w14:textId="0E0C49A4" w:rsidR="00481EA4" w:rsidRDefault="00481EA4" w:rsidP="00481EA4">
      <w:pPr>
        <w:rPr>
          <w:lang w:eastAsia="en-AU"/>
        </w:rPr>
      </w:pPr>
      <w:r w:rsidRPr="00FC2439">
        <w:rPr>
          <w:lang w:eastAsia="en-AU"/>
        </w:rPr>
        <w:t>The Secretary may, by</w:t>
      </w:r>
      <w:r w:rsidR="003F3334">
        <w:rPr>
          <w:lang w:eastAsia="en-AU"/>
        </w:rPr>
        <w:t xml:space="preserve"> publication of </w:t>
      </w:r>
      <w:proofErr w:type="gramStart"/>
      <w:r w:rsidR="003F3334">
        <w:rPr>
          <w:lang w:eastAsia="en-AU"/>
        </w:rPr>
        <w:t xml:space="preserve">an </w:t>
      </w:r>
      <w:r w:rsidRPr="00FC2439">
        <w:rPr>
          <w:lang w:eastAsia="en-AU"/>
        </w:rPr>
        <w:t xml:space="preserve"> </w:t>
      </w:r>
      <w:r w:rsidR="003F3334">
        <w:rPr>
          <w:lang w:eastAsia="en-AU"/>
        </w:rPr>
        <w:t>O</w:t>
      </w:r>
      <w:r w:rsidRPr="00FC2439">
        <w:rPr>
          <w:lang w:eastAsia="en-AU"/>
        </w:rPr>
        <w:t>rder</w:t>
      </w:r>
      <w:proofErr w:type="gramEnd"/>
      <w:r w:rsidRPr="00FC2439">
        <w:rPr>
          <w:lang w:eastAsia="en-AU"/>
        </w:rPr>
        <w:t xml:space="preserve"> declare that particular goods are not, for the purposes of the Act, therapeutic goods.  </w:t>
      </w:r>
      <w:r>
        <w:rPr>
          <w:lang w:eastAsia="en-AU"/>
        </w:rPr>
        <w:t xml:space="preserve">Information on Excluded Goods </w:t>
      </w:r>
      <w:r w:rsidRPr="00FC2439">
        <w:rPr>
          <w:lang w:eastAsia="en-AU"/>
        </w:rPr>
        <w:t>is available on the TGA website at</w:t>
      </w:r>
      <w:r>
        <w:rPr>
          <w:lang w:eastAsia="en-AU"/>
        </w:rPr>
        <w:t xml:space="preserve"> </w:t>
      </w:r>
      <w:hyperlink r:id="rId32" w:history="1">
        <w:r w:rsidRPr="00BF5EB9">
          <w:rPr>
            <w:rStyle w:val="Hyperlink"/>
            <w:lang w:eastAsia="en-AU"/>
          </w:rPr>
          <w:t xml:space="preserve">Excluded goods orders, </w:t>
        </w:r>
        <w:proofErr w:type="gramStart"/>
        <w:r w:rsidRPr="00BF5EB9">
          <w:rPr>
            <w:rStyle w:val="Hyperlink"/>
            <w:lang w:eastAsia="en-AU"/>
          </w:rPr>
          <w:t>determinations</w:t>
        </w:r>
        <w:proofErr w:type="gramEnd"/>
        <w:r w:rsidRPr="00BF5EB9">
          <w:rPr>
            <w:rStyle w:val="Hyperlink"/>
            <w:lang w:eastAsia="en-AU"/>
          </w:rPr>
          <w:t xml:space="preserve"> and specifications</w:t>
        </w:r>
      </w:hyperlink>
      <w:r>
        <w:rPr>
          <w:lang w:eastAsia="en-AU"/>
        </w:rPr>
        <w:t>.</w:t>
      </w:r>
      <w:r w:rsidRPr="009909B5" w:rsidDel="009909B5">
        <w:rPr>
          <w:lang w:eastAsia="en-AU"/>
        </w:rPr>
        <w:t xml:space="preserve"> </w:t>
      </w:r>
    </w:p>
    <w:p w14:paraId="43B41B6F" w14:textId="77777777" w:rsidR="00481EA4" w:rsidRDefault="00481EA4" w:rsidP="00481EA4">
      <w:pPr>
        <w:pStyle w:val="Heading3"/>
        <w:rPr>
          <w:lang w:eastAsia="en-AU"/>
        </w:rPr>
      </w:pPr>
      <w:bookmarkStart w:id="20" w:name="_Toc115442877"/>
      <w:r>
        <w:rPr>
          <w:lang w:eastAsia="en-AU"/>
        </w:rPr>
        <w:t>Exempt goods</w:t>
      </w:r>
      <w:bookmarkEnd w:id="20"/>
    </w:p>
    <w:p w14:paraId="6F8D55E0" w14:textId="43471C07" w:rsidR="00481EA4" w:rsidRPr="00372793" w:rsidRDefault="00481EA4" w:rsidP="00481EA4">
      <w:pPr>
        <w:rPr>
          <w:lang w:eastAsia="en-AU"/>
        </w:rPr>
      </w:pPr>
      <w:r>
        <w:rPr>
          <w:lang w:eastAsia="en-AU"/>
        </w:rPr>
        <w:t xml:space="preserve">After determining the appropriate regulatory framework for a therapeutic product, it would be necessary to see if any exemptions apply to the goods. It should be noted </w:t>
      </w:r>
      <w:r w:rsidR="00CC312C">
        <w:rPr>
          <w:lang w:eastAsia="en-AU"/>
        </w:rPr>
        <w:t xml:space="preserve">that </w:t>
      </w:r>
      <w:r>
        <w:rPr>
          <w:lang w:eastAsia="en-AU"/>
        </w:rPr>
        <w:t>even if</w:t>
      </w:r>
      <w:r w:rsidR="00CC312C">
        <w:rPr>
          <w:lang w:eastAsia="en-AU"/>
        </w:rPr>
        <w:t xml:space="preserve"> the good is</w:t>
      </w:r>
      <w:r>
        <w:rPr>
          <w:lang w:eastAsia="en-AU"/>
        </w:rPr>
        <w:t xml:space="preserve"> exempt this may only be from entry on the ARTG, and other aspects of the regulatory framework continue to apply.</w:t>
      </w:r>
    </w:p>
    <w:p w14:paraId="1C246970" w14:textId="77777777" w:rsidR="00481EA4" w:rsidRDefault="00481EA4" w:rsidP="00481EA4">
      <w:pPr>
        <w:pStyle w:val="Heading3"/>
        <w:rPr>
          <w:lang w:eastAsia="en-AU"/>
        </w:rPr>
      </w:pPr>
      <w:bookmarkStart w:id="21" w:name="_Toc115442878"/>
      <w:r>
        <w:rPr>
          <w:lang w:eastAsia="en-AU"/>
        </w:rPr>
        <w:t>Specific Boundary Product Guidance</w:t>
      </w:r>
      <w:bookmarkEnd w:id="21"/>
    </w:p>
    <w:p w14:paraId="3BEDB94A" w14:textId="77777777" w:rsidR="00481EA4" w:rsidRDefault="00481EA4" w:rsidP="00481EA4">
      <w:pPr>
        <w:rPr>
          <w:lang w:eastAsia="en-AU"/>
        </w:rPr>
      </w:pPr>
      <w:r>
        <w:rPr>
          <w:lang w:eastAsia="en-AU"/>
        </w:rPr>
        <w:t xml:space="preserve">Refer to </w:t>
      </w:r>
      <w:hyperlink w:anchor="_Appendix_1" w:history="1">
        <w:r w:rsidRPr="00EF7C49">
          <w:rPr>
            <w:rStyle w:val="Hyperlink"/>
            <w:lang w:eastAsia="en-AU"/>
          </w:rPr>
          <w:t>Appendix 1</w:t>
        </w:r>
      </w:hyperlink>
      <w:r>
        <w:rPr>
          <w:lang w:eastAsia="en-AU"/>
        </w:rPr>
        <w:t xml:space="preserve"> of this guidance for more information on specific boundary products and which regulatory pathway is applicable.  </w:t>
      </w:r>
    </w:p>
    <w:p w14:paraId="29EA304A" w14:textId="77777777" w:rsidR="00481EA4" w:rsidRDefault="00481EA4" w:rsidP="00481EA4">
      <w:pPr>
        <w:spacing w:before="0" w:after="0" w:line="240" w:lineRule="auto"/>
        <w:rPr>
          <w:lang w:eastAsia="en-AU"/>
        </w:rPr>
      </w:pPr>
      <w:r>
        <w:rPr>
          <w:lang w:eastAsia="en-AU"/>
        </w:rPr>
        <w:br w:type="page"/>
      </w:r>
    </w:p>
    <w:p w14:paraId="184B49A6" w14:textId="77777777" w:rsidR="00481EA4" w:rsidRDefault="00481EA4" w:rsidP="00481EA4">
      <w:pPr>
        <w:pStyle w:val="Heading2"/>
      </w:pPr>
      <w:bookmarkStart w:id="22" w:name="_Appendix_1"/>
      <w:bookmarkStart w:id="23" w:name="_Toc87349208"/>
      <w:bookmarkStart w:id="24" w:name="_Toc115442879"/>
      <w:bookmarkEnd w:id="22"/>
      <w:r w:rsidRPr="002B0DB3">
        <w:lastRenderedPageBreak/>
        <w:t>Appendix 1</w:t>
      </w:r>
      <w:bookmarkEnd w:id="23"/>
      <w:bookmarkEnd w:id="24"/>
    </w:p>
    <w:p w14:paraId="1B5512B7" w14:textId="77777777" w:rsidR="00481EA4" w:rsidRPr="00F65275" w:rsidRDefault="00481EA4" w:rsidP="00763FAF">
      <w:pPr>
        <w:pStyle w:val="Heading3"/>
        <w:spacing w:before="360"/>
      </w:pPr>
      <w:bookmarkStart w:id="25" w:name="_Toc115442880"/>
      <w:r w:rsidRPr="00F65275">
        <w:t>Guidance on product regulatory pathway</w:t>
      </w:r>
      <w:bookmarkEnd w:id="25"/>
      <w:r w:rsidRPr="00F65275" w:rsidDel="009A4FAE">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32"/>
        <w:gridCol w:w="3261"/>
      </w:tblGrid>
      <w:tr w:rsidR="003A5162" w:rsidRPr="00EE1BD1" w14:paraId="51E1DD17" w14:textId="77777777" w:rsidTr="00763FAF">
        <w:trPr>
          <w:trHeight w:val="561"/>
          <w:tblHeader/>
        </w:trPr>
        <w:tc>
          <w:tcPr>
            <w:tcW w:w="6232" w:type="dxa"/>
            <w:shd w:val="clear" w:color="auto" w:fill="F2F2F2" w:themeFill="background1" w:themeFillShade="F2"/>
            <w:noWrap/>
            <w:vAlign w:val="center"/>
            <w:hideMark/>
          </w:tcPr>
          <w:p w14:paraId="1FE128C3" w14:textId="58B1AD87" w:rsidR="00481EA4" w:rsidRPr="003A5162" w:rsidRDefault="00481EA4" w:rsidP="000864D9">
            <w:pPr>
              <w:spacing w:before="0" w:after="0" w:line="240" w:lineRule="auto"/>
              <w:rPr>
                <w:rFonts w:ascii="Arial" w:eastAsia="Times New Roman" w:hAnsi="Arial" w:cs="Arial"/>
                <w:b/>
                <w:bCs/>
                <w:color w:val="000000"/>
                <w:sz w:val="32"/>
                <w:szCs w:val="32"/>
                <w:lang w:eastAsia="en-AU"/>
              </w:rPr>
            </w:pPr>
            <w:r w:rsidRPr="003A5162">
              <w:rPr>
                <w:rFonts w:ascii="Arial" w:eastAsia="Times New Roman" w:hAnsi="Arial" w:cs="Arial"/>
                <w:b/>
                <w:bCs/>
                <w:color w:val="000000"/>
                <w:sz w:val="32"/>
                <w:szCs w:val="32"/>
                <w:lang w:eastAsia="en-AU"/>
              </w:rPr>
              <w:t>Product</w:t>
            </w:r>
          </w:p>
        </w:tc>
        <w:tc>
          <w:tcPr>
            <w:tcW w:w="3261" w:type="dxa"/>
            <w:shd w:val="clear" w:color="auto" w:fill="F2F2F2" w:themeFill="background1" w:themeFillShade="F2"/>
            <w:noWrap/>
            <w:vAlign w:val="center"/>
            <w:hideMark/>
          </w:tcPr>
          <w:p w14:paraId="1BE59716" w14:textId="77777777" w:rsidR="00481EA4" w:rsidRPr="003A5162" w:rsidRDefault="00481EA4" w:rsidP="000864D9">
            <w:pPr>
              <w:spacing w:before="0" w:after="0" w:line="240" w:lineRule="auto"/>
              <w:rPr>
                <w:rFonts w:ascii="Arial" w:eastAsia="Times New Roman" w:hAnsi="Arial" w:cs="Arial"/>
                <w:b/>
                <w:bCs/>
                <w:color w:val="000000"/>
                <w:sz w:val="32"/>
                <w:szCs w:val="32"/>
                <w:lang w:eastAsia="en-AU"/>
              </w:rPr>
            </w:pPr>
            <w:r w:rsidRPr="003A5162">
              <w:rPr>
                <w:rFonts w:ascii="Arial" w:eastAsia="Times New Roman" w:hAnsi="Arial" w:cs="Arial"/>
                <w:b/>
                <w:bCs/>
                <w:color w:val="000000"/>
                <w:sz w:val="32"/>
                <w:szCs w:val="32"/>
                <w:lang w:eastAsia="en-AU"/>
              </w:rPr>
              <w:t>Regulatory Pathway</w:t>
            </w:r>
          </w:p>
        </w:tc>
      </w:tr>
      <w:tr w:rsidR="003A5162" w:rsidRPr="00EE1BD1" w14:paraId="069B370B" w14:textId="77777777" w:rsidTr="00763FAF">
        <w:trPr>
          <w:trHeight w:val="405"/>
        </w:trPr>
        <w:tc>
          <w:tcPr>
            <w:tcW w:w="6232" w:type="dxa"/>
            <w:shd w:val="clear" w:color="auto" w:fill="auto"/>
            <w:noWrap/>
            <w:vAlign w:val="center"/>
            <w:hideMark/>
          </w:tcPr>
          <w:p w14:paraId="60EB9ABD" w14:textId="23351ECB"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26" w:name="RANGE!A2"/>
            <w:r w:rsidRPr="003A5162">
              <w:rPr>
                <w:rFonts w:ascii="Arial" w:eastAsia="Times New Roman" w:hAnsi="Arial" w:cs="Arial"/>
                <w:b/>
                <w:bCs/>
                <w:color w:val="000000"/>
                <w:sz w:val="28"/>
                <w:szCs w:val="28"/>
                <w:lang w:eastAsia="en-AU"/>
              </w:rPr>
              <w:t>Absorbable, with shape, used in surgery:</w:t>
            </w:r>
            <w:bookmarkEnd w:id="26"/>
          </w:p>
        </w:tc>
        <w:tc>
          <w:tcPr>
            <w:tcW w:w="3261" w:type="dxa"/>
            <w:shd w:val="clear" w:color="auto" w:fill="auto"/>
            <w:noWrap/>
            <w:vAlign w:val="bottom"/>
            <w:hideMark/>
          </w:tcPr>
          <w:p w14:paraId="499C2744"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2091235F" w14:textId="77777777" w:rsidTr="00763FAF">
        <w:trPr>
          <w:trHeight w:val="300"/>
        </w:trPr>
        <w:tc>
          <w:tcPr>
            <w:tcW w:w="6232" w:type="dxa"/>
            <w:shd w:val="clear" w:color="auto" w:fill="auto"/>
            <w:noWrap/>
            <w:vAlign w:val="center"/>
            <w:hideMark/>
          </w:tcPr>
          <w:p w14:paraId="0B9B6496" w14:textId="605FFD08"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sutures</w:t>
            </w:r>
          </w:p>
        </w:tc>
        <w:tc>
          <w:tcPr>
            <w:tcW w:w="3261" w:type="dxa"/>
            <w:shd w:val="clear" w:color="auto" w:fill="auto"/>
            <w:noWrap/>
            <w:vAlign w:val="bottom"/>
            <w:hideMark/>
          </w:tcPr>
          <w:p w14:paraId="636E7BD2"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1F523610" w14:textId="77777777" w:rsidTr="00763FAF">
        <w:trPr>
          <w:trHeight w:val="300"/>
        </w:trPr>
        <w:tc>
          <w:tcPr>
            <w:tcW w:w="6232" w:type="dxa"/>
            <w:shd w:val="clear" w:color="auto" w:fill="auto"/>
            <w:noWrap/>
            <w:vAlign w:val="center"/>
            <w:hideMark/>
          </w:tcPr>
          <w:p w14:paraId="7B06C58E" w14:textId="52AB011E"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 xml:space="preserve">staples </w:t>
            </w:r>
          </w:p>
        </w:tc>
        <w:tc>
          <w:tcPr>
            <w:tcW w:w="3261" w:type="dxa"/>
            <w:shd w:val="clear" w:color="auto" w:fill="auto"/>
            <w:noWrap/>
            <w:vAlign w:val="bottom"/>
            <w:hideMark/>
          </w:tcPr>
          <w:p w14:paraId="4DD5D4D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4BAF9B76" w14:textId="77777777" w:rsidTr="00763FAF">
        <w:trPr>
          <w:trHeight w:val="300"/>
        </w:trPr>
        <w:tc>
          <w:tcPr>
            <w:tcW w:w="6232" w:type="dxa"/>
            <w:shd w:val="clear" w:color="auto" w:fill="auto"/>
            <w:noWrap/>
            <w:vAlign w:val="center"/>
            <w:hideMark/>
          </w:tcPr>
          <w:p w14:paraId="2FF0B903" w14:textId="6A0B4AE4"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 xml:space="preserve">bone fixation devices </w:t>
            </w:r>
          </w:p>
        </w:tc>
        <w:tc>
          <w:tcPr>
            <w:tcW w:w="3261" w:type="dxa"/>
            <w:shd w:val="clear" w:color="auto" w:fill="auto"/>
            <w:noWrap/>
            <w:vAlign w:val="bottom"/>
            <w:hideMark/>
          </w:tcPr>
          <w:p w14:paraId="40F68095"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54BFF5C" w14:textId="77777777" w:rsidTr="00763FAF">
        <w:trPr>
          <w:trHeight w:val="300"/>
        </w:trPr>
        <w:tc>
          <w:tcPr>
            <w:tcW w:w="6232" w:type="dxa"/>
            <w:shd w:val="clear" w:color="auto" w:fill="auto"/>
            <w:noWrap/>
            <w:vAlign w:val="center"/>
            <w:hideMark/>
          </w:tcPr>
          <w:p w14:paraId="2AEBD4B6" w14:textId="47CFF793"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resorbable bone plates (polylactic/polyglycolic acid)</w:t>
            </w:r>
          </w:p>
        </w:tc>
        <w:tc>
          <w:tcPr>
            <w:tcW w:w="3261" w:type="dxa"/>
            <w:shd w:val="clear" w:color="auto" w:fill="auto"/>
            <w:noWrap/>
            <w:vAlign w:val="bottom"/>
            <w:hideMark/>
          </w:tcPr>
          <w:p w14:paraId="344C119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0E271F51" w14:textId="77777777" w:rsidTr="00763FAF">
        <w:trPr>
          <w:trHeight w:val="300"/>
        </w:trPr>
        <w:tc>
          <w:tcPr>
            <w:tcW w:w="6232" w:type="dxa"/>
            <w:shd w:val="clear" w:color="auto" w:fill="auto"/>
            <w:noWrap/>
            <w:vAlign w:val="center"/>
            <w:hideMark/>
          </w:tcPr>
          <w:p w14:paraId="2F905207" w14:textId="7FA9110F"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proofErr w:type="gramStart"/>
            <w:r w:rsidRPr="00BA75A5">
              <w:rPr>
                <w:rFonts w:eastAsia="Times New Roman" w:cstheme="minorHAnsi"/>
                <w:color w:val="000000"/>
                <w:sz w:val="22"/>
                <w:lang w:eastAsia="en-AU"/>
              </w:rPr>
              <w:t>sponges</w:t>
            </w:r>
            <w:r w:rsidRPr="00F65275">
              <w:rPr>
                <w:rFonts w:eastAsia="Times New Roman" w:cstheme="minorHAnsi"/>
                <w:color w:val="000000"/>
                <w:sz w:val="22"/>
                <w:lang w:eastAsia="en-AU"/>
              </w:rPr>
              <w:t>  </w:t>
            </w:r>
            <w:r w:rsidRPr="00BA75A5">
              <w:rPr>
                <w:rFonts w:eastAsia="Times New Roman" w:cstheme="minorHAnsi"/>
                <w:color w:val="000000"/>
                <w:sz w:val="22"/>
                <w:lang w:eastAsia="en-AU"/>
              </w:rPr>
              <w:t>(</w:t>
            </w:r>
            <w:proofErr w:type="gramEnd"/>
            <w:r w:rsidRPr="00BA75A5">
              <w:rPr>
                <w:rFonts w:eastAsia="Times New Roman" w:cstheme="minorHAnsi"/>
                <w:color w:val="000000"/>
                <w:sz w:val="22"/>
                <w:lang w:eastAsia="en-AU"/>
              </w:rPr>
              <w:t>not for use as an antiseptic)</w:t>
            </w:r>
          </w:p>
        </w:tc>
        <w:tc>
          <w:tcPr>
            <w:tcW w:w="3261" w:type="dxa"/>
            <w:shd w:val="clear" w:color="auto" w:fill="auto"/>
            <w:noWrap/>
            <w:vAlign w:val="bottom"/>
            <w:hideMark/>
          </w:tcPr>
          <w:p w14:paraId="4EA795B5"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04C73D59" w14:textId="77777777" w:rsidTr="00763FAF">
        <w:trPr>
          <w:trHeight w:val="300"/>
        </w:trPr>
        <w:tc>
          <w:tcPr>
            <w:tcW w:w="6232" w:type="dxa"/>
            <w:shd w:val="clear" w:color="auto" w:fill="auto"/>
            <w:noWrap/>
            <w:vAlign w:val="center"/>
            <w:hideMark/>
          </w:tcPr>
          <w:p w14:paraId="0DE922BF" w14:textId="6D04EF0E"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tissue adhesives (may include fibrin-based adhesives)</w:t>
            </w:r>
          </w:p>
        </w:tc>
        <w:tc>
          <w:tcPr>
            <w:tcW w:w="3261" w:type="dxa"/>
            <w:shd w:val="clear" w:color="auto" w:fill="auto"/>
            <w:noWrap/>
            <w:vAlign w:val="bottom"/>
            <w:hideMark/>
          </w:tcPr>
          <w:p w14:paraId="43E6B55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0E536AD3" w14:textId="77777777" w:rsidTr="00763FAF">
        <w:trPr>
          <w:trHeight w:val="300"/>
        </w:trPr>
        <w:tc>
          <w:tcPr>
            <w:tcW w:w="6232" w:type="dxa"/>
            <w:shd w:val="clear" w:color="auto" w:fill="auto"/>
            <w:noWrap/>
            <w:vAlign w:val="center"/>
            <w:hideMark/>
          </w:tcPr>
          <w:p w14:paraId="6A892D09" w14:textId="77777777" w:rsidR="00481EA4" w:rsidRPr="00EE1BD1" w:rsidRDefault="00481EA4" w:rsidP="003A5162">
            <w:pPr>
              <w:spacing w:before="0" w:after="0" w:line="240" w:lineRule="auto"/>
              <w:rPr>
                <w:rFonts w:ascii="Calibri" w:eastAsia="Times New Roman" w:hAnsi="Calibri" w:cs="Calibri"/>
                <w:color w:val="000000"/>
                <w:szCs w:val="22"/>
                <w:lang w:eastAsia="en-AU"/>
              </w:rPr>
            </w:pPr>
          </w:p>
        </w:tc>
        <w:tc>
          <w:tcPr>
            <w:tcW w:w="3261" w:type="dxa"/>
            <w:shd w:val="clear" w:color="auto" w:fill="auto"/>
            <w:noWrap/>
            <w:vAlign w:val="bottom"/>
            <w:hideMark/>
          </w:tcPr>
          <w:p w14:paraId="2B91AAD5"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109FE2D9" w14:textId="77777777" w:rsidTr="00763FAF">
        <w:trPr>
          <w:trHeight w:val="405"/>
        </w:trPr>
        <w:tc>
          <w:tcPr>
            <w:tcW w:w="6232" w:type="dxa"/>
            <w:shd w:val="clear" w:color="auto" w:fill="auto"/>
            <w:noWrap/>
            <w:vAlign w:val="center"/>
            <w:hideMark/>
          </w:tcPr>
          <w:p w14:paraId="3135D208" w14:textId="225B2AAD"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27" w:name="RANGE!A10"/>
            <w:r w:rsidRPr="003A5162">
              <w:rPr>
                <w:rFonts w:ascii="Arial" w:eastAsia="Times New Roman" w:hAnsi="Arial" w:cs="Arial"/>
                <w:b/>
                <w:bCs/>
                <w:color w:val="000000"/>
                <w:sz w:val="28"/>
                <w:szCs w:val="28"/>
                <w:lang w:eastAsia="en-AU"/>
              </w:rPr>
              <w:t>Absorbable, without shape, used in surgery:</w:t>
            </w:r>
            <w:bookmarkEnd w:id="27"/>
          </w:p>
        </w:tc>
        <w:tc>
          <w:tcPr>
            <w:tcW w:w="3261" w:type="dxa"/>
            <w:shd w:val="clear" w:color="auto" w:fill="auto"/>
            <w:noWrap/>
            <w:vAlign w:val="bottom"/>
            <w:hideMark/>
          </w:tcPr>
          <w:p w14:paraId="78C74B47"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067EAC12" w14:textId="77777777" w:rsidTr="00763FAF">
        <w:trPr>
          <w:trHeight w:val="300"/>
        </w:trPr>
        <w:tc>
          <w:tcPr>
            <w:tcW w:w="6232" w:type="dxa"/>
            <w:shd w:val="clear" w:color="auto" w:fill="auto"/>
            <w:noWrap/>
            <w:vAlign w:val="center"/>
            <w:hideMark/>
          </w:tcPr>
          <w:p w14:paraId="60CE62A4" w14:textId="3794B2FC" w:rsidR="00481EA4" w:rsidRPr="002A3BD2" w:rsidRDefault="00481EA4" w:rsidP="003A5162">
            <w:pPr>
              <w:pStyle w:val="ListParagraph"/>
              <w:numPr>
                <w:ilvl w:val="0"/>
                <w:numId w:val="16"/>
              </w:numPr>
              <w:ind w:left="461" w:hanging="285"/>
              <w:contextualSpacing w:val="0"/>
              <w:rPr>
                <w:rFonts w:eastAsia="Times New Roman" w:cstheme="minorHAnsi"/>
                <w:color w:val="000000"/>
                <w:lang w:eastAsia="en-AU"/>
              </w:rPr>
            </w:pPr>
            <w:proofErr w:type="spellStart"/>
            <w:r w:rsidRPr="00BA75A5">
              <w:rPr>
                <w:rFonts w:eastAsia="Times New Roman" w:cstheme="minorHAnsi"/>
                <w:color w:val="000000"/>
                <w:sz w:val="22"/>
                <w:lang w:eastAsia="en-AU"/>
              </w:rPr>
              <w:t>visco</w:t>
            </w:r>
            <w:proofErr w:type="spellEnd"/>
            <w:r w:rsidRPr="00BA75A5">
              <w:rPr>
                <w:rFonts w:eastAsia="Times New Roman" w:cstheme="minorHAnsi"/>
                <w:color w:val="000000"/>
                <w:sz w:val="22"/>
                <w:lang w:eastAsia="en-AU"/>
              </w:rPr>
              <w:noBreakHyphen/>
              <w:t>elastic fluids</w:t>
            </w:r>
          </w:p>
        </w:tc>
        <w:tc>
          <w:tcPr>
            <w:tcW w:w="3261" w:type="dxa"/>
            <w:shd w:val="clear" w:color="auto" w:fill="auto"/>
            <w:noWrap/>
            <w:vAlign w:val="bottom"/>
            <w:hideMark/>
          </w:tcPr>
          <w:p w14:paraId="68AB162D" w14:textId="77777777" w:rsidR="00481EA4" w:rsidRPr="002A3BD2" w:rsidRDefault="00481EA4" w:rsidP="003A5162">
            <w:pPr>
              <w:spacing w:before="0" w:after="0" w:line="240" w:lineRule="auto"/>
              <w:ind w:firstLineChars="200" w:firstLine="440"/>
              <w:rPr>
                <w:rFonts w:eastAsia="Times New Roman" w:cstheme="minorHAnsi"/>
                <w:color w:val="000000"/>
                <w:szCs w:val="22"/>
                <w:lang w:eastAsia="en-AU"/>
              </w:rPr>
            </w:pPr>
          </w:p>
        </w:tc>
      </w:tr>
      <w:tr w:rsidR="003A5162" w:rsidRPr="00EE1BD1" w14:paraId="289725BF" w14:textId="77777777" w:rsidTr="00763FAF">
        <w:trPr>
          <w:trHeight w:val="300"/>
        </w:trPr>
        <w:tc>
          <w:tcPr>
            <w:tcW w:w="6232" w:type="dxa"/>
            <w:shd w:val="clear" w:color="auto" w:fill="auto"/>
            <w:noWrap/>
            <w:vAlign w:val="center"/>
            <w:hideMark/>
          </w:tcPr>
          <w:p w14:paraId="449BDB59" w14:textId="373FCCF7" w:rsidR="00481EA4" w:rsidRPr="002A3BD2" w:rsidRDefault="00481EA4" w:rsidP="000864D9">
            <w:pPr>
              <w:pStyle w:val="ListBullet2"/>
              <w:spacing w:before="0" w:after="0" w:line="240" w:lineRule="auto"/>
              <w:ind w:left="850" w:hanging="425"/>
              <w:rPr>
                <w:rFonts w:eastAsia="Times New Roman" w:cstheme="minorHAnsi"/>
                <w:color w:val="000000"/>
                <w:szCs w:val="22"/>
                <w:lang w:eastAsia="en-AU"/>
              </w:rPr>
            </w:pPr>
            <w:r w:rsidRPr="002A3BD2">
              <w:rPr>
                <w:rFonts w:eastAsia="Times New Roman" w:cstheme="minorHAnsi"/>
                <w:color w:val="000000"/>
                <w:szCs w:val="22"/>
                <w:lang w:eastAsia="en-AU"/>
              </w:rPr>
              <w:t>intra</w:t>
            </w:r>
            <w:r w:rsidRPr="002A3BD2">
              <w:rPr>
                <w:rFonts w:eastAsia="Times New Roman" w:cstheme="minorHAnsi"/>
                <w:color w:val="000000"/>
                <w:szCs w:val="22"/>
                <w:lang w:eastAsia="en-AU"/>
              </w:rPr>
              <w:noBreakHyphen/>
              <w:t xml:space="preserve">ocular </w:t>
            </w:r>
          </w:p>
        </w:tc>
        <w:tc>
          <w:tcPr>
            <w:tcW w:w="3261" w:type="dxa"/>
            <w:shd w:val="clear" w:color="auto" w:fill="auto"/>
            <w:noWrap/>
            <w:vAlign w:val="bottom"/>
            <w:hideMark/>
          </w:tcPr>
          <w:p w14:paraId="2A3AB0A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52D1E009" w14:textId="77777777" w:rsidTr="00763FAF">
        <w:trPr>
          <w:trHeight w:val="300"/>
        </w:trPr>
        <w:tc>
          <w:tcPr>
            <w:tcW w:w="6232" w:type="dxa"/>
            <w:shd w:val="clear" w:color="auto" w:fill="auto"/>
            <w:noWrap/>
            <w:vAlign w:val="center"/>
            <w:hideMark/>
          </w:tcPr>
          <w:p w14:paraId="498FE3A2" w14:textId="25A70410" w:rsidR="00481EA4" w:rsidRPr="002A3BD2" w:rsidRDefault="00481EA4" w:rsidP="000864D9">
            <w:pPr>
              <w:pStyle w:val="ListBullet2"/>
              <w:spacing w:before="0" w:after="0" w:line="240" w:lineRule="auto"/>
              <w:ind w:left="850" w:hanging="425"/>
              <w:rPr>
                <w:rFonts w:eastAsia="Times New Roman" w:cstheme="minorHAnsi"/>
                <w:color w:val="000000"/>
                <w:szCs w:val="22"/>
                <w:lang w:eastAsia="en-AU"/>
              </w:rPr>
            </w:pPr>
            <w:r w:rsidRPr="002A3BD2">
              <w:rPr>
                <w:rFonts w:eastAsia="Times New Roman" w:cstheme="minorHAnsi"/>
                <w:color w:val="000000"/>
                <w:szCs w:val="22"/>
                <w:lang w:eastAsia="en-AU"/>
              </w:rPr>
              <w:t xml:space="preserve">synovial </w:t>
            </w:r>
            <w:r w:rsidRPr="002A3BD2">
              <w:rPr>
                <w:rFonts w:eastAsia="Times New Roman" w:cstheme="minorHAnsi"/>
                <w:i/>
                <w:iCs/>
                <w:color w:val="000000"/>
                <w:szCs w:val="22"/>
                <w:lang w:eastAsia="en-AU"/>
              </w:rPr>
              <w:t>(animal origin)</w:t>
            </w:r>
            <w:r w:rsidRPr="002A3BD2">
              <w:rPr>
                <w:rFonts w:eastAsia="Times New Roman" w:cstheme="minorHAnsi"/>
                <w:color w:val="000000"/>
                <w:szCs w:val="22"/>
                <w:lang w:eastAsia="en-AU"/>
              </w:rPr>
              <w:t xml:space="preserve">  </w:t>
            </w:r>
          </w:p>
        </w:tc>
        <w:tc>
          <w:tcPr>
            <w:tcW w:w="3261" w:type="dxa"/>
            <w:shd w:val="clear" w:color="auto" w:fill="auto"/>
            <w:noWrap/>
            <w:vAlign w:val="bottom"/>
            <w:hideMark/>
          </w:tcPr>
          <w:p w14:paraId="301C902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31DF64EF" w14:textId="77777777" w:rsidTr="00763FAF">
        <w:trPr>
          <w:trHeight w:val="300"/>
        </w:trPr>
        <w:tc>
          <w:tcPr>
            <w:tcW w:w="6232" w:type="dxa"/>
            <w:shd w:val="clear" w:color="auto" w:fill="auto"/>
            <w:noWrap/>
            <w:vAlign w:val="center"/>
            <w:hideMark/>
          </w:tcPr>
          <w:p w14:paraId="588C8CE3" w14:textId="36671020"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 xml:space="preserve">haemostatic agents </w:t>
            </w:r>
            <w:r w:rsidRPr="00F65275">
              <w:rPr>
                <w:rFonts w:eastAsia="Times New Roman" w:cstheme="minorHAnsi"/>
                <w:color w:val="000000"/>
                <w:sz w:val="22"/>
                <w:lang w:eastAsia="en-AU"/>
              </w:rPr>
              <w:t>(collagen)</w:t>
            </w:r>
            <w:r w:rsidRPr="00BA75A5">
              <w:rPr>
                <w:rFonts w:eastAsia="Times New Roman" w:cstheme="minorHAnsi"/>
                <w:color w:val="000000"/>
                <w:sz w:val="22"/>
                <w:lang w:eastAsia="en-AU"/>
              </w:rPr>
              <w:t xml:space="preserve"> </w:t>
            </w:r>
          </w:p>
        </w:tc>
        <w:tc>
          <w:tcPr>
            <w:tcW w:w="3261" w:type="dxa"/>
            <w:shd w:val="clear" w:color="auto" w:fill="auto"/>
            <w:noWrap/>
            <w:vAlign w:val="bottom"/>
            <w:hideMark/>
          </w:tcPr>
          <w:p w14:paraId="2305D59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 xml:space="preserve">Medical Device </w:t>
            </w:r>
            <w:proofErr w:type="gramStart"/>
            <w:r w:rsidRPr="002A3BD2">
              <w:rPr>
                <w:rFonts w:eastAsia="Times New Roman" w:cstheme="minorHAnsi"/>
                <w:color w:val="000000"/>
                <w:szCs w:val="22"/>
                <w:lang w:eastAsia="en-AU"/>
              </w:rPr>
              <w:t>e.g.</w:t>
            </w:r>
            <w:proofErr w:type="gramEnd"/>
            <w:r w:rsidRPr="002A3BD2">
              <w:rPr>
                <w:rFonts w:eastAsia="Times New Roman" w:cstheme="minorHAnsi"/>
                <w:color w:val="000000"/>
                <w:szCs w:val="22"/>
                <w:lang w:eastAsia="en-AU"/>
              </w:rPr>
              <w:t xml:space="preserve"> vessel sealant or matrix</w:t>
            </w:r>
          </w:p>
        </w:tc>
      </w:tr>
      <w:tr w:rsidR="003A5162" w:rsidRPr="00EE1BD1" w14:paraId="336904B1" w14:textId="77777777" w:rsidTr="00763FAF">
        <w:trPr>
          <w:trHeight w:val="300"/>
        </w:trPr>
        <w:tc>
          <w:tcPr>
            <w:tcW w:w="6232" w:type="dxa"/>
            <w:shd w:val="clear" w:color="auto" w:fill="auto"/>
            <w:noWrap/>
            <w:vAlign w:val="center"/>
            <w:hideMark/>
          </w:tcPr>
          <w:p w14:paraId="622FFA51" w14:textId="49C48A4D"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 xml:space="preserve">haemostatic agents </w:t>
            </w:r>
            <w:r w:rsidRPr="00F65275">
              <w:rPr>
                <w:rFonts w:eastAsia="Times New Roman" w:cstheme="minorHAnsi"/>
                <w:color w:val="000000"/>
                <w:sz w:val="22"/>
                <w:lang w:eastAsia="en-AU"/>
              </w:rPr>
              <w:t>(fibrin)</w:t>
            </w:r>
            <w:r w:rsidRPr="00BA75A5">
              <w:rPr>
                <w:rFonts w:eastAsia="Times New Roman" w:cstheme="minorHAnsi"/>
                <w:color w:val="000000"/>
                <w:sz w:val="22"/>
                <w:lang w:eastAsia="en-AU"/>
              </w:rPr>
              <w:t xml:space="preserve">  </w:t>
            </w:r>
          </w:p>
        </w:tc>
        <w:tc>
          <w:tcPr>
            <w:tcW w:w="3261" w:type="dxa"/>
            <w:shd w:val="clear" w:color="auto" w:fill="auto"/>
            <w:noWrap/>
            <w:vAlign w:val="bottom"/>
            <w:hideMark/>
          </w:tcPr>
          <w:p w14:paraId="65A2D8EE"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 xml:space="preserve">Medicine </w:t>
            </w:r>
            <w:proofErr w:type="gramStart"/>
            <w:r w:rsidRPr="002A3BD2">
              <w:rPr>
                <w:rFonts w:eastAsia="Times New Roman" w:cstheme="minorHAnsi"/>
                <w:color w:val="000000"/>
                <w:szCs w:val="22"/>
                <w:lang w:eastAsia="en-AU"/>
              </w:rPr>
              <w:t>e.g.</w:t>
            </w:r>
            <w:proofErr w:type="gramEnd"/>
            <w:r w:rsidRPr="002A3BD2">
              <w:rPr>
                <w:rFonts w:eastAsia="Times New Roman" w:cstheme="minorHAnsi"/>
                <w:color w:val="000000"/>
                <w:szCs w:val="22"/>
                <w:lang w:eastAsia="en-AU"/>
              </w:rPr>
              <w:t xml:space="preserve"> activation of clotting mechanism</w:t>
            </w:r>
          </w:p>
        </w:tc>
      </w:tr>
      <w:tr w:rsidR="003A5162" w:rsidRPr="00EE1BD1" w14:paraId="5D3067D0" w14:textId="77777777" w:rsidTr="00763FAF">
        <w:trPr>
          <w:trHeight w:val="300"/>
        </w:trPr>
        <w:tc>
          <w:tcPr>
            <w:tcW w:w="6232" w:type="dxa"/>
            <w:shd w:val="clear" w:color="auto" w:fill="auto"/>
            <w:noWrap/>
            <w:vAlign w:val="center"/>
            <w:hideMark/>
          </w:tcPr>
          <w:p w14:paraId="5EE5D929" w14:textId="77777777" w:rsidR="00481EA4" w:rsidRPr="00EE1BD1" w:rsidRDefault="00481EA4" w:rsidP="003A5162">
            <w:pPr>
              <w:spacing w:before="0" w:after="0" w:line="240" w:lineRule="auto"/>
              <w:rPr>
                <w:rFonts w:ascii="Calibri" w:eastAsia="Times New Roman" w:hAnsi="Calibri" w:cs="Calibri"/>
                <w:color w:val="000000"/>
                <w:szCs w:val="22"/>
                <w:lang w:eastAsia="en-AU"/>
              </w:rPr>
            </w:pPr>
          </w:p>
        </w:tc>
        <w:tc>
          <w:tcPr>
            <w:tcW w:w="3261" w:type="dxa"/>
            <w:shd w:val="clear" w:color="auto" w:fill="auto"/>
            <w:noWrap/>
            <w:vAlign w:val="bottom"/>
            <w:hideMark/>
          </w:tcPr>
          <w:p w14:paraId="32C8D216"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47274D10" w14:textId="77777777" w:rsidTr="00763FAF">
        <w:trPr>
          <w:trHeight w:val="405"/>
        </w:trPr>
        <w:tc>
          <w:tcPr>
            <w:tcW w:w="6232" w:type="dxa"/>
            <w:shd w:val="clear" w:color="auto" w:fill="auto"/>
            <w:noWrap/>
            <w:vAlign w:val="center"/>
            <w:hideMark/>
          </w:tcPr>
          <w:p w14:paraId="250B7DE4" w14:textId="1E69103D"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28" w:name="RANGE!A17"/>
            <w:r w:rsidRPr="003A5162">
              <w:rPr>
                <w:rFonts w:ascii="Arial" w:eastAsia="Times New Roman" w:hAnsi="Arial" w:cs="Arial"/>
                <w:b/>
                <w:bCs/>
                <w:color w:val="000000"/>
                <w:sz w:val="28"/>
                <w:szCs w:val="28"/>
                <w:lang w:eastAsia="en-AU"/>
              </w:rPr>
              <w:t>Absorbable 'long</w:t>
            </w:r>
            <w:r w:rsidRPr="003A5162">
              <w:rPr>
                <w:rFonts w:ascii="Arial" w:eastAsia="Times New Roman" w:hAnsi="Arial" w:cs="Arial"/>
                <w:b/>
                <w:bCs/>
                <w:color w:val="000000"/>
                <w:sz w:val="28"/>
                <w:szCs w:val="28"/>
                <w:lang w:eastAsia="en-AU"/>
              </w:rPr>
              <w:noBreakHyphen/>
              <w:t>term':</w:t>
            </w:r>
            <w:bookmarkEnd w:id="28"/>
          </w:p>
        </w:tc>
        <w:tc>
          <w:tcPr>
            <w:tcW w:w="3261" w:type="dxa"/>
            <w:shd w:val="clear" w:color="auto" w:fill="auto"/>
            <w:noWrap/>
            <w:vAlign w:val="bottom"/>
            <w:hideMark/>
          </w:tcPr>
          <w:p w14:paraId="44E959D0"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0467B386" w14:textId="77777777" w:rsidTr="00763FAF">
        <w:trPr>
          <w:trHeight w:val="300"/>
        </w:trPr>
        <w:tc>
          <w:tcPr>
            <w:tcW w:w="6232" w:type="dxa"/>
            <w:shd w:val="clear" w:color="auto" w:fill="auto"/>
            <w:noWrap/>
            <w:vAlign w:val="center"/>
            <w:hideMark/>
          </w:tcPr>
          <w:p w14:paraId="49C44A1C" w14:textId="102828FE"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collagen injections</w:t>
            </w:r>
          </w:p>
        </w:tc>
        <w:tc>
          <w:tcPr>
            <w:tcW w:w="3261" w:type="dxa"/>
            <w:shd w:val="clear" w:color="auto" w:fill="auto"/>
            <w:noWrap/>
            <w:vAlign w:val="bottom"/>
            <w:hideMark/>
          </w:tcPr>
          <w:p w14:paraId="0A5BF236"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0F33F0D0" w14:textId="77777777" w:rsidTr="00763FAF">
        <w:trPr>
          <w:trHeight w:val="300"/>
        </w:trPr>
        <w:tc>
          <w:tcPr>
            <w:tcW w:w="6232" w:type="dxa"/>
            <w:shd w:val="clear" w:color="auto" w:fill="auto"/>
            <w:noWrap/>
            <w:vAlign w:val="center"/>
            <w:hideMark/>
          </w:tcPr>
          <w:p w14:paraId="195ECE1C" w14:textId="32E6930F"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hyaluronic acid injections</w:t>
            </w:r>
          </w:p>
        </w:tc>
        <w:tc>
          <w:tcPr>
            <w:tcW w:w="3261" w:type="dxa"/>
            <w:shd w:val="clear" w:color="auto" w:fill="auto"/>
            <w:noWrap/>
            <w:vAlign w:val="bottom"/>
            <w:hideMark/>
          </w:tcPr>
          <w:p w14:paraId="6515C50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 when used as filler or lubricant</w:t>
            </w:r>
          </w:p>
        </w:tc>
      </w:tr>
      <w:tr w:rsidR="003A5162" w:rsidRPr="00EE1BD1" w14:paraId="79DB7458" w14:textId="77777777" w:rsidTr="00763FAF">
        <w:trPr>
          <w:trHeight w:val="300"/>
        </w:trPr>
        <w:tc>
          <w:tcPr>
            <w:tcW w:w="6232" w:type="dxa"/>
            <w:shd w:val="clear" w:color="auto" w:fill="auto"/>
            <w:noWrap/>
            <w:vAlign w:val="center"/>
            <w:hideMark/>
          </w:tcPr>
          <w:p w14:paraId="56AA248B" w14:textId="77777777" w:rsidR="00481EA4" w:rsidRPr="00EE1BD1" w:rsidRDefault="00481EA4" w:rsidP="003A5162">
            <w:pPr>
              <w:spacing w:before="0" w:after="0" w:line="240" w:lineRule="auto"/>
              <w:rPr>
                <w:rFonts w:ascii="Calibri" w:eastAsia="Times New Roman" w:hAnsi="Calibri" w:cs="Calibri"/>
                <w:color w:val="000000"/>
                <w:szCs w:val="22"/>
                <w:lang w:eastAsia="en-AU"/>
              </w:rPr>
            </w:pPr>
          </w:p>
        </w:tc>
        <w:tc>
          <w:tcPr>
            <w:tcW w:w="3261" w:type="dxa"/>
            <w:shd w:val="clear" w:color="auto" w:fill="auto"/>
            <w:noWrap/>
            <w:vAlign w:val="bottom"/>
            <w:hideMark/>
          </w:tcPr>
          <w:p w14:paraId="5848BF30"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694B1B5B" w14:textId="77777777" w:rsidTr="00763FAF">
        <w:trPr>
          <w:trHeight w:val="405"/>
        </w:trPr>
        <w:tc>
          <w:tcPr>
            <w:tcW w:w="6232" w:type="dxa"/>
            <w:shd w:val="clear" w:color="auto" w:fill="auto"/>
            <w:noWrap/>
            <w:vAlign w:val="center"/>
            <w:hideMark/>
          </w:tcPr>
          <w:p w14:paraId="730B40FD" w14:textId="0C28BBD5"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29" w:name="RANGE!A21"/>
            <w:r w:rsidRPr="003A5162">
              <w:rPr>
                <w:rFonts w:ascii="Arial" w:eastAsia="Times New Roman" w:hAnsi="Arial" w:cs="Arial"/>
                <w:b/>
                <w:bCs/>
                <w:color w:val="000000"/>
                <w:sz w:val="28"/>
                <w:szCs w:val="28"/>
                <w:lang w:eastAsia="en-AU"/>
              </w:rPr>
              <w:t>Hard-tissue scaffolds</w:t>
            </w:r>
            <w:bookmarkEnd w:id="29"/>
          </w:p>
        </w:tc>
        <w:tc>
          <w:tcPr>
            <w:tcW w:w="3261" w:type="dxa"/>
            <w:shd w:val="clear" w:color="auto" w:fill="auto"/>
            <w:noWrap/>
            <w:vAlign w:val="bottom"/>
            <w:hideMark/>
          </w:tcPr>
          <w:p w14:paraId="11C90ED7"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363B7144" w14:textId="77777777" w:rsidTr="00763FAF">
        <w:trPr>
          <w:trHeight w:val="300"/>
        </w:trPr>
        <w:tc>
          <w:tcPr>
            <w:tcW w:w="6232" w:type="dxa"/>
            <w:shd w:val="clear" w:color="auto" w:fill="auto"/>
            <w:noWrap/>
            <w:vAlign w:val="center"/>
            <w:hideMark/>
          </w:tcPr>
          <w:p w14:paraId="01655651" w14:textId="0CF9DBA0"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hydroxyapatite (with or without collagen)</w:t>
            </w:r>
          </w:p>
        </w:tc>
        <w:tc>
          <w:tcPr>
            <w:tcW w:w="3261" w:type="dxa"/>
            <w:shd w:val="clear" w:color="auto" w:fill="auto"/>
            <w:noWrap/>
            <w:vAlign w:val="bottom"/>
            <w:hideMark/>
          </w:tcPr>
          <w:p w14:paraId="27AD164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6F46314" w14:textId="77777777" w:rsidTr="00763FAF">
        <w:trPr>
          <w:trHeight w:val="300"/>
        </w:trPr>
        <w:tc>
          <w:tcPr>
            <w:tcW w:w="6232" w:type="dxa"/>
            <w:shd w:val="clear" w:color="auto" w:fill="auto"/>
            <w:noWrap/>
            <w:vAlign w:val="center"/>
            <w:hideMark/>
          </w:tcPr>
          <w:p w14:paraId="2174FEC8" w14:textId="766AE152"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calcium phosphate (with or without collagen)</w:t>
            </w:r>
          </w:p>
        </w:tc>
        <w:tc>
          <w:tcPr>
            <w:tcW w:w="3261" w:type="dxa"/>
            <w:shd w:val="clear" w:color="auto" w:fill="auto"/>
            <w:noWrap/>
            <w:vAlign w:val="bottom"/>
            <w:hideMark/>
          </w:tcPr>
          <w:p w14:paraId="205EFBF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2AD1DFCC" w14:textId="77777777" w:rsidTr="00763FAF">
        <w:trPr>
          <w:trHeight w:val="300"/>
        </w:trPr>
        <w:tc>
          <w:tcPr>
            <w:tcW w:w="6232" w:type="dxa"/>
            <w:shd w:val="clear" w:color="auto" w:fill="auto"/>
            <w:noWrap/>
            <w:vAlign w:val="center"/>
            <w:hideMark/>
          </w:tcPr>
          <w:p w14:paraId="1889F340" w14:textId="721B343B"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coral</w:t>
            </w:r>
          </w:p>
        </w:tc>
        <w:tc>
          <w:tcPr>
            <w:tcW w:w="3261" w:type="dxa"/>
            <w:shd w:val="clear" w:color="auto" w:fill="auto"/>
            <w:noWrap/>
            <w:vAlign w:val="bottom"/>
            <w:hideMark/>
          </w:tcPr>
          <w:p w14:paraId="7F4590D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1704D8E8" w14:textId="77777777" w:rsidTr="00763FAF">
        <w:trPr>
          <w:trHeight w:val="300"/>
        </w:trPr>
        <w:tc>
          <w:tcPr>
            <w:tcW w:w="6232" w:type="dxa"/>
            <w:shd w:val="clear" w:color="auto" w:fill="auto"/>
            <w:noWrap/>
            <w:vAlign w:val="center"/>
            <w:hideMark/>
          </w:tcPr>
          <w:p w14:paraId="50835360" w14:textId="246E5FA0"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proofErr w:type="spellStart"/>
            <w:r w:rsidRPr="00BA75A5">
              <w:rPr>
                <w:rFonts w:eastAsia="Times New Roman" w:cstheme="minorHAnsi"/>
                <w:color w:val="000000"/>
                <w:sz w:val="22"/>
                <w:lang w:eastAsia="en-AU"/>
              </w:rPr>
              <w:t>bioglass</w:t>
            </w:r>
            <w:proofErr w:type="spellEnd"/>
          </w:p>
        </w:tc>
        <w:tc>
          <w:tcPr>
            <w:tcW w:w="3261" w:type="dxa"/>
            <w:shd w:val="clear" w:color="auto" w:fill="auto"/>
            <w:noWrap/>
            <w:vAlign w:val="bottom"/>
            <w:hideMark/>
          </w:tcPr>
          <w:p w14:paraId="5922618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5ADF265" w14:textId="77777777" w:rsidTr="00763FAF">
        <w:trPr>
          <w:trHeight w:val="300"/>
        </w:trPr>
        <w:tc>
          <w:tcPr>
            <w:tcW w:w="6232" w:type="dxa"/>
            <w:shd w:val="clear" w:color="auto" w:fill="auto"/>
            <w:noWrap/>
            <w:vAlign w:val="center"/>
            <w:hideMark/>
          </w:tcPr>
          <w:p w14:paraId="3001F3BB" w14:textId="635A59CF"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cartilage repair systems</w:t>
            </w:r>
          </w:p>
        </w:tc>
        <w:tc>
          <w:tcPr>
            <w:tcW w:w="3261" w:type="dxa"/>
            <w:shd w:val="clear" w:color="auto" w:fill="auto"/>
            <w:noWrap/>
            <w:vAlign w:val="center"/>
            <w:hideMark/>
          </w:tcPr>
          <w:p w14:paraId="55F0104B"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Device/Biological</w:t>
            </w:r>
            <w:r w:rsidRPr="002A3BD2">
              <w:rPr>
                <w:rFonts w:eastAsia="Times New Roman" w:cstheme="minorHAnsi"/>
                <w:color w:val="000000"/>
                <w:sz w:val="16"/>
                <w:szCs w:val="16"/>
                <w:lang w:eastAsia="en-AU"/>
              </w:rPr>
              <w:t>  </w:t>
            </w:r>
          </w:p>
        </w:tc>
      </w:tr>
      <w:tr w:rsidR="003A5162" w:rsidRPr="00EE1BD1" w14:paraId="70441D84" w14:textId="77777777" w:rsidTr="00763FAF">
        <w:trPr>
          <w:trHeight w:val="300"/>
        </w:trPr>
        <w:tc>
          <w:tcPr>
            <w:tcW w:w="6232" w:type="dxa"/>
            <w:shd w:val="clear" w:color="auto" w:fill="auto"/>
            <w:noWrap/>
            <w:vAlign w:val="center"/>
            <w:hideMark/>
          </w:tcPr>
          <w:p w14:paraId="2D391523" w14:textId="77777777" w:rsidR="00481EA4" w:rsidRPr="00F65275" w:rsidRDefault="00481EA4" w:rsidP="003A5162">
            <w:pPr>
              <w:spacing w:before="0" w:after="0" w:line="240" w:lineRule="auto"/>
              <w:rPr>
                <w:rFonts w:eastAsia="Times New Roman" w:cstheme="minorHAnsi"/>
                <w:color w:val="000000"/>
                <w:lang w:eastAsia="en-AU"/>
              </w:rPr>
            </w:pPr>
          </w:p>
        </w:tc>
        <w:tc>
          <w:tcPr>
            <w:tcW w:w="3261" w:type="dxa"/>
            <w:shd w:val="clear" w:color="auto" w:fill="auto"/>
            <w:noWrap/>
            <w:vAlign w:val="center"/>
            <w:hideMark/>
          </w:tcPr>
          <w:p w14:paraId="01ECB0B7"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2F4F2063" w14:textId="77777777" w:rsidTr="00763FAF">
        <w:trPr>
          <w:trHeight w:val="405"/>
        </w:trPr>
        <w:tc>
          <w:tcPr>
            <w:tcW w:w="6232" w:type="dxa"/>
            <w:shd w:val="clear" w:color="auto" w:fill="auto"/>
            <w:noWrap/>
            <w:vAlign w:val="center"/>
            <w:hideMark/>
          </w:tcPr>
          <w:p w14:paraId="002D4446" w14:textId="2E18A923" w:rsidR="00481EA4" w:rsidRPr="003A5162" w:rsidRDefault="00481EA4" w:rsidP="003A5162">
            <w:pPr>
              <w:spacing w:before="0" w:after="0" w:line="240" w:lineRule="auto"/>
              <w:rPr>
                <w:rFonts w:ascii="Arial" w:eastAsia="Times New Roman" w:hAnsi="Arial" w:cs="Arial"/>
                <w:b/>
                <w:bCs/>
                <w:color w:val="000000"/>
                <w:sz w:val="28"/>
                <w:szCs w:val="28"/>
                <w:lang w:eastAsia="en-AU"/>
              </w:rPr>
            </w:pPr>
            <w:bookmarkStart w:id="30" w:name="RANGE!A28"/>
            <w:r w:rsidRPr="003A5162">
              <w:rPr>
                <w:rFonts w:ascii="Arial" w:eastAsia="Times New Roman" w:hAnsi="Arial" w:cs="Arial"/>
                <w:b/>
                <w:bCs/>
                <w:color w:val="000000"/>
                <w:sz w:val="28"/>
                <w:szCs w:val="28"/>
                <w:lang w:eastAsia="en-AU"/>
              </w:rPr>
              <w:t>Body 'cleaning' substances:</w:t>
            </w:r>
            <w:bookmarkEnd w:id="30"/>
          </w:p>
        </w:tc>
        <w:tc>
          <w:tcPr>
            <w:tcW w:w="3261" w:type="dxa"/>
            <w:shd w:val="clear" w:color="auto" w:fill="auto"/>
            <w:noWrap/>
            <w:vAlign w:val="bottom"/>
            <w:hideMark/>
          </w:tcPr>
          <w:p w14:paraId="63A0EA73"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2316346B" w14:textId="77777777" w:rsidTr="00763FAF">
        <w:trPr>
          <w:trHeight w:val="300"/>
        </w:trPr>
        <w:tc>
          <w:tcPr>
            <w:tcW w:w="6232" w:type="dxa"/>
            <w:shd w:val="clear" w:color="auto" w:fill="auto"/>
            <w:noWrap/>
            <w:vAlign w:val="center"/>
            <w:hideMark/>
          </w:tcPr>
          <w:p w14:paraId="099A3954" w14:textId="1C345648"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bulk laxatives</w:t>
            </w:r>
          </w:p>
        </w:tc>
        <w:tc>
          <w:tcPr>
            <w:tcW w:w="3261" w:type="dxa"/>
            <w:shd w:val="clear" w:color="auto" w:fill="auto"/>
            <w:noWrap/>
            <w:vAlign w:val="center"/>
            <w:hideMark/>
          </w:tcPr>
          <w:p w14:paraId="7C960A4D"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364720AD" w14:textId="77777777" w:rsidTr="00763FAF">
        <w:trPr>
          <w:trHeight w:val="300"/>
        </w:trPr>
        <w:tc>
          <w:tcPr>
            <w:tcW w:w="6232" w:type="dxa"/>
            <w:shd w:val="clear" w:color="auto" w:fill="auto"/>
            <w:noWrap/>
            <w:vAlign w:val="center"/>
            <w:hideMark/>
          </w:tcPr>
          <w:p w14:paraId="25E5BDDF" w14:textId="1EDEDA35"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salt solution laxatives</w:t>
            </w:r>
          </w:p>
        </w:tc>
        <w:tc>
          <w:tcPr>
            <w:tcW w:w="3261" w:type="dxa"/>
            <w:shd w:val="clear" w:color="auto" w:fill="auto"/>
            <w:noWrap/>
            <w:vAlign w:val="center"/>
            <w:hideMark/>
          </w:tcPr>
          <w:p w14:paraId="79B1D50C"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5DA266E" w14:textId="77777777" w:rsidTr="00763FAF">
        <w:trPr>
          <w:trHeight w:val="300"/>
        </w:trPr>
        <w:tc>
          <w:tcPr>
            <w:tcW w:w="6232" w:type="dxa"/>
            <w:shd w:val="clear" w:color="auto" w:fill="auto"/>
            <w:noWrap/>
            <w:vAlign w:val="center"/>
          </w:tcPr>
          <w:p w14:paraId="61BD554D" w14:textId="6665D2C2" w:rsidR="00481EA4" w:rsidRPr="002A3BD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2A3BD2">
              <w:rPr>
                <w:rFonts w:eastAsia="Times New Roman" w:cstheme="minorHAnsi"/>
                <w:color w:val="000000"/>
                <w:sz w:val="22"/>
                <w:lang w:eastAsia="en-AU"/>
              </w:rPr>
              <w:t>gastrointestinal detoxifier</w:t>
            </w:r>
          </w:p>
        </w:tc>
        <w:tc>
          <w:tcPr>
            <w:tcW w:w="3261" w:type="dxa"/>
            <w:shd w:val="clear" w:color="auto" w:fill="auto"/>
            <w:noWrap/>
            <w:vAlign w:val="center"/>
          </w:tcPr>
          <w:p w14:paraId="377E5D9D"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5010A3A6" w14:textId="77777777" w:rsidTr="00763FAF">
        <w:trPr>
          <w:trHeight w:val="300"/>
        </w:trPr>
        <w:tc>
          <w:tcPr>
            <w:tcW w:w="6232" w:type="dxa"/>
            <w:shd w:val="clear" w:color="auto" w:fill="auto"/>
            <w:noWrap/>
            <w:vAlign w:val="center"/>
            <w:hideMark/>
          </w:tcPr>
          <w:p w14:paraId="1D010E00" w14:textId="6B533C75"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enema solutions</w:t>
            </w:r>
          </w:p>
        </w:tc>
        <w:tc>
          <w:tcPr>
            <w:tcW w:w="3261" w:type="dxa"/>
            <w:shd w:val="clear" w:color="auto" w:fill="auto"/>
            <w:noWrap/>
            <w:vAlign w:val="center"/>
            <w:hideMark/>
          </w:tcPr>
          <w:p w14:paraId="4C82C6C7"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23CC9805" w14:textId="77777777" w:rsidTr="00763FAF">
        <w:trPr>
          <w:trHeight w:val="300"/>
        </w:trPr>
        <w:tc>
          <w:tcPr>
            <w:tcW w:w="6232" w:type="dxa"/>
            <w:shd w:val="clear" w:color="auto" w:fill="auto"/>
            <w:noWrap/>
            <w:vAlign w:val="center"/>
            <w:hideMark/>
          </w:tcPr>
          <w:p w14:paraId="2962EB9A" w14:textId="7343487D"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 xml:space="preserve">medicated mouthwashes </w:t>
            </w:r>
          </w:p>
        </w:tc>
        <w:tc>
          <w:tcPr>
            <w:tcW w:w="3261" w:type="dxa"/>
            <w:shd w:val="clear" w:color="auto" w:fill="auto"/>
            <w:noWrap/>
            <w:vAlign w:val="center"/>
            <w:hideMark/>
          </w:tcPr>
          <w:p w14:paraId="52F533A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35A30942" w14:textId="77777777" w:rsidTr="00763FAF">
        <w:trPr>
          <w:trHeight w:val="300"/>
        </w:trPr>
        <w:tc>
          <w:tcPr>
            <w:tcW w:w="6232" w:type="dxa"/>
            <w:shd w:val="clear" w:color="auto" w:fill="auto"/>
            <w:noWrap/>
            <w:vAlign w:val="center"/>
            <w:hideMark/>
          </w:tcPr>
          <w:p w14:paraId="7AF0AA51" w14:textId="7740EA81"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douches</w:t>
            </w:r>
          </w:p>
        </w:tc>
        <w:tc>
          <w:tcPr>
            <w:tcW w:w="3261" w:type="dxa"/>
            <w:shd w:val="clear" w:color="auto" w:fill="auto"/>
            <w:noWrap/>
            <w:vAlign w:val="bottom"/>
            <w:hideMark/>
          </w:tcPr>
          <w:p w14:paraId="7DC2CF99"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44571823" w14:textId="77777777" w:rsidTr="00763FAF">
        <w:trPr>
          <w:trHeight w:val="300"/>
        </w:trPr>
        <w:tc>
          <w:tcPr>
            <w:tcW w:w="6232" w:type="dxa"/>
            <w:shd w:val="clear" w:color="auto" w:fill="auto"/>
            <w:noWrap/>
            <w:vAlign w:val="center"/>
            <w:hideMark/>
          </w:tcPr>
          <w:p w14:paraId="02B9ADE6" w14:textId="64461A07"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lang w:eastAsia="en-AU"/>
              </w:rPr>
              <w:t>solutions for irrigation</w:t>
            </w:r>
            <w:r w:rsidR="00BA75A5">
              <w:rPr>
                <w:rFonts w:eastAsia="Times New Roman" w:cstheme="minorHAnsi"/>
                <w:color w:val="000000"/>
                <w:sz w:val="22"/>
                <w:lang w:eastAsia="en-AU"/>
              </w:rPr>
              <w:t xml:space="preserve"> </w:t>
            </w:r>
            <w:r w:rsidRPr="00F65275">
              <w:rPr>
                <w:rFonts w:eastAsia="Times New Roman" w:cstheme="minorHAnsi"/>
                <w:color w:val="000000"/>
                <w:lang w:eastAsia="en-AU"/>
              </w:rPr>
              <w:t xml:space="preserve">(e.g., </w:t>
            </w:r>
            <w:bookmarkStart w:id="31" w:name="_Hlk106097471"/>
            <w:r w:rsidRPr="00F65275">
              <w:rPr>
                <w:rFonts w:eastAsia="Times New Roman" w:cstheme="minorHAnsi"/>
                <w:color w:val="000000"/>
                <w:lang w:eastAsia="en-AU"/>
              </w:rPr>
              <w:t>Pre-Filled Saline Syringe - Catheter, flush syringe</w:t>
            </w:r>
            <w:bookmarkEnd w:id="31"/>
            <w:r w:rsidRPr="00F65275">
              <w:rPr>
                <w:rFonts w:eastAsia="Times New Roman" w:cstheme="minorHAnsi"/>
                <w:color w:val="000000"/>
                <w:lang w:eastAsia="en-AU"/>
              </w:rPr>
              <w:t>, eye irrigation solution)</w:t>
            </w:r>
          </w:p>
        </w:tc>
        <w:tc>
          <w:tcPr>
            <w:tcW w:w="3261" w:type="dxa"/>
            <w:shd w:val="clear" w:color="auto" w:fill="auto"/>
            <w:noWrap/>
            <w:hideMark/>
          </w:tcPr>
          <w:p w14:paraId="2850F1C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553B87A0" w14:textId="77777777" w:rsidTr="00763FAF">
        <w:trPr>
          <w:trHeight w:val="300"/>
        </w:trPr>
        <w:tc>
          <w:tcPr>
            <w:tcW w:w="6232" w:type="dxa"/>
            <w:shd w:val="clear" w:color="auto" w:fill="auto"/>
            <w:noWrap/>
            <w:vAlign w:val="center"/>
            <w:hideMark/>
          </w:tcPr>
          <w:p w14:paraId="5C45C8D6" w14:textId="70617214" w:rsidR="00481EA4" w:rsidRPr="00BA75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BA75A5">
              <w:rPr>
                <w:rFonts w:eastAsia="Times New Roman" w:cstheme="minorHAnsi"/>
                <w:color w:val="000000"/>
                <w:sz w:val="22"/>
                <w:lang w:eastAsia="en-AU"/>
              </w:rPr>
              <w:t>activated charcoal used internally</w:t>
            </w:r>
          </w:p>
        </w:tc>
        <w:tc>
          <w:tcPr>
            <w:tcW w:w="3261" w:type="dxa"/>
            <w:shd w:val="clear" w:color="auto" w:fill="auto"/>
            <w:noWrap/>
            <w:vAlign w:val="center"/>
            <w:hideMark/>
          </w:tcPr>
          <w:p w14:paraId="7C36969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191238E3" w14:textId="77777777" w:rsidTr="00763FAF">
        <w:trPr>
          <w:trHeight w:val="300"/>
        </w:trPr>
        <w:tc>
          <w:tcPr>
            <w:tcW w:w="6232" w:type="dxa"/>
            <w:shd w:val="clear" w:color="auto" w:fill="auto"/>
            <w:noWrap/>
            <w:vAlign w:val="center"/>
            <w:hideMark/>
          </w:tcPr>
          <w:p w14:paraId="67CEF9A3" w14:textId="77777777" w:rsidR="00481EA4" w:rsidRPr="002A3BD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2A3BD2">
              <w:rPr>
                <w:rFonts w:eastAsia="Times New Roman" w:cstheme="minorHAnsi"/>
                <w:color w:val="000000"/>
                <w:sz w:val="22"/>
                <w:lang w:eastAsia="en-AU"/>
              </w:rPr>
              <w:lastRenderedPageBreak/>
              <w:t xml:space="preserve">isotonic saline for nasal irrigation </w:t>
            </w:r>
          </w:p>
        </w:tc>
        <w:tc>
          <w:tcPr>
            <w:tcW w:w="3261" w:type="dxa"/>
            <w:shd w:val="clear" w:color="auto" w:fill="auto"/>
            <w:noWrap/>
            <w:vAlign w:val="center"/>
            <w:hideMark/>
          </w:tcPr>
          <w:p w14:paraId="0A4BCD5E" w14:textId="65626CEA" w:rsidR="00481EA4" w:rsidRPr="002A3BD2" w:rsidRDefault="00481EA4" w:rsidP="003A5162">
            <w:pPr>
              <w:spacing w:before="0" w:after="0" w:line="240" w:lineRule="auto"/>
              <w:rPr>
                <w:rFonts w:eastAsia="Times New Roman" w:cstheme="minorHAnsi"/>
                <w:szCs w:val="22"/>
                <w:lang w:eastAsia="en-AU"/>
              </w:rPr>
            </w:pPr>
            <w:r w:rsidRPr="002A3BD2">
              <w:rPr>
                <w:rFonts w:eastAsia="Times New Roman" w:cstheme="minorHAnsi"/>
                <w:szCs w:val="22"/>
                <w:lang w:eastAsia="en-AU"/>
              </w:rPr>
              <w:t xml:space="preserve">Medical </w:t>
            </w:r>
            <w:r w:rsidR="00BA75A5">
              <w:rPr>
                <w:rFonts w:eastAsia="Times New Roman" w:cstheme="minorHAnsi"/>
                <w:szCs w:val="22"/>
                <w:lang w:eastAsia="en-AU"/>
              </w:rPr>
              <w:t>D</w:t>
            </w:r>
            <w:r w:rsidRPr="002A3BD2">
              <w:rPr>
                <w:rFonts w:eastAsia="Times New Roman" w:cstheme="minorHAnsi"/>
                <w:szCs w:val="22"/>
                <w:lang w:eastAsia="en-AU"/>
              </w:rPr>
              <w:t>evice</w:t>
            </w:r>
          </w:p>
        </w:tc>
      </w:tr>
      <w:tr w:rsidR="003A5162" w:rsidRPr="00EE1BD1" w14:paraId="54B4CE71" w14:textId="77777777" w:rsidTr="00763FAF">
        <w:trPr>
          <w:trHeight w:val="300"/>
        </w:trPr>
        <w:tc>
          <w:tcPr>
            <w:tcW w:w="6232" w:type="dxa"/>
            <w:shd w:val="clear" w:color="auto" w:fill="auto"/>
            <w:noWrap/>
            <w:vAlign w:val="center"/>
          </w:tcPr>
          <w:p w14:paraId="6B1D169B" w14:textId="77777777" w:rsidR="00481EA4" w:rsidRPr="002A3BD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Hypertonic saline for inhalation </w:t>
            </w:r>
          </w:p>
        </w:tc>
        <w:tc>
          <w:tcPr>
            <w:tcW w:w="3261" w:type="dxa"/>
            <w:shd w:val="clear" w:color="auto" w:fill="auto"/>
            <w:noWrap/>
            <w:vAlign w:val="center"/>
          </w:tcPr>
          <w:p w14:paraId="55F936B6"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 xml:space="preserve">Medicine </w:t>
            </w:r>
          </w:p>
        </w:tc>
      </w:tr>
      <w:tr w:rsidR="003A5162" w:rsidRPr="00EE1BD1" w14:paraId="14A045FF" w14:textId="77777777" w:rsidTr="00763FAF">
        <w:trPr>
          <w:trHeight w:val="300"/>
        </w:trPr>
        <w:tc>
          <w:tcPr>
            <w:tcW w:w="6232" w:type="dxa"/>
            <w:shd w:val="clear" w:color="auto" w:fill="auto"/>
            <w:noWrap/>
            <w:vAlign w:val="center"/>
          </w:tcPr>
          <w:p w14:paraId="3760953A"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Hypertonic eye drop</w:t>
            </w:r>
          </w:p>
        </w:tc>
        <w:tc>
          <w:tcPr>
            <w:tcW w:w="3261" w:type="dxa"/>
            <w:shd w:val="clear" w:color="auto" w:fill="auto"/>
            <w:noWrap/>
            <w:vAlign w:val="center"/>
          </w:tcPr>
          <w:p w14:paraId="0F49933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DEEC726" w14:textId="77777777" w:rsidTr="00763FAF">
        <w:trPr>
          <w:trHeight w:val="300"/>
        </w:trPr>
        <w:tc>
          <w:tcPr>
            <w:tcW w:w="6232" w:type="dxa"/>
            <w:shd w:val="clear" w:color="auto" w:fill="auto"/>
            <w:noWrap/>
          </w:tcPr>
          <w:p w14:paraId="63AA0BE5" w14:textId="77777777" w:rsidR="00481EA4" w:rsidRDefault="00481EA4" w:rsidP="003A5162">
            <w:pPr>
              <w:spacing w:before="0" w:after="0" w:line="240" w:lineRule="auto"/>
            </w:pPr>
          </w:p>
        </w:tc>
        <w:tc>
          <w:tcPr>
            <w:tcW w:w="3261" w:type="dxa"/>
            <w:shd w:val="clear" w:color="auto" w:fill="auto"/>
            <w:noWrap/>
          </w:tcPr>
          <w:p w14:paraId="0D973C3E" w14:textId="77777777" w:rsidR="00481EA4" w:rsidRDefault="00481EA4" w:rsidP="003A5162">
            <w:pPr>
              <w:spacing w:before="0" w:after="0" w:line="240" w:lineRule="auto"/>
              <w:rPr>
                <w:rFonts w:eastAsia="Times New Roman" w:cs="Calibri"/>
                <w:color w:val="000000"/>
                <w:szCs w:val="22"/>
                <w:lang w:eastAsia="en-AU"/>
              </w:rPr>
            </w:pPr>
          </w:p>
        </w:tc>
      </w:tr>
      <w:tr w:rsidR="003A5162" w:rsidRPr="00EE1BD1" w14:paraId="5A5345E5" w14:textId="77777777" w:rsidTr="00763FAF">
        <w:trPr>
          <w:trHeight w:val="405"/>
        </w:trPr>
        <w:tc>
          <w:tcPr>
            <w:tcW w:w="6232" w:type="dxa"/>
            <w:shd w:val="clear" w:color="auto" w:fill="auto"/>
            <w:noWrap/>
            <w:vAlign w:val="center"/>
            <w:hideMark/>
          </w:tcPr>
          <w:p w14:paraId="4C5AF896" w14:textId="29174013"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32" w:name="RANGE!A37"/>
            <w:r w:rsidRPr="003A5162">
              <w:rPr>
                <w:rFonts w:ascii="Arial" w:eastAsia="Times New Roman" w:hAnsi="Arial" w:cs="Arial"/>
                <w:b/>
                <w:bCs/>
                <w:color w:val="000000"/>
                <w:sz w:val="28"/>
                <w:szCs w:val="28"/>
                <w:lang w:eastAsia="en-AU"/>
              </w:rPr>
              <w:t>Body fluid replacements and nutrients:</w:t>
            </w:r>
            <w:bookmarkEnd w:id="32"/>
          </w:p>
        </w:tc>
        <w:tc>
          <w:tcPr>
            <w:tcW w:w="3261" w:type="dxa"/>
            <w:shd w:val="clear" w:color="auto" w:fill="auto"/>
            <w:noWrap/>
            <w:vAlign w:val="bottom"/>
            <w:hideMark/>
          </w:tcPr>
          <w:p w14:paraId="58FF6F07"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29303C61" w14:textId="77777777" w:rsidTr="00763FAF">
        <w:trPr>
          <w:trHeight w:val="300"/>
        </w:trPr>
        <w:tc>
          <w:tcPr>
            <w:tcW w:w="6232" w:type="dxa"/>
            <w:shd w:val="clear" w:color="auto" w:fill="auto"/>
            <w:noWrap/>
            <w:vAlign w:val="center"/>
            <w:hideMark/>
          </w:tcPr>
          <w:p w14:paraId="47AD40AD" w14:textId="7128DAEE"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 xml:space="preserve">electrolyte solutions </w:t>
            </w:r>
          </w:p>
        </w:tc>
        <w:tc>
          <w:tcPr>
            <w:tcW w:w="3261" w:type="dxa"/>
            <w:shd w:val="clear" w:color="auto" w:fill="auto"/>
            <w:noWrap/>
            <w:vAlign w:val="center"/>
            <w:hideMark/>
          </w:tcPr>
          <w:p w14:paraId="5C97088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4F069C9C" w14:textId="77777777" w:rsidTr="00763FAF">
        <w:trPr>
          <w:trHeight w:val="300"/>
        </w:trPr>
        <w:tc>
          <w:tcPr>
            <w:tcW w:w="6232" w:type="dxa"/>
            <w:shd w:val="clear" w:color="auto" w:fill="auto"/>
            <w:noWrap/>
            <w:vAlign w:val="center"/>
            <w:hideMark/>
          </w:tcPr>
          <w:p w14:paraId="3A891454" w14:textId="5D4EB4EB"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plasma expanders</w:t>
            </w:r>
          </w:p>
        </w:tc>
        <w:tc>
          <w:tcPr>
            <w:tcW w:w="3261" w:type="dxa"/>
            <w:shd w:val="clear" w:color="auto" w:fill="auto"/>
            <w:noWrap/>
            <w:vAlign w:val="center"/>
            <w:hideMark/>
          </w:tcPr>
          <w:p w14:paraId="37DDB21C"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9EBECEB" w14:textId="77777777" w:rsidTr="00763FAF">
        <w:trPr>
          <w:trHeight w:val="300"/>
        </w:trPr>
        <w:tc>
          <w:tcPr>
            <w:tcW w:w="6232" w:type="dxa"/>
            <w:shd w:val="clear" w:color="auto" w:fill="auto"/>
            <w:noWrap/>
            <w:vAlign w:val="center"/>
            <w:hideMark/>
          </w:tcPr>
          <w:p w14:paraId="4BB2EE9A" w14:textId="47E008DE"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 xml:space="preserve">total parenteral nutrition solutions  </w:t>
            </w:r>
          </w:p>
        </w:tc>
        <w:tc>
          <w:tcPr>
            <w:tcW w:w="3261" w:type="dxa"/>
            <w:shd w:val="clear" w:color="auto" w:fill="auto"/>
            <w:noWrap/>
            <w:vAlign w:val="center"/>
            <w:hideMark/>
          </w:tcPr>
          <w:p w14:paraId="2A78734C"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4E71CA2D" w14:textId="77777777" w:rsidTr="00763FAF">
        <w:trPr>
          <w:trHeight w:val="300"/>
        </w:trPr>
        <w:tc>
          <w:tcPr>
            <w:tcW w:w="6232" w:type="dxa"/>
            <w:shd w:val="clear" w:color="auto" w:fill="auto"/>
            <w:noWrap/>
            <w:vAlign w:val="center"/>
            <w:hideMark/>
          </w:tcPr>
          <w:p w14:paraId="1AECEA0F" w14:textId="1F0627E3"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 xml:space="preserve">blood substitutes </w:t>
            </w:r>
          </w:p>
        </w:tc>
        <w:tc>
          <w:tcPr>
            <w:tcW w:w="3261" w:type="dxa"/>
            <w:shd w:val="clear" w:color="auto" w:fill="auto"/>
            <w:noWrap/>
            <w:vAlign w:val="center"/>
            <w:hideMark/>
          </w:tcPr>
          <w:p w14:paraId="0DDC108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43C836FA" w14:textId="77777777" w:rsidTr="00763FAF">
        <w:trPr>
          <w:trHeight w:val="300"/>
        </w:trPr>
        <w:tc>
          <w:tcPr>
            <w:tcW w:w="6232" w:type="dxa"/>
            <w:shd w:val="clear" w:color="auto" w:fill="auto"/>
            <w:noWrap/>
            <w:vAlign w:val="center"/>
            <w:hideMark/>
          </w:tcPr>
          <w:p w14:paraId="7E660BB7" w14:textId="6D8ADFD6"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 xml:space="preserve">peritoneal dialysis solutions &amp; substances prepacked for their preparation </w:t>
            </w:r>
          </w:p>
        </w:tc>
        <w:tc>
          <w:tcPr>
            <w:tcW w:w="3261" w:type="dxa"/>
            <w:shd w:val="clear" w:color="auto" w:fill="auto"/>
            <w:noWrap/>
            <w:vAlign w:val="center"/>
            <w:hideMark/>
          </w:tcPr>
          <w:p w14:paraId="2BDC76D9"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2F98FBA0" w14:textId="77777777" w:rsidTr="00763FAF">
        <w:trPr>
          <w:trHeight w:val="300"/>
        </w:trPr>
        <w:tc>
          <w:tcPr>
            <w:tcW w:w="6232" w:type="dxa"/>
            <w:shd w:val="clear" w:color="auto" w:fill="auto"/>
            <w:noWrap/>
            <w:vAlign w:val="center"/>
            <w:hideMark/>
          </w:tcPr>
          <w:p w14:paraId="72F1EDFB" w14:textId="12893345"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proofErr w:type="spellStart"/>
            <w:r w:rsidRPr="009543A5">
              <w:rPr>
                <w:rFonts w:eastAsia="Times New Roman" w:cstheme="minorHAnsi"/>
                <w:color w:val="000000"/>
                <w:sz w:val="22"/>
                <w:lang w:eastAsia="en-AU"/>
              </w:rPr>
              <w:t>haemofiltration</w:t>
            </w:r>
            <w:proofErr w:type="spellEnd"/>
            <w:r w:rsidRPr="009543A5">
              <w:rPr>
                <w:rFonts w:eastAsia="Times New Roman" w:cstheme="minorHAnsi"/>
                <w:color w:val="000000"/>
                <w:sz w:val="22"/>
                <w:lang w:eastAsia="en-AU"/>
              </w:rPr>
              <w:t xml:space="preserve"> solutions</w:t>
            </w:r>
          </w:p>
        </w:tc>
        <w:tc>
          <w:tcPr>
            <w:tcW w:w="3261" w:type="dxa"/>
            <w:shd w:val="clear" w:color="auto" w:fill="auto"/>
            <w:noWrap/>
            <w:vAlign w:val="center"/>
            <w:hideMark/>
          </w:tcPr>
          <w:p w14:paraId="4643BC3B"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A2BF983" w14:textId="77777777" w:rsidTr="00763FAF">
        <w:trPr>
          <w:trHeight w:val="300"/>
        </w:trPr>
        <w:tc>
          <w:tcPr>
            <w:tcW w:w="6232" w:type="dxa"/>
            <w:shd w:val="clear" w:color="auto" w:fill="auto"/>
            <w:noWrap/>
            <w:vAlign w:val="center"/>
            <w:hideMark/>
          </w:tcPr>
          <w:p w14:paraId="1AF9FAF3" w14:textId="45E31612"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 xml:space="preserve">haemodialysis solutions not in direct contact with blood </w:t>
            </w:r>
            <w:proofErr w:type="gramStart"/>
            <w:r w:rsidRPr="009543A5">
              <w:rPr>
                <w:rFonts w:eastAsia="Times New Roman" w:cstheme="minorHAnsi"/>
                <w:color w:val="000000"/>
                <w:sz w:val="22"/>
                <w:lang w:eastAsia="en-AU"/>
              </w:rPr>
              <w:t>i.e.</w:t>
            </w:r>
            <w:proofErr w:type="gramEnd"/>
            <w:r w:rsidRPr="009543A5">
              <w:rPr>
                <w:rFonts w:eastAsia="Times New Roman" w:cstheme="minorHAnsi"/>
                <w:color w:val="000000"/>
                <w:sz w:val="22"/>
                <w:lang w:eastAsia="en-AU"/>
              </w:rPr>
              <w:t xml:space="preserve"> other side of membrane </w:t>
            </w:r>
          </w:p>
        </w:tc>
        <w:tc>
          <w:tcPr>
            <w:tcW w:w="3261" w:type="dxa"/>
            <w:shd w:val="clear" w:color="auto" w:fill="auto"/>
            <w:noWrap/>
            <w:vAlign w:val="bottom"/>
            <w:hideMark/>
          </w:tcPr>
          <w:p w14:paraId="031CFD3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C943CF7" w14:textId="77777777" w:rsidTr="00763FAF">
        <w:trPr>
          <w:trHeight w:val="300"/>
        </w:trPr>
        <w:tc>
          <w:tcPr>
            <w:tcW w:w="6232" w:type="dxa"/>
            <w:shd w:val="clear" w:color="auto" w:fill="auto"/>
            <w:noWrap/>
            <w:vAlign w:val="center"/>
            <w:hideMark/>
          </w:tcPr>
          <w:p w14:paraId="540FBCBB" w14:textId="2E0828F0"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artificial tears for use with/without contact lenses (unmedicated)</w:t>
            </w:r>
          </w:p>
        </w:tc>
        <w:tc>
          <w:tcPr>
            <w:tcW w:w="3261" w:type="dxa"/>
            <w:shd w:val="clear" w:color="auto" w:fill="auto"/>
            <w:noWrap/>
            <w:vAlign w:val="bottom"/>
            <w:hideMark/>
          </w:tcPr>
          <w:p w14:paraId="7AC82DDC"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17333E56" w14:textId="77777777" w:rsidTr="00763FAF">
        <w:trPr>
          <w:trHeight w:val="300"/>
        </w:trPr>
        <w:tc>
          <w:tcPr>
            <w:tcW w:w="6232" w:type="dxa"/>
            <w:shd w:val="clear" w:color="auto" w:fill="auto"/>
            <w:noWrap/>
            <w:vAlign w:val="center"/>
            <w:hideMark/>
          </w:tcPr>
          <w:p w14:paraId="0DF3CD3D" w14:textId="3C9F94A3" w:rsidR="00481EA4" w:rsidRPr="009543A5" w:rsidRDefault="00481EA4" w:rsidP="003A5162">
            <w:pPr>
              <w:pStyle w:val="ListParagraph"/>
              <w:numPr>
                <w:ilvl w:val="0"/>
                <w:numId w:val="16"/>
              </w:numPr>
              <w:ind w:left="461" w:hanging="285"/>
              <w:contextualSpacing w:val="0"/>
              <w:rPr>
                <w:rFonts w:eastAsia="Times New Roman" w:cstheme="minorHAnsi"/>
                <w:color w:val="000000"/>
                <w:lang w:eastAsia="en-AU"/>
              </w:rPr>
            </w:pPr>
            <w:r w:rsidRPr="009543A5">
              <w:rPr>
                <w:rFonts w:eastAsia="Times New Roman" w:cstheme="minorHAnsi"/>
                <w:color w:val="000000"/>
                <w:sz w:val="22"/>
                <w:lang w:eastAsia="en-AU"/>
              </w:rPr>
              <w:t xml:space="preserve">artificial saliva  </w:t>
            </w:r>
          </w:p>
        </w:tc>
        <w:tc>
          <w:tcPr>
            <w:tcW w:w="3261" w:type="dxa"/>
            <w:shd w:val="clear" w:color="auto" w:fill="auto"/>
            <w:noWrap/>
            <w:vAlign w:val="bottom"/>
            <w:hideMark/>
          </w:tcPr>
          <w:p w14:paraId="5D155A3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30786801" w14:textId="77777777" w:rsidTr="00763FAF">
        <w:trPr>
          <w:trHeight w:val="300"/>
        </w:trPr>
        <w:tc>
          <w:tcPr>
            <w:tcW w:w="6232" w:type="dxa"/>
            <w:shd w:val="clear" w:color="auto" w:fill="auto"/>
            <w:noWrap/>
            <w:vAlign w:val="center"/>
            <w:hideMark/>
          </w:tcPr>
          <w:p w14:paraId="23EB25DC" w14:textId="77777777" w:rsidR="00481EA4" w:rsidRPr="00EE1BD1" w:rsidRDefault="00481EA4" w:rsidP="003A5162">
            <w:pPr>
              <w:spacing w:before="0" w:after="0" w:line="240" w:lineRule="auto"/>
              <w:rPr>
                <w:rFonts w:ascii="Calibri" w:eastAsia="Times New Roman" w:hAnsi="Calibri" w:cs="Calibri"/>
                <w:color w:val="000000"/>
                <w:szCs w:val="22"/>
                <w:lang w:eastAsia="en-AU"/>
              </w:rPr>
            </w:pPr>
          </w:p>
        </w:tc>
        <w:tc>
          <w:tcPr>
            <w:tcW w:w="3261" w:type="dxa"/>
            <w:shd w:val="clear" w:color="auto" w:fill="auto"/>
            <w:noWrap/>
            <w:vAlign w:val="bottom"/>
            <w:hideMark/>
          </w:tcPr>
          <w:p w14:paraId="0F1840BE"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04E88DF0" w14:textId="77777777" w:rsidTr="00763FAF">
        <w:trPr>
          <w:trHeight w:val="405"/>
        </w:trPr>
        <w:tc>
          <w:tcPr>
            <w:tcW w:w="6232" w:type="dxa"/>
            <w:shd w:val="clear" w:color="auto" w:fill="auto"/>
            <w:noWrap/>
            <w:vAlign w:val="center"/>
            <w:hideMark/>
          </w:tcPr>
          <w:p w14:paraId="163AC3EF" w14:textId="6C4324BD"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33" w:name="RANGE!A48"/>
            <w:r w:rsidRPr="003A5162">
              <w:rPr>
                <w:rFonts w:ascii="Arial" w:eastAsia="Times New Roman" w:hAnsi="Arial" w:cs="Arial"/>
                <w:b/>
                <w:bCs/>
                <w:color w:val="000000"/>
                <w:sz w:val="28"/>
                <w:szCs w:val="28"/>
                <w:lang w:eastAsia="en-AU"/>
              </w:rPr>
              <w:t>Medical gases</w:t>
            </w:r>
            <w:r w:rsidRPr="00EE1BD1">
              <w:rPr>
                <w:rFonts w:ascii="Arial" w:eastAsia="Times New Roman" w:hAnsi="Arial" w:cs="Arial"/>
                <w:b/>
                <w:bCs/>
                <w:color w:val="000000"/>
                <w:sz w:val="32"/>
                <w:szCs w:val="32"/>
                <w:lang w:eastAsia="en-AU"/>
              </w:rPr>
              <w:t xml:space="preserve"> </w:t>
            </w:r>
            <w:r w:rsidRPr="00EE1BD1">
              <w:rPr>
                <w:rFonts w:eastAsia="Times New Roman" w:cs="Arial"/>
                <w:color w:val="000000"/>
                <w:sz w:val="16"/>
                <w:szCs w:val="16"/>
                <w:lang w:eastAsia="en-AU"/>
              </w:rPr>
              <w:t> </w:t>
            </w:r>
            <w:bookmarkEnd w:id="33"/>
          </w:p>
        </w:tc>
        <w:tc>
          <w:tcPr>
            <w:tcW w:w="3261" w:type="dxa"/>
            <w:shd w:val="clear" w:color="auto" w:fill="auto"/>
            <w:noWrap/>
            <w:vAlign w:val="bottom"/>
            <w:hideMark/>
          </w:tcPr>
          <w:p w14:paraId="677B6BEF"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4560977A" w14:textId="77777777" w:rsidTr="00763FAF">
        <w:trPr>
          <w:trHeight w:val="300"/>
        </w:trPr>
        <w:tc>
          <w:tcPr>
            <w:tcW w:w="6232" w:type="dxa"/>
            <w:shd w:val="clear" w:color="auto" w:fill="auto"/>
            <w:noWrap/>
            <w:vAlign w:val="center"/>
            <w:hideMark/>
          </w:tcPr>
          <w:p w14:paraId="6899E90E" w14:textId="51161192"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 xml:space="preserve">oxygen &amp; other medical gases (except cryogenic gases and gases for mechanical use) </w:t>
            </w:r>
          </w:p>
        </w:tc>
        <w:tc>
          <w:tcPr>
            <w:tcW w:w="3261" w:type="dxa"/>
            <w:shd w:val="clear" w:color="auto" w:fill="auto"/>
            <w:noWrap/>
            <w:vAlign w:val="center"/>
            <w:hideMark/>
          </w:tcPr>
          <w:p w14:paraId="738EB91E" w14:textId="77777777" w:rsidR="00481EA4" w:rsidRPr="002A3BD2" w:rsidRDefault="00481EA4" w:rsidP="003A5162">
            <w:pPr>
              <w:spacing w:before="0" w:after="0" w:line="240" w:lineRule="auto"/>
              <w:rPr>
                <w:rFonts w:asciiTheme="minorHAnsi" w:eastAsia="Times New Roman" w:hAnsiTheme="minorHAnsi" w:cstheme="minorHAnsi"/>
                <w:color w:val="000000"/>
                <w:szCs w:val="22"/>
                <w:lang w:eastAsia="en-AU"/>
              </w:rPr>
            </w:pPr>
            <w:r w:rsidRPr="002A3BD2">
              <w:rPr>
                <w:rFonts w:asciiTheme="minorHAnsi" w:eastAsia="Times New Roman" w:hAnsiTheme="minorHAnsi" w:cstheme="minorHAnsi"/>
                <w:color w:val="000000"/>
                <w:szCs w:val="22"/>
                <w:lang w:eastAsia="en-AU"/>
              </w:rPr>
              <w:t>Medicine</w:t>
            </w:r>
          </w:p>
        </w:tc>
      </w:tr>
      <w:tr w:rsidR="003A5162" w:rsidRPr="00EE1BD1" w14:paraId="6999CC8A" w14:textId="77777777" w:rsidTr="00763FAF">
        <w:trPr>
          <w:trHeight w:val="300"/>
        </w:trPr>
        <w:tc>
          <w:tcPr>
            <w:tcW w:w="6232" w:type="dxa"/>
            <w:shd w:val="clear" w:color="auto" w:fill="auto"/>
            <w:noWrap/>
            <w:vAlign w:val="center"/>
            <w:hideMark/>
          </w:tcPr>
          <w:p w14:paraId="25A00C99" w14:textId="56ACFE81"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 xml:space="preserve">oxygen – chemical generators </w:t>
            </w:r>
          </w:p>
        </w:tc>
        <w:tc>
          <w:tcPr>
            <w:tcW w:w="3261" w:type="dxa"/>
            <w:shd w:val="clear" w:color="auto" w:fill="auto"/>
            <w:noWrap/>
            <w:vAlign w:val="center"/>
            <w:hideMark/>
          </w:tcPr>
          <w:p w14:paraId="081004EE" w14:textId="77777777" w:rsidR="00481EA4" w:rsidRPr="002A3BD2" w:rsidRDefault="00481EA4" w:rsidP="003A5162">
            <w:pPr>
              <w:spacing w:before="0" w:after="0" w:line="240" w:lineRule="auto"/>
              <w:rPr>
                <w:rFonts w:asciiTheme="minorHAnsi" w:eastAsia="Times New Roman" w:hAnsiTheme="minorHAnsi" w:cstheme="minorHAnsi"/>
                <w:color w:val="000000"/>
                <w:szCs w:val="22"/>
                <w:lang w:eastAsia="en-AU"/>
              </w:rPr>
            </w:pPr>
            <w:r w:rsidRPr="002A3BD2">
              <w:rPr>
                <w:rFonts w:asciiTheme="minorHAnsi" w:eastAsia="Times New Roman" w:hAnsiTheme="minorHAnsi" w:cstheme="minorHAnsi"/>
                <w:color w:val="000000"/>
                <w:szCs w:val="22"/>
                <w:lang w:eastAsia="en-AU"/>
              </w:rPr>
              <w:t>Medicine</w:t>
            </w:r>
          </w:p>
        </w:tc>
      </w:tr>
      <w:tr w:rsidR="003A5162" w:rsidRPr="00EE1BD1" w14:paraId="6D8B46B0" w14:textId="77777777" w:rsidTr="00763FAF">
        <w:trPr>
          <w:trHeight w:val="300"/>
        </w:trPr>
        <w:tc>
          <w:tcPr>
            <w:tcW w:w="6232" w:type="dxa"/>
            <w:shd w:val="clear" w:color="auto" w:fill="auto"/>
            <w:noWrap/>
            <w:vAlign w:val="center"/>
          </w:tcPr>
          <w:p w14:paraId="4C48BF2C"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Gas used as a diagnostic</w:t>
            </w:r>
          </w:p>
        </w:tc>
        <w:tc>
          <w:tcPr>
            <w:tcW w:w="3261" w:type="dxa"/>
            <w:shd w:val="clear" w:color="auto" w:fill="auto"/>
            <w:noWrap/>
            <w:vAlign w:val="bottom"/>
          </w:tcPr>
          <w:p w14:paraId="1DDACA30" w14:textId="77777777" w:rsidR="00481EA4" w:rsidRPr="002A3BD2" w:rsidRDefault="00481EA4" w:rsidP="003A5162">
            <w:pPr>
              <w:spacing w:before="0" w:after="0" w:line="240" w:lineRule="auto"/>
              <w:rPr>
                <w:rFonts w:asciiTheme="minorHAnsi" w:eastAsia="Times New Roman" w:hAnsiTheme="minorHAnsi" w:cstheme="minorHAnsi"/>
                <w:color w:val="000000"/>
                <w:szCs w:val="22"/>
                <w:lang w:eastAsia="en-AU"/>
              </w:rPr>
            </w:pPr>
            <w:r w:rsidRPr="002A3BD2">
              <w:rPr>
                <w:rFonts w:asciiTheme="minorHAnsi" w:eastAsia="Times New Roman" w:hAnsiTheme="minorHAnsi" w:cstheme="minorHAnsi"/>
                <w:color w:val="000000"/>
                <w:szCs w:val="22"/>
                <w:lang w:eastAsia="en-AU"/>
              </w:rPr>
              <w:t>Medicine</w:t>
            </w:r>
          </w:p>
        </w:tc>
      </w:tr>
      <w:tr w:rsidR="003A5162" w:rsidRPr="00EE1BD1" w14:paraId="2A485D6F" w14:textId="77777777" w:rsidTr="00763FAF">
        <w:trPr>
          <w:trHeight w:val="300"/>
        </w:trPr>
        <w:tc>
          <w:tcPr>
            <w:tcW w:w="6232" w:type="dxa"/>
            <w:shd w:val="clear" w:color="auto" w:fill="auto"/>
            <w:noWrap/>
            <w:vAlign w:val="center"/>
            <w:hideMark/>
          </w:tcPr>
          <w:p w14:paraId="1323B112" w14:textId="45AC8D5B"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oxygen concentrators</w:t>
            </w:r>
          </w:p>
        </w:tc>
        <w:tc>
          <w:tcPr>
            <w:tcW w:w="3261" w:type="dxa"/>
            <w:shd w:val="clear" w:color="auto" w:fill="auto"/>
            <w:noWrap/>
            <w:vAlign w:val="bottom"/>
            <w:hideMark/>
          </w:tcPr>
          <w:p w14:paraId="5B4CBF01" w14:textId="77777777" w:rsidR="00481EA4" w:rsidRPr="002A3BD2" w:rsidRDefault="00481EA4" w:rsidP="003A5162">
            <w:pPr>
              <w:spacing w:before="0" w:after="0" w:line="240" w:lineRule="auto"/>
              <w:rPr>
                <w:rFonts w:asciiTheme="minorHAnsi" w:eastAsia="Times New Roman" w:hAnsiTheme="minorHAnsi" w:cstheme="minorHAnsi"/>
                <w:color w:val="000000"/>
                <w:szCs w:val="22"/>
                <w:lang w:eastAsia="en-AU"/>
              </w:rPr>
            </w:pPr>
            <w:r w:rsidRPr="002A3BD2">
              <w:rPr>
                <w:rFonts w:asciiTheme="minorHAnsi" w:eastAsia="Times New Roman" w:hAnsiTheme="minorHAnsi" w:cstheme="minorHAnsi"/>
                <w:color w:val="000000"/>
                <w:szCs w:val="22"/>
                <w:lang w:eastAsia="en-AU"/>
              </w:rPr>
              <w:t>Medical Device</w:t>
            </w:r>
          </w:p>
        </w:tc>
      </w:tr>
      <w:tr w:rsidR="003A5162" w:rsidRPr="00EE1BD1" w14:paraId="6CFFAC00" w14:textId="77777777" w:rsidTr="00763FAF">
        <w:trPr>
          <w:trHeight w:val="300"/>
        </w:trPr>
        <w:tc>
          <w:tcPr>
            <w:tcW w:w="6232" w:type="dxa"/>
            <w:shd w:val="clear" w:color="auto" w:fill="auto"/>
            <w:noWrap/>
            <w:vAlign w:val="center"/>
            <w:hideMark/>
          </w:tcPr>
          <w:p w14:paraId="35353D86" w14:textId="2B2F283B"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ozone generators</w:t>
            </w:r>
          </w:p>
        </w:tc>
        <w:tc>
          <w:tcPr>
            <w:tcW w:w="3261" w:type="dxa"/>
            <w:shd w:val="clear" w:color="auto" w:fill="auto"/>
            <w:noWrap/>
            <w:vAlign w:val="bottom"/>
            <w:hideMark/>
          </w:tcPr>
          <w:p w14:paraId="5685FB1F" w14:textId="77777777" w:rsidR="00481EA4" w:rsidRPr="002A3BD2" w:rsidRDefault="00481EA4" w:rsidP="003A5162">
            <w:pPr>
              <w:spacing w:before="0" w:after="0" w:line="240" w:lineRule="auto"/>
              <w:rPr>
                <w:rFonts w:asciiTheme="minorHAnsi" w:eastAsia="Times New Roman" w:hAnsiTheme="minorHAnsi" w:cstheme="minorHAnsi"/>
                <w:color w:val="000000"/>
                <w:szCs w:val="22"/>
                <w:lang w:eastAsia="en-AU"/>
              </w:rPr>
            </w:pPr>
            <w:r w:rsidRPr="002A3BD2">
              <w:rPr>
                <w:rFonts w:asciiTheme="minorHAnsi" w:eastAsia="Times New Roman" w:hAnsiTheme="minorHAnsi" w:cstheme="minorHAnsi"/>
                <w:color w:val="000000"/>
                <w:szCs w:val="22"/>
                <w:lang w:eastAsia="en-AU"/>
              </w:rPr>
              <w:t>Medical Device</w:t>
            </w:r>
          </w:p>
        </w:tc>
      </w:tr>
      <w:tr w:rsidR="003A5162" w:rsidRPr="00EE1BD1" w14:paraId="124AEC2D" w14:textId="77777777" w:rsidTr="00763FAF">
        <w:trPr>
          <w:trHeight w:val="300"/>
        </w:trPr>
        <w:tc>
          <w:tcPr>
            <w:tcW w:w="6232" w:type="dxa"/>
            <w:shd w:val="clear" w:color="auto" w:fill="auto"/>
            <w:noWrap/>
            <w:vAlign w:val="center"/>
            <w:hideMark/>
          </w:tcPr>
          <w:p w14:paraId="277670BD" w14:textId="3A48CA0D"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cryogenic gases</w:t>
            </w:r>
          </w:p>
        </w:tc>
        <w:tc>
          <w:tcPr>
            <w:tcW w:w="3261" w:type="dxa"/>
            <w:shd w:val="clear" w:color="auto" w:fill="auto"/>
            <w:noWrap/>
            <w:vAlign w:val="bottom"/>
            <w:hideMark/>
          </w:tcPr>
          <w:p w14:paraId="05CFDC81" w14:textId="77777777" w:rsidR="00481EA4" w:rsidRPr="002A3BD2" w:rsidRDefault="00481EA4" w:rsidP="003A5162">
            <w:pPr>
              <w:spacing w:before="0" w:after="0" w:line="240" w:lineRule="auto"/>
              <w:rPr>
                <w:rFonts w:asciiTheme="minorHAnsi" w:eastAsia="Times New Roman" w:hAnsiTheme="minorHAnsi" w:cstheme="minorHAnsi"/>
                <w:color w:val="000000"/>
                <w:szCs w:val="22"/>
                <w:lang w:eastAsia="en-AU"/>
              </w:rPr>
            </w:pPr>
            <w:r w:rsidRPr="002A3BD2">
              <w:rPr>
                <w:rFonts w:asciiTheme="minorHAnsi" w:eastAsia="Times New Roman" w:hAnsiTheme="minorHAnsi" w:cstheme="minorHAnsi"/>
                <w:color w:val="000000"/>
                <w:szCs w:val="22"/>
                <w:lang w:eastAsia="en-AU"/>
              </w:rPr>
              <w:t>Medical Device</w:t>
            </w:r>
          </w:p>
        </w:tc>
      </w:tr>
      <w:tr w:rsidR="003A5162" w:rsidRPr="00EE1BD1" w14:paraId="50BED332" w14:textId="77777777" w:rsidTr="00763FAF">
        <w:trPr>
          <w:trHeight w:val="300"/>
        </w:trPr>
        <w:tc>
          <w:tcPr>
            <w:tcW w:w="6232" w:type="dxa"/>
            <w:shd w:val="clear" w:color="auto" w:fill="auto"/>
            <w:noWrap/>
            <w:vAlign w:val="center"/>
            <w:hideMark/>
          </w:tcPr>
          <w:p w14:paraId="5F532D5F" w14:textId="57ABA0A4"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gases for mechanical use</w:t>
            </w:r>
          </w:p>
        </w:tc>
        <w:tc>
          <w:tcPr>
            <w:tcW w:w="3261" w:type="dxa"/>
            <w:shd w:val="clear" w:color="auto" w:fill="auto"/>
            <w:noWrap/>
            <w:vAlign w:val="bottom"/>
            <w:hideMark/>
          </w:tcPr>
          <w:p w14:paraId="15008A1A" w14:textId="77777777" w:rsidR="00481EA4" w:rsidRPr="002A3BD2" w:rsidRDefault="00481EA4" w:rsidP="003A5162">
            <w:pPr>
              <w:spacing w:before="0" w:after="0" w:line="240" w:lineRule="auto"/>
              <w:rPr>
                <w:rFonts w:asciiTheme="minorHAnsi" w:eastAsia="Times New Roman" w:hAnsiTheme="minorHAnsi" w:cstheme="minorHAnsi"/>
                <w:color w:val="000000"/>
                <w:szCs w:val="22"/>
                <w:lang w:eastAsia="en-AU"/>
              </w:rPr>
            </w:pPr>
            <w:r w:rsidRPr="002A3BD2">
              <w:rPr>
                <w:rFonts w:asciiTheme="minorHAnsi" w:eastAsia="Times New Roman" w:hAnsiTheme="minorHAnsi" w:cstheme="minorHAnsi"/>
                <w:color w:val="000000"/>
                <w:szCs w:val="22"/>
                <w:lang w:eastAsia="en-AU"/>
              </w:rPr>
              <w:t xml:space="preserve">Medical Device </w:t>
            </w:r>
          </w:p>
        </w:tc>
      </w:tr>
      <w:tr w:rsidR="003A5162" w:rsidRPr="00EE1BD1" w14:paraId="3908C3E8" w14:textId="77777777" w:rsidTr="00763FAF">
        <w:trPr>
          <w:trHeight w:val="300"/>
        </w:trPr>
        <w:tc>
          <w:tcPr>
            <w:tcW w:w="6232" w:type="dxa"/>
            <w:shd w:val="clear" w:color="auto" w:fill="auto"/>
            <w:noWrap/>
            <w:vAlign w:val="center"/>
            <w:hideMark/>
          </w:tcPr>
          <w:p w14:paraId="43B91781" w14:textId="77777777" w:rsidR="00481EA4" w:rsidRPr="00EE1BD1" w:rsidRDefault="00481EA4" w:rsidP="003A5162">
            <w:pPr>
              <w:spacing w:before="0" w:after="0" w:line="240" w:lineRule="auto"/>
              <w:rPr>
                <w:rFonts w:ascii="Calibri" w:eastAsia="Times New Roman" w:hAnsi="Calibri" w:cs="Calibri"/>
                <w:color w:val="000000"/>
                <w:szCs w:val="22"/>
                <w:lang w:eastAsia="en-AU"/>
              </w:rPr>
            </w:pPr>
          </w:p>
        </w:tc>
        <w:tc>
          <w:tcPr>
            <w:tcW w:w="3261" w:type="dxa"/>
            <w:shd w:val="clear" w:color="auto" w:fill="auto"/>
            <w:noWrap/>
            <w:vAlign w:val="bottom"/>
            <w:hideMark/>
          </w:tcPr>
          <w:p w14:paraId="2EC790BF"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79323B55" w14:textId="77777777" w:rsidTr="00763FAF">
        <w:trPr>
          <w:trHeight w:val="405"/>
        </w:trPr>
        <w:tc>
          <w:tcPr>
            <w:tcW w:w="6232" w:type="dxa"/>
            <w:shd w:val="clear" w:color="auto" w:fill="auto"/>
            <w:noWrap/>
            <w:vAlign w:val="center"/>
            <w:hideMark/>
          </w:tcPr>
          <w:p w14:paraId="205070ED" w14:textId="27B9B3F7"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34" w:name="RANGE!A56"/>
            <w:r w:rsidRPr="003A5162">
              <w:rPr>
                <w:rFonts w:ascii="Arial" w:eastAsia="Times New Roman" w:hAnsi="Arial" w:cs="Arial"/>
                <w:b/>
                <w:bCs/>
                <w:color w:val="000000"/>
                <w:sz w:val="28"/>
                <w:szCs w:val="28"/>
                <w:lang w:eastAsia="en-AU"/>
              </w:rPr>
              <w:t xml:space="preserve">Diagnostic imaging or similar agents </w:t>
            </w:r>
            <w:r w:rsidRPr="00763FAF">
              <w:rPr>
                <w:rFonts w:ascii="Arial" w:eastAsia="Times New Roman" w:hAnsi="Arial" w:cs="Arial"/>
                <w:b/>
                <w:bCs/>
                <w:i/>
                <w:iCs/>
                <w:color w:val="000000"/>
                <w:sz w:val="28"/>
                <w:szCs w:val="28"/>
                <w:lang w:eastAsia="en-AU"/>
              </w:rPr>
              <w:t>(in vivo)</w:t>
            </w:r>
            <w:bookmarkEnd w:id="34"/>
          </w:p>
        </w:tc>
        <w:tc>
          <w:tcPr>
            <w:tcW w:w="3261" w:type="dxa"/>
            <w:shd w:val="clear" w:color="auto" w:fill="auto"/>
            <w:noWrap/>
            <w:vAlign w:val="bottom"/>
            <w:hideMark/>
          </w:tcPr>
          <w:p w14:paraId="4908FF2D"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018E83F3" w14:textId="77777777" w:rsidTr="00763FAF">
        <w:trPr>
          <w:trHeight w:val="300"/>
        </w:trPr>
        <w:tc>
          <w:tcPr>
            <w:tcW w:w="6232" w:type="dxa"/>
            <w:shd w:val="clear" w:color="auto" w:fill="auto"/>
            <w:noWrap/>
            <w:vAlign w:val="center"/>
            <w:hideMark/>
          </w:tcPr>
          <w:p w14:paraId="171B31D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 xml:space="preserve">Diagnostic imaging or similar agents </w:t>
            </w:r>
            <w:r w:rsidRPr="002A3BD2">
              <w:rPr>
                <w:rFonts w:eastAsia="Times New Roman" w:cstheme="minorHAnsi"/>
                <w:i/>
                <w:iCs/>
                <w:color w:val="000000"/>
                <w:szCs w:val="22"/>
                <w:lang w:eastAsia="en-AU"/>
              </w:rPr>
              <w:t>(in vivo)</w:t>
            </w:r>
            <w:r w:rsidRPr="002A3BD2">
              <w:rPr>
                <w:rFonts w:eastAsia="Times New Roman" w:cstheme="minorHAnsi"/>
                <w:color w:val="000000"/>
                <w:szCs w:val="22"/>
                <w:lang w:eastAsia="en-AU"/>
              </w:rPr>
              <w:t xml:space="preserve"> for use in conjunction with:</w:t>
            </w:r>
          </w:p>
        </w:tc>
        <w:tc>
          <w:tcPr>
            <w:tcW w:w="3261" w:type="dxa"/>
            <w:shd w:val="clear" w:color="auto" w:fill="auto"/>
            <w:noWrap/>
            <w:vAlign w:val="bottom"/>
            <w:hideMark/>
          </w:tcPr>
          <w:p w14:paraId="09544959" w14:textId="77777777" w:rsidR="00481EA4" w:rsidRPr="002A3BD2" w:rsidRDefault="00481EA4" w:rsidP="003A5162">
            <w:pPr>
              <w:spacing w:before="0" w:after="0" w:line="240" w:lineRule="auto"/>
              <w:rPr>
                <w:rFonts w:eastAsia="Times New Roman" w:cstheme="minorHAnsi"/>
                <w:color w:val="000000"/>
                <w:szCs w:val="22"/>
                <w:lang w:eastAsia="en-AU"/>
              </w:rPr>
            </w:pPr>
          </w:p>
        </w:tc>
      </w:tr>
      <w:tr w:rsidR="003A5162" w:rsidRPr="00EE1BD1" w14:paraId="47EB5BB5" w14:textId="77777777" w:rsidTr="00763FAF">
        <w:trPr>
          <w:trHeight w:val="300"/>
        </w:trPr>
        <w:tc>
          <w:tcPr>
            <w:tcW w:w="6232" w:type="dxa"/>
            <w:shd w:val="clear" w:color="auto" w:fill="auto"/>
            <w:noWrap/>
            <w:vAlign w:val="center"/>
            <w:hideMark/>
          </w:tcPr>
          <w:p w14:paraId="53689F9F" w14:textId="6FEF5D1C" w:rsidR="00481EA4" w:rsidRPr="00166957" w:rsidRDefault="00481EA4" w:rsidP="003A5162">
            <w:pPr>
              <w:pStyle w:val="ListParagraph"/>
              <w:numPr>
                <w:ilvl w:val="0"/>
                <w:numId w:val="16"/>
              </w:numPr>
              <w:ind w:left="461" w:hanging="285"/>
              <w:contextualSpacing w:val="0"/>
              <w:rPr>
                <w:rFonts w:eastAsia="Times New Roman" w:cstheme="minorHAnsi"/>
                <w:color w:val="000000"/>
                <w:lang w:eastAsia="en-AU"/>
              </w:rPr>
            </w:pPr>
            <w:r w:rsidRPr="00166957">
              <w:rPr>
                <w:rFonts w:eastAsia="Times New Roman" w:cstheme="minorHAnsi"/>
                <w:color w:val="000000"/>
                <w:sz w:val="22"/>
                <w:lang w:eastAsia="en-AU"/>
              </w:rPr>
              <w:t xml:space="preserve">positron emission tomography </w:t>
            </w:r>
          </w:p>
        </w:tc>
        <w:tc>
          <w:tcPr>
            <w:tcW w:w="3261" w:type="dxa"/>
            <w:shd w:val="clear" w:color="auto" w:fill="auto"/>
            <w:noWrap/>
            <w:vAlign w:val="center"/>
            <w:hideMark/>
          </w:tcPr>
          <w:p w14:paraId="6FC0864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E2D4317" w14:textId="77777777" w:rsidTr="00763FAF">
        <w:trPr>
          <w:trHeight w:val="300"/>
        </w:trPr>
        <w:tc>
          <w:tcPr>
            <w:tcW w:w="6232" w:type="dxa"/>
            <w:shd w:val="clear" w:color="auto" w:fill="auto"/>
            <w:noWrap/>
            <w:vAlign w:val="center"/>
            <w:hideMark/>
          </w:tcPr>
          <w:p w14:paraId="2B29FE67" w14:textId="7B0367C2" w:rsidR="00481EA4" w:rsidRPr="00166957" w:rsidRDefault="00481EA4" w:rsidP="003A5162">
            <w:pPr>
              <w:pStyle w:val="ListParagraph"/>
              <w:numPr>
                <w:ilvl w:val="0"/>
                <w:numId w:val="16"/>
              </w:numPr>
              <w:ind w:left="461" w:hanging="285"/>
              <w:contextualSpacing w:val="0"/>
              <w:rPr>
                <w:rFonts w:eastAsia="Times New Roman" w:cstheme="minorHAnsi"/>
                <w:color w:val="000000"/>
                <w:lang w:eastAsia="en-AU"/>
              </w:rPr>
            </w:pPr>
            <w:r w:rsidRPr="00166957">
              <w:rPr>
                <w:rFonts w:eastAsia="Times New Roman" w:cstheme="minorHAnsi"/>
                <w:color w:val="000000"/>
                <w:sz w:val="22"/>
                <w:lang w:eastAsia="en-AU"/>
              </w:rPr>
              <w:t xml:space="preserve">computerised axial tomography  </w:t>
            </w:r>
          </w:p>
        </w:tc>
        <w:tc>
          <w:tcPr>
            <w:tcW w:w="3261" w:type="dxa"/>
            <w:shd w:val="clear" w:color="auto" w:fill="auto"/>
            <w:noWrap/>
            <w:vAlign w:val="center"/>
            <w:hideMark/>
          </w:tcPr>
          <w:p w14:paraId="0511927C"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2A91FE86" w14:textId="77777777" w:rsidTr="00763FAF">
        <w:trPr>
          <w:trHeight w:val="300"/>
        </w:trPr>
        <w:tc>
          <w:tcPr>
            <w:tcW w:w="6232" w:type="dxa"/>
            <w:shd w:val="clear" w:color="auto" w:fill="auto"/>
            <w:noWrap/>
            <w:vAlign w:val="center"/>
            <w:hideMark/>
          </w:tcPr>
          <w:p w14:paraId="79738AFD" w14:textId="27908807" w:rsidR="00481EA4" w:rsidRPr="00166957" w:rsidRDefault="00481EA4" w:rsidP="003A5162">
            <w:pPr>
              <w:pStyle w:val="ListParagraph"/>
              <w:numPr>
                <w:ilvl w:val="0"/>
                <w:numId w:val="16"/>
              </w:numPr>
              <w:ind w:left="461" w:hanging="285"/>
              <w:contextualSpacing w:val="0"/>
              <w:rPr>
                <w:rFonts w:eastAsia="Times New Roman" w:cstheme="minorHAnsi"/>
                <w:color w:val="000000"/>
                <w:lang w:eastAsia="en-AU"/>
              </w:rPr>
            </w:pPr>
            <w:r w:rsidRPr="00166957">
              <w:rPr>
                <w:rFonts w:eastAsia="Times New Roman" w:cstheme="minorHAnsi"/>
                <w:color w:val="000000"/>
                <w:sz w:val="22"/>
                <w:lang w:eastAsia="en-AU"/>
              </w:rPr>
              <w:t xml:space="preserve">nuclear magnetic resonance  </w:t>
            </w:r>
          </w:p>
        </w:tc>
        <w:tc>
          <w:tcPr>
            <w:tcW w:w="3261" w:type="dxa"/>
            <w:shd w:val="clear" w:color="auto" w:fill="auto"/>
            <w:noWrap/>
            <w:vAlign w:val="center"/>
            <w:hideMark/>
          </w:tcPr>
          <w:p w14:paraId="60A8109B"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184A7B8" w14:textId="77777777" w:rsidTr="00763FAF">
        <w:trPr>
          <w:trHeight w:val="300"/>
        </w:trPr>
        <w:tc>
          <w:tcPr>
            <w:tcW w:w="6232" w:type="dxa"/>
            <w:shd w:val="clear" w:color="auto" w:fill="auto"/>
            <w:noWrap/>
            <w:vAlign w:val="center"/>
            <w:hideMark/>
          </w:tcPr>
          <w:p w14:paraId="3DDE29F4" w14:textId="3BDB7B06" w:rsidR="00481EA4" w:rsidRPr="00166957" w:rsidRDefault="00481EA4" w:rsidP="003A5162">
            <w:pPr>
              <w:pStyle w:val="ListParagraph"/>
              <w:numPr>
                <w:ilvl w:val="0"/>
                <w:numId w:val="16"/>
              </w:numPr>
              <w:ind w:left="461" w:hanging="285"/>
              <w:contextualSpacing w:val="0"/>
              <w:rPr>
                <w:rFonts w:eastAsia="Times New Roman" w:cstheme="minorHAnsi"/>
                <w:color w:val="000000"/>
                <w:lang w:eastAsia="en-AU"/>
              </w:rPr>
            </w:pPr>
            <w:r w:rsidRPr="00166957">
              <w:rPr>
                <w:rFonts w:eastAsia="Times New Roman" w:cstheme="minorHAnsi"/>
                <w:color w:val="000000"/>
                <w:sz w:val="22"/>
                <w:lang w:eastAsia="en-AU"/>
              </w:rPr>
              <w:t xml:space="preserve">ultrasonography  </w:t>
            </w:r>
          </w:p>
        </w:tc>
        <w:tc>
          <w:tcPr>
            <w:tcW w:w="3261" w:type="dxa"/>
            <w:shd w:val="clear" w:color="auto" w:fill="auto"/>
            <w:noWrap/>
            <w:vAlign w:val="center"/>
            <w:hideMark/>
          </w:tcPr>
          <w:p w14:paraId="0EFC563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9B771CA" w14:textId="77777777" w:rsidTr="00763FAF">
        <w:trPr>
          <w:trHeight w:val="300"/>
        </w:trPr>
        <w:tc>
          <w:tcPr>
            <w:tcW w:w="6232" w:type="dxa"/>
            <w:shd w:val="clear" w:color="auto" w:fill="auto"/>
            <w:noWrap/>
            <w:vAlign w:val="center"/>
            <w:hideMark/>
          </w:tcPr>
          <w:p w14:paraId="5922FD9B" w14:textId="484A1D81" w:rsidR="00481EA4" w:rsidRPr="00166957" w:rsidRDefault="00481EA4" w:rsidP="003A5162">
            <w:pPr>
              <w:pStyle w:val="ListParagraph"/>
              <w:numPr>
                <w:ilvl w:val="0"/>
                <w:numId w:val="16"/>
              </w:numPr>
              <w:ind w:left="461" w:hanging="285"/>
              <w:contextualSpacing w:val="0"/>
              <w:rPr>
                <w:rFonts w:eastAsia="Times New Roman" w:cstheme="minorHAnsi"/>
                <w:color w:val="000000"/>
                <w:lang w:eastAsia="en-AU"/>
              </w:rPr>
            </w:pPr>
            <w:r w:rsidRPr="00166957">
              <w:rPr>
                <w:rFonts w:eastAsia="Times New Roman" w:cstheme="minorHAnsi"/>
                <w:color w:val="000000"/>
                <w:sz w:val="22"/>
                <w:lang w:eastAsia="en-AU"/>
              </w:rPr>
              <w:t>X</w:t>
            </w:r>
            <w:r w:rsidRPr="00166957">
              <w:rPr>
                <w:rFonts w:eastAsia="Times New Roman" w:cstheme="minorHAnsi"/>
                <w:color w:val="000000"/>
                <w:sz w:val="22"/>
                <w:lang w:eastAsia="en-AU"/>
              </w:rPr>
              <w:noBreakHyphen/>
              <w:t>Ray</w:t>
            </w:r>
          </w:p>
        </w:tc>
        <w:tc>
          <w:tcPr>
            <w:tcW w:w="3261" w:type="dxa"/>
            <w:shd w:val="clear" w:color="auto" w:fill="auto"/>
            <w:noWrap/>
            <w:vAlign w:val="center"/>
            <w:hideMark/>
          </w:tcPr>
          <w:p w14:paraId="2E68134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3DC86199" w14:textId="77777777" w:rsidTr="00763FAF">
        <w:trPr>
          <w:trHeight w:val="300"/>
        </w:trPr>
        <w:tc>
          <w:tcPr>
            <w:tcW w:w="6232" w:type="dxa"/>
            <w:shd w:val="clear" w:color="auto" w:fill="auto"/>
            <w:noWrap/>
            <w:vAlign w:val="center"/>
            <w:hideMark/>
          </w:tcPr>
          <w:p w14:paraId="3D952FAB" w14:textId="5A5A39A5" w:rsidR="00481EA4" w:rsidRPr="00166957" w:rsidRDefault="00481EA4" w:rsidP="003A5162">
            <w:pPr>
              <w:pStyle w:val="ListParagraph"/>
              <w:numPr>
                <w:ilvl w:val="0"/>
                <w:numId w:val="16"/>
              </w:numPr>
              <w:ind w:left="461" w:hanging="285"/>
              <w:contextualSpacing w:val="0"/>
              <w:rPr>
                <w:rFonts w:eastAsia="Times New Roman" w:cstheme="minorHAnsi"/>
                <w:color w:val="000000"/>
                <w:lang w:eastAsia="en-AU"/>
              </w:rPr>
            </w:pPr>
            <w:r w:rsidRPr="00166957">
              <w:rPr>
                <w:rFonts w:eastAsia="Times New Roman" w:cstheme="minorHAnsi"/>
                <w:color w:val="000000"/>
                <w:sz w:val="22"/>
                <w:lang w:eastAsia="en-AU"/>
              </w:rPr>
              <w:t>gas mixtures for pulmonary function testing devices</w:t>
            </w:r>
          </w:p>
        </w:tc>
        <w:tc>
          <w:tcPr>
            <w:tcW w:w="3261" w:type="dxa"/>
            <w:shd w:val="clear" w:color="auto" w:fill="auto"/>
            <w:noWrap/>
            <w:vAlign w:val="center"/>
            <w:hideMark/>
          </w:tcPr>
          <w:p w14:paraId="1F52926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70DC778" w14:textId="77777777" w:rsidTr="00763FAF">
        <w:trPr>
          <w:trHeight w:val="300"/>
        </w:trPr>
        <w:tc>
          <w:tcPr>
            <w:tcW w:w="6232" w:type="dxa"/>
            <w:shd w:val="clear" w:color="auto" w:fill="auto"/>
            <w:noWrap/>
            <w:vAlign w:val="center"/>
            <w:hideMark/>
          </w:tcPr>
          <w:p w14:paraId="4B550A0A" w14:textId="23718595" w:rsidR="00481EA4" w:rsidRPr="00166957" w:rsidRDefault="00481EA4" w:rsidP="003A5162">
            <w:pPr>
              <w:pStyle w:val="ListParagraph"/>
              <w:numPr>
                <w:ilvl w:val="0"/>
                <w:numId w:val="16"/>
              </w:numPr>
              <w:ind w:left="461" w:hanging="285"/>
              <w:contextualSpacing w:val="0"/>
              <w:rPr>
                <w:rFonts w:eastAsia="Times New Roman" w:cstheme="minorHAnsi"/>
                <w:color w:val="000000"/>
                <w:lang w:eastAsia="en-AU"/>
              </w:rPr>
            </w:pPr>
            <w:r w:rsidRPr="00166957">
              <w:rPr>
                <w:rFonts w:eastAsia="Times New Roman" w:cstheme="minorHAnsi"/>
                <w:color w:val="000000"/>
                <w:sz w:val="22"/>
                <w:lang w:eastAsia="en-AU"/>
              </w:rPr>
              <w:t>radionucleotide scanning</w:t>
            </w:r>
          </w:p>
        </w:tc>
        <w:tc>
          <w:tcPr>
            <w:tcW w:w="3261" w:type="dxa"/>
            <w:shd w:val="clear" w:color="auto" w:fill="auto"/>
            <w:noWrap/>
            <w:vAlign w:val="center"/>
            <w:hideMark/>
          </w:tcPr>
          <w:p w14:paraId="186F0B36"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2DB0D6D8" w14:textId="77777777" w:rsidTr="00763FAF">
        <w:trPr>
          <w:trHeight w:val="300"/>
        </w:trPr>
        <w:tc>
          <w:tcPr>
            <w:tcW w:w="6232" w:type="dxa"/>
            <w:shd w:val="clear" w:color="auto" w:fill="auto"/>
            <w:noWrap/>
            <w:vAlign w:val="center"/>
          </w:tcPr>
          <w:p w14:paraId="66AA30EA" w14:textId="56796446" w:rsidR="00481EA4" w:rsidRPr="00EE1BD1" w:rsidRDefault="00481EA4" w:rsidP="003A5162">
            <w:pPr>
              <w:spacing w:before="0" w:after="0" w:line="240" w:lineRule="auto"/>
              <w:ind w:firstLineChars="200" w:firstLine="440"/>
              <w:rPr>
                <w:rFonts w:eastAsia="Times New Roman" w:cs="Calibri"/>
                <w:color w:val="000000"/>
                <w:szCs w:val="22"/>
                <w:lang w:eastAsia="en-AU"/>
              </w:rPr>
            </w:pPr>
          </w:p>
        </w:tc>
        <w:tc>
          <w:tcPr>
            <w:tcW w:w="3261" w:type="dxa"/>
            <w:shd w:val="clear" w:color="auto" w:fill="auto"/>
            <w:noWrap/>
            <w:vAlign w:val="center"/>
          </w:tcPr>
          <w:p w14:paraId="2A23779F" w14:textId="77777777" w:rsidR="00481EA4" w:rsidRPr="00EE1BD1" w:rsidRDefault="00481EA4" w:rsidP="003A5162">
            <w:pPr>
              <w:spacing w:before="0" w:after="0" w:line="240" w:lineRule="auto"/>
              <w:rPr>
                <w:rFonts w:eastAsia="Times New Roman" w:cs="Calibri"/>
                <w:color w:val="000000"/>
                <w:szCs w:val="22"/>
                <w:lang w:eastAsia="en-AU"/>
              </w:rPr>
            </w:pPr>
          </w:p>
        </w:tc>
      </w:tr>
      <w:tr w:rsidR="003A5162" w:rsidRPr="00EE1BD1" w14:paraId="51A1D68D" w14:textId="77777777" w:rsidTr="00763FAF">
        <w:trPr>
          <w:trHeight w:val="405"/>
        </w:trPr>
        <w:tc>
          <w:tcPr>
            <w:tcW w:w="6232" w:type="dxa"/>
            <w:shd w:val="clear" w:color="auto" w:fill="auto"/>
            <w:noWrap/>
            <w:vAlign w:val="center"/>
            <w:hideMark/>
          </w:tcPr>
          <w:p w14:paraId="742EEC44" w14:textId="2BEF5039"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35" w:name="RANGE!A66"/>
            <w:r w:rsidRPr="003A5162">
              <w:rPr>
                <w:rFonts w:ascii="Arial" w:eastAsia="Times New Roman" w:hAnsi="Arial" w:cs="Arial"/>
                <w:b/>
                <w:bCs/>
                <w:color w:val="000000"/>
                <w:sz w:val="28"/>
                <w:szCs w:val="28"/>
                <w:lang w:eastAsia="en-AU"/>
              </w:rPr>
              <w:t xml:space="preserve">Agents injected, ingested, </w:t>
            </w:r>
            <w:proofErr w:type="gramStart"/>
            <w:r w:rsidRPr="003A5162">
              <w:rPr>
                <w:rFonts w:ascii="Arial" w:eastAsia="Times New Roman" w:hAnsi="Arial" w:cs="Arial"/>
                <w:b/>
                <w:bCs/>
                <w:color w:val="000000"/>
                <w:sz w:val="28"/>
                <w:szCs w:val="28"/>
                <w:lang w:eastAsia="en-AU"/>
              </w:rPr>
              <w:t>instilled</w:t>
            </w:r>
            <w:proofErr w:type="gramEnd"/>
            <w:r w:rsidRPr="003A5162">
              <w:rPr>
                <w:rFonts w:ascii="Arial" w:eastAsia="Times New Roman" w:hAnsi="Arial" w:cs="Arial"/>
                <w:b/>
                <w:bCs/>
                <w:color w:val="000000"/>
                <w:sz w:val="28"/>
                <w:szCs w:val="28"/>
                <w:lang w:eastAsia="en-AU"/>
              </w:rPr>
              <w:t xml:space="preserve"> or applied</w:t>
            </w:r>
            <w:r w:rsidRPr="00EE1BD1">
              <w:rPr>
                <w:rFonts w:ascii="Arial" w:eastAsia="Times New Roman" w:hAnsi="Arial" w:cs="Arial"/>
                <w:b/>
                <w:bCs/>
                <w:color w:val="000000"/>
                <w:sz w:val="32"/>
                <w:szCs w:val="32"/>
                <w:lang w:eastAsia="en-AU"/>
              </w:rPr>
              <w:t xml:space="preserve"> </w:t>
            </w:r>
            <w:bookmarkEnd w:id="35"/>
          </w:p>
        </w:tc>
        <w:tc>
          <w:tcPr>
            <w:tcW w:w="3261" w:type="dxa"/>
            <w:shd w:val="clear" w:color="auto" w:fill="auto"/>
            <w:noWrap/>
            <w:vAlign w:val="bottom"/>
            <w:hideMark/>
          </w:tcPr>
          <w:p w14:paraId="472AD7B3"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7CE2FAAD" w14:textId="77777777" w:rsidTr="00763FAF">
        <w:trPr>
          <w:trHeight w:val="300"/>
        </w:trPr>
        <w:tc>
          <w:tcPr>
            <w:tcW w:w="6232" w:type="dxa"/>
            <w:shd w:val="clear" w:color="auto" w:fill="auto"/>
            <w:noWrap/>
            <w:vAlign w:val="center"/>
            <w:hideMark/>
          </w:tcPr>
          <w:p w14:paraId="48B0C7F9"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Agents injected, ingested, or otherwise instilled into or applied to the body for use in device therapy:</w:t>
            </w:r>
          </w:p>
        </w:tc>
        <w:tc>
          <w:tcPr>
            <w:tcW w:w="3261" w:type="dxa"/>
            <w:shd w:val="clear" w:color="auto" w:fill="auto"/>
            <w:noWrap/>
            <w:vAlign w:val="bottom"/>
            <w:hideMark/>
          </w:tcPr>
          <w:p w14:paraId="40F472C0" w14:textId="77777777" w:rsidR="00481EA4" w:rsidRPr="002A3BD2" w:rsidRDefault="00481EA4" w:rsidP="003A5162">
            <w:pPr>
              <w:spacing w:before="0" w:after="0" w:line="240" w:lineRule="auto"/>
              <w:rPr>
                <w:rFonts w:eastAsia="Times New Roman" w:cstheme="minorHAnsi"/>
                <w:color w:val="000000"/>
                <w:szCs w:val="22"/>
                <w:lang w:eastAsia="en-AU"/>
              </w:rPr>
            </w:pPr>
          </w:p>
        </w:tc>
      </w:tr>
      <w:tr w:rsidR="003A5162" w:rsidRPr="00EE1BD1" w14:paraId="113FEB13" w14:textId="77777777" w:rsidTr="00763FAF">
        <w:trPr>
          <w:trHeight w:val="300"/>
        </w:trPr>
        <w:tc>
          <w:tcPr>
            <w:tcW w:w="6232" w:type="dxa"/>
            <w:shd w:val="clear" w:color="auto" w:fill="auto"/>
            <w:noWrap/>
            <w:vAlign w:val="center"/>
            <w:hideMark/>
          </w:tcPr>
          <w:p w14:paraId="2AB7B144" w14:textId="0CF14DAB"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laser fluorescent dyes  </w:t>
            </w:r>
          </w:p>
        </w:tc>
        <w:tc>
          <w:tcPr>
            <w:tcW w:w="3261" w:type="dxa"/>
            <w:shd w:val="clear" w:color="auto" w:fill="auto"/>
            <w:noWrap/>
            <w:vAlign w:val="center"/>
            <w:hideMark/>
          </w:tcPr>
          <w:p w14:paraId="64183F4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EBC209F" w14:textId="77777777" w:rsidTr="00763FAF">
        <w:trPr>
          <w:trHeight w:val="300"/>
        </w:trPr>
        <w:tc>
          <w:tcPr>
            <w:tcW w:w="6232" w:type="dxa"/>
            <w:shd w:val="clear" w:color="auto" w:fill="auto"/>
            <w:noWrap/>
            <w:vAlign w:val="center"/>
            <w:hideMark/>
          </w:tcPr>
          <w:p w14:paraId="5C29E36F" w14:textId="69F2A3CA"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fluorescein ocular drops/strips</w:t>
            </w:r>
          </w:p>
        </w:tc>
        <w:tc>
          <w:tcPr>
            <w:tcW w:w="3261" w:type="dxa"/>
            <w:shd w:val="clear" w:color="auto" w:fill="auto"/>
            <w:noWrap/>
            <w:vAlign w:val="center"/>
            <w:hideMark/>
          </w:tcPr>
          <w:p w14:paraId="4E07079E"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1BA22577" w14:textId="77777777" w:rsidTr="00763FAF">
        <w:trPr>
          <w:trHeight w:val="300"/>
        </w:trPr>
        <w:tc>
          <w:tcPr>
            <w:tcW w:w="6232" w:type="dxa"/>
            <w:shd w:val="clear" w:color="auto" w:fill="auto"/>
            <w:noWrap/>
            <w:vAlign w:val="center"/>
            <w:hideMark/>
          </w:tcPr>
          <w:p w14:paraId="123C6701" w14:textId="4FA59535"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lastRenderedPageBreak/>
              <w:t>injectable fluorescein</w:t>
            </w:r>
          </w:p>
        </w:tc>
        <w:tc>
          <w:tcPr>
            <w:tcW w:w="3261" w:type="dxa"/>
            <w:shd w:val="clear" w:color="auto" w:fill="auto"/>
            <w:noWrap/>
            <w:vAlign w:val="center"/>
            <w:hideMark/>
          </w:tcPr>
          <w:p w14:paraId="324852ED"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4D852C99" w14:textId="77777777" w:rsidTr="00763FAF">
        <w:trPr>
          <w:trHeight w:val="300"/>
        </w:trPr>
        <w:tc>
          <w:tcPr>
            <w:tcW w:w="6232" w:type="dxa"/>
            <w:shd w:val="clear" w:color="auto" w:fill="auto"/>
            <w:noWrap/>
            <w:vAlign w:val="center"/>
            <w:hideMark/>
          </w:tcPr>
          <w:p w14:paraId="36841821" w14:textId="78FCFAD2"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ocular </w:t>
            </w:r>
            <w:proofErr w:type="spellStart"/>
            <w:r w:rsidRPr="00E5273C">
              <w:rPr>
                <w:rFonts w:eastAsia="Times New Roman" w:cstheme="minorHAnsi"/>
                <w:color w:val="000000"/>
                <w:sz w:val="22"/>
                <w:lang w:eastAsia="en-AU"/>
              </w:rPr>
              <w:t>endotamponades</w:t>
            </w:r>
            <w:proofErr w:type="spellEnd"/>
          </w:p>
        </w:tc>
        <w:tc>
          <w:tcPr>
            <w:tcW w:w="3261" w:type="dxa"/>
            <w:shd w:val="clear" w:color="auto" w:fill="auto"/>
            <w:noWrap/>
            <w:vAlign w:val="bottom"/>
            <w:hideMark/>
          </w:tcPr>
          <w:p w14:paraId="049E71EC"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411F2996" w14:textId="77777777" w:rsidTr="00763FAF">
        <w:trPr>
          <w:trHeight w:val="300"/>
        </w:trPr>
        <w:tc>
          <w:tcPr>
            <w:tcW w:w="6232" w:type="dxa"/>
            <w:shd w:val="clear" w:color="auto" w:fill="auto"/>
            <w:noWrap/>
            <w:vAlign w:val="center"/>
            <w:hideMark/>
          </w:tcPr>
          <w:p w14:paraId="090CB676" w14:textId="5D10181B"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laser/UV light activated agents  </w:t>
            </w:r>
          </w:p>
        </w:tc>
        <w:tc>
          <w:tcPr>
            <w:tcW w:w="3261" w:type="dxa"/>
            <w:shd w:val="clear" w:color="auto" w:fill="auto"/>
            <w:noWrap/>
            <w:vAlign w:val="center"/>
            <w:hideMark/>
          </w:tcPr>
          <w:p w14:paraId="47C08E48"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FFCF92C" w14:textId="77777777" w:rsidTr="00763FAF">
        <w:trPr>
          <w:trHeight w:val="300"/>
        </w:trPr>
        <w:tc>
          <w:tcPr>
            <w:tcW w:w="6232" w:type="dxa"/>
            <w:shd w:val="clear" w:color="auto" w:fill="auto"/>
            <w:noWrap/>
            <w:vAlign w:val="center"/>
            <w:hideMark/>
          </w:tcPr>
          <w:p w14:paraId="638B39A1" w14:textId="4F7645E5"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lithotripsy imaging agents  </w:t>
            </w:r>
          </w:p>
        </w:tc>
        <w:tc>
          <w:tcPr>
            <w:tcW w:w="3261" w:type="dxa"/>
            <w:shd w:val="clear" w:color="auto" w:fill="auto"/>
            <w:noWrap/>
            <w:vAlign w:val="center"/>
            <w:hideMark/>
          </w:tcPr>
          <w:p w14:paraId="6F2EC308"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002CA15" w14:textId="77777777" w:rsidTr="00763FAF">
        <w:trPr>
          <w:trHeight w:val="300"/>
        </w:trPr>
        <w:tc>
          <w:tcPr>
            <w:tcW w:w="6232" w:type="dxa"/>
            <w:shd w:val="clear" w:color="auto" w:fill="auto"/>
            <w:noWrap/>
            <w:vAlign w:val="center"/>
            <w:hideMark/>
          </w:tcPr>
          <w:p w14:paraId="56F00325" w14:textId="2E2010E5"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radioactive sources and implants  </w:t>
            </w:r>
          </w:p>
        </w:tc>
        <w:tc>
          <w:tcPr>
            <w:tcW w:w="3261" w:type="dxa"/>
            <w:shd w:val="clear" w:color="auto" w:fill="auto"/>
            <w:noWrap/>
            <w:vAlign w:val="bottom"/>
            <w:hideMark/>
          </w:tcPr>
          <w:p w14:paraId="50B58D8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B013C59" w14:textId="77777777" w:rsidTr="00763FAF">
        <w:trPr>
          <w:trHeight w:val="300"/>
        </w:trPr>
        <w:tc>
          <w:tcPr>
            <w:tcW w:w="6232" w:type="dxa"/>
            <w:shd w:val="clear" w:color="auto" w:fill="auto"/>
            <w:noWrap/>
            <w:vAlign w:val="center"/>
            <w:hideMark/>
          </w:tcPr>
          <w:p w14:paraId="660F6C41" w14:textId="4CA9696F"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electrode gels </w:t>
            </w:r>
          </w:p>
        </w:tc>
        <w:tc>
          <w:tcPr>
            <w:tcW w:w="3261" w:type="dxa"/>
            <w:shd w:val="clear" w:color="auto" w:fill="auto"/>
            <w:noWrap/>
            <w:vAlign w:val="bottom"/>
            <w:hideMark/>
          </w:tcPr>
          <w:p w14:paraId="78B8F7A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048C3D64" w14:textId="77777777" w:rsidTr="00763FAF">
        <w:trPr>
          <w:trHeight w:val="300"/>
        </w:trPr>
        <w:tc>
          <w:tcPr>
            <w:tcW w:w="6232" w:type="dxa"/>
            <w:shd w:val="clear" w:color="auto" w:fill="auto"/>
            <w:noWrap/>
            <w:vAlign w:val="center"/>
            <w:hideMark/>
          </w:tcPr>
          <w:p w14:paraId="29750038" w14:textId="708B707C"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lubricants</w:t>
            </w:r>
          </w:p>
        </w:tc>
        <w:tc>
          <w:tcPr>
            <w:tcW w:w="3261" w:type="dxa"/>
            <w:shd w:val="clear" w:color="auto" w:fill="auto"/>
            <w:noWrap/>
            <w:vAlign w:val="bottom"/>
            <w:hideMark/>
          </w:tcPr>
          <w:p w14:paraId="08962EC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05F4AE0F" w14:textId="77777777" w:rsidTr="00763FAF">
        <w:trPr>
          <w:trHeight w:val="300"/>
        </w:trPr>
        <w:tc>
          <w:tcPr>
            <w:tcW w:w="6232" w:type="dxa"/>
            <w:shd w:val="clear" w:color="auto" w:fill="auto"/>
            <w:noWrap/>
            <w:vAlign w:val="center"/>
            <w:hideMark/>
          </w:tcPr>
          <w:p w14:paraId="131BDD4D" w14:textId="05B01060"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lubricants with spermicide/virucide</w:t>
            </w:r>
          </w:p>
        </w:tc>
        <w:tc>
          <w:tcPr>
            <w:tcW w:w="3261" w:type="dxa"/>
            <w:shd w:val="clear" w:color="auto" w:fill="auto"/>
            <w:noWrap/>
            <w:vAlign w:val="bottom"/>
            <w:hideMark/>
          </w:tcPr>
          <w:p w14:paraId="2F05A0C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2356A21B" w14:textId="77777777" w:rsidTr="00763FAF">
        <w:trPr>
          <w:trHeight w:val="300"/>
        </w:trPr>
        <w:tc>
          <w:tcPr>
            <w:tcW w:w="6232" w:type="dxa"/>
            <w:shd w:val="clear" w:color="auto" w:fill="auto"/>
            <w:noWrap/>
            <w:vAlign w:val="center"/>
            <w:hideMark/>
          </w:tcPr>
          <w:p w14:paraId="16C633CB" w14:textId="5DF3E8D6"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refrigerant sprays</w:t>
            </w:r>
          </w:p>
        </w:tc>
        <w:tc>
          <w:tcPr>
            <w:tcW w:w="3261" w:type="dxa"/>
            <w:shd w:val="clear" w:color="auto" w:fill="auto"/>
            <w:noWrap/>
            <w:vAlign w:val="bottom"/>
            <w:hideMark/>
          </w:tcPr>
          <w:p w14:paraId="4CBDAB0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8DFC9D8" w14:textId="77777777" w:rsidTr="00763FAF">
        <w:trPr>
          <w:trHeight w:val="300"/>
        </w:trPr>
        <w:tc>
          <w:tcPr>
            <w:tcW w:w="6232" w:type="dxa"/>
            <w:shd w:val="clear" w:color="auto" w:fill="auto"/>
            <w:noWrap/>
            <w:vAlign w:val="center"/>
            <w:hideMark/>
          </w:tcPr>
          <w:p w14:paraId="4D959DA1" w14:textId="188959FA"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cryogenic and refrigerant gases  </w:t>
            </w:r>
          </w:p>
        </w:tc>
        <w:tc>
          <w:tcPr>
            <w:tcW w:w="3261" w:type="dxa"/>
            <w:shd w:val="clear" w:color="auto" w:fill="auto"/>
            <w:noWrap/>
            <w:vAlign w:val="bottom"/>
            <w:hideMark/>
          </w:tcPr>
          <w:p w14:paraId="7FCD0FB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1B7EEBED" w14:textId="77777777" w:rsidTr="00763FAF">
        <w:trPr>
          <w:trHeight w:val="300"/>
        </w:trPr>
        <w:tc>
          <w:tcPr>
            <w:tcW w:w="6232" w:type="dxa"/>
            <w:shd w:val="clear" w:color="auto" w:fill="auto"/>
            <w:noWrap/>
            <w:vAlign w:val="center"/>
            <w:hideMark/>
          </w:tcPr>
          <w:p w14:paraId="3C4F6DDD" w14:textId="048BA512"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gases for mechanical use only</w:t>
            </w:r>
            <w:r w:rsidRPr="00F65275">
              <w:rPr>
                <w:rFonts w:eastAsia="Times New Roman" w:cstheme="minorHAnsi"/>
                <w:color w:val="000000"/>
                <w:sz w:val="22"/>
                <w:lang w:eastAsia="en-AU"/>
              </w:rPr>
              <w:t> </w:t>
            </w:r>
            <w:r w:rsidRPr="00E5273C">
              <w:rPr>
                <w:rFonts w:eastAsia="Times New Roman" w:cstheme="minorHAnsi"/>
                <w:color w:val="000000"/>
                <w:sz w:val="22"/>
                <w:lang w:eastAsia="en-AU"/>
              </w:rPr>
              <w:t xml:space="preserve"> </w:t>
            </w:r>
            <w:r w:rsidRPr="00F65275">
              <w:rPr>
                <w:rFonts w:eastAsia="Times New Roman" w:cstheme="minorHAnsi"/>
                <w:color w:val="000000"/>
                <w:sz w:val="22"/>
                <w:lang w:eastAsia="en-AU"/>
              </w:rPr>
              <w:t> </w:t>
            </w:r>
            <w:r w:rsidRPr="00E5273C">
              <w:rPr>
                <w:rFonts w:eastAsia="Times New Roman" w:cstheme="minorHAnsi"/>
                <w:color w:val="000000"/>
                <w:sz w:val="22"/>
                <w:lang w:eastAsia="en-AU"/>
              </w:rPr>
              <w:t xml:space="preserve"> </w:t>
            </w:r>
          </w:p>
        </w:tc>
        <w:tc>
          <w:tcPr>
            <w:tcW w:w="3261" w:type="dxa"/>
            <w:shd w:val="clear" w:color="auto" w:fill="auto"/>
            <w:noWrap/>
            <w:vAlign w:val="bottom"/>
            <w:hideMark/>
          </w:tcPr>
          <w:p w14:paraId="4E367DA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7E9EDE2" w14:textId="77777777" w:rsidTr="00763FAF">
        <w:trPr>
          <w:trHeight w:val="300"/>
        </w:trPr>
        <w:tc>
          <w:tcPr>
            <w:tcW w:w="6232" w:type="dxa"/>
            <w:shd w:val="clear" w:color="auto" w:fill="auto"/>
            <w:noWrap/>
            <w:vAlign w:val="center"/>
            <w:hideMark/>
          </w:tcPr>
          <w:p w14:paraId="6F2D936D" w14:textId="77777777" w:rsidR="00481EA4" w:rsidRPr="002A3BD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2A3BD2">
              <w:rPr>
                <w:rFonts w:eastAsia="Times New Roman" w:cstheme="minorHAnsi"/>
                <w:color w:val="000000"/>
                <w:sz w:val="22"/>
                <w:lang w:eastAsia="en-AU"/>
              </w:rPr>
              <w:t>Ingested Weight loss treatments that occupy space in the stomach</w:t>
            </w:r>
          </w:p>
        </w:tc>
        <w:tc>
          <w:tcPr>
            <w:tcW w:w="3261" w:type="dxa"/>
            <w:shd w:val="clear" w:color="auto" w:fill="auto"/>
            <w:noWrap/>
            <w:hideMark/>
          </w:tcPr>
          <w:p w14:paraId="427D9C82" w14:textId="77777777" w:rsidR="00481EA4" w:rsidRPr="002A3BD2" w:rsidRDefault="00481EA4" w:rsidP="003A5162">
            <w:pPr>
              <w:spacing w:before="0" w:after="0" w:line="240" w:lineRule="auto"/>
              <w:rPr>
                <w:rFonts w:eastAsia="Times New Roman" w:cstheme="minorHAnsi"/>
                <w:szCs w:val="22"/>
                <w:lang w:eastAsia="en-AU"/>
              </w:rPr>
            </w:pPr>
            <w:r w:rsidRPr="002A3BD2">
              <w:rPr>
                <w:rFonts w:eastAsia="Times New Roman" w:cstheme="minorHAnsi"/>
                <w:szCs w:val="22"/>
                <w:lang w:eastAsia="en-AU"/>
              </w:rPr>
              <w:t>Medical Device</w:t>
            </w:r>
          </w:p>
        </w:tc>
      </w:tr>
      <w:tr w:rsidR="003A5162" w:rsidRPr="00EE1BD1" w14:paraId="0F475507" w14:textId="77777777" w:rsidTr="00763FAF">
        <w:trPr>
          <w:trHeight w:val="300"/>
        </w:trPr>
        <w:tc>
          <w:tcPr>
            <w:tcW w:w="6232" w:type="dxa"/>
            <w:shd w:val="clear" w:color="auto" w:fill="auto"/>
            <w:noWrap/>
            <w:vAlign w:val="center"/>
          </w:tcPr>
          <w:p w14:paraId="1457DBF5" w14:textId="77777777" w:rsidR="00481EA4" w:rsidRPr="002A3BD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2A3BD2">
              <w:rPr>
                <w:rFonts w:eastAsia="Times New Roman" w:cstheme="minorHAnsi"/>
                <w:color w:val="000000"/>
                <w:sz w:val="22"/>
                <w:lang w:eastAsia="en-AU"/>
              </w:rPr>
              <w:t xml:space="preserve">Sodium </w:t>
            </w:r>
            <w:proofErr w:type="gramStart"/>
            <w:r w:rsidRPr="002A3BD2">
              <w:rPr>
                <w:rFonts w:eastAsia="Times New Roman" w:cstheme="minorHAnsi"/>
                <w:color w:val="000000"/>
                <w:sz w:val="22"/>
                <w:lang w:eastAsia="en-AU"/>
              </w:rPr>
              <w:t>alginate based</w:t>
            </w:r>
            <w:proofErr w:type="gramEnd"/>
            <w:r w:rsidRPr="002A3BD2">
              <w:rPr>
                <w:rFonts w:eastAsia="Times New Roman" w:cstheme="minorHAnsi"/>
                <w:color w:val="000000"/>
                <w:sz w:val="22"/>
                <w:lang w:eastAsia="en-AU"/>
              </w:rPr>
              <w:t xml:space="preserve"> products for reflux</w:t>
            </w:r>
          </w:p>
        </w:tc>
        <w:tc>
          <w:tcPr>
            <w:tcW w:w="3261" w:type="dxa"/>
            <w:shd w:val="clear" w:color="auto" w:fill="auto"/>
            <w:noWrap/>
          </w:tcPr>
          <w:p w14:paraId="099E0C37" w14:textId="77777777" w:rsidR="00481EA4" w:rsidRPr="002A3BD2" w:rsidRDefault="00481EA4" w:rsidP="003A5162">
            <w:pPr>
              <w:spacing w:before="0" w:after="0" w:line="240" w:lineRule="auto"/>
              <w:rPr>
                <w:rFonts w:eastAsia="Times New Roman" w:cstheme="minorHAnsi"/>
                <w:szCs w:val="22"/>
                <w:lang w:eastAsia="en-AU"/>
              </w:rPr>
            </w:pPr>
            <w:r w:rsidRPr="002A3BD2">
              <w:rPr>
                <w:rFonts w:eastAsia="Times New Roman" w:cstheme="minorHAnsi"/>
                <w:szCs w:val="22"/>
                <w:lang w:eastAsia="en-AU"/>
              </w:rPr>
              <w:t>Medicine</w:t>
            </w:r>
          </w:p>
        </w:tc>
      </w:tr>
      <w:tr w:rsidR="003A5162" w:rsidRPr="00EE1BD1" w14:paraId="779FCB5D" w14:textId="77777777" w:rsidTr="00763FAF">
        <w:trPr>
          <w:trHeight w:val="300"/>
        </w:trPr>
        <w:tc>
          <w:tcPr>
            <w:tcW w:w="6232" w:type="dxa"/>
            <w:shd w:val="clear" w:color="auto" w:fill="auto"/>
            <w:noWrap/>
            <w:vAlign w:val="center"/>
          </w:tcPr>
          <w:p w14:paraId="3E95A61D" w14:textId="77777777" w:rsidR="00481EA4" w:rsidRPr="00EE1BD1" w:rsidRDefault="00481EA4" w:rsidP="003A5162">
            <w:pPr>
              <w:spacing w:before="0" w:after="0" w:line="240" w:lineRule="auto"/>
              <w:rPr>
                <w:rFonts w:ascii="Calibri" w:eastAsia="Times New Roman" w:hAnsi="Calibri" w:cs="Calibri"/>
                <w:color w:val="000000"/>
                <w:szCs w:val="22"/>
                <w:lang w:eastAsia="en-AU"/>
              </w:rPr>
            </w:pPr>
          </w:p>
        </w:tc>
        <w:tc>
          <w:tcPr>
            <w:tcW w:w="3261" w:type="dxa"/>
            <w:shd w:val="clear" w:color="auto" w:fill="auto"/>
            <w:noWrap/>
            <w:vAlign w:val="bottom"/>
          </w:tcPr>
          <w:p w14:paraId="0E1285B3" w14:textId="77777777" w:rsidR="00481EA4" w:rsidRPr="00EE1BD1" w:rsidRDefault="00481EA4" w:rsidP="003A5162">
            <w:pPr>
              <w:spacing w:before="0" w:after="0" w:line="240" w:lineRule="auto"/>
              <w:rPr>
                <w:rFonts w:eastAsia="Times New Roman"/>
                <w:sz w:val="20"/>
                <w:lang w:eastAsia="en-AU"/>
              </w:rPr>
            </w:pPr>
          </w:p>
        </w:tc>
      </w:tr>
      <w:tr w:rsidR="003A5162" w:rsidRPr="00EE1BD1" w14:paraId="21B17846" w14:textId="77777777" w:rsidTr="00763FAF">
        <w:trPr>
          <w:trHeight w:val="405"/>
        </w:trPr>
        <w:tc>
          <w:tcPr>
            <w:tcW w:w="6232" w:type="dxa"/>
            <w:shd w:val="clear" w:color="auto" w:fill="auto"/>
            <w:noWrap/>
            <w:vAlign w:val="center"/>
            <w:hideMark/>
          </w:tcPr>
          <w:p w14:paraId="4849967C" w14:textId="4F8C8D61"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36" w:name="RANGE!A82"/>
            <w:r w:rsidRPr="003A5162">
              <w:rPr>
                <w:rFonts w:ascii="Arial" w:eastAsia="Times New Roman" w:hAnsi="Arial" w:cs="Arial"/>
                <w:b/>
                <w:bCs/>
                <w:color w:val="000000"/>
                <w:sz w:val="28"/>
                <w:szCs w:val="28"/>
                <w:lang w:eastAsia="en-AU"/>
              </w:rPr>
              <w:t>Diluents and preservatives for medicines</w:t>
            </w:r>
            <w:bookmarkEnd w:id="36"/>
          </w:p>
        </w:tc>
        <w:tc>
          <w:tcPr>
            <w:tcW w:w="3261" w:type="dxa"/>
            <w:shd w:val="clear" w:color="auto" w:fill="auto"/>
            <w:noWrap/>
            <w:vAlign w:val="bottom"/>
            <w:hideMark/>
          </w:tcPr>
          <w:p w14:paraId="4A1EFBDF"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186B4AD3" w14:textId="77777777" w:rsidTr="00763FAF">
        <w:trPr>
          <w:trHeight w:val="300"/>
        </w:trPr>
        <w:tc>
          <w:tcPr>
            <w:tcW w:w="6232" w:type="dxa"/>
            <w:shd w:val="clear" w:color="auto" w:fill="auto"/>
            <w:noWrap/>
            <w:vAlign w:val="center"/>
            <w:hideMark/>
          </w:tcPr>
          <w:p w14:paraId="305FDC3D" w14:textId="00D42862"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water for injections </w:t>
            </w:r>
          </w:p>
        </w:tc>
        <w:tc>
          <w:tcPr>
            <w:tcW w:w="3261" w:type="dxa"/>
            <w:shd w:val="clear" w:color="auto" w:fill="auto"/>
            <w:noWrap/>
            <w:vAlign w:val="center"/>
            <w:hideMark/>
          </w:tcPr>
          <w:p w14:paraId="6890DC96"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A52C1A5" w14:textId="77777777" w:rsidTr="00763FAF">
        <w:trPr>
          <w:trHeight w:val="300"/>
        </w:trPr>
        <w:tc>
          <w:tcPr>
            <w:tcW w:w="6232" w:type="dxa"/>
            <w:shd w:val="clear" w:color="auto" w:fill="auto"/>
            <w:noWrap/>
            <w:vAlign w:val="center"/>
            <w:hideMark/>
          </w:tcPr>
          <w:p w14:paraId="67223C71" w14:textId="266E1D51"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 xml:space="preserve">saline for injections  </w:t>
            </w:r>
          </w:p>
        </w:tc>
        <w:tc>
          <w:tcPr>
            <w:tcW w:w="3261" w:type="dxa"/>
            <w:shd w:val="clear" w:color="auto" w:fill="auto"/>
            <w:noWrap/>
            <w:vAlign w:val="center"/>
            <w:hideMark/>
          </w:tcPr>
          <w:p w14:paraId="2775B94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2A13762C" w14:textId="77777777" w:rsidTr="00763FAF">
        <w:trPr>
          <w:trHeight w:val="300"/>
        </w:trPr>
        <w:tc>
          <w:tcPr>
            <w:tcW w:w="6232" w:type="dxa"/>
            <w:shd w:val="clear" w:color="auto" w:fill="auto"/>
            <w:noWrap/>
            <w:vAlign w:val="center"/>
            <w:hideMark/>
          </w:tcPr>
          <w:p w14:paraId="03DBCEC1" w14:textId="428B5C67" w:rsidR="00481EA4" w:rsidRPr="00E5273C" w:rsidRDefault="00481EA4" w:rsidP="003A5162">
            <w:pPr>
              <w:pStyle w:val="ListParagraph"/>
              <w:numPr>
                <w:ilvl w:val="0"/>
                <w:numId w:val="16"/>
              </w:numPr>
              <w:ind w:left="461" w:hanging="285"/>
              <w:contextualSpacing w:val="0"/>
              <w:rPr>
                <w:rFonts w:eastAsia="Times New Roman" w:cstheme="minorHAnsi"/>
                <w:color w:val="000000"/>
                <w:lang w:eastAsia="en-AU"/>
              </w:rPr>
            </w:pPr>
            <w:r w:rsidRPr="00E5273C">
              <w:rPr>
                <w:rFonts w:eastAsia="Times New Roman" w:cstheme="minorHAnsi"/>
                <w:color w:val="000000"/>
                <w:sz w:val="22"/>
                <w:lang w:eastAsia="en-AU"/>
              </w:rPr>
              <w:t>blood anti</w:t>
            </w:r>
            <w:r w:rsidRPr="00E5273C">
              <w:rPr>
                <w:rFonts w:eastAsia="Times New Roman" w:cstheme="minorHAnsi"/>
                <w:color w:val="000000"/>
                <w:sz w:val="22"/>
                <w:lang w:eastAsia="en-AU"/>
              </w:rPr>
              <w:noBreakHyphen/>
              <w:t xml:space="preserve">coagulants and preservatives (for subsequent </w:t>
            </w:r>
            <w:r w:rsidRPr="00F65275">
              <w:rPr>
                <w:rFonts w:eastAsia="Times New Roman" w:cstheme="minorHAnsi"/>
                <w:color w:val="000000"/>
                <w:sz w:val="22"/>
                <w:lang w:eastAsia="en-AU"/>
              </w:rPr>
              <w:t xml:space="preserve">in vivo </w:t>
            </w:r>
            <w:r w:rsidRPr="00E5273C">
              <w:rPr>
                <w:rFonts w:eastAsia="Times New Roman" w:cstheme="minorHAnsi"/>
                <w:color w:val="000000"/>
                <w:sz w:val="22"/>
                <w:lang w:eastAsia="en-AU"/>
              </w:rPr>
              <w:t xml:space="preserve">use) </w:t>
            </w:r>
          </w:p>
        </w:tc>
        <w:tc>
          <w:tcPr>
            <w:tcW w:w="3261" w:type="dxa"/>
            <w:shd w:val="clear" w:color="auto" w:fill="auto"/>
            <w:noWrap/>
            <w:vAlign w:val="center"/>
            <w:hideMark/>
          </w:tcPr>
          <w:p w14:paraId="2297869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554A08BC" w14:textId="77777777" w:rsidTr="00763FAF">
        <w:trPr>
          <w:trHeight w:val="300"/>
        </w:trPr>
        <w:tc>
          <w:tcPr>
            <w:tcW w:w="6232" w:type="dxa"/>
            <w:shd w:val="clear" w:color="auto" w:fill="auto"/>
            <w:noWrap/>
            <w:vAlign w:val="center"/>
            <w:hideMark/>
          </w:tcPr>
          <w:p w14:paraId="47A9409D" w14:textId="77777777" w:rsidR="00481EA4" w:rsidRPr="00CE333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bottom"/>
            <w:hideMark/>
          </w:tcPr>
          <w:p w14:paraId="43209D94" w14:textId="77777777" w:rsidR="00481EA4" w:rsidRPr="00CE3331" w:rsidRDefault="00481EA4" w:rsidP="003A5162">
            <w:pPr>
              <w:spacing w:before="0" w:after="0" w:line="240" w:lineRule="auto"/>
              <w:rPr>
                <w:rFonts w:eastAsia="Times New Roman"/>
                <w:sz w:val="20"/>
                <w:lang w:eastAsia="en-AU"/>
              </w:rPr>
            </w:pPr>
          </w:p>
        </w:tc>
      </w:tr>
      <w:tr w:rsidR="003A5162" w:rsidRPr="00EE1BD1" w14:paraId="770CC155" w14:textId="77777777" w:rsidTr="00763FAF">
        <w:trPr>
          <w:trHeight w:val="405"/>
        </w:trPr>
        <w:tc>
          <w:tcPr>
            <w:tcW w:w="6232" w:type="dxa"/>
            <w:shd w:val="clear" w:color="auto" w:fill="auto"/>
            <w:noWrap/>
            <w:vAlign w:val="center"/>
            <w:hideMark/>
          </w:tcPr>
          <w:p w14:paraId="143E0990" w14:textId="20C702B4" w:rsidR="00481EA4" w:rsidRPr="00CE3331" w:rsidRDefault="00481EA4" w:rsidP="003A5162">
            <w:pPr>
              <w:spacing w:before="0" w:after="0" w:line="240" w:lineRule="auto"/>
              <w:rPr>
                <w:rFonts w:ascii="Arial" w:eastAsia="Times New Roman" w:hAnsi="Arial" w:cs="Arial"/>
                <w:b/>
                <w:bCs/>
                <w:color w:val="000000"/>
                <w:sz w:val="32"/>
                <w:szCs w:val="32"/>
                <w:lang w:eastAsia="en-AU"/>
              </w:rPr>
            </w:pPr>
            <w:bookmarkStart w:id="37" w:name="RANGE!A87"/>
            <w:r w:rsidRPr="003A5162">
              <w:rPr>
                <w:rFonts w:ascii="Arial" w:eastAsia="Times New Roman" w:hAnsi="Arial" w:cs="Arial"/>
                <w:b/>
                <w:bCs/>
                <w:color w:val="000000"/>
                <w:sz w:val="28"/>
                <w:szCs w:val="28"/>
                <w:lang w:eastAsia="en-AU"/>
              </w:rPr>
              <w:t>External use without added active substance</w:t>
            </w:r>
            <w:r w:rsidRPr="00CE3331">
              <w:rPr>
                <w:rFonts w:ascii="Arial" w:eastAsia="Times New Roman" w:hAnsi="Arial" w:cs="Arial"/>
                <w:b/>
                <w:bCs/>
                <w:color w:val="000000"/>
                <w:sz w:val="32"/>
                <w:szCs w:val="32"/>
                <w:lang w:eastAsia="en-AU"/>
              </w:rPr>
              <w:t xml:space="preserve"> </w:t>
            </w:r>
            <w:bookmarkEnd w:id="37"/>
          </w:p>
        </w:tc>
        <w:tc>
          <w:tcPr>
            <w:tcW w:w="3261" w:type="dxa"/>
            <w:shd w:val="clear" w:color="auto" w:fill="auto"/>
            <w:noWrap/>
            <w:vAlign w:val="bottom"/>
            <w:hideMark/>
          </w:tcPr>
          <w:p w14:paraId="2B01970E" w14:textId="77777777" w:rsidR="00481EA4" w:rsidRPr="00CE333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569686E8" w14:textId="77777777" w:rsidTr="00763FAF">
        <w:trPr>
          <w:trHeight w:val="300"/>
        </w:trPr>
        <w:tc>
          <w:tcPr>
            <w:tcW w:w="6232" w:type="dxa"/>
            <w:shd w:val="clear" w:color="auto" w:fill="auto"/>
            <w:noWrap/>
            <w:vAlign w:val="center"/>
            <w:hideMark/>
          </w:tcPr>
          <w:p w14:paraId="3F61E47F" w14:textId="6D6AD812" w:rsidR="00481EA4" w:rsidRPr="00A35C06" w:rsidRDefault="00481EA4" w:rsidP="003A5162">
            <w:pPr>
              <w:pStyle w:val="ListParagraph"/>
              <w:numPr>
                <w:ilvl w:val="0"/>
                <w:numId w:val="16"/>
              </w:numPr>
              <w:ind w:left="461" w:hanging="285"/>
              <w:contextualSpacing w:val="0"/>
              <w:rPr>
                <w:rFonts w:eastAsia="Times New Roman" w:cstheme="minorHAnsi"/>
                <w:color w:val="000000"/>
                <w:lang w:eastAsia="en-AU"/>
              </w:rPr>
            </w:pPr>
            <w:r w:rsidRPr="00A35C06">
              <w:rPr>
                <w:rFonts w:eastAsia="Times New Roman" w:cstheme="minorHAnsi"/>
                <w:color w:val="000000"/>
                <w:sz w:val="22"/>
                <w:lang w:eastAsia="en-AU"/>
              </w:rPr>
              <w:t>emollient &amp; moisturising preparations, formulated &amp; presented for therapeutic use</w:t>
            </w:r>
          </w:p>
        </w:tc>
        <w:tc>
          <w:tcPr>
            <w:tcW w:w="3261" w:type="dxa"/>
            <w:shd w:val="clear" w:color="auto" w:fill="auto"/>
            <w:noWrap/>
            <w:vAlign w:val="center"/>
            <w:hideMark/>
          </w:tcPr>
          <w:p w14:paraId="2987B77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5328492E" w14:textId="77777777" w:rsidTr="00763FAF">
        <w:trPr>
          <w:trHeight w:val="300"/>
        </w:trPr>
        <w:tc>
          <w:tcPr>
            <w:tcW w:w="6232" w:type="dxa"/>
            <w:shd w:val="clear" w:color="auto" w:fill="auto"/>
            <w:noWrap/>
            <w:vAlign w:val="center"/>
            <w:hideMark/>
          </w:tcPr>
          <w:p w14:paraId="67C245F9" w14:textId="31E1C39B" w:rsidR="00481EA4" w:rsidRPr="00A35C06" w:rsidRDefault="00481EA4" w:rsidP="003A5162">
            <w:pPr>
              <w:pStyle w:val="ListParagraph"/>
              <w:numPr>
                <w:ilvl w:val="0"/>
                <w:numId w:val="16"/>
              </w:numPr>
              <w:ind w:left="461" w:hanging="285"/>
              <w:contextualSpacing w:val="0"/>
              <w:rPr>
                <w:rFonts w:eastAsia="Times New Roman" w:cstheme="minorHAnsi"/>
                <w:color w:val="000000"/>
                <w:lang w:eastAsia="en-AU"/>
              </w:rPr>
            </w:pPr>
            <w:r w:rsidRPr="00A35C06">
              <w:rPr>
                <w:rFonts w:eastAsia="Times New Roman" w:cstheme="minorHAnsi"/>
                <w:color w:val="000000"/>
                <w:sz w:val="22"/>
                <w:lang w:eastAsia="en-AU"/>
              </w:rPr>
              <w:t xml:space="preserve">Uncompounded emollients, moisturisers presented for therapeutic use </w:t>
            </w:r>
          </w:p>
        </w:tc>
        <w:tc>
          <w:tcPr>
            <w:tcW w:w="3261" w:type="dxa"/>
            <w:shd w:val="clear" w:color="auto" w:fill="auto"/>
            <w:noWrap/>
            <w:vAlign w:val="center"/>
            <w:hideMark/>
          </w:tcPr>
          <w:p w14:paraId="23035D8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r w:rsidRPr="002A3BD2">
              <w:rPr>
                <w:rFonts w:eastAsia="Times New Roman" w:cstheme="minorHAnsi"/>
                <w:color w:val="000000"/>
                <w:sz w:val="16"/>
                <w:szCs w:val="16"/>
                <w:lang w:eastAsia="en-AU"/>
              </w:rPr>
              <w:t> </w:t>
            </w:r>
          </w:p>
        </w:tc>
      </w:tr>
      <w:tr w:rsidR="003A5162" w:rsidRPr="00EE1BD1" w14:paraId="0773C361" w14:textId="77777777" w:rsidTr="00763FAF">
        <w:trPr>
          <w:trHeight w:val="300"/>
        </w:trPr>
        <w:tc>
          <w:tcPr>
            <w:tcW w:w="6232" w:type="dxa"/>
            <w:shd w:val="clear" w:color="auto" w:fill="auto"/>
            <w:noWrap/>
            <w:vAlign w:val="center"/>
            <w:hideMark/>
          </w:tcPr>
          <w:p w14:paraId="4B8C3F94" w14:textId="24BE153B" w:rsidR="00481EA4" w:rsidRPr="00A35C06" w:rsidRDefault="00481EA4" w:rsidP="003A5162">
            <w:pPr>
              <w:pStyle w:val="ListParagraph"/>
              <w:numPr>
                <w:ilvl w:val="0"/>
                <w:numId w:val="16"/>
              </w:numPr>
              <w:ind w:left="461" w:hanging="285"/>
              <w:contextualSpacing w:val="0"/>
              <w:rPr>
                <w:rFonts w:eastAsia="Times New Roman" w:cstheme="minorHAnsi"/>
                <w:color w:val="000000"/>
                <w:lang w:eastAsia="en-AU"/>
              </w:rPr>
            </w:pPr>
            <w:r w:rsidRPr="00A35C06">
              <w:rPr>
                <w:rFonts w:eastAsia="Times New Roman" w:cstheme="minorHAnsi"/>
                <w:color w:val="000000"/>
                <w:sz w:val="22"/>
                <w:lang w:eastAsia="en-AU"/>
              </w:rPr>
              <w:t xml:space="preserve">barrier product that provides a physical barrier effect </w:t>
            </w:r>
            <w:proofErr w:type="gramStart"/>
            <w:r w:rsidRPr="00A35C06">
              <w:rPr>
                <w:rFonts w:eastAsia="Times New Roman" w:cstheme="minorHAnsi"/>
                <w:color w:val="000000"/>
                <w:sz w:val="22"/>
                <w:lang w:eastAsia="en-AU"/>
              </w:rPr>
              <w:t>e.g.</w:t>
            </w:r>
            <w:proofErr w:type="gramEnd"/>
            <w:r w:rsidRPr="00A35C06">
              <w:rPr>
                <w:rFonts w:eastAsia="Times New Roman" w:cstheme="minorHAnsi"/>
                <w:color w:val="000000"/>
                <w:sz w:val="22"/>
                <w:lang w:eastAsia="en-AU"/>
              </w:rPr>
              <w:t xml:space="preserve"> stoma cream</w:t>
            </w:r>
          </w:p>
        </w:tc>
        <w:tc>
          <w:tcPr>
            <w:tcW w:w="3261" w:type="dxa"/>
            <w:shd w:val="clear" w:color="auto" w:fill="auto"/>
            <w:noWrap/>
            <w:vAlign w:val="center"/>
            <w:hideMark/>
          </w:tcPr>
          <w:p w14:paraId="5E6FF0B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r w:rsidRPr="002A3BD2">
              <w:rPr>
                <w:rFonts w:eastAsia="Times New Roman" w:cstheme="minorHAnsi"/>
                <w:color w:val="000000"/>
                <w:sz w:val="16"/>
                <w:szCs w:val="16"/>
                <w:lang w:eastAsia="en-AU"/>
              </w:rPr>
              <w:t> </w:t>
            </w:r>
          </w:p>
        </w:tc>
      </w:tr>
      <w:tr w:rsidR="003A5162" w:rsidRPr="00EE1BD1" w14:paraId="097C30A7" w14:textId="77777777" w:rsidTr="00763FAF">
        <w:trPr>
          <w:trHeight w:val="300"/>
        </w:trPr>
        <w:tc>
          <w:tcPr>
            <w:tcW w:w="6232" w:type="dxa"/>
            <w:shd w:val="clear" w:color="auto" w:fill="auto"/>
            <w:noWrap/>
            <w:vAlign w:val="center"/>
          </w:tcPr>
          <w:p w14:paraId="7F1B1A9B" w14:textId="017D15F2" w:rsidR="00481EA4" w:rsidRPr="00A35C06" w:rsidRDefault="00481EA4" w:rsidP="003A5162">
            <w:pPr>
              <w:pStyle w:val="ListParagraph"/>
              <w:numPr>
                <w:ilvl w:val="0"/>
                <w:numId w:val="16"/>
              </w:numPr>
              <w:ind w:left="461" w:hanging="285"/>
              <w:contextualSpacing w:val="0"/>
              <w:rPr>
                <w:rFonts w:eastAsia="Times New Roman" w:cstheme="minorHAnsi"/>
                <w:color w:val="000000"/>
                <w:lang w:eastAsia="en-AU"/>
              </w:rPr>
            </w:pPr>
            <w:r w:rsidRPr="00A35C06">
              <w:rPr>
                <w:rFonts w:eastAsia="Times New Roman" w:cstheme="minorHAnsi"/>
                <w:color w:val="000000"/>
                <w:sz w:val="22"/>
                <w:lang w:eastAsia="en-AU"/>
              </w:rPr>
              <w:t>barrier product due to a chemical or pharmacological effect including selective exclusion of infective pathogens</w:t>
            </w:r>
          </w:p>
        </w:tc>
        <w:tc>
          <w:tcPr>
            <w:tcW w:w="3261" w:type="dxa"/>
            <w:shd w:val="clear" w:color="auto" w:fill="auto"/>
            <w:noWrap/>
            <w:vAlign w:val="center"/>
          </w:tcPr>
          <w:p w14:paraId="4DD8994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54A2454B" w14:textId="77777777" w:rsidTr="00763FAF">
        <w:trPr>
          <w:trHeight w:val="300"/>
        </w:trPr>
        <w:tc>
          <w:tcPr>
            <w:tcW w:w="6232" w:type="dxa"/>
            <w:shd w:val="clear" w:color="auto" w:fill="auto"/>
            <w:noWrap/>
            <w:vAlign w:val="center"/>
            <w:hideMark/>
          </w:tcPr>
          <w:p w14:paraId="7C632891" w14:textId="6EF2A9C0" w:rsidR="00481EA4" w:rsidRPr="00A35C06" w:rsidRDefault="00481EA4" w:rsidP="003A5162">
            <w:pPr>
              <w:pStyle w:val="ListParagraph"/>
              <w:numPr>
                <w:ilvl w:val="0"/>
                <w:numId w:val="16"/>
              </w:numPr>
              <w:ind w:left="461" w:hanging="285"/>
              <w:contextualSpacing w:val="0"/>
              <w:rPr>
                <w:rFonts w:eastAsia="Times New Roman" w:cstheme="minorHAnsi"/>
                <w:color w:val="000000"/>
                <w:lang w:eastAsia="en-AU"/>
              </w:rPr>
            </w:pPr>
            <w:r w:rsidRPr="00A35C06">
              <w:rPr>
                <w:rFonts w:eastAsia="Times New Roman" w:cstheme="minorHAnsi"/>
                <w:color w:val="000000"/>
                <w:sz w:val="22"/>
                <w:lang w:eastAsia="en-AU"/>
              </w:rPr>
              <w:t>any of above four with non</w:t>
            </w:r>
            <w:r w:rsidRPr="00A35C06">
              <w:rPr>
                <w:rFonts w:eastAsia="Times New Roman" w:cstheme="minorHAnsi"/>
                <w:color w:val="000000"/>
                <w:sz w:val="22"/>
                <w:lang w:eastAsia="en-AU"/>
              </w:rPr>
              <w:noBreakHyphen/>
              <w:t xml:space="preserve">therapeutic presentation </w:t>
            </w:r>
          </w:p>
        </w:tc>
        <w:tc>
          <w:tcPr>
            <w:tcW w:w="3261" w:type="dxa"/>
            <w:shd w:val="clear" w:color="auto" w:fill="auto"/>
            <w:noWrap/>
            <w:vAlign w:val="center"/>
            <w:hideMark/>
          </w:tcPr>
          <w:p w14:paraId="031841D5"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Not Therapeutic Good</w:t>
            </w:r>
          </w:p>
        </w:tc>
      </w:tr>
      <w:tr w:rsidR="003A5162" w:rsidRPr="00EE1BD1" w14:paraId="789E70DF" w14:textId="77777777" w:rsidTr="00763FAF">
        <w:trPr>
          <w:trHeight w:val="300"/>
        </w:trPr>
        <w:tc>
          <w:tcPr>
            <w:tcW w:w="6232" w:type="dxa"/>
            <w:shd w:val="clear" w:color="auto" w:fill="auto"/>
            <w:noWrap/>
            <w:vAlign w:val="center"/>
            <w:hideMark/>
          </w:tcPr>
          <w:p w14:paraId="704941EF" w14:textId="2F6FB7DB" w:rsidR="00481EA4" w:rsidRPr="00A35C06" w:rsidRDefault="00481EA4" w:rsidP="003A5162">
            <w:pPr>
              <w:pStyle w:val="ListParagraph"/>
              <w:numPr>
                <w:ilvl w:val="0"/>
                <w:numId w:val="16"/>
              </w:numPr>
              <w:ind w:left="461" w:hanging="285"/>
              <w:contextualSpacing w:val="0"/>
              <w:rPr>
                <w:rFonts w:eastAsia="Times New Roman" w:cstheme="minorHAnsi"/>
                <w:color w:val="000000"/>
                <w:lang w:eastAsia="en-AU"/>
              </w:rPr>
            </w:pPr>
            <w:r w:rsidRPr="00A35C06">
              <w:rPr>
                <w:rFonts w:eastAsia="Times New Roman" w:cstheme="minorHAnsi"/>
                <w:color w:val="000000"/>
                <w:sz w:val="22"/>
                <w:lang w:eastAsia="en-AU"/>
              </w:rPr>
              <w:t xml:space="preserve">non medicated skin cleansers and adhesives </w:t>
            </w:r>
          </w:p>
        </w:tc>
        <w:tc>
          <w:tcPr>
            <w:tcW w:w="3261" w:type="dxa"/>
            <w:shd w:val="clear" w:color="auto" w:fill="auto"/>
            <w:noWrap/>
            <w:vAlign w:val="center"/>
            <w:hideMark/>
          </w:tcPr>
          <w:p w14:paraId="4573700D"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Not Therapeutic Good</w:t>
            </w:r>
          </w:p>
        </w:tc>
      </w:tr>
      <w:tr w:rsidR="003A5162" w:rsidRPr="00EE1BD1" w14:paraId="6ACB0A98" w14:textId="77777777" w:rsidTr="00763FAF">
        <w:trPr>
          <w:trHeight w:val="300"/>
        </w:trPr>
        <w:tc>
          <w:tcPr>
            <w:tcW w:w="6232" w:type="dxa"/>
            <w:shd w:val="clear" w:color="auto" w:fill="auto"/>
            <w:noWrap/>
            <w:vAlign w:val="center"/>
            <w:hideMark/>
          </w:tcPr>
          <w:p w14:paraId="715D0628" w14:textId="02A7D716"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A35C06">
              <w:rPr>
                <w:rFonts w:eastAsia="Times New Roman" w:cstheme="minorHAnsi"/>
                <w:color w:val="000000"/>
                <w:sz w:val="22"/>
                <w:lang w:eastAsia="en-AU"/>
              </w:rPr>
              <w:t>non medicated soaps</w:t>
            </w:r>
          </w:p>
        </w:tc>
        <w:tc>
          <w:tcPr>
            <w:tcW w:w="3261" w:type="dxa"/>
            <w:shd w:val="clear" w:color="auto" w:fill="auto"/>
            <w:noWrap/>
            <w:vAlign w:val="center"/>
            <w:hideMark/>
          </w:tcPr>
          <w:p w14:paraId="18C22325"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Not Therapeutic Good</w:t>
            </w:r>
          </w:p>
        </w:tc>
      </w:tr>
      <w:tr w:rsidR="003A5162" w:rsidRPr="00EE1BD1" w14:paraId="3F40D8E5" w14:textId="77777777" w:rsidTr="00763FAF">
        <w:trPr>
          <w:trHeight w:val="300"/>
        </w:trPr>
        <w:tc>
          <w:tcPr>
            <w:tcW w:w="6232" w:type="dxa"/>
            <w:shd w:val="clear" w:color="auto" w:fill="auto"/>
            <w:noWrap/>
            <w:vAlign w:val="center"/>
            <w:hideMark/>
          </w:tcPr>
          <w:p w14:paraId="0A62665A" w14:textId="37CCC4F6"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A35C06">
              <w:rPr>
                <w:rFonts w:eastAsia="Times New Roman" w:cstheme="minorHAnsi"/>
                <w:color w:val="000000"/>
                <w:sz w:val="22"/>
                <w:lang w:eastAsia="en-AU"/>
              </w:rPr>
              <w:t xml:space="preserve">adhesive removers  </w:t>
            </w:r>
          </w:p>
        </w:tc>
        <w:tc>
          <w:tcPr>
            <w:tcW w:w="3261" w:type="dxa"/>
            <w:shd w:val="clear" w:color="auto" w:fill="auto"/>
            <w:noWrap/>
            <w:vAlign w:val="center"/>
            <w:hideMark/>
          </w:tcPr>
          <w:p w14:paraId="7BFD4B5B"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Not Therapeutic Good</w:t>
            </w:r>
          </w:p>
        </w:tc>
      </w:tr>
      <w:tr w:rsidR="003A5162" w:rsidRPr="00EE1BD1" w14:paraId="24B8A959" w14:textId="77777777" w:rsidTr="00763FAF">
        <w:trPr>
          <w:trHeight w:val="300"/>
        </w:trPr>
        <w:tc>
          <w:tcPr>
            <w:tcW w:w="6232" w:type="dxa"/>
            <w:shd w:val="clear" w:color="auto" w:fill="auto"/>
            <w:noWrap/>
            <w:vAlign w:val="center"/>
            <w:hideMark/>
          </w:tcPr>
          <w:p w14:paraId="35CDA654" w14:textId="11DA0F31"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A35C06">
              <w:rPr>
                <w:rFonts w:eastAsia="Times New Roman" w:cstheme="minorHAnsi"/>
                <w:color w:val="000000"/>
                <w:sz w:val="22"/>
                <w:lang w:eastAsia="en-AU"/>
              </w:rPr>
              <w:t xml:space="preserve">skin adhesive and adhesive enhancers </w:t>
            </w:r>
          </w:p>
        </w:tc>
        <w:tc>
          <w:tcPr>
            <w:tcW w:w="3261" w:type="dxa"/>
            <w:shd w:val="clear" w:color="auto" w:fill="auto"/>
            <w:noWrap/>
            <w:vAlign w:val="center"/>
            <w:hideMark/>
          </w:tcPr>
          <w:p w14:paraId="2D72B5E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979434B" w14:textId="77777777" w:rsidTr="00763FAF">
        <w:trPr>
          <w:trHeight w:val="300"/>
        </w:trPr>
        <w:tc>
          <w:tcPr>
            <w:tcW w:w="6232" w:type="dxa"/>
            <w:shd w:val="clear" w:color="auto" w:fill="auto"/>
            <w:noWrap/>
            <w:vAlign w:val="center"/>
            <w:hideMark/>
          </w:tcPr>
          <w:p w14:paraId="5B4573AD" w14:textId="77777777" w:rsidR="00481EA4" w:rsidRPr="00CE3331" w:rsidRDefault="00481EA4" w:rsidP="003A5162">
            <w:pPr>
              <w:spacing w:before="0" w:after="0" w:line="240" w:lineRule="auto"/>
              <w:rPr>
                <w:rFonts w:eastAsia="Times New Roman" w:cs="Calibri"/>
                <w:color w:val="000000"/>
                <w:szCs w:val="22"/>
                <w:highlight w:val="yellow"/>
                <w:lang w:eastAsia="en-AU"/>
              </w:rPr>
            </w:pPr>
          </w:p>
        </w:tc>
        <w:tc>
          <w:tcPr>
            <w:tcW w:w="3261" w:type="dxa"/>
            <w:shd w:val="clear" w:color="auto" w:fill="auto"/>
            <w:noWrap/>
            <w:vAlign w:val="center"/>
            <w:hideMark/>
          </w:tcPr>
          <w:p w14:paraId="1273A478" w14:textId="77777777" w:rsidR="00481EA4" w:rsidRPr="00CE3331" w:rsidRDefault="00481EA4" w:rsidP="003A5162">
            <w:pPr>
              <w:spacing w:before="0" w:after="0" w:line="240" w:lineRule="auto"/>
              <w:ind w:firstLineChars="200" w:firstLine="400"/>
              <w:rPr>
                <w:rFonts w:eastAsia="Times New Roman"/>
                <w:sz w:val="20"/>
                <w:highlight w:val="yellow"/>
                <w:lang w:eastAsia="en-AU"/>
              </w:rPr>
            </w:pPr>
          </w:p>
        </w:tc>
      </w:tr>
      <w:tr w:rsidR="003A5162" w:rsidRPr="00EE1BD1" w14:paraId="1BAF6B6F" w14:textId="77777777" w:rsidTr="00763FAF">
        <w:trPr>
          <w:trHeight w:val="405"/>
        </w:trPr>
        <w:tc>
          <w:tcPr>
            <w:tcW w:w="6232" w:type="dxa"/>
            <w:shd w:val="clear" w:color="auto" w:fill="auto"/>
            <w:noWrap/>
            <w:vAlign w:val="center"/>
            <w:hideMark/>
          </w:tcPr>
          <w:p w14:paraId="3C177AD3" w14:textId="21FD8A53"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38" w:name="RANGE!A97"/>
            <w:r w:rsidRPr="003A5162">
              <w:rPr>
                <w:rFonts w:ascii="Arial" w:eastAsia="Times New Roman" w:hAnsi="Arial" w:cs="Arial"/>
                <w:b/>
                <w:bCs/>
                <w:color w:val="000000"/>
                <w:sz w:val="28"/>
                <w:szCs w:val="28"/>
                <w:lang w:eastAsia="en-AU"/>
              </w:rPr>
              <w:t xml:space="preserve">Products incorporating both a medicine </w:t>
            </w:r>
            <w:bookmarkEnd w:id="38"/>
            <w:r w:rsidRPr="003A5162">
              <w:rPr>
                <w:rFonts w:ascii="Arial" w:eastAsia="Times New Roman" w:hAnsi="Arial" w:cs="Arial"/>
                <w:b/>
                <w:bCs/>
                <w:color w:val="000000"/>
                <w:sz w:val="28"/>
                <w:szCs w:val="28"/>
                <w:lang w:eastAsia="en-AU"/>
              </w:rPr>
              <w:t>and a medical device</w:t>
            </w:r>
          </w:p>
        </w:tc>
        <w:tc>
          <w:tcPr>
            <w:tcW w:w="3261" w:type="dxa"/>
            <w:shd w:val="clear" w:color="auto" w:fill="auto"/>
            <w:noWrap/>
            <w:vAlign w:val="bottom"/>
            <w:hideMark/>
          </w:tcPr>
          <w:p w14:paraId="6BCFBDC0"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37624CD6" w14:textId="77777777" w:rsidTr="00763FAF">
        <w:trPr>
          <w:trHeight w:val="300"/>
        </w:trPr>
        <w:tc>
          <w:tcPr>
            <w:tcW w:w="6232" w:type="dxa"/>
            <w:shd w:val="clear" w:color="auto" w:fill="auto"/>
            <w:noWrap/>
            <w:vAlign w:val="center"/>
            <w:hideMark/>
          </w:tcPr>
          <w:p w14:paraId="33B93E64" w14:textId="758594C1"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condom with spermicide  </w:t>
            </w:r>
          </w:p>
        </w:tc>
        <w:tc>
          <w:tcPr>
            <w:tcW w:w="3261" w:type="dxa"/>
            <w:shd w:val="clear" w:color="auto" w:fill="auto"/>
            <w:noWrap/>
            <w:vAlign w:val="center"/>
            <w:hideMark/>
          </w:tcPr>
          <w:p w14:paraId="649B5D97"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60FD6D0" w14:textId="77777777" w:rsidTr="00763FAF">
        <w:trPr>
          <w:trHeight w:val="300"/>
        </w:trPr>
        <w:tc>
          <w:tcPr>
            <w:tcW w:w="6232" w:type="dxa"/>
            <w:shd w:val="clear" w:color="auto" w:fill="auto"/>
            <w:noWrap/>
            <w:vAlign w:val="center"/>
            <w:hideMark/>
          </w:tcPr>
          <w:p w14:paraId="512A858F" w14:textId="20A894AB"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condom with virucide </w:t>
            </w:r>
          </w:p>
        </w:tc>
        <w:tc>
          <w:tcPr>
            <w:tcW w:w="3261" w:type="dxa"/>
            <w:shd w:val="clear" w:color="auto" w:fill="auto"/>
            <w:noWrap/>
            <w:vAlign w:val="center"/>
            <w:hideMark/>
          </w:tcPr>
          <w:p w14:paraId="6752944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16C9D77A" w14:textId="77777777" w:rsidTr="00763FAF">
        <w:trPr>
          <w:trHeight w:val="300"/>
        </w:trPr>
        <w:tc>
          <w:tcPr>
            <w:tcW w:w="6232" w:type="dxa"/>
            <w:shd w:val="clear" w:color="auto" w:fill="auto"/>
            <w:noWrap/>
            <w:vAlign w:val="center"/>
            <w:hideMark/>
          </w:tcPr>
          <w:p w14:paraId="08B0D40A" w14:textId="7E5C34F7"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catheter with heparin coating </w:t>
            </w:r>
          </w:p>
        </w:tc>
        <w:tc>
          <w:tcPr>
            <w:tcW w:w="3261" w:type="dxa"/>
            <w:shd w:val="clear" w:color="auto" w:fill="auto"/>
            <w:noWrap/>
            <w:vAlign w:val="center"/>
            <w:hideMark/>
          </w:tcPr>
          <w:p w14:paraId="02C33B62"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BA2FCE2" w14:textId="77777777" w:rsidTr="00763FAF">
        <w:trPr>
          <w:trHeight w:val="300"/>
        </w:trPr>
        <w:tc>
          <w:tcPr>
            <w:tcW w:w="6232" w:type="dxa"/>
            <w:shd w:val="clear" w:color="auto" w:fill="auto"/>
            <w:noWrap/>
            <w:vAlign w:val="center"/>
            <w:hideMark/>
          </w:tcPr>
          <w:p w14:paraId="585C11A1" w14:textId="3268E78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catheter with antibiotic coating  </w:t>
            </w:r>
          </w:p>
        </w:tc>
        <w:tc>
          <w:tcPr>
            <w:tcW w:w="3261" w:type="dxa"/>
            <w:shd w:val="clear" w:color="auto" w:fill="auto"/>
            <w:noWrap/>
            <w:vAlign w:val="center"/>
            <w:hideMark/>
          </w:tcPr>
          <w:p w14:paraId="5F1D21B5"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055ADD59" w14:textId="77777777" w:rsidTr="00763FAF">
        <w:trPr>
          <w:trHeight w:val="300"/>
        </w:trPr>
        <w:tc>
          <w:tcPr>
            <w:tcW w:w="6232" w:type="dxa"/>
            <w:shd w:val="clear" w:color="auto" w:fill="auto"/>
            <w:noWrap/>
            <w:vAlign w:val="center"/>
            <w:hideMark/>
          </w:tcPr>
          <w:p w14:paraId="36CC6C07" w14:textId="7D882E4A"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bone cement with antibiotic  </w:t>
            </w:r>
          </w:p>
        </w:tc>
        <w:tc>
          <w:tcPr>
            <w:tcW w:w="3261" w:type="dxa"/>
            <w:shd w:val="clear" w:color="auto" w:fill="auto"/>
            <w:noWrap/>
            <w:vAlign w:val="center"/>
            <w:hideMark/>
          </w:tcPr>
          <w:p w14:paraId="5B59212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542158CD" w14:textId="77777777" w:rsidTr="00763FAF">
        <w:trPr>
          <w:trHeight w:val="300"/>
        </w:trPr>
        <w:tc>
          <w:tcPr>
            <w:tcW w:w="6232" w:type="dxa"/>
            <w:shd w:val="clear" w:color="auto" w:fill="auto"/>
            <w:noWrap/>
            <w:vAlign w:val="center"/>
            <w:hideMark/>
          </w:tcPr>
          <w:p w14:paraId="09EA4792" w14:textId="6C64C8D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active implantable medical device lead, steroid-eluting  </w:t>
            </w:r>
          </w:p>
        </w:tc>
        <w:tc>
          <w:tcPr>
            <w:tcW w:w="3261" w:type="dxa"/>
            <w:shd w:val="clear" w:color="auto" w:fill="auto"/>
            <w:noWrap/>
            <w:vAlign w:val="center"/>
            <w:hideMark/>
          </w:tcPr>
          <w:p w14:paraId="7BC8744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A27D890" w14:textId="77777777" w:rsidTr="00763FAF">
        <w:trPr>
          <w:trHeight w:val="300"/>
        </w:trPr>
        <w:tc>
          <w:tcPr>
            <w:tcW w:w="6232" w:type="dxa"/>
            <w:shd w:val="clear" w:color="auto" w:fill="auto"/>
            <w:noWrap/>
            <w:vAlign w:val="center"/>
            <w:hideMark/>
          </w:tcPr>
          <w:p w14:paraId="1E58934E" w14:textId="7178BE2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lastRenderedPageBreak/>
              <w:t xml:space="preserve">medicine-eluting cardiac stent / lead </w:t>
            </w:r>
          </w:p>
        </w:tc>
        <w:tc>
          <w:tcPr>
            <w:tcW w:w="3261" w:type="dxa"/>
            <w:shd w:val="clear" w:color="auto" w:fill="auto"/>
            <w:noWrap/>
            <w:vAlign w:val="center"/>
            <w:hideMark/>
          </w:tcPr>
          <w:p w14:paraId="4717E137"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3D361DD7" w14:textId="77777777" w:rsidTr="00763FAF">
        <w:trPr>
          <w:trHeight w:val="300"/>
        </w:trPr>
        <w:tc>
          <w:tcPr>
            <w:tcW w:w="6232" w:type="dxa"/>
            <w:shd w:val="clear" w:color="auto" w:fill="auto"/>
            <w:noWrap/>
            <w:vAlign w:val="center"/>
            <w:hideMark/>
          </w:tcPr>
          <w:p w14:paraId="65AC077E" w14:textId="4024FD3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intra ocular lens heparin coated  </w:t>
            </w:r>
          </w:p>
        </w:tc>
        <w:tc>
          <w:tcPr>
            <w:tcW w:w="3261" w:type="dxa"/>
            <w:shd w:val="clear" w:color="auto" w:fill="auto"/>
            <w:noWrap/>
            <w:vAlign w:val="center"/>
            <w:hideMark/>
          </w:tcPr>
          <w:p w14:paraId="13A85E4B"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9C8F879" w14:textId="77777777" w:rsidTr="00763FAF">
        <w:trPr>
          <w:trHeight w:val="300"/>
        </w:trPr>
        <w:tc>
          <w:tcPr>
            <w:tcW w:w="6232" w:type="dxa"/>
            <w:shd w:val="clear" w:color="auto" w:fill="auto"/>
            <w:noWrap/>
            <w:vAlign w:val="center"/>
            <w:hideMark/>
          </w:tcPr>
          <w:p w14:paraId="60239C97" w14:textId="6612453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devices albumin coated </w:t>
            </w:r>
          </w:p>
        </w:tc>
        <w:tc>
          <w:tcPr>
            <w:tcW w:w="3261" w:type="dxa"/>
            <w:shd w:val="clear" w:color="auto" w:fill="auto"/>
            <w:noWrap/>
            <w:vAlign w:val="center"/>
            <w:hideMark/>
          </w:tcPr>
          <w:p w14:paraId="513B44BD"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F61DEFB" w14:textId="77777777" w:rsidTr="00763FAF">
        <w:trPr>
          <w:trHeight w:val="300"/>
        </w:trPr>
        <w:tc>
          <w:tcPr>
            <w:tcW w:w="6232" w:type="dxa"/>
            <w:shd w:val="clear" w:color="auto" w:fill="auto"/>
            <w:noWrap/>
            <w:vAlign w:val="center"/>
            <w:hideMark/>
          </w:tcPr>
          <w:p w14:paraId="5DF136C9" w14:textId="65F58DCA"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copper intra uterine contraceptive device </w:t>
            </w:r>
          </w:p>
        </w:tc>
        <w:tc>
          <w:tcPr>
            <w:tcW w:w="3261" w:type="dxa"/>
            <w:shd w:val="clear" w:color="auto" w:fill="auto"/>
            <w:noWrap/>
            <w:vAlign w:val="center"/>
            <w:hideMark/>
          </w:tcPr>
          <w:p w14:paraId="09CFAE64"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334C060B" w14:textId="77777777" w:rsidTr="00763FAF">
        <w:trPr>
          <w:trHeight w:val="300"/>
        </w:trPr>
        <w:tc>
          <w:tcPr>
            <w:tcW w:w="6232" w:type="dxa"/>
            <w:shd w:val="clear" w:color="auto" w:fill="auto"/>
            <w:noWrap/>
            <w:vAlign w:val="center"/>
            <w:hideMark/>
          </w:tcPr>
          <w:p w14:paraId="68B44D46" w14:textId="184D7D8A"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hormone-eluting intra uterine contraceptive device </w:t>
            </w:r>
          </w:p>
        </w:tc>
        <w:tc>
          <w:tcPr>
            <w:tcW w:w="3261" w:type="dxa"/>
            <w:shd w:val="clear" w:color="auto" w:fill="auto"/>
            <w:noWrap/>
            <w:vAlign w:val="center"/>
            <w:hideMark/>
          </w:tcPr>
          <w:p w14:paraId="68056DA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96062AC" w14:textId="77777777" w:rsidTr="00763FAF">
        <w:trPr>
          <w:trHeight w:val="300"/>
        </w:trPr>
        <w:tc>
          <w:tcPr>
            <w:tcW w:w="6232" w:type="dxa"/>
            <w:shd w:val="clear" w:color="auto" w:fill="auto"/>
            <w:noWrap/>
            <w:vAlign w:val="center"/>
            <w:hideMark/>
          </w:tcPr>
          <w:p w14:paraId="0690A932" w14:textId="6FD5D3F9"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dental cement with antibiotic/adrenalin  </w:t>
            </w:r>
          </w:p>
        </w:tc>
        <w:tc>
          <w:tcPr>
            <w:tcW w:w="3261" w:type="dxa"/>
            <w:shd w:val="clear" w:color="auto" w:fill="auto"/>
            <w:noWrap/>
            <w:vAlign w:val="center"/>
            <w:hideMark/>
          </w:tcPr>
          <w:p w14:paraId="76B7846E"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13EF21B0" w14:textId="77777777" w:rsidTr="00763FAF">
        <w:trPr>
          <w:trHeight w:val="300"/>
        </w:trPr>
        <w:tc>
          <w:tcPr>
            <w:tcW w:w="6232" w:type="dxa"/>
            <w:shd w:val="clear" w:color="auto" w:fill="auto"/>
            <w:noWrap/>
            <w:vAlign w:val="center"/>
            <w:hideMark/>
          </w:tcPr>
          <w:p w14:paraId="01B6644A" w14:textId="7931E42D"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dressings impregnated with medicinal product</w:t>
            </w:r>
          </w:p>
        </w:tc>
        <w:tc>
          <w:tcPr>
            <w:tcW w:w="3261" w:type="dxa"/>
            <w:shd w:val="clear" w:color="auto" w:fill="auto"/>
            <w:noWrap/>
            <w:vAlign w:val="center"/>
            <w:hideMark/>
          </w:tcPr>
          <w:p w14:paraId="4D320B7A"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 (unless primary purpose is to deliver the medicinal substance in which case it is a medicine)</w:t>
            </w:r>
          </w:p>
        </w:tc>
      </w:tr>
      <w:tr w:rsidR="003A5162" w:rsidRPr="00EE1BD1" w14:paraId="22131742" w14:textId="77777777" w:rsidTr="00763FAF">
        <w:trPr>
          <w:trHeight w:val="300"/>
        </w:trPr>
        <w:tc>
          <w:tcPr>
            <w:tcW w:w="6232" w:type="dxa"/>
            <w:shd w:val="clear" w:color="auto" w:fill="auto"/>
            <w:noWrap/>
            <w:vAlign w:val="center"/>
            <w:hideMark/>
          </w:tcPr>
          <w:p w14:paraId="57EC29AA" w14:textId="0A0B81C5"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hydrogel wound dressings</w:t>
            </w:r>
          </w:p>
        </w:tc>
        <w:tc>
          <w:tcPr>
            <w:tcW w:w="3261" w:type="dxa"/>
            <w:shd w:val="clear" w:color="auto" w:fill="auto"/>
            <w:noWrap/>
            <w:vAlign w:val="center"/>
            <w:hideMark/>
          </w:tcPr>
          <w:p w14:paraId="1A073899"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F9F129B" w14:textId="77777777" w:rsidTr="00763FAF">
        <w:trPr>
          <w:trHeight w:val="300"/>
        </w:trPr>
        <w:tc>
          <w:tcPr>
            <w:tcW w:w="6232" w:type="dxa"/>
            <w:shd w:val="clear" w:color="auto" w:fill="auto"/>
            <w:noWrap/>
            <w:vAlign w:val="center"/>
          </w:tcPr>
          <w:p w14:paraId="516FF201" w14:textId="77777777"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Medicine with non-refillable inhaler device</w:t>
            </w:r>
          </w:p>
        </w:tc>
        <w:tc>
          <w:tcPr>
            <w:tcW w:w="3261" w:type="dxa"/>
            <w:shd w:val="clear" w:color="auto" w:fill="auto"/>
            <w:noWrap/>
            <w:vAlign w:val="center"/>
          </w:tcPr>
          <w:p w14:paraId="4EA3DE96"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484C8B4" w14:textId="77777777" w:rsidTr="00763FAF">
        <w:trPr>
          <w:trHeight w:val="300"/>
        </w:trPr>
        <w:tc>
          <w:tcPr>
            <w:tcW w:w="6232" w:type="dxa"/>
            <w:shd w:val="clear" w:color="auto" w:fill="auto"/>
            <w:noWrap/>
            <w:vAlign w:val="center"/>
          </w:tcPr>
          <w:p w14:paraId="1499B6A7" w14:textId="77777777" w:rsidR="00481EA4" w:rsidRPr="002A3BD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2A3BD2">
              <w:rPr>
                <w:rFonts w:eastAsia="Times New Roman" w:cstheme="minorHAnsi"/>
                <w:color w:val="000000"/>
                <w:sz w:val="22"/>
                <w:lang w:eastAsia="en-AU"/>
              </w:rPr>
              <w:t xml:space="preserve">Refillable medical device </w:t>
            </w:r>
            <w:proofErr w:type="gramStart"/>
            <w:r w:rsidRPr="002A3BD2">
              <w:rPr>
                <w:rFonts w:eastAsia="Times New Roman" w:cstheme="minorHAnsi"/>
                <w:color w:val="000000"/>
                <w:sz w:val="22"/>
                <w:lang w:eastAsia="en-AU"/>
              </w:rPr>
              <w:t>e.g.</w:t>
            </w:r>
            <w:proofErr w:type="gramEnd"/>
            <w:r w:rsidRPr="002A3BD2">
              <w:rPr>
                <w:rFonts w:eastAsia="Times New Roman" w:cstheme="minorHAnsi"/>
                <w:color w:val="000000"/>
                <w:sz w:val="22"/>
                <w:lang w:eastAsia="en-AU"/>
              </w:rPr>
              <w:t xml:space="preserve"> inhaler, supplied separately to medicine </w:t>
            </w:r>
          </w:p>
        </w:tc>
        <w:tc>
          <w:tcPr>
            <w:tcW w:w="3261" w:type="dxa"/>
            <w:shd w:val="clear" w:color="auto" w:fill="auto"/>
            <w:noWrap/>
            <w:vAlign w:val="center"/>
          </w:tcPr>
          <w:p w14:paraId="6800DF56"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B6C6B53" w14:textId="77777777" w:rsidTr="00763FAF">
        <w:trPr>
          <w:trHeight w:val="300"/>
        </w:trPr>
        <w:tc>
          <w:tcPr>
            <w:tcW w:w="6232" w:type="dxa"/>
            <w:shd w:val="clear" w:color="auto" w:fill="auto"/>
            <w:noWrap/>
            <w:vAlign w:val="center"/>
            <w:hideMark/>
          </w:tcPr>
          <w:p w14:paraId="7514486D" w14:textId="77777777" w:rsidR="00481EA4" w:rsidRPr="002A3BD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2A3BD2">
              <w:rPr>
                <w:rFonts w:eastAsia="Times New Roman" w:cstheme="minorHAnsi"/>
                <w:color w:val="000000"/>
                <w:sz w:val="22"/>
                <w:lang w:eastAsia="en-AU"/>
              </w:rPr>
              <w:t>Contact lenses with medicine for hypersensitivity (medicated)</w:t>
            </w:r>
          </w:p>
        </w:tc>
        <w:tc>
          <w:tcPr>
            <w:tcW w:w="3261" w:type="dxa"/>
            <w:shd w:val="clear" w:color="auto" w:fill="auto"/>
            <w:noWrap/>
            <w:vAlign w:val="bottom"/>
            <w:hideMark/>
          </w:tcPr>
          <w:p w14:paraId="262B6FCA" w14:textId="77777777" w:rsidR="00481EA4" w:rsidRPr="002A3BD2" w:rsidRDefault="00481EA4" w:rsidP="003A5162">
            <w:pPr>
              <w:spacing w:before="0" w:after="0" w:line="240" w:lineRule="auto"/>
              <w:rPr>
                <w:rFonts w:eastAsia="Times New Roman" w:cstheme="minorHAnsi"/>
                <w:szCs w:val="22"/>
                <w:lang w:eastAsia="en-AU"/>
              </w:rPr>
            </w:pPr>
            <w:r w:rsidRPr="002A3BD2">
              <w:rPr>
                <w:rFonts w:eastAsia="Times New Roman" w:cstheme="minorHAnsi"/>
                <w:szCs w:val="22"/>
                <w:lang w:eastAsia="en-AU"/>
              </w:rPr>
              <w:t xml:space="preserve">Medical Device </w:t>
            </w:r>
          </w:p>
        </w:tc>
      </w:tr>
      <w:tr w:rsidR="003A5162" w:rsidRPr="00EE1BD1" w14:paraId="4A1BEBCD" w14:textId="77777777" w:rsidTr="00763FAF">
        <w:trPr>
          <w:trHeight w:val="300"/>
        </w:trPr>
        <w:tc>
          <w:tcPr>
            <w:tcW w:w="6232" w:type="dxa"/>
            <w:shd w:val="clear" w:color="auto" w:fill="auto"/>
            <w:noWrap/>
            <w:vAlign w:val="center"/>
          </w:tcPr>
          <w:p w14:paraId="395E5247" w14:textId="77777777" w:rsidR="00481EA4" w:rsidRPr="001F3E44" w:rsidRDefault="00481EA4" w:rsidP="003A5162">
            <w:pPr>
              <w:spacing w:before="0" w:after="0" w:line="240" w:lineRule="auto"/>
              <w:ind w:left="425"/>
              <w:rPr>
                <w:rFonts w:eastAsia="Times New Roman" w:cs="Calibri"/>
                <w:color w:val="000000"/>
                <w:szCs w:val="22"/>
                <w:lang w:eastAsia="en-AU"/>
              </w:rPr>
            </w:pPr>
          </w:p>
        </w:tc>
        <w:tc>
          <w:tcPr>
            <w:tcW w:w="3261" w:type="dxa"/>
            <w:shd w:val="clear" w:color="auto" w:fill="auto"/>
            <w:noWrap/>
            <w:vAlign w:val="bottom"/>
          </w:tcPr>
          <w:p w14:paraId="728742D5" w14:textId="77777777" w:rsidR="00481EA4" w:rsidRDefault="00481EA4" w:rsidP="003A5162">
            <w:pPr>
              <w:spacing w:before="0" w:after="0" w:line="240" w:lineRule="auto"/>
              <w:rPr>
                <w:rFonts w:eastAsia="Times New Roman"/>
                <w:sz w:val="20"/>
                <w:lang w:eastAsia="en-AU"/>
              </w:rPr>
            </w:pPr>
          </w:p>
        </w:tc>
      </w:tr>
      <w:tr w:rsidR="003A5162" w:rsidRPr="00EE1BD1" w14:paraId="382EF41F" w14:textId="77777777" w:rsidTr="00763FAF">
        <w:trPr>
          <w:trHeight w:val="405"/>
        </w:trPr>
        <w:tc>
          <w:tcPr>
            <w:tcW w:w="6232" w:type="dxa"/>
            <w:shd w:val="clear" w:color="auto" w:fill="auto"/>
            <w:noWrap/>
            <w:vAlign w:val="center"/>
            <w:hideMark/>
          </w:tcPr>
          <w:p w14:paraId="2C31EC38" w14:textId="14F4B0DB"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39" w:name="RANGE!A113"/>
            <w:r w:rsidRPr="003A5162">
              <w:rPr>
                <w:rFonts w:ascii="Arial" w:eastAsia="Times New Roman" w:hAnsi="Arial" w:cs="Arial"/>
                <w:b/>
                <w:bCs/>
                <w:color w:val="000000"/>
                <w:sz w:val="28"/>
                <w:szCs w:val="28"/>
                <w:lang w:eastAsia="en-AU"/>
              </w:rPr>
              <w:t xml:space="preserve">Sunscreens </w:t>
            </w:r>
            <w:bookmarkEnd w:id="39"/>
          </w:p>
        </w:tc>
        <w:tc>
          <w:tcPr>
            <w:tcW w:w="3261" w:type="dxa"/>
            <w:shd w:val="clear" w:color="auto" w:fill="auto"/>
            <w:noWrap/>
            <w:vAlign w:val="bottom"/>
            <w:hideMark/>
          </w:tcPr>
          <w:p w14:paraId="123FE488" w14:textId="77777777" w:rsidR="00481EA4" w:rsidRPr="00EE1BD1" w:rsidRDefault="00481EA4" w:rsidP="003A5162">
            <w:pPr>
              <w:spacing w:before="0" w:after="0" w:line="240" w:lineRule="auto"/>
              <w:ind w:firstLineChars="200" w:firstLine="643"/>
              <w:rPr>
                <w:rFonts w:ascii="Arial" w:eastAsia="Times New Roman" w:hAnsi="Arial" w:cs="Arial"/>
                <w:b/>
                <w:bCs/>
                <w:color w:val="000000"/>
                <w:sz w:val="32"/>
                <w:szCs w:val="32"/>
                <w:lang w:eastAsia="en-AU"/>
              </w:rPr>
            </w:pPr>
          </w:p>
        </w:tc>
      </w:tr>
      <w:tr w:rsidR="003A5162" w:rsidRPr="00EE1BD1" w14:paraId="0E055682" w14:textId="77777777" w:rsidTr="00763FAF">
        <w:trPr>
          <w:trHeight w:val="300"/>
        </w:trPr>
        <w:tc>
          <w:tcPr>
            <w:tcW w:w="6232" w:type="dxa"/>
            <w:shd w:val="clear" w:color="auto" w:fill="auto"/>
            <w:noWrap/>
            <w:vAlign w:val="center"/>
            <w:hideMark/>
          </w:tcPr>
          <w:p w14:paraId="7C58245F" w14:textId="049C7CFB" w:rsidR="00481EA4" w:rsidRPr="002A3BD2" w:rsidRDefault="00481EA4" w:rsidP="003A5162">
            <w:pPr>
              <w:pStyle w:val="ListParagraph"/>
              <w:numPr>
                <w:ilvl w:val="0"/>
                <w:numId w:val="16"/>
              </w:numPr>
              <w:ind w:left="461" w:hanging="285"/>
              <w:contextualSpacing w:val="0"/>
              <w:rPr>
                <w:rFonts w:eastAsia="Times New Roman" w:cstheme="minorHAnsi"/>
                <w:color w:val="000000"/>
                <w:lang w:eastAsia="en-AU"/>
              </w:rPr>
            </w:pPr>
            <w:r w:rsidRPr="00473A9C">
              <w:rPr>
                <w:rFonts w:eastAsia="Times New Roman" w:cstheme="minorHAnsi"/>
                <w:color w:val="000000"/>
                <w:sz w:val="22"/>
                <w:lang w:eastAsia="en-AU"/>
              </w:rPr>
              <w:t>when meets the definition of therapeutic goods</w:t>
            </w:r>
          </w:p>
        </w:tc>
        <w:tc>
          <w:tcPr>
            <w:tcW w:w="3261" w:type="dxa"/>
            <w:shd w:val="clear" w:color="auto" w:fill="auto"/>
            <w:noWrap/>
            <w:vAlign w:val="center"/>
            <w:hideMark/>
          </w:tcPr>
          <w:p w14:paraId="5C784BEB"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C7E4DC2" w14:textId="77777777" w:rsidTr="00763FAF">
        <w:trPr>
          <w:trHeight w:val="300"/>
        </w:trPr>
        <w:tc>
          <w:tcPr>
            <w:tcW w:w="6232" w:type="dxa"/>
            <w:shd w:val="clear" w:color="auto" w:fill="auto"/>
            <w:noWrap/>
            <w:vAlign w:val="center"/>
            <w:hideMark/>
          </w:tcPr>
          <w:p w14:paraId="7DD46E6C"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599D2416"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75AD1AB1" w14:textId="77777777" w:rsidTr="00763FAF">
        <w:trPr>
          <w:trHeight w:val="405"/>
        </w:trPr>
        <w:tc>
          <w:tcPr>
            <w:tcW w:w="6232" w:type="dxa"/>
            <w:shd w:val="clear" w:color="auto" w:fill="auto"/>
            <w:noWrap/>
            <w:vAlign w:val="center"/>
            <w:hideMark/>
          </w:tcPr>
          <w:p w14:paraId="147A0FA7" w14:textId="7DE0C3DA"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0" w:name="RANGE!A117"/>
            <w:r w:rsidRPr="003A5162">
              <w:rPr>
                <w:rFonts w:ascii="Arial" w:eastAsia="Times New Roman" w:hAnsi="Arial" w:cs="Arial"/>
                <w:b/>
                <w:bCs/>
                <w:color w:val="000000"/>
                <w:sz w:val="28"/>
                <w:szCs w:val="28"/>
                <w:lang w:eastAsia="en-AU"/>
              </w:rPr>
              <w:t>Tissue replacements of biological origin:</w:t>
            </w:r>
            <w:bookmarkEnd w:id="40"/>
          </w:p>
        </w:tc>
        <w:tc>
          <w:tcPr>
            <w:tcW w:w="3261" w:type="dxa"/>
            <w:shd w:val="clear" w:color="auto" w:fill="auto"/>
            <w:noWrap/>
            <w:vAlign w:val="bottom"/>
            <w:hideMark/>
          </w:tcPr>
          <w:p w14:paraId="29B73D08"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0E5F4702" w14:textId="77777777" w:rsidTr="00763FAF">
        <w:trPr>
          <w:trHeight w:val="300"/>
        </w:trPr>
        <w:tc>
          <w:tcPr>
            <w:tcW w:w="6232" w:type="dxa"/>
            <w:shd w:val="clear" w:color="auto" w:fill="auto"/>
            <w:noWrap/>
            <w:vAlign w:val="center"/>
            <w:hideMark/>
          </w:tcPr>
          <w:p w14:paraId="0CE600C0" w14:textId="1C3B4DA6"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'manufactured' from human tissue</w:t>
            </w:r>
          </w:p>
        </w:tc>
        <w:tc>
          <w:tcPr>
            <w:tcW w:w="3261" w:type="dxa"/>
            <w:shd w:val="clear" w:color="auto" w:fill="auto"/>
            <w:noWrap/>
            <w:vAlign w:val="center"/>
            <w:hideMark/>
          </w:tcPr>
          <w:p w14:paraId="6EB77062"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 xml:space="preserve">Biological </w:t>
            </w:r>
          </w:p>
        </w:tc>
      </w:tr>
      <w:tr w:rsidR="003A5162" w:rsidRPr="00EE1BD1" w14:paraId="7C0157A8" w14:textId="77777777" w:rsidTr="00763FAF">
        <w:trPr>
          <w:trHeight w:val="300"/>
        </w:trPr>
        <w:tc>
          <w:tcPr>
            <w:tcW w:w="6232" w:type="dxa"/>
            <w:shd w:val="clear" w:color="auto" w:fill="auto"/>
            <w:noWrap/>
            <w:vAlign w:val="center"/>
            <w:hideMark/>
          </w:tcPr>
          <w:p w14:paraId="7833BE50" w14:textId="753BED17"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‘manufactured’ from animal tissue and rendered non-viable</w:t>
            </w:r>
            <w:r w:rsidRPr="00F65275">
              <w:rPr>
                <w:rFonts w:eastAsia="Times New Roman" w:cstheme="minorHAnsi"/>
                <w:color w:val="000000"/>
                <w:sz w:val="22"/>
                <w:lang w:eastAsia="en-AU"/>
              </w:rPr>
              <w:t>  </w:t>
            </w:r>
          </w:p>
        </w:tc>
        <w:tc>
          <w:tcPr>
            <w:tcW w:w="3261" w:type="dxa"/>
            <w:shd w:val="clear" w:color="auto" w:fill="auto"/>
            <w:noWrap/>
            <w:vAlign w:val="center"/>
            <w:hideMark/>
          </w:tcPr>
          <w:p w14:paraId="7418F1CE"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500E3A67" w14:textId="77777777" w:rsidTr="00763FAF">
        <w:trPr>
          <w:trHeight w:val="300"/>
        </w:trPr>
        <w:tc>
          <w:tcPr>
            <w:tcW w:w="6232" w:type="dxa"/>
            <w:shd w:val="clear" w:color="auto" w:fill="auto"/>
            <w:noWrap/>
            <w:vAlign w:val="center"/>
            <w:hideMark/>
          </w:tcPr>
          <w:p w14:paraId="5A8CB08E" w14:textId="7C3C13A5"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products that comprise or contain live animal cells, </w:t>
            </w:r>
            <w:proofErr w:type="gramStart"/>
            <w:r w:rsidRPr="00473A9C">
              <w:rPr>
                <w:rFonts w:eastAsia="Times New Roman" w:cstheme="minorHAnsi"/>
                <w:color w:val="000000"/>
                <w:sz w:val="22"/>
                <w:lang w:eastAsia="en-AU"/>
              </w:rPr>
              <w:t>tissues</w:t>
            </w:r>
            <w:proofErr w:type="gramEnd"/>
            <w:r w:rsidRPr="00473A9C">
              <w:rPr>
                <w:rFonts w:eastAsia="Times New Roman" w:cstheme="minorHAnsi"/>
                <w:color w:val="000000"/>
                <w:sz w:val="22"/>
                <w:lang w:eastAsia="en-AU"/>
              </w:rPr>
              <w:t xml:space="preserve"> or organs</w:t>
            </w:r>
          </w:p>
        </w:tc>
        <w:tc>
          <w:tcPr>
            <w:tcW w:w="3261" w:type="dxa"/>
            <w:shd w:val="clear" w:color="auto" w:fill="auto"/>
            <w:noWrap/>
            <w:vAlign w:val="bottom"/>
            <w:hideMark/>
          </w:tcPr>
          <w:p w14:paraId="625E2069"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Biological</w:t>
            </w:r>
          </w:p>
        </w:tc>
      </w:tr>
      <w:tr w:rsidR="003A5162" w:rsidRPr="00EE1BD1" w14:paraId="11EBA57D" w14:textId="77777777" w:rsidTr="00763FAF">
        <w:trPr>
          <w:trHeight w:val="300"/>
        </w:trPr>
        <w:tc>
          <w:tcPr>
            <w:tcW w:w="6232" w:type="dxa"/>
            <w:shd w:val="clear" w:color="auto" w:fill="auto"/>
            <w:noWrap/>
            <w:vAlign w:val="center"/>
            <w:hideMark/>
          </w:tcPr>
          <w:p w14:paraId="4CE36E97" w14:textId="211F567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direct transplants  </w:t>
            </w:r>
          </w:p>
        </w:tc>
        <w:tc>
          <w:tcPr>
            <w:tcW w:w="3261" w:type="dxa"/>
            <w:shd w:val="clear" w:color="auto" w:fill="auto"/>
            <w:noWrap/>
            <w:vAlign w:val="center"/>
            <w:hideMark/>
          </w:tcPr>
          <w:p w14:paraId="4C166348"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 xml:space="preserve">Excluded </w:t>
            </w:r>
          </w:p>
        </w:tc>
      </w:tr>
      <w:tr w:rsidR="003A5162" w:rsidRPr="00EE1BD1" w14:paraId="42C756F8" w14:textId="77777777" w:rsidTr="00763FAF">
        <w:trPr>
          <w:trHeight w:val="300"/>
        </w:trPr>
        <w:tc>
          <w:tcPr>
            <w:tcW w:w="6232" w:type="dxa"/>
            <w:shd w:val="clear" w:color="auto" w:fill="auto"/>
            <w:noWrap/>
            <w:vAlign w:val="center"/>
            <w:hideMark/>
          </w:tcPr>
          <w:p w14:paraId="18386835" w14:textId="263DACEB"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blood products </w:t>
            </w:r>
          </w:p>
        </w:tc>
        <w:tc>
          <w:tcPr>
            <w:tcW w:w="3261" w:type="dxa"/>
            <w:shd w:val="clear" w:color="auto" w:fill="auto"/>
            <w:noWrap/>
            <w:vAlign w:val="center"/>
            <w:hideMark/>
          </w:tcPr>
          <w:p w14:paraId="47026AC8"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39870EB" w14:textId="77777777" w:rsidTr="00763FAF">
        <w:trPr>
          <w:trHeight w:val="300"/>
        </w:trPr>
        <w:tc>
          <w:tcPr>
            <w:tcW w:w="6232" w:type="dxa"/>
            <w:shd w:val="clear" w:color="auto" w:fill="auto"/>
            <w:noWrap/>
            <w:vAlign w:val="center"/>
            <w:hideMark/>
          </w:tcPr>
          <w:p w14:paraId="7460398A" w14:textId="7EF513B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blood &amp; blood components </w:t>
            </w:r>
          </w:p>
        </w:tc>
        <w:tc>
          <w:tcPr>
            <w:tcW w:w="3261" w:type="dxa"/>
            <w:shd w:val="clear" w:color="auto" w:fill="auto"/>
            <w:noWrap/>
            <w:vAlign w:val="center"/>
            <w:hideMark/>
          </w:tcPr>
          <w:p w14:paraId="2A8C4DFB"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2431DE27" w14:textId="77777777" w:rsidTr="00763FAF">
        <w:trPr>
          <w:trHeight w:val="300"/>
        </w:trPr>
        <w:tc>
          <w:tcPr>
            <w:tcW w:w="6232" w:type="dxa"/>
            <w:shd w:val="clear" w:color="auto" w:fill="auto"/>
            <w:noWrap/>
            <w:vAlign w:val="center"/>
            <w:hideMark/>
          </w:tcPr>
          <w:p w14:paraId="6A30E64C" w14:textId="6E60E26E"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blood substitutes and expanders  </w:t>
            </w:r>
          </w:p>
        </w:tc>
        <w:tc>
          <w:tcPr>
            <w:tcW w:w="3261" w:type="dxa"/>
            <w:shd w:val="clear" w:color="auto" w:fill="auto"/>
            <w:noWrap/>
            <w:vAlign w:val="center"/>
            <w:hideMark/>
          </w:tcPr>
          <w:p w14:paraId="70FFE645"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0D1DAB0" w14:textId="77777777" w:rsidTr="00763FAF">
        <w:trPr>
          <w:trHeight w:val="300"/>
        </w:trPr>
        <w:tc>
          <w:tcPr>
            <w:tcW w:w="6232" w:type="dxa"/>
            <w:shd w:val="clear" w:color="auto" w:fill="auto"/>
            <w:noWrap/>
            <w:vAlign w:val="center"/>
            <w:hideMark/>
          </w:tcPr>
          <w:p w14:paraId="28244607"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bottom"/>
            <w:hideMark/>
          </w:tcPr>
          <w:p w14:paraId="129F3571" w14:textId="77777777" w:rsidR="00481EA4" w:rsidRPr="00EE1BD1" w:rsidRDefault="00481EA4" w:rsidP="003A5162">
            <w:pPr>
              <w:spacing w:before="0" w:after="0" w:line="240" w:lineRule="auto"/>
              <w:rPr>
                <w:rFonts w:eastAsia="Times New Roman"/>
                <w:sz w:val="20"/>
                <w:lang w:eastAsia="en-AU"/>
              </w:rPr>
            </w:pPr>
          </w:p>
        </w:tc>
      </w:tr>
      <w:tr w:rsidR="003A5162" w:rsidRPr="00EE1BD1" w14:paraId="2B2038D0" w14:textId="77777777" w:rsidTr="00763FAF">
        <w:trPr>
          <w:trHeight w:val="405"/>
        </w:trPr>
        <w:tc>
          <w:tcPr>
            <w:tcW w:w="6232" w:type="dxa"/>
            <w:shd w:val="clear" w:color="auto" w:fill="auto"/>
            <w:noWrap/>
            <w:vAlign w:val="center"/>
            <w:hideMark/>
          </w:tcPr>
          <w:p w14:paraId="0DBF52FB" w14:textId="70313F6B"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1" w:name="RANGE!A127"/>
            <w:r w:rsidRPr="003A5162">
              <w:rPr>
                <w:rFonts w:ascii="Arial" w:eastAsia="Times New Roman" w:hAnsi="Arial" w:cs="Arial"/>
                <w:b/>
                <w:bCs/>
                <w:color w:val="000000"/>
                <w:sz w:val="28"/>
                <w:szCs w:val="28"/>
                <w:lang w:eastAsia="en-AU"/>
              </w:rPr>
              <w:t>Pre</w:t>
            </w:r>
            <w:r w:rsidRPr="003A5162">
              <w:rPr>
                <w:rFonts w:ascii="Arial" w:eastAsia="Times New Roman" w:hAnsi="Arial" w:cs="Arial"/>
                <w:b/>
                <w:bCs/>
                <w:color w:val="000000"/>
                <w:sz w:val="28"/>
                <w:szCs w:val="28"/>
                <w:lang w:eastAsia="en-AU"/>
              </w:rPr>
              <w:noBreakHyphen/>
              <w:t>filled or pre-loaded devices intended to deliver a medicine:</w:t>
            </w:r>
            <w:bookmarkEnd w:id="41"/>
          </w:p>
        </w:tc>
        <w:tc>
          <w:tcPr>
            <w:tcW w:w="3261" w:type="dxa"/>
            <w:shd w:val="clear" w:color="auto" w:fill="auto"/>
            <w:noWrap/>
            <w:vAlign w:val="bottom"/>
            <w:hideMark/>
          </w:tcPr>
          <w:p w14:paraId="7FDF0DC5"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4827AA46" w14:textId="77777777" w:rsidTr="00763FAF">
        <w:trPr>
          <w:trHeight w:val="300"/>
        </w:trPr>
        <w:tc>
          <w:tcPr>
            <w:tcW w:w="6232" w:type="dxa"/>
            <w:shd w:val="clear" w:color="auto" w:fill="auto"/>
            <w:noWrap/>
            <w:vAlign w:val="center"/>
            <w:hideMark/>
          </w:tcPr>
          <w:p w14:paraId="0E30578F" w14:textId="2098E39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syringe (other than prefilled with sterile water/saline for catheter inflation) </w:t>
            </w:r>
          </w:p>
        </w:tc>
        <w:tc>
          <w:tcPr>
            <w:tcW w:w="3261" w:type="dxa"/>
            <w:shd w:val="clear" w:color="auto" w:fill="auto"/>
            <w:noWrap/>
            <w:vAlign w:val="center"/>
            <w:hideMark/>
          </w:tcPr>
          <w:p w14:paraId="6F9BD42D"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6DA188D" w14:textId="77777777" w:rsidTr="00763FAF">
        <w:trPr>
          <w:trHeight w:val="300"/>
        </w:trPr>
        <w:tc>
          <w:tcPr>
            <w:tcW w:w="6232" w:type="dxa"/>
            <w:shd w:val="clear" w:color="auto" w:fill="auto"/>
            <w:noWrap/>
            <w:vAlign w:val="center"/>
            <w:hideMark/>
          </w:tcPr>
          <w:p w14:paraId="34BC16DF" w14:textId="61A4BEBC"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transdermal patch  </w:t>
            </w:r>
          </w:p>
        </w:tc>
        <w:tc>
          <w:tcPr>
            <w:tcW w:w="3261" w:type="dxa"/>
            <w:shd w:val="clear" w:color="auto" w:fill="auto"/>
            <w:noWrap/>
            <w:vAlign w:val="center"/>
            <w:hideMark/>
          </w:tcPr>
          <w:p w14:paraId="2EC641E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72BA8F3" w14:textId="77777777" w:rsidTr="00763FAF">
        <w:trPr>
          <w:trHeight w:val="300"/>
        </w:trPr>
        <w:tc>
          <w:tcPr>
            <w:tcW w:w="6232" w:type="dxa"/>
            <w:shd w:val="clear" w:color="auto" w:fill="auto"/>
            <w:noWrap/>
            <w:vAlign w:val="center"/>
            <w:hideMark/>
          </w:tcPr>
          <w:p w14:paraId="77EC9B75" w14:textId="1EB2B2E9"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hormone eluting IUD  </w:t>
            </w:r>
          </w:p>
        </w:tc>
        <w:tc>
          <w:tcPr>
            <w:tcW w:w="3261" w:type="dxa"/>
            <w:shd w:val="clear" w:color="auto" w:fill="auto"/>
            <w:noWrap/>
            <w:vAlign w:val="center"/>
            <w:hideMark/>
          </w:tcPr>
          <w:p w14:paraId="4B14C739"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95B373B" w14:textId="77777777" w:rsidTr="00763FAF">
        <w:trPr>
          <w:trHeight w:val="300"/>
        </w:trPr>
        <w:tc>
          <w:tcPr>
            <w:tcW w:w="6232" w:type="dxa"/>
            <w:shd w:val="clear" w:color="auto" w:fill="auto"/>
            <w:noWrap/>
            <w:vAlign w:val="center"/>
            <w:hideMark/>
          </w:tcPr>
          <w:p w14:paraId="60FD6AE9" w14:textId="6749883A"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IV nutrition etc. bags (filled)  </w:t>
            </w:r>
          </w:p>
        </w:tc>
        <w:tc>
          <w:tcPr>
            <w:tcW w:w="3261" w:type="dxa"/>
            <w:shd w:val="clear" w:color="auto" w:fill="auto"/>
            <w:noWrap/>
            <w:vAlign w:val="center"/>
            <w:hideMark/>
          </w:tcPr>
          <w:p w14:paraId="74FB579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2C2161FF" w14:textId="77777777" w:rsidTr="00763FAF">
        <w:trPr>
          <w:trHeight w:val="300"/>
        </w:trPr>
        <w:tc>
          <w:tcPr>
            <w:tcW w:w="6232" w:type="dxa"/>
            <w:shd w:val="clear" w:color="auto" w:fill="auto"/>
            <w:noWrap/>
            <w:vAlign w:val="center"/>
            <w:hideMark/>
          </w:tcPr>
          <w:p w14:paraId="6B62BF74" w14:textId="01CA61FB"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parenteral nutrition bags (filled)  </w:t>
            </w:r>
          </w:p>
        </w:tc>
        <w:tc>
          <w:tcPr>
            <w:tcW w:w="3261" w:type="dxa"/>
            <w:shd w:val="clear" w:color="auto" w:fill="auto"/>
            <w:noWrap/>
            <w:vAlign w:val="center"/>
            <w:hideMark/>
          </w:tcPr>
          <w:p w14:paraId="4657A9FE"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8A86244" w14:textId="77777777" w:rsidTr="00763FAF">
        <w:trPr>
          <w:trHeight w:val="300"/>
        </w:trPr>
        <w:tc>
          <w:tcPr>
            <w:tcW w:w="6232" w:type="dxa"/>
            <w:shd w:val="clear" w:color="auto" w:fill="auto"/>
            <w:noWrap/>
            <w:vAlign w:val="center"/>
            <w:hideMark/>
          </w:tcPr>
          <w:p w14:paraId="17B93C9F" w14:textId="23AE0B2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peritoneal dialysis bags (filled) </w:t>
            </w:r>
          </w:p>
        </w:tc>
        <w:tc>
          <w:tcPr>
            <w:tcW w:w="3261" w:type="dxa"/>
            <w:shd w:val="clear" w:color="auto" w:fill="auto"/>
            <w:noWrap/>
            <w:vAlign w:val="center"/>
            <w:hideMark/>
          </w:tcPr>
          <w:p w14:paraId="38575017"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69D97900" w14:textId="77777777" w:rsidTr="00763FAF">
        <w:trPr>
          <w:trHeight w:val="300"/>
        </w:trPr>
        <w:tc>
          <w:tcPr>
            <w:tcW w:w="6232" w:type="dxa"/>
            <w:shd w:val="clear" w:color="auto" w:fill="auto"/>
            <w:noWrap/>
            <w:vAlign w:val="center"/>
            <w:hideMark/>
          </w:tcPr>
          <w:p w14:paraId="3ECE915C" w14:textId="4E0EDBB8"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oxygen &amp; medical gas containers (filled) or delivery units  </w:t>
            </w:r>
          </w:p>
        </w:tc>
        <w:tc>
          <w:tcPr>
            <w:tcW w:w="3261" w:type="dxa"/>
            <w:shd w:val="clear" w:color="auto" w:fill="auto"/>
            <w:noWrap/>
            <w:vAlign w:val="center"/>
            <w:hideMark/>
          </w:tcPr>
          <w:p w14:paraId="15AB5B47"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EB775A3" w14:textId="77777777" w:rsidTr="00763FAF">
        <w:trPr>
          <w:trHeight w:val="300"/>
        </w:trPr>
        <w:tc>
          <w:tcPr>
            <w:tcW w:w="6232" w:type="dxa"/>
            <w:shd w:val="clear" w:color="auto" w:fill="auto"/>
            <w:noWrap/>
            <w:vAlign w:val="center"/>
            <w:hideMark/>
          </w:tcPr>
          <w:p w14:paraId="5703D668" w14:textId="1EC9FF2A"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oxygen &amp; medical gas containers (empty)  </w:t>
            </w:r>
          </w:p>
        </w:tc>
        <w:tc>
          <w:tcPr>
            <w:tcW w:w="3261" w:type="dxa"/>
            <w:shd w:val="clear" w:color="auto" w:fill="auto"/>
            <w:noWrap/>
            <w:vAlign w:val="center"/>
            <w:hideMark/>
          </w:tcPr>
          <w:p w14:paraId="494532B7"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5459B77" w14:textId="77777777" w:rsidTr="00763FAF">
        <w:trPr>
          <w:trHeight w:val="300"/>
        </w:trPr>
        <w:tc>
          <w:tcPr>
            <w:tcW w:w="6232" w:type="dxa"/>
            <w:shd w:val="clear" w:color="auto" w:fill="auto"/>
            <w:noWrap/>
            <w:vAlign w:val="center"/>
            <w:hideMark/>
          </w:tcPr>
          <w:p w14:paraId="5F28E247" w14:textId="5206F65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internal sponge, membrane or similar for delivery of spermicide or STD virucide </w:t>
            </w:r>
          </w:p>
        </w:tc>
        <w:tc>
          <w:tcPr>
            <w:tcW w:w="3261" w:type="dxa"/>
            <w:shd w:val="clear" w:color="auto" w:fill="auto"/>
            <w:noWrap/>
            <w:vAlign w:val="center"/>
            <w:hideMark/>
          </w:tcPr>
          <w:p w14:paraId="3E7DA592"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2FEA275" w14:textId="77777777" w:rsidTr="00763FAF">
        <w:trPr>
          <w:trHeight w:val="300"/>
        </w:trPr>
        <w:tc>
          <w:tcPr>
            <w:tcW w:w="6232" w:type="dxa"/>
            <w:shd w:val="clear" w:color="auto" w:fill="auto"/>
            <w:noWrap/>
            <w:vAlign w:val="center"/>
            <w:hideMark/>
          </w:tcPr>
          <w:p w14:paraId="0A6A24BC" w14:textId="38C08B93"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lastRenderedPageBreak/>
              <w:t xml:space="preserve">styptics (pencils, wool etc.) </w:t>
            </w:r>
          </w:p>
        </w:tc>
        <w:tc>
          <w:tcPr>
            <w:tcW w:w="3261" w:type="dxa"/>
            <w:shd w:val="clear" w:color="auto" w:fill="auto"/>
            <w:noWrap/>
            <w:vAlign w:val="center"/>
            <w:hideMark/>
          </w:tcPr>
          <w:p w14:paraId="2510078E"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F0FF6A3" w14:textId="77777777" w:rsidTr="00763FAF">
        <w:trPr>
          <w:trHeight w:val="300"/>
        </w:trPr>
        <w:tc>
          <w:tcPr>
            <w:tcW w:w="6232" w:type="dxa"/>
            <w:shd w:val="clear" w:color="auto" w:fill="auto"/>
            <w:noWrap/>
            <w:vAlign w:val="center"/>
            <w:hideMark/>
          </w:tcPr>
          <w:p w14:paraId="2DAB5479" w14:textId="0B1728B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corn, callus removal pads with medication  </w:t>
            </w:r>
          </w:p>
        </w:tc>
        <w:tc>
          <w:tcPr>
            <w:tcW w:w="3261" w:type="dxa"/>
            <w:shd w:val="clear" w:color="auto" w:fill="auto"/>
            <w:noWrap/>
            <w:vAlign w:val="center"/>
            <w:hideMark/>
          </w:tcPr>
          <w:p w14:paraId="20D46413"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584471DD" w14:textId="77777777" w:rsidTr="00763FAF">
        <w:trPr>
          <w:trHeight w:val="300"/>
        </w:trPr>
        <w:tc>
          <w:tcPr>
            <w:tcW w:w="6232" w:type="dxa"/>
            <w:shd w:val="clear" w:color="auto" w:fill="auto"/>
            <w:noWrap/>
            <w:vAlign w:val="center"/>
            <w:hideMark/>
          </w:tcPr>
          <w:p w14:paraId="7275747F" w14:textId="6A80C70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analgesic plasters  </w:t>
            </w:r>
          </w:p>
        </w:tc>
        <w:tc>
          <w:tcPr>
            <w:tcW w:w="3261" w:type="dxa"/>
            <w:shd w:val="clear" w:color="auto" w:fill="auto"/>
            <w:noWrap/>
            <w:vAlign w:val="center"/>
            <w:hideMark/>
          </w:tcPr>
          <w:p w14:paraId="1F032F9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3ABF5000" w14:textId="77777777" w:rsidTr="00763FAF">
        <w:trPr>
          <w:trHeight w:val="300"/>
        </w:trPr>
        <w:tc>
          <w:tcPr>
            <w:tcW w:w="6232" w:type="dxa"/>
            <w:shd w:val="clear" w:color="auto" w:fill="auto"/>
            <w:noWrap/>
            <w:vAlign w:val="center"/>
            <w:hideMark/>
          </w:tcPr>
          <w:p w14:paraId="54D12139" w14:textId="5987AE96"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medicated paste bandages  </w:t>
            </w:r>
          </w:p>
        </w:tc>
        <w:tc>
          <w:tcPr>
            <w:tcW w:w="3261" w:type="dxa"/>
            <w:shd w:val="clear" w:color="auto" w:fill="auto"/>
            <w:noWrap/>
            <w:vAlign w:val="center"/>
            <w:hideMark/>
          </w:tcPr>
          <w:p w14:paraId="75F45DCC"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0C2D358C" w14:textId="77777777" w:rsidTr="00763FAF">
        <w:trPr>
          <w:trHeight w:val="300"/>
        </w:trPr>
        <w:tc>
          <w:tcPr>
            <w:tcW w:w="6232" w:type="dxa"/>
            <w:shd w:val="clear" w:color="auto" w:fill="auto"/>
            <w:noWrap/>
            <w:vAlign w:val="center"/>
            <w:hideMark/>
          </w:tcPr>
          <w:p w14:paraId="586CD143" w14:textId="009DD6F3"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gingival retraction cords coated with adrenalin</w:t>
            </w:r>
          </w:p>
        </w:tc>
        <w:tc>
          <w:tcPr>
            <w:tcW w:w="3261" w:type="dxa"/>
            <w:shd w:val="clear" w:color="auto" w:fill="auto"/>
            <w:noWrap/>
            <w:vAlign w:val="center"/>
            <w:hideMark/>
          </w:tcPr>
          <w:p w14:paraId="61A4D932"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Medicine</w:t>
            </w:r>
          </w:p>
        </w:tc>
      </w:tr>
      <w:tr w:rsidR="003A5162" w:rsidRPr="00EE1BD1" w14:paraId="7A069BBB" w14:textId="77777777" w:rsidTr="00763FAF">
        <w:trPr>
          <w:trHeight w:val="300"/>
        </w:trPr>
        <w:tc>
          <w:tcPr>
            <w:tcW w:w="6232" w:type="dxa"/>
            <w:shd w:val="clear" w:color="auto" w:fill="auto"/>
            <w:noWrap/>
            <w:vAlign w:val="center"/>
            <w:hideMark/>
          </w:tcPr>
          <w:p w14:paraId="3D6C024B" w14:textId="719C5F68"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gingival retraction cords coated with astringent</w:t>
            </w:r>
          </w:p>
        </w:tc>
        <w:tc>
          <w:tcPr>
            <w:tcW w:w="3261" w:type="dxa"/>
            <w:shd w:val="clear" w:color="auto" w:fill="auto"/>
            <w:noWrap/>
            <w:vAlign w:val="center"/>
            <w:hideMark/>
          </w:tcPr>
          <w:p w14:paraId="73A0C731"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A1F829A" w14:textId="77777777" w:rsidTr="00763FAF">
        <w:trPr>
          <w:trHeight w:val="300"/>
        </w:trPr>
        <w:tc>
          <w:tcPr>
            <w:tcW w:w="6232" w:type="dxa"/>
            <w:shd w:val="clear" w:color="auto" w:fill="auto"/>
            <w:noWrap/>
            <w:vAlign w:val="center"/>
            <w:hideMark/>
          </w:tcPr>
          <w:p w14:paraId="6A915BBA"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bottom"/>
            <w:hideMark/>
          </w:tcPr>
          <w:p w14:paraId="6578E614" w14:textId="77777777" w:rsidR="00481EA4" w:rsidRPr="00EE1BD1" w:rsidRDefault="00481EA4" w:rsidP="003A5162">
            <w:pPr>
              <w:spacing w:before="0" w:after="0" w:line="240" w:lineRule="auto"/>
              <w:rPr>
                <w:rFonts w:eastAsia="Times New Roman"/>
                <w:sz w:val="20"/>
                <w:lang w:eastAsia="en-AU"/>
              </w:rPr>
            </w:pPr>
          </w:p>
        </w:tc>
      </w:tr>
      <w:tr w:rsidR="003A5162" w:rsidRPr="00EE1BD1" w14:paraId="6AFF518A" w14:textId="77777777" w:rsidTr="00763FAF">
        <w:trPr>
          <w:trHeight w:val="405"/>
        </w:trPr>
        <w:tc>
          <w:tcPr>
            <w:tcW w:w="6232" w:type="dxa"/>
            <w:shd w:val="clear" w:color="auto" w:fill="auto"/>
            <w:noWrap/>
            <w:vAlign w:val="center"/>
            <w:hideMark/>
          </w:tcPr>
          <w:p w14:paraId="55E23904"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r w:rsidRPr="003A5162">
              <w:rPr>
                <w:rFonts w:ascii="Arial" w:eastAsia="Times New Roman" w:hAnsi="Arial" w:cs="Arial"/>
                <w:b/>
                <w:bCs/>
                <w:color w:val="000000"/>
                <w:sz w:val="28"/>
                <w:szCs w:val="28"/>
                <w:lang w:eastAsia="en-AU"/>
              </w:rPr>
              <w:t>Unfilled or unloaded devices intended to deliver a medicine:</w:t>
            </w:r>
          </w:p>
        </w:tc>
        <w:tc>
          <w:tcPr>
            <w:tcW w:w="3261" w:type="dxa"/>
            <w:shd w:val="clear" w:color="auto" w:fill="auto"/>
            <w:noWrap/>
            <w:vAlign w:val="bottom"/>
            <w:hideMark/>
          </w:tcPr>
          <w:p w14:paraId="62B23DF2"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14764250" w14:textId="77777777" w:rsidTr="00763FAF">
        <w:trPr>
          <w:trHeight w:val="300"/>
        </w:trPr>
        <w:tc>
          <w:tcPr>
            <w:tcW w:w="6232" w:type="dxa"/>
            <w:shd w:val="clear" w:color="auto" w:fill="auto"/>
            <w:noWrap/>
            <w:vAlign w:val="center"/>
            <w:hideMark/>
          </w:tcPr>
          <w:p w14:paraId="5FE81929" w14:textId="3834FD89"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blood bags (that contain &amp; deliver an anticoagulant/preservative) </w:t>
            </w:r>
          </w:p>
        </w:tc>
        <w:tc>
          <w:tcPr>
            <w:tcW w:w="3261" w:type="dxa"/>
            <w:shd w:val="clear" w:color="auto" w:fill="auto"/>
            <w:noWrap/>
            <w:vAlign w:val="center"/>
            <w:hideMark/>
          </w:tcPr>
          <w:p w14:paraId="661A27D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5F708612" w14:textId="77777777" w:rsidTr="00763FAF">
        <w:trPr>
          <w:trHeight w:val="300"/>
        </w:trPr>
        <w:tc>
          <w:tcPr>
            <w:tcW w:w="6232" w:type="dxa"/>
            <w:shd w:val="clear" w:color="auto" w:fill="auto"/>
            <w:noWrap/>
            <w:vAlign w:val="center"/>
            <w:hideMark/>
          </w:tcPr>
          <w:p w14:paraId="17DAB22F" w14:textId="6CC942F5"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blood bags without anticoagulant/preservative</w:t>
            </w:r>
          </w:p>
        </w:tc>
        <w:tc>
          <w:tcPr>
            <w:tcW w:w="3261" w:type="dxa"/>
            <w:shd w:val="clear" w:color="auto" w:fill="auto"/>
            <w:noWrap/>
            <w:vAlign w:val="center"/>
            <w:hideMark/>
          </w:tcPr>
          <w:p w14:paraId="3BF2749D"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5493D74B" w14:textId="77777777" w:rsidTr="00763FAF">
        <w:trPr>
          <w:trHeight w:val="300"/>
        </w:trPr>
        <w:tc>
          <w:tcPr>
            <w:tcW w:w="6232" w:type="dxa"/>
            <w:shd w:val="clear" w:color="auto" w:fill="auto"/>
            <w:noWrap/>
            <w:vAlign w:val="center"/>
            <w:hideMark/>
          </w:tcPr>
          <w:p w14:paraId="7AD454F9" w14:textId="160829BD"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preservative solutions for use in blood bags</w:t>
            </w:r>
          </w:p>
        </w:tc>
        <w:tc>
          <w:tcPr>
            <w:tcW w:w="3261" w:type="dxa"/>
            <w:shd w:val="clear" w:color="auto" w:fill="auto"/>
            <w:noWrap/>
            <w:vAlign w:val="center"/>
            <w:hideMark/>
          </w:tcPr>
          <w:p w14:paraId="3ECCDF00"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26BE54CC" w14:textId="77777777" w:rsidTr="00763FAF">
        <w:trPr>
          <w:trHeight w:val="300"/>
        </w:trPr>
        <w:tc>
          <w:tcPr>
            <w:tcW w:w="6232" w:type="dxa"/>
            <w:shd w:val="clear" w:color="auto" w:fill="auto"/>
            <w:noWrap/>
            <w:vAlign w:val="center"/>
            <w:hideMark/>
          </w:tcPr>
          <w:p w14:paraId="46B73F59" w14:textId="79931D5D"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IV nutritional etc. bags (unfilled)  </w:t>
            </w:r>
          </w:p>
        </w:tc>
        <w:tc>
          <w:tcPr>
            <w:tcW w:w="3261" w:type="dxa"/>
            <w:shd w:val="clear" w:color="auto" w:fill="auto"/>
            <w:noWrap/>
            <w:vAlign w:val="center"/>
            <w:hideMark/>
          </w:tcPr>
          <w:p w14:paraId="7F0610C5"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69F291BE" w14:textId="77777777" w:rsidTr="00763FAF">
        <w:trPr>
          <w:trHeight w:val="300"/>
        </w:trPr>
        <w:tc>
          <w:tcPr>
            <w:tcW w:w="6232" w:type="dxa"/>
            <w:shd w:val="clear" w:color="auto" w:fill="auto"/>
            <w:noWrap/>
            <w:vAlign w:val="center"/>
            <w:hideMark/>
          </w:tcPr>
          <w:p w14:paraId="6EC7DA11" w14:textId="25EAA479"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parenteral nutrition bags (unfilled)  </w:t>
            </w:r>
          </w:p>
        </w:tc>
        <w:tc>
          <w:tcPr>
            <w:tcW w:w="3261" w:type="dxa"/>
            <w:shd w:val="clear" w:color="auto" w:fill="auto"/>
            <w:noWrap/>
            <w:vAlign w:val="center"/>
            <w:hideMark/>
          </w:tcPr>
          <w:p w14:paraId="0405B4B7"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7CC9DCB1" w14:textId="77777777" w:rsidTr="00763FAF">
        <w:trPr>
          <w:trHeight w:val="300"/>
        </w:trPr>
        <w:tc>
          <w:tcPr>
            <w:tcW w:w="6232" w:type="dxa"/>
            <w:shd w:val="clear" w:color="auto" w:fill="auto"/>
            <w:noWrap/>
            <w:vAlign w:val="center"/>
            <w:hideMark/>
          </w:tcPr>
          <w:p w14:paraId="19CE07E2" w14:textId="6603F01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 xml:space="preserve">peritoneal dialysis bags (unfilled) </w:t>
            </w:r>
          </w:p>
        </w:tc>
        <w:tc>
          <w:tcPr>
            <w:tcW w:w="3261" w:type="dxa"/>
            <w:shd w:val="clear" w:color="auto" w:fill="auto"/>
            <w:noWrap/>
            <w:vAlign w:val="center"/>
            <w:hideMark/>
          </w:tcPr>
          <w:p w14:paraId="1011251F"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50EEF776" w14:textId="77777777" w:rsidTr="00763FAF">
        <w:trPr>
          <w:trHeight w:val="300"/>
        </w:trPr>
        <w:tc>
          <w:tcPr>
            <w:tcW w:w="6232" w:type="dxa"/>
            <w:shd w:val="clear" w:color="auto" w:fill="auto"/>
            <w:noWrap/>
            <w:vAlign w:val="center"/>
            <w:hideMark/>
          </w:tcPr>
          <w:p w14:paraId="6724689C" w14:textId="5320A0C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473A9C">
              <w:rPr>
                <w:rFonts w:eastAsia="Times New Roman" w:cstheme="minorHAnsi"/>
                <w:color w:val="000000"/>
                <w:sz w:val="22"/>
                <w:lang w:eastAsia="en-AU"/>
              </w:rPr>
              <w:t>gas cylinders for medical gases (unfilled)</w:t>
            </w:r>
          </w:p>
        </w:tc>
        <w:tc>
          <w:tcPr>
            <w:tcW w:w="3261" w:type="dxa"/>
            <w:shd w:val="clear" w:color="auto" w:fill="auto"/>
            <w:noWrap/>
            <w:vAlign w:val="center"/>
            <w:hideMark/>
          </w:tcPr>
          <w:p w14:paraId="7ACE21AE" w14:textId="77777777" w:rsidR="00481EA4" w:rsidRPr="002A3BD2" w:rsidRDefault="00481EA4" w:rsidP="003A5162">
            <w:pPr>
              <w:spacing w:before="0" w:after="0" w:line="240" w:lineRule="auto"/>
              <w:rPr>
                <w:rFonts w:eastAsia="Times New Roman" w:cstheme="minorHAnsi"/>
                <w:color w:val="000000"/>
                <w:szCs w:val="22"/>
                <w:lang w:eastAsia="en-AU"/>
              </w:rPr>
            </w:pPr>
            <w:r w:rsidRPr="002A3BD2">
              <w:rPr>
                <w:rFonts w:eastAsia="Times New Roman" w:cstheme="minorHAnsi"/>
                <w:color w:val="000000"/>
                <w:szCs w:val="22"/>
                <w:lang w:eastAsia="en-AU"/>
              </w:rPr>
              <w:t>Medical Device</w:t>
            </w:r>
          </w:p>
        </w:tc>
      </w:tr>
      <w:tr w:rsidR="003A5162" w:rsidRPr="00EE1BD1" w14:paraId="4151DE15" w14:textId="77777777" w:rsidTr="00763FAF">
        <w:trPr>
          <w:trHeight w:val="300"/>
        </w:trPr>
        <w:tc>
          <w:tcPr>
            <w:tcW w:w="6232" w:type="dxa"/>
            <w:shd w:val="clear" w:color="auto" w:fill="auto"/>
            <w:noWrap/>
            <w:vAlign w:val="center"/>
            <w:hideMark/>
          </w:tcPr>
          <w:p w14:paraId="7A984F64" w14:textId="77777777" w:rsidR="00481EA4" w:rsidRPr="00336C08"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bottom"/>
            <w:hideMark/>
          </w:tcPr>
          <w:p w14:paraId="402AB440" w14:textId="77777777" w:rsidR="00481EA4" w:rsidRPr="00EE1BD1" w:rsidRDefault="00481EA4" w:rsidP="003A5162">
            <w:pPr>
              <w:spacing w:before="0" w:after="0" w:line="240" w:lineRule="auto"/>
              <w:rPr>
                <w:rFonts w:eastAsia="Times New Roman"/>
                <w:sz w:val="20"/>
                <w:lang w:eastAsia="en-AU"/>
              </w:rPr>
            </w:pPr>
          </w:p>
        </w:tc>
      </w:tr>
      <w:tr w:rsidR="003A5162" w:rsidRPr="00EE1BD1" w14:paraId="4CFAF575" w14:textId="77777777" w:rsidTr="00763FAF">
        <w:trPr>
          <w:trHeight w:val="405"/>
        </w:trPr>
        <w:tc>
          <w:tcPr>
            <w:tcW w:w="6232" w:type="dxa"/>
            <w:shd w:val="clear" w:color="auto" w:fill="auto"/>
            <w:noWrap/>
            <w:vAlign w:val="center"/>
            <w:hideMark/>
          </w:tcPr>
          <w:p w14:paraId="7CC19581" w14:textId="6B0C36FC" w:rsidR="00481EA4" w:rsidRPr="00336C08" w:rsidRDefault="00481EA4" w:rsidP="003A5162">
            <w:pPr>
              <w:spacing w:before="0" w:after="0" w:line="240" w:lineRule="auto"/>
              <w:rPr>
                <w:rFonts w:ascii="Arial" w:eastAsia="Times New Roman" w:hAnsi="Arial" w:cs="Arial"/>
                <w:b/>
                <w:bCs/>
                <w:color w:val="000000"/>
                <w:sz w:val="32"/>
                <w:szCs w:val="32"/>
                <w:lang w:eastAsia="en-AU"/>
              </w:rPr>
            </w:pPr>
            <w:bookmarkStart w:id="42" w:name="RANGE!A153"/>
            <w:r w:rsidRPr="003A5162">
              <w:rPr>
                <w:rFonts w:ascii="Arial" w:eastAsia="Times New Roman" w:hAnsi="Arial" w:cs="Arial"/>
                <w:b/>
                <w:bCs/>
                <w:color w:val="000000"/>
                <w:sz w:val="28"/>
                <w:szCs w:val="28"/>
                <w:lang w:eastAsia="en-AU"/>
              </w:rPr>
              <w:t>System or procedure packs</w:t>
            </w:r>
            <w:r w:rsidRPr="00336C08">
              <w:rPr>
                <w:rFonts w:ascii="Arial" w:eastAsia="Times New Roman" w:hAnsi="Arial" w:cs="Arial"/>
                <w:b/>
                <w:bCs/>
                <w:color w:val="000000"/>
                <w:sz w:val="32"/>
                <w:szCs w:val="32"/>
                <w:lang w:eastAsia="en-AU"/>
              </w:rPr>
              <w:t xml:space="preserve"> </w:t>
            </w:r>
            <w:bookmarkEnd w:id="42"/>
          </w:p>
        </w:tc>
        <w:tc>
          <w:tcPr>
            <w:tcW w:w="3261" w:type="dxa"/>
            <w:shd w:val="clear" w:color="auto" w:fill="auto"/>
            <w:noWrap/>
            <w:vAlign w:val="bottom"/>
            <w:hideMark/>
          </w:tcPr>
          <w:p w14:paraId="299179D0"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47ECEA3B" w14:textId="77777777" w:rsidTr="00763FAF">
        <w:trPr>
          <w:trHeight w:val="780"/>
        </w:trPr>
        <w:tc>
          <w:tcPr>
            <w:tcW w:w="6232" w:type="dxa"/>
            <w:shd w:val="clear" w:color="auto" w:fill="auto"/>
            <w:vAlign w:val="center"/>
          </w:tcPr>
          <w:p w14:paraId="52A75BA0"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 xml:space="preserve">Information on system and procedure packs is available at </w:t>
            </w:r>
            <w:hyperlink r:id="rId33" w:history="1">
              <w:r w:rsidRPr="002A3BD2">
                <w:rPr>
                  <w:rStyle w:val="Hyperlink"/>
                  <w:i/>
                  <w:iCs/>
                  <w:szCs w:val="22"/>
                </w:rPr>
                <w:t xml:space="preserve">System or procedure packs - Guidance for sponsors, </w:t>
              </w:r>
              <w:proofErr w:type="gramStart"/>
              <w:r w:rsidRPr="002A3BD2">
                <w:rPr>
                  <w:rStyle w:val="Hyperlink"/>
                  <w:i/>
                  <w:iCs/>
                  <w:szCs w:val="22"/>
                </w:rPr>
                <w:t>manufacturers</w:t>
              </w:r>
              <w:proofErr w:type="gramEnd"/>
              <w:r w:rsidRPr="002A3BD2">
                <w:rPr>
                  <w:rStyle w:val="Hyperlink"/>
                  <w:i/>
                  <w:iCs/>
                  <w:szCs w:val="22"/>
                </w:rPr>
                <w:t xml:space="preserve"> and charities</w:t>
              </w:r>
            </w:hyperlink>
          </w:p>
        </w:tc>
        <w:tc>
          <w:tcPr>
            <w:tcW w:w="3261" w:type="dxa"/>
            <w:shd w:val="clear" w:color="auto" w:fill="auto"/>
            <w:noWrap/>
            <w:vAlign w:val="bottom"/>
          </w:tcPr>
          <w:p w14:paraId="7972E5F5" w14:textId="77777777" w:rsidR="00481EA4" w:rsidRPr="00336C08" w:rsidRDefault="00481EA4" w:rsidP="003A5162">
            <w:pPr>
              <w:spacing w:before="0" w:after="0" w:line="240" w:lineRule="auto"/>
              <w:rPr>
                <w:rFonts w:eastAsia="Times New Roman" w:cs="Calibri"/>
                <w:color w:val="FF0000"/>
                <w:szCs w:val="22"/>
                <w:lang w:eastAsia="en-AU"/>
              </w:rPr>
            </w:pPr>
          </w:p>
        </w:tc>
      </w:tr>
      <w:tr w:rsidR="003A5162" w:rsidRPr="00EE1BD1" w14:paraId="687F75E4" w14:textId="77777777" w:rsidTr="00763FAF">
        <w:trPr>
          <w:trHeight w:val="300"/>
        </w:trPr>
        <w:tc>
          <w:tcPr>
            <w:tcW w:w="6232" w:type="dxa"/>
            <w:shd w:val="clear" w:color="auto" w:fill="auto"/>
            <w:noWrap/>
            <w:vAlign w:val="center"/>
          </w:tcPr>
          <w:p w14:paraId="66E2A795" w14:textId="77777777" w:rsidR="00481EA4" w:rsidRPr="00EE1BD1" w:rsidRDefault="00481EA4" w:rsidP="003A5162">
            <w:pPr>
              <w:spacing w:before="0" w:after="0" w:line="240" w:lineRule="auto"/>
              <w:ind w:firstLineChars="200" w:firstLine="440"/>
              <w:rPr>
                <w:rFonts w:eastAsia="Times New Roman" w:cs="Calibri"/>
                <w:color w:val="000000"/>
                <w:szCs w:val="22"/>
                <w:highlight w:val="yellow"/>
                <w:lang w:eastAsia="en-AU"/>
              </w:rPr>
            </w:pPr>
          </w:p>
        </w:tc>
        <w:tc>
          <w:tcPr>
            <w:tcW w:w="3261" w:type="dxa"/>
            <w:shd w:val="clear" w:color="auto" w:fill="auto"/>
            <w:noWrap/>
          </w:tcPr>
          <w:p w14:paraId="2043EA47" w14:textId="77777777" w:rsidR="00481EA4" w:rsidRPr="00EE1BD1" w:rsidRDefault="00481EA4" w:rsidP="003A5162">
            <w:pPr>
              <w:spacing w:before="0" w:after="0" w:line="240" w:lineRule="auto"/>
              <w:ind w:firstLineChars="200" w:firstLine="440"/>
              <w:rPr>
                <w:rFonts w:eastAsia="Times New Roman" w:cs="Calibri"/>
                <w:color w:val="000000"/>
                <w:szCs w:val="22"/>
                <w:lang w:eastAsia="en-AU"/>
              </w:rPr>
            </w:pPr>
          </w:p>
        </w:tc>
      </w:tr>
      <w:tr w:rsidR="003A5162" w:rsidRPr="00EE1BD1" w14:paraId="1A268F7B" w14:textId="77777777" w:rsidTr="00763FAF">
        <w:trPr>
          <w:trHeight w:val="405"/>
        </w:trPr>
        <w:tc>
          <w:tcPr>
            <w:tcW w:w="6232" w:type="dxa"/>
            <w:shd w:val="clear" w:color="auto" w:fill="auto"/>
            <w:noWrap/>
            <w:vAlign w:val="center"/>
            <w:hideMark/>
          </w:tcPr>
          <w:p w14:paraId="7CDA8C55" w14:textId="2D4BF959"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3" w:name="RANGE!A164"/>
            <w:r w:rsidRPr="003A5162">
              <w:rPr>
                <w:rFonts w:ascii="Arial" w:eastAsia="Times New Roman" w:hAnsi="Arial" w:cs="Arial"/>
                <w:b/>
                <w:bCs/>
                <w:color w:val="000000"/>
                <w:sz w:val="28"/>
                <w:szCs w:val="28"/>
                <w:lang w:eastAsia="en-AU"/>
              </w:rPr>
              <w:t>Dual-treatment goods</w:t>
            </w:r>
            <w:bookmarkEnd w:id="43"/>
          </w:p>
        </w:tc>
        <w:tc>
          <w:tcPr>
            <w:tcW w:w="3261" w:type="dxa"/>
            <w:shd w:val="clear" w:color="auto" w:fill="auto"/>
            <w:noWrap/>
            <w:hideMark/>
          </w:tcPr>
          <w:p w14:paraId="67469748"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61E6DB30" w14:textId="77777777" w:rsidTr="00763FAF">
        <w:trPr>
          <w:trHeight w:val="300"/>
        </w:trPr>
        <w:tc>
          <w:tcPr>
            <w:tcW w:w="6232" w:type="dxa"/>
            <w:shd w:val="clear" w:color="auto" w:fill="auto"/>
            <w:noWrap/>
            <w:vAlign w:val="center"/>
            <w:hideMark/>
          </w:tcPr>
          <w:p w14:paraId="545B31DB" w14:textId="675E4EBE"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lithotripter</w:t>
            </w:r>
          </w:p>
        </w:tc>
        <w:tc>
          <w:tcPr>
            <w:tcW w:w="3261" w:type="dxa"/>
            <w:shd w:val="clear" w:color="auto" w:fill="auto"/>
            <w:noWrap/>
            <w:vAlign w:val="center"/>
            <w:hideMark/>
          </w:tcPr>
          <w:p w14:paraId="49948609"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7514C147" w14:textId="77777777" w:rsidTr="00763FAF">
        <w:trPr>
          <w:trHeight w:val="300"/>
        </w:trPr>
        <w:tc>
          <w:tcPr>
            <w:tcW w:w="6232" w:type="dxa"/>
            <w:shd w:val="clear" w:color="auto" w:fill="auto"/>
            <w:noWrap/>
            <w:vAlign w:val="center"/>
            <w:hideMark/>
          </w:tcPr>
          <w:p w14:paraId="7073AB0F" w14:textId="171D6B07"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dissolution agent used with lithotripter</w:t>
            </w:r>
          </w:p>
        </w:tc>
        <w:tc>
          <w:tcPr>
            <w:tcW w:w="3261" w:type="dxa"/>
            <w:shd w:val="clear" w:color="auto" w:fill="auto"/>
            <w:noWrap/>
            <w:vAlign w:val="center"/>
            <w:hideMark/>
          </w:tcPr>
          <w:p w14:paraId="20764A80"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Medicine</w:t>
            </w:r>
          </w:p>
        </w:tc>
      </w:tr>
      <w:tr w:rsidR="003A5162" w:rsidRPr="00EE1BD1" w14:paraId="2108D7ED" w14:textId="77777777" w:rsidTr="00763FAF">
        <w:trPr>
          <w:trHeight w:val="300"/>
        </w:trPr>
        <w:tc>
          <w:tcPr>
            <w:tcW w:w="6232" w:type="dxa"/>
            <w:shd w:val="clear" w:color="auto" w:fill="auto"/>
            <w:noWrap/>
            <w:vAlign w:val="center"/>
            <w:hideMark/>
          </w:tcPr>
          <w:p w14:paraId="3847A426"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2F711A40"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414DF4D6" w14:textId="77777777" w:rsidTr="00763FAF">
        <w:trPr>
          <w:trHeight w:val="405"/>
        </w:trPr>
        <w:tc>
          <w:tcPr>
            <w:tcW w:w="6232" w:type="dxa"/>
            <w:shd w:val="clear" w:color="auto" w:fill="auto"/>
            <w:noWrap/>
            <w:vAlign w:val="center"/>
            <w:hideMark/>
          </w:tcPr>
          <w:p w14:paraId="6B506E4B" w14:textId="72EEE188"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4" w:name="RANGE!A168"/>
            <w:r w:rsidRPr="003A5162">
              <w:rPr>
                <w:rFonts w:ascii="Arial" w:eastAsia="Times New Roman" w:hAnsi="Arial" w:cs="Arial"/>
                <w:b/>
                <w:bCs/>
                <w:color w:val="000000"/>
                <w:sz w:val="28"/>
                <w:szCs w:val="28"/>
                <w:lang w:eastAsia="en-AU"/>
              </w:rPr>
              <w:t xml:space="preserve">Diagnostic goods for </w:t>
            </w:r>
            <w:r w:rsidRPr="003A5162">
              <w:rPr>
                <w:rFonts w:ascii="Arial" w:eastAsia="Times New Roman" w:hAnsi="Arial" w:cs="Arial"/>
                <w:b/>
                <w:bCs/>
                <w:i/>
                <w:iCs/>
                <w:color w:val="000000"/>
                <w:sz w:val="28"/>
                <w:szCs w:val="28"/>
                <w:lang w:eastAsia="en-AU"/>
              </w:rPr>
              <w:t>in vitro</w:t>
            </w:r>
            <w:r w:rsidRPr="003A5162">
              <w:rPr>
                <w:rFonts w:ascii="Arial" w:eastAsia="Times New Roman" w:hAnsi="Arial" w:cs="Arial"/>
                <w:b/>
                <w:bCs/>
                <w:color w:val="000000"/>
                <w:sz w:val="28"/>
                <w:szCs w:val="28"/>
                <w:lang w:eastAsia="en-AU"/>
              </w:rPr>
              <w:t xml:space="preserve"> use</w:t>
            </w:r>
            <w:bookmarkEnd w:id="44"/>
          </w:p>
        </w:tc>
        <w:tc>
          <w:tcPr>
            <w:tcW w:w="3261" w:type="dxa"/>
            <w:shd w:val="clear" w:color="auto" w:fill="auto"/>
            <w:noWrap/>
            <w:vAlign w:val="bottom"/>
            <w:hideMark/>
          </w:tcPr>
          <w:p w14:paraId="07A4333A"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4A130E7A" w14:textId="77777777" w:rsidTr="00763FAF">
        <w:trPr>
          <w:trHeight w:val="300"/>
        </w:trPr>
        <w:tc>
          <w:tcPr>
            <w:tcW w:w="6232" w:type="dxa"/>
            <w:shd w:val="clear" w:color="auto" w:fill="auto"/>
            <w:noWrap/>
            <w:vAlign w:val="center"/>
            <w:hideMark/>
          </w:tcPr>
          <w:p w14:paraId="66B69B7E" w14:textId="2E0E843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that incorporate material of human origin</w:t>
            </w:r>
          </w:p>
        </w:tc>
        <w:tc>
          <w:tcPr>
            <w:tcW w:w="3261" w:type="dxa"/>
            <w:shd w:val="clear" w:color="auto" w:fill="auto"/>
            <w:noWrap/>
            <w:vAlign w:val="center"/>
            <w:hideMark/>
          </w:tcPr>
          <w:p w14:paraId="0678243E"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6999DC11" w14:textId="77777777" w:rsidTr="00763FAF">
        <w:trPr>
          <w:trHeight w:val="300"/>
        </w:trPr>
        <w:tc>
          <w:tcPr>
            <w:tcW w:w="6232" w:type="dxa"/>
            <w:shd w:val="clear" w:color="auto" w:fill="auto"/>
            <w:noWrap/>
            <w:vAlign w:val="center"/>
            <w:hideMark/>
          </w:tcPr>
          <w:p w14:paraId="581F41C0" w14:textId="5035B83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for </w:t>
            </w:r>
            <w:proofErr w:type="spellStart"/>
            <w:r w:rsidRPr="00F65275">
              <w:rPr>
                <w:rFonts w:eastAsia="Times New Roman" w:cstheme="minorHAnsi"/>
                <w:color w:val="000000"/>
                <w:sz w:val="22"/>
                <w:lang w:eastAsia="en-AU"/>
              </w:rPr>
              <w:t>self diagnosis</w:t>
            </w:r>
            <w:proofErr w:type="spellEnd"/>
            <w:r w:rsidRPr="00F65275">
              <w:rPr>
                <w:rFonts w:eastAsia="Times New Roman" w:cstheme="minorHAnsi"/>
                <w:color w:val="000000"/>
                <w:sz w:val="22"/>
                <w:lang w:eastAsia="en-AU"/>
              </w:rPr>
              <w:t xml:space="preserve"> (home use)</w:t>
            </w:r>
          </w:p>
        </w:tc>
        <w:tc>
          <w:tcPr>
            <w:tcW w:w="3261" w:type="dxa"/>
            <w:shd w:val="clear" w:color="auto" w:fill="auto"/>
            <w:noWrap/>
            <w:vAlign w:val="center"/>
            <w:hideMark/>
          </w:tcPr>
          <w:p w14:paraId="422A3E03"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278082FD" w14:textId="77777777" w:rsidTr="00763FAF">
        <w:trPr>
          <w:trHeight w:val="300"/>
        </w:trPr>
        <w:tc>
          <w:tcPr>
            <w:tcW w:w="6232" w:type="dxa"/>
            <w:shd w:val="clear" w:color="auto" w:fill="auto"/>
            <w:noWrap/>
            <w:vAlign w:val="center"/>
            <w:hideMark/>
          </w:tcPr>
          <w:p w14:paraId="4E9C765B" w14:textId="2CAA8697"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in vitro test kits other than above</w:t>
            </w:r>
          </w:p>
        </w:tc>
        <w:tc>
          <w:tcPr>
            <w:tcW w:w="3261" w:type="dxa"/>
            <w:shd w:val="clear" w:color="auto" w:fill="auto"/>
            <w:noWrap/>
            <w:vAlign w:val="center"/>
            <w:hideMark/>
          </w:tcPr>
          <w:p w14:paraId="63755666"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5CC39455" w14:textId="77777777" w:rsidTr="00763FAF">
        <w:trPr>
          <w:trHeight w:val="300"/>
        </w:trPr>
        <w:tc>
          <w:tcPr>
            <w:tcW w:w="6232" w:type="dxa"/>
            <w:shd w:val="clear" w:color="auto" w:fill="auto"/>
            <w:noWrap/>
            <w:vAlign w:val="center"/>
            <w:hideMark/>
          </w:tcPr>
          <w:p w14:paraId="082DE806"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642AE5ED"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6AF114E2" w14:textId="77777777" w:rsidTr="00763FAF">
        <w:trPr>
          <w:trHeight w:val="405"/>
        </w:trPr>
        <w:tc>
          <w:tcPr>
            <w:tcW w:w="6232" w:type="dxa"/>
            <w:shd w:val="clear" w:color="auto" w:fill="auto"/>
            <w:noWrap/>
            <w:vAlign w:val="center"/>
            <w:hideMark/>
          </w:tcPr>
          <w:p w14:paraId="561E558C" w14:textId="385004C7"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5" w:name="RANGE!A173"/>
            <w:r w:rsidRPr="003A5162">
              <w:rPr>
                <w:rFonts w:ascii="Arial" w:eastAsia="Times New Roman" w:hAnsi="Arial" w:cs="Arial"/>
                <w:b/>
                <w:bCs/>
                <w:color w:val="000000"/>
                <w:sz w:val="28"/>
                <w:szCs w:val="28"/>
                <w:lang w:eastAsia="en-AU"/>
              </w:rPr>
              <w:t>Extra-corporeal therapies</w:t>
            </w:r>
            <w:bookmarkEnd w:id="45"/>
          </w:p>
        </w:tc>
        <w:tc>
          <w:tcPr>
            <w:tcW w:w="3261" w:type="dxa"/>
            <w:shd w:val="clear" w:color="auto" w:fill="auto"/>
            <w:noWrap/>
            <w:vAlign w:val="bottom"/>
            <w:hideMark/>
          </w:tcPr>
          <w:p w14:paraId="64C4BF70"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3F97E8AD" w14:textId="77777777" w:rsidTr="00763FAF">
        <w:trPr>
          <w:trHeight w:val="300"/>
        </w:trPr>
        <w:tc>
          <w:tcPr>
            <w:tcW w:w="6232" w:type="dxa"/>
            <w:shd w:val="clear" w:color="auto" w:fill="auto"/>
            <w:noWrap/>
            <w:vAlign w:val="center"/>
            <w:hideMark/>
          </w:tcPr>
          <w:p w14:paraId="3DBB2334" w14:textId="26EA8089" w:rsidR="00481EA4" w:rsidRPr="002A3BD2" w:rsidRDefault="00481EA4" w:rsidP="003A5162">
            <w:pPr>
              <w:pStyle w:val="ListParagraph"/>
              <w:numPr>
                <w:ilvl w:val="0"/>
                <w:numId w:val="16"/>
              </w:numPr>
              <w:ind w:left="461" w:hanging="285"/>
              <w:contextualSpacing w:val="0"/>
              <w:rPr>
                <w:rFonts w:eastAsia="Times New Roman" w:cs="Calibri"/>
                <w:color w:val="000000"/>
                <w:lang w:eastAsia="en-AU"/>
              </w:rPr>
            </w:pPr>
            <w:r w:rsidRPr="00F65275">
              <w:rPr>
                <w:rFonts w:eastAsia="Times New Roman" w:cstheme="minorHAnsi"/>
                <w:color w:val="000000"/>
                <w:sz w:val="22"/>
                <w:lang w:eastAsia="en-AU"/>
              </w:rPr>
              <w:t>immunoadsorption columns</w:t>
            </w:r>
          </w:p>
        </w:tc>
        <w:tc>
          <w:tcPr>
            <w:tcW w:w="3261" w:type="dxa"/>
            <w:shd w:val="clear" w:color="auto" w:fill="auto"/>
            <w:noWrap/>
            <w:vAlign w:val="bottom"/>
            <w:hideMark/>
          </w:tcPr>
          <w:p w14:paraId="4F425A88" w14:textId="77777777" w:rsidR="00481EA4" w:rsidRPr="002A3BD2" w:rsidRDefault="00481EA4" w:rsidP="003A5162">
            <w:pPr>
              <w:spacing w:before="0" w:after="0" w:line="240" w:lineRule="auto"/>
              <w:ind w:firstLineChars="200" w:firstLine="440"/>
              <w:rPr>
                <w:rFonts w:eastAsia="Times New Roman" w:cs="Calibri"/>
                <w:color w:val="000000"/>
                <w:szCs w:val="22"/>
                <w:lang w:eastAsia="en-AU"/>
              </w:rPr>
            </w:pPr>
          </w:p>
        </w:tc>
      </w:tr>
      <w:tr w:rsidR="003A5162" w:rsidRPr="00EE1BD1" w14:paraId="7B3BF975" w14:textId="77777777" w:rsidTr="00763FAF">
        <w:trPr>
          <w:trHeight w:val="300"/>
        </w:trPr>
        <w:tc>
          <w:tcPr>
            <w:tcW w:w="6232" w:type="dxa"/>
            <w:shd w:val="clear" w:color="auto" w:fill="auto"/>
            <w:noWrap/>
            <w:vAlign w:val="center"/>
            <w:hideMark/>
          </w:tcPr>
          <w:p w14:paraId="41C60373" w14:textId="6057F499" w:rsidR="00481EA4" w:rsidRPr="003A5162" w:rsidRDefault="00481EA4" w:rsidP="003A5162">
            <w:pPr>
              <w:pStyle w:val="ListBullet2"/>
              <w:spacing w:before="0" w:after="0" w:line="240" w:lineRule="auto"/>
              <w:ind w:left="850" w:hanging="425"/>
              <w:rPr>
                <w:lang w:eastAsia="en-AU"/>
              </w:rPr>
            </w:pPr>
            <w:r w:rsidRPr="003A5162">
              <w:rPr>
                <w:lang w:eastAsia="en-AU"/>
              </w:rPr>
              <w:t xml:space="preserve">charcoal activated </w:t>
            </w:r>
          </w:p>
        </w:tc>
        <w:tc>
          <w:tcPr>
            <w:tcW w:w="3261" w:type="dxa"/>
            <w:shd w:val="clear" w:color="auto" w:fill="auto"/>
            <w:noWrap/>
            <w:vAlign w:val="center"/>
            <w:hideMark/>
          </w:tcPr>
          <w:p w14:paraId="647F1B02"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EE1BD1" w14:paraId="743B59B7" w14:textId="77777777" w:rsidTr="00763FAF">
        <w:trPr>
          <w:trHeight w:val="300"/>
        </w:trPr>
        <w:tc>
          <w:tcPr>
            <w:tcW w:w="6232" w:type="dxa"/>
            <w:shd w:val="clear" w:color="auto" w:fill="auto"/>
            <w:noWrap/>
            <w:vAlign w:val="center"/>
            <w:hideMark/>
          </w:tcPr>
          <w:p w14:paraId="46DE069F" w14:textId="294F8366" w:rsidR="00481EA4" w:rsidRPr="003A5162" w:rsidRDefault="00481EA4" w:rsidP="003A5162">
            <w:pPr>
              <w:pStyle w:val="ListBullet2"/>
              <w:spacing w:before="0" w:after="0" w:line="240" w:lineRule="auto"/>
              <w:ind w:left="850" w:hanging="425"/>
              <w:rPr>
                <w:lang w:eastAsia="en-AU"/>
              </w:rPr>
            </w:pPr>
            <w:r w:rsidRPr="003A5162">
              <w:rPr>
                <w:lang w:eastAsia="en-AU"/>
              </w:rPr>
              <w:t xml:space="preserve">monoclonal antibodies </w:t>
            </w:r>
          </w:p>
        </w:tc>
        <w:tc>
          <w:tcPr>
            <w:tcW w:w="3261" w:type="dxa"/>
            <w:shd w:val="clear" w:color="auto" w:fill="auto"/>
            <w:noWrap/>
            <w:vAlign w:val="center"/>
            <w:hideMark/>
          </w:tcPr>
          <w:p w14:paraId="4EB0EB2F"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EE1BD1" w14:paraId="1A046A0C" w14:textId="77777777" w:rsidTr="00763FAF">
        <w:trPr>
          <w:trHeight w:val="300"/>
        </w:trPr>
        <w:tc>
          <w:tcPr>
            <w:tcW w:w="6232" w:type="dxa"/>
            <w:shd w:val="clear" w:color="auto" w:fill="auto"/>
            <w:noWrap/>
            <w:vAlign w:val="center"/>
            <w:hideMark/>
          </w:tcPr>
          <w:p w14:paraId="23EDB40C" w14:textId="743B51D1" w:rsidR="00481EA4" w:rsidRPr="002A3BD2" w:rsidRDefault="00481EA4" w:rsidP="003A5162">
            <w:pPr>
              <w:pStyle w:val="ListParagraph"/>
              <w:numPr>
                <w:ilvl w:val="0"/>
                <w:numId w:val="16"/>
              </w:numPr>
              <w:ind w:left="461" w:hanging="285"/>
              <w:contextualSpacing w:val="0"/>
              <w:rPr>
                <w:rFonts w:eastAsia="Times New Roman" w:cs="Calibri"/>
                <w:color w:val="000000"/>
                <w:lang w:eastAsia="en-AU"/>
              </w:rPr>
            </w:pPr>
            <w:proofErr w:type="spellStart"/>
            <w:r w:rsidRPr="00F65275">
              <w:rPr>
                <w:rFonts w:eastAsia="Times New Roman" w:cstheme="minorHAnsi"/>
                <w:color w:val="000000"/>
                <w:lang w:eastAsia="en-AU"/>
              </w:rPr>
              <w:t>haemoperfusion</w:t>
            </w:r>
            <w:proofErr w:type="spellEnd"/>
            <w:r w:rsidRPr="00F65275">
              <w:rPr>
                <w:rFonts w:eastAsia="Times New Roman" w:cstheme="minorHAnsi"/>
                <w:color w:val="000000"/>
                <w:lang w:eastAsia="en-AU"/>
              </w:rPr>
              <w:t xml:space="preserve"> columns</w:t>
            </w:r>
            <w:r w:rsidRPr="002A3BD2">
              <w:rPr>
                <w:rFonts w:eastAsia="Times New Roman" w:cs="Arial"/>
                <w:color w:val="000000"/>
                <w:lang w:eastAsia="en-AU"/>
              </w:rPr>
              <w:t xml:space="preserve"> </w:t>
            </w:r>
          </w:p>
        </w:tc>
        <w:tc>
          <w:tcPr>
            <w:tcW w:w="3261" w:type="dxa"/>
            <w:shd w:val="clear" w:color="auto" w:fill="auto"/>
            <w:noWrap/>
            <w:vAlign w:val="center"/>
            <w:hideMark/>
          </w:tcPr>
          <w:p w14:paraId="7120FFDB"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EE1BD1" w14:paraId="5C940E69" w14:textId="77777777" w:rsidTr="00763FAF">
        <w:trPr>
          <w:trHeight w:val="300"/>
        </w:trPr>
        <w:tc>
          <w:tcPr>
            <w:tcW w:w="6232" w:type="dxa"/>
            <w:shd w:val="clear" w:color="auto" w:fill="auto"/>
            <w:noWrap/>
            <w:vAlign w:val="center"/>
            <w:hideMark/>
          </w:tcPr>
          <w:p w14:paraId="36652102"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60B00A9D"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21D88934" w14:textId="77777777" w:rsidTr="00763FAF">
        <w:trPr>
          <w:trHeight w:val="405"/>
        </w:trPr>
        <w:tc>
          <w:tcPr>
            <w:tcW w:w="6232" w:type="dxa"/>
            <w:shd w:val="clear" w:color="auto" w:fill="auto"/>
            <w:noWrap/>
            <w:vAlign w:val="center"/>
            <w:hideMark/>
          </w:tcPr>
          <w:p w14:paraId="36F9C922" w14:textId="5D98ED4B"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6" w:name="RANGE!A179"/>
            <w:r w:rsidRPr="003A5162">
              <w:rPr>
                <w:rFonts w:ascii="Arial" w:eastAsia="Times New Roman" w:hAnsi="Arial" w:cs="Arial"/>
                <w:b/>
                <w:bCs/>
                <w:color w:val="000000"/>
                <w:sz w:val="28"/>
                <w:szCs w:val="28"/>
                <w:lang w:eastAsia="en-AU"/>
              </w:rPr>
              <w:t>Tissue storage and transport solutions</w:t>
            </w:r>
            <w:bookmarkEnd w:id="46"/>
          </w:p>
        </w:tc>
        <w:tc>
          <w:tcPr>
            <w:tcW w:w="3261" w:type="dxa"/>
            <w:shd w:val="clear" w:color="auto" w:fill="auto"/>
            <w:noWrap/>
            <w:vAlign w:val="bottom"/>
            <w:hideMark/>
          </w:tcPr>
          <w:p w14:paraId="27A5E1EA"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0178E7E9" w14:textId="77777777" w:rsidTr="00763FAF">
        <w:trPr>
          <w:trHeight w:val="300"/>
        </w:trPr>
        <w:tc>
          <w:tcPr>
            <w:tcW w:w="6232" w:type="dxa"/>
            <w:shd w:val="clear" w:color="auto" w:fill="auto"/>
            <w:noWrap/>
            <w:vAlign w:val="center"/>
            <w:hideMark/>
          </w:tcPr>
          <w:p w14:paraId="0B145667" w14:textId="156C1BD6"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 xml:space="preserve">In vitro fertilisation media </w:t>
            </w:r>
          </w:p>
        </w:tc>
        <w:tc>
          <w:tcPr>
            <w:tcW w:w="3261" w:type="dxa"/>
            <w:shd w:val="clear" w:color="auto" w:fill="auto"/>
            <w:noWrap/>
            <w:vAlign w:val="center"/>
            <w:hideMark/>
          </w:tcPr>
          <w:p w14:paraId="26435DF9"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7DF1C8C3" w14:textId="77777777" w:rsidTr="00763FAF">
        <w:trPr>
          <w:trHeight w:val="300"/>
        </w:trPr>
        <w:tc>
          <w:tcPr>
            <w:tcW w:w="6232" w:type="dxa"/>
            <w:shd w:val="clear" w:color="auto" w:fill="auto"/>
            <w:noWrap/>
            <w:vAlign w:val="center"/>
            <w:hideMark/>
          </w:tcPr>
          <w:p w14:paraId="16658FF1" w14:textId="6610BDE5"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other storage &amp; transport solutions containing ingredients of animal origin</w:t>
            </w:r>
          </w:p>
        </w:tc>
        <w:tc>
          <w:tcPr>
            <w:tcW w:w="3261" w:type="dxa"/>
            <w:shd w:val="clear" w:color="auto" w:fill="auto"/>
            <w:noWrap/>
            <w:vAlign w:val="center"/>
            <w:hideMark/>
          </w:tcPr>
          <w:p w14:paraId="514FD02A"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7B9F151B" w14:textId="77777777" w:rsidTr="00763FAF">
        <w:trPr>
          <w:trHeight w:val="300"/>
        </w:trPr>
        <w:tc>
          <w:tcPr>
            <w:tcW w:w="6232" w:type="dxa"/>
            <w:shd w:val="clear" w:color="auto" w:fill="auto"/>
            <w:noWrap/>
            <w:vAlign w:val="center"/>
            <w:hideMark/>
          </w:tcPr>
          <w:p w14:paraId="3FAFDFC5" w14:textId="7E767A9B"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lastRenderedPageBreak/>
              <w:t xml:space="preserve">other storage &amp; transport solutions containing ingredients of non-animal origin </w:t>
            </w:r>
          </w:p>
        </w:tc>
        <w:tc>
          <w:tcPr>
            <w:tcW w:w="3261" w:type="dxa"/>
            <w:shd w:val="clear" w:color="auto" w:fill="auto"/>
            <w:noWrap/>
            <w:vAlign w:val="center"/>
            <w:hideMark/>
          </w:tcPr>
          <w:p w14:paraId="59285704"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7B677D62" w14:textId="77777777" w:rsidTr="00763FAF">
        <w:trPr>
          <w:trHeight w:val="300"/>
        </w:trPr>
        <w:tc>
          <w:tcPr>
            <w:tcW w:w="6232" w:type="dxa"/>
            <w:shd w:val="clear" w:color="auto" w:fill="auto"/>
            <w:noWrap/>
            <w:vAlign w:val="center"/>
            <w:hideMark/>
          </w:tcPr>
          <w:p w14:paraId="20F9B927"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bottom"/>
            <w:hideMark/>
          </w:tcPr>
          <w:p w14:paraId="2740C8E3"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71F362DD" w14:textId="77777777" w:rsidTr="00763FAF">
        <w:trPr>
          <w:trHeight w:val="405"/>
        </w:trPr>
        <w:tc>
          <w:tcPr>
            <w:tcW w:w="6232" w:type="dxa"/>
            <w:shd w:val="clear" w:color="auto" w:fill="auto"/>
            <w:noWrap/>
            <w:vAlign w:val="center"/>
            <w:hideMark/>
          </w:tcPr>
          <w:p w14:paraId="4C421F66" w14:textId="218287DE"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7" w:name="RANGE!A184"/>
            <w:r w:rsidRPr="003A5162">
              <w:rPr>
                <w:rFonts w:ascii="Arial" w:eastAsia="Times New Roman" w:hAnsi="Arial" w:cs="Arial"/>
                <w:b/>
                <w:bCs/>
                <w:color w:val="000000"/>
                <w:sz w:val="28"/>
                <w:szCs w:val="28"/>
                <w:lang w:eastAsia="en-AU"/>
              </w:rPr>
              <w:t>Apheresis Solutions</w:t>
            </w:r>
            <w:r w:rsidRPr="00EE1BD1">
              <w:rPr>
                <w:rFonts w:ascii="Arial" w:eastAsia="Times New Roman" w:hAnsi="Arial" w:cs="Arial"/>
                <w:b/>
                <w:bCs/>
                <w:color w:val="000000"/>
                <w:sz w:val="32"/>
                <w:szCs w:val="32"/>
                <w:lang w:eastAsia="en-AU"/>
              </w:rPr>
              <w:t xml:space="preserve">  </w:t>
            </w:r>
            <w:bookmarkEnd w:id="47"/>
          </w:p>
        </w:tc>
        <w:tc>
          <w:tcPr>
            <w:tcW w:w="3261" w:type="dxa"/>
            <w:shd w:val="clear" w:color="auto" w:fill="auto"/>
            <w:noWrap/>
            <w:vAlign w:val="bottom"/>
            <w:hideMark/>
          </w:tcPr>
          <w:p w14:paraId="1FBB5D34" w14:textId="77777777" w:rsidR="00481EA4" w:rsidRPr="00EE1BD1" w:rsidRDefault="00481EA4" w:rsidP="003A5162">
            <w:pPr>
              <w:spacing w:before="0" w:after="0" w:line="240" w:lineRule="auto"/>
              <w:ind w:firstLineChars="200" w:firstLine="643"/>
              <w:rPr>
                <w:rFonts w:ascii="Arial" w:eastAsia="Times New Roman" w:hAnsi="Arial" w:cs="Arial"/>
                <w:b/>
                <w:bCs/>
                <w:color w:val="000000"/>
                <w:sz w:val="32"/>
                <w:szCs w:val="32"/>
                <w:lang w:eastAsia="en-AU"/>
              </w:rPr>
            </w:pPr>
          </w:p>
        </w:tc>
      </w:tr>
      <w:tr w:rsidR="003A5162" w:rsidRPr="00EE1BD1" w14:paraId="1492EABA" w14:textId="77777777" w:rsidTr="00763FAF">
        <w:trPr>
          <w:trHeight w:val="300"/>
        </w:trPr>
        <w:tc>
          <w:tcPr>
            <w:tcW w:w="6232" w:type="dxa"/>
            <w:shd w:val="clear" w:color="auto" w:fill="auto"/>
            <w:noWrap/>
            <w:vAlign w:val="center"/>
            <w:hideMark/>
          </w:tcPr>
          <w:p w14:paraId="2124A35C" w14:textId="22BEAF78" w:rsidR="00481EA4" w:rsidRPr="00EE1BD1" w:rsidRDefault="00481EA4" w:rsidP="003A5162">
            <w:pPr>
              <w:pStyle w:val="ListParagraph"/>
              <w:numPr>
                <w:ilvl w:val="0"/>
                <w:numId w:val="16"/>
              </w:numPr>
              <w:ind w:left="461" w:hanging="285"/>
              <w:contextualSpacing w:val="0"/>
              <w:rPr>
                <w:rFonts w:eastAsia="Times New Roman" w:cs="Calibri"/>
                <w:color w:val="000000"/>
                <w:lang w:eastAsia="en-AU"/>
              </w:rPr>
            </w:pPr>
            <w:r w:rsidRPr="00F65275">
              <w:rPr>
                <w:rFonts w:eastAsia="Times New Roman" w:cstheme="minorHAnsi"/>
                <w:color w:val="000000"/>
                <w:lang w:eastAsia="en-AU"/>
              </w:rPr>
              <w:t>Apheresis Solutions</w:t>
            </w:r>
          </w:p>
        </w:tc>
        <w:tc>
          <w:tcPr>
            <w:tcW w:w="3261" w:type="dxa"/>
            <w:shd w:val="clear" w:color="auto" w:fill="auto"/>
            <w:noWrap/>
            <w:vAlign w:val="center"/>
            <w:hideMark/>
          </w:tcPr>
          <w:p w14:paraId="159BC9A1"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6BC7B07A" w14:textId="77777777" w:rsidTr="00763FAF">
        <w:trPr>
          <w:trHeight w:val="300"/>
        </w:trPr>
        <w:tc>
          <w:tcPr>
            <w:tcW w:w="6232" w:type="dxa"/>
            <w:shd w:val="clear" w:color="auto" w:fill="auto"/>
            <w:noWrap/>
            <w:vAlign w:val="center"/>
            <w:hideMark/>
          </w:tcPr>
          <w:p w14:paraId="63438EC0"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31C849E5"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7CFBCCF8" w14:textId="77777777" w:rsidTr="00763FAF">
        <w:trPr>
          <w:trHeight w:val="405"/>
        </w:trPr>
        <w:tc>
          <w:tcPr>
            <w:tcW w:w="6232" w:type="dxa"/>
            <w:shd w:val="clear" w:color="auto" w:fill="auto"/>
            <w:noWrap/>
            <w:vAlign w:val="center"/>
            <w:hideMark/>
          </w:tcPr>
          <w:p w14:paraId="66CA33CD" w14:textId="06158A74"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8" w:name="RANGE!A187"/>
            <w:r w:rsidRPr="003A5162">
              <w:rPr>
                <w:rFonts w:ascii="Arial" w:eastAsia="Times New Roman" w:hAnsi="Arial" w:cs="Arial"/>
                <w:b/>
                <w:bCs/>
                <w:color w:val="000000"/>
                <w:sz w:val="28"/>
                <w:szCs w:val="28"/>
                <w:lang w:eastAsia="en-AU"/>
              </w:rPr>
              <w:t xml:space="preserve">Diagnostic goods for </w:t>
            </w:r>
            <w:r w:rsidRPr="003A5162">
              <w:rPr>
                <w:rFonts w:ascii="Arial" w:eastAsia="Times New Roman" w:hAnsi="Arial" w:cs="Arial"/>
                <w:b/>
                <w:bCs/>
                <w:i/>
                <w:iCs/>
                <w:color w:val="000000"/>
                <w:sz w:val="28"/>
                <w:szCs w:val="28"/>
                <w:lang w:eastAsia="en-AU"/>
              </w:rPr>
              <w:t>in vivo</w:t>
            </w:r>
            <w:r w:rsidRPr="003A5162">
              <w:rPr>
                <w:rFonts w:ascii="Arial" w:eastAsia="Times New Roman" w:hAnsi="Arial" w:cs="Arial"/>
                <w:b/>
                <w:bCs/>
                <w:color w:val="000000"/>
                <w:sz w:val="28"/>
                <w:szCs w:val="28"/>
                <w:lang w:eastAsia="en-AU"/>
              </w:rPr>
              <w:t xml:space="preserve"> use</w:t>
            </w:r>
            <w:bookmarkEnd w:id="48"/>
          </w:p>
        </w:tc>
        <w:tc>
          <w:tcPr>
            <w:tcW w:w="3261" w:type="dxa"/>
            <w:shd w:val="clear" w:color="auto" w:fill="auto"/>
            <w:noWrap/>
            <w:vAlign w:val="bottom"/>
            <w:hideMark/>
          </w:tcPr>
          <w:p w14:paraId="7632267F"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048DED9C" w14:textId="77777777" w:rsidTr="00763FAF">
        <w:trPr>
          <w:trHeight w:val="300"/>
        </w:trPr>
        <w:tc>
          <w:tcPr>
            <w:tcW w:w="6232" w:type="dxa"/>
            <w:shd w:val="clear" w:color="auto" w:fill="auto"/>
            <w:noWrap/>
            <w:vAlign w:val="center"/>
            <w:hideMark/>
          </w:tcPr>
          <w:p w14:paraId="62F34997" w14:textId="233675BB" w:rsidR="00481EA4" w:rsidRPr="002A3BD2" w:rsidRDefault="00481EA4" w:rsidP="003A5162">
            <w:pPr>
              <w:pStyle w:val="ListParagraph"/>
              <w:numPr>
                <w:ilvl w:val="0"/>
                <w:numId w:val="16"/>
              </w:numPr>
              <w:ind w:left="461" w:hanging="285"/>
              <w:contextualSpacing w:val="0"/>
              <w:rPr>
                <w:rFonts w:eastAsia="Times New Roman" w:cs="Calibri"/>
                <w:color w:val="000000"/>
                <w:lang w:eastAsia="en-AU"/>
              </w:rPr>
            </w:pPr>
            <w:r w:rsidRPr="00F65275">
              <w:rPr>
                <w:rFonts w:eastAsia="Times New Roman" w:cstheme="minorHAnsi"/>
                <w:color w:val="000000"/>
                <w:sz w:val="22"/>
                <w:lang w:eastAsia="en-AU"/>
              </w:rPr>
              <w:t>Allergen skin tests</w:t>
            </w:r>
          </w:p>
        </w:tc>
        <w:tc>
          <w:tcPr>
            <w:tcW w:w="3261" w:type="dxa"/>
            <w:shd w:val="clear" w:color="auto" w:fill="auto"/>
            <w:noWrap/>
            <w:vAlign w:val="bottom"/>
            <w:hideMark/>
          </w:tcPr>
          <w:p w14:paraId="2A5B1DAB" w14:textId="77777777" w:rsidR="00481EA4" w:rsidRPr="002A3BD2" w:rsidRDefault="00481EA4" w:rsidP="003A5162">
            <w:pPr>
              <w:spacing w:before="0" w:after="0" w:line="240" w:lineRule="auto"/>
              <w:ind w:firstLineChars="200" w:firstLine="440"/>
              <w:rPr>
                <w:rFonts w:eastAsia="Times New Roman" w:cs="Calibri"/>
                <w:color w:val="000000"/>
                <w:szCs w:val="22"/>
                <w:lang w:eastAsia="en-AU"/>
              </w:rPr>
            </w:pPr>
          </w:p>
        </w:tc>
      </w:tr>
      <w:tr w:rsidR="003A5162" w:rsidRPr="00EE1BD1" w14:paraId="2C10309E" w14:textId="77777777" w:rsidTr="00763FAF">
        <w:trPr>
          <w:trHeight w:val="300"/>
        </w:trPr>
        <w:tc>
          <w:tcPr>
            <w:tcW w:w="6232" w:type="dxa"/>
            <w:shd w:val="clear" w:color="auto" w:fill="auto"/>
            <w:noWrap/>
            <w:vAlign w:val="center"/>
            <w:hideMark/>
          </w:tcPr>
          <w:p w14:paraId="53E12DE5" w14:textId="7E3978BC" w:rsidR="00481EA4" w:rsidRPr="002A3BD2" w:rsidRDefault="00481EA4" w:rsidP="003A5162">
            <w:pPr>
              <w:pStyle w:val="ListBullet2"/>
              <w:spacing w:before="0" w:after="0" w:line="240" w:lineRule="auto"/>
              <w:ind w:left="850" w:hanging="425"/>
              <w:rPr>
                <w:rFonts w:eastAsia="Times New Roman" w:cs="Arial"/>
                <w:color w:val="000000"/>
                <w:szCs w:val="22"/>
                <w:lang w:eastAsia="en-AU"/>
              </w:rPr>
            </w:pPr>
            <w:r w:rsidRPr="003A5162">
              <w:rPr>
                <w:lang w:eastAsia="en-AU"/>
              </w:rPr>
              <w:t>scratch test</w:t>
            </w:r>
          </w:p>
        </w:tc>
        <w:tc>
          <w:tcPr>
            <w:tcW w:w="3261" w:type="dxa"/>
            <w:shd w:val="clear" w:color="auto" w:fill="auto"/>
            <w:noWrap/>
            <w:vAlign w:val="center"/>
            <w:hideMark/>
          </w:tcPr>
          <w:p w14:paraId="00AA9B30"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0D868267" w14:textId="77777777" w:rsidTr="00763FAF">
        <w:trPr>
          <w:trHeight w:val="300"/>
        </w:trPr>
        <w:tc>
          <w:tcPr>
            <w:tcW w:w="6232" w:type="dxa"/>
            <w:shd w:val="clear" w:color="auto" w:fill="auto"/>
            <w:noWrap/>
            <w:vAlign w:val="center"/>
            <w:hideMark/>
          </w:tcPr>
          <w:p w14:paraId="0425EF60" w14:textId="7DD9B835" w:rsidR="00481EA4" w:rsidRPr="003A5162" w:rsidRDefault="00481EA4" w:rsidP="003A5162">
            <w:pPr>
              <w:pStyle w:val="ListBullet2"/>
              <w:spacing w:before="0" w:after="0" w:line="240" w:lineRule="auto"/>
              <w:ind w:left="850" w:hanging="425"/>
              <w:rPr>
                <w:lang w:eastAsia="en-AU"/>
              </w:rPr>
            </w:pPr>
            <w:r w:rsidRPr="003A5162">
              <w:rPr>
                <w:lang w:eastAsia="en-AU"/>
              </w:rPr>
              <w:t xml:space="preserve">patch  </w:t>
            </w:r>
          </w:p>
        </w:tc>
        <w:tc>
          <w:tcPr>
            <w:tcW w:w="3261" w:type="dxa"/>
            <w:shd w:val="clear" w:color="auto" w:fill="auto"/>
            <w:noWrap/>
            <w:vAlign w:val="center"/>
            <w:hideMark/>
          </w:tcPr>
          <w:p w14:paraId="3E5CE9EA"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 (Exempt)</w:t>
            </w:r>
          </w:p>
        </w:tc>
      </w:tr>
      <w:tr w:rsidR="003A5162" w:rsidRPr="00EE1BD1" w14:paraId="2EE52193" w14:textId="77777777" w:rsidTr="00763FAF">
        <w:trPr>
          <w:trHeight w:val="300"/>
        </w:trPr>
        <w:tc>
          <w:tcPr>
            <w:tcW w:w="6232" w:type="dxa"/>
            <w:shd w:val="clear" w:color="auto" w:fill="auto"/>
            <w:noWrap/>
            <w:vAlign w:val="center"/>
            <w:hideMark/>
          </w:tcPr>
          <w:p w14:paraId="7C4550AD" w14:textId="2EADC433"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labelled urea for H pylori test</w:t>
            </w:r>
          </w:p>
        </w:tc>
        <w:tc>
          <w:tcPr>
            <w:tcW w:w="3261" w:type="dxa"/>
            <w:shd w:val="clear" w:color="auto" w:fill="auto"/>
            <w:noWrap/>
            <w:vAlign w:val="center"/>
            <w:hideMark/>
          </w:tcPr>
          <w:p w14:paraId="0A3503F2"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0CA0D777" w14:textId="77777777" w:rsidTr="00763FAF">
        <w:trPr>
          <w:trHeight w:val="300"/>
        </w:trPr>
        <w:tc>
          <w:tcPr>
            <w:tcW w:w="6232" w:type="dxa"/>
            <w:shd w:val="clear" w:color="auto" w:fill="auto"/>
            <w:noWrap/>
            <w:vAlign w:val="center"/>
            <w:hideMark/>
          </w:tcPr>
          <w:p w14:paraId="2745C2E5" w14:textId="2555B500"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tartaric acid for testing patient reflex cough</w:t>
            </w:r>
          </w:p>
        </w:tc>
        <w:tc>
          <w:tcPr>
            <w:tcW w:w="3261" w:type="dxa"/>
            <w:shd w:val="clear" w:color="auto" w:fill="auto"/>
            <w:noWrap/>
            <w:vAlign w:val="center"/>
            <w:hideMark/>
          </w:tcPr>
          <w:p w14:paraId="3A529166"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1A96D78E" w14:textId="77777777" w:rsidTr="00763FAF">
        <w:trPr>
          <w:trHeight w:val="300"/>
        </w:trPr>
        <w:tc>
          <w:tcPr>
            <w:tcW w:w="6232" w:type="dxa"/>
            <w:shd w:val="clear" w:color="auto" w:fill="auto"/>
            <w:noWrap/>
            <w:vAlign w:val="center"/>
            <w:hideMark/>
          </w:tcPr>
          <w:p w14:paraId="1176A8CE"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10369FA3"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1D9A3536" w14:textId="77777777" w:rsidTr="00763FAF">
        <w:trPr>
          <w:trHeight w:val="405"/>
        </w:trPr>
        <w:tc>
          <w:tcPr>
            <w:tcW w:w="6232" w:type="dxa"/>
            <w:shd w:val="clear" w:color="auto" w:fill="auto"/>
            <w:noWrap/>
            <w:vAlign w:val="center"/>
            <w:hideMark/>
          </w:tcPr>
          <w:p w14:paraId="27D823ED" w14:textId="3FB45530"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49" w:name="RANGE!A194"/>
            <w:r w:rsidRPr="003A5162">
              <w:rPr>
                <w:rFonts w:ascii="Arial" w:eastAsia="Times New Roman" w:hAnsi="Arial" w:cs="Arial"/>
                <w:b/>
                <w:bCs/>
                <w:color w:val="000000"/>
                <w:sz w:val="28"/>
                <w:szCs w:val="28"/>
                <w:lang w:eastAsia="en-AU"/>
              </w:rPr>
              <w:t>Contact lens care products</w:t>
            </w:r>
            <w:bookmarkEnd w:id="49"/>
          </w:p>
        </w:tc>
        <w:tc>
          <w:tcPr>
            <w:tcW w:w="3261" w:type="dxa"/>
            <w:shd w:val="clear" w:color="auto" w:fill="auto"/>
            <w:noWrap/>
            <w:vAlign w:val="bottom"/>
            <w:hideMark/>
          </w:tcPr>
          <w:p w14:paraId="29E6FD90"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51627B82" w14:textId="77777777" w:rsidTr="00763FAF">
        <w:trPr>
          <w:trHeight w:val="300"/>
        </w:trPr>
        <w:tc>
          <w:tcPr>
            <w:tcW w:w="6232" w:type="dxa"/>
            <w:shd w:val="clear" w:color="auto" w:fill="auto"/>
            <w:noWrap/>
            <w:vAlign w:val="center"/>
            <w:hideMark/>
          </w:tcPr>
          <w:p w14:paraId="3FF81F6D" w14:textId="746AF048" w:rsidR="00481EA4" w:rsidRPr="00F65275" w:rsidRDefault="00481EA4" w:rsidP="003A5162">
            <w:pPr>
              <w:pStyle w:val="ListParagraph"/>
              <w:numPr>
                <w:ilvl w:val="0"/>
                <w:numId w:val="16"/>
              </w:numPr>
              <w:ind w:left="461" w:hanging="285"/>
              <w:contextualSpacing w:val="0"/>
              <w:rPr>
                <w:rFonts w:eastAsia="Times New Roman" w:cstheme="minorHAnsi"/>
                <w:color w:val="000000"/>
                <w:lang w:eastAsia="en-AU"/>
              </w:rPr>
            </w:pPr>
            <w:r w:rsidRPr="00F65275">
              <w:rPr>
                <w:rFonts w:eastAsia="Times New Roman" w:cstheme="minorHAnsi"/>
                <w:color w:val="000000"/>
                <w:sz w:val="22"/>
                <w:lang w:eastAsia="en-AU"/>
              </w:rPr>
              <w:t>contact lens cleaning, disinfecting, rinsing or hydrating solutions</w:t>
            </w:r>
          </w:p>
        </w:tc>
        <w:tc>
          <w:tcPr>
            <w:tcW w:w="3261" w:type="dxa"/>
            <w:shd w:val="clear" w:color="auto" w:fill="auto"/>
            <w:noWrap/>
            <w:vAlign w:val="center"/>
            <w:hideMark/>
          </w:tcPr>
          <w:p w14:paraId="2CDA6507"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06403517" w14:textId="77777777" w:rsidTr="00763FAF">
        <w:trPr>
          <w:trHeight w:val="300"/>
        </w:trPr>
        <w:tc>
          <w:tcPr>
            <w:tcW w:w="6232" w:type="dxa"/>
            <w:shd w:val="clear" w:color="auto" w:fill="auto"/>
            <w:noWrap/>
            <w:vAlign w:val="center"/>
            <w:hideMark/>
          </w:tcPr>
          <w:p w14:paraId="4A290C62" w14:textId="6397078D"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wetting agents</w:t>
            </w:r>
          </w:p>
        </w:tc>
        <w:tc>
          <w:tcPr>
            <w:tcW w:w="3261" w:type="dxa"/>
            <w:shd w:val="clear" w:color="auto" w:fill="auto"/>
            <w:noWrap/>
            <w:vAlign w:val="center"/>
            <w:hideMark/>
          </w:tcPr>
          <w:p w14:paraId="23CCE37F"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1D36375C" w14:textId="77777777" w:rsidTr="00763FAF">
        <w:trPr>
          <w:trHeight w:val="300"/>
        </w:trPr>
        <w:tc>
          <w:tcPr>
            <w:tcW w:w="6232" w:type="dxa"/>
            <w:shd w:val="clear" w:color="auto" w:fill="auto"/>
            <w:noWrap/>
            <w:vAlign w:val="center"/>
            <w:hideMark/>
          </w:tcPr>
          <w:p w14:paraId="68415E70" w14:textId="6CE47FEC"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hydrating agents</w:t>
            </w:r>
          </w:p>
        </w:tc>
        <w:tc>
          <w:tcPr>
            <w:tcW w:w="3261" w:type="dxa"/>
            <w:shd w:val="clear" w:color="auto" w:fill="auto"/>
            <w:noWrap/>
            <w:vAlign w:val="center"/>
            <w:hideMark/>
          </w:tcPr>
          <w:p w14:paraId="2ED0D989"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36754EAD" w14:textId="77777777" w:rsidTr="00763FAF">
        <w:trPr>
          <w:trHeight w:val="300"/>
        </w:trPr>
        <w:tc>
          <w:tcPr>
            <w:tcW w:w="6232" w:type="dxa"/>
            <w:shd w:val="clear" w:color="auto" w:fill="auto"/>
            <w:noWrap/>
            <w:vAlign w:val="center"/>
            <w:hideMark/>
          </w:tcPr>
          <w:p w14:paraId="43F68F0D" w14:textId="181AD2A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comfort drops</w:t>
            </w:r>
          </w:p>
        </w:tc>
        <w:tc>
          <w:tcPr>
            <w:tcW w:w="3261" w:type="dxa"/>
            <w:shd w:val="clear" w:color="auto" w:fill="auto"/>
            <w:noWrap/>
            <w:vAlign w:val="center"/>
            <w:hideMark/>
          </w:tcPr>
          <w:p w14:paraId="64DABC43"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10589F07" w14:textId="77777777" w:rsidTr="00763FAF">
        <w:trPr>
          <w:trHeight w:val="300"/>
        </w:trPr>
        <w:tc>
          <w:tcPr>
            <w:tcW w:w="6232" w:type="dxa"/>
            <w:shd w:val="clear" w:color="auto" w:fill="auto"/>
            <w:noWrap/>
            <w:vAlign w:val="center"/>
            <w:hideMark/>
          </w:tcPr>
          <w:p w14:paraId="4D5811BF" w14:textId="60AE0ECB"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soft contact lens lubricants</w:t>
            </w:r>
          </w:p>
        </w:tc>
        <w:tc>
          <w:tcPr>
            <w:tcW w:w="3261" w:type="dxa"/>
            <w:shd w:val="clear" w:color="auto" w:fill="auto"/>
            <w:noWrap/>
            <w:vAlign w:val="center"/>
            <w:hideMark/>
          </w:tcPr>
          <w:p w14:paraId="46ADB07E"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124D9B9B" w14:textId="77777777" w:rsidTr="00763FAF">
        <w:trPr>
          <w:trHeight w:val="300"/>
        </w:trPr>
        <w:tc>
          <w:tcPr>
            <w:tcW w:w="6232" w:type="dxa"/>
            <w:shd w:val="clear" w:color="auto" w:fill="auto"/>
            <w:noWrap/>
            <w:vAlign w:val="center"/>
            <w:hideMark/>
          </w:tcPr>
          <w:p w14:paraId="32D98D6F" w14:textId="42B92869"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hard contact lens lubricants</w:t>
            </w:r>
          </w:p>
        </w:tc>
        <w:tc>
          <w:tcPr>
            <w:tcW w:w="3261" w:type="dxa"/>
            <w:shd w:val="clear" w:color="auto" w:fill="auto"/>
            <w:noWrap/>
            <w:vAlign w:val="center"/>
            <w:hideMark/>
          </w:tcPr>
          <w:p w14:paraId="5F13B683"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Medical Device</w:t>
            </w:r>
          </w:p>
        </w:tc>
      </w:tr>
      <w:tr w:rsidR="003A5162" w:rsidRPr="00EE1BD1" w14:paraId="4EDE40A1" w14:textId="77777777" w:rsidTr="00763FAF">
        <w:trPr>
          <w:trHeight w:val="300"/>
        </w:trPr>
        <w:tc>
          <w:tcPr>
            <w:tcW w:w="6232" w:type="dxa"/>
            <w:shd w:val="clear" w:color="auto" w:fill="auto"/>
            <w:noWrap/>
            <w:vAlign w:val="center"/>
            <w:hideMark/>
          </w:tcPr>
          <w:p w14:paraId="46573EE2"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1C143913"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51902877" w14:textId="77777777" w:rsidTr="00763FAF">
        <w:trPr>
          <w:trHeight w:val="405"/>
        </w:trPr>
        <w:tc>
          <w:tcPr>
            <w:tcW w:w="6232" w:type="dxa"/>
            <w:shd w:val="clear" w:color="auto" w:fill="auto"/>
            <w:noWrap/>
            <w:vAlign w:val="center"/>
            <w:hideMark/>
          </w:tcPr>
          <w:p w14:paraId="3F623934" w14:textId="6C9D11E8"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50" w:name="RANGE!A202"/>
            <w:r w:rsidRPr="003A5162">
              <w:rPr>
                <w:rFonts w:ascii="Arial" w:eastAsia="Times New Roman" w:hAnsi="Arial" w:cs="Arial"/>
                <w:b/>
                <w:bCs/>
                <w:color w:val="000000"/>
                <w:sz w:val="28"/>
                <w:szCs w:val="28"/>
                <w:lang w:eastAsia="en-AU"/>
              </w:rPr>
              <w:t>Oral Care Products</w:t>
            </w:r>
            <w:bookmarkEnd w:id="50"/>
          </w:p>
        </w:tc>
        <w:tc>
          <w:tcPr>
            <w:tcW w:w="3261" w:type="dxa"/>
            <w:shd w:val="clear" w:color="auto" w:fill="auto"/>
            <w:noWrap/>
            <w:vAlign w:val="bottom"/>
            <w:hideMark/>
          </w:tcPr>
          <w:p w14:paraId="36395C21"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693BB92C" w14:textId="77777777" w:rsidTr="00763FAF">
        <w:trPr>
          <w:trHeight w:val="300"/>
        </w:trPr>
        <w:tc>
          <w:tcPr>
            <w:tcW w:w="6232" w:type="dxa"/>
            <w:shd w:val="clear" w:color="auto" w:fill="auto"/>
            <w:noWrap/>
            <w:vAlign w:val="center"/>
            <w:hideMark/>
          </w:tcPr>
          <w:p w14:paraId="226D4C34" w14:textId="22F9A2E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toothpaste (SUSMP scheduled or with therapeutic claims beyond permitted oral hygiene claims)  </w:t>
            </w:r>
          </w:p>
        </w:tc>
        <w:tc>
          <w:tcPr>
            <w:tcW w:w="3261" w:type="dxa"/>
            <w:shd w:val="clear" w:color="auto" w:fill="auto"/>
            <w:noWrap/>
            <w:vAlign w:val="center"/>
            <w:hideMark/>
          </w:tcPr>
          <w:p w14:paraId="56111ABD"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Medicine</w:t>
            </w:r>
          </w:p>
        </w:tc>
      </w:tr>
      <w:tr w:rsidR="003A5162" w:rsidRPr="00EE1BD1" w14:paraId="31CADC49" w14:textId="77777777" w:rsidTr="00763FAF">
        <w:trPr>
          <w:trHeight w:val="300"/>
        </w:trPr>
        <w:tc>
          <w:tcPr>
            <w:tcW w:w="6232" w:type="dxa"/>
            <w:shd w:val="clear" w:color="auto" w:fill="auto"/>
            <w:noWrap/>
            <w:vAlign w:val="center"/>
            <w:hideMark/>
          </w:tcPr>
          <w:p w14:paraId="333BB822" w14:textId="51C4CC4E"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toothpaste other </w:t>
            </w:r>
          </w:p>
        </w:tc>
        <w:tc>
          <w:tcPr>
            <w:tcW w:w="3261" w:type="dxa"/>
            <w:shd w:val="clear" w:color="auto" w:fill="auto"/>
            <w:noWrap/>
            <w:vAlign w:val="center"/>
            <w:hideMark/>
          </w:tcPr>
          <w:p w14:paraId="1513C074"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Not Therapeutic Good</w:t>
            </w:r>
          </w:p>
        </w:tc>
      </w:tr>
      <w:tr w:rsidR="003A5162" w:rsidRPr="00EE1BD1" w14:paraId="64C8B9BB" w14:textId="77777777" w:rsidTr="00763FAF">
        <w:trPr>
          <w:trHeight w:val="300"/>
        </w:trPr>
        <w:tc>
          <w:tcPr>
            <w:tcW w:w="6232" w:type="dxa"/>
            <w:shd w:val="clear" w:color="auto" w:fill="auto"/>
            <w:noWrap/>
            <w:vAlign w:val="center"/>
            <w:hideMark/>
          </w:tcPr>
          <w:p w14:paraId="4E71B48F" w14:textId="4B1DEC8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tooth whitener</w:t>
            </w:r>
          </w:p>
        </w:tc>
        <w:tc>
          <w:tcPr>
            <w:tcW w:w="3261" w:type="dxa"/>
            <w:shd w:val="clear" w:color="auto" w:fill="auto"/>
            <w:noWrap/>
            <w:vAlign w:val="center"/>
            <w:hideMark/>
          </w:tcPr>
          <w:p w14:paraId="7B28BC32" w14:textId="77777777" w:rsidR="00481EA4" w:rsidRPr="00EE1BD1" w:rsidRDefault="00481EA4" w:rsidP="003A5162">
            <w:pPr>
              <w:spacing w:before="0" w:after="0" w:line="240" w:lineRule="auto"/>
              <w:rPr>
                <w:rFonts w:eastAsia="Times New Roman" w:cs="Calibri"/>
                <w:color w:val="000000"/>
                <w:szCs w:val="22"/>
                <w:lang w:eastAsia="en-AU"/>
              </w:rPr>
            </w:pPr>
            <w:r w:rsidRPr="00EE1BD1">
              <w:rPr>
                <w:rFonts w:eastAsia="Times New Roman" w:cs="Calibri"/>
                <w:color w:val="000000"/>
                <w:szCs w:val="22"/>
                <w:lang w:eastAsia="en-AU"/>
              </w:rPr>
              <w:t>Excluded</w:t>
            </w:r>
          </w:p>
        </w:tc>
      </w:tr>
      <w:tr w:rsidR="003A5162" w:rsidRPr="00EE1BD1" w14:paraId="71C57C4F" w14:textId="77777777" w:rsidTr="00763FAF">
        <w:trPr>
          <w:trHeight w:val="300"/>
        </w:trPr>
        <w:tc>
          <w:tcPr>
            <w:tcW w:w="6232" w:type="dxa"/>
            <w:shd w:val="clear" w:color="auto" w:fill="auto"/>
            <w:noWrap/>
            <w:vAlign w:val="center"/>
            <w:hideMark/>
          </w:tcPr>
          <w:p w14:paraId="038A269C"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bookmarkStart w:id="51" w:name="_Hlk105668846"/>
            <w:r w:rsidRPr="00F65275">
              <w:rPr>
                <w:rFonts w:eastAsia="Times New Roman" w:cstheme="minorHAnsi"/>
                <w:color w:val="000000"/>
                <w:sz w:val="22"/>
                <w:lang w:eastAsia="en-AU"/>
              </w:rPr>
              <w:t>Brush for cleaning dental implants</w:t>
            </w:r>
          </w:p>
        </w:tc>
        <w:tc>
          <w:tcPr>
            <w:tcW w:w="3261" w:type="dxa"/>
            <w:shd w:val="clear" w:color="auto" w:fill="auto"/>
            <w:noWrap/>
            <w:vAlign w:val="center"/>
            <w:hideMark/>
          </w:tcPr>
          <w:p w14:paraId="65F7E2D2" w14:textId="77777777" w:rsidR="00481EA4" w:rsidRPr="00EF3883" w:rsidRDefault="00481EA4" w:rsidP="003A5162">
            <w:pPr>
              <w:spacing w:before="0" w:after="0" w:line="240" w:lineRule="auto"/>
              <w:rPr>
                <w:rFonts w:eastAsia="Times New Roman" w:cs="Calibri"/>
                <w:color w:val="000000"/>
                <w:szCs w:val="22"/>
                <w:lang w:eastAsia="en-AU"/>
              </w:rPr>
            </w:pPr>
            <w:r w:rsidRPr="00EF3883">
              <w:rPr>
                <w:rFonts w:eastAsia="Times New Roman" w:cs="Calibri"/>
                <w:color w:val="000000"/>
                <w:szCs w:val="22"/>
                <w:lang w:eastAsia="en-AU"/>
              </w:rPr>
              <w:t>Medical Device</w:t>
            </w:r>
          </w:p>
        </w:tc>
      </w:tr>
      <w:bookmarkEnd w:id="51"/>
      <w:tr w:rsidR="003A5162" w:rsidRPr="00EE1BD1" w14:paraId="3F1E8BC9" w14:textId="77777777" w:rsidTr="00763FAF">
        <w:trPr>
          <w:trHeight w:val="300"/>
        </w:trPr>
        <w:tc>
          <w:tcPr>
            <w:tcW w:w="6232" w:type="dxa"/>
            <w:shd w:val="clear" w:color="auto" w:fill="auto"/>
            <w:noWrap/>
            <w:vAlign w:val="center"/>
          </w:tcPr>
          <w:p w14:paraId="403EE3BA"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Salivation stimulation lozenge</w:t>
            </w:r>
          </w:p>
        </w:tc>
        <w:tc>
          <w:tcPr>
            <w:tcW w:w="3261" w:type="dxa"/>
            <w:shd w:val="clear" w:color="auto" w:fill="auto"/>
            <w:noWrap/>
            <w:vAlign w:val="center"/>
          </w:tcPr>
          <w:p w14:paraId="47B32851" w14:textId="77777777" w:rsidR="00481EA4" w:rsidRPr="00EF3883" w:rsidRDefault="00481EA4" w:rsidP="003A5162">
            <w:pPr>
              <w:spacing w:before="0" w:after="0" w:line="240" w:lineRule="auto"/>
              <w:rPr>
                <w:rFonts w:eastAsia="Times New Roman" w:cs="Calibri"/>
                <w:color w:val="000000"/>
                <w:szCs w:val="22"/>
                <w:lang w:eastAsia="en-AU"/>
              </w:rPr>
            </w:pPr>
            <w:r>
              <w:rPr>
                <w:rFonts w:eastAsia="Times New Roman" w:cs="Calibri"/>
                <w:color w:val="000000"/>
                <w:szCs w:val="22"/>
                <w:lang w:eastAsia="en-AU"/>
              </w:rPr>
              <w:t xml:space="preserve"> Medicine/Not a therapeutic good if unmedicated</w:t>
            </w:r>
          </w:p>
        </w:tc>
      </w:tr>
      <w:tr w:rsidR="003A5162" w:rsidRPr="00EE1BD1" w14:paraId="0FDE3792" w14:textId="77777777" w:rsidTr="00763FAF">
        <w:trPr>
          <w:trHeight w:val="300"/>
        </w:trPr>
        <w:tc>
          <w:tcPr>
            <w:tcW w:w="6232" w:type="dxa"/>
            <w:shd w:val="clear" w:color="auto" w:fill="auto"/>
            <w:noWrap/>
            <w:vAlign w:val="center"/>
          </w:tcPr>
          <w:p w14:paraId="11E56820"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Throat lozenge</w:t>
            </w:r>
          </w:p>
        </w:tc>
        <w:tc>
          <w:tcPr>
            <w:tcW w:w="3261" w:type="dxa"/>
            <w:shd w:val="clear" w:color="auto" w:fill="auto"/>
            <w:noWrap/>
            <w:vAlign w:val="center"/>
          </w:tcPr>
          <w:p w14:paraId="28D85FC1" w14:textId="77777777" w:rsidR="00481EA4" w:rsidRPr="00EF3883" w:rsidRDefault="00481EA4" w:rsidP="003A5162">
            <w:pPr>
              <w:spacing w:before="0" w:after="0" w:line="240" w:lineRule="auto"/>
              <w:rPr>
                <w:rFonts w:eastAsia="Times New Roman" w:cs="Calibri"/>
                <w:color w:val="000000"/>
                <w:szCs w:val="22"/>
                <w:lang w:eastAsia="en-AU"/>
              </w:rPr>
            </w:pPr>
            <w:r>
              <w:rPr>
                <w:rFonts w:eastAsia="Times New Roman" w:cs="Calibri"/>
                <w:color w:val="000000"/>
                <w:szCs w:val="22"/>
                <w:lang w:eastAsia="en-AU"/>
              </w:rPr>
              <w:t>Medicine/Not a therapeutic good if unmedicated</w:t>
            </w:r>
          </w:p>
        </w:tc>
      </w:tr>
      <w:tr w:rsidR="003A5162" w:rsidRPr="00EE1BD1" w14:paraId="62769952" w14:textId="77777777" w:rsidTr="00763FAF">
        <w:trPr>
          <w:trHeight w:val="405"/>
        </w:trPr>
        <w:tc>
          <w:tcPr>
            <w:tcW w:w="6232" w:type="dxa"/>
            <w:shd w:val="clear" w:color="auto" w:fill="auto"/>
            <w:noWrap/>
            <w:vAlign w:val="center"/>
            <w:hideMark/>
          </w:tcPr>
          <w:p w14:paraId="5B06A851" w14:textId="6987832F"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52" w:name="RANGE!A207"/>
            <w:r w:rsidRPr="003A5162">
              <w:rPr>
                <w:rFonts w:ascii="Arial" w:eastAsia="Times New Roman" w:hAnsi="Arial" w:cs="Arial"/>
                <w:b/>
                <w:bCs/>
                <w:color w:val="000000"/>
                <w:sz w:val="28"/>
                <w:szCs w:val="28"/>
                <w:lang w:eastAsia="en-AU"/>
              </w:rPr>
              <w:t>Antiseptics, disinfectants, cleaners, soaking solutions</w:t>
            </w:r>
            <w:bookmarkEnd w:id="52"/>
          </w:p>
        </w:tc>
        <w:tc>
          <w:tcPr>
            <w:tcW w:w="3261" w:type="dxa"/>
            <w:shd w:val="clear" w:color="auto" w:fill="auto"/>
            <w:noWrap/>
            <w:vAlign w:val="bottom"/>
            <w:hideMark/>
          </w:tcPr>
          <w:p w14:paraId="297401D2"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EE1BD1" w14:paraId="1FC44464" w14:textId="77777777" w:rsidTr="00763FAF">
        <w:trPr>
          <w:trHeight w:val="300"/>
        </w:trPr>
        <w:tc>
          <w:tcPr>
            <w:tcW w:w="6232" w:type="dxa"/>
            <w:shd w:val="clear" w:color="auto" w:fill="auto"/>
            <w:noWrap/>
            <w:vAlign w:val="center"/>
            <w:hideMark/>
          </w:tcPr>
          <w:p w14:paraId="7AE4DC4A" w14:textId="35AEEDDA"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antiseptics for use on skin,</w:t>
            </w:r>
          </w:p>
        </w:tc>
        <w:tc>
          <w:tcPr>
            <w:tcW w:w="3261" w:type="dxa"/>
            <w:shd w:val="clear" w:color="auto" w:fill="auto"/>
            <w:noWrap/>
            <w:vAlign w:val="center"/>
            <w:hideMark/>
          </w:tcPr>
          <w:p w14:paraId="38E40C9A"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1DDC25EE" w14:textId="77777777" w:rsidTr="00763FAF">
        <w:trPr>
          <w:trHeight w:val="300"/>
        </w:trPr>
        <w:tc>
          <w:tcPr>
            <w:tcW w:w="6232" w:type="dxa"/>
            <w:shd w:val="clear" w:color="auto" w:fill="auto"/>
            <w:noWrap/>
            <w:vAlign w:val="center"/>
            <w:hideMark/>
          </w:tcPr>
          <w:p w14:paraId="47807F01" w14:textId="5C082108"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antiseptic 'wipe' or sponge </w:t>
            </w:r>
          </w:p>
        </w:tc>
        <w:tc>
          <w:tcPr>
            <w:tcW w:w="3261" w:type="dxa"/>
            <w:shd w:val="clear" w:color="auto" w:fill="auto"/>
            <w:noWrap/>
            <w:vAlign w:val="center"/>
            <w:hideMark/>
          </w:tcPr>
          <w:p w14:paraId="27951890"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258881C1" w14:textId="77777777" w:rsidTr="00763FAF">
        <w:trPr>
          <w:trHeight w:val="300"/>
        </w:trPr>
        <w:tc>
          <w:tcPr>
            <w:tcW w:w="6232" w:type="dxa"/>
            <w:shd w:val="clear" w:color="auto" w:fill="auto"/>
            <w:noWrap/>
            <w:vAlign w:val="center"/>
            <w:hideMark/>
          </w:tcPr>
          <w:p w14:paraId="21A7D83B" w14:textId="6B3FE2B7"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paper tissue with:</w:t>
            </w:r>
          </w:p>
        </w:tc>
        <w:tc>
          <w:tcPr>
            <w:tcW w:w="3261" w:type="dxa"/>
            <w:shd w:val="clear" w:color="auto" w:fill="auto"/>
            <w:noWrap/>
            <w:vAlign w:val="bottom"/>
            <w:hideMark/>
          </w:tcPr>
          <w:p w14:paraId="3F1F0ED3" w14:textId="77777777" w:rsidR="00481EA4" w:rsidRPr="002A3BD2" w:rsidRDefault="00481EA4" w:rsidP="003A5162">
            <w:pPr>
              <w:spacing w:before="0" w:after="0" w:line="240" w:lineRule="auto"/>
              <w:ind w:firstLineChars="200" w:firstLine="440"/>
              <w:rPr>
                <w:rFonts w:eastAsia="Times New Roman" w:cs="Calibri"/>
                <w:color w:val="000000"/>
                <w:szCs w:val="22"/>
                <w:lang w:eastAsia="en-AU"/>
              </w:rPr>
            </w:pPr>
          </w:p>
        </w:tc>
      </w:tr>
      <w:tr w:rsidR="003A5162" w:rsidRPr="00EE1BD1" w14:paraId="6A573197" w14:textId="77777777" w:rsidTr="00763FAF">
        <w:trPr>
          <w:trHeight w:val="300"/>
        </w:trPr>
        <w:tc>
          <w:tcPr>
            <w:tcW w:w="6232" w:type="dxa"/>
            <w:shd w:val="clear" w:color="auto" w:fill="auto"/>
            <w:noWrap/>
            <w:vAlign w:val="center"/>
            <w:hideMark/>
          </w:tcPr>
          <w:p w14:paraId="00E69F6F" w14:textId="40067509" w:rsidR="00481EA4" w:rsidRPr="002A3BD2" w:rsidRDefault="00481EA4" w:rsidP="003A5162">
            <w:pPr>
              <w:pStyle w:val="ListBullet2"/>
              <w:spacing w:before="0" w:after="0" w:line="240" w:lineRule="auto"/>
              <w:rPr>
                <w:lang w:eastAsia="en-AU"/>
              </w:rPr>
            </w:pPr>
            <w:r w:rsidRPr="002A3BD2">
              <w:rPr>
                <w:lang w:eastAsia="en-AU"/>
              </w:rPr>
              <w:t xml:space="preserve">antiseptic  </w:t>
            </w:r>
          </w:p>
        </w:tc>
        <w:tc>
          <w:tcPr>
            <w:tcW w:w="3261" w:type="dxa"/>
            <w:shd w:val="clear" w:color="auto" w:fill="auto"/>
            <w:noWrap/>
            <w:vAlign w:val="center"/>
            <w:hideMark/>
          </w:tcPr>
          <w:p w14:paraId="2A7F2264"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1CD7A672" w14:textId="77777777" w:rsidTr="00763FAF">
        <w:trPr>
          <w:trHeight w:val="300"/>
        </w:trPr>
        <w:tc>
          <w:tcPr>
            <w:tcW w:w="6232" w:type="dxa"/>
            <w:shd w:val="clear" w:color="auto" w:fill="auto"/>
            <w:noWrap/>
            <w:vAlign w:val="center"/>
            <w:hideMark/>
          </w:tcPr>
          <w:p w14:paraId="2E165C57" w14:textId="1B03DCC7" w:rsidR="00481EA4" w:rsidRPr="002A3BD2" w:rsidRDefault="00481EA4" w:rsidP="00763FAF">
            <w:pPr>
              <w:pStyle w:val="ListBullet2"/>
              <w:spacing w:before="0" w:after="0" w:line="240" w:lineRule="auto"/>
              <w:rPr>
                <w:rFonts w:eastAsia="Times New Roman" w:cs="Arial"/>
                <w:color w:val="000000"/>
                <w:szCs w:val="22"/>
                <w:lang w:eastAsia="en-AU"/>
              </w:rPr>
            </w:pPr>
            <w:r w:rsidRPr="002A3BD2">
              <w:rPr>
                <w:rFonts w:eastAsia="Times New Roman" w:cs="Arial"/>
                <w:color w:val="000000"/>
                <w:szCs w:val="22"/>
                <w:lang w:eastAsia="en-AU"/>
              </w:rPr>
              <w:t xml:space="preserve">virucide  </w:t>
            </w:r>
          </w:p>
        </w:tc>
        <w:tc>
          <w:tcPr>
            <w:tcW w:w="3261" w:type="dxa"/>
            <w:shd w:val="clear" w:color="auto" w:fill="auto"/>
            <w:noWrap/>
            <w:vAlign w:val="center"/>
            <w:hideMark/>
          </w:tcPr>
          <w:p w14:paraId="2AE135BF"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3EFC7934" w14:textId="77777777" w:rsidTr="00763FAF">
        <w:trPr>
          <w:trHeight w:val="300"/>
        </w:trPr>
        <w:tc>
          <w:tcPr>
            <w:tcW w:w="6232" w:type="dxa"/>
            <w:shd w:val="clear" w:color="auto" w:fill="auto"/>
            <w:noWrap/>
            <w:vAlign w:val="center"/>
            <w:hideMark/>
          </w:tcPr>
          <w:p w14:paraId="181936E3" w14:textId="721804FA"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alcohol swab (with antiseptic claim) </w:t>
            </w:r>
          </w:p>
        </w:tc>
        <w:tc>
          <w:tcPr>
            <w:tcW w:w="3261" w:type="dxa"/>
            <w:shd w:val="clear" w:color="auto" w:fill="auto"/>
            <w:noWrap/>
            <w:vAlign w:val="center"/>
            <w:hideMark/>
          </w:tcPr>
          <w:p w14:paraId="1A5B6348"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EE1BD1" w14:paraId="4EEF2F48" w14:textId="77777777" w:rsidTr="00763FAF">
        <w:trPr>
          <w:trHeight w:val="300"/>
        </w:trPr>
        <w:tc>
          <w:tcPr>
            <w:tcW w:w="6232" w:type="dxa"/>
            <w:shd w:val="clear" w:color="auto" w:fill="auto"/>
            <w:noWrap/>
            <w:vAlign w:val="center"/>
            <w:hideMark/>
          </w:tcPr>
          <w:p w14:paraId="76C294A2" w14:textId="4349D49E"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alcohol swab (with no claims other than cleaning the skin)</w:t>
            </w:r>
          </w:p>
        </w:tc>
        <w:tc>
          <w:tcPr>
            <w:tcW w:w="3261" w:type="dxa"/>
            <w:shd w:val="clear" w:color="auto" w:fill="auto"/>
            <w:noWrap/>
            <w:vAlign w:val="center"/>
            <w:hideMark/>
          </w:tcPr>
          <w:p w14:paraId="21CCF567"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EE1BD1" w14:paraId="7BF275E4" w14:textId="77777777" w:rsidTr="00763FAF">
        <w:trPr>
          <w:trHeight w:val="300"/>
        </w:trPr>
        <w:tc>
          <w:tcPr>
            <w:tcW w:w="6232" w:type="dxa"/>
            <w:shd w:val="clear" w:color="auto" w:fill="auto"/>
            <w:noWrap/>
            <w:vAlign w:val="center"/>
            <w:hideMark/>
          </w:tcPr>
          <w:p w14:paraId="48F5C635" w14:textId="6598981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fabric dressing with antiseptic </w:t>
            </w:r>
          </w:p>
        </w:tc>
        <w:tc>
          <w:tcPr>
            <w:tcW w:w="3261" w:type="dxa"/>
            <w:shd w:val="clear" w:color="auto" w:fill="auto"/>
            <w:noWrap/>
            <w:vAlign w:val="center"/>
            <w:hideMark/>
          </w:tcPr>
          <w:p w14:paraId="17C1AC0F"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 xml:space="preserve">Medical Device </w:t>
            </w:r>
            <w:r w:rsidRPr="002A3BD2">
              <w:rPr>
                <w:rFonts w:eastAsia="Times New Roman" w:cs="Calibri"/>
                <w:i/>
                <w:iCs/>
                <w:color w:val="000000"/>
                <w:szCs w:val="22"/>
                <w:lang w:eastAsia="en-AU"/>
              </w:rPr>
              <w:t>(unless primary purpose is to deliver the antiseptic))</w:t>
            </w:r>
          </w:p>
        </w:tc>
      </w:tr>
      <w:tr w:rsidR="003A5162" w:rsidRPr="00EE1BD1" w14:paraId="64A590F5" w14:textId="77777777" w:rsidTr="00763FAF">
        <w:trPr>
          <w:trHeight w:val="300"/>
        </w:trPr>
        <w:tc>
          <w:tcPr>
            <w:tcW w:w="6232" w:type="dxa"/>
            <w:shd w:val="clear" w:color="auto" w:fill="auto"/>
            <w:noWrap/>
            <w:vAlign w:val="center"/>
            <w:hideMark/>
          </w:tcPr>
          <w:p w14:paraId="1FA19FBF" w14:textId="0BF0DDBB"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proofErr w:type="spellStart"/>
            <w:r w:rsidRPr="00F65275">
              <w:rPr>
                <w:rFonts w:eastAsia="Times New Roman" w:cstheme="minorHAnsi"/>
                <w:color w:val="000000"/>
                <w:sz w:val="22"/>
                <w:lang w:eastAsia="en-AU"/>
              </w:rPr>
              <w:lastRenderedPageBreak/>
              <w:t>sterilants</w:t>
            </w:r>
            <w:proofErr w:type="spellEnd"/>
            <w:r w:rsidRPr="00F65275">
              <w:rPr>
                <w:rFonts w:eastAsia="Times New Roman" w:cstheme="minorHAnsi"/>
                <w:color w:val="000000"/>
                <w:sz w:val="22"/>
                <w:lang w:eastAsia="en-AU"/>
              </w:rPr>
              <w:t xml:space="preserve"> (except sterilant gases) for use on medical devices  </w:t>
            </w:r>
          </w:p>
        </w:tc>
        <w:tc>
          <w:tcPr>
            <w:tcW w:w="3261" w:type="dxa"/>
            <w:shd w:val="clear" w:color="auto" w:fill="auto"/>
            <w:noWrap/>
            <w:vAlign w:val="center"/>
            <w:hideMark/>
          </w:tcPr>
          <w:p w14:paraId="167A15DE"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EE1BD1" w14:paraId="7AEC131F" w14:textId="77777777" w:rsidTr="00763FAF">
        <w:trPr>
          <w:trHeight w:val="300"/>
        </w:trPr>
        <w:tc>
          <w:tcPr>
            <w:tcW w:w="6232" w:type="dxa"/>
            <w:shd w:val="clear" w:color="auto" w:fill="auto"/>
            <w:noWrap/>
            <w:vAlign w:val="center"/>
            <w:hideMark/>
          </w:tcPr>
          <w:p w14:paraId="3EB6E065" w14:textId="18DE1C41"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instrument grade disinfectant</w:t>
            </w:r>
          </w:p>
        </w:tc>
        <w:tc>
          <w:tcPr>
            <w:tcW w:w="3261" w:type="dxa"/>
            <w:shd w:val="clear" w:color="auto" w:fill="auto"/>
            <w:noWrap/>
            <w:vAlign w:val="center"/>
            <w:hideMark/>
          </w:tcPr>
          <w:p w14:paraId="08CB50EC"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EE1BD1" w14:paraId="3238EB47" w14:textId="77777777" w:rsidTr="00763FAF">
        <w:trPr>
          <w:trHeight w:val="300"/>
        </w:trPr>
        <w:tc>
          <w:tcPr>
            <w:tcW w:w="6232" w:type="dxa"/>
            <w:shd w:val="clear" w:color="auto" w:fill="auto"/>
            <w:noWrap/>
            <w:vAlign w:val="center"/>
            <w:hideMark/>
          </w:tcPr>
          <w:p w14:paraId="4DA67E9A" w14:textId="2BD3CF9E"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hospital grade disinfectant with specific claims*</w:t>
            </w:r>
          </w:p>
        </w:tc>
        <w:tc>
          <w:tcPr>
            <w:tcW w:w="3261" w:type="dxa"/>
            <w:shd w:val="clear" w:color="auto" w:fill="auto"/>
            <w:noWrap/>
            <w:vAlign w:val="center"/>
            <w:hideMark/>
          </w:tcPr>
          <w:p w14:paraId="0753BAFB" w14:textId="77D0991E"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Other Therapeuti</w:t>
            </w:r>
            <w:r w:rsidR="00BB4DD5">
              <w:rPr>
                <w:rFonts w:eastAsia="Times New Roman" w:cs="Calibri"/>
                <w:color w:val="000000"/>
                <w:szCs w:val="22"/>
                <w:lang w:eastAsia="en-AU"/>
              </w:rPr>
              <w:t>c</w:t>
            </w:r>
            <w:r w:rsidRPr="002A3BD2">
              <w:rPr>
                <w:rFonts w:eastAsia="Times New Roman" w:cs="Calibri"/>
                <w:color w:val="000000"/>
                <w:sz w:val="16"/>
                <w:szCs w:val="16"/>
                <w:lang w:eastAsia="en-AU"/>
              </w:rPr>
              <w:t> </w:t>
            </w:r>
            <w:proofErr w:type="gramStart"/>
            <w:r w:rsidRPr="002A3BD2">
              <w:rPr>
                <w:rFonts w:eastAsia="Times New Roman" w:cs="Calibri"/>
                <w:color w:val="000000"/>
                <w:szCs w:val="22"/>
                <w:lang w:eastAsia="en-AU"/>
              </w:rPr>
              <w:t>Good  (</w:t>
            </w:r>
            <w:proofErr w:type="gramEnd"/>
            <w:r w:rsidRPr="002A3BD2">
              <w:rPr>
                <w:rFonts w:eastAsia="Times New Roman" w:cs="Calibri"/>
                <w:color w:val="000000"/>
                <w:szCs w:val="22"/>
                <w:lang w:eastAsia="en-AU"/>
              </w:rPr>
              <w:t>Listable)</w:t>
            </w:r>
          </w:p>
        </w:tc>
      </w:tr>
      <w:tr w:rsidR="003A5162" w:rsidRPr="00EE1BD1" w14:paraId="7AF0B837" w14:textId="77777777" w:rsidTr="00763FAF">
        <w:trPr>
          <w:trHeight w:val="300"/>
        </w:trPr>
        <w:tc>
          <w:tcPr>
            <w:tcW w:w="6232" w:type="dxa"/>
            <w:shd w:val="clear" w:color="auto" w:fill="auto"/>
            <w:noWrap/>
            <w:vAlign w:val="center"/>
            <w:hideMark/>
          </w:tcPr>
          <w:p w14:paraId="4CA6D032" w14:textId="4125FC18"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household/commercial grade with specific claims*</w:t>
            </w:r>
          </w:p>
        </w:tc>
        <w:tc>
          <w:tcPr>
            <w:tcW w:w="3261" w:type="dxa"/>
            <w:shd w:val="clear" w:color="auto" w:fill="auto"/>
            <w:noWrap/>
            <w:vAlign w:val="center"/>
            <w:hideMark/>
          </w:tcPr>
          <w:p w14:paraId="368DD9FE" w14:textId="247CC975"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Other Therapeutic Good</w:t>
            </w:r>
            <w:r w:rsidR="00763FAF">
              <w:rPr>
                <w:rFonts w:eastAsia="Times New Roman" w:cs="Calibri"/>
                <w:color w:val="000000"/>
                <w:szCs w:val="22"/>
                <w:lang w:eastAsia="en-AU"/>
              </w:rPr>
              <w:t xml:space="preserve"> </w:t>
            </w:r>
            <w:r w:rsidRPr="002A3BD2">
              <w:rPr>
                <w:rFonts w:eastAsia="Times New Roman" w:cs="Calibri"/>
                <w:color w:val="000000"/>
                <w:szCs w:val="22"/>
                <w:lang w:eastAsia="en-AU"/>
              </w:rPr>
              <w:t>(Listable)</w:t>
            </w:r>
          </w:p>
        </w:tc>
      </w:tr>
      <w:tr w:rsidR="003A5162" w:rsidRPr="00EE1BD1" w14:paraId="03AF8C55" w14:textId="77777777" w:rsidTr="00763FAF">
        <w:trPr>
          <w:trHeight w:val="300"/>
        </w:trPr>
        <w:tc>
          <w:tcPr>
            <w:tcW w:w="6232" w:type="dxa"/>
            <w:shd w:val="clear" w:color="auto" w:fill="auto"/>
            <w:noWrap/>
            <w:vAlign w:val="center"/>
            <w:hideMark/>
          </w:tcPr>
          <w:p w14:paraId="7FD8191A" w14:textId="526403EF"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hospital grade disinfectants with non-specific claims*</w:t>
            </w:r>
          </w:p>
        </w:tc>
        <w:tc>
          <w:tcPr>
            <w:tcW w:w="3261" w:type="dxa"/>
            <w:shd w:val="clear" w:color="auto" w:fill="auto"/>
            <w:noWrap/>
            <w:vAlign w:val="center"/>
            <w:hideMark/>
          </w:tcPr>
          <w:p w14:paraId="2047F5DB"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Other Therapeutic Good (Exempt)</w:t>
            </w:r>
          </w:p>
        </w:tc>
      </w:tr>
      <w:tr w:rsidR="003A5162" w:rsidRPr="00EE1BD1" w14:paraId="03C732D0" w14:textId="77777777" w:rsidTr="00763FAF">
        <w:trPr>
          <w:trHeight w:val="300"/>
        </w:trPr>
        <w:tc>
          <w:tcPr>
            <w:tcW w:w="6232" w:type="dxa"/>
            <w:shd w:val="clear" w:color="auto" w:fill="auto"/>
            <w:noWrap/>
            <w:vAlign w:val="center"/>
            <w:hideMark/>
          </w:tcPr>
          <w:p w14:paraId="00A74E15" w14:textId="77439A25"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household/commercial grade disinfectants with non-specific claims* </w:t>
            </w:r>
          </w:p>
        </w:tc>
        <w:tc>
          <w:tcPr>
            <w:tcW w:w="3261" w:type="dxa"/>
            <w:shd w:val="clear" w:color="auto" w:fill="auto"/>
            <w:noWrap/>
            <w:vAlign w:val="center"/>
            <w:hideMark/>
          </w:tcPr>
          <w:p w14:paraId="2D6B2DC2"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Other Therapeutic Good (Exempt)</w:t>
            </w:r>
          </w:p>
        </w:tc>
      </w:tr>
      <w:tr w:rsidR="003A5162" w:rsidRPr="00EE1BD1" w14:paraId="7592FA50" w14:textId="77777777" w:rsidTr="00763FAF">
        <w:trPr>
          <w:trHeight w:val="300"/>
        </w:trPr>
        <w:tc>
          <w:tcPr>
            <w:tcW w:w="6232" w:type="dxa"/>
            <w:shd w:val="clear" w:color="auto" w:fill="auto"/>
            <w:noWrap/>
            <w:vAlign w:val="center"/>
            <w:hideMark/>
          </w:tcPr>
          <w:p w14:paraId="0BF5118C" w14:textId="2297E825"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ostomy appliance detergents, deodorisers</w:t>
            </w:r>
          </w:p>
        </w:tc>
        <w:tc>
          <w:tcPr>
            <w:tcW w:w="3261" w:type="dxa"/>
            <w:shd w:val="clear" w:color="auto" w:fill="auto"/>
            <w:noWrap/>
            <w:vAlign w:val="center"/>
            <w:hideMark/>
          </w:tcPr>
          <w:p w14:paraId="53AED7A0"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Not Therapeutic Good</w:t>
            </w:r>
          </w:p>
        </w:tc>
      </w:tr>
      <w:tr w:rsidR="003A5162" w:rsidRPr="00EE1BD1" w14:paraId="611E8A16" w14:textId="77777777" w:rsidTr="00763FAF">
        <w:trPr>
          <w:trHeight w:val="300"/>
        </w:trPr>
        <w:tc>
          <w:tcPr>
            <w:tcW w:w="6232" w:type="dxa"/>
            <w:shd w:val="clear" w:color="auto" w:fill="auto"/>
            <w:noWrap/>
            <w:vAlign w:val="center"/>
            <w:hideMark/>
          </w:tcPr>
          <w:p w14:paraId="2299C7D9" w14:textId="0EC82914"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cleaners and sanitisers not making disinfectant claims</w:t>
            </w:r>
          </w:p>
        </w:tc>
        <w:tc>
          <w:tcPr>
            <w:tcW w:w="3261" w:type="dxa"/>
            <w:shd w:val="clear" w:color="auto" w:fill="auto"/>
            <w:noWrap/>
            <w:vAlign w:val="center"/>
            <w:hideMark/>
          </w:tcPr>
          <w:p w14:paraId="0094A22F"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Not Therapeutic Good</w:t>
            </w:r>
          </w:p>
        </w:tc>
      </w:tr>
      <w:tr w:rsidR="003A5162" w:rsidRPr="00EE1BD1" w14:paraId="005AB383" w14:textId="77777777" w:rsidTr="00763FAF">
        <w:trPr>
          <w:trHeight w:val="300"/>
        </w:trPr>
        <w:tc>
          <w:tcPr>
            <w:tcW w:w="6232" w:type="dxa"/>
            <w:shd w:val="clear" w:color="auto" w:fill="auto"/>
            <w:noWrap/>
            <w:vAlign w:val="center"/>
            <w:hideMark/>
          </w:tcPr>
          <w:p w14:paraId="6BA463DA" w14:textId="77777777" w:rsidR="00481EA4" w:rsidRPr="00EE1BD1" w:rsidRDefault="00481EA4" w:rsidP="003A5162">
            <w:pPr>
              <w:spacing w:before="0" w:after="0" w:line="240" w:lineRule="auto"/>
              <w:rPr>
                <w:rFonts w:eastAsia="Times New Roman" w:cs="Calibri"/>
                <w:color w:val="000000"/>
                <w:szCs w:val="22"/>
                <w:lang w:eastAsia="en-AU"/>
              </w:rPr>
            </w:pPr>
          </w:p>
        </w:tc>
        <w:tc>
          <w:tcPr>
            <w:tcW w:w="3261" w:type="dxa"/>
            <w:shd w:val="clear" w:color="auto" w:fill="auto"/>
            <w:noWrap/>
            <w:vAlign w:val="center"/>
            <w:hideMark/>
          </w:tcPr>
          <w:p w14:paraId="1C97A326" w14:textId="77777777" w:rsidR="00481EA4" w:rsidRPr="00EE1BD1" w:rsidRDefault="00481EA4" w:rsidP="003A5162">
            <w:pPr>
              <w:spacing w:before="0" w:after="0" w:line="240" w:lineRule="auto"/>
              <w:ind w:firstLineChars="200" w:firstLine="400"/>
              <w:rPr>
                <w:rFonts w:eastAsia="Times New Roman"/>
                <w:sz w:val="20"/>
                <w:lang w:eastAsia="en-AU"/>
              </w:rPr>
            </w:pPr>
          </w:p>
        </w:tc>
      </w:tr>
      <w:tr w:rsidR="003A5162" w:rsidRPr="00EE1BD1" w14:paraId="4FCBB640" w14:textId="77777777" w:rsidTr="00763FAF">
        <w:trPr>
          <w:trHeight w:val="405"/>
        </w:trPr>
        <w:tc>
          <w:tcPr>
            <w:tcW w:w="6232" w:type="dxa"/>
            <w:shd w:val="clear" w:color="auto" w:fill="auto"/>
            <w:noWrap/>
            <w:vAlign w:val="center"/>
            <w:hideMark/>
          </w:tcPr>
          <w:p w14:paraId="32A55FBD" w14:textId="1B3CAF15" w:rsidR="00481EA4" w:rsidRPr="00EE1BD1" w:rsidRDefault="00481EA4" w:rsidP="003A5162">
            <w:pPr>
              <w:spacing w:before="0" w:after="0" w:line="240" w:lineRule="auto"/>
              <w:rPr>
                <w:rFonts w:ascii="Arial" w:eastAsia="Times New Roman" w:hAnsi="Arial" w:cs="Arial"/>
                <w:b/>
                <w:bCs/>
                <w:color w:val="000000"/>
                <w:sz w:val="32"/>
                <w:szCs w:val="32"/>
                <w:lang w:eastAsia="en-AU"/>
              </w:rPr>
            </w:pPr>
            <w:bookmarkStart w:id="53" w:name="RANGE!A225"/>
            <w:r w:rsidRPr="003A5162">
              <w:rPr>
                <w:rFonts w:ascii="Arial" w:eastAsia="Times New Roman" w:hAnsi="Arial" w:cs="Arial"/>
                <w:b/>
                <w:bCs/>
                <w:color w:val="000000"/>
                <w:sz w:val="28"/>
                <w:szCs w:val="28"/>
                <w:lang w:eastAsia="en-AU"/>
              </w:rPr>
              <w:t>Other</w:t>
            </w:r>
            <w:bookmarkEnd w:id="53"/>
          </w:p>
        </w:tc>
        <w:tc>
          <w:tcPr>
            <w:tcW w:w="3261" w:type="dxa"/>
            <w:shd w:val="clear" w:color="auto" w:fill="auto"/>
            <w:noWrap/>
            <w:vAlign w:val="bottom"/>
            <w:hideMark/>
          </w:tcPr>
          <w:p w14:paraId="0D56A384" w14:textId="77777777" w:rsidR="00481EA4" w:rsidRPr="00EE1BD1" w:rsidRDefault="00481EA4" w:rsidP="003A5162">
            <w:pPr>
              <w:spacing w:before="0" w:after="0" w:line="240" w:lineRule="auto"/>
              <w:rPr>
                <w:rFonts w:ascii="Arial" w:eastAsia="Times New Roman" w:hAnsi="Arial" w:cs="Arial"/>
                <w:b/>
                <w:bCs/>
                <w:color w:val="000000"/>
                <w:sz w:val="32"/>
                <w:szCs w:val="32"/>
                <w:lang w:eastAsia="en-AU"/>
              </w:rPr>
            </w:pPr>
          </w:p>
        </w:tc>
      </w:tr>
      <w:tr w:rsidR="003A5162" w:rsidRPr="002A3BD2" w14:paraId="696BA216" w14:textId="77777777" w:rsidTr="00763FAF">
        <w:trPr>
          <w:trHeight w:val="300"/>
        </w:trPr>
        <w:tc>
          <w:tcPr>
            <w:tcW w:w="6232" w:type="dxa"/>
            <w:shd w:val="clear" w:color="auto" w:fill="auto"/>
            <w:noWrap/>
            <w:vAlign w:val="center"/>
            <w:hideMark/>
          </w:tcPr>
          <w:p w14:paraId="551B9109" w14:textId="3EEF4C17"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gums (as adhesives or lubricants)</w:t>
            </w:r>
          </w:p>
        </w:tc>
        <w:tc>
          <w:tcPr>
            <w:tcW w:w="3261" w:type="dxa"/>
            <w:shd w:val="clear" w:color="auto" w:fill="auto"/>
            <w:noWrap/>
            <w:vAlign w:val="center"/>
            <w:hideMark/>
          </w:tcPr>
          <w:p w14:paraId="1D97F3AB"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57F91CDD" w14:textId="77777777" w:rsidTr="00763FAF">
        <w:trPr>
          <w:trHeight w:val="300"/>
        </w:trPr>
        <w:tc>
          <w:tcPr>
            <w:tcW w:w="6232" w:type="dxa"/>
            <w:shd w:val="clear" w:color="auto" w:fill="auto"/>
            <w:noWrap/>
            <w:vAlign w:val="center"/>
            <w:hideMark/>
          </w:tcPr>
          <w:p w14:paraId="61362452" w14:textId="22A8AA76"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polyhydroxy compounds</w:t>
            </w:r>
          </w:p>
        </w:tc>
        <w:tc>
          <w:tcPr>
            <w:tcW w:w="3261" w:type="dxa"/>
            <w:shd w:val="clear" w:color="auto" w:fill="auto"/>
            <w:noWrap/>
            <w:vAlign w:val="center"/>
            <w:hideMark/>
          </w:tcPr>
          <w:p w14:paraId="751C4111"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368980A2" w14:textId="77777777" w:rsidTr="00763FAF">
        <w:trPr>
          <w:trHeight w:val="300"/>
        </w:trPr>
        <w:tc>
          <w:tcPr>
            <w:tcW w:w="6232" w:type="dxa"/>
            <w:shd w:val="clear" w:color="auto" w:fill="auto"/>
            <w:noWrap/>
            <w:vAlign w:val="center"/>
            <w:hideMark/>
          </w:tcPr>
          <w:p w14:paraId="0AD53583" w14:textId="0C45772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cellulose derivatives  </w:t>
            </w:r>
          </w:p>
        </w:tc>
        <w:tc>
          <w:tcPr>
            <w:tcW w:w="3261" w:type="dxa"/>
            <w:shd w:val="clear" w:color="auto" w:fill="auto"/>
            <w:noWrap/>
            <w:vAlign w:val="center"/>
            <w:hideMark/>
          </w:tcPr>
          <w:p w14:paraId="3072934B"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35A288ED" w14:textId="77777777" w:rsidTr="00763FAF">
        <w:trPr>
          <w:trHeight w:val="300"/>
        </w:trPr>
        <w:tc>
          <w:tcPr>
            <w:tcW w:w="6232" w:type="dxa"/>
            <w:shd w:val="clear" w:color="auto" w:fill="auto"/>
            <w:noWrap/>
            <w:vAlign w:val="center"/>
            <w:hideMark/>
          </w:tcPr>
          <w:p w14:paraId="54189F44" w14:textId="3B94A12C"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petroleum jelly</w:t>
            </w:r>
          </w:p>
        </w:tc>
        <w:tc>
          <w:tcPr>
            <w:tcW w:w="3261" w:type="dxa"/>
            <w:shd w:val="clear" w:color="auto" w:fill="auto"/>
            <w:noWrap/>
            <w:vAlign w:val="center"/>
            <w:hideMark/>
          </w:tcPr>
          <w:p w14:paraId="4FA2DA6E"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17E1BDA6" w14:textId="77777777" w:rsidTr="00763FAF">
        <w:trPr>
          <w:trHeight w:val="300"/>
        </w:trPr>
        <w:tc>
          <w:tcPr>
            <w:tcW w:w="6232" w:type="dxa"/>
            <w:shd w:val="clear" w:color="auto" w:fill="auto"/>
            <w:noWrap/>
            <w:vAlign w:val="center"/>
            <w:hideMark/>
          </w:tcPr>
          <w:p w14:paraId="376BB335" w14:textId="7563E864"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dusting powders, non-therapeutic </w:t>
            </w:r>
          </w:p>
        </w:tc>
        <w:tc>
          <w:tcPr>
            <w:tcW w:w="3261" w:type="dxa"/>
            <w:shd w:val="clear" w:color="auto" w:fill="auto"/>
            <w:noWrap/>
            <w:vAlign w:val="center"/>
            <w:hideMark/>
          </w:tcPr>
          <w:p w14:paraId="39C6BA31"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Not Therapeutic Good</w:t>
            </w:r>
          </w:p>
        </w:tc>
      </w:tr>
      <w:tr w:rsidR="003A5162" w:rsidRPr="002A3BD2" w14:paraId="16C11D96" w14:textId="77777777" w:rsidTr="00763FAF">
        <w:trPr>
          <w:trHeight w:val="300"/>
        </w:trPr>
        <w:tc>
          <w:tcPr>
            <w:tcW w:w="6232" w:type="dxa"/>
            <w:shd w:val="clear" w:color="auto" w:fill="auto"/>
            <w:noWrap/>
            <w:vAlign w:val="center"/>
            <w:hideMark/>
          </w:tcPr>
          <w:p w14:paraId="4A354699" w14:textId="1FBDBA8E"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dusting powders, therapeutic uses </w:t>
            </w:r>
          </w:p>
        </w:tc>
        <w:tc>
          <w:tcPr>
            <w:tcW w:w="3261" w:type="dxa"/>
            <w:shd w:val="clear" w:color="auto" w:fill="auto"/>
            <w:noWrap/>
            <w:vAlign w:val="center"/>
            <w:hideMark/>
          </w:tcPr>
          <w:p w14:paraId="78E22562"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2A3BD2" w14:paraId="4D8C56E7" w14:textId="77777777" w:rsidTr="00763FAF">
        <w:trPr>
          <w:trHeight w:val="300"/>
        </w:trPr>
        <w:tc>
          <w:tcPr>
            <w:tcW w:w="6232" w:type="dxa"/>
            <w:shd w:val="clear" w:color="auto" w:fill="auto"/>
            <w:noWrap/>
            <w:vAlign w:val="center"/>
            <w:hideMark/>
          </w:tcPr>
          <w:p w14:paraId="0998B613" w14:textId="47933DBB"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ostomy dressings  </w:t>
            </w:r>
          </w:p>
        </w:tc>
        <w:tc>
          <w:tcPr>
            <w:tcW w:w="3261" w:type="dxa"/>
            <w:shd w:val="clear" w:color="auto" w:fill="auto"/>
            <w:noWrap/>
            <w:vAlign w:val="center"/>
            <w:hideMark/>
          </w:tcPr>
          <w:p w14:paraId="428D9B51"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55E055B8" w14:textId="77777777" w:rsidTr="00763FAF">
        <w:trPr>
          <w:trHeight w:val="300"/>
        </w:trPr>
        <w:tc>
          <w:tcPr>
            <w:tcW w:w="6232" w:type="dxa"/>
            <w:shd w:val="clear" w:color="auto" w:fill="auto"/>
            <w:noWrap/>
            <w:vAlign w:val="center"/>
            <w:hideMark/>
          </w:tcPr>
          <w:p w14:paraId="1BEECC03" w14:textId="761FEA5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proofErr w:type="spellStart"/>
            <w:r w:rsidRPr="00F65275">
              <w:rPr>
                <w:rFonts w:eastAsia="Times New Roman" w:cstheme="minorHAnsi"/>
                <w:color w:val="000000"/>
                <w:sz w:val="22"/>
                <w:lang w:eastAsia="en-AU"/>
              </w:rPr>
              <w:t>dextranomer</w:t>
            </w:r>
            <w:proofErr w:type="spellEnd"/>
            <w:r w:rsidRPr="00F65275">
              <w:rPr>
                <w:rFonts w:eastAsia="Times New Roman" w:cstheme="minorHAnsi"/>
                <w:color w:val="000000"/>
                <w:sz w:val="22"/>
                <w:lang w:eastAsia="en-AU"/>
              </w:rPr>
              <w:t xml:space="preserve"> dressing </w:t>
            </w:r>
          </w:p>
        </w:tc>
        <w:tc>
          <w:tcPr>
            <w:tcW w:w="3261" w:type="dxa"/>
            <w:shd w:val="clear" w:color="auto" w:fill="auto"/>
            <w:noWrap/>
            <w:vAlign w:val="center"/>
            <w:hideMark/>
          </w:tcPr>
          <w:p w14:paraId="33155EBD"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515450D2" w14:textId="77777777" w:rsidTr="00763FAF">
        <w:trPr>
          <w:trHeight w:val="300"/>
        </w:trPr>
        <w:tc>
          <w:tcPr>
            <w:tcW w:w="6232" w:type="dxa"/>
            <w:shd w:val="clear" w:color="auto" w:fill="auto"/>
            <w:noWrap/>
            <w:vAlign w:val="center"/>
            <w:hideMark/>
          </w:tcPr>
          <w:p w14:paraId="1A45649D" w14:textId="66DBD284"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bookmarkStart w:id="54" w:name="_Hlk113542210"/>
            <w:r w:rsidRPr="00F65275">
              <w:rPr>
                <w:rFonts w:eastAsia="Times New Roman" w:cstheme="minorHAnsi"/>
                <w:color w:val="000000"/>
                <w:sz w:val="22"/>
                <w:lang w:eastAsia="en-AU"/>
              </w:rPr>
              <w:t xml:space="preserve"> substances used to </w:t>
            </w:r>
            <w:r w:rsidR="00184AC8">
              <w:rPr>
                <w:rFonts w:eastAsia="Times New Roman" w:cstheme="minorHAnsi"/>
                <w:color w:val="000000"/>
                <w:sz w:val="22"/>
                <w:lang w:eastAsia="en-AU"/>
              </w:rPr>
              <w:t>treat</w:t>
            </w:r>
            <w:r w:rsidR="00184AC8" w:rsidRPr="00F65275">
              <w:rPr>
                <w:rFonts w:eastAsia="Times New Roman" w:cstheme="minorHAnsi"/>
                <w:color w:val="000000"/>
                <w:sz w:val="22"/>
                <w:lang w:eastAsia="en-AU"/>
              </w:rPr>
              <w:t xml:space="preserve"> </w:t>
            </w:r>
            <w:r w:rsidRPr="00F65275">
              <w:rPr>
                <w:rFonts w:eastAsia="Times New Roman" w:cstheme="minorHAnsi"/>
                <w:color w:val="000000"/>
                <w:sz w:val="22"/>
                <w:lang w:eastAsia="en-AU"/>
              </w:rPr>
              <w:t xml:space="preserve">head lice/nits on the human body </w:t>
            </w:r>
          </w:p>
        </w:tc>
        <w:tc>
          <w:tcPr>
            <w:tcW w:w="3261" w:type="dxa"/>
            <w:shd w:val="clear" w:color="auto" w:fill="auto"/>
            <w:noWrap/>
            <w:vAlign w:val="center"/>
            <w:hideMark/>
          </w:tcPr>
          <w:p w14:paraId="73319CAB"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2A3BD2" w14:paraId="4905C747" w14:textId="77777777" w:rsidTr="00763FAF">
        <w:trPr>
          <w:trHeight w:val="300"/>
        </w:trPr>
        <w:tc>
          <w:tcPr>
            <w:tcW w:w="6232" w:type="dxa"/>
            <w:shd w:val="clear" w:color="auto" w:fill="auto"/>
            <w:noWrap/>
            <w:vAlign w:val="center"/>
            <w:hideMark/>
          </w:tcPr>
          <w:p w14:paraId="2AAD5624" w14:textId="1A28118F" w:rsidR="00481EA4" w:rsidRPr="003A5162" w:rsidRDefault="00184AC8" w:rsidP="003A5162">
            <w:pPr>
              <w:pStyle w:val="ListParagraph"/>
              <w:numPr>
                <w:ilvl w:val="0"/>
                <w:numId w:val="16"/>
              </w:numPr>
              <w:ind w:left="461" w:hanging="285"/>
              <w:contextualSpacing w:val="0"/>
              <w:rPr>
                <w:rFonts w:eastAsia="Times New Roman" w:cstheme="minorHAnsi"/>
                <w:color w:val="000000"/>
                <w:sz w:val="22"/>
                <w:lang w:eastAsia="en-AU"/>
              </w:rPr>
            </w:pPr>
            <w:r>
              <w:rPr>
                <w:rFonts w:eastAsia="Times New Roman" w:cstheme="minorHAnsi"/>
                <w:color w:val="000000"/>
                <w:sz w:val="22"/>
                <w:lang w:eastAsia="en-AU"/>
              </w:rPr>
              <w:t xml:space="preserve">Products that facilitate physical removal of head lice </w:t>
            </w:r>
            <w:proofErr w:type="gramStart"/>
            <w:r>
              <w:rPr>
                <w:rFonts w:eastAsia="Times New Roman" w:cstheme="minorHAnsi"/>
                <w:color w:val="000000"/>
                <w:sz w:val="22"/>
                <w:lang w:eastAsia="en-AU"/>
              </w:rPr>
              <w:t>e.g.</w:t>
            </w:r>
            <w:proofErr w:type="gramEnd"/>
            <w:r>
              <w:rPr>
                <w:rFonts w:eastAsia="Times New Roman" w:cstheme="minorHAnsi"/>
                <w:color w:val="000000"/>
                <w:sz w:val="22"/>
                <w:lang w:eastAsia="en-AU"/>
              </w:rPr>
              <w:t xml:space="preserve"> </w:t>
            </w:r>
            <w:r w:rsidR="00481EA4" w:rsidRPr="00F65275">
              <w:rPr>
                <w:rFonts w:eastAsia="Times New Roman" w:cstheme="minorHAnsi"/>
                <w:color w:val="000000"/>
                <w:sz w:val="22"/>
                <w:lang w:eastAsia="en-AU"/>
              </w:rPr>
              <w:t>head lice comb, including those with an electro-action</w:t>
            </w:r>
            <w:r>
              <w:rPr>
                <w:rFonts w:eastAsia="Times New Roman" w:cstheme="minorHAnsi"/>
                <w:color w:val="000000"/>
                <w:sz w:val="22"/>
                <w:lang w:eastAsia="en-AU"/>
              </w:rPr>
              <w:t>, and lubricants.</w:t>
            </w:r>
          </w:p>
        </w:tc>
        <w:tc>
          <w:tcPr>
            <w:tcW w:w="3261" w:type="dxa"/>
            <w:shd w:val="clear" w:color="auto" w:fill="auto"/>
            <w:noWrap/>
            <w:vAlign w:val="center"/>
            <w:hideMark/>
          </w:tcPr>
          <w:p w14:paraId="56CE725A"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bookmarkEnd w:id="54"/>
      <w:tr w:rsidR="003A5162" w:rsidRPr="002A3BD2" w14:paraId="0774389B" w14:textId="77777777" w:rsidTr="00763FAF">
        <w:trPr>
          <w:trHeight w:val="300"/>
        </w:trPr>
        <w:tc>
          <w:tcPr>
            <w:tcW w:w="6232" w:type="dxa"/>
            <w:shd w:val="clear" w:color="auto" w:fill="auto"/>
            <w:noWrap/>
            <w:vAlign w:val="center"/>
            <w:hideMark/>
          </w:tcPr>
          <w:p w14:paraId="7DBACDCC" w14:textId="6B5CA0B2"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warming plasters (adhesive) containing capsaicin (capsicum oleoresin or capsicum extract) or mustard packs</w:t>
            </w:r>
          </w:p>
        </w:tc>
        <w:tc>
          <w:tcPr>
            <w:tcW w:w="3261" w:type="dxa"/>
            <w:shd w:val="clear" w:color="auto" w:fill="auto"/>
            <w:noWrap/>
            <w:vAlign w:val="center"/>
            <w:hideMark/>
          </w:tcPr>
          <w:p w14:paraId="0276179B"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2A3BD2" w14:paraId="7909200C" w14:textId="77777777" w:rsidTr="00763FAF">
        <w:trPr>
          <w:trHeight w:val="300"/>
        </w:trPr>
        <w:tc>
          <w:tcPr>
            <w:tcW w:w="6232" w:type="dxa"/>
            <w:shd w:val="clear" w:color="auto" w:fill="auto"/>
            <w:noWrap/>
            <w:vAlign w:val="center"/>
            <w:hideMark/>
          </w:tcPr>
          <w:p w14:paraId="10AC34A2" w14:textId="688C22BE"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riboflavin eye drops intended for the treatment of keratoconus activated via illumination with UVA light</w:t>
            </w:r>
          </w:p>
        </w:tc>
        <w:tc>
          <w:tcPr>
            <w:tcW w:w="3261" w:type="dxa"/>
            <w:shd w:val="clear" w:color="auto" w:fill="auto"/>
            <w:noWrap/>
            <w:vAlign w:val="center"/>
            <w:hideMark/>
          </w:tcPr>
          <w:p w14:paraId="396BD64D"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2A3BD2" w14:paraId="2F90D307" w14:textId="77777777" w:rsidTr="00763FAF">
        <w:trPr>
          <w:trHeight w:val="300"/>
        </w:trPr>
        <w:tc>
          <w:tcPr>
            <w:tcW w:w="6232" w:type="dxa"/>
            <w:shd w:val="clear" w:color="auto" w:fill="auto"/>
            <w:noWrap/>
            <w:vAlign w:val="center"/>
            <w:hideMark/>
          </w:tcPr>
          <w:p w14:paraId="6E1F6D3C" w14:textId="081DE230" w:rsidR="00481EA4" w:rsidRPr="003A5162"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Dentistry products with aluminium chloride are used for haemostasis</w:t>
            </w:r>
          </w:p>
        </w:tc>
        <w:tc>
          <w:tcPr>
            <w:tcW w:w="3261" w:type="dxa"/>
            <w:shd w:val="clear" w:color="auto" w:fill="auto"/>
            <w:noWrap/>
            <w:vAlign w:val="center"/>
            <w:hideMark/>
          </w:tcPr>
          <w:p w14:paraId="46AE80D2"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4CF1E0AD" w14:textId="77777777" w:rsidTr="00763FAF">
        <w:trPr>
          <w:trHeight w:val="300"/>
        </w:trPr>
        <w:tc>
          <w:tcPr>
            <w:tcW w:w="6232" w:type="dxa"/>
            <w:shd w:val="clear" w:color="auto" w:fill="auto"/>
            <w:noWrap/>
            <w:vAlign w:val="center"/>
          </w:tcPr>
          <w:p w14:paraId="61FC8C1B"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 xml:space="preserve">Urea, salicylic </w:t>
            </w:r>
            <w:proofErr w:type="gramStart"/>
            <w:r w:rsidRPr="00F65275">
              <w:rPr>
                <w:rFonts w:eastAsia="Times New Roman" w:cstheme="minorHAnsi"/>
                <w:color w:val="000000"/>
                <w:sz w:val="22"/>
                <w:lang w:eastAsia="en-AU"/>
              </w:rPr>
              <w:t>acid</w:t>
            </w:r>
            <w:proofErr w:type="gramEnd"/>
            <w:r w:rsidRPr="00F65275">
              <w:rPr>
                <w:rFonts w:eastAsia="Times New Roman" w:cstheme="minorHAnsi"/>
                <w:color w:val="000000"/>
                <w:sz w:val="22"/>
                <w:lang w:eastAsia="en-AU"/>
              </w:rPr>
              <w:t xml:space="preserve"> and other chemical preparations used to remove corn/callus</w:t>
            </w:r>
          </w:p>
        </w:tc>
        <w:tc>
          <w:tcPr>
            <w:tcW w:w="3261" w:type="dxa"/>
            <w:shd w:val="clear" w:color="auto" w:fill="auto"/>
            <w:noWrap/>
            <w:vAlign w:val="center"/>
          </w:tcPr>
          <w:p w14:paraId="3097DC79"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2A3BD2" w14:paraId="37D05F79" w14:textId="77777777" w:rsidTr="00763FAF">
        <w:trPr>
          <w:trHeight w:val="300"/>
        </w:trPr>
        <w:tc>
          <w:tcPr>
            <w:tcW w:w="6232" w:type="dxa"/>
            <w:shd w:val="clear" w:color="auto" w:fill="auto"/>
            <w:noWrap/>
            <w:vAlign w:val="center"/>
          </w:tcPr>
          <w:p w14:paraId="76453B10"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Substance that changes or buffers pH in a lumen or cavity of the body</w:t>
            </w:r>
          </w:p>
        </w:tc>
        <w:tc>
          <w:tcPr>
            <w:tcW w:w="3261" w:type="dxa"/>
            <w:shd w:val="clear" w:color="auto" w:fill="auto"/>
            <w:noWrap/>
            <w:vAlign w:val="center"/>
          </w:tcPr>
          <w:p w14:paraId="58F7DC6E"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r w:rsidR="003A5162" w:rsidRPr="002A3BD2" w14:paraId="12A9BCE7" w14:textId="77777777" w:rsidTr="00763FAF">
        <w:trPr>
          <w:trHeight w:val="300"/>
        </w:trPr>
        <w:tc>
          <w:tcPr>
            <w:tcW w:w="6232" w:type="dxa"/>
            <w:shd w:val="clear" w:color="auto" w:fill="auto"/>
            <w:noWrap/>
            <w:vAlign w:val="center"/>
          </w:tcPr>
          <w:p w14:paraId="4FEB73EE"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Nail fungus treatment solution with no anti-bacterial or anti-fungal ingredients</w:t>
            </w:r>
          </w:p>
        </w:tc>
        <w:tc>
          <w:tcPr>
            <w:tcW w:w="3261" w:type="dxa"/>
            <w:shd w:val="clear" w:color="auto" w:fill="auto"/>
            <w:noWrap/>
            <w:vAlign w:val="center"/>
          </w:tcPr>
          <w:p w14:paraId="16CB5C89"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Medical Device</w:t>
            </w:r>
          </w:p>
        </w:tc>
      </w:tr>
      <w:tr w:rsidR="003A5162" w:rsidRPr="002A3BD2" w14:paraId="443A426E" w14:textId="77777777" w:rsidTr="00763FAF">
        <w:trPr>
          <w:trHeight w:val="300"/>
        </w:trPr>
        <w:tc>
          <w:tcPr>
            <w:tcW w:w="6232" w:type="dxa"/>
            <w:shd w:val="clear" w:color="auto" w:fill="auto"/>
            <w:noWrap/>
            <w:vAlign w:val="center"/>
          </w:tcPr>
          <w:p w14:paraId="14C0A830" w14:textId="77777777" w:rsidR="00481EA4" w:rsidRPr="00F65275" w:rsidRDefault="00481EA4" w:rsidP="003A5162">
            <w:pPr>
              <w:pStyle w:val="ListParagraph"/>
              <w:numPr>
                <w:ilvl w:val="0"/>
                <w:numId w:val="16"/>
              </w:numPr>
              <w:ind w:left="461" w:hanging="285"/>
              <w:contextualSpacing w:val="0"/>
              <w:rPr>
                <w:rFonts w:eastAsia="Times New Roman" w:cstheme="minorHAnsi"/>
                <w:color w:val="000000"/>
                <w:sz w:val="22"/>
                <w:lang w:eastAsia="en-AU"/>
              </w:rPr>
            </w:pPr>
            <w:r w:rsidRPr="00F65275">
              <w:rPr>
                <w:rFonts w:eastAsia="Times New Roman" w:cstheme="minorHAnsi"/>
                <w:color w:val="000000"/>
                <w:sz w:val="22"/>
                <w:lang w:eastAsia="en-AU"/>
              </w:rPr>
              <w:t>Nail fungus treatment solution with anti-bacterial or anti-fungal ingredients</w:t>
            </w:r>
          </w:p>
        </w:tc>
        <w:tc>
          <w:tcPr>
            <w:tcW w:w="3261" w:type="dxa"/>
            <w:shd w:val="clear" w:color="auto" w:fill="auto"/>
            <w:noWrap/>
            <w:vAlign w:val="center"/>
          </w:tcPr>
          <w:p w14:paraId="3E00EABE" w14:textId="77777777" w:rsidR="00481EA4" w:rsidRPr="002A3BD2" w:rsidRDefault="00481EA4" w:rsidP="003A5162">
            <w:pPr>
              <w:spacing w:before="0" w:after="0" w:line="240" w:lineRule="auto"/>
              <w:rPr>
                <w:rFonts w:eastAsia="Times New Roman" w:cs="Calibri"/>
                <w:color w:val="000000"/>
                <w:szCs w:val="22"/>
                <w:lang w:eastAsia="en-AU"/>
              </w:rPr>
            </w:pPr>
            <w:r w:rsidRPr="002A3BD2">
              <w:rPr>
                <w:rFonts w:eastAsia="Times New Roman" w:cs="Calibri"/>
                <w:color w:val="000000"/>
                <w:szCs w:val="22"/>
                <w:lang w:eastAsia="en-AU"/>
              </w:rPr>
              <w:t>Medicine</w:t>
            </w:r>
          </w:p>
        </w:tc>
      </w:tr>
    </w:tbl>
    <w:bookmarkEnd w:id="3"/>
    <w:bookmarkEnd w:id="4"/>
    <w:p w14:paraId="606F7A09" w14:textId="77777777" w:rsidR="00481EA4" w:rsidRPr="00215D48" w:rsidRDefault="00481EA4" w:rsidP="00481EA4">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397"/>
        <w:gridCol w:w="2557"/>
        <w:gridCol w:w="1808"/>
      </w:tblGrid>
      <w:tr w:rsidR="00481EA4" w:rsidRPr="00215D48" w14:paraId="68E4C925" w14:textId="77777777" w:rsidTr="00F46B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FA98D5A" w14:textId="77777777" w:rsidR="00481EA4" w:rsidRPr="00215D48" w:rsidRDefault="00481EA4" w:rsidP="00F46BB9">
            <w:r w:rsidRPr="00215D48">
              <w:t>Version</w:t>
            </w:r>
          </w:p>
        </w:tc>
        <w:tc>
          <w:tcPr>
            <w:tcW w:w="3397" w:type="dxa"/>
          </w:tcPr>
          <w:p w14:paraId="16A0869F" w14:textId="77777777" w:rsidR="00481EA4" w:rsidRPr="00215D48" w:rsidRDefault="00481EA4" w:rsidP="00F46BB9">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557" w:type="dxa"/>
          </w:tcPr>
          <w:p w14:paraId="27593BD5" w14:textId="77777777" w:rsidR="00481EA4" w:rsidRPr="00215D48" w:rsidRDefault="00481EA4" w:rsidP="00F46BB9">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5592B74" w14:textId="77777777" w:rsidR="00481EA4" w:rsidRPr="00215D48" w:rsidRDefault="00481EA4" w:rsidP="00F46BB9">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481EA4" w:rsidRPr="00215D48" w14:paraId="4C92CFA4" w14:textId="77777777" w:rsidTr="00F46BB9">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C057FA3" w14:textId="77777777" w:rsidR="00481EA4" w:rsidRPr="00215D48" w:rsidRDefault="00481EA4" w:rsidP="00F46BB9">
            <w:r w:rsidRPr="00215D48">
              <w:t>V1.0</w:t>
            </w:r>
          </w:p>
        </w:tc>
        <w:tc>
          <w:tcPr>
            <w:tcW w:w="3397" w:type="dxa"/>
          </w:tcPr>
          <w:p w14:paraId="69FE58F8" w14:textId="77777777" w:rsidR="00481EA4" w:rsidRPr="00215D48" w:rsidRDefault="00481EA4" w:rsidP="00F46BB9">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557" w:type="dxa"/>
          </w:tcPr>
          <w:p w14:paraId="5DA80A3E" w14:textId="77777777" w:rsidR="00481EA4" w:rsidRPr="00215D48" w:rsidRDefault="00481EA4" w:rsidP="00F46BB9">
            <w:pPr>
              <w:cnfStyle w:val="000000000000" w:firstRow="0" w:lastRow="0" w:firstColumn="0" w:lastColumn="0" w:oddVBand="0" w:evenVBand="0" w:oddHBand="0" w:evenHBand="0" w:firstRowFirstColumn="0" w:firstRowLastColumn="0" w:lastRowFirstColumn="0" w:lastRowLastColumn="0"/>
            </w:pPr>
            <w:r w:rsidRPr="00215D48">
              <w:t>Section/Office</w:t>
            </w:r>
          </w:p>
        </w:tc>
        <w:tc>
          <w:tcPr>
            <w:tcW w:w="1808" w:type="dxa"/>
          </w:tcPr>
          <w:p w14:paraId="129DD8CC" w14:textId="0F4F568A" w:rsidR="00481EA4" w:rsidRPr="00215D48" w:rsidRDefault="003F3334" w:rsidP="00F46BB9">
            <w:pPr>
              <w:cnfStyle w:val="000000000000" w:firstRow="0" w:lastRow="0" w:firstColumn="0" w:lastColumn="0" w:oddVBand="0" w:evenVBand="0" w:oddHBand="0" w:evenHBand="0" w:firstRowFirstColumn="0" w:firstRowLastColumn="0" w:lastRowFirstColumn="0" w:lastRowLastColumn="0"/>
            </w:pPr>
            <w:r>
              <w:t xml:space="preserve">October </w:t>
            </w:r>
            <w:r w:rsidR="00481EA4">
              <w:t>2022</w:t>
            </w:r>
          </w:p>
        </w:tc>
      </w:tr>
      <w:tr w:rsidR="00481EA4" w:rsidRPr="00215D48" w14:paraId="1EAB7D32" w14:textId="77777777" w:rsidTr="00F46BB9">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734B5FF" w14:textId="77777777" w:rsidR="00481EA4" w:rsidRPr="00215D48" w:rsidRDefault="00481EA4" w:rsidP="00F46BB9"/>
        </w:tc>
        <w:tc>
          <w:tcPr>
            <w:tcW w:w="3397" w:type="dxa"/>
          </w:tcPr>
          <w:p w14:paraId="7C36D54B" w14:textId="77777777" w:rsidR="00481EA4" w:rsidRPr="00215D48" w:rsidRDefault="00481EA4" w:rsidP="00F46BB9">
            <w:pPr>
              <w:cnfStyle w:val="000000000000" w:firstRow="0" w:lastRow="0" w:firstColumn="0" w:lastColumn="0" w:oddVBand="0" w:evenVBand="0" w:oddHBand="0" w:evenHBand="0" w:firstRowFirstColumn="0" w:firstRowLastColumn="0" w:lastRowFirstColumn="0" w:lastRowLastColumn="0"/>
            </w:pPr>
          </w:p>
        </w:tc>
        <w:tc>
          <w:tcPr>
            <w:tcW w:w="2557" w:type="dxa"/>
          </w:tcPr>
          <w:p w14:paraId="5EA1A065" w14:textId="77777777" w:rsidR="00481EA4" w:rsidRPr="00215D48" w:rsidRDefault="00481EA4" w:rsidP="00F46BB9">
            <w:pPr>
              <w:cnfStyle w:val="000000000000" w:firstRow="0" w:lastRow="0" w:firstColumn="0" w:lastColumn="0" w:oddVBand="0" w:evenVBand="0" w:oddHBand="0" w:evenHBand="0" w:firstRowFirstColumn="0" w:firstRowLastColumn="0" w:lastRowFirstColumn="0" w:lastRowLastColumn="0"/>
            </w:pPr>
          </w:p>
        </w:tc>
        <w:tc>
          <w:tcPr>
            <w:tcW w:w="1808" w:type="dxa"/>
          </w:tcPr>
          <w:p w14:paraId="79933029" w14:textId="77777777" w:rsidR="00481EA4" w:rsidRPr="00215D48" w:rsidRDefault="00481EA4" w:rsidP="00F46BB9">
            <w:pPr>
              <w:cnfStyle w:val="000000000000" w:firstRow="0" w:lastRow="0" w:firstColumn="0" w:lastColumn="0" w:oddVBand="0" w:evenVBand="0" w:oddHBand="0" w:evenHBand="0" w:firstRowFirstColumn="0" w:firstRowLastColumn="0" w:lastRowFirstColumn="0" w:lastRowLastColumn="0"/>
            </w:pPr>
          </w:p>
        </w:tc>
      </w:tr>
      <w:tr w:rsidR="00481EA4" w:rsidRPr="00215D48" w14:paraId="3C43F9FF" w14:textId="77777777" w:rsidTr="00F46BB9">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3EEBB03" w14:textId="77777777" w:rsidR="00481EA4" w:rsidRDefault="00481EA4" w:rsidP="00F46BB9"/>
        </w:tc>
        <w:tc>
          <w:tcPr>
            <w:tcW w:w="3397" w:type="dxa"/>
          </w:tcPr>
          <w:p w14:paraId="68891F61" w14:textId="77777777" w:rsidR="00481EA4" w:rsidRPr="00A22494" w:rsidRDefault="00481EA4" w:rsidP="00F46BB9">
            <w:pPr>
              <w:cnfStyle w:val="000000000000" w:firstRow="0" w:lastRow="0" w:firstColumn="0" w:lastColumn="0" w:oddVBand="0" w:evenVBand="0" w:oddHBand="0" w:evenHBand="0" w:firstRowFirstColumn="0" w:firstRowLastColumn="0" w:lastRowFirstColumn="0" w:lastRowLastColumn="0"/>
            </w:pPr>
          </w:p>
        </w:tc>
        <w:tc>
          <w:tcPr>
            <w:tcW w:w="2557" w:type="dxa"/>
          </w:tcPr>
          <w:p w14:paraId="6F85BC67" w14:textId="77777777" w:rsidR="00481EA4" w:rsidRPr="00215D48" w:rsidRDefault="00481EA4" w:rsidP="00F46BB9">
            <w:pPr>
              <w:cnfStyle w:val="000000000000" w:firstRow="0" w:lastRow="0" w:firstColumn="0" w:lastColumn="0" w:oddVBand="0" w:evenVBand="0" w:oddHBand="0" w:evenHBand="0" w:firstRowFirstColumn="0" w:firstRowLastColumn="0" w:lastRowFirstColumn="0" w:lastRowLastColumn="0"/>
            </w:pPr>
          </w:p>
        </w:tc>
        <w:tc>
          <w:tcPr>
            <w:tcW w:w="1808" w:type="dxa"/>
          </w:tcPr>
          <w:p w14:paraId="7899B865" w14:textId="77777777" w:rsidR="00481EA4" w:rsidRDefault="00481EA4" w:rsidP="00F46BB9">
            <w:pPr>
              <w:cnfStyle w:val="000000000000" w:firstRow="0" w:lastRow="0" w:firstColumn="0" w:lastColumn="0" w:oddVBand="0" w:evenVBand="0" w:oddHBand="0" w:evenHBand="0" w:firstRowFirstColumn="0" w:firstRowLastColumn="0" w:lastRowFirstColumn="0" w:lastRowLastColumn="0"/>
            </w:pPr>
          </w:p>
        </w:tc>
      </w:tr>
    </w:tbl>
    <w:p w14:paraId="16DA767E" w14:textId="77777777" w:rsidR="00481EA4" w:rsidRPr="00215D48" w:rsidRDefault="00481EA4" w:rsidP="00481EA4">
      <w:pPr>
        <w:spacing w:before="0" w:after="0" w:line="240" w:lineRule="auto"/>
        <w:rPr>
          <w:sz w:val="20"/>
        </w:rPr>
        <w:sectPr w:rsidR="00481EA4" w:rsidRPr="00215D48" w:rsidSect="00481EA4">
          <w:headerReference w:type="even" r:id="rId34"/>
          <w:headerReference w:type="default" r:id="rId35"/>
          <w:footerReference w:type="default" r:id="rId36"/>
          <w:headerReference w:type="first" r:id="rId37"/>
          <w:type w:val="continuous"/>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481EA4" w:rsidRPr="00215D48" w14:paraId="6CF5B187" w14:textId="77777777" w:rsidTr="00F46BB9">
        <w:trPr>
          <w:trHeight w:hRule="exact" w:val="565"/>
          <w:jc w:val="center"/>
        </w:trPr>
        <w:tc>
          <w:tcPr>
            <w:tcW w:w="9145" w:type="dxa"/>
          </w:tcPr>
          <w:p w14:paraId="560084DB" w14:textId="77777777" w:rsidR="00481EA4" w:rsidRPr="00215D48" w:rsidRDefault="00481EA4" w:rsidP="00F46BB9">
            <w:pPr>
              <w:pStyle w:val="TGASignoff"/>
            </w:pPr>
            <w:r w:rsidRPr="00215D48">
              <w:t>Therapeutic Goods Administration</w:t>
            </w:r>
          </w:p>
        </w:tc>
      </w:tr>
      <w:tr w:rsidR="00481EA4" w:rsidRPr="00215D48" w14:paraId="5BC91244" w14:textId="77777777" w:rsidTr="00F46BB9">
        <w:trPr>
          <w:trHeight w:val="963"/>
          <w:jc w:val="center"/>
        </w:trPr>
        <w:tc>
          <w:tcPr>
            <w:tcW w:w="9145" w:type="dxa"/>
            <w:tcMar>
              <w:top w:w="28" w:type="dxa"/>
            </w:tcMar>
          </w:tcPr>
          <w:p w14:paraId="28A87E6E" w14:textId="77777777" w:rsidR="00481EA4" w:rsidRPr="00215D48" w:rsidRDefault="00481EA4" w:rsidP="00F46BB9">
            <w:pPr>
              <w:pStyle w:val="Address"/>
              <w:jc w:val="center"/>
            </w:pPr>
            <w:r w:rsidRPr="00215D48">
              <w:t>PO Box 100 Woden ACT 2606 Australia</w:t>
            </w:r>
          </w:p>
          <w:p w14:paraId="63071B80" w14:textId="77777777" w:rsidR="00481EA4" w:rsidRDefault="00481EA4" w:rsidP="00F46BB9">
            <w:pPr>
              <w:pStyle w:val="Address"/>
              <w:jc w:val="center"/>
              <w:rPr>
                <w:sz w:val="22"/>
                <w:szCs w:val="22"/>
              </w:rPr>
            </w:pPr>
            <w:r w:rsidRPr="00215D48">
              <w:t xml:space="preserve">Email: </w:t>
            </w:r>
            <w:hyperlink r:id="rId38"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22B6D9AA" w14:textId="77777777" w:rsidR="00481EA4" w:rsidRPr="00215D48" w:rsidRDefault="008C10F0" w:rsidP="00F46BB9">
            <w:pPr>
              <w:pStyle w:val="Address"/>
              <w:jc w:val="center"/>
              <w:rPr>
                <w:rStyle w:val="Hyperlink"/>
                <w:b/>
                <w:sz w:val="22"/>
              </w:rPr>
            </w:pPr>
            <w:hyperlink r:id="rId39" w:history="1">
              <w:r w:rsidR="00481EA4" w:rsidRPr="00C4721A">
                <w:rPr>
                  <w:rStyle w:val="Hyperlink"/>
                  <w:b/>
                </w:rPr>
                <w:t>https://www.tga.gov.au</w:t>
              </w:r>
            </w:hyperlink>
          </w:p>
        </w:tc>
      </w:tr>
      <w:tr w:rsidR="00481EA4" w:rsidRPr="00215D48" w14:paraId="52EE1E96" w14:textId="77777777" w:rsidTr="00F46BB9">
        <w:trPr>
          <w:trHeight w:val="251"/>
          <w:jc w:val="center"/>
        </w:trPr>
        <w:tc>
          <w:tcPr>
            <w:tcW w:w="9145" w:type="dxa"/>
            <w:tcMar>
              <w:top w:w="28" w:type="dxa"/>
            </w:tcMar>
          </w:tcPr>
          <w:p w14:paraId="4BCEADCB" w14:textId="77777777" w:rsidR="00481EA4" w:rsidRPr="00215D48" w:rsidRDefault="00481EA4" w:rsidP="00F46BB9">
            <w:pPr>
              <w:pStyle w:val="Address"/>
              <w:jc w:val="center"/>
            </w:pPr>
            <w:r w:rsidRPr="00215D48">
              <w:t>Reference/Publication #</w:t>
            </w:r>
          </w:p>
        </w:tc>
      </w:tr>
    </w:tbl>
    <w:p w14:paraId="1418322B" w14:textId="77777777" w:rsidR="00481EA4" w:rsidRPr="00215D48" w:rsidRDefault="00481EA4" w:rsidP="00481EA4">
      <w:pPr>
        <w:rPr>
          <w:sz w:val="20"/>
        </w:rPr>
      </w:pPr>
    </w:p>
    <w:p w14:paraId="4A9AB454" w14:textId="77777777" w:rsidR="003E3D34" w:rsidRPr="009401F6" w:rsidRDefault="003E3D34" w:rsidP="00F8404D">
      <w:pPr>
        <w:sectPr w:rsidR="003E3D34" w:rsidRPr="009401F6" w:rsidSect="0074066C">
          <w:headerReference w:type="even" r:id="rId40"/>
          <w:headerReference w:type="default" r:id="rId41"/>
          <w:footerReference w:type="default" r:id="rId42"/>
          <w:headerReference w:type="first" r:id="rId43"/>
          <w:type w:val="continuous"/>
          <w:pgSz w:w="11906" w:h="16838" w:code="9"/>
          <w:pgMar w:top="1530" w:right="1418" w:bottom="1361" w:left="1418" w:header="998" w:footer="283" w:gutter="0"/>
          <w:cols w:space="708"/>
          <w:titlePg/>
          <w:docGrid w:linePitch="360"/>
        </w:sectPr>
      </w:pPr>
    </w:p>
    <w:p w14:paraId="1B117C72" w14:textId="77777777" w:rsidR="0084580B" w:rsidRPr="009401F6" w:rsidRDefault="0084580B" w:rsidP="00F8404D">
      <w:pPr>
        <w:pStyle w:val="Footer"/>
      </w:pPr>
    </w:p>
    <w:sectPr w:rsidR="0084580B" w:rsidRPr="009401F6" w:rsidSect="00F8404D">
      <w:headerReference w:type="even" r:id="rId44"/>
      <w:headerReference w:type="default" r:id="rId45"/>
      <w:headerReference w:type="first" r:id="rId46"/>
      <w:footerReference w:type="first" r:id="rId4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191C" w14:textId="77777777" w:rsidR="001C21BC" w:rsidRDefault="001C21BC" w:rsidP="00C40A36">
      <w:pPr>
        <w:spacing w:after="0"/>
      </w:pPr>
      <w:r>
        <w:separator/>
      </w:r>
    </w:p>
    <w:p w14:paraId="7D504905" w14:textId="77777777" w:rsidR="001C21BC" w:rsidRDefault="001C21BC"/>
  </w:endnote>
  <w:endnote w:type="continuationSeparator" w:id="0">
    <w:p w14:paraId="193E70CB" w14:textId="77777777" w:rsidR="001C21BC" w:rsidRDefault="001C21BC" w:rsidP="00C40A36">
      <w:pPr>
        <w:spacing w:after="0"/>
      </w:pPr>
      <w:r>
        <w:continuationSeparator/>
      </w:r>
    </w:p>
    <w:p w14:paraId="0B79CEB3" w14:textId="77777777" w:rsidR="001C21BC" w:rsidRDefault="001C2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oto Sans">
    <w:charset w:val="00"/>
    <w:family w:val="swiss"/>
    <w:pitch w:val="variable"/>
    <w:sig w:usb0="E00082FF" w:usb1="400078FF" w:usb2="00000021"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D08B" w14:textId="77777777"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14:paraId="0BF31A6F" w14:textId="77777777" w:rsidTr="00A3654F">
      <w:trPr>
        <w:trHeight w:val="423"/>
      </w:trPr>
      <w:tc>
        <w:tcPr>
          <w:tcW w:w="4360" w:type="dxa"/>
          <w:tcBorders>
            <w:top w:val="single" w:sz="4" w:space="0" w:color="auto"/>
          </w:tcBorders>
        </w:tcPr>
        <w:p w14:paraId="3E144454" w14:textId="77777777" w:rsidR="00F739D1" w:rsidRDefault="00F739D1" w:rsidP="008D4740">
          <w:pPr>
            <w:pStyle w:val="Footer"/>
          </w:pPr>
        </w:p>
        <w:p w14:paraId="2A8E3092" w14:textId="77777777"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2BEA13A7" w14:textId="77777777" w:rsidR="00F739D1" w:rsidRDefault="00F739D1" w:rsidP="008D4740">
              <w:pPr>
                <w:pStyle w:val="Footer"/>
                <w:jc w:val="right"/>
              </w:pPr>
            </w:p>
            <w:p w14:paraId="4E00B380" w14:textId="77777777"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FE1941">
                <w:rPr>
                  <w:noProof/>
                </w:rPr>
                <w:t>2</w:t>
              </w:r>
              <w:r w:rsidR="00F87B87">
                <w:rPr>
                  <w:noProof/>
                </w:rPr>
                <w:fldChar w:fldCharType="end"/>
              </w:r>
              <w:r w:rsidRPr="00257138">
                <w:t xml:space="preserve"> of </w:t>
              </w:r>
              <w:r w:rsidR="008C10F0">
                <w:fldChar w:fldCharType="begin"/>
              </w:r>
              <w:r w:rsidR="008C10F0">
                <w:instrText xml:space="preserve"> NUMPAGES  </w:instrText>
              </w:r>
              <w:r w:rsidR="008C10F0">
                <w:fldChar w:fldCharType="separate"/>
              </w:r>
              <w:r w:rsidR="004C2E29">
                <w:rPr>
                  <w:noProof/>
                </w:rPr>
                <w:t>2</w:t>
              </w:r>
              <w:r w:rsidR="008C10F0">
                <w:rPr>
                  <w:noProof/>
                </w:rPr>
                <w:fldChar w:fldCharType="end"/>
              </w:r>
            </w:p>
          </w:sdtContent>
        </w:sdt>
      </w:tc>
    </w:tr>
    <w:tr w:rsidR="00F739D1" w:rsidRPr="00257138" w14:paraId="16BBDE50" w14:textId="77777777" w:rsidTr="00A3654F">
      <w:trPr>
        <w:trHeight w:val="263"/>
      </w:trPr>
      <w:tc>
        <w:tcPr>
          <w:tcW w:w="4360" w:type="dxa"/>
        </w:tcPr>
        <w:p w14:paraId="0849BB24" w14:textId="77777777" w:rsidR="00F739D1" w:rsidRPr="00257138" w:rsidRDefault="00F739D1" w:rsidP="008D4740">
          <w:pPr>
            <w:pStyle w:val="Footer"/>
          </w:pPr>
          <w:r w:rsidRPr="00257138">
            <w:t xml:space="preserve">V1.0 </w:t>
          </w:r>
          <w:r>
            <w:t>Month</w:t>
          </w:r>
          <w:r w:rsidRPr="00257138">
            <w:t xml:space="preserve"> 201</w:t>
          </w:r>
          <w:r>
            <w:t>2</w:t>
          </w:r>
        </w:p>
      </w:tc>
      <w:tc>
        <w:tcPr>
          <w:tcW w:w="4360" w:type="dxa"/>
        </w:tcPr>
        <w:p w14:paraId="0F9D0B01" w14:textId="77777777" w:rsidR="00F739D1" w:rsidRPr="00257138" w:rsidRDefault="00F739D1" w:rsidP="008D4740">
          <w:pPr>
            <w:pStyle w:val="Footer"/>
            <w:jc w:val="right"/>
          </w:pPr>
        </w:p>
      </w:tc>
    </w:tr>
  </w:tbl>
  <w:p w14:paraId="404C5856" w14:textId="77777777"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D2A0" w14:textId="77777777"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481EA4" w:rsidRPr="004A3084" w14:paraId="45DAECF7" w14:textId="77777777" w:rsidTr="00030D34">
      <w:trPr>
        <w:trHeight w:val="423"/>
      </w:trPr>
      <w:tc>
        <w:tcPr>
          <w:tcW w:w="7338" w:type="dxa"/>
          <w:tcBorders>
            <w:top w:val="single" w:sz="4" w:space="0" w:color="auto"/>
          </w:tcBorders>
        </w:tcPr>
        <w:p w14:paraId="0FD1FC6F" w14:textId="7F5E031E" w:rsidR="00481EA4" w:rsidRPr="004A3084" w:rsidRDefault="00481EA4" w:rsidP="00F54CA9">
          <w:pPr>
            <w:pStyle w:val="Footer"/>
          </w:pPr>
          <w:r w:rsidRPr="00481EA4">
            <w:t>Boundary and combination products - medicines, medical devices, and biologicals</w:t>
          </w:r>
          <w:r w:rsidRPr="00481EA4">
            <w:br/>
            <w:t xml:space="preserve">V1.0 </w:t>
          </w:r>
          <w:r w:rsidR="003F3334">
            <w:t xml:space="preserve">October </w:t>
          </w:r>
          <w:r>
            <w:t>2022</w:t>
          </w:r>
        </w:p>
      </w:tc>
      <w:tc>
        <w:tcPr>
          <w:tcW w:w="1734" w:type="dxa"/>
          <w:tcBorders>
            <w:top w:val="single" w:sz="4" w:space="0" w:color="auto"/>
          </w:tcBorders>
        </w:tcPr>
        <w:sdt>
          <w:sdtPr>
            <w:id w:val="11571659"/>
            <w:docPartObj>
              <w:docPartGallery w:val="Page Numbers (Top of Page)"/>
              <w:docPartUnique/>
            </w:docPartObj>
          </w:sdtPr>
          <w:sdtEndPr/>
          <w:sdtContent>
            <w:p w14:paraId="05CDDE6F" w14:textId="77777777" w:rsidR="00481EA4" w:rsidRPr="004A3084" w:rsidRDefault="00481EA4" w:rsidP="00231E8D">
              <w:pPr>
                <w:pStyle w:val="Footer"/>
                <w:jc w:val="right"/>
              </w:pPr>
              <w:r w:rsidRPr="004A3084">
                <w:t xml:space="preserve">Page </w:t>
              </w:r>
              <w:r>
                <w:fldChar w:fldCharType="begin"/>
              </w:r>
              <w:r>
                <w:instrText xml:space="preserve"> PAGE </w:instrText>
              </w:r>
              <w:r>
                <w:fldChar w:fldCharType="separate"/>
              </w:r>
              <w:r>
                <w:rPr>
                  <w:noProof/>
                </w:rPr>
                <w:t>13</w:t>
              </w:r>
              <w:r>
                <w:rPr>
                  <w:noProof/>
                </w:rPr>
                <w:fldChar w:fldCharType="end"/>
              </w:r>
              <w:r w:rsidRPr="004A3084">
                <w:t xml:space="preserve"> of </w:t>
              </w:r>
              <w:r w:rsidR="008C10F0">
                <w:fldChar w:fldCharType="begin"/>
              </w:r>
              <w:r w:rsidR="008C10F0">
                <w:instrText xml:space="preserve"> NUMPAGES  </w:instrText>
              </w:r>
              <w:r w:rsidR="008C10F0">
                <w:fldChar w:fldCharType="separate"/>
              </w:r>
              <w:r>
                <w:rPr>
                  <w:noProof/>
                </w:rPr>
                <w:t>20</w:t>
              </w:r>
              <w:r w:rsidR="008C10F0">
                <w:rPr>
                  <w:noProof/>
                </w:rPr>
                <w:fldChar w:fldCharType="end"/>
              </w:r>
            </w:p>
          </w:sdtContent>
        </w:sdt>
      </w:tc>
    </w:tr>
  </w:tbl>
  <w:p w14:paraId="7AC192BF" w14:textId="77777777" w:rsidR="00481EA4" w:rsidRPr="00826007" w:rsidRDefault="00481EA4"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F739D1" w:rsidRPr="00257138" w14:paraId="726197B8" w14:textId="77777777" w:rsidTr="00D433BD">
      <w:trPr>
        <w:trHeight w:val="423"/>
      </w:trPr>
      <w:tc>
        <w:tcPr>
          <w:tcW w:w="7479" w:type="dxa"/>
        </w:tcPr>
        <w:p w14:paraId="23A5B922" w14:textId="77777777" w:rsidR="00F739D1" w:rsidRPr="00257138" w:rsidRDefault="00F739D1" w:rsidP="00EB182C">
          <w:pPr>
            <w:pStyle w:val="Footer"/>
            <w:spacing w:before="120" w:after="120"/>
          </w:pPr>
          <w:r w:rsidRPr="00EE1482">
            <w:t>Document</w:t>
          </w:r>
          <w:r w:rsidRPr="00257138">
            <w:t xml:space="preserve"> title</w:t>
          </w:r>
          <w:r>
            <w:t>:</w:t>
          </w:r>
          <w:r w:rsidR="00EE1482">
            <w:t xml:space="preserve"> </w:t>
          </w:r>
          <w:r w:rsidR="00EE1482">
            <w:br/>
          </w:r>
          <w:r w:rsidR="00EE1482" w:rsidRPr="00257138">
            <w:t xml:space="preserve">V1.0 </w:t>
          </w:r>
          <w:r w:rsidR="00EE1482">
            <w:t>Month</w:t>
          </w:r>
          <w:r w:rsidR="00EE1482" w:rsidRPr="00257138">
            <w:t xml:space="preserve"> </w:t>
          </w:r>
          <w:r w:rsidR="00EB182C">
            <w:t>Year</w:t>
          </w:r>
        </w:p>
      </w:tc>
      <w:tc>
        <w:tcPr>
          <w:tcW w:w="1593" w:type="dxa"/>
        </w:tcPr>
        <w:sdt>
          <w:sdtPr>
            <w:id w:val="3702141"/>
            <w:docPartObj>
              <w:docPartGallery w:val="Page Numbers (Top of Page)"/>
              <w:docPartUnique/>
            </w:docPartObj>
          </w:sdtPr>
          <w:sdtEndPr/>
          <w:sdtContent>
            <w:p w14:paraId="27BC003B" w14:textId="77777777"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D433BD">
                <w:rPr>
                  <w:noProof/>
                </w:rPr>
                <w:t>5</w:t>
              </w:r>
              <w:r w:rsidR="00F87B87">
                <w:rPr>
                  <w:noProof/>
                </w:rPr>
                <w:fldChar w:fldCharType="end"/>
              </w:r>
              <w:r w:rsidRPr="00257138">
                <w:t xml:space="preserve"> of </w:t>
              </w:r>
              <w:r w:rsidR="008C10F0">
                <w:fldChar w:fldCharType="begin"/>
              </w:r>
              <w:r w:rsidR="008C10F0">
                <w:instrText xml:space="preserve"> NUMPAGES  </w:instrText>
              </w:r>
              <w:r w:rsidR="008C10F0">
                <w:fldChar w:fldCharType="separate"/>
              </w:r>
              <w:r w:rsidR="00D433BD">
                <w:rPr>
                  <w:noProof/>
                </w:rPr>
                <w:t>6</w:t>
              </w:r>
              <w:r w:rsidR="008C10F0">
                <w:rPr>
                  <w:noProof/>
                </w:rPr>
                <w:fldChar w:fldCharType="end"/>
              </w:r>
            </w:p>
          </w:sdtContent>
        </w:sdt>
      </w:tc>
    </w:tr>
  </w:tbl>
  <w:p w14:paraId="25066834" w14:textId="77777777" w:rsidR="00F739D1" w:rsidRPr="00826007" w:rsidRDefault="00F739D1" w:rsidP="00F4663D">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26CA" w14:textId="77777777"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58EB" w14:textId="77777777" w:rsidR="001C21BC" w:rsidRDefault="001C21BC" w:rsidP="00FE1941">
      <w:pPr>
        <w:spacing w:after="0"/>
      </w:pPr>
      <w:r>
        <w:separator/>
      </w:r>
    </w:p>
  </w:footnote>
  <w:footnote w:type="continuationSeparator" w:id="0">
    <w:p w14:paraId="258DA79F" w14:textId="77777777" w:rsidR="001C21BC" w:rsidRDefault="001C21BC" w:rsidP="00C40A36">
      <w:pPr>
        <w:spacing w:after="0"/>
      </w:pPr>
      <w:r>
        <w:continuationSeparator/>
      </w:r>
    </w:p>
    <w:p w14:paraId="46645395" w14:textId="77777777" w:rsidR="001C21BC" w:rsidRDefault="001C21BC"/>
  </w:footnote>
  <w:footnote w:id="1">
    <w:p w14:paraId="29DBE4E5" w14:textId="77777777" w:rsidR="00481EA4" w:rsidRDefault="00481EA4" w:rsidP="00481EA4">
      <w:pPr>
        <w:pStyle w:val="FootnoteText"/>
      </w:pPr>
      <w:r>
        <w:rPr>
          <w:rStyle w:val="FootnoteReference"/>
        </w:rPr>
        <w:footnoteRef/>
      </w:r>
      <w:r>
        <w:t xml:space="preserve"> Based on EU borderline guidance. MDCG 2022-5 - </w:t>
      </w:r>
      <w:hyperlink r:id="rId1" w:history="1">
        <w:r w:rsidRPr="006C5AC9">
          <w:rPr>
            <w:rStyle w:val="Hyperlink"/>
          </w:rPr>
          <w:t>https://ec.europa.eu/health/system/files/2022-04/mdcg_2022-5_en_0.pdf</w:t>
        </w:r>
      </w:hyperlink>
      <w:r>
        <w:t xml:space="preserve"> </w:t>
      </w:r>
    </w:p>
  </w:footnote>
  <w:footnote w:id="2">
    <w:p w14:paraId="73E8F9B5" w14:textId="77777777" w:rsidR="00481EA4" w:rsidRDefault="00481EA4" w:rsidP="00481EA4">
      <w:pPr>
        <w:pStyle w:val="FootnoteText"/>
      </w:pPr>
      <w:r>
        <w:rPr>
          <w:rStyle w:val="FootnoteReference"/>
        </w:rPr>
        <w:footnoteRef/>
      </w:r>
      <w:r>
        <w:t xml:space="preserve"> Based on EU borderline guidance. MDCG 2022-5 - </w:t>
      </w:r>
      <w:hyperlink r:id="rId2" w:history="1">
        <w:r w:rsidRPr="006C5AC9">
          <w:rPr>
            <w:rStyle w:val="Hyperlink"/>
          </w:rPr>
          <w:t>https://ec.europa.eu/health/system/files/2022-04/mdcg_2022-5_en_0.pdf</w:t>
        </w:r>
      </w:hyperlink>
    </w:p>
  </w:footnote>
  <w:footnote w:id="3">
    <w:p w14:paraId="4BC090C3" w14:textId="77777777" w:rsidR="00481EA4" w:rsidRDefault="00481EA4" w:rsidP="00481EA4">
      <w:pPr>
        <w:pStyle w:val="FootnoteText"/>
      </w:pPr>
      <w:r>
        <w:rPr>
          <w:rStyle w:val="FootnoteReference"/>
        </w:rPr>
        <w:footnoteRef/>
      </w:r>
      <w:r>
        <w:t xml:space="preserve"> Ancillary – an accessory, subsidiary or helping thing – Macquarie Dictionary</w:t>
      </w:r>
    </w:p>
  </w:footnote>
  <w:footnote w:id="4">
    <w:p w14:paraId="357E53FE" w14:textId="77777777" w:rsidR="00481EA4" w:rsidRDefault="00481EA4" w:rsidP="00481EA4">
      <w:pPr>
        <w:pStyle w:val="FootnoteText"/>
      </w:pPr>
      <w:r>
        <w:rPr>
          <w:rStyle w:val="FootnoteReference"/>
        </w:rPr>
        <w:footnoteRef/>
      </w:r>
      <w:r>
        <w:t xml:space="preserve"> Based on EU borderline guidance. MDCG 2022-5 - </w:t>
      </w:r>
      <w:hyperlink r:id="rId3" w:history="1">
        <w:r w:rsidRPr="006C5AC9">
          <w:rPr>
            <w:rStyle w:val="Hyperlink"/>
          </w:rPr>
          <w:t>https://ec.europa.eu/health/system/files/2022-04/mdcg_2022-5_en_0.pdf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20AC" w14:textId="00CFED43" w:rsidR="00831208" w:rsidRDefault="008C10F0">
    <w:pPr>
      <w:pStyle w:val="Header"/>
    </w:pPr>
    <w:r>
      <w:rPr>
        <w:noProof/>
      </w:rPr>
      <w:pict w14:anchorId="6CF4A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85" o:spid="_x0000_s2050" type="#_x0000_t136" style="position:absolute;left:0;text-align:left;margin-left:0;margin-top:0;width:456.7pt;height:182.6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5E53" w14:textId="04473918" w:rsidR="00831208" w:rsidRDefault="008C10F0">
    <w:pPr>
      <w:pStyle w:val="Header"/>
    </w:pPr>
    <w:r>
      <w:rPr>
        <w:noProof/>
      </w:rPr>
      <w:pict w14:anchorId="7862E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94" o:spid="_x0000_s2059" type="#_x0000_t136" style="position:absolute;left:0;text-align:left;margin-left:0;margin-top:0;width:456.7pt;height:182.65pt;rotation:315;z-index:-25163468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B51D" w14:textId="63EE1C11" w:rsidR="00831208" w:rsidRDefault="008C10F0">
    <w:pPr>
      <w:pStyle w:val="Header"/>
    </w:pPr>
    <w:r>
      <w:rPr>
        <w:noProof/>
      </w:rPr>
      <w:pict w14:anchorId="17E91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95" o:spid="_x0000_s2060" type="#_x0000_t136" style="position:absolute;left:0;text-align:left;margin-left:0;margin-top:0;width:456.7pt;height:182.65pt;rotation:315;z-index:-2516326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C2EB" w14:textId="4D0D80E2" w:rsidR="0047772E" w:rsidRPr="009401F6" w:rsidRDefault="008C10F0" w:rsidP="0047772E">
    <w:r>
      <w:rPr>
        <w:noProof/>
      </w:rPr>
      <w:pict w14:anchorId="686D8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93" o:spid="_x0000_s2058" type="#_x0000_t136" style="position:absolute;margin-left:0;margin-top:0;width:456.7pt;height:182.65pt;rotation:315;z-index:-25163673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p w14:paraId="30339314" w14:textId="77777777" w:rsidR="00F739D1" w:rsidRPr="002B0C2E" w:rsidRDefault="00F739D1" w:rsidP="002B0C2E">
    <w:pPr>
      <w:pStyle w:val="HeaderNo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0C07" w14:textId="36E005C7" w:rsidR="00F739D1" w:rsidRPr="00920FF4" w:rsidRDefault="008C10F0" w:rsidP="00920FF4">
    <w:pPr>
      <w:pStyle w:val="Header"/>
    </w:pPr>
    <w:r>
      <w:rPr>
        <w:noProof/>
      </w:rPr>
      <w:pict w14:anchorId="08FB9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86" o:spid="_x0000_s2051" type="#_x0000_t136" style="position:absolute;left:0;text-align:left;margin-left:0;margin-top:0;width:456.7pt;height:182.65pt;rotation:315;z-index:-25165107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F739D1">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4E9A" w14:textId="6FBE827F" w:rsidR="00FF7B50" w:rsidRPr="00E32326" w:rsidRDefault="008C10F0" w:rsidP="00F202AB">
    <w:r>
      <w:rPr>
        <w:noProof/>
      </w:rPr>
      <w:pict w14:anchorId="4172E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84" o:spid="_x0000_s2049" type="#_x0000_t136" style="position:absolute;margin-left:0;margin-top:0;width:456.7pt;height:182.6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F3255D" w:rsidRPr="00F3255D">
      <w:rPr>
        <w:noProof/>
        <w:lang w:eastAsia="en-AU"/>
      </w:rPr>
      <w:drawing>
        <wp:anchor distT="0" distB="0" distL="114300" distR="114300" simplePos="0" relativeHeight="251659264" behindDoc="0" locked="0" layoutInCell="1" allowOverlap="1" wp14:anchorId="5DF4EF2C" wp14:editId="188850BE">
          <wp:simplePos x="0" y="0"/>
          <wp:positionH relativeFrom="column">
            <wp:posOffset>-195580</wp:posOffset>
          </wp:positionH>
          <wp:positionV relativeFrom="paragraph">
            <wp:posOffset>132715</wp:posOffset>
          </wp:positionV>
          <wp:extent cx="3524250" cy="819150"/>
          <wp:effectExtent l="0" t="0" r="0" b="0"/>
          <wp:wrapTopAndBottom/>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14:paraId="7ACCAC37" w14:textId="77777777" w:rsidTr="002C6B85">
      <w:trPr>
        <w:trHeight w:hRule="exact" w:val="8845"/>
      </w:trPr>
      <w:tc>
        <w:tcPr>
          <w:tcW w:w="11964" w:type="dxa"/>
        </w:tcPr>
        <w:p w14:paraId="562C4129" w14:textId="77777777" w:rsidR="00FF7B50" w:rsidRPr="00FF7B50" w:rsidRDefault="008C10F0" w:rsidP="00AE0320">
          <w:pPr>
            <w:pStyle w:val="Header"/>
            <w:ind w:left="-57"/>
            <w:jc w:val="left"/>
            <w:rPr>
              <w:noProof/>
              <w:lang w:eastAsia="en-AU"/>
            </w:rPr>
          </w:pPr>
          <w:sdt>
            <w:sdtPr>
              <w:rPr>
                <w:noProof/>
                <w:lang w:eastAsia="en-AU"/>
              </w:rPr>
              <w:id w:val="3702145"/>
              <w:showingPlcHdr/>
              <w:picture/>
            </w:sdtPr>
            <w:sdtEndPr/>
            <w:sdtContent>
              <w:r w:rsidR="00FF7B50" w:rsidRPr="00FF7B50">
                <w:rPr>
                  <w:noProof/>
                  <w:lang w:eastAsia="en-AU"/>
                </w:rPr>
                <w:drawing>
                  <wp:inline distT="0" distB="0" distL="0" distR="0" wp14:anchorId="408E3B3A" wp14:editId="2B82EE5F">
                    <wp:extent cx="7610475" cy="563880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8F7B085" w14:textId="77777777" w:rsidR="00F739D1" w:rsidRPr="00E32326" w:rsidRDefault="00FF7B50" w:rsidP="00F202AB">
    <w:r>
      <w:rPr>
        <w:noProof/>
        <w:lang w:eastAsia="en-AU"/>
      </w:rPr>
      <w:drawing>
        <wp:anchor distT="0" distB="0" distL="114300" distR="114300" simplePos="0" relativeHeight="251657216" behindDoc="0" locked="0" layoutInCell="0" allowOverlap="1" wp14:anchorId="58FF853B" wp14:editId="5DA716A7">
          <wp:simplePos x="0" y="0"/>
          <wp:positionH relativeFrom="column">
            <wp:posOffset>-900430</wp:posOffset>
          </wp:positionH>
          <wp:positionV relativeFrom="page">
            <wp:posOffset>4171950</wp:posOffset>
          </wp:positionV>
          <wp:extent cx="7600950" cy="2457450"/>
          <wp:effectExtent l="19050" t="0" r="0" b="0"/>
          <wp:wrapNone/>
          <wp:docPr id="10"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5131" w14:textId="244FB39E" w:rsidR="00831208" w:rsidRDefault="008C10F0">
    <w:pPr>
      <w:pStyle w:val="Header"/>
    </w:pPr>
    <w:r>
      <w:rPr>
        <w:noProof/>
      </w:rPr>
      <w:pict w14:anchorId="420D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88" o:spid="_x0000_s2053" type="#_x0000_t136" style="position:absolute;left:0;text-align:left;margin-left:0;margin-top:0;width:456.7pt;height:182.65pt;rotation:315;z-index:-25164697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183B" w14:textId="0345D39D" w:rsidR="00481EA4" w:rsidRDefault="008C10F0" w:rsidP="00C3408D">
    <w:pPr>
      <w:pStyle w:val="Header"/>
    </w:pPr>
    <w:r>
      <w:rPr>
        <w:noProof/>
      </w:rPr>
      <w:pict w14:anchorId="1F510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89" o:spid="_x0000_s2054" type="#_x0000_t136" style="position:absolute;left:0;text-align:left;margin-left:0;margin-top:0;width:456.7pt;height:182.65pt;rotation:315;z-index:-25164492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481EA4" w:rsidRPr="000F5176">
      <w:t>Therapeutic Goods Administration</w:t>
    </w:r>
  </w:p>
  <w:p w14:paraId="3CD36AEC" w14:textId="77777777" w:rsidR="00481EA4" w:rsidRDefault="00481EA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DF66" w14:textId="778B291B" w:rsidR="00831208" w:rsidRDefault="008C10F0">
    <w:pPr>
      <w:pStyle w:val="Header"/>
    </w:pPr>
    <w:r>
      <w:rPr>
        <w:noProof/>
      </w:rPr>
      <w:pict w14:anchorId="32015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87" o:spid="_x0000_s2052" type="#_x0000_t136" style="position:absolute;left:0;text-align:left;margin-left:0;margin-top:0;width:456.7pt;height:182.65pt;rotation:315;z-index:-25164902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7172" w14:textId="69117AC7" w:rsidR="00831208" w:rsidRDefault="008C10F0">
    <w:pPr>
      <w:pStyle w:val="Header"/>
    </w:pPr>
    <w:r>
      <w:rPr>
        <w:noProof/>
      </w:rPr>
      <w:pict w14:anchorId="68F3B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91" o:spid="_x0000_s2056" type="#_x0000_t136" style="position:absolute;left:0;text-align:left;margin-left:0;margin-top:0;width:456.7pt;height:182.65pt;rotation:315;z-index:-25164083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119E" w14:textId="6792456F" w:rsidR="00F739D1" w:rsidRPr="00920FF4" w:rsidRDefault="008C10F0" w:rsidP="00920FF4">
    <w:pPr>
      <w:pStyle w:val="Header"/>
    </w:pPr>
    <w:r>
      <w:rPr>
        <w:noProof/>
      </w:rPr>
      <w:pict w14:anchorId="58203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92" o:spid="_x0000_s2057" type="#_x0000_t136" style="position:absolute;left:0;text-align:left;margin-left:0;margin-top:0;width:456.7pt;height:182.65pt;rotation:315;z-index:-25163878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F739D1">
      <w:t>Therapeutic Goods Administration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6CB1" w14:textId="66D147E4" w:rsidR="001D480A" w:rsidRPr="00920FF4" w:rsidRDefault="008C10F0" w:rsidP="001D480A">
    <w:pPr>
      <w:pStyle w:val="Header"/>
    </w:pPr>
    <w:r>
      <w:rPr>
        <w:noProof/>
      </w:rPr>
      <w:pict w14:anchorId="31716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59490" o:spid="_x0000_s2055" type="#_x0000_t136" style="position:absolute;left:0;text-align:left;margin-left:0;margin-top:0;width:456.7pt;height:182.65pt;rotation:315;z-index:-25164288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1D480A">
      <w:t>Therapeutic Goods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EB0"/>
    <w:multiLevelType w:val="hybridMultilevel"/>
    <w:tmpl w:val="016E3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76D37"/>
    <w:multiLevelType w:val="hybridMultilevel"/>
    <w:tmpl w:val="CE3C4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397342B"/>
    <w:multiLevelType w:val="hybridMultilevel"/>
    <w:tmpl w:val="0766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2F162708"/>
    <w:multiLevelType w:val="hybridMultilevel"/>
    <w:tmpl w:val="8B6C1E7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386B2FB5"/>
    <w:multiLevelType w:val="hybridMultilevel"/>
    <w:tmpl w:val="F3E6499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 w15:restartNumberingAfterBreak="0">
    <w:nsid w:val="4DFC0242"/>
    <w:multiLevelType w:val="hybridMultilevel"/>
    <w:tmpl w:val="A7EEB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51F45220"/>
    <w:multiLevelType w:val="hybridMultilevel"/>
    <w:tmpl w:val="B9966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AF54FF"/>
    <w:multiLevelType w:val="hybridMultilevel"/>
    <w:tmpl w:val="1A04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4"/>
  </w:num>
  <w:num w:numId="4">
    <w:abstractNumId w:val="2"/>
  </w:num>
  <w:num w:numId="5">
    <w:abstractNumId w:val="7"/>
  </w:num>
  <w:num w:numId="6">
    <w:abstractNumId w:val="13"/>
  </w:num>
  <w:num w:numId="7">
    <w:abstractNumId w:val="5"/>
  </w:num>
  <w:num w:numId="8">
    <w:abstractNumId w:val="10"/>
  </w:num>
  <w:num w:numId="9">
    <w:abstractNumId w:val="9"/>
  </w:num>
  <w:num w:numId="10">
    <w:abstractNumId w:val="11"/>
  </w:num>
  <w:num w:numId="11">
    <w:abstractNumId w:val="12"/>
  </w:num>
  <w:num w:numId="12">
    <w:abstractNumId w:val="3"/>
  </w:num>
  <w:num w:numId="13">
    <w:abstractNumId w:val="0"/>
  </w:num>
  <w:num w:numId="14">
    <w:abstractNumId w:val="6"/>
  </w:num>
  <w:num w:numId="15">
    <w:abstractNumId w:val="1"/>
  </w:num>
  <w:num w:numId="16">
    <w:abstractNumId w:val="8"/>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2B"/>
    <w:rsid w:val="00002031"/>
    <w:rsid w:val="00004734"/>
    <w:rsid w:val="00006B22"/>
    <w:rsid w:val="0001276A"/>
    <w:rsid w:val="000246AE"/>
    <w:rsid w:val="00025C67"/>
    <w:rsid w:val="0003306D"/>
    <w:rsid w:val="00055129"/>
    <w:rsid w:val="000554B4"/>
    <w:rsid w:val="0005559E"/>
    <w:rsid w:val="00061E51"/>
    <w:rsid w:val="00063028"/>
    <w:rsid w:val="00077775"/>
    <w:rsid w:val="000864D9"/>
    <w:rsid w:val="00090471"/>
    <w:rsid w:val="00090D92"/>
    <w:rsid w:val="000958DF"/>
    <w:rsid w:val="000A0965"/>
    <w:rsid w:val="000B0A5D"/>
    <w:rsid w:val="000B3532"/>
    <w:rsid w:val="000B3A75"/>
    <w:rsid w:val="000B7084"/>
    <w:rsid w:val="000C1C08"/>
    <w:rsid w:val="000C5A31"/>
    <w:rsid w:val="000D391B"/>
    <w:rsid w:val="000D3D6D"/>
    <w:rsid w:val="000D4FC7"/>
    <w:rsid w:val="000D663C"/>
    <w:rsid w:val="000F4869"/>
    <w:rsid w:val="000F5B42"/>
    <w:rsid w:val="000F6E6F"/>
    <w:rsid w:val="001003F2"/>
    <w:rsid w:val="0010601F"/>
    <w:rsid w:val="00107378"/>
    <w:rsid w:val="00110EA5"/>
    <w:rsid w:val="001119DF"/>
    <w:rsid w:val="00115240"/>
    <w:rsid w:val="00125091"/>
    <w:rsid w:val="00125318"/>
    <w:rsid w:val="00130334"/>
    <w:rsid w:val="001305A2"/>
    <w:rsid w:val="00132294"/>
    <w:rsid w:val="00133238"/>
    <w:rsid w:val="00140FE3"/>
    <w:rsid w:val="0014197B"/>
    <w:rsid w:val="001447CD"/>
    <w:rsid w:val="001516B1"/>
    <w:rsid w:val="001525B4"/>
    <w:rsid w:val="00155AE9"/>
    <w:rsid w:val="00156316"/>
    <w:rsid w:val="00160006"/>
    <w:rsid w:val="00163C7B"/>
    <w:rsid w:val="00165389"/>
    <w:rsid w:val="00166957"/>
    <w:rsid w:val="00170CED"/>
    <w:rsid w:val="00172296"/>
    <w:rsid w:val="0017693F"/>
    <w:rsid w:val="0018110E"/>
    <w:rsid w:val="00181684"/>
    <w:rsid w:val="001843C6"/>
    <w:rsid w:val="00184AC8"/>
    <w:rsid w:val="001850E0"/>
    <w:rsid w:val="0018693C"/>
    <w:rsid w:val="0019255A"/>
    <w:rsid w:val="001A525F"/>
    <w:rsid w:val="001A5AA6"/>
    <w:rsid w:val="001A69AB"/>
    <w:rsid w:val="001B09F9"/>
    <w:rsid w:val="001B6448"/>
    <w:rsid w:val="001C21BC"/>
    <w:rsid w:val="001D480A"/>
    <w:rsid w:val="001E07CF"/>
    <w:rsid w:val="001E59F1"/>
    <w:rsid w:val="001F49EB"/>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42CC9"/>
    <w:rsid w:val="002452E7"/>
    <w:rsid w:val="00245F98"/>
    <w:rsid w:val="00246194"/>
    <w:rsid w:val="002538AE"/>
    <w:rsid w:val="002541E7"/>
    <w:rsid w:val="00257138"/>
    <w:rsid w:val="00257848"/>
    <w:rsid w:val="0027084A"/>
    <w:rsid w:val="00271109"/>
    <w:rsid w:val="00277EF5"/>
    <w:rsid w:val="00280CA6"/>
    <w:rsid w:val="00286434"/>
    <w:rsid w:val="00286C59"/>
    <w:rsid w:val="002942D1"/>
    <w:rsid w:val="002A0556"/>
    <w:rsid w:val="002B0C2E"/>
    <w:rsid w:val="002B1638"/>
    <w:rsid w:val="002B706C"/>
    <w:rsid w:val="002C1D7D"/>
    <w:rsid w:val="002C2511"/>
    <w:rsid w:val="002D1EDF"/>
    <w:rsid w:val="002D43A3"/>
    <w:rsid w:val="002E4C9A"/>
    <w:rsid w:val="002F11F8"/>
    <w:rsid w:val="002F3F56"/>
    <w:rsid w:val="002F44B5"/>
    <w:rsid w:val="00311AC0"/>
    <w:rsid w:val="003204DD"/>
    <w:rsid w:val="00331DBB"/>
    <w:rsid w:val="00332680"/>
    <w:rsid w:val="003521E8"/>
    <w:rsid w:val="00365DDD"/>
    <w:rsid w:val="003664BF"/>
    <w:rsid w:val="003728F3"/>
    <w:rsid w:val="0037442E"/>
    <w:rsid w:val="00390900"/>
    <w:rsid w:val="003A13F0"/>
    <w:rsid w:val="003A35BD"/>
    <w:rsid w:val="003A5162"/>
    <w:rsid w:val="003B00C5"/>
    <w:rsid w:val="003B443E"/>
    <w:rsid w:val="003B7E39"/>
    <w:rsid w:val="003C30DC"/>
    <w:rsid w:val="003C58DC"/>
    <w:rsid w:val="003C7461"/>
    <w:rsid w:val="003D0CD9"/>
    <w:rsid w:val="003E3208"/>
    <w:rsid w:val="003E3D34"/>
    <w:rsid w:val="003E7EAA"/>
    <w:rsid w:val="003F0B04"/>
    <w:rsid w:val="003F3334"/>
    <w:rsid w:val="003F6F7D"/>
    <w:rsid w:val="0040134E"/>
    <w:rsid w:val="00410839"/>
    <w:rsid w:val="00414040"/>
    <w:rsid w:val="0041452B"/>
    <w:rsid w:val="004169A8"/>
    <w:rsid w:val="00440A2D"/>
    <w:rsid w:val="004414E4"/>
    <w:rsid w:val="00455A6F"/>
    <w:rsid w:val="004564A7"/>
    <w:rsid w:val="004617BF"/>
    <w:rsid w:val="004634F1"/>
    <w:rsid w:val="00465E90"/>
    <w:rsid w:val="00473A9C"/>
    <w:rsid w:val="0047772E"/>
    <w:rsid w:val="00477BB1"/>
    <w:rsid w:val="00481EA4"/>
    <w:rsid w:val="004923FF"/>
    <w:rsid w:val="00494E60"/>
    <w:rsid w:val="00496BAC"/>
    <w:rsid w:val="004B4CB5"/>
    <w:rsid w:val="004B5A6B"/>
    <w:rsid w:val="004B7B2D"/>
    <w:rsid w:val="004B7B76"/>
    <w:rsid w:val="004C0070"/>
    <w:rsid w:val="004C2E29"/>
    <w:rsid w:val="004D3B35"/>
    <w:rsid w:val="004D51A6"/>
    <w:rsid w:val="004F0F38"/>
    <w:rsid w:val="004F1A46"/>
    <w:rsid w:val="004F4D12"/>
    <w:rsid w:val="00501921"/>
    <w:rsid w:val="00511904"/>
    <w:rsid w:val="00522A0C"/>
    <w:rsid w:val="005234E9"/>
    <w:rsid w:val="005256DA"/>
    <w:rsid w:val="00530354"/>
    <w:rsid w:val="00531B11"/>
    <w:rsid w:val="005434C6"/>
    <w:rsid w:val="00543B39"/>
    <w:rsid w:val="0054583D"/>
    <w:rsid w:val="005477E7"/>
    <w:rsid w:val="00550096"/>
    <w:rsid w:val="0055532D"/>
    <w:rsid w:val="00557FF9"/>
    <w:rsid w:val="005711E4"/>
    <w:rsid w:val="00576378"/>
    <w:rsid w:val="00577279"/>
    <w:rsid w:val="00577E38"/>
    <w:rsid w:val="00585322"/>
    <w:rsid w:val="00593AD1"/>
    <w:rsid w:val="00594D03"/>
    <w:rsid w:val="00597877"/>
    <w:rsid w:val="005A1131"/>
    <w:rsid w:val="005A61CE"/>
    <w:rsid w:val="005B7A63"/>
    <w:rsid w:val="005C5570"/>
    <w:rsid w:val="005C79A4"/>
    <w:rsid w:val="005D420E"/>
    <w:rsid w:val="005D4EA1"/>
    <w:rsid w:val="005D5442"/>
    <w:rsid w:val="005E6592"/>
    <w:rsid w:val="00611B57"/>
    <w:rsid w:val="00617EAC"/>
    <w:rsid w:val="006239CD"/>
    <w:rsid w:val="00630772"/>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3FAF"/>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D3785"/>
    <w:rsid w:val="007E7BF8"/>
    <w:rsid w:val="007F2FF0"/>
    <w:rsid w:val="00801C24"/>
    <w:rsid w:val="00804C20"/>
    <w:rsid w:val="00810598"/>
    <w:rsid w:val="00811166"/>
    <w:rsid w:val="008122F2"/>
    <w:rsid w:val="00814492"/>
    <w:rsid w:val="00821776"/>
    <w:rsid w:val="00826007"/>
    <w:rsid w:val="0082769B"/>
    <w:rsid w:val="00831208"/>
    <w:rsid w:val="008321F5"/>
    <w:rsid w:val="00832369"/>
    <w:rsid w:val="00834660"/>
    <w:rsid w:val="00834C8E"/>
    <w:rsid w:val="0083505E"/>
    <w:rsid w:val="00836BC2"/>
    <w:rsid w:val="0084156C"/>
    <w:rsid w:val="0084580B"/>
    <w:rsid w:val="00845BCA"/>
    <w:rsid w:val="00853C8F"/>
    <w:rsid w:val="0085641B"/>
    <w:rsid w:val="00857136"/>
    <w:rsid w:val="00865387"/>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10F0"/>
    <w:rsid w:val="008C159F"/>
    <w:rsid w:val="008C1623"/>
    <w:rsid w:val="008C51A9"/>
    <w:rsid w:val="008C56D9"/>
    <w:rsid w:val="008D2B09"/>
    <w:rsid w:val="008D4740"/>
    <w:rsid w:val="008E7B83"/>
    <w:rsid w:val="008F1CCC"/>
    <w:rsid w:val="008F2967"/>
    <w:rsid w:val="008F407A"/>
    <w:rsid w:val="0090354E"/>
    <w:rsid w:val="00907ACE"/>
    <w:rsid w:val="00913595"/>
    <w:rsid w:val="00920330"/>
    <w:rsid w:val="00920FF4"/>
    <w:rsid w:val="009219D7"/>
    <w:rsid w:val="00922D53"/>
    <w:rsid w:val="00923B70"/>
    <w:rsid w:val="00925DC5"/>
    <w:rsid w:val="0092600B"/>
    <w:rsid w:val="00930237"/>
    <w:rsid w:val="00932B04"/>
    <w:rsid w:val="00934397"/>
    <w:rsid w:val="009401F6"/>
    <w:rsid w:val="00940F44"/>
    <w:rsid w:val="00941988"/>
    <w:rsid w:val="00952562"/>
    <w:rsid w:val="009543A5"/>
    <w:rsid w:val="009608E1"/>
    <w:rsid w:val="00963C08"/>
    <w:rsid w:val="0098519D"/>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5C06"/>
    <w:rsid w:val="00A3654F"/>
    <w:rsid w:val="00A36FA7"/>
    <w:rsid w:val="00A475B7"/>
    <w:rsid w:val="00A47AF7"/>
    <w:rsid w:val="00A47C3E"/>
    <w:rsid w:val="00A50226"/>
    <w:rsid w:val="00A52262"/>
    <w:rsid w:val="00A539AC"/>
    <w:rsid w:val="00A56488"/>
    <w:rsid w:val="00A57B0D"/>
    <w:rsid w:val="00A60BAD"/>
    <w:rsid w:val="00A64387"/>
    <w:rsid w:val="00A736F3"/>
    <w:rsid w:val="00A73A8D"/>
    <w:rsid w:val="00A84503"/>
    <w:rsid w:val="00A85B04"/>
    <w:rsid w:val="00A87334"/>
    <w:rsid w:val="00A9494E"/>
    <w:rsid w:val="00AB6F47"/>
    <w:rsid w:val="00AC2B40"/>
    <w:rsid w:val="00AC2BB2"/>
    <w:rsid w:val="00AC2C3C"/>
    <w:rsid w:val="00AC3BD9"/>
    <w:rsid w:val="00AC62E7"/>
    <w:rsid w:val="00AC7EB0"/>
    <w:rsid w:val="00AE0320"/>
    <w:rsid w:val="00AE65EB"/>
    <w:rsid w:val="00AF1D94"/>
    <w:rsid w:val="00AF60C5"/>
    <w:rsid w:val="00B009C6"/>
    <w:rsid w:val="00B01548"/>
    <w:rsid w:val="00B21D29"/>
    <w:rsid w:val="00B21FC5"/>
    <w:rsid w:val="00B21FEE"/>
    <w:rsid w:val="00B25034"/>
    <w:rsid w:val="00B33863"/>
    <w:rsid w:val="00B37D17"/>
    <w:rsid w:val="00B40C62"/>
    <w:rsid w:val="00B4175E"/>
    <w:rsid w:val="00B510E1"/>
    <w:rsid w:val="00B54C25"/>
    <w:rsid w:val="00B600DA"/>
    <w:rsid w:val="00B64F68"/>
    <w:rsid w:val="00B76B91"/>
    <w:rsid w:val="00B827AB"/>
    <w:rsid w:val="00B844CE"/>
    <w:rsid w:val="00B92C72"/>
    <w:rsid w:val="00BA6FF1"/>
    <w:rsid w:val="00BA75A5"/>
    <w:rsid w:val="00BB0909"/>
    <w:rsid w:val="00BB4DD5"/>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03A7"/>
    <w:rsid w:val="00C52BEE"/>
    <w:rsid w:val="00C6316B"/>
    <w:rsid w:val="00C634A9"/>
    <w:rsid w:val="00C73D6C"/>
    <w:rsid w:val="00C772FF"/>
    <w:rsid w:val="00C77BC8"/>
    <w:rsid w:val="00C801AF"/>
    <w:rsid w:val="00C80256"/>
    <w:rsid w:val="00CA1BE9"/>
    <w:rsid w:val="00CA77CC"/>
    <w:rsid w:val="00CB6BC0"/>
    <w:rsid w:val="00CC1B7C"/>
    <w:rsid w:val="00CC312C"/>
    <w:rsid w:val="00CC727F"/>
    <w:rsid w:val="00CD2699"/>
    <w:rsid w:val="00CD7871"/>
    <w:rsid w:val="00CE5BB0"/>
    <w:rsid w:val="00CF15C3"/>
    <w:rsid w:val="00CF2B6F"/>
    <w:rsid w:val="00CF3409"/>
    <w:rsid w:val="00D017ED"/>
    <w:rsid w:val="00D153B1"/>
    <w:rsid w:val="00D224FE"/>
    <w:rsid w:val="00D229BA"/>
    <w:rsid w:val="00D26B84"/>
    <w:rsid w:val="00D433BD"/>
    <w:rsid w:val="00D5616E"/>
    <w:rsid w:val="00D634FE"/>
    <w:rsid w:val="00D6493E"/>
    <w:rsid w:val="00D85AC0"/>
    <w:rsid w:val="00DA1124"/>
    <w:rsid w:val="00DA1DEF"/>
    <w:rsid w:val="00DA3043"/>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33A2B"/>
    <w:rsid w:val="00E40B22"/>
    <w:rsid w:val="00E4588F"/>
    <w:rsid w:val="00E46DA3"/>
    <w:rsid w:val="00E51164"/>
    <w:rsid w:val="00E5273C"/>
    <w:rsid w:val="00E8120B"/>
    <w:rsid w:val="00E84091"/>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11A17"/>
    <w:rsid w:val="00F12670"/>
    <w:rsid w:val="00F14B27"/>
    <w:rsid w:val="00F202AB"/>
    <w:rsid w:val="00F23562"/>
    <w:rsid w:val="00F3148D"/>
    <w:rsid w:val="00F3255D"/>
    <w:rsid w:val="00F35298"/>
    <w:rsid w:val="00F3529E"/>
    <w:rsid w:val="00F36C32"/>
    <w:rsid w:val="00F40F73"/>
    <w:rsid w:val="00F4305F"/>
    <w:rsid w:val="00F44B0D"/>
    <w:rsid w:val="00F4663D"/>
    <w:rsid w:val="00F467A6"/>
    <w:rsid w:val="00F47E37"/>
    <w:rsid w:val="00F54E3F"/>
    <w:rsid w:val="00F623FD"/>
    <w:rsid w:val="00F63C0D"/>
    <w:rsid w:val="00F640B6"/>
    <w:rsid w:val="00F65275"/>
    <w:rsid w:val="00F65CC8"/>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09B2"/>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E3F0815"/>
  <w15:docId w15:val="{B8ED3C4C-AC0C-4D9F-931A-8C3DB7CB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uiPriority w:val="99"/>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4"/>
      </w:numPr>
    </w:pPr>
  </w:style>
  <w:style w:type="paragraph" w:customStyle="1" w:styleId="Numberbullet2">
    <w:name w:val="Number bullet 2"/>
    <w:basedOn w:val="ListBullet2"/>
    <w:uiPriority w:val="3"/>
    <w:qFormat/>
    <w:rsid w:val="00EE1482"/>
    <w:pPr>
      <w:numPr>
        <w:numId w:val="4"/>
      </w:numPr>
    </w:pPr>
  </w:style>
  <w:style w:type="paragraph" w:customStyle="1" w:styleId="Numberbullet3">
    <w:name w:val="Number bullet 3"/>
    <w:basedOn w:val="Normal"/>
    <w:uiPriority w:val="3"/>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FlowChartWhiteHeading">
    <w:name w:val="Flow Chart White Heading"/>
    <w:basedOn w:val="Normal"/>
    <w:semiHidden/>
    <w:unhideWhenUsed/>
    <w:rsid w:val="00481EA4"/>
    <w:pPr>
      <w:jc w:val="center"/>
    </w:pPr>
    <w:rPr>
      <w:rFonts w:ascii="Arial" w:hAnsi="Arial"/>
      <w:b/>
      <w:color w:val="FFFFFF"/>
    </w:rPr>
  </w:style>
  <w:style w:type="paragraph" w:customStyle="1" w:styleId="FlowChartBlackHeading">
    <w:name w:val="Flow Chart Black Heading"/>
    <w:basedOn w:val="FlowChartWhiteHeading"/>
    <w:semiHidden/>
    <w:unhideWhenUsed/>
    <w:rsid w:val="00481EA4"/>
    <w:rPr>
      <w:color w:val="auto"/>
    </w:rPr>
  </w:style>
  <w:style w:type="paragraph" w:customStyle="1" w:styleId="FlowChartWhiteText">
    <w:name w:val="Flow Chart White Text"/>
    <w:basedOn w:val="Normal"/>
    <w:semiHidden/>
    <w:unhideWhenUsed/>
    <w:rsid w:val="00481EA4"/>
    <w:pPr>
      <w:spacing w:after="0"/>
      <w:jc w:val="center"/>
    </w:pPr>
    <w:rPr>
      <w:color w:val="FFFFFF"/>
    </w:rPr>
  </w:style>
  <w:style w:type="paragraph" w:customStyle="1" w:styleId="FlowchartText">
    <w:name w:val="Flowchart Text"/>
    <w:basedOn w:val="Normal"/>
    <w:semiHidden/>
    <w:unhideWhenUsed/>
    <w:rsid w:val="00481EA4"/>
    <w:pPr>
      <w:jc w:val="center"/>
    </w:pPr>
    <w:rPr>
      <w:rFonts w:ascii="Arial" w:hAnsi="Arial"/>
    </w:rPr>
  </w:style>
  <w:style w:type="paragraph" w:customStyle="1" w:styleId="Subject">
    <w:name w:val="Subject"/>
    <w:basedOn w:val="Normal"/>
    <w:rsid w:val="00481EA4"/>
    <w:rPr>
      <w:b/>
    </w:rPr>
  </w:style>
  <w:style w:type="paragraph" w:customStyle="1" w:styleId="ListBullet-dotick">
    <w:name w:val="List Bullet - do (tick)"/>
    <w:basedOn w:val="ListBullet"/>
    <w:autoRedefine/>
    <w:uiPriority w:val="1"/>
    <w:qFormat/>
    <w:rsid w:val="00481EA4"/>
    <w:pPr>
      <w:numPr>
        <w:numId w:val="7"/>
      </w:numPr>
      <w:tabs>
        <w:tab w:val="left" w:pos="425"/>
      </w:tabs>
    </w:pPr>
  </w:style>
  <w:style w:type="paragraph" w:customStyle="1" w:styleId="ListBullet-donotcross">
    <w:name w:val="List Bullet - do not (cross)"/>
    <w:basedOn w:val="ListBullet"/>
    <w:autoRedefine/>
    <w:uiPriority w:val="1"/>
    <w:qFormat/>
    <w:rsid w:val="00481EA4"/>
    <w:pPr>
      <w:numPr>
        <w:numId w:val="8"/>
      </w:numPr>
      <w:ind w:left="357" w:hanging="357"/>
    </w:pPr>
    <w:rPr>
      <w:rFonts w:eastAsiaTheme="minorHAnsi" w:cstheme="minorBidi"/>
      <w:szCs w:val="22"/>
    </w:rPr>
  </w:style>
  <w:style w:type="paragraph" w:styleId="ListParagraph">
    <w:name w:val="List Paragraph"/>
    <w:basedOn w:val="Normal"/>
    <w:uiPriority w:val="34"/>
    <w:qFormat/>
    <w:rsid w:val="00481EA4"/>
    <w:pPr>
      <w:spacing w:before="0" w:after="0" w:line="240" w:lineRule="auto"/>
      <w:ind w:left="720" w:hanging="357"/>
      <w:contextualSpacing/>
    </w:pPr>
    <w:rPr>
      <w:rFonts w:eastAsiaTheme="minorHAnsi" w:cstheme="minorBidi"/>
      <w:sz w:val="20"/>
      <w:szCs w:val="22"/>
    </w:rPr>
  </w:style>
  <w:style w:type="paragraph" w:customStyle="1" w:styleId="Default">
    <w:name w:val="Default"/>
    <w:rsid w:val="00481EA4"/>
    <w:pPr>
      <w:autoSpaceDE w:val="0"/>
      <w:autoSpaceDN w:val="0"/>
      <w:adjustRightInd w:val="0"/>
      <w:ind w:left="357" w:hanging="357"/>
    </w:pPr>
    <w:rPr>
      <w:rFonts w:ascii="Arial" w:eastAsiaTheme="minorHAns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481EA4"/>
    <w:rPr>
      <w:color w:val="605E5C"/>
      <w:shd w:val="clear" w:color="auto" w:fill="E1DFDD"/>
    </w:rPr>
  </w:style>
  <w:style w:type="character" w:styleId="UnresolvedMention">
    <w:name w:val="Unresolved Mention"/>
    <w:basedOn w:val="DefaultParagraphFont"/>
    <w:uiPriority w:val="99"/>
    <w:semiHidden/>
    <w:unhideWhenUsed/>
    <w:rsid w:val="00481EA4"/>
    <w:rPr>
      <w:color w:val="605E5C"/>
      <w:shd w:val="clear" w:color="auto" w:fill="E1DFDD"/>
    </w:rPr>
  </w:style>
  <w:style w:type="paragraph" w:styleId="NormalWeb">
    <w:name w:val="Normal (Web)"/>
    <w:basedOn w:val="Normal"/>
    <w:uiPriority w:val="99"/>
    <w:semiHidden/>
    <w:unhideWhenUsed/>
    <w:rsid w:val="00481EA4"/>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481EA4"/>
    <w:rPr>
      <w:b/>
      <w:bCs/>
    </w:rPr>
  </w:style>
  <w:style w:type="paragraph" w:styleId="Revision">
    <w:name w:val="Revision"/>
    <w:hidden/>
    <w:uiPriority w:val="99"/>
    <w:semiHidden/>
    <w:rsid w:val="00184AC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ga.copyright@tga.gov.au" TargetMode="External"/><Relationship Id="rId18" Type="http://schemas.openxmlformats.org/officeDocument/2006/relationships/hyperlink" Target="mailto:bloodandtissues@tga.gov.au" TargetMode="External"/><Relationship Id="rId26" Type="http://schemas.openxmlformats.org/officeDocument/2006/relationships/hyperlink" Target="https://www.tga.gov.au/publication/australian-regulatory-guidelines-prescription-medicines-argpm" TargetMode="External"/><Relationship Id="rId39"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yperlink" Target="https://www.legislation.gov.au/Details/F2011L00894" TargetMode="External"/><Relationship Id="rId34" Type="http://schemas.openxmlformats.org/officeDocument/2006/relationships/header" Target="header4.xml"/><Relationship Id="rId42" Type="http://schemas.openxmlformats.org/officeDocument/2006/relationships/footer" Target="footer4.xml"/><Relationship Id="rId47"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vices@health.gov.au" TargetMode="External"/><Relationship Id="rId25" Type="http://schemas.openxmlformats.org/officeDocument/2006/relationships/hyperlink" Target="https://www.tga.gov.au/other-therapeutic-goods" TargetMode="External"/><Relationship Id="rId33" Type="http://schemas.openxmlformats.org/officeDocument/2006/relationships/hyperlink" Target="https://www.tga.gov.au/resource/system-or-procedure-packs" TargetMode="External"/><Relationship Id="rId38" Type="http://schemas.openxmlformats.org/officeDocument/2006/relationships/hyperlink" Target="mailto:info@tga.gov.au" TargetMode="Externa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OTC.Medicines@health.gov.au" TargetMode="External"/><Relationship Id="rId20" Type="http://schemas.openxmlformats.org/officeDocument/2006/relationships/hyperlink" Target="https://www.tga.gov.au/therapeutic-goods-articles-are-not-medical-devices-order-no-1-2010" TargetMode="External"/><Relationship Id="rId29" Type="http://schemas.openxmlformats.org/officeDocument/2006/relationships/hyperlink" Target="https://www.tga.gov.au/publication/australian-regulatory-guidelines-biologicals-argb"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tga.gov.au/medical-devices-ivds" TargetMode="External"/><Relationship Id="rId32" Type="http://schemas.openxmlformats.org/officeDocument/2006/relationships/hyperlink" Target="https://www.tga.gov.au/excluded-goods-orders-determinations-and-specifications" TargetMode="Externa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s://www.tga.gov.au/legislation-legislative-instruments" TargetMode="External"/><Relationship Id="rId23" Type="http://schemas.openxmlformats.org/officeDocument/2006/relationships/hyperlink" Target="https://www.tga.gov.au/resource/system-or-procedure-packs" TargetMode="External"/><Relationship Id="rId28" Type="http://schemas.openxmlformats.org/officeDocument/2006/relationships/hyperlink" Target="https://www.tga.gov.au/publication/australian-regulatory-guidelines-listed-medicines-and-registered-complementary-medicines"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nfo@tga.gov.au" TargetMode="External"/><Relationship Id="rId31" Type="http://schemas.openxmlformats.org/officeDocument/2006/relationships/hyperlink" Target="https://www.tga.gov.au/resource/system-or-procedure-packs" TargetMode="Externa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www.tga.gov.au/disinfectants-sterilants-and-sanitary-products" TargetMode="External"/><Relationship Id="rId27" Type="http://schemas.openxmlformats.org/officeDocument/2006/relationships/hyperlink" Target="https://www.tga.gov.au/publication/australian-regulatory-guidelines-otc-medicines-argom-0" TargetMode="External"/><Relationship Id="rId30" Type="http://schemas.openxmlformats.org/officeDocument/2006/relationships/hyperlink" Target="https://www.tga.gov.au/therapeutic-goods-articles-are-not-medical-devices-order-no-1-2010" TargetMode="External"/><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ealth/system/files/2022-04/mdcg_2022-5_en_0.pdf" TargetMode="External"/><Relationship Id="rId2" Type="http://schemas.openxmlformats.org/officeDocument/2006/relationships/hyperlink" Target="https://ec.europa.eu/health/system/files/2022-04/mdcg_2022-5_en_0.pdf" TargetMode="External"/><Relationship Id="rId1" Type="http://schemas.openxmlformats.org/officeDocument/2006/relationships/hyperlink" Target="https://ec.europa.eu/health/system/files/2022-04/mdcg_2022-5_en_0.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0468-7320-480B-A3C6-0BF702CF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TotalTime>
  <Pages>19</Pages>
  <Words>5358</Words>
  <Characters>30544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Consultation:</vt:lpstr>
    </vt:vector>
  </TitlesOfParts>
  <Company>TGA</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c:title>
  <dc:creator>GILL, Tony</dc:creator>
  <cp:lastModifiedBy>MANDERSON, Natasha</cp:lastModifiedBy>
  <cp:revision>2</cp:revision>
  <cp:lastPrinted>2010-12-20T22:59:00Z</cp:lastPrinted>
  <dcterms:created xsi:type="dcterms:W3CDTF">2022-10-07T01:56:00Z</dcterms:created>
  <dcterms:modified xsi:type="dcterms:W3CDTF">2022-10-07T01:56:00Z</dcterms:modified>
</cp:coreProperties>
</file>