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352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B32C79" w:rsidRPr="00215D48" w14:paraId="2D1512FD" w14:textId="77777777" w:rsidTr="006853B0">
        <w:tc>
          <w:tcPr>
            <w:tcW w:w="8720" w:type="dxa"/>
          </w:tcPr>
          <w:p w14:paraId="35418195" w14:textId="77777777" w:rsidR="00B32C79" w:rsidRPr="00215D48" w:rsidRDefault="00B32C79" w:rsidP="00B32C79">
            <w:pPr>
              <w:pStyle w:val="Title"/>
            </w:pPr>
            <w:bookmarkStart w:id="0" w:name="_Toc158650251"/>
            <w:r>
              <w:t>IVD companion diagnostics (</w:t>
            </w:r>
            <w:proofErr w:type="spellStart"/>
            <w:r>
              <w:t>CDx</w:t>
            </w:r>
            <w:proofErr w:type="spellEnd"/>
            <w:r>
              <w:t>)</w:t>
            </w:r>
            <w:bookmarkEnd w:id="0"/>
          </w:p>
        </w:tc>
      </w:tr>
      <w:tr w:rsidR="00B32C79" w:rsidRPr="00215D48" w14:paraId="3375B824" w14:textId="77777777" w:rsidTr="006853B0">
        <w:trPr>
          <w:trHeight w:val="1916"/>
        </w:trPr>
        <w:tc>
          <w:tcPr>
            <w:tcW w:w="8720" w:type="dxa"/>
          </w:tcPr>
          <w:p w14:paraId="1C862FEE" w14:textId="77777777" w:rsidR="00B32C79" w:rsidRDefault="00B32C79" w:rsidP="00B32C79">
            <w:pPr>
              <w:pStyle w:val="Subtitle"/>
              <w:ind w:left="0"/>
            </w:pPr>
            <w:r>
              <w:t>Guidance on Australian regulatory requirements</w:t>
            </w:r>
          </w:p>
          <w:p w14:paraId="62E983E4" w14:textId="77777777" w:rsidR="00B32C79" w:rsidRPr="00335894" w:rsidRDefault="00B32C79" w:rsidP="00B32C79"/>
        </w:tc>
      </w:tr>
      <w:tr w:rsidR="00B32C79" w:rsidRPr="00215D48" w14:paraId="3D333397" w14:textId="77777777" w:rsidTr="006853B0">
        <w:tc>
          <w:tcPr>
            <w:tcW w:w="8720" w:type="dxa"/>
          </w:tcPr>
          <w:p w14:paraId="46260FA6" w14:textId="21899553" w:rsidR="00B32C79" w:rsidRPr="00215D48" w:rsidRDefault="00B32C79" w:rsidP="00B32C79">
            <w:pPr>
              <w:pStyle w:val="Date"/>
            </w:pPr>
            <w:r>
              <w:t xml:space="preserve">Version 1.3, </w:t>
            </w:r>
            <w:r w:rsidR="006246E2">
              <w:t>March</w:t>
            </w:r>
            <w:r w:rsidR="00C8608E">
              <w:t xml:space="preserve"> 2024</w:t>
            </w:r>
          </w:p>
        </w:tc>
      </w:tr>
    </w:tbl>
    <w:p w14:paraId="4DEA2B4D" w14:textId="77777777" w:rsidR="00BF6F1F" w:rsidRPr="00215D48" w:rsidRDefault="00BF6F1F" w:rsidP="00BF6F1F">
      <w:pPr>
        <w:pStyle w:val="ListBullet"/>
        <w:numPr>
          <w:ilvl w:val="0"/>
          <w:numId w:val="0"/>
        </w:numPr>
        <w:sectPr w:rsidR="00BF6F1F" w:rsidRPr="00215D48" w:rsidSect="000F4BBD">
          <w:headerReference w:type="default"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pPr>
    </w:p>
    <w:p w14:paraId="2B8BFACC" w14:textId="0A70D5F3" w:rsidR="00BF6F1F" w:rsidRPr="00E1198B" w:rsidRDefault="00BF6F1F" w:rsidP="007D29E8">
      <w:r w:rsidRPr="00BA0DFC">
        <w:lastRenderedPageBreak/>
        <w:t>Copyright</w:t>
      </w:r>
    </w:p>
    <w:p w14:paraId="34212513" w14:textId="058F2F77" w:rsidR="00BF6F1F" w:rsidRPr="00215D48" w:rsidRDefault="00BF6F1F" w:rsidP="00BF6F1F">
      <w:pPr>
        <w:pStyle w:val="LegalCopy"/>
      </w:pPr>
      <w:r w:rsidRPr="6E03E91B">
        <w:rPr>
          <w:rFonts w:cs="Arial"/>
        </w:rPr>
        <w:t xml:space="preserve">© Commonwealth of Australia </w:t>
      </w:r>
      <w:r w:rsidR="00A1110A" w:rsidRPr="6E03E91B">
        <w:rPr>
          <w:rFonts w:cs="Arial"/>
        </w:rPr>
        <w:t>202</w:t>
      </w:r>
      <w:r w:rsidR="00A1110A">
        <w:rPr>
          <w:rFonts w:cs="Arial"/>
        </w:rPr>
        <w:t>4</w:t>
      </w:r>
      <w:r>
        <w:br/>
      </w:r>
      <w:r w:rsidRPr="6E03E91B">
        <w:rPr>
          <w:rFonts w:cs="Arial"/>
        </w:rP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6E03E91B">
        <w:rPr>
          <w:rFonts w:cs="Arial"/>
          <w:i/>
          <w:iCs/>
        </w:rPr>
        <w:t>Copyright Act 1968</w:t>
      </w:r>
      <w:r w:rsidRPr="6E03E91B">
        <w:rPr>
          <w:rFonts w:cs="Arial"/>
        </w:rPr>
        <w:t xml:space="preserve"> or allowed by this copyright notice, all other rights are </w:t>
      </w:r>
      <w:proofErr w:type="gramStart"/>
      <w:r w:rsidRPr="6E03E91B">
        <w:rPr>
          <w:rFonts w:cs="Arial"/>
        </w:rPr>
        <w:t>reserved</w:t>
      </w:r>
      <w:proofErr w:type="gramEnd"/>
      <w:r w:rsidRPr="6E03E91B">
        <w:rPr>
          <w:rFonts w:cs="Arial"/>
        </w:rPr>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5">
        <w:r w:rsidRPr="6E03E91B">
          <w:rPr>
            <w:rStyle w:val="Hyperlink"/>
            <w:rFonts w:cs="Arial"/>
          </w:rPr>
          <w:t>tga.copyright@tga.gov.au</w:t>
        </w:r>
      </w:hyperlink>
      <w:r w:rsidRPr="6E03E91B">
        <w:rPr>
          <w:rFonts w:cs="Arial"/>
        </w:rPr>
        <w:t>&gt;.</w:t>
      </w:r>
    </w:p>
    <w:p w14:paraId="76980FE2" w14:textId="77777777" w:rsidR="00BF6F1F" w:rsidRPr="00215D48" w:rsidRDefault="00BF6F1F" w:rsidP="00BF6F1F">
      <w:r>
        <w:br w:type="page"/>
      </w:r>
    </w:p>
    <w:sdt>
      <w:sdtPr>
        <w:rPr>
          <w:rFonts w:asciiTheme="minorHAnsi" w:eastAsiaTheme="minorHAnsi" w:hAnsiTheme="minorHAnsi" w:cstheme="minorBidi"/>
          <w:color w:val="auto"/>
          <w:sz w:val="20"/>
          <w:szCs w:val="20"/>
          <w:lang w:val="en-AU"/>
        </w:rPr>
        <w:id w:val="2102215516"/>
        <w:docPartObj>
          <w:docPartGallery w:val="Table of Contents"/>
          <w:docPartUnique/>
        </w:docPartObj>
      </w:sdtPr>
      <w:sdtEndPr>
        <w:rPr>
          <w:rFonts w:ascii="Arial" w:hAnsi="Arial"/>
          <w:b/>
          <w:bCs/>
          <w:noProof/>
        </w:rPr>
      </w:sdtEndPr>
      <w:sdtContent>
        <w:p w14:paraId="52EEFC09" w14:textId="2A4BF29A" w:rsidR="00335894" w:rsidRPr="00BF6F1F" w:rsidRDefault="00335894">
          <w:pPr>
            <w:pStyle w:val="TOCHeading"/>
            <w:rPr>
              <w:rFonts w:ascii="Arial" w:hAnsi="Arial" w:cs="Arial"/>
              <w:b/>
              <w:bCs/>
            </w:rPr>
          </w:pPr>
          <w:r w:rsidRPr="00BF6F1F">
            <w:rPr>
              <w:rFonts w:ascii="Arial" w:hAnsi="Arial" w:cs="Arial"/>
              <w:b/>
              <w:bCs/>
            </w:rPr>
            <w:t>Table of Contents</w:t>
          </w:r>
        </w:p>
        <w:p w14:paraId="469FF9D9" w14:textId="39D860C6" w:rsidR="009E177C" w:rsidRDefault="00335894">
          <w:pPr>
            <w:pStyle w:val="TOC1"/>
            <w:rPr>
              <w:rFonts w:asciiTheme="minorHAnsi" w:eastAsiaTheme="minorEastAsia" w:hAnsiTheme="minorHAnsi" w:cstheme="minorBidi"/>
              <w:b w:val="0"/>
              <w:noProof/>
              <w:color w:val="auto"/>
              <w:kern w:val="2"/>
              <w:sz w:val="22"/>
              <w:szCs w:val="22"/>
              <w:lang w:eastAsia="en-AU"/>
              <w14:ligatures w14:val="standardContextual"/>
            </w:rPr>
          </w:pPr>
          <w:r>
            <w:fldChar w:fldCharType="begin"/>
          </w:r>
          <w:r>
            <w:instrText xml:space="preserve"> TOC \o "1-3" \h \z \u </w:instrText>
          </w:r>
          <w:r>
            <w:fldChar w:fldCharType="separate"/>
          </w:r>
          <w:hyperlink w:anchor="_Toc158650251" w:history="1">
            <w:r w:rsidR="009E177C" w:rsidRPr="00F71036">
              <w:rPr>
                <w:rStyle w:val="Hyperlink"/>
                <w:noProof/>
              </w:rPr>
              <w:t>IVD companion diagnostics (CDx)</w:t>
            </w:r>
            <w:r w:rsidR="009E177C">
              <w:rPr>
                <w:noProof/>
                <w:webHidden/>
              </w:rPr>
              <w:tab/>
            </w:r>
            <w:r w:rsidR="009E177C">
              <w:rPr>
                <w:noProof/>
                <w:webHidden/>
              </w:rPr>
              <w:fldChar w:fldCharType="begin"/>
            </w:r>
            <w:r w:rsidR="009E177C">
              <w:rPr>
                <w:noProof/>
                <w:webHidden/>
              </w:rPr>
              <w:instrText xml:space="preserve"> PAGEREF _Toc158650251 \h </w:instrText>
            </w:r>
            <w:r w:rsidR="009E177C">
              <w:rPr>
                <w:noProof/>
                <w:webHidden/>
              </w:rPr>
            </w:r>
            <w:r w:rsidR="009E177C">
              <w:rPr>
                <w:noProof/>
                <w:webHidden/>
              </w:rPr>
              <w:fldChar w:fldCharType="separate"/>
            </w:r>
            <w:r w:rsidR="009E177C">
              <w:rPr>
                <w:noProof/>
                <w:webHidden/>
              </w:rPr>
              <w:t>1</w:t>
            </w:r>
            <w:r w:rsidR="009E177C">
              <w:rPr>
                <w:noProof/>
                <w:webHidden/>
              </w:rPr>
              <w:fldChar w:fldCharType="end"/>
            </w:r>
          </w:hyperlink>
        </w:p>
        <w:p w14:paraId="0240D58C" w14:textId="2788F5D5" w:rsidR="009E177C" w:rsidRDefault="00000000">
          <w:pPr>
            <w:pStyle w:val="TOC2"/>
            <w:rPr>
              <w:rFonts w:asciiTheme="minorHAnsi" w:eastAsiaTheme="minorEastAsia" w:hAnsiTheme="minorHAnsi" w:cstheme="minorBidi"/>
              <w:b w:val="0"/>
              <w:noProof/>
              <w:color w:val="auto"/>
              <w:kern w:val="2"/>
              <w:sz w:val="22"/>
              <w:szCs w:val="22"/>
              <w:lang w:eastAsia="en-AU"/>
              <w14:ligatures w14:val="standardContextual"/>
            </w:rPr>
          </w:pPr>
          <w:hyperlink w:anchor="_Toc158650252" w:history="1">
            <w:r w:rsidR="009E177C" w:rsidRPr="00F71036">
              <w:rPr>
                <w:rStyle w:val="Hyperlink"/>
                <w:noProof/>
              </w:rPr>
              <w:t>What are IVD companion diagnostics (CDx)?</w:t>
            </w:r>
            <w:r w:rsidR="009E177C">
              <w:rPr>
                <w:noProof/>
                <w:webHidden/>
              </w:rPr>
              <w:tab/>
            </w:r>
            <w:r w:rsidR="009E177C">
              <w:rPr>
                <w:noProof/>
                <w:webHidden/>
              </w:rPr>
              <w:fldChar w:fldCharType="begin"/>
            </w:r>
            <w:r w:rsidR="009E177C">
              <w:rPr>
                <w:noProof/>
                <w:webHidden/>
              </w:rPr>
              <w:instrText xml:space="preserve"> PAGEREF _Toc158650252 \h </w:instrText>
            </w:r>
            <w:r w:rsidR="009E177C">
              <w:rPr>
                <w:noProof/>
                <w:webHidden/>
              </w:rPr>
            </w:r>
            <w:r w:rsidR="009E177C">
              <w:rPr>
                <w:noProof/>
                <w:webHidden/>
              </w:rPr>
              <w:fldChar w:fldCharType="separate"/>
            </w:r>
            <w:r w:rsidR="009E177C">
              <w:rPr>
                <w:noProof/>
                <w:webHidden/>
              </w:rPr>
              <w:t>4</w:t>
            </w:r>
            <w:r w:rsidR="009E177C">
              <w:rPr>
                <w:noProof/>
                <w:webHidden/>
              </w:rPr>
              <w:fldChar w:fldCharType="end"/>
            </w:r>
          </w:hyperlink>
        </w:p>
        <w:p w14:paraId="0C4D1BED" w14:textId="2092BB34" w:rsidR="009E177C" w:rsidRDefault="00000000">
          <w:pPr>
            <w:pStyle w:val="TOC2"/>
            <w:rPr>
              <w:rFonts w:asciiTheme="minorHAnsi" w:eastAsiaTheme="minorEastAsia" w:hAnsiTheme="minorHAnsi" w:cstheme="minorBidi"/>
              <w:b w:val="0"/>
              <w:noProof/>
              <w:color w:val="auto"/>
              <w:kern w:val="2"/>
              <w:sz w:val="22"/>
              <w:szCs w:val="22"/>
              <w:lang w:eastAsia="en-AU"/>
              <w14:ligatures w14:val="standardContextual"/>
            </w:rPr>
          </w:pPr>
          <w:hyperlink w:anchor="_Toc158650253" w:history="1">
            <w:r w:rsidR="009E177C" w:rsidRPr="00F71036">
              <w:rPr>
                <w:rStyle w:val="Hyperlink"/>
                <w:noProof/>
              </w:rPr>
              <w:t>Which medicine or biological indications require CDx testing?</w:t>
            </w:r>
            <w:r w:rsidR="009E177C">
              <w:rPr>
                <w:noProof/>
                <w:webHidden/>
              </w:rPr>
              <w:tab/>
            </w:r>
            <w:r w:rsidR="009E177C">
              <w:rPr>
                <w:noProof/>
                <w:webHidden/>
              </w:rPr>
              <w:fldChar w:fldCharType="begin"/>
            </w:r>
            <w:r w:rsidR="009E177C">
              <w:rPr>
                <w:noProof/>
                <w:webHidden/>
              </w:rPr>
              <w:instrText xml:space="preserve"> PAGEREF _Toc158650253 \h </w:instrText>
            </w:r>
            <w:r w:rsidR="009E177C">
              <w:rPr>
                <w:noProof/>
                <w:webHidden/>
              </w:rPr>
            </w:r>
            <w:r w:rsidR="009E177C">
              <w:rPr>
                <w:noProof/>
                <w:webHidden/>
              </w:rPr>
              <w:fldChar w:fldCharType="separate"/>
            </w:r>
            <w:r w:rsidR="009E177C">
              <w:rPr>
                <w:noProof/>
                <w:webHidden/>
              </w:rPr>
              <w:t>4</w:t>
            </w:r>
            <w:r w:rsidR="009E177C">
              <w:rPr>
                <w:noProof/>
                <w:webHidden/>
              </w:rPr>
              <w:fldChar w:fldCharType="end"/>
            </w:r>
          </w:hyperlink>
        </w:p>
        <w:p w14:paraId="05351232" w14:textId="55218272" w:rsidR="009E177C" w:rsidRDefault="00000000">
          <w:pPr>
            <w:pStyle w:val="TOC2"/>
            <w:rPr>
              <w:rFonts w:asciiTheme="minorHAnsi" w:eastAsiaTheme="minorEastAsia" w:hAnsiTheme="minorHAnsi" w:cstheme="minorBidi"/>
              <w:b w:val="0"/>
              <w:noProof/>
              <w:color w:val="auto"/>
              <w:kern w:val="2"/>
              <w:sz w:val="22"/>
              <w:szCs w:val="22"/>
              <w:lang w:eastAsia="en-AU"/>
              <w14:ligatures w14:val="standardContextual"/>
            </w:rPr>
          </w:pPr>
          <w:hyperlink w:anchor="_Toc158650254" w:history="1">
            <w:r w:rsidR="009E177C" w:rsidRPr="00F71036">
              <w:rPr>
                <w:rStyle w:val="Hyperlink"/>
                <w:noProof/>
              </w:rPr>
              <w:t>How will CDx be regulated?</w:t>
            </w:r>
            <w:r w:rsidR="009E177C">
              <w:rPr>
                <w:noProof/>
                <w:webHidden/>
              </w:rPr>
              <w:tab/>
            </w:r>
            <w:r w:rsidR="009E177C">
              <w:rPr>
                <w:noProof/>
                <w:webHidden/>
              </w:rPr>
              <w:fldChar w:fldCharType="begin"/>
            </w:r>
            <w:r w:rsidR="009E177C">
              <w:rPr>
                <w:noProof/>
                <w:webHidden/>
              </w:rPr>
              <w:instrText xml:space="preserve"> PAGEREF _Toc158650254 \h </w:instrText>
            </w:r>
            <w:r w:rsidR="009E177C">
              <w:rPr>
                <w:noProof/>
                <w:webHidden/>
              </w:rPr>
            </w:r>
            <w:r w:rsidR="009E177C">
              <w:rPr>
                <w:noProof/>
                <w:webHidden/>
              </w:rPr>
              <w:fldChar w:fldCharType="separate"/>
            </w:r>
            <w:r w:rsidR="009E177C">
              <w:rPr>
                <w:noProof/>
                <w:webHidden/>
              </w:rPr>
              <w:t>6</w:t>
            </w:r>
            <w:r w:rsidR="009E177C">
              <w:rPr>
                <w:noProof/>
                <w:webHidden/>
              </w:rPr>
              <w:fldChar w:fldCharType="end"/>
            </w:r>
          </w:hyperlink>
        </w:p>
        <w:p w14:paraId="6007AA05" w14:textId="66218E80" w:rsidR="009E177C" w:rsidRDefault="00000000">
          <w:pPr>
            <w:pStyle w:val="TOC3"/>
            <w:rPr>
              <w:rFonts w:asciiTheme="minorHAnsi" w:eastAsiaTheme="minorEastAsia" w:hAnsiTheme="minorHAnsi" w:cstheme="minorBidi"/>
              <w:b w:val="0"/>
              <w:noProof/>
              <w:color w:val="auto"/>
              <w:kern w:val="2"/>
              <w:sz w:val="22"/>
              <w:szCs w:val="22"/>
              <w:lang w:eastAsia="en-AU"/>
              <w14:ligatures w14:val="standardContextual"/>
            </w:rPr>
          </w:pPr>
          <w:hyperlink w:anchor="_Toc158650255" w:history="1">
            <w:r w:rsidR="009E177C" w:rsidRPr="00F71036">
              <w:rPr>
                <w:rStyle w:val="Hyperlink"/>
                <w:noProof/>
              </w:rPr>
              <w:t>Classification</w:t>
            </w:r>
            <w:r w:rsidR="009E177C">
              <w:rPr>
                <w:noProof/>
                <w:webHidden/>
              </w:rPr>
              <w:tab/>
            </w:r>
            <w:r w:rsidR="009E177C">
              <w:rPr>
                <w:noProof/>
                <w:webHidden/>
              </w:rPr>
              <w:fldChar w:fldCharType="begin"/>
            </w:r>
            <w:r w:rsidR="009E177C">
              <w:rPr>
                <w:noProof/>
                <w:webHidden/>
              </w:rPr>
              <w:instrText xml:space="preserve"> PAGEREF _Toc158650255 \h </w:instrText>
            </w:r>
            <w:r w:rsidR="009E177C">
              <w:rPr>
                <w:noProof/>
                <w:webHidden/>
              </w:rPr>
            </w:r>
            <w:r w:rsidR="009E177C">
              <w:rPr>
                <w:noProof/>
                <w:webHidden/>
              </w:rPr>
              <w:fldChar w:fldCharType="separate"/>
            </w:r>
            <w:r w:rsidR="009E177C">
              <w:rPr>
                <w:noProof/>
                <w:webHidden/>
              </w:rPr>
              <w:t>6</w:t>
            </w:r>
            <w:r w:rsidR="009E177C">
              <w:rPr>
                <w:noProof/>
                <w:webHidden/>
              </w:rPr>
              <w:fldChar w:fldCharType="end"/>
            </w:r>
          </w:hyperlink>
        </w:p>
        <w:p w14:paraId="211276A9" w14:textId="0AB5052B" w:rsidR="009E177C" w:rsidRDefault="00000000">
          <w:pPr>
            <w:pStyle w:val="TOC3"/>
            <w:rPr>
              <w:rFonts w:asciiTheme="minorHAnsi" w:eastAsiaTheme="minorEastAsia" w:hAnsiTheme="minorHAnsi" w:cstheme="minorBidi"/>
              <w:b w:val="0"/>
              <w:noProof/>
              <w:color w:val="auto"/>
              <w:kern w:val="2"/>
              <w:sz w:val="22"/>
              <w:szCs w:val="22"/>
              <w:lang w:eastAsia="en-AU"/>
              <w14:ligatures w14:val="standardContextual"/>
            </w:rPr>
          </w:pPr>
          <w:hyperlink w:anchor="_Toc158650256" w:history="1">
            <w:r w:rsidR="009E177C" w:rsidRPr="00F71036">
              <w:rPr>
                <w:rStyle w:val="Hyperlink"/>
                <w:noProof/>
              </w:rPr>
              <w:t>Use of a Unique Product Identifier (UPI) and separate applications for inclusion</w:t>
            </w:r>
            <w:r w:rsidR="009E177C">
              <w:rPr>
                <w:noProof/>
                <w:webHidden/>
              </w:rPr>
              <w:tab/>
            </w:r>
            <w:r w:rsidR="009E177C">
              <w:rPr>
                <w:noProof/>
                <w:webHidden/>
              </w:rPr>
              <w:fldChar w:fldCharType="begin"/>
            </w:r>
            <w:r w:rsidR="009E177C">
              <w:rPr>
                <w:noProof/>
                <w:webHidden/>
              </w:rPr>
              <w:instrText xml:space="preserve"> PAGEREF _Toc158650256 \h </w:instrText>
            </w:r>
            <w:r w:rsidR="009E177C">
              <w:rPr>
                <w:noProof/>
                <w:webHidden/>
              </w:rPr>
            </w:r>
            <w:r w:rsidR="009E177C">
              <w:rPr>
                <w:noProof/>
                <w:webHidden/>
              </w:rPr>
              <w:fldChar w:fldCharType="separate"/>
            </w:r>
            <w:r w:rsidR="009E177C">
              <w:rPr>
                <w:noProof/>
                <w:webHidden/>
              </w:rPr>
              <w:t>6</w:t>
            </w:r>
            <w:r w:rsidR="009E177C">
              <w:rPr>
                <w:noProof/>
                <w:webHidden/>
              </w:rPr>
              <w:fldChar w:fldCharType="end"/>
            </w:r>
          </w:hyperlink>
        </w:p>
        <w:p w14:paraId="5C5EF31B" w14:textId="2D8F5D4B" w:rsidR="009E177C" w:rsidRDefault="00000000">
          <w:pPr>
            <w:pStyle w:val="TOC3"/>
            <w:rPr>
              <w:rFonts w:asciiTheme="minorHAnsi" w:eastAsiaTheme="minorEastAsia" w:hAnsiTheme="minorHAnsi" w:cstheme="minorBidi"/>
              <w:b w:val="0"/>
              <w:noProof/>
              <w:color w:val="auto"/>
              <w:kern w:val="2"/>
              <w:sz w:val="22"/>
              <w:szCs w:val="22"/>
              <w:lang w:eastAsia="en-AU"/>
              <w14:ligatures w14:val="standardContextual"/>
            </w:rPr>
          </w:pPr>
          <w:hyperlink w:anchor="_Toc158650257" w:history="1">
            <w:r w:rsidR="009E177C" w:rsidRPr="00F71036">
              <w:rPr>
                <w:rStyle w:val="Hyperlink"/>
                <w:noProof/>
              </w:rPr>
              <w:t>Applications for inclusion in the ARTG</w:t>
            </w:r>
            <w:r w:rsidR="009E177C">
              <w:rPr>
                <w:noProof/>
                <w:webHidden/>
              </w:rPr>
              <w:tab/>
            </w:r>
            <w:r w:rsidR="009E177C">
              <w:rPr>
                <w:noProof/>
                <w:webHidden/>
              </w:rPr>
              <w:fldChar w:fldCharType="begin"/>
            </w:r>
            <w:r w:rsidR="009E177C">
              <w:rPr>
                <w:noProof/>
                <w:webHidden/>
              </w:rPr>
              <w:instrText xml:space="preserve"> PAGEREF _Toc158650257 \h </w:instrText>
            </w:r>
            <w:r w:rsidR="009E177C">
              <w:rPr>
                <w:noProof/>
                <w:webHidden/>
              </w:rPr>
            </w:r>
            <w:r w:rsidR="009E177C">
              <w:rPr>
                <w:noProof/>
                <w:webHidden/>
              </w:rPr>
              <w:fldChar w:fldCharType="separate"/>
            </w:r>
            <w:r w:rsidR="009E177C">
              <w:rPr>
                <w:noProof/>
                <w:webHidden/>
              </w:rPr>
              <w:t>6</w:t>
            </w:r>
            <w:r w:rsidR="009E177C">
              <w:rPr>
                <w:noProof/>
                <w:webHidden/>
              </w:rPr>
              <w:fldChar w:fldCharType="end"/>
            </w:r>
          </w:hyperlink>
        </w:p>
        <w:p w14:paraId="41A1381D" w14:textId="15C1D83C" w:rsidR="009E177C" w:rsidRDefault="00000000">
          <w:pPr>
            <w:pStyle w:val="TOC3"/>
            <w:rPr>
              <w:rFonts w:asciiTheme="minorHAnsi" w:eastAsiaTheme="minorEastAsia" w:hAnsiTheme="minorHAnsi" w:cstheme="minorBidi"/>
              <w:b w:val="0"/>
              <w:noProof/>
              <w:color w:val="auto"/>
              <w:kern w:val="2"/>
              <w:sz w:val="22"/>
              <w:szCs w:val="22"/>
              <w:lang w:eastAsia="en-AU"/>
              <w14:ligatures w14:val="standardContextual"/>
            </w:rPr>
          </w:pPr>
          <w:hyperlink w:anchor="_Toc158650258" w:history="1">
            <w:r w:rsidR="009E177C" w:rsidRPr="00F71036">
              <w:rPr>
                <w:rStyle w:val="Hyperlink"/>
                <w:noProof/>
              </w:rPr>
              <w:t>Mandatory application audit</w:t>
            </w:r>
            <w:r w:rsidR="009E177C">
              <w:rPr>
                <w:noProof/>
                <w:webHidden/>
              </w:rPr>
              <w:tab/>
            </w:r>
            <w:r w:rsidR="009E177C">
              <w:rPr>
                <w:noProof/>
                <w:webHidden/>
              </w:rPr>
              <w:fldChar w:fldCharType="begin"/>
            </w:r>
            <w:r w:rsidR="009E177C">
              <w:rPr>
                <w:noProof/>
                <w:webHidden/>
              </w:rPr>
              <w:instrText xml:space="preserve"> PAGEREF _Toc158650258 \h </w:instrText>
            </w:r>
            <w:r w:rsidR="009E177C">
              <w:rPr>
                <w:noProof/>
                <w:webHidden/>
              </w:rPr>
            </w:r>
            <w:r w:rsidR="009E177C">
              <w:rPr>
                <w:noProof/>
                <w:webHidden/>
              </w:rPr>
              <w:fldChar w:fldCharType="separate"/>
            </w:r>
            <w:r w:rsidR="009E177C">
              <w:rPr>
                <w:noProof/>
                <w:webHidden/>
              </w:rPr>
              <w:t>6</w:t>
            </w:r>
            <w:r w:rsidR="009E177C">
              <w:rPr>
                <w:noProof/>
                <w:webHidden/>
              </w:rPr>
              <w:fldChar w:fldCharType="end"/>
            </w:r>
          </w:hyperlink>
        </w:p>
        <w:p w14:paraId="60F27A30" w14:textId="0258C926" w:rsidR="009E177C" w:rsidRDefault="00000000">
          <w:pPr>
            <w:pStyle w:val="TOC3"/>
            <w:rPr>
              <w:rFonts w:asciiTheme="minorHAnsi" w:eastAsiaTheme="minorEastAsia" w:hAnsiTheme="minorHAnsi" w:cstheme="minorBidi"/>
              <w:b w:val="0"/>
              <w:noProof/>
              <w:color w:val="auto"/>
              <w:kern w:val="2"/>
              <w:sz w:val="22"/>
              <w:szCs w:val="22"/>
              <w:lang w:eastAsia="en-AU"/>
              <w14:ligatures w14:val="standardContextual"/>
            </w:rPr>
          </w:pPr>
          <w:hyperlink w:anchor="_Toc158650259" w:history="1">
            <w:r w:rsidR="009E177C" w:rsidRPr="00F71036">
              <w:rPr>
                <w:rStyle w:val="Hyperlink"/>
                <w:noProof/>
              </w:rPr>
              <w:t>Concurrent submission for CDx and the corresponding medicine or biological</w:t>
            </w:r>
            <w:r w:rsidR="009E177C">
              <w:rPr>
                <w:noProof/>
                <w:webHidden/>
              </w:rPr>
              <w:tab/>
            </w:r>
            <w:r w:rsidR="009E177C">
              <w:rPr>
                <w:noProof/>
                <w:webHidden/>
              </w:rPr>
              <w:fldChar w:fldCharType="begin"/>
            </w:r>
            <w:r w:rsidR="009E177C">
              <w:rPr>
                <w:noProof/>
                <w:webHidden/>
              </w:rPr>
              <w:instrText xml:space="preserve"> PAGEREF _Toc158650259 \h </w:instrText>
            </w:r>
            <w:r w:rsidR="009E177C">
              <w:rPr>
                <w:noProof/>
                <w:webHidden/>
              </w:rPr>
            </w:r>
            <w:r w:rsidR="009E177C">
              <w:rPr>
                <w:noProof/>
                <w:webHidden/>
              </w:rPr>
              <w:fldChar w:fldCharType="separate"/>
            </w:r>
            <w:r w:rsidR="009E177C">
              <w:rPr>
                <w:noProof/>
                <w:webHidden/>
              </w:rPr>
              <w:t>6</w:t>
            </w:r>
            <w:r w:rsidR="009E177C">
              <w:rPr>
                <w:noProof/>
                <w:webHidden/>
              </w:rPr>
              <w:fldChar w:fldCharType="end"/>
            </w:r>
          </w:hyperlink>
        </w:p>
        <w:p w14:paraId="5146727B" w14:textId="22A388DA" w:rsidR="009E177C" w:rsidRDefault="00000000">
          <w:pPr>
            <w:pStyle w:val="TOC3"/>
            <w:rPr>
              <w:rFonts w:asciiTheme="minorHAnsi" w:eastAsiaTheme="minorEastAsia" w:hAnsiTheme="minorHAnsi" w:cstheme="minorBidi"/>
              <w:b w:val="0"/>
              <w:noProof/>
              <w:color w:val="auto"/>
              <w:kern w:val="2"/>
              <w:sz w:val="22"/>
              <w:szCs w:val="22"/>
              <w:lang w:eastAsia="en-AU"/>
              <w14:ligatures w14:val="standardContextual"/>
            </w:rPr>
          </w:pPr>
          <w:hyperlink w:anchor="_Toc158650260" w:history="1">
            <w:r w:rsidR="009E177C" w:rsidRPr="00F71036">
              <w:rPr>
                <w:rStyle w:val="Hyperlink"/>
                <w:noProof/>
              </w:rPr>
              <w:t>Abridged evaluations and overseas evidence</w:t>
            </w:r>
            <w:r w:rsidR="009E177C">
              <w:rPr>
                <w:noProof/>
                <w:webHidden/>
              </w:rPr>
              <w:tab/>
            </w:r>
            <w:r w:rsidR="009E177C">
              <w:rPr>
                <w:noProof/>
                <w:webHidden/>
              </w:rPr>
              <w:fldChar w:fldCharType="begin"/>
            </w:r>
            <w:r w:rsidR="009E177C">
              <w:rPr>
                <w:noProof/>
                <w:webHidden/>
              </w:rPr>
              <w:instrText xml:space="preserve"> PAGEREF _Toc158650260 \h </w:instrText>
            </w:r>
            <w:r w:rsidR="009E177C">
              <w:rPr>
                <w:noProof/>
                <w:webHidden/>
              </w:rPr>
            </w:r>
            <w:r w:rsidR="009E177C">
              <w:rPr>
                <w:noProof/>
                <w:webHidden/>
              </w:rPr>
              <w:fldChar w:fldCharType="separate"/>
            </w:r>
            <w:r w:rsidR="009E177C">
              <w:rPr>
                <w:noProof/>
                <w:webHidden/>
              </w:rPr>
              <w:t>7</w:t>
            </w:r>
            <w:r w:rsidR="009E177C">
              <w:rPr>
                <w:noProof/>
                <w:webHidden/>
              </w:rPr>
              <w:fldChar w:fldCharType="end"/>
            </w:r>
          </w:hyperlink>
        </w:p>
        <w:p w14:paraId="16A2B9DE" w14:textId="5FBCD075" w:rsidR="009E177C" w:rsidRDefault="00000000">
          <w:pPr>
            <w:pStyle w:val="TOC3"/>
            <w:rPr>
              <w:rFonts w:asciiTheme="minorHAnsi" w:eastAsiaTheme="minorEastAsia" w:hAnsiTheme="minorHAnsi" w:cstheme="minorBidi"/>
              <w:b w:val="0"/>
              <w:noProof/>
              <w:color w:val="auto"/>
              <w:kern w:val="2"/>
              <w:sz w:val="22"/>
              <w:szCs w:val="22"/>
              <w:lang w:eastAsia="en-AU"/>
              <w14:ligatures w14:val="standardContextual"/>
            </w:rPr>
          </w:pPr>
          <w:hyperlink w:anchor="_Toc158650261" w:history="1">
            <w:r w:rsidR="009E177C" w:rsidRPr="00F71036">
              <w:rPr>
                <w:rStyle w:val="Hyperlink"/>
                <w:noProof/>
              </w:rPr>
              <w:t>TGA CDx list</w:t>
            </w:r>
            <w:r w:rsidR="009E177C">
              <w:rPr>
                <w:noProof/>
                <w:webHidden/>
              </w:rPr>
              <w:tab/>
            </w:r>
            <w:r w:rsidR="009E177C">
              <w:rPr>
                <w:noProof/>
                <w:webHidden/>
              </w:rPr>
              <w:fldChar w:fldCharType="begin"/>
            </w:r>
            <w:r w:rsidR="009E177C">
              <w:rPr>
                <w:noProof/>
                <w:webHidden/>
              </w:rPr>
              <w:instrText xml:space="preserve"> PAGEREF _Toc158650261 \h </w:instrText>
            </w:r>
            <w:r w:rsidR="009E177C">
              <w:rPr>
                <w:noProof/>
                <w:webHidden/>
              </w:rPr>
            </w:r>
            <w:r w:rsidR="009E177C">
              <w:rPr>
                <w:noProof/>
                <w:webHidden/>
              </w:rPr>
              <w:fldChar w:fldCharType="separate"/>
            </w:r>
            <w:r w:rsidR="009E177C">
              <w:rPr>
                <w:noProof/>
                <w:webHidden/>
              </w:rPr>
              <w:t>7</w:t>
            </w:r>
            <w:r w:rsidR="009E177C">
              <w:rPr>
                <w:noProof/>
                <w:webHidden/>
              </w:rPr>
              <w:fldChar w:fldCharType="end"/>
            </w:r>
          </w:hyperlink>
        </w:p>
        <w:p w14:paraId="7BC143AD" w14:textId="1545BA77" w:rsidR="009E177C" w:rsidRDefault="00000000">
          <w:pPr>
            <w:pStyle w:val="TOC2"/>
            <w:rPr>
              <w:rFonts w:asciiTheme="minorHAnsi" w:eastAsiaTheme="minorEastAsia" w:hAnsiTheme="minorHAnsi" w:cstheme="minorBidi"/>
              <w:b w:val="0"/>
              <w:noProof/>
              <w:color w:val="auto"/>
              <w:kern w:val="2"/>
              <w:sz w:val="22"/>
              <w:szCs w:val="22"/>
              <w:lang w:eastAsia="en-AU"/>
              <w14:ligatures w14:val="standardContextual"/>
            </w:rPr>
          </w:pPr>
          <w:hyperlink w:anchor="_Toc158650262" w:history="1">
            <w:r w:rsidR="009E177C" w:rsidRPr="00F71036">
              <w:rPr>
                <w:rStyle w:val="Hyperlink"/>
                <w:noProof/>
              </w:rPr>
              <w:t>What do medicine/biological sponsors need to do?</w:t>
            </w:r>
            <w:r w:rsidR="009E177C">
              <w:rPr>
                <w:noProof/>
                <w:webHidden/>
              </w:rPr>
              <w:tab/>
            </w:r>
            <w:r w:rsidR="009E177C">
              <w:rPr>
                <w:noProof/>
                <w:webHidden/>
              </w:rPr>
              <w:fldChar w:fldCharType="begin"/>
            </w:r>
            <w:r w:rsidR="009E177C">
              <w:rPr>
                <w:noProof/>
                <w:webHidden/>
              </w:rPr>
              <w:instrText xml:space="preserve"> PAGEREF _Toc158650262 \h </w:instrText>
            </w:r>
            <w:r w:rsidR="009E177C">
              <w:rPr>
                <w:noProof/>
                <w:webHidden/>
              </w:rPr>
            </w:r>
            <w:r w:rsidR="009E177C">
              <w:rPr>
                <w:noProof/>
                <w:webHidden/>
              </w:rPr>
              <w:fldChar w:fldCharType="separate"/>
            </w:r>
            <w:r w:rsidR="009E177C">
              <w:rPr>
                <w:noProof/>
                <w:webHidden/>
              </w:rPr>
              <w:t>7</w:t>
            </w:r>
            <w:r w:rsidR="009E177C">
              <w:rPr>
                <w:noProof/>
                <w:webHidden/>
              </w:rPr>
              <w:fldChar w:fldCharType="end"/>
            </w:r>
          </w:hyperlink>
        </w:p>
        <w:p w14:paraId="404E2F5F" w14:textId="18D8215C" w:rsidR="009E177C" w:rsidRDefault="00000000">
          <w:pPr>
            <w:pStyle w:val="TOC3"/>
            <w:rPr>
              <w:rFonts w:asciiTheme="minorHAnsi" w:eastAsiaTheme="minorEastAsia" w:hAnsiTheme="minorHAnsi" w:cstheme="minorBidi"/>
              <w:b w:val="0"/>
              <w:noProof/>
              <w:color w:val="auto"/>
              <w:kern w:val="2"/>
              <w:sz w:val="22"/>
              <w:szCs w:val="22"/>
              <w:lang w:eastAsia="en-AU"/>
              <w14:ligatures w14:val="standardContextual"/>
            </w:rPr>
          </w:pPr>
          <w:hyperlink w:anchor="_Toc158650263" w:history="1">
            <w:r w:rsidR="009E177C" w:rsidRPr="00F71036">
              <w:rPr>
                <w:rStyle w:val="Hyperlink"/>
                <w:rFonts w:eastAsia="Arial"/>
                <w:noProof/>
              </w:rPr>
              <w:t>Companion testing plan</w:t>
            </w:r>
            <w:r w:rsidR="009E177C">
              <w:rPr>
                <w:noProof/>
                <w:webHidden/>
              </w:rPr>
              <w:tab/>
            </w:r>
            <w:r w:rsidR="009E177C">
              <w:rPr>
                <w:noProof/>
                <w:webHidden/>
              </w:rPr>
              <w:fldChar w:fldCharType="begin"/>
            </w:r>
            <w:r w:rsidR="009E177C">
              <w:rPr>
                <w:noProof/>
                <w:webHidden/>
              </w:rPr>
              <w:instrText xml:space="preserve"> PAGEREF _Toc158650263 \h </w:instrText>
            </w:r>
            <w:r w:rsidR="009E177C">
              <w:rPr>
                <w:noProof/>
                <w:webHidden/>
              </w:rPr>
            </w:r>
            <w:r w:rsidR="009E177C">
              <w:rPr>
                <w:noProof/>
                <w:webHidden/>
              </w:rPr>
              <w:fldChar w:fldCharType="separate"/>
            </w:r>
            <w:r w:rsidR="009E177C">
              <w:rPr>
                <w:noProof/>
                <w:webHidden/>
              </w:rPr>
              <w:t>8</w:t>
            </w:r>
            <w:r w:rsidR="009E177C">
              <w:rPr>
                <w:noProof/>
                <w:webHidden/>
              </w:rPr>
              <w:fldChar w:fldCharType="end"/>
            </w:r>
          </w:hyperlink>
        </w:p>
        <w:p w14:paraId="127C1C2B" w14:textId="26B5D632" w:rsidR="009E177C" w:rsidRDefault="00000000">
          <w:pPr>
            <w:pStyle w:val="TOC3"/>
            <w:rPr>
              <w:rFonts w:asciiTheme="minorHAnsi" w:eastAsiaTheme="minorEastAsia" w:hAnsiTheme="minorHAnsi" w:cstheme="minorBidi"/>
              <w:b w:val="0"/>
              <w:noProof/>
              <w:color w:val="auto"/>
              <w:kern w:val="2"/>
              <w:sz w:val="22"/>
              <w:szCs w:val="22"/>
              <w:lang w:eastAsia="en-AU"/>
              <w14:ligatures w14:val="standardContextual"/>
            </w:rPr>
          </w:pPr>
          <w:hyperlink w:anchor="_Toc158650264" w:history="1">
            <w:r w:rsidR="009E177C" w:rsidRPr="00F71036">
              <w:rPr>
                <w:rStyle w:val="Hyperlink"/>
                <w:noProof/>
              </w:rPr>
              <w:t>Post-approval actions</w:t>
            </w:r>
            <w:r w:rsidR="009E177C">
              <w:rPr>
                <w:noProof/>
                <w:webHidden/>
              </w:rPr>
              <w:tab/>
            </w:r>
            <w:r w:rsidR="009E177C">
              <w:rPr>
                <w:noProof/>
                <w:webHidden/>
              </w:rPr>
              <w:fldChar w:fldCharType="begin"/>
            </w:r>
            <w:r w:rsidR="009E177C">
              <w:rPr>
                <w:noProof/>
                <w:webHidden/>
              </w:rPr>
              <w:instrText xml:space="preserve"> PAGEREF _Toc158650264 \h </w:instrText>
            </w:r>
            <w:r w:rsidR="009E177C">
              <w:rPr>
                <w:noProof/>
                <w:webHidden/>
              </w:rPr>
            </w:r>
            <w:r w:rsidR="009E177C">
              <w:rPr>
                <w:noProof/>
                <w:webHidden/>
              </w:rPr>
              <w:fldChar w:fldCharType="separate"/>
            </w:r>
            <w:r w:rsidR="009E177C">
              <w:rPr>
                <w:noProof/>
                <w:webHidden/>
              </w:rPr>
              <w:t>9</w:t>
            </w:r>
            <w:r w:rsidR="009E177C">
              <w:rPr>
                <w:noProof/>
                <w:webHidden/>
              </w:rPr>
              <w:fldChar w:fldCharType="end"/>
            </w:r>
          </w:hyperlink>
        </w:p>
        <w:p w14:paraId="3E514A21" w14:textId="5BA93030" w:rsidR="009E177C" w:rsidRDefault="00000000">
          <w:pPr>
            <w:pStyle w:val="TOC3"/>
            <w:rPr>
              <w:rFonts w:asciiTheme="minorHAnsi" w:eastAsiaTheme="minorEastAsia" w:hAnsiTheme="minorHAnsi" w:cstheme="minorBidi"/>
              <w:b w:val="0"/>
              <w:noProof/>
              <w:color w:val="auto"/>
              <w:kern w:val="2"/>
              <w:sz w:val="22"/>
              <w:szCs w:val="22"/>
              <w:lang w:eastAsia="en-AU"/>
              <w14:ligatures w14:val="standardContextual"/>
            </w:rPr>
          </w:pPr>
          <w:hyperlink w:anchor="_Toc158650265" w:history="1">
            <w:r w:rsidR="009E177C" w:rsidRPr="00F71036">
              <w:rPr>
                <w:rStyle w:val="Hyperlink"/>
                <w:noProof/>
              </w:rPr>
              <w:t>Product Information (PI)</w:t>
            </w:r>
            <w:r w:rsidR="009E177C">
              <w:rPr>
                <w:noProof/>
                <w:webHidden/>
              </w:rPr>
              <w:tab/>
            </w:r>
            <w:r w:rsidR="009E177C">
              <w:rPr>
                <w:noProof/>
                <w:webHidden/>
              </w:rPr>
              <w:fldChar w:fldCharType="begin"/>
            </w:r>
            <w:r w:rsidR="009E177C">
              <w:rPr>
                <w:noProof/>
                <w:webHidden/>
              </w:rPr>
              <w:instrText xml:space="preserve"> PAGEREF _Toc158650265 \h </w:instrText>
            </w:r>
            <w:r w:rsidR="009E177C">
              <w:rPr>
                <w:noProof/>
                <w:webHidden/>
              </w:rPr>
            </w:r>
            <w:r w:rsidR="009E177C">
              <w:rPr>
                <w:noProof/>
                <w:webHidden/>
              </w:rPr>
              <w:fldChar w:fldCharType="separate"/>
            </w:r>
            <w:r w:rsidR="009E177C">
              <w:rPr>
                <w:noProof/>
                <w:webHidden/>
              </w:rPr>
              <w:t>10</w:t>
            </w:r>
            <w:r w:rsidR="009E177C">
              <w:rPr>
                <w:noProof/>
                <w:webHidden/>
              </w:rPr>
              <w:fldChar w:fldCharType="end"/>
            </w:r>
          </w:hyperlink>
        </w:p>
        <w:p w14:paraId="4F95A9C8" w14:textId="082DAB51" w:rsidR="009E177C" w:rsidRDefault="00000000">
          <w:pPr>
            <w:pStyle w:val="TOC2"/>
            <w:rPr>
              <w:rFonts w:asciiTheme="minorHAnsi" w:eastAsiaTheme="minorEastAsia" w:hAnsiTheme="minorHAnsi" w:cstheme="minorBidi"/>
              <w:b w:val="0"/>
              <w:noProof/>
              <w:color w:val="auto"/>
              <w:kern w:val="2"/>
              <w:sz w:val="22"/>
              <w:szCs w:val="22"/>
              <w:lang w:eastAsia="en-AU"/>
              <w14:ligatures w14:val="standardContextual"/>
            </w:rPr>
          </w:pPr>
          <w:hyperlink w:anchor="_Toc158650266" w:history="1">
            <w:r w:rsidR="009E177C" w:rsidRPr="00F71036">
              <w:rPr>
                <w:rStyle w:val="Hyperlink"/>
                <w:noProof/>
              </w:rPr>
              <w:t>What do device sponsors need to do?</w:t>
            </w:r>
            <w:r w:rsidR="009E177C">
              <w:rPr>
                <w:noProof/>
                <w:webHidden/>
              </w:rPr>
              <w:tab/>
            </w:r>
            <w:r w:rsidR="009E177C">
              <w:rPr>
                <w:noProof/>
                <w:webHidden/>
              </w:rPr>
              <w:fldChar w:fldCharType="begin"/>
            </w:r>
            <w:r w:rsidR="009E177C">
              <w:rPr>
                <w:noProof/>
                <w:webHidden/>
              </w:rPr>
              <w:instrText xml:space="preserve"> PAGEREF _Toc158650266 \h </w:instrText>
            </w:r>
            <w:r w:rsidR="009E177C">
              <w:rPr>
                <w:noProof/>
                <w:webHidden/>
              </w:rPr>
            </w:r>
            <w:r w:rsidR="009E177C">
              <w:rPr>
                <w:noProof/>
                <w:webHidden/>
              </w:rPr>
              <w:fldChar w:fldCharType="separate"/>
            </w:r>
            <w:r w:rsidR="009E177C">
              <w:rPr>
                <w:noProof/>
                <w:webHidden/>
              </w:rPr>
              <w:t>10</w:t>
            </w:r>
            <w:r w:rsidR="009E177C">
              <w:rPr>
                <w:noProof/>
                <w:webHidden/>
              </w:rPr>
              <w:fldChar w:fldCharType="end"/>
            </w:r>
          </w:hyperlink>
        </w:p>
        <w:p w14:paraId="3B9F36AC" w14:textId="4AE6D0A3" w:rsidR="009E177C" w:rsidRDefault="00000000">
          <w:pPr>
            <w:pStyle w:val="TOC3"/>
            <w:rPr>
              <w:rFonts w:asciiTheme="minorHAnsi" w:eastAsiaTheme="minorEastAsia" w:hAnsiTheme="minorHAnsi" w:cstheme="minorBidi"/>
              <w:b w:val="0"/>
              <w:noProof/>
              <w:color w:val="auto"/>
              <w:kern w:val="2"/>
              <w:sz w:val="22"/>
              <w:szCs w:val="22"/>
              <w:lang w:eastAsia="en-AU"/>
              <w14:ligatures w14:val="standardContextual"/>
            </w:rPr>
          </w:pPr>
          <w:hyperlink w:anchor="_Toc158650267" w:history="1">
            <w:r w:rsidR="009E177C" w:rsidRPr="00F71036">
              <w:rPr>
                <w:rStyle w:val="Hyperlink"/>
                <w:noProof/>
              </w:rPr>
              <w:t>Instructions for use (IFU)</w:t>
            </w:r>
            <w:r w:rsidR="009E177C">
              <w:rPr>
                <w:noProof/>
                <w:webHidden/>
              </w:rPr>
              <w:tab/>
            </w:r>
            <w:r w:rsidR="009E177C">
              <w:rPr>
                <w:noProof/>
                <w:webHidden/>
              </w:rPr>
              <w:fldChar w:fldCharType="begin"/>
            </w:r>
            <w:r w:rsidR="009E177C">
              <w:rPr>
                <w:noProof/>
                <w:webHidden/>
              </w:rPr>
              <w:instrText xml:space="preserve"> PAGEREF _Toc158650267 \h </w:instrText>
            </w:r>
            <w:r w:rsidR="009E177C">
              <w:rPr>
                <w:noProof/>
                <w:webHidden/>
              </w:rPr>
            </w:r>
            <w:r w:rsidR="009E177C">
              <w:rPr>
                <w:noProof/>
                <w:webHidden/>
              </w:rPr>
              <w:fldChar w:fldCharType="separate"/>
            </w:r>
            <w:r w:rsidR="009E177C">
              <w:rPr>
                <w:noProof/>
                <w:webHidden/>
              </w:rPr>
              <w:t>11</w:t>
            </w:r>
            <w:r w:rsidR="009E177C">
              <w:rPr>
                <w:noProof/>
                <w:webHidden/>
              </w:rPr>
              <w:fldChar w:fldCharType="end"/>
            </w:r>
          </w:hyperlink>
        </w:p>
        <w:p w14:paraId="6601363B" w14:textId="7CC2DFC5" w:rsidR="009E177C" w:rsidRDefault="00000000">
          <w:pPr>
            <w:pStyle w:val="TOC3"/>
            <w:rPr>
              <w:rFonts w:asciiTheme="minorHAnsi" w:eastAsiaTheme="minorEastAsia" w:hAnsiTheme="minorHAnsi" w:cstheme="minorBidi"/>
              <w:b w:val="0"/>
              <w:noProof/>
              <w:color w:val="auto"/>
              <w:kern w:val="2"/>
              <w:sz w:val="22"/>
              <w:szCs w:val="22"/>
              <w:lang w:eastAsia="en-AU"/>
              <w14:ligatures w14:val="standardContextual"/>
            </w:rPr>
          </w:pPr>
          <w:hyperlink w:anchor="_Toc158650268" w:history="1">
            <w:r w:rsidR="009E177C" w:rsidRPr="00F71036">
              <w:rPr>
                <w:rStyle w:val="Hyperlink"/>
                <w:noProof/>
              </w:rPr>
              <w:t>Transitional arrangements</w:t>
            </w:r>
            <w:r w:rsidR="009E177C">
              <w:rPr>
                <w:noProof/>
                <w:webHidden/>
              </w:rPr>
              <w:tab/>
            </w:r>
            <w:r w:rsidR="009E177C">
              <w:rPr>
                <w:noProof/>
                <w:webHidden/>
              </w:rPr>
              <w:fldChar w:fldCharType="begin"/>
            </w:r>
            <w:r w:rsidR="009E177C">
              <w:rPr>
                <w:noProof/>
                <w:webHidden/>
              </w:rPr>
              <w:instrText xml:space="preserve"> PAGEREF _Toc158650268 \h </w:instrText>
            </w:r>
            <w:r w:rsidR="009E177C">
              <w:rPr>
                <w:noProof/>
                <w:webHidden/>
              </w:rPr>
            </w:r>
            <w:r w:rsidR="009E177C">
              <w:rPr>
                <w:noProof/>
                <w:webHidden/>
              </w:rPr>
              <w:fldChar w:fldCharType="separate"/>
            </w:r>
            <w:r w:rsidR="009E177C">
              <w:rPr>
                <w:noProof/>
                <w:webHidden/>
              </w:rPr>
              <w:t>11</w:t>
            </w:r>
            <w:r w:rsidR="009E177C">
              <w:rPr>
                <w:noProof/>
                <w:webHidden/>
              </w:rPr>
              <w:fldChar w:fldCharType="end"/>
            </w:r>
          </w:hyperlink>
        </w:p>
        <w:p w14:paraId="578A55CA" w14:textId="761FB1C5" w:rsidR="009E177C" w:rsidRDefault="00000000">
          <w:pPr>
            <w:pStyle w:val="TOC3"/>
            <w:rPr>
              <w:rFonts w:asciiTheme="minorHAnsi" w:eastAsiaTheme="minorEastAsia" w:hAnsiTheme="minorHAnsi" w:cstheme="minorBidi"/>
              <w:b w:val="0"/>
              <w:noProof/>
              <w:color w:val="auto"/>
              <w:kern w:val="2"/>
              <w:sz w:val="22"/>
              <w:szCs w:val="22"/>
              <w:lang w:eastAsia="en-AU"/>
              <w14:ligatures w14:val="standardContextual"/>
            </w:rPr>
          </w:pPr>
          <w:hyperlink w:anchor="_Toc158650269" w:history="1">
            <w:r w:rsidR="009E177C" w:rsidRPr="00F71036">
              <w:rPr>
                <w:rStyle w:val="Hyperlink"/>
                <w:noProof/>
              </w:rPr>
              <w:t>Clinical performance requirements</w:t>
            </w:r>
            <w:r w:rsidR="009E177C">
              <w:rPr>
                <w:noProof/>
                <w:webHidden/>
              </w:rPr>
              <w:tab/>
            </w:r>
            <w:r w:rsidR="009E177C">
              <w:rPr>
                <w:noProof/>
                <w:webHidden/>
              </w:rPr>
              <w:fldChar w:fldCharType="begin"/>
            </w:r>
            <w:r w:rsidR="009E177C">
              <w:rPr>
                <w:noProof/>
                <w:webHidden/>
              </w:rPr>
              <w:instrText xml:space="preserve"> PAGEREF _Toc158650269 \h </w:instrText>
            </w:r>
            <w:r w:rsidR="009E177C">
              <w:rPr>
                <w:noProof/>
                <w:webHidden/>
              </w:rPr>
            </w:r>
            <w:r w:rsidR="009E177C">
              <w:rPr>
                <w:noProof/>
                <w:webHidden/>
              </w:rPr>
              <w:fldChar w:fldCharType="separate"/>
            </w:r>
            <w:r w:rsidR="009E177C">
              <w:rPr>
                <w:noProof/>
                <w:webHidden/>
              </w:rPr>
              <w:t>12</w:t>
            </w:r>
            <w:r w:rsidR="009E177C">
              <w:rPr>
                <w:noProof/>
                <w:webHidden/>
              </w:rPr>
              <w:fldChar w:fldCharType="end"/>
            </w:r>
          </w:hyperlink>
        </w:p>
        <w:p w14:paraId="710A16D9" w14:textId="45F43099" w:rsidR="009E177C" w:rsidRDefault="00000000">
          <w:pPr>
            <w:pStyle w:val="TOC3"/>
            <w:rPr>
              <w:rFonts w:asciiTheme="minorHAnsi" w:eastAsiaTheme="minorEastAsia" w:hAnsiTheme="minorHAnsi" w:cstheme="minorBidi"/>
              <w:b w:val="0"/>
              <w:noProof/>
              <w:color w:val="auto"/>
              <w:kern w:val="2"/>
              <w:sz w:val="22"/>
              <w:szCs w:val="22"/>
              <w:lang w:eastAsia="en-AU"/>
              <w14:ligatures w14:val="standardContextual"/>
            </w:rPr>
          </w:pPr>
          <w:hyperlink w:anchor="_Toc158650270" w:history="1">
            <w:r w:rsidR="009E177C" w:rsidRPr="00F71036">
              <w:rPr>
                <w:rStyle w:val="Hyperlink"/>
                <w:noProof/>
              </w:rPr>
              <w:t>Clinical utility for subsequent CDx</w:t>
            </w:r>
            <w:r w:rsidR="009E177C">
              <w:rPr>
                <w:noProof/>
                <w:webHidden/>
              </w:rPr>
              <w:tab/>
            </w:r>
            <w:r w:rsidR="009E177C">
              <w:rPr>
                <w:noProof/>
                <w:webHidden/>
              </w:rPr>
              <w:fldChar w:fldCharType="begin"/>
            </w:r>
            <w:r w:rsidR="009E177C">
              <w:rPr>
                <w:noProof/>
                <w:webHidden/>
              </w:rPr>
              <w:instrText xml:space="preserve"> PAGEREF _Toc158650270 \h </w:instrText>
            </w:r>
            <w:r w:rsidR="009E177C">
              <w:rPr>
                <w:noProof/>
                <w:webHidden/>
              </w:rPr>
            </w:r>
            <w:r w:rsidR="009E177C">
              <w:rPr>
                <w:noProof/>
                <w:webHidden/>
              </w:rPr>
              <w:fldChar w:fldCharType="separate"/>
            </w:r>
            <w:r w:rsidR="009E177C">
              <w:rPr>
                <w:noProof/>
                <w:webHidden/>
              </w:rPr>
              <w:t>13</w:t>
            </w:r>
            <w:r w:rsidR="009E177C">
              <w:rPr>
                <w:noProof/>
                <w:webHidden/>
              </w:rPr>
              <w:fldChar w:fldCharType="end"/>
            </w:r>
          </w:hyperlink>
        </w:p>
        <w:p w14:paraId="2B1B7553" w14:textId="41B24A5B" w:rsidR="009E177C" w:rsidRDefault="00000000">
          <w:pPr>
            <w:pStyle w:val="TOC3"/>
            <w:rPr>
              <w:rFonts w:asciiTheme="minorHAnsi" w:eastAsiaTheme="minorEastAsia" w:hAnsiTheme="minorHAnsi" w:cstheme="minorBidi"/>
              <w:b w:val="0"/>
              <w:noProof/>
              <w:color w:val="auto"/>
              <w:kern w:val="2"/>
              <w:sz w:val="22"/>
              <w:szCs w:val="22"/>
              <w:lang w:eastAsia="en-AU"/>
              <w14:ligatures w14:val="standardContextual"/>
            </w:rPr>
          </w:pPr>
          <w:hyperlink w:anchor="_Toc158650271" w:history="1">
            <w:r w:rsidR="009E177C" w:rsidRPr="00F71036">
              <w:rPr>
                <w:rStyle w:val="Hyperlink"/>
                <w:noProof/>
              </w:rPr>
              <w:t>Analytical performance requirements</w:t>
            </w:r>
            <w:r w:rsidR="009E177C">
              <w:rPr>
                <w:noProof/>
                <w:webHidden/>
              </w:rPr>
              <w:tab/>
            </w:r>
            <w:r w:rsidR="009E177C">
              <w:rPr>
                <w:noProof/>
                <w:webHidden/>
              </w:rPr>
              <w:fldChar w:fldCharType="begin"/>
            </w:r>
            <w:r w:rsidR="009E177C">
              <w:rPr>
                <w:noProof/>
                <w:webHidden/>
              </w:rPr>
              <w:instrText xml:space="preserve"> PAGEREF _Toc158650271 \h </w:instrText>
            </w:r>
            <w:r w:rsidR="009E177C">
              <w:rPr>
                <w:noProof/>
                <w:webHidden/>
              </w:rPr>
            </w:r>
            <w:r w:rsidR="009E177C">
              <w:rPr>
                <w:noProof/>
                <w:webHidden/>
              </w:rPr>
              <w:fldChar w:fldCharType="separate"/>
            </w:r>
            <w:r w:rsidR="009E177C">
              <w:rPr>
                <w:noProof/>
                <w:webHidden/>
              </w:rPr>
              <w:t>13</w:t>
            </w:r>
            <w:r w:rsidR="009E177C">
              <w:rPr>
                <w:noProof/>
                <w:webHidden/>
              </w:rPr>
              <w:fldChar w:fldCharType="end"/>
            </w:r>
          </w:hyperlink>
        </w:p>
        <w:p w14:paraId="5770B99B" w14:textId="3269FCEE" w:rsidR="009E177C" w:rsidRDefault="00000000">
          <w:pPr>
            <w:pStyle w:val="TOC2"/>
            <w:rPr>
              <w:rFonts w:asciiTheme="minorHAnsi" w:eastAsiaTheme="minorEastAsia" w:hAnsiTheme="minorHAnsi" w:cstheme="minorBidi"/>
              <w:b w:val="0"/>
              <w:noProof/>
              <w:color w:val="auto"/>
              <w:kern w:val="2"/>
              <w:sz w:val="22"/>
              <w:szCs w:val="22"/>
              <w:lang w:eastAsia="en-AU"/>
              <w14:ligatures w14:val="standardContextual"/>
            </w:rPr>
          </w:pPr>
          <w:hyperlink w:anchor="_Toc158650272" w:history="1">
            <w:r w:rsidR="009E177C" w:rsidRPr="00F71036">
              <w:rPr>
                <w:rStyle w:val="Hyperlink"/>
                <w:noProof/>
              </w:rPr>
              <w:t>Case studies</w:t>
            </w:r>
            <w:r w:rsidR="009E177C">
              <w:rPr>
                <w:noProof/>
                <w:webHidden/>
              </w:rPr>
              <w:tab/>
            </w:r>
            <w:r w:rsidR="009E177C">
              <w:rPr>
                <w:noProof/>
                <w:webHidden/>
              </w:rPr>
              <w:fldChar w:fldCharType="begin"/>
            </w:r>
            <w:r w:rsidR="009E177C">
              <w:rPr>
                <w:noProof/>
                <w:webHidden/>
              </w:rPr>
              <w:instrText xml:space="preserve"> PAGEREF _Toc158650272 \h </w:instrText>
            </w:r>
            <w:r w:rsidR="009E177C">
              <w:rPr>
                <w:noProof/>
                <w:webHidden/>
              </w:rPr>
            </w:r>
            <w:r w:rsidR="009E177C">
              <w:rPr>
                <w:noProof/>
                <w:webHidden/>
              </w:rPr>
              <w:fldChar w:fldCharType="separate"/>
            </w:r>
            <w:r w:rsidR="009E177C">
              <w:rPr>
                <w:noProof/>
                <w:webHidden/>
              </w:rPr>
              <w:t>14</w:t>
            </w:r>
            <w:r w:rsidR="009E177C">
              <w:rPr>
                <w:noProof/>
                <w:webHidden/>
              </w:rPr>
              <w:fldChar w:fldCharType="end"/>
            </w:r>
          </w:hyperlink>
        </w:p>
        <w:p w14:paraId="1A8D61F4" w14:textId="5D83620F" w:rsidR="009E177C" w:rsidRDefault="00000000">
          <w:pPr>
            <w:pStyle w:val="TOC2"/>
            <w:rPr>
              <w:rFonts w:asciiTheme="minorHAnsi" w:eastAsiaTheme="minorEastAsia" w:hAnsiTheme="minorHAnsi" w:cstheme="minorBidi"/>
              <w:b w:val="0"/>
              <w:noProof/>
              <w:color w:val="auto"/>
              <w:kern w:val="2"/>
              <w:sz w:val="22"/>
              <w:szCs w:val="22"/>
              <w:lang w:eastAsia="en-AU"/>
              <w14:ligatures w14:val="standardContextual"/>
            </w:rPr>
          </w:pPr>
          <w:hyperlink w:anchor="_Toc158650273" w:history="1">
            <w:r w:rsidR="009E177C" w:rsidRPr="00F71036">
              <w:rPr>
                <w:rStyle w:val="Hyperlink"/>
                <w:noProof/>
              </w:rPr>
              <w:t>Changes to CDx included in the ARTG</w:t>
            </w:r>
            <w:r w:rsidR="009E177C">
              <w:rPr>
                <w:noProof/>
                <w:webHidden/>
              </w:rPr>
              <w:tab/>
            </w:r>
            <w:r w:rsidR="009E177C">
              <w:rPr>
                <w:noProof/>
                <w:webHidden/>
              </w:rPr>
              <w:fldChar w:fldCharType="begin"/>
            </w:r>
            <w:r w:rsidR="009E177C">
              <w:rPr>
                <w:noProof/>
                <w:webHidden/>
              </w:rPr>
              <w:instrText xml:space="preserve"> PAGEREF _Toc158650273 \h </w:instrText>
            </w:r>
            <w:r w:rsidR="009E177C">
              <w:rPr>
                <w:noProof/>
                <w:webHidden/>
              </w:rPr>
            </w:r>
            <w:r w:rsidR="009E177C">
              <w:rPr>
                <w:noProof/>
                <w:webHidden/>
              </w:rPr>
              <w:fldChar w:fldCharType="separate"/>
            </w:r>
            <w:r w:rsidR="009E177C">
              <w:rPr>
                <w:noProof/>
                <w:webHidden/>
              </w:rPr>
              <w:t>16</w:t>
            </w:r>
            <w:r w:rsidR="009E177C">
              <w:rPr>
                <w:noProof/>
                <w:webHidden/>
              </w:rPr>
              <w:fldChar w:fldCharType="end"/>
            </w:r>
          </w:hyperlink>
        </w:p>
        <w:p w14:paraId="3CF37DAC" w14:textId="6D51559D" w:rsidR="009E177C" w:rsidRDefault="00000000">
          <w:pPr>
            <w:pStyle w:val="TOC2"/>
            <w:rPr>
              <w:rFonts w:asciiTheme="minorHAnsi" w:eastAsiaTheme="minorEastAsia" w:hAnsiTheme="minorHAnsi" w:cstheme="minorBidi"/>
              <w:b w:val="0"/>
              <w:noProof/>
              <w:color w:val="auto"/>
              <w:kern w:val="2"/>
              <w:sz w:val="22"/>
              <w:szCs w:val="22"/>
              <w:lang w:eastAsia="en-AU"/>
              <w14:ligatures w14:val="standardContextual"/>
            </w:rPr>
          </w:pPr>
          <w:hyperlink w:anchor="_Toc158650274" w:history="1">
            <w:r w:rsidR="009E177C" w:rsidRPr="00F71036">
              <w:rPr>
                <w:rStyle w:val="Hyperlink"/>
                <w:noProof/>
              </w:rPr>
              <w:t>In-house CDx IVDs</w:t>
            </w:r>
            <w:r w:rsidR="009E177C">
              <w:rPr>
                <w:noProof/>
                <w:webHidden/>
              </w:rPr>
              <w:tab/>
            </w:r>
            <w:r w:rsidR="009E177C">
              <w:rPr>
                <w:noProof/>
                <w:webHidden/>
              </w:rPr>
              <w:fldChar w:fldCharType="begin"/>
            </w:r>
            <w:r w:rsidR="009E177C">
              <w:rPr>
                <w:noProof/>
                <w:webHidden/>
              </w:rPr>
              <w:instrText xml:space="preserve"> PAGEREF _Toc158650274 \h </w:instrText>
            </w:r>
            <w:r w:rsidR="009E177C">
              <w:rPr>
                <w:noProof/>
                <w:webHidden/>
              </w:rPr>
            </w:r>
            <w:r w:rsidR="009E177C">
              <w:rPr>
                <w:noProof/>
                <w:webHidden/>
              </w:rPr>
              <w:fldChar w:fldCharType="separate"/>
            </w:r>
            <w:r w:rsidR="009E177C">
              <w:rPr>
                <w:noProof/>
                <w:webHidden/>
              </w:rPr>
              <w:t>16</w:t>
            </w:r>
            <w:r w:rsidR="009E177C">
              <w:rPr>
                <w:noProof/>
                <w:webHidden/>
              </w:rPr>
              <w:fldChar w:fldCharType="end"/>
            </w:r>
          </w:hyperlink>
        </w:p>
        <w:p w14:paraId="6428F384" w14:textId="300818D8" w:rsidR="009E177C" w:rsidRDefault="00000000">
          <w:pPr>
            <w:pStyle w:val="TOC3"/>
            <w:rPr>
              <w:rFonts w:asciiTheme="minorHAnsi" w:eastAsiaTheme="minorEastAsia" w:hAnsiTheme="minorHAnsi" w:cstheme="minorBidi"/>
              <w:b w:val="0"/>
              <w:noProof/>
              <w:color w:val="auto"/>
              <w:kern w:val="2"/>
              <w:sz w:val="22"/>
              <w:szCs w:val="22"/>
              <w:lang w:eastAsia="en-AU"/>
              <w14:ligatures w14:val="standardContextual"/>
            </w:rPr>
          </w:pPr>
          <w:hyperlink w:anchor="_Toc158650275" w:history="1">
            <w:r w:rsidR="009E177C" w:rsidRPr="00F71036">
              <w:rPr>
                <w:rStyle w:val="Hyperlink"/>
                <w:noProof/>
              </w:rPr>
              <w:t>Classification</w:t>
            </w:r>
            <w:r w:rsidR="009E177C">
              <w:rPr>
                <w:noProof/>
                <w:webHidden/>
              </w:rPr>
              <w:tab/>
            </w:r>
            <w:r w:rsidR="009E177C">
              <w:rPr>
                <w:noProof/>
                <w:webHidden/>
              </w:rPr>
              <w:fldChar w:fldCharType="begin"/>
            </w:r>
            <w:r w:rsidR="009E177C">
              <w:rPr>
                <w:noProof/>
                <w:webHidden/>
              </w:rPr>
              <w:instrText xml:space="preserve"> PAGEREF _Toc158650275 \h </w:instrText>
            </w:r>
            <w:r w:rsidR="009E177C">
              <w:rPr>
                <w:noProof/>
                <w:webHidden/>
              </w:rPr>
            </w:r>
            <w:r w:rsidR="009E177C">
              <w:rPr>
                <w:noProof/>
                <w:webHidden/>
              </w:rPr>
              <w:fldChar w:fldCharType="separate"/>
            </w:r>
            <w:r w:rsidR="009E177C">
              <w:rPr>
                <w:noProof/>
                <w:webHidden/>
              </w:rPr>
              <w:t>16</w:t>
            </w:r>
            <w:r w:rsidR="009E177C">
              <w:rPr>
                <w:noProof/>
                <w:webHidden/>
              </w:rPr>
              <w:fldChar w:fldCharType="end"/>
            </w:r>
          </w:hyperlink>
        </w:p>
        <w:p w14:paraId="12130C76" w14:textId="2BCD903F" w:rsidR="009E177C" w:rsidRDefault="00000000">
          <w:pPr>
            <w:pStyle w:val="TOC3"/>
            <w:rPr>
              <w:rFonts w:asciiTheme="minorHAnsi" w:eastAsiaTheme="minorEastAsia" w:hAnsiTheme="minorHAnsi" w:cstheme="minorBidi"/>
              <w:b w:val="0"/>
              <w:noProof/>
              <w:color w:val="auto"/>
              <w:kern w:val="2"/>
              <w:sz w:val="22"/>
              <w:szCs w:val="22"/>
              <w:lang w:eastAsia="en-AU"/>
              <w14:ligatures w14:val="standardContextual"/>
            </w:rPr>
          </w:pPr>
          <w:hyperlink w:anchor="_Toc158650276" w:history="1">
            <w:r w:rsidR="009E177C" w:rsidRPr="00F71036">
              <w:rPr>
                <w:rStyle w:val="Hyperlink"/>
                <w:noProof/>
              </w:rPr>
              <w:t>Notification to the TGA</w:t>
            </w:r>
            <w:r w:rsidR="009E177C">
              <w:rPr>
                <w:noProof/>
                <w:webHidden/>
              </w:rPr>
              <w:tab/>
            </w:r>
            <w:r w:rsidR="009E177C">
              <w:rPr>
                <w:noProof/>
                <w:webHidden/>
              </w:rPr>
              <w:fldChar w:fldCharType="begin"/>
            </w:r>
            <w:r w:rsidR="009E177C">
              <w:rPr>
                <w:noProof/>
                <w:webHidden/>
              </w:rPr>
              <w:instrText xml:space="preserve"> PAGEREF _Toc158650276 \h </w:instrText>
            </w:r>
            <w:r w:rsidR="009E177C">
              <w:rPr>
                <w:noProof/>
                <w:webHidden/>
              </w:rPr>
            </w:r>
            <w:r w:rsidR="009E177C">
              <w:rPr>
                <w:noProof/>
                <w:webHidden/>
              </w:rPr>
              <w:fldChar w:fldCharType="separate"/>
            </w:r>
            <w:r w:rsidR="009E177C">
              <w:rPr>
                <w:noProof/>
                <w:webHidden/>
              </w:rPr>
              <w:t>16</w:t>
            </w:r>
            <w:r w:rsidR="009E177C">
              <w:rPr>
                <w:noProof/>
                <w:webHidden/>
              </w:rPr>
              <w:fldChar w:fldCharType="end"/>
            </w:r>
          </w:hyperlink>
        </w:p>
        <w:p w14:paraId="7FD1C7DB" w14:textId="65644991" w:rsidR="009E177C" w:rsidRDefault="00000000">
          <w:pPr>
            <w:pStyle w:val="TOC3"/>
            <w:rPr>
              <w:rFonts w:asciiTheme="minorHAnsi" w:eastAsiaTheme="minorEastAsia" w:hAnsiTheme="minorHAnsi" w:cstheme="minorBidi"/>
              <w:b w:val="0"/>
              <w:noProof/>
              <w:color w:val="auto"/>
              <w:kern w:val="2"/>
              <w:sz w:val="22"/>
              <w:szCs w:val="22"/>
              <w:lang w:eastAsia="en-AU"/>
              <w14:ligatures w14:val="standardContextual"/>
            </w:rPr>
          </w:pPr>
          <w:hyperlink w:anchor="_Toc158650277" w:history="1">
            <w:r w:rsidR="009E177C" w:rsidRPr="00F71036">
              <w:rPr>
                <w:rStyle w:val="Hyperlink"/>
                <w:noProof/>
              </w:rPr>
              <w:t>Evaluation of in-house CDx IVDs</w:t>
            </w:r>
            <w:r w:rsidR="009E177C">
              <w:rPr>
                <w:noProof/>
                <w:webHidden/>
              </w:rPr>
              <w:tab/>
            </w:r>
            <w:r w:rsidR="009E177C">
              <w:rPr>
                <w:noProof/>
                <w:webHidden/>
              </w:rPr>
              <w:fldChar w:fldCharType="begin"/>
            </w:r>
            <w:r w:rsidR="009E177C">
              <w:rPr>
                <w:noProof/>
                <w:webHidden/>
              </w:rPr>
              <w:instrText xml:space="preserve"> PAGEREF _Toc158650277 \h </w:instrText>
            </w:r>
            <w:r w:rsidR="009E177C">
              <w:rPr>
                <w:noProof/>
                <w:webHidden/>
              </w:rPr>
            </w:r>
            <w:r w:rsidR="009E177C">
              <w:rPr>
                <w:noProof/>
                <w:webHidden/>
              </w:rPr>
              <w:fldChar w:fldCharType="separate"/>
            </w:r>
            <w:r w:rsidR="009E177C">
              <w:rPr>
                <w:noProof/>
                <w:webHidden/>
              </w:rPr>
              <w:t>17</w:t>
            </w:r>
            <w:r w:rsidR="009E177C">
              <w:rPr>
                <w:noProof/>
                <w:webHidden/>
              </w:rPr>
              <w:fldChar w:fldCharType="end"/>
            </w:r>
          </w:hyperlink>
        </w:p>
        <w:p w14:paraId="2DED1738" w14:textId="169C7DD6" w:rsidR="009E177C" w:rsidRDefault="00000000">
          <w:pPr>
            <w:pStyle w:val="TOC3"/>
            <w:rPr>
              <w:rFonts w:asciiTheme="minorHAnsi" w:eastAsiaTheme="minorEastAsia" w:hAnsiTheme="minorHAnsi" w:cstheme="minorBidi"/>
              <w:b w:val="0"/>
              <w:noProof/>
              <w:color w:val="auto"/>
              <w:kern w:val="2"/>
              <w:sz w:val="22"/>
              <w:szCs w:val="22"/>
              <w:lang w:eastAsia="en-AU"/>
              <w14:ligatures w14:val="standardContextual"/>
            </w:rPr>
          </w:pPr>
          <w:hyperlink w:anchor="_Toc158650278" w:history="1">
            <w:r w:rsidR="009E177C" w:rsidRPr="00F71036">
              <w:rPr>
                <w:rStyle w:val="Hyperlink"/>
                <w:noProof/>
              </w:rPr>
              <w:t>Clinical evidence</w:t>
            </w:r>
            <w:r w:rsidR="009E177C">
              <w:rPr>
                <w:noProof/>
                <w:webHidden/>
              </w:rPr>
              <w:tab/>
            </w:r>
            <w:r w:rsidR="009E177C">
              <w:rPr>
                <w:noProof/>
                <w:webHidden/>
              </w:rPr>
              <w:fldChar w:fldCharType="begin"/>
            </w:r>
            <w:r w:rsidR="009E177C">
              <w:rPr>
                <w:noProof/>
                <w:webHidden/>
              </w:rPr>
              <w:instrText xml:space="preserve"> PAGEREF _Toc158650278 \h </w:instrText>
            </w:r>
            <w:r w:rsidR="009E177C">
              <w:rPr>
                <w:noProof/>
                <w:webHidden/>
              </w:rPr>
            </w:r>
            <w:r w:rsidR="009E177C">
              <w:rPr>
                <w:noProof/>
                <w:webHidden/>
              </w:rPr>
              <w:fldChar w:fldCharType="separate"/>
            </w:r>
            <w:r w:rsidR="009E177C">
              <w:rPr>
                <w:noProof/>
                <w:webHidden/>
              </w:rPr>
              <w:t>17</w:t>
            </w:r>
            <w:r w:rsidR="009E177C">
              <w:rPr>
                <w:noProof/>
                <w:webHidden/>
              </w:rPr>
              <w:fldChar w:fldCharType="end"/>
            </w:r>
          </w:hyperlink>
        </w:p>
        <w:p w14:paraId="7BA08027" w14:textId="0E2A8F5F" w:rsidR="009E177C" w:rsidRDefault="00000000">
          <w:pPr>
            <w:pStyle w:val="TOC2"/>
            <w:rPr>
              <w:rFonts w:asciiTheme="minorHAnsi" w:eastAsiaTheme="minorEastAsia" w:hAnsiTheme="minorHAnsi" w:cstheme="minorBidi"/>
              <w:b w:val="0"/>
              <w:noProof/>
              <w:color w:val="auto"/>
              <w:kern w:val="2"/>
              <w:sz w:val="22"/>
              <w:szCs w:val="22"/>
              <w:lang w:eastAsia="en-AU"/>
              <w14:ligatures w14:val="standardContextual"/>
            </w:rPr>
          </w:pPr>
          <w:hyperlink w:anchor="_Toc158650279" w:history="1">
            <w:r w:rsidR="009E177C" w:rsidRPr="00F71036">
              <w:rPr>
                <w:rStyle w:val="Hyperlink"/>
                <w:noProof/>
              </w:rPr>
              <w:t>Glossary and abbreviations</w:t>
            </w:r>
            <w:r w:rsidR="009E177C">
              <w:rPr>
                <w:noProof/>
                <w:webHidden/>
              </w:rPr>
              <w:tab/>
            </w:r>
            <w:r w:rsidR="009E177C">
              <w:rPr>
                <w:noProof/>
                <w:webHidden/>
              </w:rPr>
              <w:fldChar w:fldCharType="begin"/>
            </w:r>
            <w:r w:rsidR="009E177C">
              <w:rPr>
                <w:noProof/>
                <w:webHidden/>
              </w:rPr>
              <w:instrText xml:space="preserve"> PAGEREF _Toc158650279 \h </w:instrText>
            </w:r>
            <w:r w:rsidR="009E177C">
              <w:rPr>
                <w:noProof/>
                <w:webHidden/>
              </w:rPr>
            </w:r>
            <w:r w:rsidR="009E177C">
              <w:rPr>
                <w:noProof/>
                <w:webHidden/>
              </w:rPr>
              <w:fldChar w:fldCharType="separate"/>
            </w:r>
            <w:r w:rsidR="009E177C">
              <w:rPr>
                <w:noProof/>
                <w:webHidden/>
              </w:rPr>
              <w:t>17</w:t>
            </w:r>
            <w:r w:rsidR="009E177C">
              <w:rPr>
                <w:noProof/>
                <w:webHidden/>
              </w:rPr>
              <w:fldChar w:fldCharType="end"/>
            </w:r>
          </w:hyperlink>
        </w:p>
        <w:p w14:paraId="57615CF1" w14:textId="5B9EC40C" w:rsidR="009E177C" w:rsidRDefault="00000000">
          <w:pPr>
            <w:pStyle w:val="TOC2"/>
            <w:rPr>
              <w:rFonts w:asciiTheme="minorHAnsi" w:eastAsiaTheme="minorEastAsia" w:hAnsiTheme="minorHAnsi" w:cstheme="minorBidi"/>
              <w:b w:val="0"/>
              <w:noProof/>
              <w:color w:val="auto"/>
              <w:kern w:val="2"/>
              <w:sz w:val="22"/>
              <w:szCs w:val="22"/>
              <w:lang w:eastAsia="en-AU"/>
              <w14:ligatures w14:val="standardContextual"/>
            </w:rPr>
          </w:pPr>
          <w:hyperlink w:anchor="_Toc158650280" w:history="1">
            <w:r w:rsidR="009E177C" w:rsidRPr="00F71036">
              <w:rPr>
                <w:rStyle w:val="Hyperlink"/>
                <w:noProof/>
              </w:rPr>
              <w:t>Version history</w:t>
            </w:r>
            <w:r w:rsidR="009E177C">
              <w:rPr>
                <w:noProof/>
                <w:webHidden/>
              </w:rPr>
              <w:tab/>
            </w:r>
            <w:r w:rsidR="009E177C">
              <w:rPr>
                <w:noProof/>
                <w:webHidden/>
              </w:rPr>
              <w:fldChar w:fldCharType="begin"/>
            </w:r>
            <w:r w:rsidR="009E177C">
              <w:rPr>
                <w:noProof/>
                <w:webHidden/>
              </w:rPr>
              <w:instrText xml:space="preserve"> PAGEREF _Toc158650280 \h </w:instrText>
            </w:r>
            <w:r w:rsidR="009E177C">
              <w:rPr>
                <w:noProof/>
                <w:webHidden/>
              </w:rPr>
            </w:r>
            <w:r w:rsidR="009E177C">
              <w:rPr>
                <w:noProof/>
                <w:webHidden/>
              </w:rPr>
              <w:fldChar w:fldCharType="separate"/>
            </w:r>
            <w:r w:rsidR="009E177C">
              <w:rPr>
                <w:noProof/>
                <w:webHidden/>
              </w:rPr>
              <w:t>19</w:t>
            </w:r>
            <w:r w:rsidR="009E177C">
              <w:rPr>
                <w:noProof/>
                <w:webHidden/>
              </w:rPr>
              <w:fldChar w:fldCharType="end"/>
            </w:r>
          </w:hyperlink>
        </w:p>
        <w:p w14:paraId="3547CF72" w14:textId="27E19C3D" w:rsidR="00335894" w:rsidRDefault="00335894">
          <w:r>
            <w:rPr>
              <w:b/>
              <w:bCs/>
              <w:noProof/>
            </w:rPr>
            <w:fldChar w:fldCharType="end"/>
          </w:r>
        </w:p>
      </w:sdtContent>
    </w:sdt>
    <w:p w14:paraId="3E8B0AF6" w14:textId="5921C171" w:rsidR="00335894" w:rsidRDefault="00335894">
      <w:pPr>
        <w:rPr>
          <w:rFonts w:cs="Arial"/>
        </w:rPr>
      </w:pPr>
    </w:p>
    <w:p w14:paraId="15FBBE8B" w14:textId="354C4BBB" w:rsidR="00335894" w:rsidRDefault="00335894">
      <w:pPr>
        <w:rPr>
          <w:rFonts w:eastAsia="Cambria" w:cs="Arial"/>
          <w:color w:val="333F4A"/>
          <w:sz w:val="17"/>
        </w:rPr>
      </w:pPr>
    </w:p>
    <w:p w14:paraId="4B02242B" w14:textId="223D1273" w:rsidR="00335894" w:rsidRDefault="00335894">
      <w:pPr>
        <w:rPr>
          <w:rFonts w:eastAsia="Cambria" w:cs="Arial"/>
          <w:color w:val="333F4A"/>
          <w:sz w:val="17"/>
        </w:rPr>
      </w:pPr>
    </w:p>
    <w:p w14:paraId="1BF97F66" w14:textId="100F26A5" w:rsidR="00335894" w:rsidRDefault="00335894">
      <w:pPr>
        <w:rPr>
          <w:rFonts w:eastAsia="Cambria" w:cs="Arial"/>
          <w:color w:val="333F4A"/>
          <w:sz w:val="17"/>
        </w:rPr>
      </w:pPr>
    </w:p>
    <w:p w14:paraId="304A41F0" w14:textId="6A196D1C" w:rsidR="00335894" w:rsidRDefault="00335894">
      <w:pPr>
        <w:rPr>
          <w:rFonts w:eastAsia="Cambria" w:cs="Arial"/>
          <w:color w:val="333F4A"/>
          <w:sz w:val="17"/>
        </w:rPr>
      </w:pPr>
    </w:p>
    <w:p w14:paraId="117D3462" w14:textId="2964A6A3" w:rsidR="00FE2E00" w:rsidRPr="00A42AEC" w:rsidRDefault="6EB38595" w:rsidP="006853B0">
      <w:pPr>
        <w:pStyle w:val="Heading2"/>
      </w:pPr>
      <w:bookmarkStart w:id="1" w:name="_Toc143557680"/>
      <w:bookmarkStart w:id="2" w:name="_Toc144388249"/>
      <w:bookmarkStart w:id="3" w:name="_Toc158650252"/>
      <w:bookmarkStart w:id="4" w:name="_Toc11456"/>
      <w:bookmarkStart w:id="5" w:name="_Toc323739589"/>
      <w:bookmarkStart w:id="6" w:name="_Toc356305216"/>
      <w:r w:rsidRPr="00A42AEC">
        <w:lastRenderedPageBreak/>
        <w:t xml:space="preserve">What are </w:t>
      </w:r>
      <w:r w:rsidR="04379727" w:rsidRPr="00A42AEC">
        <w:t xml:space="preserve">IVD </w:t>
      </w:r>
      <w:r w:rsidRPr="00A42AEC">
        <w:t>companion diagnostics</w:t>
      </w:r>
      <w:r w:rsidR="59CB1503" w:rsidRPr="00A42AEC">
        <w:t xml:space="preserve"> (</w:t>
      </w:r>
      <w:proofErr w:type="spellStart"/>
      <w:r w:rsidR="59CB1503" w:rsidRPr="00A42AEC">
        <w:t>CDx</w:t>
      </w:r>
      <w:proofErr w:type="spellEnd"/>
      <w:r w:rsidR="59CB1503" w:rsidRPr="00A42AEC">
        <w:t>)</w:t>
      </w:r>
      <w:r w:rsidRPr="00A42AEC">
        <w:t>?</w:t>
      </w:r>
      <w:bookmarkEnd w:id="1"/>
      <w:bookmarkEnd w:id="2"/>
      <w:bookmarkEnd w:id="3"/>
      <w:r w:rsidRPr="00A42AEC">
        <w:t xml:space="preserve"> </w:t>
      </w:r>
      <w:bookmarkEnd w:id="4"/>
    </w:p>
    <w:p w14:paraId="4137974E" w14:textId="570DCD37" w:rsidR="008729CD" w:rsidRDefault="6EB38595" w:rsidP="004C38CD">
      <w:pPr>
        <w:spacing w:after="240"/>
        <w:ind w:left="-6"/>
        <w:rPr>
          <w:rFonts w:cs="Arial"/>
        </w:rPr>
      </w:pPr>
      <w:r w:rsidRPr="009C77AA">
        <w:rPr>
          <w:rFonts w:cs="Arial"/>
        </w:rPr>
        <w:t xml:space="preserve">An </w:t>
      </w:r>
      <w:r w:rsidR="04379727" w:rsidRPr="110C9C01" w:rsidDel="78CA46B4">
        <w:rPr>
          <w:rFonts w:cs="Arial"/>
        </w:rPr>
        <w:t xml:space="preserve">IVD </w:t>
      </w:r>
      <w:r w:rsidRPr="009C77AA">
        <w:rPr>
          <w:rFonts w:cs="Arial"/>
        </w:rPr>
        <w:t xml:space="preserve">companion diagnostic </w:t>
      </w:r>
      <w:r w:rsidR="1D2FD9F8" w:rsidRPr="2F9C3BCB">
        <w:rPr>
          <w:rFonts w:cs="Arial"/>
        </w:rPr>
        <w:t>(</w:t>
      </w:r>
      <w:proofErr w:type="spellStart"/>
      <w:r w:rsidR="1D2FD9F8" w:rsidRPr="2F9C3BCB">
        <w:rPr>
          <w:rFonts w:cs="Arial"/>
        </w:rPr>
        <w:t>CDx</w:t>
      </w:r>
      <w:proofErr w:type="spellEnd"/>
      <w:r w:rsidR="1D2FD9F8" w:rsidRPr="2F9C3BCB">
        <w:rPr>
          <w:rFonts w:cs="Arial"/>
        </w:rPr>
        <w:t xml:space="preserve">) </w:t>
      </w:r>
      <w:r w:rsidRPr="009C77AA">
        <w:rPr>
          <w:rFonts w:cs="Arial"/>
        </w:rPr>
        <w:t xml:space="preserve">is an </w:t>
      </w:r>
      <w:hyperlink r:id="rId16" w:history="1">
        <w:r w:rsidRPr="00887F18">
          <w:rPr>
            <w:rStyle w:val="Hyperlink"/>
            <w:rFonts w:cs="Arial"/>
          </w:rPr>
          <w:t>in vitro diagnostic (IVD) medical device</w:t>
        </w:r>
      </w:hyperlink>
      <w:r w:rsidRPr="009C77AA">
        <w:rPr>
          <w:rFonts w:cs="Arial"/>
        </w:rPr>
        <w:t xml:space="preserve"> which provides information that is essential for the safe and effective use of a corresponding medicine or biological.</w:t>
      </w:r>
      <w:r w:rsidR="00FE2E00" w:rsidRPr="009C77AA">
        <w:rPr>
          <w:rFonts w:cs="Arial"/>
          <w:vertAlign w:val="superscript"/>
        </w:rPr>
        <w:footnoteReference w:id="2"/>
      </w:r>
      <w:r w:rsidRPr="009C77AA">
        <w:rPr>
          <w:rFonts w:cs="Arial"/>
        </w:rPr>
        <w:t xml:space="preserve"> </w:t>
      </w:r>
    </w:p>
    <w:p w14:paraId="0B4F5D09" w14:textId="3EF55FA4" w:rsidR="00FE2E00" w:rsidRPr="009C77AA" w:rsidRDefault="6EB38595" w:rsidP="004C38CD">
      <w:pPr>
        <w:spacing w:after="240"/>
        <w:ind w:left="-6"/>
        <w:rPr>
          <w:rFonts w:eastAsia="Arial" w:cs="Arial"/>
        </w:rPr>
      </w:pPr>
      <w:r w:rsidRPr="009C77AA">
        <w:rPr>
          <w:rFonts w:cs="Arial"/>
        </w:rPr>
        <w:t>The term ‘</w:t>
      </w:r>
      <w:r w:rsidRPr="6E03E91B">
        <w:rPr>
          <w:rFonts w:cs="Arial"/>
          <w:i/>
          <w:iCs/>
        </w:rPr>
        <w:t>IVD companion diagnostic’</w:t>
      </w:r>
      <w:r w:rsidRPr="009C77AA">
        <w:rPr>
          <w:rFonts w:cs="Arial"/>
        </w:rPr>
        <w:t xml:space="preserve"> has been defined in the </w:t>
      </w:r>
      <w:hyperlink r:id="rId17" w:history="1">
        <w:r w:rsidRPr="00251C8E">
          <w:rPr>
            <w:rStyle w:val="Hyperlink"/>
            <w:rFonts w:cs="Arial"/>
            <w:i/>
            <w:iCs/>
          </w:rPr>
          <w:t>Therapeutic Goods (Medical Devices) Regulations 2002</w:t>
        </w:r>
      </w:hyperlink>
      <w:r w:rsidRPr="009C77AA">
        <w:rPr>
          <w:rFonts w:cs="Arial"/>
        </w:rPr>
        <w:t xml:space="preserve"> (the Medical Devices Regulations)</w:t>
      </w:r>
      <w:r w:rsidR="008729CD">
        <w:rPr>
          <w:rFonts w:cs="Arial"/>
        </w:rPr>
        <w:t xml:space="preserve"> as:</w:t>
      </w:r>
      <w:r w:rsidRPr="009C77AA">
        <w:rPr>
          <w:rFonts w:cs="Arial"/>
        </w:rPr>
        <w:t xml:space="preserve"> </w:t>
      </w:r>
    </w:p>
    <w:p w14:paraId="6110518A" w14:textId="1E904AB9" w:rsidR="00FE2E00" w:rsidRPr="006853B0" w:rsidRDefault="00FE2E00" w:rsidP="004C38CD">
      <w:pPr>
        <w:numPr>
          <w:ilvl w:val="0"/>
          <w:numId w:val="13"/>
        </w:numPr>
        <w:spacing w:after="240" w:line="247" w:lineRule="auto"/>
        <w:ind w:left="357" w:hanging="357"/>
        <w:rPr>
          <w:rFonts w:cs="Arial"/>
          <w:i/>
          <w:iCs/>
        </w:rPr>
      </w:pPr>
      <w:r w:rsidRPr="006853B0">
        <w:rPr>
          <w:rFonts w:cs="Arial"/>
          <w:i/>
          <w:iCs/>
        </w:rPr>
        <w:t xml:space="preserve">It is an IVD medical device or an in-house IVD medical device; </w:t>
      </w:r>
      <w:r w:rsidR="00887F18">
        <w:rPr>
          <w:rFonts w:cs="Arial"/>
          <w:i/>
          <w:iCs/>
        </w:rPr>
        <w:t>and</w:t>
      </w:r>
    </w:p>
    <w:p w14:paraId="4A150A8D" w14:textId="77777777" w:rsidR="00FE2E00" w:rsidRPr="006853B0" w:rsidRDefault="00FE2E00" w:rsidP="004C38CD">
      <w:pPr>
        <w:numPr>
          <w:ilvl w:val="0"/>
          <w:numId w:val="13"/>
        </w:numPr>
        <w:spacing w:after="240" w:line="247" w:lineRule="auto"/>
        <w:ind w:left="357" w:hanging="357"/>
        <w:rPr>
          <w:rFonts w:cs="Arial"/>
          <w:i/>
          <w:iCs/>
        </w:rPr>
      </w:pPr>
      <w:r w:rsidRPr="006853B0">
        <w:rPr>
          <w:rFonts w:cs="Arial"/>
          <w:i/>
          <w:iCs/>
        </w:rPr>
        <w:t xml:space="preserve">It is intended by its manufacturer to be used for the examination of a specimen from the body of an individual: </w:t>
      </w:r>
    </w:p>
    <w:p w14:paraId="2442A0E3" w14:textId="77777777" w:rsidR="00FE2E00" w:rsidRPr="006853B0" w:rsidRDefault="00FE2E00" w:rsidP="004C38CD">
      <w:pPr>
        <w:numPr>
          <w:ilvl w:val="1"/>
          <w:numId w:val="13"/>
        </w:numPr>
        <w:spacing w:after="240" w:line="247" w:lineRule="auto"/>
        <w:ind w:left="850" w:hanging="425"/>
        <w:rPr>
          <w:rFonts w:cs="Arial"/>
          <w:i/>
          <w:iCs/>
        </w:rPr>
      </w:pPr>
      <w:r w:rsidRPr="006853B0">
        <w:rPr>
          <w:rFonts w:cs="Arial"/>
          <w:i/>
          <w:iCs/>
        </w:rPr>
        <w:t xml:space="preserve">to identify whether the individual would be likely to benefit from the use of a particular medicine or biological; or </w:t>
      </w:r>
    </w:p>
    <w:p w14:paraId="2B22D9E4" w14:textId="77777777" w:rsidR="00FE2E00" w:rsidRPr="006853B0" w:rsidRDefault="00FE2E00" w:rsidP="004C38CD">
      <w:pPr>
        <w:numPr>
          <w:ilvl w:val="1"/>
          <w:numId w:val="13"/>
        </w:numPr>
        <w:spacing w:after="240" w:line="247" w:lineRule="auto"/>
        <w:ind w:left="850" w:hanging="425"/>
        <w:rPr>
          <w:rFonts w:cs="Arial"/>
          <w:i/>
          <w:iCs/>
        </w:rPr>
      </w:pPr>
      <w:r w:rsidRPr="006853B0">
        <w:rPr>
          <w:rFonts w:cs="Arial"/>
          <w:i/>
          <w:iCs/>
        </w:rPr>
        <w:t xml:space="preserve">to identify whether an individual is likely to be at particular risk of a serious adverse reaction to the use of a particular medicine or biological; or </w:t>
      </w:r>
    </w:p>
    <w:p w14:paraId="730DC6DB" w14:textId="77777777" w:rsidR="00FE2E00" w:rsidRPr="006853B0" w:rsidRDefault="00FE2E00" w:rsidP="004C38CD">
      <w:pPr>
        <w:numPr>
          <w:ilvl w:val="1"/>
          <w:numId w:val="13"/>
        </w:numPr>
        <w:spacing w:after="240" w:line="247" w:lineRule="auto"/>
        <w:ind w:left="850" w:hanging="425"/>
        <w:rPr>
          <w:rFonts w:cs="Arial"/>
          <w:i/>
          <w:iCs/>
        </w:rPr>
      </w:pPr>
      <w:r w:rsidRPr="006853B0">
        <w:rPr>
          <w:rFonts w:cs="Arial"/>
          <w:i/>
          <w:iCs/>
        </w:rPr>
        <w:t xml:space="preserve">to monitor the individual’s response to the use of a particular medicine or biological; and </w:t>
      </w:r>
    </w:p>
    <w:p w14:paraId="1401173D" w14:textId="366DD164" w:rsidR="00EF4CD9" w:rsidRDefault="5C89361A" w:rsidP="004C38CD">
      <w:pPr>
        <w:numPr>
          <w:ilvl w:val="0"/>
          <w:numId w:val="13"/>
        </w:numPr>
        <w:spacing w:after="240" w:line="247" w:lineRule="auto"/>
        <w:ind w:left="357" w:hanging="357"/>
        <w:rPr>
          <w:rFonts w:cs="Arial"/>
          <w:i/>
          <w:iCs/>
        </w:rPr>
      </w:pPr>
      <w:r w:rsidRPr="415C6BA6">
        <w:rPr>
          <w:rFonts w:cs="Arial"/>
          <w:i/>
          <w:iCs/>
        </w:rPr>
        <w:t xml:space="preserve">It </w:t>
      </w:r>
      <w:r w:rsidR="2B58947F" w:rsidRPr="415C6BA6">
        <w:rPr>
          <w:rFonts w:cs="Arial"/>
          <w:i/>
          <w:iCs/>
        </w:rPr>
        <w:t>is</w:t>
      </w:r>
      <w:r w:rsidR="04379727" w:rsidRPr="415C6BA6">
        <w:rPr>
          <w:rFonts w:cs="Arial"/>
          <w:i/>
          <w:iCs/>
        </w:rPr>
        <w:t xml:space="preserve"> mentioned in the product information for the medicine or the instructions for use of a biological as being</w:t>
      </w:r>
      <w:r w:rsidR="2B58947F" w:rsidRPr="415C6BA6">
        <w:rPr>
          <w:rFonts w:cs="Arial"/>
          <w:i/>
          <w:iCs/>
        </w:rPr>
        <w:t xml:space="preserve"> essential for the safe and effective use of the corresponding medicine or biological</w:t>
      </w:r>
      <w:r w:rsidR="04379727" w:rsidRPr="415C6BA6">
        <w:rPr>
          <w:rFonts w:cs="Arial"/>
          <w:i/>
          <w:iCs/>
        </w:rPr>
        <w:t>; and</w:t>
      </w:r>
      <w:r w:rsidR="2B58947F" w:rsidRPr="415C6BA6">
        <w:rPr>
          <w:rFonts w:cs="Arial"/>
          <w:i/>
          <w:iCs/>
        </w:rPr>
        <w:t xml:space="preserve"> </w:t>
      </w:r>
    </w:p>
    <w:p w14:paraId="3B98EE7A" w14:textId="77777777" w:rsidR="00F77A6C" w:rsidRPr="00EF4CD9" w:rsidRDefault="00F77A6C" w:rsidP="00F77A6C">
      <w:pPr>
        <w:numPr>
          <w:ilvl w:val="0"/>
          <w:numId w:val="13"/>
        </w:numPr>
        <w:spacing w:after="240" w:line="247" w:lineRule="auto"/>
        <w:ind w:left="357" w:hanging="357"/>
        <w:rPr>
          <w:rFonts w:cs="Arial"/>
          <w:i/>
          <w:iCs/>
        </w:rPr>
      </w:pPr>
      <w:r w:rsidRPr="00EF4CD9">
        <w:rPr>
          <w:rFonts w:cs="Arial"/>
          <w:i/>
          <w:iCs/>
        </w:rPr>
        <w:t xml:space="preserve">It is not intended by the manufacturer to be used for the examination of the specimen merely to determine whether the medicine or biological is compatible with the individual (where the medicine or biological comprises blood, a blood component, cells, </w:t>
      </w:r>
      <w:proofErr w:type="gramStart"/>
      <w:r w:rsidRPr="00EF4CD9">
        <w:rPr>
          <w:rFonts w:cs="Arial"/>
          <w:i/>
          <w:iCs/>
        </w:rPr>
        <w:t>tissue</w:t>
      </w:r>
      <w:proofErr w:type="gramEnd"/>
      <w:r w:rsidRPr="00EF4CD9">
        <w:rPr>
          <w:rFonts w:cs="Arial"/>
          <w:i/>
          <w:iCs/>
        </w:rPr>
        <w:t xml:space="preserve"> or an organ from a donor other than the individual). </w:t>
      </w:r>
    </w:p>
    <w:p w14:paraId="756A2499" w14:textId="77777777" w:rsidR="00F56391" w:rsidRPr="002E6393" w:rsidRDefault="00F56391" w:rsidP="00F56391">
      <w:pPr>
        <w:pStyle w:val="Heading2"/>
        <w:spacing w:after="240"/>
      </w:pPr>
      <w:bookmarkStart w:id="7" w:name="_Which_medicine_or"/>
      <w:bookmarkStart w:id="8" w:name="_Toc158650253"/>
      <w:bookmarkStart w:id="9" w:name="_Toc143557681"/>
      <w:bookmarkStart w:id="10" w:name="_Toc144388250"/>
      <w:bookmarkEnd w:id="7"/>
      <w:r>
        <w:t xml:space="preserve">Which medicine or biological indications require </w:t>
      </w:r>
      <w:proofErr w:type="spellStart"/>
      <w:r>
        <w:t>CDx</w:t>
      </w:r>
      <w:proofErr w:type="spellEnd"/>
      <w:r>
        <w:t xml:space="preserve"> testing?</w:t>
      </w:r>
      <w:bookmarkEnd w:id="8"/>
    </w:p>
    <w:bookmarkEnd w:id="9"/>
    <w:bookmarkEnd w:id="10"/>
    <w:p w14:paraId="41976F94" w14:textId="0D768596" w:rsidR="00037CFD" w:rsidRPr="00B34E34" w:rsidRDefault="002E015D" w:rsidP="00223FFD">
      <w:pPr>
        <w:spacing w:after="0" w:line="240" w:lineRule="atLeast"/>
        <w:ind w:left="-6"/>
        <w:rPr>
          <w:rFonts w:cs="Arial"/>
        </w:rPr>
      </w:pPr>
      <w:r w:rsidRPr="00B34E34">
        <w:rPr>
          <w:rFonts w:cs="Arial"/>
        </w:rPr>
        <w:t>For every clinical indication</w:t>
      </w:r>
      <w:r w:rsidR="0039255F" w:rsidRPr="00B34E34">
        <w:rPr>
          <w:rFonts w:cs="Arial"/>
        </w:rPr>
        <w:t xml:space="preserve"> of medicine</w:t>
      </w:r>
      <w:r w:rsidRPr="00B34E34">
        <w:rPr>
          <w:rFonts w:cs="Arial"/>
        </w:rPr>
        <w:t xml:space="preserve">, </w:t>
      </w:r>
      <w:r w:rsidR="00CF1E26" w:rsidRPr="00B34E34">
        <w:rPr>
          <w:rFonts w:cs="Arial"/>
        </w:rPr>
        <w:t xml:space="preserve">where IVD </w:t>
      </w:r>
      <w:r w:rsidRPr="00B34E34">
        <w:rPr>
          <w:rFonts w:cs="Arial"/>
        </w:rPr>
        <w:t>testing</w:t>
      </w:r>
      <w:r w:rsidR="00605639" w:rsidRPr="00B34E34">
        <w:rPr>
          <w:rFonts w:cs="Arial"/>
        </w:rPr>
        <w:t xml:space="preserve"> is</w:t>
      </w:r>
      <w:r w:rsidRPr="00B34E34">
        <w:rPr>
          <w:rFonts w:cs="Arial"/>
        </w:rPr>
        <w:t xml:space="preserve"> essential for safe and effective use</w:t>
      </w:r>
      <w:r w:rsidR="00605639" w:rsidRPr="00B34E34">
        <w:rPr>
          <w:rFonts w:cs="Arial"/>
        </w:rPr>
        <w:t xml:space="preserve"> </w:t>
      </w:r>
      <w:r w:rsidR="00D1084F" w:rsidRPr="00B34E34">
        <w:rPr>
          <w:rFonts w:cs="Arial"/>
        </w:rPr>
        <w:t>of that medicine</w:t>
      </w:r>
      <w:r w:rsidRPr="00B34E34">
        <w:rPr>
          <w:rFonts w:cs="Arial"/>
        </w:rPr>
        <w:t xml:space="preserve">, there are multiple factors that </w:t>
      </w:r>
      <w:r w:rsidR="00037CFD" w:rsidRPr="00B34E34">
        <w:rPr>
          <w:rFonts w:cs="Arial"/>
        </w:rPr>
        <w:t>may</w:t>
      </w:r>
      <w:r w:rsidRPr="00B34E34">
        <w:rPr>
          <w:rFonts w:cs="Arial"/>
        </w:rPr>
        <w:t xml:space="preserve"> </w:t>
      </w:r>
      <w:r w:rsidR="003B50EA" w:rsidRPr="00B34E34">
        <w:rPr>
          <w:rFonts w:cs="Arial"/>
        </w:rPr>
        <w:t>determine the level of</w:t>
      </w:r>
      <w:r w:rsidR="00037CFD" w:rsidRPr="00B34E34">
        <w:rPr>
          <w:rFonts w:cs="Arial"/>
        </w:rPr>
        <w:t xml:space="preserve"> regulatory oversight of</w:t>
      </w:r>
      <w:r w:rsidRPr="00B34E34">
        <w:rPr>
          <w:rFonts w:cs="Arial"/>
        </w:rPr>
        <w:t xml:space="preserve"> </w:t>
      </w:r>
      <w:r w:rsidR="00582B8A" w:rsidRPr="00B34E34">
        <w:rPr>
          <w:rFonts w:cs="Arial"/>
        </w:rPr>
        <w:t>these</w:t>
      </w:r>
      <w:r w:rsidRPr="00B34E34">
        <w:rPr>
          <w:rFonts w:cs="Arial"/>
        </w:rPr>
        <w:t xml:space="preserve"> device</w:t>
      </w:r>
      <w:r w:rsidR="009826FA" w:rsidRPr="00B34E34">
        <w:rPr>
          <w:rFonts w:cs="Arial"/>
        </w:rPr>
        <w:t>s</w:t>
      </w:r>
      <w:r w:rsidRPr="00B34E34">
        <w:rPr>
          <w:rFonts w:cs="Arial"/>
        </w:rPr>
        <w:t xml:space="preserve">. </w:t>
      </w:r>
    </w:p>
    <w:p w14:paraId="4791BAE8" w14:textId="2D12B430" w:rsidR="007F6741" w:rsidRDefault="5557C52B" w:rsidP="004C38CD">
      <w:pPr>
        <w:spacing w:before="120" w:after="240" w:line="240" w:lineRule="atLeast"/>
        <w:ind w:left="-6"/>
        <w:rPr>
          <w:rFonts w:cs="Arial"/>
        </w:rPr>
      </w:pPr>
      <w:r w:rsidRPr="6E03E91B">
        <w:rPr>
          <w:rFonts w:cs="Arial"/>
        </w:rPr>
        <w:t xml:space="preserve">Consistent with the regulatory definition, a </w:t>
      </w:r>
      <w:proofErr w:type="spellStart"/>
      <w:r w:rsidRPr="6E03E91B">
        <w:rPr>
          <w:rFonts w:cs="Arial"/>
        </w:rPr>
        <w:t>CDx</w:t>
      </w:r>
      <w:proofErr w:type="spellEnd"/>
      <w:r w:rsidRPr="6E03E91B">
        <w:rPr>
          <w:rFonts w:cs="Arial"/>
        </w:rPr>
        <w:t xml:space="preserve"> is an IVD </w:t>
      </w:r>
      <w:r w:rsidR="4638D804" w:rsidRPr="6E03E91B">
        <w:rPr>
          <w:rFonts w:cs="Arial"/>
        </w:rPr>
        <w:t xml:space="preserve">that is essential for the safe and effective use of a corresponding medicine or biological, </w:t>
      </w:r>
      <w:r w:rsidR="008729CD" w:rsidRPr="6E03E91B">
        <w:rPr>
          <w:rFonts w:cs="Arial"/>
        </w:rPr>
        <w:t xml:space="preserve">where </w:t>
      </w:r>
      <w:r w:rsidR="007F6741">
        <w:rPr>
          <w:rFonts w:cs="Arial"/>
        </w:rPr>
        <w:t>both:</w:t>
      </w:r>
    </w:p>
    <w:p w14:paraId="6A797E93" w14:textId="5D533F79" w:rsidR="00F77A6C" w:rsidRPr="00F77A6C" w:rsidRDefault="008729CD" w:rsidP="00F77A6C">
      <w:pPr>
        <w:pStyle w:val="ListParagraph"/>
        <w:numPr>
          <w:ilvl w:val="0"/>
          <w:numId w:val="40"/>
        </w:numPr>
        <w:spacing w:before="120" w:after="240" w:line="240" w:lineRule="atLeast"/>
        <w:rPr>
          <w:rFonts w:ascii="Arial" w:hAnsi="Arial" w:cs="Arial"/>
          <w:sz w:val="20"/>
          <w:szCs w:val="20"/>
        </w:rPr>
      </w:pPr>
      <w:r w:rsidRPr="415C6BA6">
        <w:rPr>
          <w:rFonts w:ascii="Arial" w:hAnsi="Arial" w:cs="Arial"/>
          <w:sz w:val="20"/>
          <w:szCs w:val="20"/>
        </w:rPr>
        <w:t xml:space="preserve">the </w:t>
      </w:r>
      <w:r w:rsidR="007F6741" w:rsidRPr="415C6BA6">
        <w:rPr>
          <w:rFonts w:ascii="Arial" w:hAnsi="Arial" w:cs="Arial"/>
          <w:sz w:val="20"/>
          <w:szCs w:val="20"/>
        </w:rPr>
        <w:t>Product Information (</w:t>
      </w:r>
      <w:r w:rsidRPr="415C6BA6">
        <w:rPr>
          <w:rFonts w:ascii="Arial" w:hAnsi="Arial" w:cs="Arial"/>
          <w:sz w:val="20"/>
          <w:szCs w:val="20"/>
        </w:rPr>
        <w:t>PI</w:t>
      </w:r>
      <w:r w:rsidR="007F6741" w:rsidRPr="415C6BA6">
        <w:rPr>
          <w:rFonts w:ascii="Arial" w:hAnsi="Arial" w:cs="Arial"/>
          <w:sz w:val="20"/>
          <w:szCs w:val="20"/>
        </w:rPr>
        <w:t>)</w:t>
      </w:r>
      <w:r w:rsidRPr="415C6BA6">
        <w:rPr>
          <w:rFonts w:ascii="Arial" w:hAnsi="Arial" w:cs="Arial"/>
          <w:sz w:val="20"/>
          <w:szCs w:val="20"/>
        </w:rPr>
        <w:t xml:space="preserve"> for the medicine (or </w:t>
      </w:r>
      <w:r w:rsidR="007F6741" w:rsidRPr="415C6BA6">
        <w:rPr>
          <w:rFonts w:ascii="Arial" w:hAnsi="Arial" w:cs="Arial"/>
          <w:sz w:val="20"/>
          <w:szCs w:val="20"/>
        </w:rPr>
        <w:t xml:space="preserve">Instructions for Use [IFU] </w:t>
      </w:r>
      <w:r w:rsidRPr="415C6BA6">
        <w:rPr>
          <w:rFonts w:ascii="Arial" w:hAnsi="Arial" w:cs="Arial"/>
          <w:sz w:val="20"/>
          <w:szCs w:val="20"/>
        </w:rPr>
        <w:t xml:space="preserve">for the biological) states that </w:t>
      </w:r>
      <w:proofErr w:type="spellStart"/>
      <w:r w:rsidRPr="415C6BA6">
        <w:rPr>
          <w:rFonts w:ascii="Arial" w:hAnsi="Arial" w:cs="Arial"/>
          <w:sz w:val="20"/>
          <w:szCs w:val="20"/>
        </w:rPr>
        <w:t>CDx</w:t>
      </w:r>
      <w:proofErr w:type="spellEnd"/>
      <w:r w:rsidRPr="415C6BA6">
        <w:rPr>
          <w:rFonts w:ascii="Arial" w:hAnsi="Arial" w:cs="Arial"/>
          <w:sz w:val="20"/>
          <w:szCs w:val="20"/>
        </w:rPr>
        <w:t xml:space="preserve"> testing is essential for the relevant use </w:t>
      </w:r>
      <w:r w:rsidR="007F6741" w:rsidRPr="415C6BA6">
        <w:rPr>
          <w:rFonts w:ascii="Arial" w:hAnsi="Arial" w:cs="Arial"/>
          <w:sz w:val="20"/>
          <w:szCs w:val="20"/>
        </w:rPr>
        <w:t>of th</w:t>
      </w:r>
      <w:r w:rsidR="00F95604" w:rsidRPr="415C6BA6">
        <w:rPr>
          <w:rFonts w:ascii="Arial" w:hAnsi="Arial" w:cs="Arial"/>
          <w:sz w:val="20"/>
          <w:szCs w:val="20"/>
        </w:rPr>
        <w:t xml:space="preserve">e medicine or biological </w:t>
      </w:r>
      <w:r w:rsidRPr="415C6BA6">
        <w:rPr>
          <w:rFonts w:ascii="Arial" w:hAnsi="Arial" w:cs="Arial"/>
          <w:sz w:val="20"/>
          <w:szCs w:val="20"/>
        </w:rPr>
        <w:t>to be safe and effective</w:t>
      </w:r>
      <w:r w:rsidR="00F77A6C" w:rsidRPr="415C6BA6">
        <w:rPr>
          <w:rFonts w:ascii="Arial" w:hAnsi="Arial" w:cs="Arial"/>
          <w:sz w:val="20"/>
          <w:szCs w:val="20"/>
        </w:rPr>
        <w:t xml:space="preserve">, and </w:t>
      </w:r>
    </w:p>
    <w:p w14:paraId="51F9AAB0" w14:textId="09676362" w:rsidR="00F77A6C" w:rsidRPr="00F95604" w:rsidRDefault="00F77A6C" w:rsidP="00F77A6C">
      <w:pPr>
        <w:pStyle w:val="ListParagraph"/>
        <w:numPr>
          <w:ilvl w:val="0"/>
          <w:numId w:val="40"/>
        </w:numPr>
        <w:spacing w:before="120" w:after="240" w:line="240" w:lineRule="atLeast"/>
        <w:rPr>
          <w:rFonts w:ascii="Arial" w:hAnsi="Arial" w:cs="Arial"/>
          <w:sz w:val="20"/>
          <w:szCs w:val="20"/>
        </w:rPr>
      </w:pPr>
      <w:r w:rsidRPr="00F95604">
        <w:rPr>
          <w:rFonts w:ascii="Arial" w:hAnsi="Arial" w:cs="Arial"/>
          <w:sz w:val="20"/>
          <w:szCs w:val="20"/>
        </w:rPr>
        <w:t>the IVD claims that it is intended for the relevant use of the medicine or biological.</w:t>
      </w:r>
    </w:p>
    <w:p w14:paraId="263C1E60" w14:textId="339D2115" w:rsidR="00BA1CBD" w:rsidRPr="009C77AA" w:rsidRDefault="00236F0E" w:rsidP="002E015D">
      <w:pPr>
        <w:spacing w:before="120" w:after="240" w:line="240" w:lineRule="atLeast"/>
        <w:ind w:left="-6"/>
        <w:rPr>
          <w:rFonts w:cs="Arial"/>
        </w:rPr>
      </w:pPr>
      <w:r w:rsidRPr="00236F0E">
        <w:rPr>
          <w:rFonts w:cs="Arial"/>
        </w:rPr>
        <w:t>A</w:t>
      </w:r>
      <w:r>
        <w:rPr>
          <w:rFonts w:cs="Arial"/>
        </w:rPr>
        <w:t>s t</w:t>
      </w:r>
      <w:r w:rsidRPr="00236F0E">
        <w:rPr>
          <w:rFonts w:cs="Arial"/>
        </w:rPr>
        <w:t xml:space="preserve">he </w:t>
      </w:r>
      <w:r>
        <w:rPr>
          <w:rFonts w:cs="Arial"/>
        </w:rPr>
        <w:t xml:space="preserve">wording of the medicine or biological PI and the IFU are determined during the </w:t>
      </w:r>
      <w:r w:rsidR="009E7B0B">
        <w:rPr>
          <w:rFonts w:cs="Arial"/>
        </w:rPr>
        <w:t xml:space="preserve">medicine </w:t>
      </w:r>
      <w:r>
        <w:rPr>
          <w:rFonts w:cs="Arial"/>
        </w:rPr>
        <w:t xml:space="preserve">registration process, </w:t>
      </w:r>
      <w:r w:rsidR="00A1110A">
        <w:rPr>
          <w:rFonts w:cs="Arial"/>
        </w:rPr>
        <w:t xml:space="preserve">the </w:t>
      </w:r>
      <w:r>
        <w:rPr>
          <w:rFonts w:cs="Arial"/>
        </w:rPr>
        <w:t xml:space="preserve">TGA has developed </w:t>
      </w:r>
      <w:r w:rsidR="002E015D">
        <w:rPr>
          <w:rFonts w:cs="Arial"/>
        </w:rPr>
        <w:t>t</w:t>
      </w:r>
      <w:r w:rsidR="64661865" w:rsidRPr="6E03E91B">
        <w:rPr>
          <w:rFonts w:cs="Arial"/>
        </w:rPr>
        <w:t xml:space="preserve">he </w:t>
      </w:r>
      <w:proofErr w:type="spellStart"/>
      <w:r w:rsidR="00037CFD">
        <w:rPr>
          <w:rFonts w:cs="Arial"/>
        </w:rPr>
        <w:t>CDx</w:t>
      </w:r>
      <w:proofErr w:type="spellEnd"/>
      <w:r w:rsidR="00037CFD">
        <w:rPr>
          <w:rFonts w:cs="Arial"/>
        </w:rPr>
        <w:t xml:space="preserve"> testing </w:t>
      </w:r>
      <w:r w:rsidR="1C81442C" w:rsidRPr="6E03E91B">
        <w:rPr>
          <w:rFonts w:cs="Arial"/>
        </w:rPr>
        <w:t xml:space="preserve">identification </w:t>
      </w:r>
      <w:r w:rsidR="64661865" w:rsidRPr="6E03E91B">
        <w:rPr>
          <w:rFonts w:cs="Arial"/>
        </w:rPr>
        <w:t xml:space="preserve">guide in </w:t>
      </w:r>
      <w:hyperlink w:anchor="Figure" w:history="1">
        <w:r w:rsidR="5401D053" w:rsidRPr="002C6D83">
          <w:rPr>
            <w:rStyle w:val="Hyperlink"/>
            <w:rFonts w:cs="Arial"/>
          </w:rPr>
          <w:t xml:space="preserve">Figure </w:t>
        </w:r>
        <w:r w:rsidR="64661865" w:rsidRPr="002C6D83">
          <w:rPr>
            <w:rStyle w:val="Hyperlink"/>
            <w:rFonts w:cs="Arial"/>
          </w:rPr>
          <w:t>1</w:t>
        </w:r>
      </w:hyperlink>
      <w:r w:rsidR="002E015D">
        <w:rPr>
          <w:rStyle w:val="Hyperlink"/>
          <w:rFonts w:cs="Arial"/>
        </w:rPr>
        <w:t>.</w:t>
      </w:r>
      <w:r w:rsidR="64661865" w:rsidRPr="6E03E91B">
        <w:rPr>
          <w:rFonts w:cs="Arial"/>
        </w:rPr>
        <w:t xml:space="preserve"> </w:t>
      </w:r>
      <w:r w:rsidR="002E015D">
        <w:rPr>
          <w:rFonts w:cs="Arial"/>
        </w:rPr>
        <w:t>The</w:t>
      </w:r>
      <w:r w:rsidR="00037CFD">
        <w:rPr>
          <w:rFonts w:cs="Arial"/>
        </w:rPr>
        <w:t xml:space="preserve"> </w:t>
      </w:r>
      <w:proofErr w:type="spellStart"/>
      <w:r w:rsidR="00037CFD">
        <w:rPr>
          <w:rFonts w:cs="Arial"/>
        </w:rPr>
        <w:t>CDx</w:t>
      </w:r>
      <w:proofErr w:type="spellEnd"/>
      <w:r w:rsidR="00037CFD">
        <w:rPr>
          <w:rFonts w:cs="Arial"/>
        </w:rPr>
        <w:t xml:space="preserve"> testing</w:t>
      </w:r>
      <w:r w:rsidR="002E015D">
        <w:rPr>
          <w:rFonts w:cs="Arial"/>
        </w:rPr>
        <w:t xml:space="preserve"> identification guide </w:t>
      </w:r>
      <w:r w:rsidR="7E4F6B98" w:rsidRPr="6E03E91B">
        <w:rPr>
          <w:rFonts w:cs="Arial"/>
        </w:rPr>
        <w:t>helps</w:t>
      </w:r>
      <w:r w:rsidR="64661865" w:rsidRPr="6E03E91B">
        <w:rPr>
          <w:rFonts w:cs="Arial"/>
        </w:rPr>
        <w:t xml:space="preserve"> </w:t>
      </w:r>
      <w:r w:rsidR="00EF4CD9">
        <w:rPr>
          <w:rFonts w:cs="Arial"/>
        </w:rPr>
        <w:t>to</w:t>
      </w:r>
      <w:r w:rsidR="00EF4CD9" w:rsidRPr="6E03E91B">
        <w:rPr>
          <w:rFonts w:cs="Arial"/>
        </w:rPr>
        <w:t xml:space="preserve"> </w:t>
      </w:r>
      <w:r w:rsidR="4A057623" w:rsidRPr="6E03E91B">
        <w:rPr>
          <w:rFonts w:cs="Arial"/>
        </w:rPr>
        <w:t xml:space="preserve">identify </w:t>
      </w:r>
      <w:r w:rsidR="64661865" w:rsidRPr="6E03E91B">
        <w:rPr>
          <w:rFonts w:cs="Arial"/>
        </w:rPr>
        <w:t xml:space="preserve">whether </w:t>
      </w:r>
      <w:r w:rsidR="002E015D">
        <w:rPr>
          <w:rFonts w:cs="Arial"/>
        </w:rPr>
        <w:t>a</w:t>
      </w:r>
      <w:r w:rsidR="002E015D" w:rsidRPr="6E03E91B">
        <w:rPr>
          <w:rFonts w:cs="Arial"/>
        </w:rPr>
        <w:t xml:space="preserve"> </w:t>
      </w:r>
      <w:r w:rsidR="7E4F6B98" w:rsidRPr="6E03E91B">
        <w:rPr>
          <w:rFonts w:cs="Arial"/>
        </w:rPr>
        <w:t xml:space="preserve">proposed </w:t>
      </w:r>
      <w:r w:rsidR="008729CD">
        <w:rPr>
          <w:rFonts w:cs="Arial"/>
        </w:rPr>
        <w:t xml:space="preserve">medicine or biological </w:t>
      </w:r>
      <w:r w:rsidR="7E4F6B98" w:rsidRPr="6E03E91B">
        <w:rPr>
          <w:rFonts w:cs="Arial"/>
        </w:rPr>
        <w:t>indication</w:t>
      </w:r>
      <w:r w:rsidR="64661865" w:rsidRPr="6E03E91B">
        <w:rPr>
          <w:rFonts w:cs="Arial"/>
        </w:rPr>
        <w:t xml:space="preserve"> requires </w:t>
      </w:r>
      <w:proofErr w:type="spellStart"/>
      <w:r w:rsidR="64661865" w:rsidRPr="6E03E91B">
        <w:rPr>
          <w:rFonts w:cs="Arial"/>
        </w:rPr>
        <w:t>CDx</w:t>
      </w:r>
      <w:proofErr w:type="spellEnd"/>
      <w:r w:rsidR="64661865" w:rsidRPr="6E03E91B">
        <w:rPr>
          <w:rFonts w:cs="Arial"/>
        </w:rPr>
        <w:t xml:space="preserve"> testing</w:t>
      </w:r>
      <w:r w:rsidR="002E015D">
        <w:rPr>
          <w:rFonts w:cs="Arial"/>
        </w:rPr>
        <w:t>, independently of PI or IFU wording</w:t>
      </w:r>
      <w:r w:rsidR="64661865" w:rsidRPr="6E03E91B">
        <w:rPr>
          <w:rFonts w:cs="Arial"/>
        </w:rPr>
        <w:t xml:space="preserve">. </w:t>
      </w:r>
      <w:r w:rsidR="248B607A" w:rsidRPr="6E03E91B">
        <w:rPr>
          <w:rFonts w:cs="Arial"/>
        </w:rPr>
        <w:t xml:space="preserve">The </w:t>
      </w:r>
      <w:r w:rsidR="6BE2F86C" w:rsidRPr="6E03E91B">
        <w:rPr>
          <w:rFonts w:cs="Arial"/>
        </w:rPr>
        <w:t>intention</w:t>
      </w:r>
      <w:r w:rsidR="6332C06A" w:rsidRPr="6E03E91B">
        <w:rPr>
          <w:rFonts w:cs="Arial"/>
        </w:rPr>
        <w:t xml:space="preserve"> of the </w:t>
      </w:r>
      <w:r w:rsidR="3EA04953" w:rsidRPr="6E03E91B">
        <w:rPr>
          <w:rFonts w:cs="Arial"/>
        </w:rPr>
        <w:t xml:space="preserve">identification </w:t>
      </w:r>
      <w:r w:rsidR="6332C06A" w:rsidRPr="6E03E91B">
        <w:rPr>
          <w:rFonts w:cs="Arial"/>
        </w:rPr>
        <w:t>guide</w:t>
      </w:r>
      <w:r w:rsidR="6BE2F86C" w:rsidRPr="6E03E91B">
        <w:rPr>
          <w:rFonts w:cs="Arial"/>
        </w:rPr>
        <w:t xml:space="preserve"> is to </w:t>
      </w:r>
      <w:r w:rsidR="006E7B0C">
        <w:rPr>
          <w:rFonts w:cs="Arial"/>
        </w:rPr>
        <w:t xml:space="preserve">assist in </w:t>
      </w:r>
      <w:r w:rsidR="7140346E" w:rsidRPr="6E03E91B">
        <w:rPr>
          <w:rFonts w:cs="Arial"/>
        </w:rPr>
        <w:t>identify</w:t>
      </w:r>
      <w:r w:rsidR="006E7B0C">
        <w:rPr>
          <w:rFonts w:cs="Arial"/>
        </w:rPr>
        <w:t>ing</w:t>
      </w:r>
      <w:r w:rsidR="7140346E" w:rsidRPr="6E03E91B">
        <w:rPr>
          <w:rFonts w:cs="Arial"/>
        </w:rPr>
        <w:t xml:space="preserve"> </w:t>
      </w:r>
      <w:r w:rsidR="008A1F2A">
        <w:rPr>
          <w:rFonts w:cs="Arial"/>
        </w:rPr>
        <w:t>tests</w:t>
      </w:r>
      <w:r w:rsidR="008A1F2A" w:rsidRPr="6E03E91B">
        <w:rPr>
          <w:rFonts w:cs="Arial"/>
        </w:rPr>
        <w:t xml:space="preserve"> </w:t>
      </w:r>
      <w:r w:rsidR="6BE2F86C" w:rsidRPr="6E03E91B">
        <w:rPr>
          <w:rFonts w:cs="Arial"/>
        </w:rPr>
        <w:t xml:space="preserve">that require </w:t>
      </w:r>
      <w:r w:rsidR="000361EF">
        <w:rPr>
          <w:rFonts w:cs="Arial"/>
        </w:rPr>
        <w:t>inclusion</w:t>
      </w:r>
      <w:r w:rsidR="000361EF" w:rsidRPr="6E03E91B">
        <w:rPr>
          <w:rFonts w:cs="Arial"/>
        </w:rPr>
        <w:t xml:space="preserve"> </w:t>
      </w:r>
      <w:r w:rsidR="008A1F2A">
        <w:rPr>
          <w:rFonts w:cs="Arial"/>
        </w:rPr>
        <w:t xml:space="preserve">in the Australian Register of Therapeutic Goods (ARTG) </w:t>
      </w:r>
      <w:r w:rsidR="6447BE4B" w:rsidRPr="6E03E91B">
        <w:rPr>
          <w:rFonts w:cs="Arial"/>
        </w:rPr>
        <w:t xml:space="preserve">under the </w:t>
      </w:r>
      <w:proofErr w:type="spellStart"/>
      <w:r w:rsidR="6447BE4B" w:rsidRPr="6E03E91B">
        <w:rPr>
          <w:rFonts w:cs="Arial"/>
        </w:rPr>
        <w:t>CDx</w:t>
      </w:r>
      <w:proofErr w:type="spellEnd"/>
      <w:r w:rsidR="6447BE4B" w:rsidRPr="6E03E91B">
        <w:rPr>
          <w:rFonts w:cs="Arial"/>
        </w:rPr>
        <w:t xml:space="preserve"> framework</w:t>
      </w:r>
      <w:r w:rsidR="006073A5">
        <w:rPr>
          <w:rFonts w:cs="Arial"/>
        </w:rPr>
        <w:t xml:space="preserve"> for supply in Australia</w:t>
      </w:r>
      <w:r w:rsidR="006E7B0C">
        <w:rPr>
          <w:rFonts w:cs="Arial"/>
        </w:rPr>
        <w:t>. This is</w:t>
      </w:r>
      <w:r w:rsidR="6BE2F86C" w:rsidRPr="6E03E91B">
        <w:rPr>
          <w:rFonts w:cs="Arial"/>
        </w:rPr>
        <w:t xml:space="preserve"> to ensure</w:t>
      </w:r>
      <w:r w:rsidR="610E3FE8" w:rsidRPr="6E03E91B">
        <w:rPr>
          <w:rFonts w:cs="Arial"/>
        </w:rPr>
        <w:t xml:space="preserve"> </w:t>
      </w:r>
      <w:r w:rsidR="000361EF">
        <w:rPr>
          <w:rFonts w:cs="Arial"/>
        </w:rPr>
        <w:t xml:space="preserve">the </w:t>
      </w:r>
      <w:r w:rsidR="610E3FE8" w:rsidRPr="6E03E91B">
        <w:rPr>
          <w:rFonts w:cs="Arial"/>
        </w:rPr>
        <w:t>analytical and clinical</w:t>
      </w:r>
      <w:r w:rsidR="00244426">
        <w:rPr>
          <w:rFonts w:cs="Arial"/>
        </w:rPr>
        <w:t xml:space="preserve"> </w:t>
      </w:r>
      <w:r w:rsidR="610E3FE8" w:rsidRPr="6E03E91B">
        <w:rPr>
          <w:rFonts w:cs="Arial"/>
        </w:rPr>
        <w:t xml:space="preserve">performance of </w:t>
      </w:r>
      <w:r w:rsidR="000361EF">
        <w:rPr>
          <w:rFonts w:cs="Arial"/>
        </w:rPr>
        <w:t xml:space="preserve">devices that are intended to </w:t>
      </w:r>
      <w:r w:rsidR="002C6D83">
        <w:rPr>
          <w:rFonts w:cs="Arial"/>
        </w:rPr>
        <w:t xml:space="preserve">conduct </w:t>
      </w:r>
      <w:r w:rsidR="000361EF">
        <w:rPr>
          <w:rFonts w:cs="Arial"/>
        </w:rPr>
        <w:t>such</w:t>
      </w:r>
      <w:r w:rsidR="208E987D" w:rsidRPr="6E03E91B">
        <w:rPr>
          <w:rFonts w:cs="Arial"/>
        </w:rPr>
        <w:t xml:space="preserve"> </w:t>
      </w:r>
      <w:r w:rsidR="610E3FE8" w:rsidRPr="6E03E91B">
        <w:rPr>
          <w:rFonts w:cs="Arial"/>
        </w:rPr>
        <w:t>testing</w:t>
      </w:r>
      <w:r w:rsidR="442178AD" w:rsidRPr="6E03E91B">
        <w:rPr>
          <w:rFonts w:cs="Arial"/>
        </w:rPr>
        <w:t xml:space="preserve"> </w:t>
      </w:r>
      <w:r w:rsidR="000361EF">
        <w:rPr>
          <w:rFonts w:cs="Arial"/>
        </w:rPr>
        <w:t>are</w:t>
      </w:r>
      <w:r w:rsidR="000361EF" w:rsidRPr="6E03E91B">
        <w:rPr>
          <w:rFonts w:cs="Arial"/>
        </w:rPr>
        <w:t xml:space="preserve"> </w:t>
      </w:r>
      <w:r w:rsidR="053EB007" w:rsidRPr="6E03E91B">
        <w:rPr>
          <w:rFonts w:cs="Arial"/>
        </w:rPr>
        <w:t>appropriate for use in conjunction with that medicine</w:t>
      </w:r>
      <w:r w:rsidR="002C6D83">
        <w:rPr>
          <w:rFonts w:cs="Arial"/>
        </w:rPr>
        <w:t xml:space="preserve"> or biological</w:t>
      </w:r>
      <w:r w:rsidR="053EB007" w:rsidRPr="6E03E91B">
        <w:rPr>
          <w:rFonts w:cs="Arial"/>
        </w:rPr>
        <w:t xml:space="preserve">. </w:t>
      </w:r>
    </w:p>
    <w:p w14:paraId="46D0495A" w14:textId="2F4DA13C" w:rsidR="00BA1CBD" w:rsidRDefault="0044F1BA" w:rsidP="00335894">
      <w:pPr>
        <w:spacing w:after="0"/>
        <w:ind w:left="-4"/>
        <w:rPr>
          <w:rFonts w:cs="Arial"/>
          <w:b/>
          <w:bCs/>
        </w:rPr>
      </w:pPr>
      <w:bookmarkStart w:id="11" w:name="ColumnTitle_4"/>
      <w:bookmarkStart w:id="12" w:name="Figure"/>
      <w:r w:rsidRPr="415C6BA6">
        <w:rPr>
          <w:rFonts w:cs="Arial"/>
          <w:b/>
          <w:bCs/>
        </w:rPr>
        <w:lastRenderedPageBreak/>
        <w:t>Figure</w:t>
      </w:r>
      <w:r w:rsidR="3B555953" w:rsidRPr="415C6BA6">
        <w:rPr>
          <w:rFonts w:cs="Arial"/>
          <w:b/>
          <w:bCs/>
        </w:rPr>
        <w:t xml:space="preserve"> 1. </w:t>
      </w:r>
      <w:proofErr w:type="spellStart"/>
      <w:r w:rsidR="3B555953" w:rsidRPr="415C6BA6">
        <w:rPr>
          <w:rFonts w:cs="Arial"/>
          <w:b/>
          <w:bCs/>
        </w:rPr>
        <w:t>CDx</w:t>
      </w:r>
      <w:proofErr w:type="spellEnd"/>
      <w:r w:rsidR="3B555953" w:rsidRPr="415C6BA6">
        <w:rPr>
          <w:rFonts w:cs="Arial"/>
          <w:b/>
          <w:bCs/>
        </w:rPr>
        <w:t xml:space="preserve"> </w:t>
      </w:r>
      <w:r w:rsidR="00037CFD">
        <w:rPr>
          <w:rFonts w:cs="Arial"/>
          <w:b/>
          <w:bCs/>
        </w:rPr>
        <w:t xml:space="preserve">testing </w:t>
      </w:r>
      <w:r w:rsidR="5BBE8DE5" w:rsidRPr="415C6BA6">
        <w:rPr>
          <w:rFonts w:cs="Arial"/>
          <w:b/>
          <w:bCs/>
        </w:rPr>
        <w:t xml:space="preserve">identification </w:t>
      </w:r>
      <w:proofErr w:type="gramStart"/>
      <w:r w:rsidR="00F77A6C" w:rsidRPr="415C6BA6">
        <w:rPr>
          <w:rFonts w:cs="Arial"/>
          <w:b/>
          <w:bCs/>
        </w:rPr>
        <w:t>guide</w:t>
      </w:r>
      <w:proofErr w:type="gramEnd"/>
    </w:p>
    <w:bookmarkEnd w:id="11"/>
    <w:bookmarkEnd w:id="12"/>
    <w:p w14:paraId="012E4826" w14:textId="123FC2E5" w:rsidR="00201E13" w:rsidRDefault="00711A9B" w:rsidP="6E03E91B">
      <w:pPr>
        <w:rPr>
          <w:rFonts w:cs="Arial"/>
          <w:sz w:val="18"/>
          <w:szCs w:val="18"/>
        </w:rPr>
      </w:pPr>
      <w:r>
        <w:rPr>
          <w:rFonts w:cs="Arial"/>
          <w:noProof/>
          <w:sz w:val="18"/>
          <w:szCs w:val="18"/>
        </w:rPr>
        <w:drawing>
          <wp:inline distT="0" distB="0" distL="0" distR="0" wp14:anchorId="4AA38154" wp14:editId="20023756">
            <wp:extent cx="6021825" cy="703897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29740" cy="7048227"/>
                    </a:xfrm>
                    <a:prstGeom prst="rect">
                      <a:avLst/>
                    </a:prstGeom>
                    <a:noFill/>
                  </pic:spPr>
                </pic:pic>
              </a:graphicData>
            </a:graphic>
          </wp:inline>
        </w:drawing>
      </w:r>
    </w:p>
    <w:p w14:paraId="62A542A3" w14:textId="60FF50AF" w:rsidR="00201E13" w:rsidRDefault="75A96DD2" w:rsidP="6E03E91B">
      <w:pPr>
        <w:rPr>
          <w:rFonts w:cs="Arial"/>
          <w:sz w:val="18"/>
          <w:szCs w:val="18"/>
        </w:rPr>
      </w:pPr>
      <w:r w:rsidRPr="00251C8E">
        <w:rPr>
          <w:rFonts w:cs="Arial"/>
          <w:sz w:val="18"/>
          <w:szCs w:val="18"/>
        </w:rPr>
        <w:t>*</w:t>
      </w:r>
      <w:r w:rsidR="00201E13">
        <w:rPr>
          <w:rFonts w:cs="Arial"/>
          <w:sz w:val="18"/>
          <w:szCs w:val="18"/>
        </w:rPr>
        <w:t>Any queries that arise from the use of this identification guide</w:t>
      </w:r>
      <w:r w:rsidR="00EA51B6">
        <w:rPr>
          <w:rFonts w:cs="Arial"/>
          <w:sz w:val="18"/>
          <w:szCs w:val="18"/>
        </w:rPr>
        <w:t xml:space="preserve">, please contact TGA. </w:t>
      </w:r>
    </w:p>
    <w:p w14:paraId="31C5059A" w14:textId="6743C7B2" w:rsidR="00010748" w:rsidRPr="00251C8E" w:rsidDel="006B7D8D" w:rsidRDefault="00F56391" w:rsidP="6E03E91B">
      <w:pPr>
        <w:rPr>
          <w:rFonts w:cs="Arial"/>
          <w:sz w:val="18"/>
          <w:szCs w:val="18"/>
        </w:rPr>
      </w:pPr>
      <w:r>
        <w:rPr>
          <w:rFonts w:cs="Arial"/>
          <w:sz w:val="18"/>
          <w:szCs w:val="18"/>
        </w:rPr>
        <w:t>**</w:t>
      </w:r>
      <w:r w:rsidR="75A96DD2" w:rsidRPr="00251C8E">
        <w:rPr>
          <w:rFonts w:cs="Arial"/>
          <w:sz w:val="18"/>
          <w:szCs w:val="18"/>
        </w:rPr>
        <w:t xml:space="preserve">Examples of IVDs that are </w:t>
      </w:r>
      <w:r w:rsidR="4D7B120E" w:rsidRPr="00251C8E">
        <w:rPr>
          <w:rFonts w:cs="Arial"/>
          <w:sz w:val="18"/>
          <w:szCs w:val="18"/>
        </w:rPr>
        <w:t xml:space="preserve">not </w:t>
      </w:r>
      <w:r w:rsidR="00950E62">
        <w:rPr>
          <w:rFonts w:cs="Arial"/>
          <w:sz w:val="18"/>
          <w:szCs w:val="18"/>
        </w:rPr>
        <w:t xml:space="preserve">captured under our definition of </w:t>
      </w:r>
      <w:proofErr w:type="spellStart"/>
      <w:r w:rsidR="00950E62">
        <w:rPr>
          <w:rFonts w:cs="Arial"/>
          <w:sz w:val="18"/>
          <w:szCs w:val="18"/>
        </w:rPr>
        <w:t>CDx</w:t>
      </w:r>
      <w:proofErr w:type="spellEnd"/>
      <w:r w:rsidR="00950E62" w:rsidRPr="00251C8E">
        <w:rPr>
          <w:rFonts w:cs="Arial"/>
          <w:sz w:val="18"/>
          <w:szCs w:val="18"/>
        </w:rPr>
        <w:t xml:space="preserve"> </w:t>
      </w:r>
      <w:r w:rsidR="75A96DD2" w:rsidRPr="00251C8E">
        <w:rPr>
          <w:rFonts w:cs="Arial"/>
          <w:sz w:val="18"/>
          <w:szCs w:val="18"/>
        </w:rPr>
        <w:t xml:space="preserve">include those consistent with FDA’s </w:t>
      </w:r>
      <w:r w:rsidR="001E5C51">
        <w:rPr>
          <w:rFonts w:cs="Arial"/>
          <w:sz w:val="18"/>
          <w:szCs w:val="18"/>
        </w:rPr>
        <w:t xml:space="preserve">consideration </w:t>
      </w:r>
      <w:r w:rsidR="75A96DD2" w:rsidRPr="00251C8E">
        <w:rPr>
          <w:rFonts w:cs="Arial"/>
          <w:sz w:val="18"/>
          <w:szCs w:val="18"/>
        </w:rPr>
        <w:t xml:space="preserve">of complementary diagnostics </w:t>
      </w:r>
    </w:p>
    <w:p w14:paraId="4F0B8D99" w14:textId="2C5F1B64" w:rsidR="00035497" w:rsidRDefault="00F77A6C" w:rsidP="00035497">
      <w:pPr>
        <w:rPr>
          <w:rFonts w:cs="Arial"/>
          <w:sz w:val="18"/>
          <w:szCs w:val="18"/>
        </w:rPr>
      </w:pPr>
      <w:r w:rsidRPr="00251C8E">
        <w:rPr>
          <w:rFonts w:cs="Arial"/>
          <w:sz w:val="18"/>
          <w:szCs w:val="18"/>
        </w:rPr>
        <w:t>**</w:t>
      </w:r>
      <w:r>
        <w:rPr>
          <w:rFonts w:cs="Arial"/>
          <w:sz w:val="18"/>
          <w:szCs w:val="18"/>
        </w:rPr>
        <w:t>*</w:t>
      </w:r>
      <w:r w:rsidRPr="00251C8E">
        <w:rPr>
          <w:rFonts w:cs="Arial"/>
          <w:sz w:val="18"/>
          <w:szCs w:val="18"/>
        </w:rPr>
        <w:t xml:space="preserve">Compatibility tests to determine which blood, </w:t>
      </w:r>
      <w:r>
        <w:rPr>
          <w:rFonts w:cs="Arial"/>
          <w:sz w:val="18"/>
          <w:szCs w:val="18"/>
        </w:rPr>
        <w:t xml:space="preserve">blood components, blood products, cells, </w:t>
      </w:r>
      <w:proofErr w:type="gramStart"/>
      <w:r>
        <w:rPr>
          <w:rFonts w:cs="Arial"/>
          <w:sz w:val="18"/>
          <w:szCs w:val="18"/>
        </w:rPr>
        <w:t>tissues</w:t>
      </w:r>
      <w:proofErr w:type="gramEnd"/>
      <w:r>
        <w:rPr>
          <w:rFonts w:cs="Arial"/>
          <w:sz w:val="18"/>
          <w:szCs w:val="18"/>
        </w:rPr>
        <w:t xml:space="preserve"> or organs</w:t>
      </w:r>
      <w:r w:rsidRPr="00251C8E">
        <w:rPr>
          <w:rFonts w:cs="Arial"/>
          <w:sz w:val="18"/>
          <w:szCs w:val="18"/>
        </w:rPr>
        <w:t xml:space="preserve"> can be safely transfused or transplanted to a patient have a long history of use in clinical and laboratory practice. Due to the high personal risk arising from transfusion or transplantation of incompatible products, the IVDs used in this testing are classified as Class 4 IVDs and subject to the highest standards of regulatory evaluation. Therefore, they are specifically excluded from the regulatory framework for </w:t>
      </w:r>
      <w:proofErr w:type="spellStart"/>
      <w:r w:rsidRPr="00251C8E">
        <w:rPr>
          <w:rFonts w:cs="Arial"/>
          <w:sz w:val="18"/>
          <w:szCs w:val="18"/>
        </w:rPr>
        <w:t>CDx</w:t>
      </w:r>
      <w:proofErr w:type="spellEnd"/>
      <w:r w:rsidRPr="00251C8E">
        <w:rPr>
          <w:rFonts w:cs="Arial"/>
          <w:sz w:val="18"/>
          <w:szCs w:val="18"/>
        </w:rPr>
        <w:t>.</w:t>
      </w:r>
    </w:p>
    <w:p w14:paraId="49F23BA7" w14:textId="191F0DDC" w:rsidR="00832469" w:rsidRDefault="00832469" w:rsidP="00832469">
      <w:pPr>
        <w:spacing w:after="556"/>
        <w:rPr>
          <w:rFonts w:cs="Arial"/>
          <w:sz w:val="18"/>
          <w:szCs w:val="18"/>
        </w:rPr>
      </w:pPr>
      <w:r>
        <w:rPr>
          <w:rFonts w:cs="Arial"/>
          <w:sz w:val="18"/>
          <w:szCs w:val="18"/>
        </w:rPr>
        <w:t xml:space="preserve">Note: </w:t>
      </w:r>
      <w:proofErr w:type="spellStart"/>
      <w:r>
        <w:rPr>
          <w:rFonts w:cs="Arial"/>
          <w:sz w:val="18"/>
          <w:szCs w:val="18"/>
        </w:rPr>
        <w:t>CDx</w:t>
      </w:r>
      <w:proofErr w:type="spellEnd"/>
      <w:r>
        <w:rPr>
          <w:rFonts w:cs="Arial"/>
          <w:sz w:val="18"/>
          <w:szCs w:val="18"/>
        </w:rPr>
        <w:t xml:space="preserve"> testing may be required for some therapeutic drug monitoring devices, not all. This will be determined during the application for the medicine.</w:t>
      </w:r>
    </w:p>
    <w:p w14:paraId="3F863BD4" w14:textId="4FEDF2D4" w:rsidR="007904E0" w:rsidRPr="00A42AEC" w:rsidRDefault="007904E0" w:rsidP="006853B0">
      <w:pPr>
        <w:pStyle w:val="Heading2"/>
      </w:pPr>
      <w:bookmarkStart w:id="13" w:name="_Toc144388251"/>
      <w:bookmarkStart w:id="14" w:name="_Toc158650254"/>
      <w:bookmarkStart w:id="15" w:name="_Toc143557682"/>
      <w:r w:rsidRPr="001B2D45">
        <w:rPr>
          <w:color w:val="1F3864" w:themeColor="accent1" w:themeShade="80"/>
        </w:rPr>
        <w:lastRenderedPageBreak/>
        <w:t xml:space="preserve">How </w:t>
      </w:r>
      <w:r w:rsidR="003D5FE7" w:rsidRPr="001B2D45">
        <w:rPr>
          <w:color w:val="1F3864" w:themeColor="accent1" w:themeShade="80"/>
        </w:rPr>
        <w:t>are</w:t>
      </w:r>
      <w:r w:rsidRPr="001B2D45">
        <w:rPr>
          <w:color w:val="1F3864" w:themeColor="accent1" w:themeShade="80"/>
        </w:rPr>
        <w:t xml:space="preserve"> </w:t>
      </w:r>
      <w:proofErr w:type="spellStart"/>
      <w:r w:rsidRPr="00A42AEC">
        <w:t>CDx</w:t>
      </w:r>
      <w:proofErr w:type="spellEnd"/>
      <w:r w:rsidR="00D4756D">
        <w:t xml:space="preserve"> </w:t>
      </w:r>
      <w:r w:rsidRPr="00A42AEC">
        <w:t>regulated?</w:t>
      </w:r>
      <w:bookmarkEnd w:id="13"/>
      <w:bookmarkEnd w:id="14"/>
      <w:r w:rsidRPr="00A42AEC">
        <w:t xml:space="preserve"> </w:t>
      </w:r>
    </w:p>
    <w:p w14:paraId="1BB20577" w14:textId="77777777" w:rsidR="007904E0" w:rsidRDefault="007904E0" w:rsidP="006853B0">
      <w:pPr>
        <w:pStyle w:val="Heading3"/>
      </w:pPr>
      <w:bookmarkStart w:id="16" w:name="_Toc144388252"/>
      <w:bookmarkStart w:id="17" w:name="_Toc158650255"/>
      <w:r>
        <w:t>Classification</w:t>
      </w:r>
      <w:bookmarkEnd w:id="16"/>
      <w:bookmarkEnd w:id="17"/>
      <w:r>
        <w:t xml:space="preserve"> </w:t>
      </w:r>
    </w:p>
    <w:p w14:paraId="17886AB8" w14:textId="0B279962" w:rsidR="007904E0" w:rsidRPr="009C77AA" w:rsidRDefault="007904E0" w:rsidP="007904E0">
      <w:pPr>
        <w:spacing w:after="0"/>
        <w:ind w:left="-4"/>
        <w:rPr>
          <w:rFonts w:cs="Arial"/>
        </w:rPr>
      </w:pPr>
      <w:r w:rsidRPr="22F28CD7">
        <w:rPr>
          <w:rFonts w:cs="Arial"/>
        </w:rPr>
        <w:t>In</w:t>
      </w:r>
      <w:r w:rsidRPr="2F9C3BCB">
        <w:rPr>
          <w:rFonts w:cs="Arial"/>
        </w:rPr>
        <w:t xml:space="preserve"> accordance with the classification rules set out in Schedule 2A of the Medical Devices Regulations, all </w:t>
      </w:r>
      <w:proofErr w:type="spellStart"/>
      <w:r w:rsidRPr="22F28CD7">
        <w:rPr>
          <w:rFonts w:cs="Arial"/>
        </w:rPr>
        <w:t>CDx</w:t>
      </w:r>
      <w:proofErr w:type="spellEnd"/>
      <w:r w:rsidRPr="2F9C3BCB" w:rsidDel="001664E2">
        <w:rPr>
          <w:rFonts w:cs="Arial"/>
        </w:rPr>
        <w:t xml:space="preserve"> </w:t>
      </w:r>
      <w:r w:rsidRPr="2F9C3BCB">
        <w:rPr>
          <w:rFonts w:cs="Arial"/>
        </w:rPr>
        <w:t xml:space="preserve">are </w:t>
      </w:r>
      <w:r w:rsidR="00335894">
        <w:rPr>
          <w:rFonts w:cs="Arial"/>
        </w:rPr>
        <w:t>c</w:t>
      </w:r>
      <w:r w:rsidRPr="2F9C3BCB">
        <w:rPr>
          <w:rFonts w:cs="Arial"/>
        </w:rPr>
        <w:t xml:space="preserve">lass 3 IVDs or </w:t>
      </w:r>
      <w:r w:rsidR="00335894">
        <w:rPr>
          <w:rFonts w:cs="Arial"/>
        </w:rPr>
        <w:t>c</w:t>
      </w:r>
      <w:r w:rsidRPr="2F9C3BCB">
        <w:rPr>
          <w:rFonts w:cs="Arial"/>
        </w:rPr>
        <w:t xml:space="preserve">lass 3 in-house IVDs. </w:t>
      </w:r>
    </w:p>
    <w:p w14:paraId="74556D20" w14:textId="77777777" w:rsidR="00F747B2" w:rsidRDefault="00F747B2" w:rsidP="006853B0">
      <w:pPr>
        <w:pStyle w:val="Heading3"/>
      </w:pPr>
      <w:bookmarkStart w:id="18" w:name="_Toc144388253"/>
      <w:bookmarkStart w:id="19" w:name="_Toc158650256"/>
      <w:r>
        <w:t>Use of a Unique Product Identifier (UPI) and separate applications for inclusion</w:t>
      </w:r>
      <w:bookmarkEnd w:id="18"/>
      <w:bookmarkEnd w:id="19"/>
      <w:r>
        <w:t xml:space="preserve"> </w:t>
      </w:r>
    </w:p>
    <w:p w14:paraId="0C48588B" w14:textId="0139F898" w:rsidR="00F747B2" w:rsidRDefault="00251C8E" w:rsidP="415C6BA6">
      <w:pPr>
        <w:spacing w:after="0"/>
        <w:rPr>
          <w:rFonts w:cs="Arial"/>
          <w:color w:val="000000" w:themeColor="text1"/>
          <w:sz w:val="22"/>
          <w:szCs w:val="22"/>
        </w:rPr>
      </w:pPr>
      <w:r w:rsidRPr="415C6BA6">
        <w:rPr>
          <w:rFonts w:cs="Arial"/>
        </w:rPr>
        <w:t xml:space="preserve">The new </w:t>
      </w:r>
      <w:proofErr w:type="spellStart"/>
      <w:r w:rsidRPr="415C6BA6">
        <w:rPr>
          <w:rFonts w:cs="Arial"/>
        </w:rPr>
        <w:t>CDx</w:t>
      </w:r>
      <w:proofErr w:type="spellEnd"/>
      <w:r w:rsidRPr="415C6BA6">
        <w:rPr>
          <w:rFonts w:cs="Arial"/>
        </w:rPr>
        <w:t xml:space="preserve"> regulations were introduced </w:t>
      </w:r>
      <w:r w:rsidR="004E52C5" w:rsidRPr="415C6BA6">
        <w:rPr>
          <w:rFonts w:cs="Arial"/>
        </w:rPr>
        <w:t xml:space="preserve">on </w:t>
      </w:r>
      <w:r w:rsidRPr="415C6BA6">
        <w:rPr>
          <w:rFonts w:cs="Arial"/>
        </w:rPr>
        <w:t xml:space="preserve">1 February 2020. Under the </w:t>
      </w:r>
      <w:proofErr w:type="spellStart"/>
      <w:r w:rsidR="002C6D83" w:rsidRPr="415C6BA6">
        <w:rPr>
          <w:rFonts w:cs="Arial"/>
        </w:rPr>
        <w:t>CDx</w:t>
      </w:r>
      <w:proofErr w:type="spellEnd"/>
      <w:r w:rsidR="002C6D83" w:rsidRPr="415C6BA6">
        <w:rPr>
          <w:rFonts w:cs="Arial"/>
        </w:rPr>
        <w:t xml:space="preserve"> </w:t>
      </w:r>
      <w:r w:rsidRPr="415C6BA6">
        <w:rPr>
          <w:rFonts w:cs="Arial"/>
        </w:rPr>
        <w:t xml:space="preserve">regulatory framework, </w:t>
      </w:r>
      <w:r w:rsidR="00F747B2" w:rsidRPr="415C6BA6">
        <w:rPr>
          <w:rFonts w:cs="Arial"/>
        </w:rPr>
        <w:t xml:space="preserve">new applications for inclusion of an IVD </w:t>
      </w:r>
      <w:proofErr w:type="spellStart"/>
      <w:r w:rsidR="00F747B2" w:rsidRPr="415C6BA6">
        <w:rPr>
          <w:rFonts w:cs="Arial"/>
        </w:rPr>
        <w:t>CDx</w:t>
      </w:r>
      <w:proofErr w:type="spellEnd"/>
      <w:r w:rsidR="00F747B2" w:rsidRPr="415C6BA6">
        <w:rPr>
          <w:rFonts w:cs="Arial"/>
        </w:rPr>
        <w:t xml:space="preserve"> in the </w:t>
      </w:r>
      <w:r w:rsidR="00D64D34" w:rsidRPr="415C6BA6">
        <w:rPr>
          <w:rFonts w:cs="Arial"/>
        </w:rPr>
        <w:t>Australian Register for Therapeutic Goods (</w:t>
      </w:r>
      <w:r w:rsidR="00F747B2" w:rsidRPr="415C6BA6">
        <w:rPr>
          <w:rFonts w:cs="Arial"/>
        </w:rPr>
        <w:t>ARTG</w:t>
      </w:r>
      <w:r w:rsidR="00D64D34" w:rsidRPr="415C6BA6">
        <w:rPr>
          <w:rFonts w:cs="Arial"/>
        </w:rPr>
        <w:t>)</w:t>
      </w:r>
      <w:r w:rsidR="00F747B2" w:rsidRPr="415C6BA6">
        <w:rPr>
          <w:rFonts w:cs="Arial"/>
        </w:rPr>
        <w:t xml:space="preserve"> will be subject to an amendment a</w:t>
      </w:r>
      <w:r w:rsidR="00D64D34" w:rsidRPr="415C6BA6">
        <w:rPr>
          <w:rFonts w:cs="Arial"/>
        </w:rPr>
        <w:t>s per</w:t>
      </w:r>
      <w:r w:rsidR="00F747B2" w:rsidRPr="415C6BA6">
        <w:rPr>
          <w:rFonts w:cs="Arial"/>
        </w:rPr>
        <w:t xml:space="preserve"> Regulation 1.6, </w:t>
      </w:r>
      <w:r w:rsidR="00D64D34" w:rsidRPr="415C6BA6">
        <w:rPr>
          <w:rFonts w:cs="Arial"/>
        </w:rPr>
        <w:t xml:space="preserve">and will require a </w:t>
      </w:r>
      <w:r w:rsidR="00F747B2" w:rsidRPr="415C6BA6">
        <w:rPr>
          <w:rFonts w:cs="Arial"/>
        </w:rPr>
        <w:t>UPI</w:t>
      </w:r>
      <w:r w:rsidR="00D64D34" w:rsidRPr="415C6BA6">
        <w:rPr>
          <w:rFonts w:cs="Arial"/>
        </w:rPr>
        <w:t xml:space="preserve">, which </w:t>
      </w:r>
      <w:r w:rsidR="00F747B2" w:rsidRPr="415C6BA6">
        <w:rPr>
          <w:rFonts w:cs="Arial"/>
        </w:rPr>
        <w:t xml:space="preserve">is </w:t>
      </w:r>
      <w:r w:rsidR="00D64D34" w:rsidRPr="415C6BA6">
        <w:rPr>
          <w:rFonts w:cs="Arial"/>
        </w:rPr>
        <w:t xml:space="preserve">unique to the </w:t>
      </w:r>
      <w:proofErr w:type="spellStart"/>
      <w:r w:rsidR="00D64D34" w:rsidRPr="415C6BA6">
        <w:rPr>
          <w:rFonts w:cs="Arial"/>
        </w:rPr>
        <w:t>CDx</w:t>
      </w:r>
      <w:proofErr w:type="spellEnd"/>
      <w:r w:rsidR="00D64D34" w:rsidRPr="415C6BA6">
        <w:rPr>
          <w:rFonts w:cs="Arial"/>
        </w:rPr>
        <w:t xml:space="preserve"> device and is given by the manufacturer of the device</w:t>
      </w:r>
      <w:r w:rsidR="00F747B2" w:rsidRPr="415C6BA6">
        <w:rPr>
          <w:rFonts w:cs="Arial"/>
        </w:rPr>
        <w:t xml:space="preserve">. This means that a separate application for inclusion will be required for each </w:t>
      </w:r>
      <w:proofErr w:type="spellStart"/>
      <w:r w:rsidR="00F747B2" w:rsidRPr="415C6BA6">
        <w:rPr>
          <w:rFonts w:cs="Arial"/>
        </w:rPr>
        <w:t>CDx</w:t>
      </w:r>
      <w:proofErr w:type="spellEnd"/>
      <w:r w:rsidR="00F747B2" w:rsidRPr="415C6BA6">
        <w:rPr>
          <w:rFonts w:cs="Arial"/>
        </w:rPr>
        <w:t xml:space="preserve">. In the </w:t>
      </w:r>
      <w:r w:rsidR="00D64D34" w:rsidRPr="415C6BA6">
        <w:rPr>
          <w:rFonts w:cs="Arial"/>
        </w:rPr>
        <w:t xml:space="preserve">ARTG inclusion </w:t>
      </w:r>
      <w:r w:rsidR="00F747B2" w:rsidRPr="415C6BA6">
        <w:rPr>
          <w:rFonts w:cs="Arial"/>
        </w:rPr>
        <w:t>form</w:t>
      </w:r>
      <w:r w:rsidR="00D64D34" w:rsidRPr="415C6BA6">
        <w:rPr>
          <w:rFonts w:cs="Arial"/>
        </w:rPr>
        <w:t>,</w:t>
      </w:r>
      <w:r w:rsidR="00F747B2" w:rsidRPr="415C6BA6">
        <w:rPr>
          <w:rFonts w:cs="Arial"/>
        </w:rPr>
        <w:t xml:space="preserve"> you will be asked to identify if the application is for a </w:t>
      </w:r>
      <w:proofErr w:type="spellStart"/>
      <w:r w:rsidR="00F747B2" w:rsidRPr="415C6BA6">
        <w:rPr>
          <w:rFonts w:cs="Arial"/>
        </w:rPr>
        <w:t>CDx</w:t>
      </w:r>
      <w:proofErr w:type="spellEnd"/>
      <w:r w:rsidR="00F747B2" w:rsidRPr="415C6BA6">
        <w:rPr>
          <w:rFonts w:cs="Arial"/>
        </w:rPr>
        <w:t xml:space="preserve">. If so, the UPI and a functional description for the device will need to be entered in the form. The UPI is the combination of words, numbers, </w:t>
      </w:r>
      <w:r w:rsidR="00D64D34" w:rsidRPr="415C6BA6">
        <w:rPr>
          <w:rFonts w:cs="Arial"/>
        </w:rPr>
        <w:t>symbols,</w:t>
      </w:r>
      <w:r w:rsidR="00F747B2" w:rsidRPr="415C6BA6">
        <w:rPr>
          <w:rFonts w:cs="Arial"/>
        </w:rPr>
        <w:t xml:space="preserve"> or letters assigned by the manufacturer to uniquely identify an individual IVD (</w:t>
      </w:r>
      <w:proofErr w:type="gramStart"/>
      <w:r w:rsidR="00F747B2" w:rsidRPr="415C6BA6">
        <w:rPr>
          <w:rFonts w:cs="Arial"/>
        </w:rPr>
        <w:t>i.e.</w:t>
      </w:r>
      <w:proofErr w:type="gramEnd"/>
      <w:r w:rsidR="00F747B2" w:rsidRPr="415C6BA6">
        <w:rPr>
          <w:rFonts w:cs="Arial"/>
        </w:rPr>
        <w:t xml:space="preserve"> the device name). </w:t>
      </w:r>
    </w:p>
    <w:p w14:paraId="6772C911" w14:textId="55C040FF" w:rsidR="007904E0" w:rsidRPr="00A42AEC" w:rsidRDefault="007904E0" w:rsidP="006853B0">
      <w:pPr>
        <w:pStyle w:val="Heading3"/>
      </w:pPr>
      <w:bookmarkStart w:id="20" w:name="_Toc144388254"/>
      <w:bookmarkStart w:id="21" w:name="_Toc158650257"/>
      <w:r w:rsidRPr="00A42AEC">
        <w:t>Applications for inclusion in the ARTG</w:t>
      </w:r>
      <w:bookmarkEnd w:id="20"/>
      <w:bookmarkEnd w:id="21"/>
      <w:r w:rsidRPr="00A42AEC">
        <w:t xml:space="preserve"> </w:t>
      </w:r>
    </w:p>
    <w:p w14:paraId="3998822B" w14:textId="3BC80965" w:rsidR="007904E0" w:rsidRPr="00251C8E" w:rsidRDefault="007904E0" w:rsidP="007904E0">
      <w:pPr>
        <w:spacing w:after="383"/>
        <w:ind w:left="-4"/>
        <w:rPr>
          <w:rFonts w:cs="Arial"/>
        </w:rPr>
      </w:pPr>
      <w:r w:rsidRPr="00251C8E">
        <w:rPr>
          <w:rFonts w:cs="Arial"/>
        </w:rPr>
        <w:t xml:space="preserve">Applications for inclusion of </w:t>
      </w:r>
      <w:proofErr w:type="spellStart"/>
      <w:r w:rsidRPr="00251C8E">
        <w:rPr>
          <w:rFonts w:cs="Arial"/>
        </w:rPr>
        <w:t>CDx</w:t>
      </w:r>
      <w:proofErr w:type="spellEnd"/>
      <w:r w:rsidRPr="00251C8E">
        <w:rPr>
          <w:rFonts w:cs="Arial"/>
        </w:rPr>
        <w:t xml:space="preserve"> in the ARTG must comply with the new Regulations. </w:t>
      </w:r>
      <w:r w:rsidR="00251C8E" w:rsidRPr="00251C8E">
        <w:rPr>
          <w:rFonts w:cs="Arial"/>
        </w:rPr>
        <w:t>IVD</w:t>
      </w:r>
      <w:r w:rsidR="00C543AC">
        <w:rPr>
          <w:rFonts w:cs="Arial"/>
        </w:rPr>
        <w:t>s</w:t>
      </w:r>
      <w:r w:rsidR="00251C8E" w:rsidRPr="00251C8E">
        <w:rPr>
          <w:rFonts w:cs="Arial"/>
        </w:rPr>
        <w:t xml:space="preserve"> </w:t>
      </w:r>
      <w:r w:rsidRPr="00251C8E">
        <w:rPr>
          <w:rFonts w:cs="Arial"/>
        </w:rPr>
        <w:t xml:space="preserve">that were included in the ARTG prior to 1 February 2020 </w:t>
      </w:r>
      <w:r w:rsidR="00C543AC">
        <w:rPr>
          <w:rFonts w:cs="Arial"/>
        </w:rPr>
        <w:t xml:space="preserve">(including those covered under devices of kind) </w:t>
      </w:r>
      <w:r w:rsidRPr="00251C8E">
        <w:rPr>
          <w:rFonts w:cs="Arial"/>
        </w:rPr>
        <w:t xml:space="preserve">are subject to the </w:t>
      </w:r>
      <w:hyperlink r:id="rId19" w:history="1">
        <w:r w:rsidRPr="000223EE">
          <w:rPr>
            <w:rStyle w:val="Hyperlink"/>
            <w:rFonts w:cs="Arial"/>
          </w:rPr>
          <w:t>transitional arrangements</w:t>
        </w:r>
      </w:hyperlink>
      <w:r w:rsidRPr="00251C8E">
        <w:rPr>
          <w:rFonts w:cs="Arial"/>
        </w:rPr>
        <w:t xml:space="preserve"> and sponsors have until 26 May 2026 to submit a new application for inclusion</w:t>
      </w:r>
      <w:r w:rsidR="00C543AC">
        <w:rPr>
          <w:rFonts w:cs="Arial"/>
        </w:rPr>
        <w:t xml:space="preserve"> for any devices that fit the definition of </w:t>
      </w:r>
      <w:proofErr w:type="spellStart"/>
      <w:r w:rsidR="00C543AC">
        <w:rPr>
          <w:rFonts w:cs="Arial"/>
        </w:rPr>
        <w:t>CDx</w:t>
      </w:r>
      <w:proofErr w:type="spellEnd"/>
      <w:r w:rsidRPr="00251C8E">
        <w:rPr>
          <w:rFonts w:cs="Arial"/>
        </w:rPr>
        <w:t xml:space="preserve">. </w:t>
      </w:r>
    </w:p>
    <w:p w14:paraId="7A301DA8" w14:textId="77777777" w:rsidR="00F747B2" w:rsidRDefault="00F747B2" w:rsidP="006853B0">
      <w:pPr>
        <w:pStyle w:val="Heading3"/>
      </w:pPr>
      <w:bookmarkStart w:id="22" w:name="_Toc144388255"/>
      <w:bookmarkStart w:id="23" w:name="_Toc158650258"/>
      <w:r>
        <w:t>Mandatory application audit</w:t>
      </w:r>
      <w:bookmarkEnd w:id="22"/>
      <w:bookmarkEnd w:id="23"/>
      <w:r>
        <w:t xml:space="preserve"> </w:t>
      </w:r>
    </w:p>
    <w:p w14:paraId="22EEA48D" w14:textId="33AA01DF" w:rsidR="00F747B2" w:rsidRPr="000361EF" w:rsidRDefault="00251C8E" w:rsidP="00F747B2">
      <w:pPr>
        <w:spacing w:after="240"/>
        <w:ind w:left="-6"/>
        <w:rPr>
          <w:rFonts w:cs="Arial"/>
        </w:rPr>
      </w:pPr>
      <w:r w:rsidRPr="000361EF">
        <w:rPr>
          <w:rFonts w:cs="Arial"/>
        </w:rPr>
        <w:t>A</w:t>
      </w:r>
      <w:r w:rsidR="00F747B2" w:rsidRPr="000361EF">
        <w:rPr>
          <w:rFonts w:cs="Arial"/>
        </w:rPr>
        <w:t xml:space="preserve">pplications for inclusion of a </w:t>
      </w:r>
      <w:proofErr w:type="spellStart"/>
      <w:r w:rsidR="00F747B2" w:rsidRPr="000361EF">
        <w:rPr>
          <w:rFonts w:cs="Arial"/>
        </w:rPr>
        <w:t>CDx</w:t>
      </w:r>
      <w:proofErr w:type="spellEnd"/>
      <w:r w:rsidR="00F747B2" w:rsidRPr="000361EF">
        <w:rPr>
          <w:rFonts w:cs="Arial"/>
        </w:rPr>
        <w:t xml:space="preserve"> in the ARTG will be subject to a mandatory application audit under subparagraph 5.3(1)(j)(x)</w:t>
      </w:r>
      <w:r w:rsidRPr="000361EF">
        <w:rPr>
          <w:rFonts w:cs="Arial"/>
        </w:rPr>
        <w:t xml:space="preserve"> of the Medical Device Regulations, unless supported by </w:t>
      </w:r>
      <w:r w:rsidR="00606E73">
        <w:rPr>
          <w:rFonts w:cs="Arial"/>
        </w:rPr>
        <w:t xml:space="preserve">a </w:t>
      </w:r>
      <w:r w:rsidRPr="000361EF">
        <w:rPr>
          <w:rFonts w:cs="Arial"/>
        </w:rPr>
        <w:t xml:space="preserve">conformity assessment </w:t>
      </w:r>
      <w:r w:rsidR="00606E73">
        <w:rPr>
          <w:rFonts w:cs="Arial"/>
        </w:rPr>
        <w:t>document</w:t>
      </w:r>
      <w:r w:rsidR="00606E73" w:rsidRPr="000361EF">
        <w:rPr>
          <w:rFonts w:cs="Arial"/>
        </w:rPr>
        <w:t xml:space="preserve"> </w:t>
      </w:r>
      <w:r w:rsidRPr="000361EF">
        <w:rPr>
          <w:rFonts w:cs="Arial"/>
        </w:rPr>
        <w:t>issued by</w:t>
      </w:r>
      <w:r w:rsidR="00606E73">
        <w:rPr>
          <w:rFonts w:cs="Arial"/>
        </w:rPr>
        <w:t xml:space="preserve"> a notified body under the</w:t>
      </w:r>
      <w:r w:rsidRPr="000361EF">
        <w:rPr>
          <w:rFonts w:cs="Arial"/>
        </w:rPr>
        <w:t xml:space="preserve"> </w:t>
      </w:r>
      <w:hyperlink r:id="rId20" w:history="1">
        <w:r w:rsidRPr="000361EF">
          <w:rPr>
            <w:rStyle w:val="Hyperlink"/>
            <w:rFonts w:cs="Arial"/>
          </w:rPr>
          <w:t>European IVD Regulations (2017/746)</w:t>
        </w:r>
      </w:hyperlink>
      <w:r w:rsidRPr="000361EF">
        <w:rPr>
          <w:rFonts w:cs="Arial"/>
        </w:rPr>
        <w:t xml:space="preserve"> or </w:t>
      </w:r>
      <w:r w:rsidR="00606E73">
        <w:rPr>
          <w:rFonts w:cs="Arial"/>
        </w:rPr>
        <w:t xml:space="preserve">by the </w:t>
      </w:r>
      <w:r w:rsidRPr="000361EF">
        <w:rPr>
          <w:rFonts w:cs="Arial"/>
        </w:rPr>
        <w:t>TGA</w:t>
      </w:r>
      <w:r w:rsidR="00F747B2" w:rsidRPr="000361EF">
        <w:rPr>
          <w:rFonts w:cs="Arial"/>
        </w:rPr>
        <w:t xml:space="preserve">. </w:t>
      </w:r>
    </w:p>
    <w:p w14:paraId="1DAC99B5" w14:textId="34C8E886" w:rsidR="00F747B2" w:rsidRPr="000361EF" w:rsidRDefault="00F747B2" w:rsidP="006853B0">
      <w:pPr>
        <w:rPr>
          <w:rFonts w:cs="Arial"/>
        </w:rPr>
      </w:pPr>
      <w:r w:rsidRPr="002C6D83">
        <w:t>The TGA</w:t>
      </w:r>
      <w:r w:rsidR="000361EF" w:rsidRPr="002C6D83">
        <w:t>,</w:t>
      </w:r>
      <w:r w:rsidRPr="002C6D83">
        <w:t xml:space="preserve"> </w:t>
      </w:r>
      <w:r w:rsidR="00251C8E" w:rsidRPr="000361EF">
        <w:t xml:space="preserve">on receipt of the application, </w:t>
      </w:r>
      <w:r w:rsidRPr="002C6D83">
        <w:t xml:space="preserve">will </w:t>
      </w:r>
      <w:r w:rsidR="00251C8E" w:rsidRPr="000361EF">
        <w:t xml:space="preserve">request </w:t>
      </w:r>
      <w:r w:rsidRPr="002C6D83">
        <w:t xml:space="preserve">the sponsor </w:t>
      </w:r>
      <w:r w:rsidR="00251C8E" w:rsidRPr="000361EF">
        <w:t>to submit</w:t>
      </w:r>
      <w:r w:rsidRPr="002C6D83">
        <w:t xml:space="preserve"> the information required to conduct the application audit. </w:t>
      </w:r>
      <w:r w:rsidR="00024D23">
        <w:t xml:space="preserve">Sponsors </w:t>
      </w:r>
      <w:r w:rsidRPr="002C6D83">
        <w:t>are expected to demonstrate conformity to the</w:t>
      </w:r>
      <w:r w:rsidRPr="000361EF">
        <w:rPr>
          <w:rFonts w:eastAsia="Cambria" w:cs="Arial"/>
          <w:color w:val="001871"/>
        </w:rPr>
        <w:t xml:space="preserve"> </w:t>
      </w:r>
      <w:bookmarkStart w:id="24" w:name="_Hlk144451009"/>
      <w:r w:rsidRPr="000361EF">
        <w:rPr>
          <w:color w:val="001871"/>
        </w:rPr>
        <w:fldChar w:fldCharType="begin"/>
      </w:r>
      <w:r w:rsidRPr="000361EF">
        <w:rPr>
          <w:rFonts w:eastAsia="Cambria" w:cs="Arial"/>
          <w:color w:val="001871"/>
        </w:rPr>
        <w:instrText>HYPERLINK "https://www.tga.gov.au/resources/resource/forms/essential-principles-checklist-medical-devices"</w:instrText>
      </w:r>
      <w:r w:rsidRPr="000361EF">
        <w:rPr>
          <w:color w:val="001871"/>
        </w:rPr>
      </w:r>
      <w:r w:rsidRPr="000361EF">
        <w:rPr>
          <w:color w:val="001871"/>
        </w:rPr>
        <w:fldChar w:fldCharType="separate"/>
      </w:r>
      <w:r w:rsidRPr="000361EF">
        <w:rPr>
          <w:rStyle w:val="Hyperlink"/>
          <w:rFonts w:cs="Arial"/>
        </w:rPr>
        <w:t>Essential Principles</w:t>
      </w:r>
      <w:r w:rsidRPr="000361EF">
        <w:rPr>
          <w:rStyle w:val="Hyperlink"/>
          <w:rFonts w:eastAsia="Cambria" w:cs="Arial"/>
        </w:rPr>
        <w:fldChar w:fldCharType="end"/>
      </w:r>
      <w:bookmarkEnd w:id="24"/>
      <w:r w:rsidRPr="000361EF">
        <w:rPr>
          <w:rFonts w:eastAsia="Cambria" w:cs="Arial"/>
          <w:color w:val="001871"/>
        </w:rPr>
        <w:t xml:space="preserve"> </w:t>
      </w:r>
      <w:r w:rsidRPr="002C6D83">
        <w:rPr>
          <w:rFonts w:eastAsia="Cambria" w:cs="Arial"/>
        </w:rPr>
        <w:t xml:space="preserve">of safety and performance through the preparation and submission of a technical file that shows how the IVD was designed, developed, and manufactured. Further details of the technical file required for an application audit can be found </w:t>
      </w:r>
      <w:r w:rsidR="00251C8E" w:rsidRPr="000361EF">
        <w:rPr>
          <w:rFonts w:cs="Arial"/>
        </w:rPr>
        <w:t xml:space="preserve">in </w:t>
      </w:r>
      <w:hyperlink r:id="rId21" w:history="1">
        <w:r w:rsidRPr="000361EF">
          <w:rPr>
            <w:rStyle w:val="Hyperlink"/>
            <w:rFonts w:cs="Arial"/>
          </w:rPr>
          <w:t>Application audit (technical file review) of IVD medical device applications</w:t>
        </w:r>
      </w:hyperlink>
      <w:r w:rsidRPr="000361EF">
        <w:rPr>
          <w:rFonts w:eastAsia="Cambria" w:cs="Arial"/>
          <w:color w:val="001871"/>
        </w:rPr>
        <w:t xml:space="preserve">. </w:t>
      </w:r>
    </w:p>
    <w:p w14:paraId="5CCE2190" w14:textId="77777777" w:rsidR="00F77A6C" w:rsidRDefault="00F77A6C" w:rsidP="00F77A6C">
      <w:pPr>
        <w:pStyle w:val="Heading3"/>
      </w:pPr>
      <w:bookmarkStart w:id="25" w:name="_Toc158650259"/>
      <w:bookmarkStart w:id="26" w:name="_Toc144388256"/>
      <w:r>
        <w:t xml:space="preserve">Concurrent submission for </w:t>
      </w:r>
      <w:proofErr w:type="spellStart"/>
      <w:r>
        <w:t>CDx</w:t>
      </w:r>
      <w:proofErr w:type="spellEnd"/>
      <w:r>
        <w:t xml:space="preserve"> and the corresponding medicine or biological</w:t>
      </w:r>
      <w:bookmarkEnd w:id="25"/>
      <w:r>
        <w:t xml:space="preserve"> </w:t>
      </w:r>
    </w:p>
    <w:bookmarkEnd w:id="26"/>
    <w:p w14:paraId="3B763DFC" w14:textId="29A7A5AA" w:rsidR="007904E0" w:rsidRPr="009C77AA" w:rsidRDefault="007904E0" w:rsidP="007904E0">
      <w:pPr>
        <w:spacing w:after="169"/>
        <w:ind w:left="-4"/>
        <w:rPr>
          <w:rFonts w:cs="Arial"/>
        </w:rPr>
      </w:pPr>
      <w:r w:rsidRPr="5EAF1614">
        <w:rPr>
          <w:rFonts w:cs="Arial"/>
        </w:rPr>
        <w:t xml:space="preserve">IVDs are often </w:t>
      </w:r>
      <w:r w:rsidRPr="5E8721A9">
        <w:rPr>
          <w:rFonts w:cs="Arial"/>
        </w:rPr>
        <w:t xml:space="preserve">developed by different </w:t>
      </w:r>
      <w:r w:rsidR="00126671">
        <w:rPr>
          <w:rFonts w:cs="Arial"/>
        </w:rPr>
        <w:t>organisations</w:t>
      </w:r>
      <w:r w:rsidR="00126671" w:rsidRPr="5E8721A9">
        <w:rPr>
          <w:rFonts w:cs="Arial"/>
        </w:rPr>
        <w:t xml:space="preserve"> </w:t>
      </w:r>
      <w:r w:rsidRPr="5E8721A9">
        <w:rPr>
          <w:rFonts w:cs="Arial"/>
        </w:rPr>
        <w:t>to those involved in the development of medicines</w:t>
      </w:r>
      <w:r>
        <w:rPr>
          <w:rFonts w:cs="Arial"/>
        </w:rPr>
        <w:t xml:space="preserve"> or </w:t>
      </w:r>
      <w:r w:rsidRPr="5E8721A9">
        <w:rPr>
          <w:rFonts w:cs="Arial"/>
        </w:rPr>
        <w:t xml:space="preserve">biologicals. </w:t>
      </w:r>
    </w:p>
    <w:p w14:paraId="53EA1114" w14:textId="77777777" w:rsidR="00CB0A3D" w:rsidRDefault="00CB0A3D" w:rsidP="00CB0A3D">
      <w:pPr>
        <w:spacing w:after="169"/>
        <w:ind w:left="-4"/>
        <w:rPr>
          <w:rFonts w:cs="Arial"/>
        </w:rPr>
      </w:pPr>
      <w:r w:rsidRPr="415C6BA6">
        <w:rPr>
          <w:rFonts w:cs="Arial"/>
        </w:rPr>
        <w:t xml:space="preserve">Ideally, a </w:t>
      </w:r>
      <w:proofErr w:type="spellStart"/>
      <w:r w:rsidRPr="415C6BA6">
        <w:rPr>
          <w:rFonts w:cs="Arial"/>
        </w:rPr>
        <w:t>CDx</w:t>
      </w:r>
      <w:proofErr w:type="spellEnd"/>
      <w:r w:rsidRPr="415C6BA6">
        <w:rPr>
          <w:rFonts w:cs="Arial"/>
        </w:rPr>
        <w:t xml:space="preserve"> should be developed and an application for inclusion in the ARTG submitted to the TGA for each corresponding indication for use of a medicine or biological that requires </w:t>
      </w:r>
      <w:proofErr w:type="spellStart"/>
      <w:r w:rsidRPr="415C6BA6">
        <w:rPr>
          <w:rFonts w:cs="Arial"/>
        </w:rPr>
        <w:t>CDx</w:t>
      </w:r>
      <w:proofErr w:type="spellEnd"/>
      <w:r w:rsidRPr="415C6BA6">
        <w:rPr>
          <w:rFonts w:cs="Arial"/>
        </w:rPr>
        <w:t xml:space="preserve"> testing.  However, this may not necessarily be possible within the same timeframe (or ever, if </w:t>
      </w:r>
      <w:proofErr w:type="spellStart"/>
      <w:r w:rsidRPr="415C6BA6">
        <w:rPr>
          <w:rFonts w:cs="Arial"/>
        </w:rPr>
        <w:t>CDx</w:t>
      </w:r>
      <w:proofErr w:type="spellEnd"/>
      <w:r w:rsidRPr="415C6BA6">
        <w:rPr>
          <w:rFonts w:cs="Arial"/>
        </w:rPr>
        <w:t xml:space="preserve"> testing is performed overseas). </w:t>
      </w:r>
      <w:proofErr w:type="spellStart"/>
      <w:r w:rsidRPr="415C6BA6">
        <w:rPr>
          <w:rFonts w:cs="Arial"/>
        </w:rPr>
        <w:t>CDx</w:t>
      </w:r>
      <w:proofErr w:type="spellEnd"/>
      <w:r w:rsidRPr="415C6BA6">
        <w:rPr>
          <w:rFonts w:cs="Arial"/>
        </w:rPr>
        <w:t xml:space="preserve"> testing may also rely on the use of </w:t>
      </w:r>
      <w:hyperlink w:anchor="_In-house_IVDs_that">
        <w:r w:rsidRPr="415C6BA6">
          <w:rPr>
            <w:rStyle w:val="Hyperlink"/>
            <w:rFonts w:cs="Arial"/>
          </w:rPr>
          <w:t xml:space="preserve">in-house </w:t>
        </w:r>
        <w:proofErr w:type="spellStart"/>
        <w:r w:rsidRPr="415C6BA6">
          <w:rPr>
            <w:rStyle w:val="Hyperlink"/>
            <w:rFonts w:cs="Arial"/>
          </w:rPr>
          <w:t>CDx</w:t>
        </w:r>
        <w:proofErr w:type="spellEnd"/>
      </w:hyperlink>
      <w:r w:rsidRPr="415C6BA6">
        <w:rPr>
          <w:rStyle w:val="Hyperlink"/>
          <w:rFonts w:cs="Arial"/>
        </w:rPr>
        <w:t xml:space="preserve"> IVDs</w:t>
      </w:r>
      <w:r w:rsidRPr="415C6BA6">
        <w:rPr>
          <w:rFonts w:cs="Arial"/>
        </w:rPr>
        <w:t xml:space="preserve">. All these factors may make it difficult to submit concurrent applications for a </w:t>
      </w:r>
      <w:proofErr w:type="spellStart"/>
      <w:r w:rsidRPr="415C6BA6">
        <w:rPr>
          <w:rFonts w:cs="Arial"/>
        </w:rPr>
        <w:t>CDx</w:t>
      </w:r>
      <w:proofErr w:type="spellEnd"/>
      <w:r w:rsidRPr="415C6BA6">
        <w:rPr>
          <w:rFonts w:cs="Arial"/>
        </w:rPr>
        <w:t xml:space="preserve"> and the relevant indication for use of </w:t>
      </w:r>
      <w:r w:rsidRPr="415C6BA6">
        <w:rPr>
          <w:rFonts w:cs="Arial"/>
        </w:rPr>
        <w:lastRenderedPageBreak/>
        <w:t xml:space="preserve">a corresponding medicine or biological. Therefore, whilst it is strongly encouraged, concurrent submission and assessment of these applications is not mandated under the Australian legislation. </w:t>
      </w:r>
    </w:p>
    <w:p w14:paraId="559E080D" w14:textId="7C35B597" w:rsidR="00CB0A3D" w:rsidRDefault="00CB0A3D" w:rsidP="00CB0A3D">
      <w:pPr>
        <w:spacing w:after="169"/>
        <w:ind w:left="-4"/>
        <w:rPr>
          <w:rFonts w:cs="Arial"/>
        </w:rPr>
      </w:pPr>
      <w:r w:rsidRPr="415C6BA6">
        <w:rPr>
          <w:rFonts w:cs="Arial"/>
        </w:rPr>
        <w:t xml:space="preserve">However, a device </w:t>
      </w:r>
      <w:proofErr w:type="spellStart"/>
      <w:r w:rsidRPr="415C6BA6">
        <w:rPr>
          <w:rFonts w:cs="Arial"/>
        </w:rPr>
        <w:t>CDx</w:t>
      </w:r>
      <w:proofErr w:type="spellEnd"/>
      <w:r w:rsidRPr="415C6BA6">
        <w:rPr>
          <w:rFonts w:cs="Arial"/>
        </w:rPr>
        <w:t xml:space="preserve"> application is predicated on the existence of the corresponding medicine or biological indication for use. A submission for ARTG inclusion of an IVD with an IFU that makes </w:t>
      </w:r>
      <w:proofErr w:type="spellStart"/>
      <w:r w:rsidRPr="415C6BA6">
        <w:rPr>
          <w:rFonts w:cs="Arial"/>
        </w:rPr>
        <w:t>CDx</w:t>
      </w:r>
      <w:proofErr w:type="spellEnd"/>
      <w:r w:rsidRPr="415C6BA6">
        <w:rPr>
          <w:rFonts w:cs="Arial"/>
        </w:rPr>
        <w:t xml:space="preserve"> claims cannot be made unless the relevant indication for use of a corresponding medicine or biological is approved or is under concurrent review</w:t>
      </w:r>
      <w:r w:rsidR="001051FC">
        <w:rPr>
          <w:rFonts w:cs="Arial"/>
        </w:rPr>
        <w:t xml:space="preserve"> by the TGA</w:t>
      </w:r>
      <w:r w:rsidRPr="415C6BA6">
        <w:rPr>
          <w:rFonts w:cs="Arial"/>
        </w:rPr>
        <w:t xml:space="preserve">. </w:t>
      </w:r>
    </w:p>
    <w:p w14:paraId="3EAA4938" w14:textId="77777777" w:rsidR="00C84B84" w:rsidRDefault="00C84B84" w:rsidP="006853B0">
      <w:pPr>
        <w:pStyle w:val="Heading3"/>
      </w:pPr>
      <w:bookmarkStart w:id="27" w:name="_Toc144388257"/>
      <w:bookmarkStart w:id="28" w:name="_Toc158650260"/>
      <w:r>
        <w:t>Abridged evaluations and overseas evidence</w:t>
      </w:r>
      <w:bookmarkEnd w:id="27"/>
      <w:bookmarkEnd w:id="28"/>
      <w:r>
        <w:t xml:space="preserve"> </w:t>
      </w:r>
    </w:p>
    <w:p w14:paraId="50A22720" w14:textId="5B2AE4BC" w:rsidR="000E21BE" w:rsidRPr="00B34E34" w:rsidRDefault="000E21BE" w:rsidP="00C84B84">
      <w:pPr>
        <w:ind w:left="-4"/>
        <w:rPr>
          <w:rFonts w:cs="Arial"/>
        </w:rPr>
      </w:pPr>
      <w:r w:rsidRPr="00080663">
        <w:rPr>
          <w:rFonts w:cs="Arial"/>
        </w:rPr>
        <w:t xml:space="preserve">The </w:t>
      </w:r>
      <w:r w:rsidR="00C84B84" w:rsidRPr="00080663">
        <w:rPr>
          <w:rFonts w:cs="Arial"/>
        </w:rPr>
        <w:t xml:space="preserve">TGA </w:t>
      </w:r>
      <w:r w:rsidRPr="00080663">
        <w:rPr>
          <w:rFonts w:cs="Arial"/>
        </w:rPr>
        <w:t>will</w:t>
      </w:r>
      <w:r w:rsidR="00C84B84" w:rsidRPr="00080663">
        <w:rPr>
          <w:rFonts w:cs="Arial"/>
        </w:rPr>
        <w:t xml:space="preserve"> accept certification from </w:t>
      </w:r>
      <w:r w:rsidRPr="00080663">
        <w:rPr>
          <w:rFonts w:cs="Arial"/>
        </w:rPr>
        <w:t xml:space="preserve">a </w:t>
      </w:r>
      <w:r w:rsidR="00C84B84" w:rsidRPr="00080663">
        <w:rPr>
          <w:rFonts w:cs="Arial"/>
        </w:rPr>
        <w:t xml:space="preserve">range of comparable overseas regulators and assessment bodies as evidence of compliance with the conformity assessment procedures. </w:t>
      </w:r>
      <w:r w:rsidRPr="00080663">
        <w:rPr>
          <w:rFonts w:cs="Arial"/>
        </w:rPr>
        <w:t xml:space="preserve">The </w:t>
      </w:r>
      <w:hyperlink r:id="rId22" w:history="1">
        <w:r w:rsidRPr="00080663">
          <w:rPr>
            <w:rStyle w:val="Hyperlink"/>
            <w:rFonts w:cs="Arial"/>
          </w:rPr>
          <w:t>guidance on use of market authorisation evidence from comparable overseas regulators</w:t>
        </w:r>
      </w:hyperlink>
      <w:r w:rsidRPr="00080663">
        <w:rPr>
          <w:rFonts w:cs="Arial"/>
        </w:rPr>
        <w:t xml:space="preserve"> </w:t>
      </w:r>
      <w:r w:rsidR="00C84B84" w:rsidRPr="00080663">
        <w:rPr>
          <w:rFonts w:cs="Arial"/>
        </w:rPr>
        <w:t xml:space="preserve">summarises the </w:t>
      </w:r>
      <w:r w:rsidRPr="006853B0">
        <w:rPr>
          <w:rFonts w:cs="Arial"/>
          <w:shd w:val="clear" w:color="auto" w:fill="FFFFFF"/>
        </w:rPr>
        <w:t xml:space="preserve">specific overseas assessments and approvals </w:t>
      </w:r>
      <w:r w:rsidRPr="00080663">
        <w:rPr>
          <w:rFonts w:cs="Arial"/>
          <w:shd w:val="clear" w:color="auto" w:fill="FFFFFF"/>
        </w:rPr>
        <w:t xml:space="preserve">that </w:t>
      </w:r>
      <w:r w:rsidRPr="006853B0">
        <w:rPr>
          <w:rFonts w:cs="Arial"/>
          <w:shd w:val="clear" w:color="auto" w:fill="FFFFFF"/>
        </w:rPr>
        <w:t xml:space="preserve">can be used by applicants for supporting the basis for a possible </w:t>
      </w:r>
      <w:r w:rsidRPr="00B34E34">
        <w:rPr>
          <w:rFonts w:cs="Arial"/>
          <w:shd w:val="clear" w:color="auto" w:fill="FFFFFF"/>
        </w:rPr>
        <w:t>abridged assessment of an application for a TGA conformity assessment certificate</w:t>
      </w:r>
      <w:r w:rsidR="000568E5" w:rsidRPr="00B34E34">
        <w:rPr>
          <w:rFonts w:cs="Arial"/>
          <w:shd w:val="clear" w:color="auto" w:fill="FFFFFF"/>
        </w:rPr>
        <w:t xml:space="preserve">. The comparable overseas assessment and approvals can also serve as </w:t>
      </w:r>
      <w:r w:rsidRPr="00B34E34">
        <w:rPr>
          <w:rFonts w:cs="Arial"/>
          <w:shd w:val="clear" w:color="auto" w:fill="FFFFFF"/>
        </w:rPr>
        <w:t xml:space="preserve">documentation </w:t>
      </w:r>
      <w:r w:rsidR="0093219E" w:rsidRPr="00B34E34">
        <w:rPr>
          <w:rFonts w:cs="Arial"/>
          <w:shd w:val="clear" w:color="auto" w:fill="FFFFFF"/>
        </w:rPr>
        <w:t xml:space="preserve">for abridged assessment </w:t>
      </w:r>
      <w:r w:rsidR="00D425A0" w:rsidRPr="00B34E34">
        <w:rPr>
          <w:rFonts w:cs="Arial"/>
          <w:shd w:val="clear" w:color="auto" w:fill="FFFFFF"/>
        </w:rPr>
        <w:t xml:space="preserve">for </w:t>
      </w:r>
      <w:r w:rsidRPr="00B34E34">
        <w:rPr>
          <w:rFonts w:cs="Arial"/>
          <w:shd w:val="clear" w:color="auto" w:fill="FFFFFF"/>
        </w:rPr>
        <w:t xml:space="preserve">applications for inclusion of </w:t>
      </w:r>
      <w:proofErr w:type="spellStart"/>
      <w:r w:rsidRPr="00B34E34">
        <w:rPr>
          <w:rFonts w:cs="Arial"/>
          <w:shd w:val="clear" w:color="auto" w:fill="FFFFFF"/>
        </w:rPr>
        <w:t>CDx</w:t>
      </w:r>
      <w:proofErr w:type="spellEnd"/>
      <w:r w:rsidRPr="00B34E34">
        <w:rPr>
          <w:rFonts w:cs="Arial"/>
          <w:shd w:val="clear" w:color="auto" w:fill="FFFFFF"/>
        </w:rPr>
        <w:t xml:space="preserve"> in the ARTG</w:t>
      </w:r>
      <w:r w:rsidR="00147C1A" w:rsidRPr="00B34E34">
        <w:rPr>
          <w:rFonts w:cs="Arial"/>
          <w:shd w:val="clear" w:color="auto" w:fill="FFFFFF"/>
        </w:rPr>
        <w:t xml:space="preserve"> or </w:t>
      </w:r>
      <w:r w:rsidR="009F18E3" w:rsidRPr="00B34E34">
        <w:rPr>
          <w:rFonts w:cs="Arial"/>
          <w:shd w:val="clear" w:color="auto" w:fill="FFFFFF"/>
        </w:rPr>
        <w:t xml:space="preserve">for </w:t>
      </w:r>
      <w:r w:rsidR="00774F3E" w:rsidRPr="00B34E34">
        <w:rPr>
          <w:rFonts w:cs="Arial"/>
          <w:shd w:val="clear" w:color="auto" w:fill="FFFFFF"/>
        </w:rPr>
        <w:t xml:space="preserve">IVD assessment under </w:t>
      </w:r>
      <w:r w:rsidR="009F18E3" w:rsidRPr="00B34E34">
        <w:rPr>
          <w:rFonts w:cs="Arial"/>
          <w:shd w:val="clear" w:color="auto" w:fill="FFFFFF"/>
        </w:rPr>
        <w:t xml:space="preserve">the </w:t>
      </w:r>
      <w:r w:rsidR="00147C1A" w:rsidRPr="00B34E34">
        <w:rPr>
          <w:rFonts w:cs="Arial"/>
          <w:shd w:val="clear" w:color="auto" w:fill="FFFFFF"/>
        </w:rPr>
        <w:t>medicine application</w:t>
      </w:r>
      <w:r w:rsidR="009F18E3" w:rsidRPr="00B34E34">
        <w:rPr>
          <w:rFonts w:cs="Arial"/>
          <w:shd w:val="clear" w:color="auto" w:fill="FFFFFF"/>
        </w:rPr>
        <w:t xml:space="preserve"> that requires companion testing.</w:t>
      </w:r>
    </w:p>
    <w:p w14:paraId="25C7C55C" w14:textId="631F69ED" w:rsidR="00C84B84" w:rsidRPr="00B34E34" w:rsidRDefault="00C84B84" w:rsidP="00C84B84">
      <w:pPr>
        <w:ind w:left="-4"/>
        <w:rPr>
          <w:rFonts w:cs="Arial"/>
        </w:rPr>
      </w:pPr>
      <w:r w:rsidRPr="00B34E34">
        <w:rPr>
          <w:rFonts w:cs="Arial"/>
        </w:rPr>
        <w:t xml:space="preserve">Sponsors can request a </w:t>
      </w:r>
      <w:hyperlink r:id="rId23" w:history="1">
        <w:r w:rsidRPr="001B2D45">
          <w:rPr>
            <w:rStyle w:val="Hyperlink"/>
            <w:rFonts w:cs="Arial"/>
            <w:color w:val="3333FF"/>
          </w:rPr>
          <w:t>reduction in the audit assessment fee</w:t>
        </w:r>
      </w:hyperlink>
      <w:r w:rsidR="00D52F1E" w:rsidRPr="00B34E34">
        <w:rPr>
          <w:rFonts w:cs="Arial"/>
        </w:rPr>
        <w:t xml:space="preserve"> for medical device application,</w:t>
      </w:r>
      <w:r w:rsidRPr="00B34E34">
        <w:rPr>
          <w:rFonts w:cs="Arial"/>
        </w:rPr>
        <w:t xml:space="preserve"> if they believe an abridged assessment is supported by the manufacturer’s evidence provided. </w:t>
      </w:r>
    </w:p>
    <w:p w14:paraId="7C432D7B" w14:textId="24BC03F4" w:rsidR="000E7ECD" w:rsidRPr="00B34E34" w:rsidRDefault="00C84B84" w:rsidP="00606217">
      <w:pPr>
        <w:spacing w:after="383"/>
        <w:ind w:left="-4"/>
        <w:rPr>
          <w:rFonts w:cs="Arial"/>
        </w:rPr>
      </w:pPr>
      <w:proofErr w:type="spellStart"/>
      <w:r w:rsidRPr="00B34E34">
        <w:rPr>
          <w:rFonts w:cs="Arial"/>
        </w:rPr>
        <w:t>CDx</w:t>
      </w:r>
      <w:proofErr w:type="spellEnd"/>
      <w:r w:rsidRPr="00B34E34">
        <w:rPr>
          <w:rFonts w:cs="Arial"/>
        </w:rPr>
        <w:t xml:space="preserve"> are subject to additional requirements for assessment of technical documentation under </w:t>
      </w:r>
      <w:r w:rsidRPr="001B2D45">
        <w:rPr>
          <w:rFonts w:cs="Arial"/>
          <w:color w:val="1F3864" w:themeColor="accent1" w:themeShade="80"/>
        </w:rPr>
        <w:t xml:space="preserve">the </w:t>
      </w:r>
      <w:hyperlink r:id="rId24">
        <w:r w:rsidRPr="001B2D45">
          <w:rPr>
            <w:rFonts w:cs="Arial"/>
            <w:color w:val="3333FF"/>
            <w:u w:val="single"/>
          </w:rPr>
          <w:t xml:space="preserve">EU IVD Regulation </w:t>
        </w:r>
        <w:r w:rsidR="00585E42" w:rsidRPr="001B2D45">
          <w:rPr>
            <w:rFonts w:cs="Arial"/>
            <w:color w:val="3333FF"/>
            <w:u w:val="single"/>
          </w:rPr>
          <w:t>(IVDR) (</w:t>
        </w:r>
        <w:r w:rsidRPr="001B2D45">
          <w:rPr>
            <w:rFonts w:cs="Arial"/>
            <w:color w:val="3333FF"/>
            <w:u w:val="single"/>
          </w:rPr>
          <w:t>2017/746</w:t>
        </w:r>
      </w:hyperlink>
      <w:r w:rsidR="00585E42" w:rsidRPr="001B2D45">
        <w:rPr>
          <w:rFonts w:cs="Arial"/>
          <w:color w:val="3333FF"/>
          <w:u w:val="single"/>
        </w:rPr>
        <w:t>)</w:t>
      </w:r>
      <w:hyperlink r:id="rId25">
        <w:r w:rsidRPr="00B34E34">
          <w:rPr>
            <w:rFonts w:cs="Arial"/>
          </w:rPr>
          <w:t xml:space="preserve"> </w:t>
        </w:r>
      </w:hyperlink>
      <w:r w:rsidRPr="00B34E34">
        <w:rPr>
          <w:rFonts w:cs="Arial"/>
        </w:rPr>
        <w:t xml:space="preserve">Annex IX (Full QMS) Section 5.2 and Annex X (Type Examination) </w:t>
      </w:r>
      <w:r w:rsidR="000E21BE" w:rsidRPr="00B34E34">
        <w:rPr>
          <w:rFonts w:cs="Arial"/>
        </w:rPr>
        <w:t>s</w:t>
      </w:r>
      <w:r w:rsidRPr="00B34E34">
        <w:rPr>
          <w:rFonts w:cs="Arial"/>
        </w:rPr>
        <w:t xml:space="preserve">ection 3(k). Similarly, the FDA generally requires a full Premarket Assessment (PMA) for </w:t>
      </w:r>
      <w:proofErr w:type="spellStart"/>
      <w:r w:rsidRPr="00B34E34">
        <w:rPr>
          <w:rFonts w:cs="Arial"/>
        </w:rPr>
        <w:t>CDx</w:t>
      </w:r>
      <w:proofErr w:type="spellEnd"/>
      <w:r w:rsidRPr="00B34E34">
        <w:rPr>
          <w:rFonts w:cs="Arial"/>
        </w:rPr>
        <w:t xml:space="preserve">. Therefore, </w:t>
      </w:r>
      <w:r w:rsidR="000E21BE" w:rsidRPr="00B34E34">
        <w:rPr>
          <w:rFonts w:cs="Arial"/>
        </w:rPr>
        <w:t>s</w:t>
      </w:r>
      <w:r w:rsidRPr="00B34E34">
        <w:rPr>
          <w:rFonts w:cs="Arial"/>
        </w:rPr>
        <w:t xml:space="preserve">ponsors can request TGA to consider abridgement of an application audit by providing overseas evidence that includes the </w:t>
      </w:r>
      <w:r w:rsidR="00E63546" w:rsidRPr="00B34E34">
        <w:rPr>
          <w:rFonts w:cs="Arial"/>
        </w:rPr>
        <w:t xml:space="preserve">overseas </w:t>
      </w:r>
      <w:r w:rsidRPr="00B34E34">
        <w:rPr>
          <w:rFonts w:cs="Arial"/>
        </w:rPr>
        <w:t xml:space="preserve">technical assessment report </w:t>
      </w:r>
      <w:r w:rsidR="00080663" w:rsidRPr="00B34E34">
        <w:rPr>
          <w:rFonts w:cs="Arial"/>
        </w:rPr>
        <w:t xml:space="preserve">that complies with the </w:t>
      </w:r>
      <w:r w:rsidRPr="00B34E34">
        <w:rPr>
          <w:rFonts w:cs="Arial"/>
        </w:rPr>
        <w:t xml:space="preserve">requirements for </w:t>
      </w:r>
      <w:proofErr w:type="spellStart"/>
      <w:r w:rsidRPr="00B34E34">
        <w:rPr>
          <w:rFonts w:cs="Arial"/>
        </w:rPr>
        <w:t>CDx</w:t>
      </w:r>
      <w:proofErr w:type="spellEnd"/>
      <w:r w:rsidRPr="00B34E34">
        <w:rPr>
          <w:rFonts w:cs="Arial"/>
        </w:rPr>
        <w:t xml:space="preserve">. </w:t>
      </w:r>
      <w:r w:rsidR="00606217" w:rsidRPr="00B34E34">
        <w:rPr>
          <w:rFonts w:cs="Arial"/>
        </w:rPr>
        <w:t xml:space="preserve">This is also applicable for assessment of </w:t>
      </w:r>
      <w:r w:rsidR="001A478A" w:rsidRPr="00B34E34">
        <w:rPr>
          <w:rFonts w:cs="Arial"/>
        </w:rPr>
        <w:t>companion testing, as part of the medicine application</w:t>
      </w:r>
      <w:r w:rsidR="00606217" w:rsidRPr="00B34E34">
        <w:rPr>
          <w:rFonts w:cs="Arial"/>
        </w:rPr>
        <w:t>.</w:t>
      </w:r>
    </w:p>
    <w:p w14:paraId="5591A467" w14:textId="38E66025" w:rsidR="007904E0" w:rsidRDefault="007904E0" w:rsidP="006853B0">
      <w:pPr>
        <w:pStyle w:val="Heading3"/>
      </w:pPr>
      <w:bookmarkStart w:id="29" w:name="_Toc158650261"/>
      <w:r>
        <w:t xml:space="preserve">TGA </w:t>
      </w:r>
      <w:bookmarkStart w:id="30" w:name="_Toc144388258"/>
      <w:proofErr w:type="spellStart"/>
      <w:r>
        <w:t>CDx</w:t>
      </w:r>
      <w:proofErr w:type="spellEnd"/>
      <w:r>
        <w:t xml:space="preserve"> list</w:t>
      </w:r>
      <w:bookmarkEnd w:id="29"/>
      <w:bookmarkEnd w:id="30"/>
      <w:r>
        <w:t xml:space="preserve"> </w:t>
      </w:r>
    </w:p>
    <w:p w14:paraId="4F5CD444" w14:textId="23C9644C" w:rsidR="007904E0" w:rsidRPr="00B43810" w:rsidRDefault="007904E0" w:rsidP="007904E0">
      <w:pPr>
        <w:rPr>
          <w:rFonts w:cs="Arial"/>
        </w:rPr>
      </w:pPr>
      <w:r w:rsidRPr="00B43810">
        <w:rPr>
          <w:rFonts w:cs="Arial"/>
        </w:rPr>
        <w:t xml:space="preserve">The </w:t>
      </w:r>
      <w:hyperlink r:id="rId26" w:history="1">
        <w:r w:rsidRPr="00AE6F1D">
          <w:rPr>
            <w:rStyle w:val="Hyperlink"/>
            <w:rFonts w:cs="Arial"/>
          </w:rPr>
          <w:t xml:space="preserve">TGA </w:t>
        </w:r>
        <w:proofErr w:type="spellStart"/>
        <w:r w:rsidRPr="00AE6F1D">
          <w:rPr>
            <w:rStyle w:val="Hyperlink"/>
            <w:rFonts w:cs="Arial"/>
          </w:rPr>
          <w:t>CDx</w:t>
        </w:r>
        <w:proofErr w:type="spellEnd"/>
        <w:r w:rsidRPr="00AE6F1D">
          <w:rPr>
            <w:rStyle w:val="Hyperlink"/>
            <w:rFonts w:cs="Arial"/>
          </w:rPr>
          <w:t xml:space="preserve"> list</w:t>
        </w:r>
      </w:hyperlink>
      <w:r w:rsidR="00B43810">
        <w:rPr>
          <w:rFonts w:cs="Arial"/>
        </w:rPr>
        <w:t xml:space="preserve"> </w:t>
      </w:r>
      <w:r w:rsidRPr="00B43810">
        <w:rPr>
          <w:rFonts w:cs="Arial"/>
        </w:rPr>
        <w:t xml:space="preserve">is a published list of </w:t>
      </w:r>
      <w:proofErr w:type="spellStart"/>
      <w:r w:rsidRPr="00B43810">
        <w:rPr>
          <w:rFonts w:cs="Arial"/>
        </w:rPr>
        <w:t>CDx</w:t>
      </w:r>
      <w:proofErr w:type="spellEnd"/>
      <w:r w:rsidRPr="00B43810">
        <w:rPr>
          <w:rFonts w:cs="Arial"/>
        </w:rPr>
        <w:t xml:space="preserve"> that have been approved for supply in Australia</w:t>
      </w:r>
      <w:r w:rsidR="00B43810">
        <w:rPr>
          <w:rFonts w:cs="Arial"/>
        </w:rPr>
        <w:t xml:space="preserve"> under the </w:t>
      </w:r>
      <w:proofErr w:type="spellStart"/>
      <w:r w:rsidR="00B43810">
        <w:rPr>
          <w:rFonts w:cs="Arial"/>
        </w:rPr>
        <w:t>CDx</w:t>
      </w:r>
      <w:proofErr w:type="spellEnd"/>
      <w:r w:rsidR="00B43810">
        <w:rPr>
          <w:rFonts w:cs="Arial"/>
        </w:rPr>
        <w:t xml:space="preserve"> </w:t>
      </w:r>
      <w:r w:rsidR="00585E42">
        <w:rPr>
          <w:rFonts w:cs="Arial"/>
        </w:rPr>
        <w:t>framework</w:t>
      </w:r>
      <w:r w:rsidRPr="00B43810">
        <w:rPr>
          <w:rFonts w:cs="Arial"/>
        </w:rPr>
        <w:t xml:space="preserve">, </w:t>
      </w:r>
      <w:r w:rsidR="00172E8E">
        <w:rPr>
          <w:rFonts w:cs="Arial"/>
        </w:rPr>
        <w:t xml:space="preserve">along </w:t>
      </w:r>
      <w:r w:rsidR="00585E42">
        <w:rPr>
          <w:rFonts w:cs="Arial"/>
        </w:rPr>
        <w:t>with</w:t>
      </w:r>
      <w:r w:rsidR="00585E42" w:rsidRPr="00B43810">
        <w:rPr>
          <w:rFonts w:cs="Arial"/>
        </w:rPr>
        <w:t xml:space="preserve"> </w:t>
      </w:r>
      <w:r w:rsidRPr="00B43810">
        <w:rPr>
          <w:rFonts w:cs="Arial"/>
        </w:rPr>
        <w:t xml:space="preserve">the corresponding medicine or biological indication for which </w:t>
      </w:r>
      <w:proofErr w:type="spellStart"/>
      <w:r w:rsidRPr="00B43810">
        <w:rPr>
          <w:rFonts w:cs="Arial"/>
        </w:rPr>
        <w:t>CDx</w:t>
      </w:r>
      <w:proofErr w:type="spellEnd"/>
      <w:r w:rsidRPr="00B43810">
        <w:rPr>
          <w:rFonts w:cs="Arial"/>
        </w:rPr>
        <w:t xml:space="preserve"> testing is required. </w:t>
      </w:r>
      <w:r w:rsidR="00585E42" w:rsidRPr="00B43810">
        <w:rPr>
          <w:rFonts w:cs="Arial"/>
        </w:rPr>
        <w:t>The</w:t>
      </w:r>
      <w:r w:rsidR="00585E42">
        <w:rPr>
          <w:rFonts w:cs="Arial"/>
        </w:rPr>
        <w:t xml:space="preserve"> list</w:t>
      </w:r>
      <w:r w:rsidR="00585E42" w:rsidRPr="00B43810">
        <w:rPr>
          <w:rFonts w:cs="Arial"/>
        </w:rPr>
        <w:t xml:space="preserve"> </w:t>
      </w:r>
      <w:r w:rsidRPr="00B43810">
        <w:rPr>
          <w:rFonts w:cs="Arial"/>
        </w:rPr>
        <w:t xml:space="preserve">will initially </w:t>
      </w:r>
      <w:r w:rsidR="00585E42" w:rsidRPr="00B43810">
        <w:rPr>
          <w:rFonts w:cs="Arial"/>
        </w:rPr>
        <w:t>i</w:t>
      </w:r>
      <w:r w:rsidR="00585E42">
        <w:rPr>
          <w:rFonts w:cs="Arial"/>
        </w:rPr>
        <w:t>dentify</w:t>
      </w:r>
      <w:r w:rsidR="00585E42" w:rsidRPr="00B43810">
        <w:rPr>
          <w:rFonts w:cs="Arial"/>
        </w:rPr>
        <w:t xml:space="preserve"> </w:t>
      </w:r>
      <w:r w:rsidR="00E35A82">
        <w:rPr>
          <w:rFonts w:cs="Arial"/>
        </w:rPr>
        <w:t>commercially supplied</w:t>
      </w:r>
      <w:r w:rsidR="00585E42">
        <w:rPr>
          <w:rFonts w:cs="Arial"/>
        </w:rPr>
        <w:t xml:space="preserve"> </w:t>
      </w:r>
      <w:proofErr w:type="spellStart"/>
      <w:r w:rsidRPr="00B43810">
        <w:rPr>
          <w:rFonts w:cs="Arial"/>
        </w:rPr>
        <w:t>CDx</w:t>
      </w:r>
      <w:proofErr w:type="spellEnd"/>
      <w:r w:rsidRPr="00B43810">
        <w:rPr>
          <w:rFonts w:cs="Arial"/>
        </w:rPr>
        <w:t xml:space="preserve"> that are </w:t>
      </w:r>
      <w:r w:rsidR="00585E42">
        <w:rPr>
          <w:rFonts w:cs="Arial"/>
        </w:rPr>
        <w:t>included</w:t>
      </w:r>
      <w:r w:rsidR="00585E42" w:rsidRPr="00B43810">
        <w:rPr>
          <w:rFonts w:cs="Arial"/>
        </w:rPr>
        <w:t xml:space="preserve"> </w:t>
      </w:r>
      <w:r w:rsidRPr="00B43810">
        <w:rPr>
          <w:rFonts w:cs="Arial"/>
        </w:rPr>
        <w:t>in the ARTG</w:t>
      </w:r>
      <w:r w:rsidR="00585E42">
        <w:rPr>
          <w:rFonts w:cs="Arial"/>
        </w:rPr>
        <w:t>,</w:t>
      </w:r>
      <w:r w:rsidRPr="00B43810">
        <w:rPr>
          <w:rFonts w:cs="Arial"/>
        </w:rPr>
        <w:t xml:space="preserve"> with </w:t>
      </w:r>
      <w:r w:rsidR="00B43810" w:rsidRPr="00B43810">
        <w:rPr>
          <w:rFonts w:cs="Arial"/>
        </w:rPr>
        <w:t xml:space="preserve">plans </w:t>
      </w:r>
      <w:r w:rsidRPr="00B43810">
        <w:rPr>
          <w:rFonts w:cs="Arial"/>
        </w:rPr>
        <w:t>to</w:t>
      </w:r>
      <w:r w:rsidR="002B3BF7">
        <w:rPr>
          <w:rFonts w:cs="Arial"/>
        </w:rPr>
        <w:t xml:space="preserve"> later</w:t>
      </w:r>
      <w:r w:rsidRPr="00B43810">
        <w:rPr>
          <w:rFonts w:cs="Arial"/>
        </w:rPr>
        <w:t xml:space="preserve"> include in-house </w:t>
      </w:r>
      <w:proofErr w:type="spellStart"/>
      <w:r w:rsidRPr="00B43810">
        <w:rPr>
          <w:rFonts w:cs="Arial"/>
        </w:rPr>
        <w:t>CDx</w:t>
      </w:r>
      <w:proofErr w:type="spellEnd"/>
      <w:r w:rsidR="00AA438F">
        <w:rPr>
          <w:rFonts w:cs="Arial"/>
        </w:rPr>
        <w:t xml:space="preserve"> IVDs</w:t>
      </w:r>
      <w:r w:rsidRPr="00B43810">
        <w:rPr>
          <w:rFonts w:cs="Arial"/>
        </w:rPr>
        <w:t xml:space="preserve"> that have been notified to the TGA.</w:t>
      </w:r>
    </w:p>
    <w:p w14:paraId="37480E2B" w14:textId="2E41DBA6" w:rsidR="007904E0" w:rsidRPr="00B43810" w:rsidRDefault="007904E0" w:rsidP="007904E0">
      <w:pPr>
        <w:rPr>
          <w:rFonts w:cs="Arial"/>
        </w:rPr>
      </w:pPr>
      <w:r w:rsidRPr="415C6BA6">
        <w:rPr>
          <w:rFonts w:cs="Arial"/>
        </w:rPr>
        <w:t xml:space="preserve">The list does not have formal regulatory status, but serves as a communication tool to assist clinicians, laboratories and other stakeholders who wish to know what </w:t>
      </w:r>
      <w:proofErr w:type="spellStart"/>
      <w:r w:rsidRPr="415C6BA6">
        <w:rPr>
          <w:rFonts w:cs="Arial"/>
        </w:rPr>
        <w:t>CDx</w:t>
      </w:r>
      <w:proofErr w:type="spellEnd"/>
      <w:r w:rsidRPr="415C6BA6">
        <w:rPr>
          <w:rFonts w:cs="Arial"/>
        </w:rPr>
        <w:t xml:space="preserve"> tests have been approved for supply in Australia. </w:t>
      </w:r>
    </w:p>
    <w:p w14:paraId="5C605E54" w14:textId="2F113E97" w:rsidR="00EC542B" w:rsidRPr="00EC542B" w:rsidRDefault="007904E0" w:rsidP="00EC542B">
      <w:r w:rsidRPr="415C6BA6">
        <w:rPr>
          <w:rFonts w:cs="Arial"/>
        </w:rPr>
        <w:t xml:space="preserve">The </w:t>
      </w:r>
      <w:r w:rsidR="00585E42" w:rsidRPr="415C6BA6">
        <w:rPr>
          <w:rFonts w:cs="Arial"/>
        </w:rPr>
        <w:t>publish</w:t>
      </w:r>
      <w:r w:rsidR="00682573" w:rsidRPr="415C6BA6">
        <w:rPr>
          <w:rFonts w:cs="Arial"/>
        </w:rPr>
        <w:t>ed</w:t>
      </w:r>
      <w:r w:rsidR="00585E42" w:rsidRPr="415C6BA6">
        <w:rPr>
          <w:rFonts w:cs="Arial"/>
        </w:rPr>
        <w:t xml:space="preserve"> </w:t>
      </w:r>
      <w:r w:rsidRPr="415C6BA6">
        <w:rPr>
          <w:rFonts w:cs="Arial"/>
        </w:rPr>
        <w:t>list</w:t>
      </w:r>
      <w:r w:rsidR="00281446" w:rsidRPr="415C6BA6">
        <w:rPr>
          <w:rFonts w:cs="Arial"/>
        </w:rPr>
        <w:t xml:space="preserve"> will include </w:t>
      </w:r>
      <w:r w:rsidR="00172E8E">
        <w:rPr>
          <w:rFonts w:cs="Arial"/>
        </w:rPr>
        <w:t xml:space="preserve">all commercially approved </w:t>
      </w:r>
      <w:proofErr w:type="spellStart"/>
      <w:r w:rsidR="00281446" w:rsidRPr="415C6BA6">
        <w:rPr>
          <w:rFonts w:cs="Arial"/>
        </w:rPr>
        <w:t>CDx</w:t>
      </w:r>
      <w:proofErr w:type="spellEnd"/>
      <w:r w:rsidR="00281446" w:rsidRPr="415C6BA6">
        <w:rPr>
          <w:rFonts w:cs="Arial"/>
        </w:rPr>
        <w:t xml:space="preserve"> testing, </w:t>
      </w:r>
      <w:r w:rsidR="001E5C51" w:rsidRPr="415C6BA6">
        <w:rPr>
          <w:rFonts w:cs="Arial"/>
        </w:rPr>
        <w:t xml:space="preserve">approved after introduction of the new </w:t>
      </w:r>
      <w:proofErr w:type="spellStart"/>
      <w:r w:rsidR="001E5C51" w:rsidRPr="415C6BA6">
        <w:rPr>
          <w:rFonts w:cs="Arial"/>
        </w:rPr>
        <w:t>CDx</w:t>
      </w:r>
      <w:proofErr w:type="spellEnd"/>
      <w:r w:rsidR="001E5C51" w:rsidRPr="415C6BA6">
        <w:rPr>
          <w:rFonts w:cs="Arial"/>
        </w:rPr>
        <w:t xml:space="preserve"> framework. H</w:t>
      </w:r>
      <w:r w:rsidR="00682573" w:rsidRPr="415C6BA6">
        <w:rPr>
          <w:rFonts w:cs="Arial"/>
        </w:rPr>
        <w:t>owever</w:t>
      </w:r>
      <w:r w:rsidR="004C38CD" w:rsidRPr="415C6BA6">
        <w:rPr>
          <w:rFonts w:cs="Arial"/>
        </w:rPr>
        <w:t>,</w:t>
      </w:r>
      <w:r w:rsidR="00682573" w:rsidRPr="415C6BA6">
        <w:rPr>
          <w:rFonts w:cs="Arial"/>
        </w:rPr>
        <w:t xml:space="preserve"> </w:t>
      </w:r>
      <w:r w:rsidR="00CC13CD">
        <w:rPr>
          <w:rFonts w:cs="Arial"/>
        </w:rPr>
        <w:t xml:space="preserve">information on </w:t>
      </w:r>
      <w:r w:rsidR="00682573" w:rsidRPr="415C6BA6">
        <w:rPr>
          <w:rFonts w:cs="Arial"/>
        </w:rPr>
        <w:t xml:space="preserve">medicine or biological indications </w:t>
      </w:r>
      <w:r w:rsidR="00172E8E">
        <w:rPr>
          <w:rFonts w:cs="Arial"/>
        </w:rPr>
        <w:t xml:space="preserve">that require </w:t>
      </w:r>
      <w:proofErr w:type="spellStart"/>
      <w:r w:rsidR="00172E8E">
        <w:rPr>
          <w:rFonts w:cs="Arial"/>
        </w:rPr>
        <w:t>CDx</w:t>
      </w:r>
      <w:proofErr w:type="spellEnd"/>
      <w:r w:rsidR="00172E8E">
        <w:rPr>
          <w:rFonts w:cs="Arial"/>
        </w:rPr>
        <w:t xml:space="preserve"> listing </w:t>
      </w:r>
      <w:r w:rsidRPr="415C6BA6">
        <w:rPr>
          <w:rFonts w:cs="Arial"/>
        </w:rPr>
        <w:t xml:space="preserve">may not </w:t>
      </w:r>
      <w:r w:rsidR="00682573" w:rsidRPr="415C6BA6">
        <w:rPr>
          <w:rFonts w:cs="Arial"/>
        </w:rPr>
        <w:t xml:space="preserve">be </w:t>
      </w:r>
      <w:r w:rsidRPr="415C6BA6">
        <w:rPr>
          <w:rFonts w:cs="Arial"/>
        </w:rPr>
        <w:t xml:space="preserve">comprehensively </w:t>
      </w:r>
      <w:r w:rsidR="00682573" w:rsidRPr="415C6BA6">
        <w:rPr>
          <w:rFonts w:cs="Arial"/>
        </w:rPr>
        <w:t>listed</w:t>
      </w:r>
      <w:r w:rsidRPr="415C6BA6">
        <w:rPr>
          <w:rFonts w:cs="Arial"/>
        </w:rPr>
        <w:t xml:space="preserve">. </w:t>
      </w:r>
    </w:p>
    <w:p w14:paraId="14EBE9C9" w14:textId="0FA709E8" w:rsidR="00010748" w:rsidRPr="001E07D1" w:rsidDel="006B7D8D" w:rsidRDefault="4AA6B24F" w:rsidP="006853B0">
      <w:pPr>
        <w:pStyle w:val="Heading2"/>
      </w:pPr>
      <w:bookmarkStart w:id="31" w:name="_What_do_medicine/biological"/>
      <w:bookmarkStart w:id="32" w:name="_Toc144388259"/>
      <w:bookmarkStart w:id="33" w:name="_Toc158650262"/>
      <w:bookmarkEnd w:id="31"/>
      <w:r w:rsidRPr="001E07D1">
        <w:t>What do medicine/biological sponsors need to do?</w:t>
      </w:r>
      <w:bookmarkEnd w:id="15"/>
      <w:bookmarkEnd w:id="32"/>
      <w:bookmarkEnd w:id="33"/>
    </w:p>
    <w:p w14:paraId="536A1033" w14:textId="5A705C98" w:rsidR="00010748" w:rsidRPr="0005166D" w:rsidDel="006B7D8D" w:rsidRDefault="2A84B276" w:rsidP="00A70BFC">
      <w:pPr>
        <w:spacing w:after="240"/>
        <w:ind w:left="-6"/>
        <w:rPr>
          <w:rFonts w:cs="Arial"/>
        </w:rPr>
      </w:pPr>
      <w:r w:rsidRPr="415C6BA6">
        <w:rPr>
          <w:rFonts w:cs="Arial"/>
        </w:rPr>
        <w:t xml:space="preserve">At </w:t>
      </w:r>
      <w:r w:rsidR="00682573" w:rsidRPr="415C6BA6">
        <w:rPr>
          <w:rFonts w:cs="Arial"/>
        </w:rPr>
        <w:t xml:space="preserve">the </w:t>
      </w:r>
      <w:r w:rsidRPr="415C6BA6">
        <w:rPr>
          <w:rFonts w:cs="Arial"/>
        </w:rPr>
        <w:t>time of submission for a new indication</w:t>
      </w:r>
      <w:r w:rsidR="007B063D" w:rsidRPr="415C6BA6">
        <w:rPr>
          <w:rFonts w:cs="Arial"/>
        </w:rPr>
        <w:t xml:space="preserve"> for a medicine or biological (regardless of whether the active substance is new or already registered)</w:t>
      </w:r>
      <w:r w:rsidRPr="415C6BA6">
        <w:rPr>
          <w:rFonts w:cs="Arial"/>
        </w:rPr>
        <w:t xml:space="preserve">, the sponsor of the medicine or biological should use the </w:t>
      </w:r>
      <w:proofErr w:type="spellStart"/>
      <w:r w:rsidR="001E07D1" w:rsidRPr="415C6BA6">
        <w:rPr>
          <w:rFonts w:cs="Arial"/>
        </w:rPr>
        <w:t>CDx</w:t>
      </w:r>
      <w:proofErr w:type="spellEnd"/>
      <w:r w:rsidR="001E07D1" w:rsidRPr="415C6BA6">
        <w:rPr>
          <w:rFonts w:cs="Arial"/>
        </w:rPr>
        <w:t xml:space="preserve"> identification </w:t>
      </w:r>
      <w:r w:rsidRPr="415C6BA6">
        <w:rPr>
          <w:rFonts w:cs="Arial"/>
        </w:rPr>
        <w:t xml:space="preserve">guide in </w:t>
      </w:r>
      <w:hyperlink w:anchor="ColumnTitle_4">
        <w:r w:rsidR="05926D67" w:rsidRPr="415C6BA6">
          <w:rPr>
            <w:rStyle w:val="Hyperlink"/>
            <w:rFonts w:cs="Arial"/>
          </w:rPr>
          <w:t xml:space="preserve">Figure </w:t>
        </w:r>
        <w:r w:rsidRPr="415C6BA6">
          <w:rPr>
            <w:rStyle w:val="Hyperlink"/>
            <w:rFonts w:cs="Arial"/>
          </w:rPr>
          <w:t>1</w:t>
        </w:r>
      </w:hyperlink>
      <w:r w:rsidRPr="415C6BA6">
        <w:rPr>
          <w:rFonts w:cs="Arial"/>
        </w:rPr>
        <w:t xml:space="preserve"> to </w:t>
      </w:r>
      <w:r w:rsidR="004E52C5" w:rsidRPr="415C6BA6">
        <w:rPr>
          <w:rFonts w:cs="Arial"/>
        </w:rPr>
        <w:t xml:space="preserve">determine </w:t>
      </w:r>
      <w:r w:rsidRPr="415C6BA6">
        <w:rPr>
          <w:rFonts w:cs="Arial"/>
        </w:rPr>
        <w:t xml:space="preserve">whether </w:t>
      </w:r>
      <w:r w:rsidR="0CA01D53" w:rsidRPr="415C6BA6">
        <w:rPr>
          <w:rFonts w:cs="Arial"/>
        </w:rPr>
        <w:t xml:space="preserve">the indication </w:t>
      </w:r>
      <w:r w:rsidRPr="415C6BA6">
        <w:rPr>
          <w:rFonts w:cs="Arial"/>
        </w:rPr>
        <w:t xml:space="preserve">requires </w:t>
      </w:r>
      <w:proofErr w:type="spellStart"/>
      <w:r w:rsidRPr="415C6BA6">
        <w:rPr>
          <w:rFonts w:cs="Arial"/>
        </w:rPr>
        <w:t>CDx</w:t>
      </w:r>
      <w:proofErr w:type="spellEnd"/>
      <w:r w:rsidRPr="415C6BA6">
        <w:rPr>
          <w:rFonts w:cs="Arial"/>
        </w:rPr>
        <w:t xml:space="preserve"> testing. If the sponsor is not sure, we recommend consultation with TGA </w:t>
      </w:r>
      <w:r w:rsidR="005A3E29" w:rsidRPr="415C6BA6">
        <w:rPr>
          <w:rFonts w:cs="Arial"/>
        </w:rPr>
        <w:t xml:space="preserve">by requesting </w:t>
      </w:r>
      <w:r w:rsidR="007B063D" w:rsidRPr="415C6BA6">
        <w:rPr>
          <w:rFonts w:cs="Arial"/>
        </w:rPr>
        <w:t xml:space="preserve">a </w:t>
      </w:r>
      <w:hyperlink r:id="rId27">
        <w:r w:rsidR="00F035A5" w:rsidRPr="415C6BA6">
          <w:rPr>
            <w:rStyle w:val="Hyperlink"/>
            <w:rFonts w:cs="Arial"/>
          </w:rPr>
          <w:t>p</w:t>
        </w:r>
        <w:r w:rsidRPr="415C6BA6">
          <w:rPr>
            <w:rStyle w:val="Hyperlink"/>
            <w:rFonts w:cs="Arial"/>
          </w:rPr>
          <w:t>re-submission meeting</w:t>
        </w:r>
      </w:hyperlink>
      <w:r w:rsidR="00037CFD" w:rsidRPr="00037CFD">
        <w:t xml:space="preserve"> </w:t>
      </w:r>
      <w:r w:rsidR="00037CFD" w:rsidRPr="00923E07">
        <w:rPr>
          <w:rStyle w:val="Hyperlink"/>
          <w:rFonts w:cs="Arial"/>
          <w:color w:val="auto"/>
          <w:u w:val="none"/>
        </w:rPr>
        <w:t>with the Prescription Medicines Authorisation Branch</w:t>
      </w:r>
      <w:r w:rsidRPr="415C6BA6">
        <w:rPr>
          <w:rFonts w:cs="Arial"/>
        </w:rPr>
        <w:t xml:space="preserve">. </w:t>
      </w:r>
    </w:p>
    <w:p w14:paraId="4589B4AF" w14:textId="6E529D7A" w:rsidR="00010748" w:rsidRPr="0005166D" w:rsidDel="006B7D8D" w:rsidRDefault="7980B28F" w:rsidP="00A70BFC">
      <w:pPr>
        <w:spacing w:after="240"/>
        <w:ind w:left="-4"/>
        <w:rPr>
          <w:rFonts w:cs="Arial"/>
        </w:rPr>
      </w:pPr>
      <w:r w:rsidRPr="0005166D">
        <w:rPr>
          <w:rFonts w:cs="Arial"/>
        </w:rPr>
        <w:t xml:space="preserve">For </w:t>
      </w:r>
      <w:r w:rsidR="002B3BF7">
        <w:rPr>
          <w:rFonts w:cs="Arial"/>
        </w:rPr>
        <w:t xml:space="preserve">medicine or biological </w:t>
      </w:r>
      <w:r w:rsidRPr="0005166D">
        <w:rPr>
          <w:rFonts w:cs="Arial"/>
        </w:rPr>
        <w:t xml:space="preserve">indications that require </w:t>
      </w:r>
      <w:proofErr w:type="spellStart"/>
      <w:r w:rsidRPr="0005166D">
        <w:rPr>
          <w:rFonts w:cs="Arial"/>
        </w:rPr>
        <w:t>CDx</w:t>
      </w:r>
      <w:proofErr w:type="spellEnd"/>
      <w:r w:rsidRPr="0005166D">
        <w:rPr>
          <w:rFonts w:cs="Arial"/>
        </w:rPr>
        <w:t xml:space="preserve"> testing</w:t>
      </w:r>
      <w:r w:rsidR="002B3BF7">
        <w:rPr>
          <w:rFonts w:cs="Arial"/>
        </w:rPr>
        <w:t>,</w:t>
      </w:r>
      <w:r w:rsidR="007904E0" w:rsidRPr="0005166D">
        <w:rPr>
          <w:rFonts w:cs="Arial"/>
        </w:rPr>
        <w:t xml:space="preserve"> </w:t>
      </w:r>
      <w:r w:rsidRPr="0005166D">
        <w:rPr>
          <w:rFonts w:cs="Arial"/>
        </w:rPr>
        <w:t>the medicine or biological submission must include:</w:t>
      </w:r>
    </w:p>
    <w:p w14:paraId="623BAE76" w14:textId="7685B33C" w:rsidR="00010748" w:rsidRPr="0005166D" w:rsidDel="006B7D8D" w:rsidRDefault="285D63B7" w:rsidP="00A70BFC">
      <w:pPr>
        <w:pStyle w:val="ListParagraph"/>
        <w:numPr>
          <w:ilvl w:val="0"/>
          <w:numId w:val="5"/>
        </w:numPr>
        <w:spacing w:after="240" w:line="259" w:lineRule="auto"/>
        <w:ind w:right="0"/>
        <w:rPr>
          <w:rFonts w:ascii="Arial" w:eastAsia="Arial" w:hAnsi="Arial" w:cs="Arial"/>
          <w:sz w:val="20"/>
          <w:szCs w:val="20"/>
        </w:rPr>
      </w:pPr>
      <w:r w:rsidRPr="0005166D">
        <w:rPr>
          <w:rFonts w:ascii="Arial" w:eastAsia="Arial" w:hAnsi="Arial" w:cs="Arial"/>
          <w:sz w:val="20"/>
          <w:szCs w:val="20"/>
        </w:rPr>
        <w:lastRenderedPageBreak/>
        <w:t xml:space="preserve">Data to support evaluation of </w:t>
      </w:r>
      <w:r w:rsidR="29EBB0E7" w:rsidRPr="0005166D">
        <w:rPr>
          <w:rFonts w:ascii="Arial" w:eastAsia="Arial" w:hAnsi="Arial" w:cs="Arial"/>
          <w:sz w:val="20"/>
          <w:szCs w:val="20"/>
        </w:rPr>
        <w:t xml:space="preserve">the </w:t>
      </w:r>
      <w:r w:rsidR="0005166D" w:rsidRPr="0005166D">
        <w:rPr>
          <w:rFonts w:ascii="Arial" w:eastAsia="Arial" w:hAnsi="Arial" w:cs="Arial"/>
          <w:sz w:val="20"/>
          <w:szCs w:val="20"/>
        </w:rPr>
        <w:t xml:space="preserve">clinical </w:t>
      </w:r>
      <w:r w:rsidR="0056506E" w:rsidRPr="0005166D">
        <w:rPr>
          <w:rFonts w:ascii="Arial" w:eastAsia="Arial" w:hAnsi="Arial" w:cs="Arial"/>
          <w:sz w:val="20"/>
          <w:szCs w:val="20"/>
        </w:rPr>
        <w:t xml:space="preserve">and </w:t>
      </w:r>
      <w:r w:rsidR="679CDF19" w:rsidRPr="0005166D">
        <w:rPr>
          <w:rFonts w:ascii="Arial" w:eastAsia="Arial" w:hAnsi="Arial" w:cs="Arial"/>
          <w:sz w:val="20"/>
          <w:szCs w:val="20"/>
        </w:rPr>
        <w:t>analytical performance</w:t>
      </w:r>
      <w:r w:rsidR="0005166D" w:rsidRPr="0005166D">
        <w:rPr>
          <w:rFonts w:ascii="Arial" w:eastAsia="Arial" w:hAnsi="Arial" w:cs="Arial"/>
          <w:sz w:val="20"/>
          <w:szCs w:val="20"/>
        </w:rPr>
        <w:t xml:space="preserve"> of the IVD </w:t>
      </w:r>
      <w:r w:rsidR="002B3BF7" w:rsidRPr="002B3BF7">
        <w:rPr>
          <w:rFonts w:ascii="Arial" w:eastAsia="Arial" w:hAnsi="Arial" w:cs="Arial"/>
          <w:sz w:val="20"/>
          <w:szCs w:val="20"/>
        </w:rPr>
        <w:t xml:space="preserve">used in generating the pivotal data </w:t>
      </w:r>
      <w:r w:rsidR="002B3BF7">
        <w:rPr>
          <w:rFonts w:ascii="Arial" w:eastAsia="Arial" w:hAnsi="Arial" w:cs="Arial"/>
          <w:sz w:val="20"/>
          <w:szCs w:val="20"/>
        </w:rPr>
        <w:t xml:space="preserve">(the </w:t>
      </w:r>
      <w:r w:rsidR="002B3BF7" w:rsidRPr="002B3BF7">
        <w:rPr>
          <w:rFonts w:ascii="Arial" w:eastAsia="Arial" w:hAnsi="Arial" w:cs="Arial"/>
          <w:sz w:val="20"/>
          <w:szCs w:val="20"/>
        </w:rPr>
        <w:t xml:space="preserve">clinical trial </w:t>
      </w:r>
      <w:r w:rsidR="005A3E29">
        <w:rPr>
          <w:rFonts w:ascii="Arial" w:eastAsia="Arial" w:hAnsi="Arial" w:cs="Arial"/>
          <w:sz w:val="20"/>
          <w:szCs w:val="20"/>
        </w:rPr>
        <w:t>assay</w:t>
      </w:r>
      <w:r w:rsidR="002B3BF7">
        <w:rPr>
          <w:rFonts w:ascii="Arial" w:eastAsia="Arial" w:hAnsi="Arial" w:cs="Arial"/>
          <w:sz w:val="20"/>
          <w:szCs w:val="20"/>
        </w:rPr>
        <w:t>)</w:t>
      </w:r>
    </w:p>
    <w:p w14:paraId="1DBA1422" w14:textId="03F7E9AC" w:rsidR="00010748" w:rsidRPr="0005166D" w:rsidDel="006B7D8D" w:rsidRDefault="1635377C" w:rsidP="00A70BFC">
      <w:pPr>
        <w:pStyle w:val="ListParagraph"/>
        <w:numPr>
          <w:ilvl w:val="0"/>
          <w:numId w:val="5"/>
        </w:numPr>
        <w:spacing w:after="240" w:line="259" w:lineRule="auto"/>
        <w:ind w:right="0"/>
        <w:rPr>
          <w:rFonts w:ascii="Arial" w:hAnsi="Arial" w:cs="Arial"/>
          <w:sz w:val="20"/>
          <w:szCs w:val="20"/>
        </w:rPr>
      </w:pPr>
      <w:r w:rsidRPr="0005166D">
        <w:rPr>
          <w:rFonts w:ascii="Arial" w:eastAsia="Arial" w:hAnsi="Arial" w:cs="Arial"/>
          <w:sz w:val="20"/>
          <w:szCs w:val="20"/>
        </w:rPr>
        <w:t xml:space="preserve">A companion testing plan </w:t>
      </w:r>
    </w:p>
    <w:p w14:paraId="4EEFAD5A" w14:textId="0EC0F39B" w:rsidR="009F7D6C" w:rsidRDefault="00A9123C" w:rsidP="009F7D6C">
      <w:pPr>
        <w:spacing w:after="240"/>
      </w:pPr>
      <w:r w:rsidRPr="415C6BA6">
        <w:rPr>
          <w:rFonts w:cs="Arial"/>
        </w:rPr>
        <w:t xml:space="preserve">During review of a new indication that requires </w:t>
      </w:r>
      <w:proofErr w:type="spellStart"/>
      <w:r w:rsidRPr="415C6BA6">
        <w:rPr>
          <w:rFonts w:cs="Arial"/>
        </w:rPr>
        <w:t>CDx</w:t>
      </w:r>
      <w:proofErr w:type="spellEnd"/>
      <w:r w:rsidRPr="415C6BA6">
        <w:rPr>
          <w:rFonts w:cs="Arial"/>
        </w:rPr>
        <w:t xml:space="preserve"> testing,</w:t>
      </w:r>
      <w:r w:rsidR="005A3E29" w:rsidRPr="415C6BA6">
        <w:rPr>
          <w:rFonts w:cs="Arial"/>
        </w:rPr>
        <w:t xml:space="preserve"> the</w:t>
      </w:r>
      <w:r w:rsidRPr="415C6BA6">
        <w:rPr>
          <w:rFonts w:cs="Arial"/>
        </w:rPr>
        <w:t xml:space="preserve"> TGA will perform a component evaluation of the clinical trial </w:t>
      </w:r>
      <w:r w:rsidR="005A3E29" w:rsidRPr="415C6BA6">
        <w:rPr>
          <w:rFonts w:cs="Arial"/>
        </w:rPr>
        <w:t>assay</w:t>
      </w:r>
      <w:r w:rsidRPr="415C6BA6">
        <w:rPr>
          <w:rFonts w:cs="Arial"/>
        </w:rPr>
        <w:t xml:space="preserve">. Actual testing in real clinical usage may not be identical to </w:t>
      </w:r>
      <w:r w:rsidR="005A3E29" w:rsidRPr="415C6BA6">
        <w:rPr>
          <w:rFonts w:cs="Arial"/>
        </w:rPr>
        <w:t xml:space="preserve">the </w:t>
      </w:r>
      <w:r w:rsidRPr="415C6BA6">
        <w:rPr>
          <w:rFonts w:cs="Arial"/>
        </w:rPr>
        <w:t xml:space="preserve">clinical trial testing, so the TGA </w:t>
      </w:r>
      <w:proofErr w:type="spellStart"/>
      <w:r w:rsidRPr="415C6BA6">
        <w:rPr>
          <w:rFonts w:cs="Arial"/>
        </w:rPr>
        <w:t>CDx</w:t>
      </w:r>
      <w:proofErr w:type="spellEnd"/>
      <w:r w:rsidRPr="415C6BA6">
        <w:rPr>
          <w:rFonts w:cs="Arial"/>
        </w:rPr>
        <w:t xml:space="preserve"> framework focusses on the ‘companionship’ between an indication for use of a particular medicine or biological and the core characteristics of the clinical trial testing using the clinical trial </w:t>
      </w:r>
      <w:r w:rsidR="005A3E29" w:rsidRPr="415C6BA6">
        <w:rPr>
          <w:rFonts w:cs="Arial"/>
        </w:rPr>
        <w:t>assay</w:t>
      </w:r>
      <w:r w:rsidRPr="415C6BA6">
        <w:rPr>
          <w:rFonts w:cs="Arial"/>
        </w:rPr>
        <w:t xml:space="preserve">. The core characteristics of the clinical trial testing are those required for it to adequately guide safe and effective use of the medicine or biological. Subsequent IVDs seeking registration as a </w:t>
      </w:r>
      <w:proofErr w:type="spellStart"/>
      <w:r w:rsidRPr="415C6BA6">
        <w:rPr>
          <w:rFonts w:cs="Arial"/>
        </w:rPr>
        <w:t>CDx</w:t>
      </w:r>
      <w:proofErr w:type="spellEnd"/>
      <w:r w:rsidRPr="415C6BA6">
        <w:rPr>
          <w:rFonts w:cs="Arial"/>
        </w:rPr>
        <w:t xml:space="preserve"> for the same indication </w:t>
      </w:r>
      <w:r w:rsidR="00037CFD">
        <w:rPr>
          <w:rFonts w:cs="Arial"/>
        </w:rPr>
        <w:t xml:space="preserve">(seeking to be a </w:t>
      </w:r>
      <w:r w:rsidR="00E0329B">
        <w:rPr>
          <w:rFonts w:cs="Arial"/>
        </w:rPr>
        <w:t>subsequent</w:t>
      </w:r>
      <w:r w:rsidR="00037CFD">
        <w:rPr>
          <w:rFonts w:cs="Arial"/>
        </w:rPr>
        <w:t xml:space="preserve"> </w:t>
      </w:r>
      <w:proofErr w:type="spellStart"/>
      <w:r w:rsidR="00037CFD">
        <w:rPr>
          <w:rFonts w:cs="Arial"/>
        </w:rPr>
        <w:t>CDx</w:t>
      </w:r>
      <w:proofErr w:type="spellEnd"/>
      <w:r w:rsidR="00037CFD">
        <w:rPr>
          <w:rFonts w:cs="Arial"/>
        </w:rPr>
        <w:t xml:space="preserve">) </w:t>
      </w:r>
      <w:r w:rsidRPr="415C6BA6">
        <w:rPr>
          <w:rFonts w:cs="Arial"/>
        </w:rPr>
        <w:t>would need to match these core characteristics.</w:t>
      </w:r>
      <w:r w:rsidR="009F7D6C">
        <w:t xml:space="preserve"> </w:t>
      </w:r>
      <w:r>
        <w:t xml:space="preserve">TGA will also review the medicine or biological sponsor’s companion testing plan. </w:t>
      </w:r>
      <w:bookmarkStart w:id="34" w:name="_Companion_testing_plan"/>
      <w:bookmarkEnd w:id="34"/>
    </w:p>
    <w:p w14:paraId="24304C9C" w14:textId="1CC865A2" w:rsidR="002B3BF7" w:rsidRPr="00F21B00" w:rsidRDefault="002B3BF7" w:rsidP="009F7D6C">
      <w:pPr>
        <w:pStyle w:val="Heading3"/>
        <w:rPr>
          <w:rFonts w:eastAsia="Arial"/>
        </w:rPr>
      </w:pPr>
      <w:bookmarkStart w:id="35" w:name="_Toc158650263"/>
      <w:r w:rsidRPr="415C6BA6">
        <w:rPr>
          <w:rFonts w:eastAsia="Arial"/>
        </w:rPr>
        <w:t>Companion testing plan</w:t>
      </w:r>
      <w:bookmarkEnd w:id="35"/>
    </w:p>
    <w:p w14:paraId="737B70B9" w14:textId="4023FFA1" w:rsidR="00626144" w:rsidRPr="00883BEC" w:rsidRDefault="00883BEC" w:rsidP="00A70BFC">
      <w:pPr>
        <w:spacing w:after="240"/>
        <w:rPr>
          <w:rFonts w:eastAsia="Arial" w:cs="Arial"/>
        </w:rPr>
      </w:pPr>
      <w:r w:rsidRPr="00883BEC">
        <w:rPr>
          <w:rFonts w:cs="Arial"/>
        </w:rPr>
        <w:t>A companion testing plan is information provided by the sponsor of a medicine or biological product, relating to an indication that requires companion testing. The purpose of the plan is to provide reassurance that</w:t>
      </w:r>
      <w:r w:rsidR="00322FB5">
        <w:rPr>
          <w:rFonts w:cs="Arial"/>
        </w:rPr>
        <w:t xml:space="preserve"> there is access to at least one adequate IVD for companion testing and ensure the Australian patients can </w:t>
      </w:r>
      <w:r w:rsidR="0050082A">
        <w:rPr>
          <w:rFonts w:cs="Arial"/>
        </w:rPr>
        <w:t>be</w:t>
      </w:r>
      <w:r w:rsidR="00322FB5">
        <w:rPr>
          <w:rFonts w:cs="Arial"/>
        </w:rPr>
        <w:t xml:space="preserve"> treated for that indication safely and effectively. </w:t>
      </w:r>
      <w:r w:rsidR="00F77A6C" w:rsidRPr="00883BEC">
        <w:rPr>
          <w:rFonts w:eastAsia="Arial" w:cs="Arial"/>
        </w:rPr>
        <w:t xml:space="preserve">All </w:t>
      </w:r>
      <w:r w:rsidR="002B3BF7" w:rsidRPr="00883BEC">
        <w:rPr>
          <w:rFonts w:eastAsia="Arial" w:cs="Arial"/>
        </w:rPr>
        <w:t xml:space="preserve">applications for registration of a new medicine or biological indication that require </w:t>
      </w:r>
      <w:proofErr w:type="spellStart"/>
      <w:r w:rsidR="002B3BF7" w:rsidRPr="00883BEC">
        <w:rPr>
          <w:rFonts w:eastAsia="Arial" w:cs="Arial"/>
        </w:rPr>
        <w:t>CDx</w:t>
      </w:r>
      <w:proofErr w:type="spellEnd"/>
      <w:r w:rsidR="002B3BF7" w:rsidRPr="00883BEC">
        <w:rPr>
          <w:rFonts w:eastAsia="Arial" w:cs="Arial"/>
        </w:rPr>
        <w:t xml:space="preserve"> testing must include a companion testing plan.</w:t>
      </w:r>
      <w:r w:rsidR="00626144" w:rsidRPr="00883BEC">
        <w:rPr>
          <w:rFonts w:eastAsia="Arial" w:cs="Arial"/>
        </w:rPr>
        <w:t xml:space="preserve"> </w:t>
      </w:r>
    </w:p>
    <w:p w14:paraId="2E602AF6" w14:textId="34485523" w:rsidR="00626144" w:rsidRPr="00883BEC" w:rsidRDefault="00626144" w:rsidP="00626144">
      <w:pPr>
        <w:pStyle w:val="NoSpacing"/>
        <w:rPr>
          <w:rFonts w:ascii="Arial" w:hAnsi="Arial" w:cs="Arial"/>
        </w:rPr>
      </w:pPr>
      <w:r w:rsidRPr="00883BEC">
        <w:rPr>
          <w:rFonts w:ascii="Arial" w:hAnsi="Arial" w:cs="Arial"/>
        </w:rPr>
        <w:t xml:space="preserve">The plan only needs to identify one IVD that </w:t>
      </w:r>
      <w:r w:rsidR="002B371D">
        <w:rPr>
          <w:rFonts w:ascii="Arial" w:hAnsi="Arial" w:cs="Arial"/>
        </w:rPr>
        <w:t xml:space="preserve">the </w:t>
      </w:r>
      <w:r w:rsidR="07B1E0BD" w:rsidRPr="61C17192">
        <w:rPr>
          <w:rFonts w:ascii="Arial" w:hAnsi="Arial" w:cs="Arial"/>
        </w:rPr>
        <w:t>TGA considers</w:t>
      </w:r>
      <w:r w:rsidRPr="00883BEC">
        <w:rPr>
          <w:rFonts w:ascii="Arial" w:hAnsi="Arial" w:cs="Arial"/>
        </w:rPr>
        <w:t xml:space="preserve"> adequate</w:t>
      </w:r>
      <w:r w:rsidRPr="61C17192">
        <w:rPr>
          <w:rFonts w:ascii="Arial" w:hAnsi="Arial" w:cs="Arial"/>
        </w:rPr>
        <w:t>.</w:t>
      </w:r>
      <w:r w:rsidRPr="00883BEC">
        <w:rPr>
          <w:rFonts w:ascii="Arial" w:hAnsi="Arial" w:cs="Arial"/>
        </w:rPr>
        <w:t xml:space="preserve"> The companion testing plan is not meant to be a comprehensive description of all possible companion tests that are available in Australia at </w:t>
      </w:r>
      <w:r w:rsidR="002B371D">
        <w:rPr>
          <w:rFonts w:ascii="Arial" w:hAnsi="Arial" w:cs="Arial"/>
        </w:rPr>
        <w:t xml:space="preserve">the </w:t>
      </w:r>
      <w:r w:rsidRPr="00883BEC">
        <w:rPr>
          <w:rFonts w:ascii="Arial" w:hAnsi="Arial" w:cs="Arial"/>
        </w:rPr>
        <w:t>time of medicine indication registration</w:t>
      </w:r>
      <w:r w:rsidR="00821B1D" w:rsidRPr="00883BEC">
        <w:rPr>
          <w:rFonts w:ascii="Arial" w:hAnsi="Arial" w:cs="Arial"/>
        </w:rPr>
        <w:t xml:space="preserve"> (</w:t>
      </w:r>
      <w:r w:rsidRPr="00883BEC">
        <w:rPr>
          <w:rFonts w:ascii="Arial" w:hAnsi="Arial" w:cs="Arial"/>
        </w:rPr>
        <w:t>or over subsequent time</w:t>
      </w:r>
      <w:r w:rsidR="00821B1D" w:rsidRPr="00883BEC">
        <w:rPr>
          <w:rFonts w:ascii="Arial" w:hAnsi="Arial" w:cs="Arial"/>
        </w:rPr>
        <w:t>)</w:t>
      </w:r>
      <w:r w:rsidRPr="00883BEC">
        <w:rPr>
          <w:rFonts w:ascii="Arial" w:hAnsi="Arial" w:cs="Arial"/>
        </w:rPr>
        <w:t>.</w:t>
      </w:r>
    </w:p>
    <w:p w14:paraId="3A5CFC81" w14:textId="06A6F881" w:rsidR="00626144" w:rsidRDefault="00626144" w:rsidP="00626144">
      <w:pPr>
        <w:pStyle w:val="NoSpacing"/>
        <w:rPr>
          <w:rFonts w:ascii="Arial" w:hAnsi="Arial" w:cs="Arial"/>
        </w:rPr>
      </w:pPr>
    </w:p>
    <w:p w14:paraId="124F8638" w14:textId="1BDC2D9B" w:rsidR="0038315D" w:rsidRDefault="0038315D" w:rsidP="00923E07">
      <w:pPr>
        <w:rPr>
          <w:rFonts w:cs="Arial"/>
        </w:rPr>
      </w:pPr>
      <w:r w:rsidRPr="61C17192">
        <w:rPr>
          <w:rFonts w:cs="Arial"/>
        </w:rPr>
        <w:t xml:space="preserve">If the </w:t>
      </w:r>
      <w:r w:rsidR="00C32BEB">
        <w:rPr>
          <w:rFonts w:cs="Arial"/>
        </w:rPr>
        <w:t xml:space="preserve">medicine </w:t>
      </w:r>
      <w:r w:rsidRPr="61C17192">
        <w:rPr>
          <w:rFonts w:cs="Arial"/>
        </w:rPr>
        <w:t xml:space="preserve">sponsor is aware of a concurrent application for inclusion of a corresponding </w:t>
      </w:r>
      <w:proofErr w:type="spellStart"/>
      <w:r w:rsidRPr="61C17192">
        <w:rPr>
          <w:rFonts w:cs="Arial"/>
        </w:rPr>
        <w:t>CDx</w:t>
      </w:r>
      <w:proofErr w:type="spellEnd"/>
      <w:r w:rsidRPr="61C17192">
        <w:rPr>
          <w:rFonts w:cs="Arial"/>
        </w:rPr>
        <w:t xml:space="preserve"> in the ARTG (or notification of an in-house </w:t>
      </w:r>
      <w:proofErr w:type="spellStart"/>
      <w:r w:rsidRPr="61C17192">
        <w:rPr>
          <w:rFonts w:cs="Arial"/>
        </w:rPr>
        <w:t>CDx</w:t>
      </w:r>
      <w:proofErr w:type="spellEnd"/>
      <w:r w:rsidRPr="61C17192">
        <w:rPr>
          <w:rFonts w:cs="Arial"/>
        </w:rPr>
        <w:t xml:space="preserve"> IVD), the companion testing plan can simply consist of a cross-reference to the relevant details. </w:t>
      </w:r>
      <w:r w:rsidR="00DE34EC" w:rsidRPr="00DE34EC">
        <w:rPr>
          <w:rFonts w:cs="Arial"/>
        </w:rPr>
        <w:t xml:space="preserve">Where a medicine's sponsor expects the testing to be conducted by an in-house </w:t>
      </w:r>
      <w:proofErr w:type="spellStart"/>
      <w:r w:rsidR="00DE34EC" w:rsidRPr="00DE34EC">
        <w:rPr>
          <w:rFonts w:cs="Arial"/>
        </w:rPr>
        <w:t>CDx</w:t>
      </w:r>
      <w:proofErr w:type="spellEnd"/>
      <w:r w:rsidR="00DE34EC" w:rsidRPr="00DE34EC">
        <w:rPr>
          <w:rFonts w:cs="Arial"/>
        </w:rPr>
        <w:t xml:space="preserve"> IVD, the companion testing plan could simply state this and provide information such as the name of the laboratory</w:t>
      </w:r>
      <w:r w:rsidR="002B371D">
        <w:rPr>
          <w:rFonts w:cs="Arial"/>
        </w:rPr>
        <w:t xml:space="preserve"> or </w:t>
      </w:r>
      <w:r w:rsidR="00DE34EC" w:rsidRPr="00DE34EC">
        <w:rPr>
          <w:rFonts w:cs="Arial"/>
        </w:rPr>
        <w:t xml:space="preserve">laboratory network conducting the testing, the site </w:t>
      </w:r>
      <w:proofErr w:type="gramStart"/>
      <w:r w:rsidR="00DE34EC" w:rsidRPr="00DE34EC">
        <w:rPr>
          <w:rFonts w:cs="Arial"/>
        </w:rPr>
        <w:t>addresses</w:t>
      </w:r>
      <w:proofErr w:type="gramEnd"/>
      <w:r w:rsidR="00DE34EC" w:rsidRPr="00DE34EC">
        <w:rPr>
          <w:rFonts w:cs="Arial"/>
        </w:rPr>
        <w:t xml:space="preserve"> and the NATA accreditation number (if known).</w:t>
      </w:r>
      <w:r w:rsidR="00DE34EC">
        <w:rPr>
          <w:rFonts w:cs="Arial"/>
        </w:rPr>
        <w:t xml:space="preserve"> </w:t>
      </w:r>
    </w:p>
    <w:p w14:paraId="6CA1279F" w14:textId="515B06B1" w:rsidR="1283AE75" w:rsidRDefault="1283AE75" w:rsidP="61C17192">
      <w:pPr>
        <w:rPr>
          <w:rFonts w:cs="Arial"/>
        </w:rPr>
      </w:pPr>
      <w:r w:rsidRPr="61C17192">
        <w:rPr>
          <w:rFonts w:cs="Arial"/>
        </w:rPr>
        <w:t xml:space="preserve">The </w:t>
      </w:r>
      <w:r w:rsidRPr="61C17192">
        <w:rPr>
          <w:rFonts w:eastAsia="Arial" w:cs="Arial"/>
        </w:rPr>
        <w:t xml:space="preserve">companion testing plan </w:t>
      </w:r>
      <w:r w:rsidRPr="61C17192">
        <w:rPr>
          <w:rFonts w:cs="Arial"/>
        </w:rPr>
        <w:t xml:space="preserve">provides a mechanism for </w:t>
      </w:r>
      <w:r w:rsidR="002B371D">
        <w:rPr>
          <w:rFonts w:cs="Arial"/>
        </w:rPr>
        <w:t xml:space="preserve">the </w:t>
      </w:r>
      <w:r w:rsidRPr="61C17192">
        <w:rPr>
          <w:rFonts w:cs="Arial"/>
        </w:rPr>
        <w:t>TGA to evaluate the performance and validity of IVDs intended for companion testing, even w</w:t>
      </w:r>
      <w:r w:rsidR="5D718E4C" w:rsidRPr="61C17192">
        <w:rPr>
          <w:rFonts w:cs="Arial"/>
        </w:rPr>
        <w:t xml:space="preserve">hen </w:t>
      </w:r>
      <w:r w:rsidR="014B4A59" w:rsidRPr="61C17192">
        <w:rPr>
          <w:rFonts w:cs="Arial"/>
        </w:rPr>
        <w:t xml:space="preserve">there </w:t>
      </w:r>
      <w:r w:rsidR="0988BF11" w:rsidRPr="61C17192">
        <w:rPr>
          <w:rFonts w:cs="Arial"/>
        </w:rPr>
        <w:t xml:space="preserve">is </w:t>
      </w:r>
      <w:r w:rsidR="61C17192" w:rsidRPr="61C17192">
        <w:rPr>
          <w:rFonts w:eastAsia="Arial" w:cs="Arial"/>
        </w:rPr>
        <w:t xml:space="preserve">no concurrent application for inclusion of a </w:t>
      </w:r>
      <w:proofErr w:type="spellStart"/>
      <w:r w:rsidR="61C17192" w:rsidRPr="61C17192">
        <w:rPr>
          <w:rFonts w:eastAsia="Arial" w:cs="Arial"/>
        </w:rPr>
        <w:t>CDx</w:t>
      </w:r>
      <w:proofErr w:type="spellEnd"/>
      <w:r w:rsidR="61C17192" w:rsidRPr="61C17192">
        <w:rPr>
          <w:rFonts w:eastAsia="Arial" w:cs="Arial"/>
        </w:rPr>
        <w:t xml:space="preserve"> in the ARTG (or notification of an in-house </w:t>
      </w:r>
      <w:proofErr w:type="spellStart"/>
      <w:r w:rsidR="61C17192" w:rsidRPr="61C17192">
        <w:rPr>
          <w:rFonts w:eastAsia="Arial" w:cs="Arial"/>
        </w:rPr>
        <w:t>CDx</w:t>
      </w:r>
      <w:proofErr w:type="spellEnd"/>
      <w:r w:rsidR="61C17192" w:rsidRPr="61C17192">
        <w:rPr>
          <w:rFonts w:eastAsia="Arial" w:cs="Arial"/>
        </w:rPr>
        <w:t xml:space="preserve"> IVD)</w:t>
      </w:r>
      <w:r w:rsidR="4BC33128" w:rsidRPr="61C17192">
        <w:rPr>
          <w:rFonts w:cs="Arial"/>
        </w:rPr>
        <w:t>.</w:t>
      </w:r>
      <w:r w:rsidR="61C17192" w:rsidRPr="61C17192">
        <w:rPr>
          <w:rFonts w:eastAsia="Arial" w:cs="Arial"/>
        </w:rPr>
        <w:t xml:space="preserve"> </w:t>
      </w:r>
      <w:r w:rsidR="1795B3DB" w:rsidRPr="61C17192">
        <w:rPr>
          <w:rFonts w:cs="Arial"/>
        </w:rPr>
        <w:t xml:space="preserve">This </w:t>
      </w:r>
      <w:r w:rsidR="6027C3E9" w:rsidRPr="61C17192">
        <w:rPr>
          <w:rFonts w:cs="Arial"/>
        </w:rPr>
        <w:t xml:space="preserve">approach </w:t>
      </w:r>
      <w:r w:rsidR="61C17192" w:rsidRPr="61C17192">
        <w:rPr>
          <w:rFonts w:cs="Arial"/>
        </w:rPr>
        <w:t>recogni</w:t>
      </w:r>
      <w:r w:rsidR="002B371D">
        <w:rPr>
          <w:rFonts w:cs="Arial"/>
        </w:rPr>
        <w:t>ses</w:t>
      </w:r>
      <w:r w:rsidR="61C17192" w:rsidRPr="61C17192">
        <w:rPr>
          <w:rFonts w:cs="Arial"/>
        </w:rPr>
        <w:t xml:space="preserve"> that there may be barriers to bringing a </w:t>
      </w:r>
      <w:proofErr w:type="spellStart"/>
      <w:r w:rsidR="61C17192" w:rsidRPr="61C17192">
        <w:rPr>
          <w:rFonts w:cs="Arial"/>
        </w:rPr>
        <w:t>CDx</w:t>
      </w:r>
      <w:proofErr w:type="spellEnd"/>
      <w:r w:rsidR="61C17192" w:rsidRPr="61C17192">
        <w:rPr>
          <w:rFonts w:cs="Arial"/>
        </w:rPr>
        <w:t xml:space="preserve"> to the Australian market for local supply</w:t>
      </w:r>
      <w:r w:rsidR="748C56AA" w:rsidRPr="61C17192">
        <w:rPr>
          <w:rFonts w:cs="Arial"/>
        </w:rPr>
        <w:t xml:space="preserve">, and </w:t>
      </w:r>
      <w:r w:rsidR="43BF0482" w:rsidRPr="61C17192">
        <w:rPr>
          <w:rFonts w:cs="Arial"/>
        </w:rPr>
        <w:t xml:space="preserve">Australian samples </w:t>
      </w:r>
      <w:r w:rsidR="57193102" w:rsidRPr="61C17192">
        <w:rPr>
          <w:rFonts w:cs="Arial"/>
        </w:rPr>
        <w:t>may have to be</w:t>
      </w:r>
      <w:r w:rsidR="43BF0482" w:rsidRPr="61C17192">
        <w:rPr>
          <w:rFonts w:cs="Arial"/>
        </w:rPr>
        <w:t xml:space="preserve"> sent</w:t>
      </w:r>
      <w:r w:rsidR="203E41DA" w:rsidRPr="61C17192">
        <w:rPr>
          <w:rFonts w:cs="Arial"/>
        </w:rPr>
        <w:t xml:space="preserve"> for testing</w:t>
      </w:r>
      <w:r w:rsidR="43BF0482" w:rsidRPr="61C17192">
        <w:rPr>
          <w:rFonts w:cs="Arial"/>
        </w:rPr>
        <w:t xml:space="preserve"> internationally</w:t>
      </w:r>
      <w:r w:rsidR="6764C27E" w:rsidRPr="61C17192">
        <w:rPr>
          <w:rFonts w:cs="Arial"/>
        </w:rPr>
        <w:t>.</w:t>
      </w:r>
      <w:r w:rsidR="0C45D37F" w:rsidRPr="61C17192">
        <w:rPr>
          <w:rFonts w:cs="Arial"/>
        </w:rPr>
        <w:t xml:space="preserve"> Whil</w:t>
      </w:r>
      <w:r w:rsidR="002B371D">
        <w:rPr>
          <w:rFonts w:cs="Arial"/>
        </w:rPr>
        <w:t>e</w:t>
      </w:r>
      <w:r w:rsidR="0C45D37F" w:rsidRPr="61C17192">
        <w:rPr>
          <w:rFonts w:cs="Arial"/>
        </w:rPr>
        <w:t xml:space="preserve"> this is not preferred, the companion testing plan provides a mechanism for </w:t>
      </w:r>
      <w:r w:rsidR="002B371D">
        <w:rPr>
          <w:rFonts w:cs="Arial"/>
        </w:rPr>
        <w:t xml:space="preserve">the </w:t>
      </w:r>
      <w:r w:rsidR="0C45D37F" w:rsidRPr="61C17192">
        <w:rPr>
          <w:rFonts w:cs="Arial"/>
        </w:rPr>
        <w:t xml:space="preserve">TGA to </w:t>
      </w:r>
      <w:r w:rsidR="7D24F089" w:rsidRPr="61C17192">
        <w:rPr>
          <w:rFonts w:cs="Arial"/>
        </w:rPr>
        <w:t xml:space="preserve">appraise </w:t>
      </w:r>
      <w:r w:rsidR="0C45D37F" w:rsidRPr="61C17192">
        <w:rPr>
          <w:rFonts w:cs="Arial"/>
        </w:rPr>
        <w:t xml:space="preserve">such testing and </w:t>
      </w:r>
      <w:r w:rsidR="2CD8DE92" w:rsidRPr="61C17192">
        <w:rPr>
          <w:rFonts w:cs="Arial"/>
        </w:rPr>
        <w:t xml:space="preserve">for </w:t>
      </w:r>
      <w:r w:rsidR="0C45D37F" w:rsidRPr="61C17192">
        <w:rPr>
          <w:rFonts w:cs="Arial"/>
        </w:rPr>
        <w:t xml:space="preserve">a medicine or biological sponsor to take responsibility for </w:t>
      </w:r>
      <w:r w:rsidR="07F2F95B" w:rsidRPr="61C17192">
        <w:rPr>
          <w:rFonts w:cs="Arial"/>
        </w:rPr>
        <w:t>it</w:t>
      </w:r>
      <w:r w:rsidR="0C45D37F" w:rsidRPr="61C17192">
        <w:rPr>
          <w:rFonts w:cs="Arial"/>
        </w:rPr>
        <w:t>,</w:t>
      </w:r>
      <w:r w:rsidR="005E4032">
        <w:rPr>
          <w:rFonts w:cs="Arial"/>
        </w:rPr>
        <w:t xml:space="preserve"> until the </w:t>
      </w:r>
      <w:r w:rsidR="50B29A9E" w:rsidRPr="61C17192">
        <w:rPr>
          <w:rFonts w:cs="Arial"/>
        </w:rPr>
        <w:t>registration</w:t>
      </w:r>
      <w:r w:rsidR="002B371D">
        <w:rPr>
          <w:rFonts w:cs="Arial"/>
        </w:rPr>
        <w:t xml:space="preserve"> or </w:t>
      </w:r>
      <w:r w:rsidR="50B29A9E" w:rsidRPr="61C17192">
        <w:rPr>
          <w:rFonts w:cs="Arial"/>
        </w:rPr>
        <w:t xml:space="preserve">notification of a local testing option is </w:t>
      </w:r>
      <w:r w:rsidR="005E4032">
        <w:rPr>
          <w:rFonts w:cs="Arial"/>
        </w:rPr>
        <w:t>possible</w:t>
      </w:r>
      <w:r w:rsidR="50B29A9E" w:rsidRPr="61C17192">
        <w:rPr>
          <w:rFonts w:cs="Arial"/>
        </w:rPr>
        <w:t xml:space="preserve">. </w:t>
      </w:r>
    </w:p>
    <w:p w14:paraId="615F796B" w14:textId="77777777" w:rsidR="0038315D" w:rsidRPr="00883BEC" w:rsidRDefault="0038315D" w:rsidP="00923E07">
      <w:pPr>
        <w:pStyle w:val="NoSpacing"/>
        <w:rPr>
          <w:rFonts w:cs="Arial"/>
        </w:rPr>
      </w:pPr>
    </w:p>
    <w:tbl>
      <w:tblPr>
        <w:tblStyle w:val="TableGrid"/>
        <w:tblpPr w:leftFromText="180" w:rightFromText="180" w:vertAnchor="text" w:horzAnchor="margin" w:tblpY="101"/>
        <w:tblW w:w="0" w:type="auto"/>
        <w:tblLook w:val="04A0" w:firstRow="1" w:lastRow="0" w:firstColumn="1" w:lastColumn="0" w:noHBand="0" w:noVBand="1"/>
      </w:tblPr>
      <w:tblGrid>
        <w:gridCol w:w="9060"/>
      </w:tblGrid>
      <w:tr w:rsidR="006C19E7" w14:paraId="09B3A522" w14:textId="77777777" w:rsidTr="00923E07">
        <w:trPr>
          <w:trHeight w:val="841"/>
        </w:trPr>
        <w:tc>
          <w:tcPr>
            <w:tcW w:w="9060" w:type="dxa"/>
            <w:shd w:val="clear" w:color="auto" w:fill="DEEAF6" w:themeFill="accent5" w:themeFillTint="33"/>
          </w:tcPr>
          <w:p w14:paraId="7DE745A5" w14:textId="77777777" w:rsidR="001B7134" w:rsidRPr="00AA438F" w:rsidRDefault="001B7134" w:rsidP="001B7134">
            <w:pPr>
              <w:spacing w:after="240" w:line="276" w:lineRule="auto"/>
              <w:rPr>
                <w:rFonts w:cs="Arial"/>
                <w:b/>
                <w:bCs/>
                <w:sz w:val="20"/>
                <w:szCs w:val="20"/>
              </w:rPr>
            </w:pPr>
            <w:r w:rsidRPr="007D29E8">
              <w:rPr>
                <w:rFonts w:cs="Arial"/>
                <w:b/>
                <w:bCs/>
                <w:sz w:val="20"/>
                <w:szCs w:val="20"/>
              </w:rPr>
              <w:t>Please note:</w:t>
            </w:r>
          </w:p>
          <w:p w14:paraId="4EF78B9B" w14:textId="2C1CA059" w:rsidR="006C19E7" w:rsidRPr="00923E07" w:rsidRDefault="006C19E7" w:rsidP="00B73478">
            <w:pPr>
              <w:spacing w:after="240" w:line="276" w:lineRule="auto"/>
              <w:rPr>
                <w:rFonts w:cs="Arial"/>
                <w:sz w:val="20"/>
                <w:szCs w:val="20"/>
              </w:rPr>
            </w:pPr>
            <w:r w:rsidRPr="00C16304">
              <w:rPr>
                <w:rFonts w:cs="Arial"/>
                <w:sz w:val="20"/>
                <w:szCs w:val="20"/>
              </w:rPr>
              <w:t xml:space="preserve">Sending of samples to an appropriately accredited overseas testing facility is considered acceptable by the TGA </w:t>
            </w:r>
            <w:r w:rsidRPr="00923E07">
              <w:rPr>
                <w:rFonts w:cs="Arial"/>
                <w:b/>
                <w:bCs/>
                <w:sz w:val="20"/>
                <w:szCs w:val="20"/>
              </w:rPr>
              <w:t>only</w:t>
            </w:r>
            <w:r w:rsidRPr="00C16304">
              <w:rPr>
                <w:rFonts w:cs="Arial"/>
                <w:sz w:val="20"/>
                <w:szCs w:val="20"/>
              </w:rPr>
              <w:t xml:space="preserve"> if</w:t>
            </w:r>
            <w:r w:rsidR="00693B6E" w:rsidRPr="00C16304">
              <w:rPr>
                <w:rFonts w:cs="Arial"/>
                <w:sz w:val="20"/>
                <w:szCs w:val="20"/>
              </w:rPr>
              <w:t xml:space="preserve"> </w:t>
            </w:r>
            <w:r w:rsidR="7D6F0A47" w:rsidRPr="00C16304">
              <w:rPr>
                <w:rFonts w:cs="Arial"/>
                <w:sz w:val="20"/>
                <w:szCs w:val="20"/>
              </w:rPr>
              <w:t>development of</w:t>
            </w:r>
            <w:r w:rsidRPr="00C16304">
              <w:rPr>
                <w:rFonts w:cs="Arial"/>
                <w:sz w:val="20"/>
                <w:szCs w:val="20"/>
              </w:rPr>
              <w:t xml:space="preserve"> onshore testing with an ARTG</w:t>
            </w:r>
            <w:r w:rsidR="1521CD1F" w:rsidRPr="00C16304">
              <w:rPr>
                <w:rFonts w:cs="Arial"/>
                <w:sz w:val="20"/>
                <w:szCs w:val="20"/>
              </w:rPr>
              <w:t>-</w:t>
            </w:r>
            <w:r w:rsidRPr="00C16304">
              <w:rPr>
                <w:rFonts w:cs="Arial"/>
                <w:sz w:val="20"/>
                <w:szCs w:val="20"/>
              </w:rPr>
              <w:t xml:space="preserve">included or in-house </w:t>
            </w:r>
            <w:r w:rsidR="56925165" w:rsidRPr="00C16304">
              <w:rPr>
                <w:rFonts w:cs="Arial"/>
                <w:sz w:val="20"/>
                <w:szCs w:val="20"/>
              </w:rPr>
              <w:t xml:space="preserve">(notified) </w:t>
            </w:r>
            <w:proofErr w:type="spellStart"/>
            <w:r w:rsidRPr="00C16304">
              <w:rPr>
                <w:rFonts w:cs="Arial"/>
                <w:sz w:val="20"/>
                <w:szCs w:val="20"/>
              </w:rPr>
              <w:t>CDx</w:t>
            </w:r>
            <w:proofErr w:type="spellEnd"/>
            <w:r w:rsidRPr="00C16304">
              <w:rPr>
                <w:rFonts w:cs="Arial"/>
                <w:sz w:val="20"/>
                <w:szCs w:val="20"/>
              </w:rPr>
              <w:t xml:space="preserve"> test</w:t>
            </w:r>
            <w:r w:rsidR="1DCFD076" w:rsidRPr="00C16304">
              <w:rPr>
                <w:rFonts w:cs="Arial"/>
                <w:sz w:val="20"/>
                <w:szCs w:val="20"/>
              </w:rPr>
              <w:t xml:space="preserve"> is infeasible</w:t>
            </w:r>
            <w:r w:rsidR="2EB258DD" w:rsidRPr="00C16304">
              <w:rPr>
                <w:rFonts w:cs="Arial"/>
                <w:sz w:val="20"/>
                <w:szCs w:val="20"/>
              </w:rPr>
              <w:t xml:space="preserve"> or incomplete</w:t>
            </w:r>
            <w:r w:rsidRPr="00C16304">
              <w:rPr>
                <w:rFonts w:cs="Arial"/>
                <w:sz w:val="20"/>
                <w:szCs w:val="20"/>
              </w:rPr>
              <w:t>.</w:t>
            </w:r>
          </w:p>
        </w:tc>
      </w:tr>
    </w:tbl>
    <w:p w14:paraId="08796B62" w14:textId="77777777" w:rsidR="006C19E7" w:rsidRDefault="006C19E7" w:rsidP="000F1024">
      <w:pPr>
        <w:spacing w:after="240"/>
        <w:rPr>
          <w:rFonts w:cs="Arial"/>
        </w:rPr>
      </w:pPr>
    </w:p>
    <w:p w14:paraId="6BED62D8" w14:textId="016E888E" w:rsidR="000F1024" w:rsidRDefault="0038315D" w:rsidP="000F1024">
      <w:pPr>
        <w:spacing w:after="240"/>
        <w:rPr>
          <w:rFonts w:cs="Arial"/>
        </w:rPr>
      </w:pPr>
      <w:r w:rsidRPr="00883BEC">
        <w:rPr>
          <w:rFonts w:cs="Arial"/>
        </w:rPr>
        <w:t>The IVD identified in the companion testing plan could be</w:t>
      </w:r>
      <w:r w:rsidR="000F1024">
        <w:rPr>
          <w:rFonts w:cs="Arial"/>
        </w:rPr>
        <w:t>:</w:t>
      </w:r>
    </w:p>
    <w:p w14:paraId="52F446B9" w14:textId="61404D52" w:rsidR="000F1024" w:rsidRPr="00923E07" w:rsidRDefault="0038315D" w:rsidP="000F1024">
      <w:pPr>
        <w:pStyle w:val="ListParagraph"/>
        <w:numPr>
          <w:ilvl w:val="0"/>
          <w:numId w:val="44"/>
        </w:numPr>
        <w:spacing w:after="240"/>
        <w:rPr>
          <w:rFonts w:cs="Arial"/>
        </w:rPr>
      </w:pPr>
      <w:r w:rsidRPr="000F1024">
        <w:rPr>
          <w:rFonts w:ascii="Arial" w:hAnsi="Arial" w:cs="Arial"/>
          <w:sz w:val="20"/>
          <w:szCs w:val="20"/>
        </w:rPr>
        <w:t xml:space="preserve">the clinical trial assay, or </w:t>
      </w:r>
    </w:p>
    <w:p w14:paraId="0454A8CB" w14:textId="77777777" w:rsidR="000F1024" w:rsidRPr="00923E07" w:rsidRDefault="0038315D" w:rsidP="000F1024">
      <w:pPr>
        <w:pStyle w:val="ListParagraph"/>
        <w:numPr>
          <w:ilvl w:val="0"/>
          <w:numId w:val="44"/>
        </w:numPr>
        <w:spacing w:after="240"/>
        <w:rPr>
          <w:rFonts w:cs="Arial"/>
        </w:rPr>
      </w:pPr>
      <w:r w:rsidRPr="000F1024">
        <w:rPr>
          <w:rFonts w:ascii="Arial" w:hAnsi="Arial" w:cs="Arial"/>
          <w:sz w:val="20"/>
          <w:szCs w:val="20"/>
        </w:rPr>
        <w:t xml:space="preserve">a different IVD than the clinical trial assay (i.e., a ‘subsequent’ IVD). </w:t>
      </w:r>
    </w:p>
    <w:p w14:paraId="0DCC6B96" w14:textId="510C79E7" w:rsidR="000F1024" w:rsidRPr="000F1024" w:rsidRDefault="0038315D" w:rsidP="000F1024">
      <w:pPr>
        <w:spacing w:after="240"/>
        <w:rPr>
          <w:rFonts w:cs="Arial"/>
        </w:rPr>
      </w:pPr>
      <w:r w:rsidRPr="60843BA6">
        <w:rPr>
          <w:rFonts w:cs="Arial"/>
        </w:rPr>
        <w:lastRenderedPageBreak/>
        <w:t xml:space="preserve">If </w:t>
      </w:r>
      <w:r w:rsidR="000F1024" w:rsidRPr="60843BA6">
        <w:rPr>
          <w:rFonts w:cs="Arial"/>
        </w:rPr>
        <w:t xml:space="preserve">the IVD identified in the companion testing plan </w:t>
      </w:r>
      <w:r w:rsidRPr="60843BA6">
        <w:rPr>
          <w:rFonts w:cs="Arial"/>
        </w:rPr>
        <w:t xml:space="preserve">is the clinical trial assay, the </w:t>
      </w:r>
      <w:r w:rsidR="00FD1ABF" w:rsidRPr="60843BA6">
        <w:rPr>
          <w:rFonts w:cs="Arial"/>
        </w:rPr>
        <w:t>TGA will assess</w:t>
      </w:r>
      <w:r w:rsidR="00FD1ABF">
        <w:rPr>
          <w:rFonts w:cs="Arial"/>
        </w:rPr>
        <w:t xml:space="preserve"> the</w:t>
      </w:r>
      <w:r w:rsidR="00FD1ABF" w:rsidRPr="60843BA6">
        <w:rPr>
          <w:rFonts w:cs="Arial"/>
        </w:rPr>
        <w:t xml:space="preserve"> </w:t>
      </w:r>
      <w:r w:rsidRPr="60843BA6">
        <w:rPr>
          <w:rFonts w:cs="Arial"/>
        </w:rPr>
        <w:t xml:space="preserve">test performance </w:t>
      </w:r>
      <w:r w:rsidR="00FD1ABF">
        <w:rPr>
          <w:rFonts w:cs="Arial"/>
        </w:rPr>
        <w:t>during</w:t>
      </w:r>
      <w:r w:rsidRPr="60843BA6">
        <w:rPr>
          <w:rFonts w:cs="Arial"/>
        </w:rPr>
        <w:t xml:space="preserve"> the component evaluation of the clinical trial assay. </w:t>
      </w:r>
      <w:r w:rsidR="000F1024" w:rsidRPr="60843BA6">
        <w:rPr>
          <w:rFonts w:eastAsia="Arial" w:cs="Arial"/>
        </w:rPr>
        <w:t xml:space="preserve">If there is no concurrent application for inclusion of a </w:t>
      </w:r>
      <w:proofErr w:type="spellStart"/>
      <w:r w:rsidR="000F1024" w:rsidRPr="60843BA6">
        <w:rPr>
          <w:rFonts w:eastAsia="Arial" w:cs="Arial"/>
        </w:rPr>
        <w:t>CDx</w:t>
      </w:r>
      <w:proofErr w:type="spellEnd"/>
      <w:r w:rsidR="000F1024" w:rsidRPr="60843BA6">
        <w:rPr>
          <w:rFonts w:eastAsia="Arial" w:cs="Arial"/>
        </w:rPr>
        <w:t xml:space="preserve"> in the ARTG (or notification of an in-house </w:t>
      </w:r>
      <w:proofErr w:type="spellStart"/>
      <w:r w:rsidR="000F1024" w:rsidRPr="60843BA6">
        <w:rPr>
          <w:rFonts w:eastAsia="Arial" w:cs="Arial"/>
        </w:rPr>
        <w:t>CDx</w:t>
      </w:r>
      <w:proofErr w:type="spellEnd"/>
      <w:r w:rsidR="000F1024" w:rsidRPr="60843BA6">
        <w:rPr>
          <w:rFonts w:eastAsia="Arial" w:cs="Arial"/>
        </w:rPr>
        <w:t xml:space="preserve"> IVD), </w:t>
      </w:r>
      <w:r w:rsidR="000F1024" w:rsidRPr="60843BA6">
        <w:rPr>
          <w:rFonts w:cs="Arial"/>
        </w:rPr>
        <w:t xml:space="preserve">the companion testing plan should </w:t>
      </w:r>
      <w:r w:rsidR="66607181" w:rsidRPr="60843BA6">
        <w:rPr>
          <w:rFonts w:cs="Arial"/>
        </w:rPr>
        <w:t>contain</w:t>
      </w:r>
      <w:r w:rsidR="000F1024" w:rsidRPr="60843BA6">
        <w:rPr>
          <w:rFonts w:cs="Arial"/>
        </w:rPr>
        <w:t xml:space="preserve"> </w:t>
      </w:r>
      <w:r w:rsidR="000F1024" w:rsidRPr="60843BA6">
        <w:rPr>
          <w:rFonts w:eastAsia="Arial" w:cs="Arial"/>
        </w:rPr>
        <w:t>the details of how the clinical trial assay is expected to be made available to Australian patients on an ongoing basis, for example, by sending samples to an appropriately accredited overseas testing facility.</w:t>
      </w:r>
    </w:p>
    <w:p w14:paraId="1F7F410D" w14:textId="059F8CFB" w:rsidR="00010748" w:rsidRPr="0005166D" w:rsidDel="006B7D8D" w:rsidRDefault="000F1024" w:rsidP="000F1024">
      <w:pPr>
        <w:spacing w:after="240"/>
        <w:rPr>
          <w:rFonts w:cs="Arial"/>
        </w:rPr>
      </w:pPr>
      <w:r w:rsidRPr="000F1024">
        <w:rPr>
          <w:rFonts w:cs="Arial"/>
        </w:rPr>
        <w:t xml:space="preserve">If </w:t>
      </w:r>
      <w:r>
        <w:rPr>
          <w:rFonts w:cs="Arial"/>
        </w:rPr>
        <w:t>t</w:t>
      </w:r>
      <w:r w:rsidRPr="00883BEC">
        <w:rPr>
          <w:rFonts w:cs="Arial"/>
        </w:rPr>
        <w:t xml:space="preserve">he IVD identified in the companion testing plan </w:t>
      </w:r>
      <w:r w:rsidRPr="000F1024">
        <w:rPr>
          <w:rFonts w:cs="Arial"/>
        </w:rPr>
        <w:t xml:space="preserve">is </w:t>
      </w:r>
      <w:r w:rsidRPr="00883BEC">
        <w:rPr>
          <w:rFonts w:eastAsia="Arial" w:cs="Arial"/>
        </w:rPr>
        <w:t xml:space="preserve">a </w:t>
      </w:r>
      <w:r>
        <w:rPr>
          <w:rFonts w:eastAsia="Arial" w:cs="Arial"/>
        </w:rPr>
        <w:t>subsequent</w:t>
      </w:r>
      <w:r w:rsidRPr="00883BEC">
        <w:rPr>
          <w:rFonts w:eastAsia="Arial" w:cs="Arial"/>
        </w:rPr>
        <w:t xml:space="preserve"> IVD,</w:t>
      </w:r>
      <w:r>
        <w:rPr>
          <w:rFonts w:eastAsia="Arial" w:cs="Arial"/>
        </w:rPr>
        <w:t xml:space="preserve"> in addition to information about test availability and accreditation of destination laboratories,</w:t>
      </w:r>
      <w:r w:rsidRPr="00883BEC">
        <w:rPr>
          <w:rFonts w:eastAsia="Arial" w:cs="Arial"/>
        </w:rPr>
        <w:t xml:space="preserve"> additional evidence is required to establish </w:t>
      </w:r>
      <w:r>
        <w:rPr>
          <w:rFonts w:eastAsia="Arial" w:cs="Arial"/>
        </w:rPr>
        <w:t>the</w:t>
      </w:r>
      <w:r w:rsidRPr="00883BEC">
        <w:rPr>
          <w:rFonts w:eastAsia="Arial" w:cs="Arial"/>
        </w:rPr>
        <w:t xml:space="preserve"> performance and comparability </w:t>
      </w:r>
      <w:r>
        <w:rPr>
          <w:rFonts w:eastAsia="Arial" w:cs="Arial"/>
        </w:rPr>
        <w:t>of</w:t>
      </w:r>
      <w:r w:rsidRPr="00883BEC">
        <w:rPr>
          <w:rFonts w:eastAsia="Arial" w:cs="Arial"/>
        </w:rPr>
        <w:t xml:space="preserve"> the </w:t>
      </w:r>
      <w:r>
        <w:rPr>
          <w:rFonts w:eastAsia="Arial" w:cs="Arial"/>
        </w:rPr>
        <w:t xml:space="preserve">subsequent IVD to the </w:t>
      </w:r>
      <w:r w:rsidRPr="00883BEC">
        <w:rPr>
          <w:rFonts w:eastAsia="Arial" w:cs="Arial"/>
        </w:rPr>
        <w:t>clinical trial assay.</w:t>
      </w:r>
      <w:r>
        <w:rPr>
          <w:rFonts w:eastAsia="Arial" w:cs="Arial"/>
        </w:rPr>
        <w:t xml:space="preserve"> If there is no concurrent application for inclusion of a </w:t>
      </w:r>
      <w:proofErr w:type="spellStart"/>
      <w:r>
        <w:rPr>
          <w:rFonts w:eastAsia="Arial" w:cs="Arial"/>
        </w:rPr>
        <w:t>CDx</w:t>
      </w:r>
      <w:proofErr w:type="spellEnd"/>
      <w:r>
        <w:rPr>
          <w:rFonts w:eastAsia="Arial" w:cs="Arial"/>
        </w:rPr>
        <w:t xml:space="preserve"> in the ARTG (or notification of an in-house </w:t>
      </w:r>
      <w:proofErr w:type="spellStart"/>
      <w:r>
        <w:rPr>
          <w:rFonts w:eastAsia="Arial" w:cs="Arial"/>
        </w:rPr>
        <w:t>CDx</w:t>
      </w:r>
      <w:proofErr w:type="spellEnd"/>
      <w:r>
        <w:rPr>
          <w:rFonts w:eastAsia="Arial" w:cs="Arial"/>
        </w:rPr>
        <w:t xml:space="preserve"> IVD),</w:t>
      </w:r>
      <w:r w:rsidRPr="00883BEC">
        <w:rPr>
          <w:rFonts w:eastAsia="Arial" w:cs="Arial"/>
        </w:rPr>
        <w:t xml:space="preserve"> </w:t>
      </w:r>
      <w:r w:rsidR="00FD1ABF">
        <w:rPr>
          <w:rFonts w:eastAsia="Arial" w:cs="Arial"/>
        </w:rPr>
        <w:t xml:space="preserve">the </w:t>
      </w:r>
      <w:r>
        <w:rPr>
          <w:rFonts w:eastAsia="Arial" w:cs="Arial"/>
        </w:rPr>
        <w:t>TGA will require this evidence on performance and comparability to</w:t>
      </w:r>
      <w:r w:rsidRPr="00883BEC">
        <w:rPr>
          <w:rFonts w:eastAsia="Arial" w:cs="Arial"/>
        </w:rPr>
        <w:t xml:space="preserve"> be submitted by the medicine or biological </w:t>
      </w:r>
      <w:proofErr w:type="gramStart"/>
      <w:r w:rsidRPr="00883BEC">
        <w:rPr>
          <w:rFonts w:eastAsia="Arial" w:cs="Arial"/>
        </w:rPr>
        <w:t>sponsor</w:t>
      </w:r>
      <w:r>
        <w:rPr>
          <w:rFonts w:eastAsia="Arial" w:cs="Arial"/>
        </w:rPr>
        <w:t>;</w:t>
      </w:r>
      <w:proofErr w:type="gramEnd"/>
      <w:r w:rsidRPr="00883BEC">
        <w:rPr>
          <w:rFonts w:eastAsia="Arial" w:cs="Arial"/>
        </w:rPr>
        <w:t xml:space="preserve"> within the medicine application.</w:t>
      </w:r>
      <w:r>
        <w:rPr>
          <w:rFonts w:eastAsia="Arial" w:cs="Arial"/>
        </w:rPr>
        <w:t xml:space="preserve"> </w:t>
      </w:r>
      <w:r w:rsidR="2F0AE20D" w:rsidRPr="61C17192">
        <w:rPr>
          <w:rFonts w:eastAsia="Arial" w:cs="Arial"/>
        </w:rPr>
        <w:t xml:space="preserve">The evidence </w:t>
      </w:r>
      <w:r w:rsidR="78B26122" w:rsidRPr="61C17192">
        <w:rPr>
          <w:rFonts w:cs="Arial"/>
        </w:rPr>
        <w:t>should include:</w:t>
      </w:r>
    </w:p>
    <w:p w14:paraId="6B61A0A1" w14:textId="1765AC9F" w:rsidR="00010748" w:rsidRPr="0005166D" w:rsidDel="006B7D8D" w:rsidRDefault="5FF00602" w:rsidP="006853B0">
      <w:pPr>
        <w:pStyle w:val="ListParagraph"/>
        <w:numPr>
          <w:ilvl w:val="0"/>
          <w:numId w:val="5"/>
        </w:numPr>
        <w:spacing w:after="556" w:line="259" w:lineRule="auto"/>
        <w:ind w:right="0"/>
        <w:rPr>
          <w:rFonts w:ascii="Arial" w:eastAsia="Arial" w:hAnsi="Arial" w:cs="Arial"/>
          <w:color w:val="000000" w:themeColor="text1"/>
          <w:sz w:val="20"/>
          <w:szCs w:val="20"/>
        </w:rPr>
      </w:pPr>
      <w:r w:rsidRPr="0005166D">
        <w:rPr>
          <w:rFonts w:ascii="Arial" w:eastAsia="Arial" w:hAnsi="Arial" w:cs="Arial"/>
          <w:sz w:val="20"/>
          <w:szCs w:val="20"/>
        </w:rPr>
        <w:t>Device history</w:t>
      </w:r>
      <w:r w:rsidR="6E43898C" w:rsidRPr="0005166D">
        <w:rPr>
          <w:rFonts w:ascii="Arial" w:eastAsia="Arial" w:hAnsi="Arial" w:cs="Arial"/>
          <w:sz w:val="20"/>
          <w:szCs w:val="20"/>
        </w:rPr>
        <w:t>, including</w:t>
      </w:r>
      <w:r w:rsidR="746C5242" w:rsidRPr="0005166D">
        <w:rPr>
          <w:rFonts w:ascii="Arial" w:eastAsia="Arial" w:hAnsi="Arial" w:cs="Arial"/>
          <w:sz w:val="20"/>
          <w:szCs w:val="20"/>
        </w:rPr>
        <w:t xml:space="preserve"> any</w:t>
      </w:r>
      <w:r w:rsidR="6E43898C" w:rsidRPr="0005166D">
        <w:rPr>
          <w:rFonts w:ascii="Arial" w:eastAsia="Arial" w:hAnsi="Arial" w:cs="Arial"/>
          <w:sz w:val="20"/>
          <w:szCs w:val="20"/>
        </w:rPr>
        <w:t xml:space="preserve"> international regulatory approvals, </w:t>
      </w:r>
      <w:proofErr w:type="gramStart"/>
      <w:r w:rsidR="6E43898C" w:rsidRPr="0005166D">
        <w:rPr>
          <w:rFonts w:ascii="Arial" w:eastAsia="Arial" w:hAnsi="Arial" w:cs="Arial"/>
          <w:sz w:val="20"/>
          <w:szCs w:val="20"/>
        </w:rPr>
        <w:t>rejections</w:t>
      </w:r>
      <w:proofErr w:type="gramEnd"/>
      <w:r w:rsidR="6E43898C" w:rsidRPr="0005166D">
        <w:rPr>
          <w:rFonts w:ascii="Arial" w:eastAsia="Arial" w:hAnsi="Arial" w:cs="Arial"/>
          <w:sz w:val="20"/>
          <w:szCs w:val="20"/>
        </w:rPr>
        <w:t xml:space="preserve"> or </w:t>
      </w:r>
      <w:r w:rsidR="0005166D" w:rsidRPr="0005166D">
        <w:rPr>
          <w:rFonts w:ascii="Arial" w:eastAsia="Arial" w:hAnsi="Arial" w:cs="Arial"/>
          <w:sz w:val="20"/>
          <w:szCs w:val="20"/>
        </w:rPr>
        <w:t>withdrawals.</w:t>
      </w:r>
      <w:r w:rsidRPr="0005166D">
        <w:rPr>
          <w:rFonts w:ascii="Arial" w:eastAsia="Arial" w:hAnsi="Arial" w:cs="Arial"/>
          <w:sz w:val="20"/>
          <w:szCs w:val="20"/>
        </w:rPr>
        <w:t xml:space="preserve"> </w:t>
      </w:r>
    </w:p>
    <w:p w14:paraId="3BD8277A" w14:textId="5A4B0EB3" w:rsidR="00010748" w:rsidRPr="006853B0" w:rsidRDefault="06AEA26A" w:rsidP="0005166D">
      <w:pPr>
        <w:pStyle w:val="ListParagraph"/>
        <w:numPr>
          <w:ilvl w:val="0"/>
          <w:numId w:val="5"/>
        </w:numPr>
        <w:spacing w:after="556" w:line="259" w:lineRule="auto"/>
        <w:rPr>
          <w:rFonts w:ascii="Arial" w:eastAsia="Arial" w:hAnsi="Arial" w:cs="Arial"/>
          <w:color w:val="000000" w:themeColor="text1"/>
          <w:sz w:val="20"/>
          <w:szCs w:val="20"/>
        </w:rPr>
      </w:pPr>
      <w:r w:rsidRPr="0005166D">
        <w:rPr>
          <w:rFonts w:ascii="Arial" w:eastAsia="Arial" w:hAnsi="Arial" w:cs="Arial"/>
          <w:sz w:val="20"/>
          <w:szCs w:val="20"/>
        </w:rPr>
        <w:t xml:space="preserve">Design and manufacturing information </w:t>
      </w:r>
    </w:p>
    <w:p w14:paraId="32E4C410" w14:textId="77777777" w:rsidR="00BA3896" w:rsidRPr="00147DC5" w:rsidRDefault="00BA3896" w:rsidP="00BA3896">
      <w:pPr>
        <w:pStyle w:val="ListParagraph"/>
        <w:numPr>
          <w:ilvl w:val="0"/>
          <w:numId w:val="5"/>
        </w:numPr>
        <w:spacing w:after="385"/>
        <w:ind w:right="0"/>
        <w:rPr>
          <w:rStyle w:val="Hyperlink"/>
          <w:rFonts w:cs="Arial"/>
          <w:sz w:val="20"/>
          <w:szCs w:val="20"/>
        </w:rPr>
      </w:pPr>
      <w:r>
        <w:rPr>
          <w:rFonts w:ascii="Arial" w:hAnsi="Arial" w:cs="Arial"/>
          <w:sz w:val="20"/>
          <w:szCs w:val="20"/>
        </w:rPr>
        <w:fldChar w:fldCharType="begin"/>
      </w:r>
      <w:r>
        <w:rPr>
          <w:rFonts w:ascii="Arial" w:hAnsi="Arial" w:cs="Arial"/>
          <w:sz w:val="20"/>
          <w:szCs w:val="20"/>
        </w:rPr>
        <w:instrText xml:space="preserve"> HYPERLINK  \l "_Clinical_performance_requirements" </w:instrText>
      </w:r>
      <w:r>
        <w:rPr>
          <w:rFonts w:ascii="Arial" w:hAnsi="Arial" w:cs="Arial"/>
          <w:sz w:val="20"/>
          <w:szCs w:val="20"/>
        </w:rPr>
      </w:r>
      <w:r>
        <w:rPr>
          <w:rFonts w:ascii="Arial" w:hAnsi="Arial" w:cs="Arial"/>
          <w:sz w:val="20"/>
          <w:szCs w:val="20"/>
        </w:rPr>
        <w:fldChar w:fldCharType="separate"/>
      </w:r>
      <w:r w:rsidRPr="00147DC5">
        <w:rPr>
          <w:rStyle w:val="Hyperlink"/>
          <w:rFonts w:cs="Arial"/>
          <w:sz w:val="20"/>
          <w:szCs w:val="20"/>
        </w:rPr>
        <w:t>Clinical performance</w:t>
      </w:r>
    </w:p>
    <w:p w14:paraId="0C7FC711" w14:textId="0D426665" w:rsidR="00BA3896" w:rsidRPr="006853B0" w:rsidDel="006B7D8D" w:rsidRDefault="00BA3896" w:rsidP="006853B0">
      <w:pPr>
        <w:pStyle w:val="ListParagraph"/>
        <w:numPr>
          <w:ilvl w:val="0"/>
          <w:numId w:val="5"/>
        </w:numPr>
        <w:spacing w:after="385"/>
        <w:ind w:right="0"/>
        <w:rPr>
          <w:rFonts w:ascii="Arial" w:hAnsi="Arial" w:cs="Arial"/>
          <w:sz w:val="20"/>
          <w:szCs w:val="20"/>
        </w:rPr>
      </w:pPr>
      <w:r>
        <w:rPr>
          <w:rFonts w:ascii="Arial" w:hAnsi="Arial" w:cs="Arial"/>
          <w:sz w:val="20"/>
          <w:szCs w:val="20"/>
        </w:rPr>
        <w:fldChar w:fldCharType="end"/>
      </w:r>
      <w:hyperlink w:anchor="_Analytical_performance" w:history="1">
        <w:r w:rsidRPr="005D7AB1">
          <w:rPr>
            <w:rStyle w:val="Hyperlink"/>
            <w:rFonts w:cs="Arial"/>
            <w:sz w:val="20"/>
            <w:szCs w:val="20"/>
          </w:rPr>
          <w:t>Analytical performance</w:t>
        </w:r>
      </w:hyperlink>
      <w:r w:rsidRPr="4A19D81B">
        <w:rPr>
          <w:rFonts w:ascii="Arial" w:hAnsi="Arial" w:cs="Arial"/>
          <w:sz w:val="20"/>
          <w:szCs w:val="20"/>
        </w:rPr>
        <w:t>, including validation of any controls/calibrators/reference materials or internal standards utilised</w:t>
      </w:r>
      <w:r>
        <w:rPr>
          <w:rFonts w:ascii="Arial" w:hAnsi="Arial" w:cs="Arial"/>
          <w:sz w:val="20"/>
          <w:szCs w:val="20"/>
        </w:rPr>
        <w:t>.</w:t>
      </w:r>
      <w:r w:rsidRPr="4A19D81B">
        <w:rPr>
          <w:rFonts w:ascii="Arial" w:hAnsi="Arial" w:cs="Arial"/>
          <w:sz w:val="20"/>
          <w:szCs w:val="20"/>
        </w:rPr>
        <w:t xml:space="preserve">  </w:t>
      </w:r>
    </w:p>
    <w:p w14:paraId="67387740" w14:textId="2D464818" w:rsidR="00010748" w:rsidRPr="0005166D" w:rsidDel="006B7D8D" w:rsidRDefault="06AEA26A" w:rsidP="006853B0">
      <w:pPr>
        <w:pStyle w:val="ListParagraph"/>
        <w:numPr>
          <w:ilvl w:val="0"/>
          <w:numId w:val="5"/>
        </w:numPr>
        <w:spacing w:after="556" w:line="259" w:lineRule="auto"/>
        <w:rPr>
          <w:rFonts w:ascii="Arial" w:eastAsia="Arial" w:hAnsi="Arial" w:cs="Arial"/>
          <w:color w:val="000000" w:themeColor="text1"/>
          <w:sz w:val="20"/>
          <w:szCs w:val="20"/>
        </w:rPr>
      </w:pPr>
      <w:r w:rsidRPr="0005166D">
        <w:rPr>
          <w:rFonts w:ascii="Arial" w:eastAsia="Arial" w:hAnsi="Arial" w:cs="Arial"/>
          <w:sz w:val="20"/>
          <w:szCs w:val="20"/>
        </w:rPr>
        <w:t xml:space="preserve">Risk analysis </w:t>
      </w:r>
    </w:p>
    <w:p w14:paraId="7E94781B" w14:textId="5A7FFD66" w:rsidR="00010748" w:rsidRPr="006853B0" w:rsidDel="006B7D8D" w:rsidRDefault="06AEA26A" w:rsidP="006853B0">
      <w:pPr>
        <w:pStyle w:val="ListParagraph"/>
        <w:numPr>
          <w:ilvl w:val="0"/>
          <w:numId w:val="5"/>
        </w:numPr>
        <w:spacing w:after="556" w:line="259" w:lineRule="auto"/>
        <w:rPr>
          <w:rFonts w:ascii="Arial" w:hAnsi="Arial" w:cs="Arial"/>
          <w:sz w:val="20"/>
          <w:szCs w:val="20"/>
        </w:rPr>
      </w:pPr>
      <w:r w:rsidRPr="0005166D">
        <w:rPr>
          <w:rFonts w:ascii="Arial" w:eastAsia="Arial" w:hAnsi="Arial" w:cs="Arial"/>
          <w:sz w:val="20"/>
          <w:szCs w:val="20"/>
        </w:rPr>
        <w:t>Stability</w:t>
      </w:r>
    </w:p>
    <w:p w14:paraId="673D61B1" w14:textId="6003CDA8" w:rsidR="00010748" w:rsidRPr="006853B0" w:rsidDel="006B7D8D" w:rsidRDefault="386B8207" w:rsidP="006853B0">
      <w:pPr>
        <w:pStyle w:val="ListParagraph"/>
        <w:numPr>
          <w:ilvl w:val="0"/>
          <w:numId w:val="5"/>
        </w:numPr>
        <w:spacing w:after="240" w:line="259" w:lineRule="auto"/>
        <w:ind w:right="176"/>
        <w:rPr>
          <w:rFonts w:ascii="Arial" w:hAnsi="Arial" w:cs="Arial"/>
          <w:sz w:val="20"/>
          <w:szCs w:val="20"/>
        </w:rPr>
      </w:pPr>
      <w:r w:rsidRPr="0005166D">
        <w:rPr>
          <w:rFonts w:ascii="Arial" w:hAnsi="Arial" w:cs="Arial"/>
          <w:sz w:val="20"/>
          <w:szCs w:val="20"/>
        </w:rPr>
        <w:t>E</w:t>
      </w:r>
      <w:r w:rsidR="06F5C74C" w:rsidRPr="0005166D">
        <w:rPr>
          <w:rFonts w:ascii="Arial" w:hAnsi="Arial" w:cs="Arial"/>
          <w:sz w:val="20"/>
          <w:szCs w:val="20"/>
        </w:rPr>
        <w:t xml:space="preserve">vidence of </w:t>
      </w:r>
      <w:r w:rsidR="794FF550" w:rsidRPr="0005166D">
        <w:rPr>
          <w:rFonts w:ascii="Arial" w:hAnsi="Arial" w:cs="Arial"/>
          <w:sz w:val="20"/>
          <w:szCs w:val="20"/>
        </w:rPr>
        <w:t xml:space="preserve">comparability to the </w:t>
      </w:r>
      <w:r w:rsidR="092CB190" w:rsidRPr="0005166D">
        <w:rPr>
          <w:rFonts w:ascii="Arial" w:hAnsi="Arial" w:cs="Arial"/>
          <w:sz w:val="20"/>
          <w:szCs w:val="20"/>
        </w:rPr>
        <w:t xml:space="preserve">clinical </w:t>
      </w:r>
      <w:r w:rsidR="4EFF039D" w:rsidRPr="0005166D">
        <w:rPr>
          <w:rFonts w:ascii="Arial" w:hAnsi="Arial" w:cs="Arial"/>
          <w:sz w:val="20"/>
          <w:szCs w:val="20"/>
        </w:rPr>
        <w:t>trial testing</w:t>
      </w:r>
      <w:r w:rsidR="794FF550" w:rsidRPr="0005166D">
        <w:rPr>
          <w:rFonts w:ascii="Arial" w:hAnsi="Arial" w:cs="Arial"/>
          <w:sz w:val="20"/>
          <w:szCs w:val="20"/>
        </w:rPr>
        <w:t xml:space="preserve"> </w:t>
      </w:r>
    </w:p>
    <w:p w14:paraId="41D83D1D" w14:textId="40ED48EB" w:rsidR="00C84B84" w:rsidRDefault="007904E0" w:rsidP="00A70BFC">
      <w:pPr>
        <w:spacing w:after="240"/>
        <w:rPr>
          <w:rFonts w:cs="Arial"/>
        </w:rPr>
      </w:pPr>
      <w:r w:rsidRPr="415C6BA6">
        <w:rPr>
          <w:rFonts w:cs="Arial"/>
        </w:rPr>
        <w:t>Th</w:t>
      </w:r>
      <w:r w:rsidR="187DDC57" w:rsidRPr="415C6BA6">
        <w:rPr>
          <w:rFonts w:cs="Arial"/>
        </w:rPr>
        <w:t>e requirements for evidence of comparability are the same as for</w:t>
      </w:r>
      <w:r w:rsidR="009E24BE">
        <w:rPr>
          <w:rFonts w:cs="Arial"/>
        </w:rPr>
        <w:t xml:space="preserve"> registration of a</w:t>
      </w:r>
      <w:r w:rsidR="187DDC57" w:rsidRPr="415C6BA6">
        <w:rPr>
          <w:rFonts w:cs="Arial"/>
        </w:rPr>
        <w:t xml:space="preserve"> </w:t>
      </w:r>
      <w:hyperlink w:anchor="_Clinical_performance_requirements" w:history="1">
        <w:r w:rsidR="003C2A79">
          <w:rPr>
            <w:rStyle w:val="Hyperlink"/>
            <w:rFonts w:cs="Arial"/>
          </w:rPr>
          <w:t>subsequent</w:t>
        </w:r>
        <w:r w:rsidR="187DDC57" w:rsidRPr="415C6BA6">
          <w:rPr>
            <w:rStyle w:val="Hyperlink"/>
            <w:rFonts w:cs="Arial"/>
          </w:rPr>
          <w:t xml:space="preserve"> </w:t>
        </w:r>
        <w:proofErr w:type="spellStart"/>
        <w:r w:rsidR="124D8487" w:rsidRPr="415C6BA6">
          <w:rPr>
            <w:rStyle w:val="Hyperlink"/>
            <w:rFonts w:cs="Arial"/>
          </w:rPr>
          <w:t>CDx</w:t>
        </w:r>
        <w:proofErr w:type="spellEnd"/>
      </w:hyperlink>
      <w:r w:rsidR="187DDC57" w:rsidRPr="415C6BA6">
        <w:rPr>
          <w:rFonts w:cs="Arial"/>
        </w:rPr>
        <w:t>.</w:t>
      </w:r>
    </w:p>
    <w:p w14:paraId="44A9816A" w14:textId="630BBD0B" w:rsidR="00626144" w:rsidRDefault="00626144" w:rsidP="00A70BFC">
      <w:pPr>
        <w:spacing w:after="240"/>
        <w:rPr>
          <w:rFonts w:eastAsia="Arial" w:cs="Arial"/>
        </w:rPr>
      </w:pPr>
      <w:r>
        <w:rPr>
          <w:rFonts w:eastAsia="Arial" w:cs="Arial"/>
        </w:rPr>
        <w:t>In lieu of a companion testing plan</w:t>
      </w:r>
      <w:r w:rsidR="000F1024">
        <w:rPr>
          <w:rFonts w:eastAsia="Arial" w:cs="Arial"/>
        </w:rPr>
        <w:t>, a</w:t>
      </w:r>
      <w:r>
        <w:rPr>
          <w:rFonts w:eastAsia="Arial" w:cs="Arial"/>
        </w:rPr>
        <w:t xml:space="preserve"> sponsor can submit a justification for </w:t>
      </w:r>
      <w:r w:rsidR="2431E3F7" w:rsidRPr="61C17192">
        <w:rPr>
          <w:rFonts w:eastAsia="Arial" w:cs="Arial"/>
        </w:rPr>
        <w:t xml:space="preserve">why </w:t>
      </w:r>
      <w:r>
        <w:rPr>
          <w:rFonts w:eastAsia="Arial" w:cs="Arial"/>
        </w:rPr>
        <w:t xml:space="preserve">their proposed new indication does </w:t>
      </w:r>
      <w:r w:rsidRPr="00626144">
        <w:rPr>
          <w:rFonts w:eastAsia="Arial" w:cs="Arial"/>
        </w:rPr>
        <w:t>not</w:t>
      </w:r>
      <w:r>
        <w:rPr>
          <w:rFonts w:eastAsia="Arial" w:cs="Arial"/>
        </w:rPr>
        <w:t xml:space="preserve"> require companion testing, and </w:t>
      </w:r>
      <w:r w:rsidR="00FD1ABF">
        <w:rPr>
          <w:rFonts w:eastAsia="Arial" w:cs="Arial"/>
        </w:rPr>
        <w:t xml:space="preserve">the </w:t>
      </w:r>
      <w:r>
        <w:rPr>
          <w:rFonts w:eastAsia="Arial" w:cs="Arial"/>
        </w:rPr>
        <w:t xml:space="preserve">TGA will consider the </w:t>
      </w:r>
      <w:r w:rsidR="002216B3">
        <w:rPr>
          <w:rFonts w:eastAsia="Arial" w:cs="Arial"/>
        </w:rPr>
        <w:t xml:space="preserve">sponsor’s </w:t>
      </w:r>
      <w:r>
        <w:rPr>
          <w:rFonts w:eastAsia="Arial" w:cs="Arial"/>
        </w:rPr>
        <w:t>justification</w:t>
      </w:r>
      <w:r w:rsidR="002216B3">
        <w:rPr>
          <w:rFonts w:eastAsia="Arial" w:cs="Arial"/>
        </w:rPr>
        <w:t xml:space="preserve"> </w:t>
      </w:r>
      <w:r w:rsidR="00C51DA3">
        <w:rPr>
          <w:rFonts w:eastAsia="Arial" w:cs="Arial"/>
        </w:rPr>
        <w:t xml:space="preserve">and </w:t>
      </w:r>
      <w:r w:rsidR="00E6460B">
        <w:rPr>
          <w:rFonts w:eastAsia="Arial" w:cs="Arial"/>
        </w:rPr>
        <w:t xml:space="preserve">work with the sponsor to determine whether the medicine requires companion testing. </w:t>
      </w:r>
      <w:r>
        <w:rPr>
          <w:rFonts w:eastAsia="Arial" w:cs="Arial"/>
        </w:rPr>
        <w:t xml:space="preserve">If a submission is identified where the TGA considers a proposed new medicine or biological indication </w:t>
      </w:r>
      <w:r w:rsidRPr="000F1024">
        <w:rPr>
          <w:rFonts w:eastAsia="Arial" w:cs="Arial"/>
        </w:rPr>
        <w:t>does</w:t>
      </w:r>
      <w:r>
        <w:rPr>
          <w:rFonts w:eastAsia="Arial" w:cs="Arial"/>
        </w:rPr>
        <w:t xml:space="preserve"> require companion testing, and a companion testing plan hasn’t been submitted, one will then be requested.</w:t>
      </w:r>
    </w:p>
    <w:tbl>
      <w:tblPr>
        <w:tblStyle w:val="TableGrid"/>
        <w:tblpPr w:leftFromText="180" w:rightFromText="180" w:vertAnchor="text" w:horzAnchor="margin" w:tblpY="101"/>
        <w:tblW w:w="0" w:type="auto"/>
        <w:tblLook w:val="04A0" w:firstRow="1" w:lastRow="0" w:firstColumn="1" w:lastColumn="0" w:noHBand="0" w:noVBand="1"/>
      </w:tblPr>
      <w:tblGrid>
        <w:gridCol w:w="9060"/>
      </w:tblGrid>
      <w:tr w:rsidR="00AA3CA4" w14:paraId="6564948D" w14:textId="77777777" w:rsidTr="00AA3CA4">
        <w:tc>
          <w:tcPr>
            <w:tcW w:w="9060" w:type="dxa"/>
            <w:shd w:val="clear" w:color="auto" w:fill="DEEAF6" w:themeFill="accent5" w:themeFillTint="33"/>
          </w:tcPr>
          <w:p w14:paraId="2FE3058B" w14:textId="77777777" w:rsidR="00AA3CA4" w:rsidRPr="00AA438F" w:rsidRDefault="00AA3CA4" w:rsidP="00AA3CA4">
            <w:pPr>
              <w:spacing w:after="240" w:line="276" w:lineRule="auto"/>
              <w:rPr>
                <w:rFonts w:cs="Arial"/>
                <w:b/>
                <w:bCs/>
                <w:sz w:val="20"/>
                <w:szCs w:val="20"/>
              </w:rPr>
            </w:pPr>
            <w:r w:rsidRPr="007D29E8">
              <w:rPr>
                <w:rFonts w:cs="Arial"/>
                <w:b/>
                <w:bCs/>
                <w:sz w:val="20"/>
                <w:szCs w:val="20"/>
              </w:rPr>
              <w:t>Please note:</w:t>
            </w:r>
          </w:p>
          <w:p w14:paraId="33588149" w14:textId="5298DE5E" w:rsidR="00AA3CA4" w:rsidRPr="00923E07" w:rsidRDefault="0AAC96F5" w:rsidP="00AA3CA4">
            <w:pPr>
              <w:spacing w:after="240" w:line="276" w:lineRule="auto"/>
              <w:rPr>
                <w:rFonts w:cs="Arial"/>
                <w:sz w:val="20"/>
                <w:szCs w:val="20"/>
              </w:rPr>
            </w:pPr>
            <w:r w:rsidRPr="00F206C2">
              <w:rPr>
                <w:rFonts w:cs="Arial"/>
                <w:sz w:val="20"/>
                <w:szCs w:val="20"/>
              </w:rPr>
              <w:t>A</w:t>
            </w:r>
            <w:r w:rsidR="00AA3CA4" w:rsidRPr="00F206C2">
              <w:rPr>
                <w:rFonts w:cs="Arial"/>
                <w:sz w:val="20"/>
                <w:szCs w:val="20"/>
              </w:rPr>
              <w:t xml:space="preserve"> medicine or biological indication that requires </w:t>
            </w:r>
            <w:proofErr w:type="spellStart"/>
            <w:r w:rsidR="00AA3CA4" w:rsidRPr="00F206C2">
              <w:rPr>
                <w:rFonts w:cs="Arial"/>
                <w:sz w:val="20"/>
                <w:szCs w:val="20"/>
              </w:rPr>
              <w:t>CDx</w:t>
            </w:r>
            <w:proofErr w:type="spellEnd"/>
            <w:r w:rsidR="00AA3CA4" w:rsidRPr="00F206C2">
              <w:rPr>
                <w:rFonts w:cs="Arial"/>
                <w:sz w:val="20"/>
                <w:szCs w:val="20"/>
              </w:rPr>
              <w:t xml:space="preserve"> testing </w:t>
            </w:r>
            <w:r w:rsidR="67B8E793" w:rsidRPr="00F206C2">
              <w:rPr>
                <w:rFonts w:cs="Arial"/>
                <w:sz w:val="20"/>
                <w:szCs w:val="20"/>
              </w:rPr>
              <w:t>can be approved without</w:t>
            </w:r>
            <w:r w:rsidR="00AA3CA4" w:rsidRPr="00F206C2">
              <w:rPr>
                <w:rFonts w:cs="Arial"/>
                <w:sz w:val="20"/>
                <w:szCs w:val="20"/>
              </w:rPr>
              <w:t xml:space="preserve"> a corresponding </w:t>
            </w:r>
            <w:proofErr w:type="spellStart"/>
            <w:r w:rsidR="00AA3CA4" w:rsidRPr="00F206C2">
              <w:rPr>
                <w:rFonts w:cs="Arial"/>
                <w:sz w:val="20"/>
                <w:szCs w:val="20"/>
              </w:rPr>
              <w:t>CDx</w:t>
            </w:r>
            <w:proofErr w:type="spellEnd"/>
            <w:r w:rsidR="00AA3CA4" w:rsidRPr="00F206C2">
              <w:rPr>
                <w:rFonts w:cs="Arial"/>
                <w:sz w:val="20"/>
                <w:szCs w:val="20"/>
              </w:rPr>
              <w:t xml:space="preserve"> test</w:t>
            </w:r>
            <w:r w:rsidR="00035497" w:rsidRPr="00F206C2">
              <w:rPr>
                <w:rFonts w:cs="Arial"/>
                <w:sz w:val="20"/>
                <w:szCs w:val="20"/>
              </w:rPr>
              <w:t xml:space="preserve"> </w:t>
            </w:r>
            <w:r w:rsidR="1066EFE4" w:rsidRPr="00F206C2">
              <w:rPr>
                <w:rFonts w:cs="Arial"/>
                <w:sz w:val="20"/>
                <w:szCs w:val="20"/>
              </w:rPr>
              <w:t>being on the ARTG (or notified</w:t>
            </w:r>
            <w:r w:rsidR="5850AC69" w:rsidRPr="00F206C2">
              <w:rPr>
                <w:rFonts w:cs="Arial"/>
                <w:sz w:val="20"/>
                <w:szCs w:val="20"/>
              </w:rPr>
              <w:t xml:space="preserve"> to </w:t>
            </w:r>
            <w:r w:rsidR="00FD1ABF">
              <w:rPr>
                <w:rFonts w:cs="Arial"/>
                <w:sz w:val="20"/>
                <w:szCs w:val="20"/>
              </w:rPr>
              <w:t xml:space="preserve">the </w:t>
            </w:r>
            <w:r w:rsidR="5850AC69" w:rsidRPr="00F206C2">
              <w:rPr>
                <w:rFonts w:cs="Arial"/>
                <w:sz w:val="20"/>
                <w:szCs w:val="20"/>
              </w:rPr>
              <w:t>TGA</w:t>
            </w:r>
            <w:r w:rsidR="1066EFE4" w:rsidRPr="00F206C2">
              <w:rPr>
                <w:rFonts w:cs="Arial"/>
                <w:sz w:val="20"/>
                <w:szCs w:val="20"/>
              </w:rPr>
              <w:t xml:space="preserve"> </w:t>
            </w:r>
            <w:r w:rsidR="009704D5">
              <w:rPr>
                <w:rFonts w:cs="Arial"/>
                <w:sz w:val="20"/>
                <w:szCs w:val="20"/>
              </w:rPr>
              <w:t xml:space="preserve">as an </w:t>
            </w:r>
            <w:r w:rsidR="1066EFE4" w:rsidRPr="00F206C2">
              <w:rPr>
                <w:rFonts w:cs="Arial"/>
                <w:sz w:val="20"/>
                <w:szCs w:val="20"/>
              </w:rPr>
              <w:t>in-house</w:t>
            </w:r>
            <w:r w:rsidR="5E3ED868" w:rsidRPr="00F206C2">
              <w:rPr>
                <w:rFonts w:cs="Arial"/>
                <w:sz w:val="20"/>
                <w:szCs w:val="20"/>
              </w:rPr>
              <w:t xml:space="preserve"> IVD</w:t>
            </w:r>
            <w:r w:rsidR="1066EFE4" w:rsidRPr="00F206C2">
              <w:rPr>
                <w:rFonts w:cs="Arial"/>
                <w:sz w:val="20"/>
                <w:szCs w:val="20"/>
              </w:rPr>
              <w:t>)</w:t>
            </w:r>
            <w:r w:rsidR="3848BD5B" w:rsidRPr="00F206C2">
              <w:rPr>
                <w:rFonts w:cs="Arial"/>
                <w:sz w:val="20"/>
                <w:szCs w:val="20"/>
              </w:rPr>
              <w:t>,</w:t>
            </w:r>
            <w:r w:rsidR="775BA213" w:rsidRPr="00F206C2">
              <w:rPr>
                <w:rFonts w:cs="Arial"/>
                <w:sz w:val="20"/>
                <w:szCs w:val="20"/>
              </w:rPr>
              <w:t xml:space="preserve"> </w:t>
            </w:r>
            <w:proofErr w:type="gramStart"/>
            <w:r w:rsidR="5EB742CD" w:rsidRPr="00F206C2">
              <w:rPr>
                <w:rFonts w:cs="Arial"/>
                <w:sz w:val="20"/>
                <w:szCs w:val="20"/>
              </w:rPr>
              <w:t>as long as</w:t>
            </w:r>
            <w:proofErr w:type="gramEnd"/>
            <w:r w:rsidR="5EB742CD" w:rsidRPr="00F206C2">
              <w:rPr>
                <w:rFonts w:cs="Arial"/>
                <w:sz w:val="20"/>
                <w:szCs w:val="20"/>
              </w:rPr>
              <w:t xml:space="preserve"> </w:t>
            </w:r>
            <w:r w:rsidR="775BA213" w:rsidRPr="00F206C2">
              <w:rPr>
                <w:rFonts w:cs="Arial"/>
                <w:sz w:val="20"/>
                <w:szCs w:val="20"/>
              </w:rPr>
              <w:t>a</w:t>
            </w:r>
            <w:r w:rsidR="63449A57" w:rsidRPr="00F206C2">
              <w:rPr>
                <w:rFonts w:cs="Arial"/>
                <w:sz w:val="20"/>
                <w:szCs w:val="20"/>
              </w:rPr>
              <w:t>n adequate</w:t>
            </w:r>
            <w:r w:rsidR="00035497" w:rsidRPr="00F206C2">
              <w:rPr>
                <w:rFonts w:cs="Arial"/>
                <w:sz w:val="20"/>
                <w:szCs w:val="20"/>
              </w:rPr>
              <w:t xml:space="preserve"> companion testing plan</w:t>
            </w:r>
            <w:r w:rsidR="4E686DEA" w:rsidRPr="00F206C2">
              <w:rPr>
                <w:rFonts w:cs="Arial"/>
                <w:sz w:val="20"/>
                <w:szCs w:val="20"/>
              </w:rPr>
              <w:t xml:space="preserve"> is in place</w:t>
            </w:r>
            <w:r w:rsidR="775BA213" w:rsidRPr="00F206C2">
              <w:rPr>
                <w:rFonts w:cs="Arial"/>
                <w:sz w:val="20"/>
                <w:szCs w:val="20"/>
              </w:rPr>
              <w:t>.</w:t>
            </w:r>
            <w:r w:rsidR="00035497" w:rsidRPr="00F206C2">
              <w:rPr>
                <w:rFonts w:cs="Arial"/>
                <w:sz w:val="20"/>
                <w:szCs w:val="20"/>
              </w:rPr>
              <w:t xml:space="preserve"> H</w:t>
            </w:r>
            <w:r w:rsidR="00AA3CA4" w:rsidRPr="00F206C2">
              <w:rPr>
                <w:rFonts w:cs="Arial"/>
                <w:sz w:val="20"/>
                <w:szCs w:val="20"/>
              </w:rPr>
              <w:t xml:space="preserve">owever, a commercial </w:t>
            </w:r>
            <w:proofErr w:type="spellStart"/>
            <w:r w:rsidR="00AA3CA4" w:rsidRPr="00F206C2">
              <w:rPr>
                <w:rFonts w:cs="Arial"/>
                <w:sz w:val="20"/>
                <w:szCs w:val="20"/>
              </w:rPr>
              <w:t>CDx</w:t>
            </w:r>
            <w:proofErr w:type="spellEnd"/>
            <w:r w:rsidR="00AA3CA4" w:rsidRPr="00F206C2">
              <w:rPr>
                <w:rFonts w:cs="Arial"/>
                <w:sz w:val="20"/>
                <w:szCs w:val="20"/>
              </w:rPr>
              <w:t xml:space="preserve"> </w:t>
            </w:r>
            <w:r w:rsidR="00AA3CA4" w:rsidRPr="00923E07">
              <w:rPr>
                <w:rFonts w:cs="Arial"/>
                <w:sz w:val="20"/>
                <w:szCs w:val="20"/>
                <w:u w:val="single"/>
              </w:rPr>
              <w:t xml:space="preserve">must </w:t>
            </w:r>
            <w:r w:rsidR="00AA3CA4" w:rsidRPr="00F206C2">
              <w:rPr>
                <w:rFonts w:cs="Arial"/>
                <w:sz w:val="20"/>
                <w:szCs w:val="20"/>
              </w:rPr>
              <w:t xml:space="preserve">be included in the ARTG (or an in-house </w:t>
            </w:r>
            <w:proofErr w:type="spellStart"/>
            <w:r w:rsidR="00AA3CA4" w:rsidRPr="00F206C2">
              <w:rPr>
                <w:rFonts w:cs="Arial"/>
                <w:sz w:val="20"/>
                <w:szCs w:val="20"/>
              </w:rPr>
              <w:t>CDx</w:t>
            </w:r>
            <w:proofErr w:type="spellEnd"/>
            <w:r w:rsidR="00AA3CA4" w:rsidRPr="00F206C2">
              <w:rPr>
                <w:rFonts w:cs="Arial"/>
                <w:sz w:val="20"/>
                <w:szCs w:val="20"/>
              </w:rPr>
              <w:t xml:space="preserve"> </w:t>
            </w:r>
            <w:r w:rsidR="00AA3CA4" w:rsidRPr="00923E07">
              <w:rPr>
                <w:rFonts w:cs="Arial"/>
                <w:sz w:val="20"/>
                <w:szCs w:val="20"/>
                <w:u w:val="single"/>
              </w:rPr>
              <w:t xml:space="preserve">must </w:t>
            </w:r>
            <w:r w:rsidR="00AA3CA4" w:rsidRPr="00F206C2">
              <w:rPr>
                <w:rFonts w:cs="Arial"/>
                <w:sz w:val="20"/>
                <w:szCs w:val="20"/>
              </w:rPr>
              <w:t>be notified to the TGA) before the device can be legally supplied in Australia.</w:t>
            </w:r>
          </w:p>
        </w:tc>
      </w:tr>
    </w:tbl>
    <w:p w14:paraId="1115564A" w14:textId="4D97A798" w:rsidR="00561927" w:rsidRPr="00984208" w:rsidRDefault="00561927" w:rsidP="004C38CD">
      <w:pPr>
        <w:pStyle w:val="Heading3"/>
        <w:rPr>
          <w:rFonts w:cs="Arial"/>
        </w:rPr>
      </w:pPr>
      <w:bookmarkStart w:id="36" w:name="_Toc158650264"/>
      <w:r w:rsidRPr="00984208">
        <w:t>Post-approval actions</w:t>
      </w:r>
      <w:bookmarkEnd w:id="36"/>
      <w:r w:rsidRPr="00984208">
        <w:t xml:space="preserve"> </w:t>
      </w:r>
      <w:r w:rsidRPr="00984208" w:rsidDel="00281446">
        <w:rPr>
          <w:rFonts w:cs="Arial"/>
        </w:rPr>
        <w:t xml:space="preserve"> </w:t>
      </w:r>
    </w:p>
    <w:p w14:paraId="4AA87923" w14:textId="4E055E31" w:rsidR="00561927" w:rsidRDefault="0083510D" w:rsidP="00561927">
      <w:pPr>
        <w:spacing w:after="240"/>
        <w:rPr>
          <w:rFonts w:cs="Arial"/>
        </w:rPr>
      </w:pPr>
      <w:r w:rsidRPr="00984208" w:rsidDel="00561927">
        <w:rPr>
          <w:rFonts w:cs="Arial"/>
        </w:rPr>
        <w:t xml:space="preserve">When a medicine or biological indication that requires a </w:t>
      </w:r>
      <w:proofErr w:type="spellStart"/>
      <w:r w:rsidRPr="00984208" w:rsidDel="00561927">
        <w:rPr>
          <w:rFonts w:cs="Arial"/>
        </w:rPr>
        <w:t>CDx</w:t>
      </w:r>
      <w:proofErr w:type="spellEnd"/>
      <w:r w:rsidRPr="00984208" w:rsidDel="00561927">
        <w:rPr>
          <w:rFonts w:cs="Arial"/>
        </w:rPr>
        <w:t xml:space="preserve"> is approved, it will be published on the </w:t>
      </w:r>
      <w:r w:rsidR="006E510D">
        <w:rPr>
          <w:rFonts w:cs="Arial"/>
        </w:rPr>
        <w:t xml:space="preserve">list of </w:t>
      </w:r>
      <w:r w:rsidRPr="00984208" w:rsidDel="00561927">
        <w:rPr>
          <w:rFonts w:cs="Arial"/>
        </w:rPr>
        <w:t>TGA</w:t>
      </w:r>
      <w:r w:rsidR="006E510D">
        <w:rPr>
          <w:rFonts w:cs="Arial"/>
        </w:rPr>
        <w:t>-approved</w:t>
      </w:r>
      <w:r w:rsidRPr="00984208" w:rsidDel="00561927">
        <w:rPr>
          <w:rFonts w:cs="Arial"/>
        </w:rPr>
        <w:t xml:space="preserve"> </w:t>
      </w:r>
      <w:proofErr w:type="spellStart"/>
      <w:r w:rsidRPr="00984208" w:rsidDel="00561927">
        <w:rPr>
          <w:rFonts w:cs="Arial"/>
        </w:rPr>
        <w:t>CDx</w:t>
      </w:r>
      <w:proofErr w:type="spellEnd"/>
      <w:r w:rsidRPr="00984208" w:rsidDel="00561927">
        <w:rPr>
          <w:rFonts w:cs="Arial"/>
        </w:rPr>
        <w:t>.</w:t>
      </w:r>
      <w:r w:rsidR="00776AA7">
        <w:rPr>
          <w:rFonts w:cs="Arial"/>
        </w:rPr>
        <w:t xml:space="preserve"> </w:t>
      </w:r>
      <w:r w:rsidRPr="00984208" w:rsidDel="00561927">
        <w:rPr>
          <w:rFonts w:cs="Arial"/>
        </w:rPr>
        <w:t xml:space="preserve">For indications where no </w:t>
      </w:r>
      <w:proofErr w:type="spellStart"/>
      <w:r w:rsidRPr="00984208" w:rsidDel="00561927">
        <w:rPr>
          <w:rFonts w:cs="Arial"/>
        </w:rPr>
        <w:t>CDx</w:t>
      </w:r>
      <w:proofErr w:type="spellEnd"/>
      <w:r w:rsidRPr="00984208" w:rsidDel="00561927">
        <w:rPr>
          <w:rFonts w:cs="Arial"/>
        </w:rPr>
        <w:t xml:space="preserve"> is included in the ARTG (or notified as an in-house </w:t>
      </w:r>
      <w:proofErr w:type="spellStart"/>
      <w:r w:rsidR="006E510D">
        <w:rPr>
          <w:rFonts w:cs="Arial"/>
        </w:rPr>
        <w:t>CDx</w:t>
      </w:r>
      <w:proofErr w:type="spellEnd"/>
      <w:r w:rsidR="006E510D">
        <w:rPr>
          <w:rFonts w:cs="Arial"/>
        </w:rPr>
        <w:t xml:space="preserve"> </w:t>
      </w:r>
      <w:r w:rsidRPr="00984208" w:rsidDel="00561927">
        <w:rPr>
          <w:rFonts w:cs="Arial"/>
        </w:rPr>
        <w:t xml:space="preserve">IVD), </w:t>
      </w:r>
      <w:r w:rsidR="00776AA7">
        <w:rPr>
          <w:rFonts w:cs="Arial"/>
        </w:rPr>
        <w:t xml:space="preserve">the list will </w:t>
      </w:r>
      <w:r w:rsidR="287AC8F4" w:rsidRPr="0F2DC2A2">
        <w:rPr>
          <w:rFonts w:cs="Arial"/>
        </w:rPr>
        <w:t>reflect</w:t>
      </w:r>
      <w:r w:rsidR="00776AA7">
        <w:rPr>
          <w:rFonts w:cs="Arial"/>
        </w:rPr>
        <w:t xml:space="preserve"> this, and </w:t>
      </w:r>
      <w:r w:rsidRPr="00984208" w:rsidDel="00561927">
        <w:rPr>
          <w:rFonts w:cs="Arial"/>
        </w:rPr>
        <w:t>there is scope for development of an Australian test.</w:t>
      </w:r>
    </w:p>
    <w:p w14:paraId="7B473AD6" w14:textId="73AD650C" w:rsidR="002655B5" w:rsidRDefault="002655B5" w:rsidP="00A70BFC">
      <w:pPr>
        <w:spacing w:after="240"/>
        <w:ind w:left="-6"/>
        <w:rPr>
          <w:rFonts w:cs="Arial"/>
        </w:rPr>
      </w:pPr>
      <w:bookmarkStart w:id="37" w:name="_Hlk145416067"/>
      <w:r w:rsidRPr="00984208" w:rsidDel="00561927">
        <w:rPr>
          <w:rFonts w:cs="Arial"/>
        </w:rPr>
        <w:t xml:space="preserve">For indications where no </w:t>
      </w:r>
      <w:proofErr w:type="spellStart"/>
      <w:r w:rsidRPr="00984208" w:rsidDel="00561927">
        <w:rPr>
          <w:rFonts w:cs="Arial"/>
        </w:rPr>
        <w:t>CDx</w:t>
      </w:r>
      <w:proofErr w:type="spellEnd"/>
      <w:r w:rsidRPr="00984208" w:rsidDel="00561927">
        <w:rPr>
          <w:rFonts w:cs="Arial"/>
        </w:rPr>
        <w:t xml:space="preserve"> is included in the ARTG (or notified as an in-house </w:t>
      </w:r>
      <w:proofErr w:type="spellStart"/>
      <w:r>
        <w:rPr>
          <w:rFonts w:cs="Arial"/>
        </w:rPr>
        <w:t>CDx</w:t>
      </w:r>
      <w:proofErr w:type="spellEnd"/>
      <w:r>
        <w:rPr>
          <w:rFonts w:cs="Arial"/>
        </w:rPr>
        <w:t xml:space="preserve"> </w:t>
      </w:r>
      <w:r w:rsidRPr="00984208" w:rsidDel="00561927">
        <w:rPr>
          <w:rFonts w:cs="Arial"/>
        </w:rPr>
        <w:t xml:space="preserve">IVD), </w:t>
      </w:r>
      <w:r w:rsidR="00561927" w:rsidRPr="00984208">
        <w:rPr>
          <w:rFonts w:cs="Arial"/>
        </w:rPr>
        <w:t>a condition of</w:t>
      </w:r>
      <w:r w:rsidR="00DE0CAE">
        <w:rPr>
          <w:rFonts w:cs="Arial"/>
        </w:rPr>
        <w:t xml:space="preserve"> medicine</w:t>
      </w:r>
      <w:r w:rsidR="004965B0">
        <w:rPr>
          <w:rFonts w:cs="Arial"/>
        </w:rPr>
        <w:t xml:space="preserve"> or </w:t>
      </w:r>
      <w:r w:rsidR="00DE0CAE">
        <w:rPr>
          <w:rFonts w:cs="Arial"/>
        </w:rPr>
        <w:t>biological</w:t>
      </w:r>
      <w:r w:rsidR="00561927" w:rsidRPr="00984208">
        <w:rPr>
          <w:rFonts w:cs="Arial"/>
        </w:rPr>
        <w:t xml:space="preserve"> registration, the medicine or biological sponsor must notify </w:t>
      </w:r>
      <w:r w:rsidR="004965B0">
        <w:rPr>
          <w:rFonts w:cs="Arial"/>
        </w:rPr>
        <w:t xml:space="preserve">the </w:t>
      </w:r>
      <w:r w:rsidR="00561927" w:rsidRPr="00984208">
        <w:rPr>
          <w:rFonts w:cs="Arial"/>
        </w:rPr>
        <w:t>TGA if the</w:t>
      </w:r>
      <w:r w:rsidR="00A9123C" w:rsidRPr="004C38CD">
        <w:rPr>
          <w:rFonts w:cs="Arial"/>
        </w:rPr>
        <w:t xml:space="preserve">re are any </w:t>
      </w:r>
      <w:r w:rsidR="00D1368F" w:rsidRPr="004C38CD">
        <w:rPr>
          <w:rFonts w:cs="Arial"/>
        </w:rPr>
        <w:t xml:space="preserve">substantial changes </w:t>
      </w:r>
      <w:r w:rsidR="00A9123C" w:rsidRPr="004C38CD">
        <w:rPr>
          <w:rFonts w:cs="Arial"/>
        </w:rPr>
        <w:t>to the</w:t>
      </w:r>
      <w:r w:rsidR="00561927" w:rsidRPr="00984208">
        <w:rPr>
          <w:rFonts w:cs="Arial"/>
        </w:rPr>
        <w:t xml:space="preserve"> companion testing plan. </w:t>
      </w:r>
      <w:r w:rsidR="00776AA7">
        <w:rPr>
          <w:rFonts w:cs="Arial"/>
        </w:rPr>
        <w:t>A delegate may choose not to impose such a</w:t>
      </w:r>
      <w:r w:rsidR="00A9123C" w:rsidRPr="004C38CD">
        <w:rPr>
          <w:rFonts w:cs="Arial"/>
        </w:rPr>
        <w:t xml:space="preserve"> condition </w:t>
      </w:r>
      <w:r>
        <w:rPr>
          <w:rFonts w:cs="Arial"/>
        </w:rPr>
        <w:t xml:space="preserve">if a </w:t>
      </w:r>
      <w:r w:rsidR="6F6B74C7" w:rsidRPr="61C17192">
        <w:rPr>
          <w:rFonts w:cs="Arial"/>
        </w:rPr>
        <w:t xml:space="preserve">related </w:t>
      </w:r>
      <w:proofErr w:type="spellStart"/>
      <w:r w:rsidR="00776AA7">
        <w:rPr>
          <w:rFonts w:cs="Arial"/>
        </w:rPr>
        <w:t>CDx</w:t>
      </w:r>
      <w:proofErr w:type="spellEnd"/>
      <w:r w:rsidR="00776AA7">
        <w:rPr>
          <w:rFonts w:cs="Arial"/>
        </w:rPr>
        <w:t xml:space="preserve"> </w:t>
      </w:r>
      <w:r>
        <w:rPr>
          <w:rFonts w:cs="Arial"/>
        </w:rPr>
        <w:t xml:space="preserve">device application is </w:t>
      </w:r>
      <w:r w:rsidR="3A34AAA5" w:rsidRPr="61C17192">
        <w:rPr>
          <w:rFonts w:cs="Arial"/>
        </w:rPr>
        <w:t>close to completion</w:t>
      </w:r>
      <w:r w:rsidR="53A53A1C" w:rsidRPr="61C17192">
        <w:rPr>
          <w:rFonts w:cs="Arial"/>
        </w:rPr>
        <w:t>.</w:t>
      </w:r>
      <w:r w:rsidRPr="61C17192">
        <w:rPr>
          <w:rFonts w:cs="Arial"/>
        </w:rPr>
        <w:t xml:space="preserve"> </w:t>
      </w:r>
      <w:r w:rsidR="4C78B6DF" w:rsidRPr="61C17192">
        <w:rPr>
          <w:rFonts w:cs="Arial"/>
        </w:rPr>
        <w:t>T</w:t>
      </w:r>
      <w:r w:rsidR="00776AA7" w:rsidRPr="61C17192">
        <w:rPr>
          <w:rFonts w:cs="Arial"/>
        </w:rPr>
        <w:t>he</w:t>
      </w:r>
      <w:r w:rsidR="00776AA7">
        <w:rPr>
          <w:rFonts w:cs="Arial"/>
        </w:rPr>
        <w:t xml:space="preserve"> condition </w:t>
      </w:r>
      <w:r w:rsidR="00A9123C" w:rsidRPr="004C38CD">
        <w:rPr>
          <w:rFonts w:cs="Arial"/>
        </w:rPr>
        <w:t xml:space="preserve">can </w:t>
      </w:r>
      <w:r w:rsidR="00776AA7">
        <w:rPr>
          <w:rFonts w:cs="Arial"/>
        </w:rPr>
        <w:t xml:space="preserve">also </w:t>
      </w:r>
      <w:r w:rsidR="00A9123C" w:rsidRPr="004C38CD">
        <w:rPr>
          <w:rFonts w:cs="Arial"/>
        </w:rPr>
        <w:t xml:space="preserve">be removed </w:t>
      </w:r>
      <w:r w:rsidR="008130CC">
        <w:rPr>
          <w:rFonts w:cs="Arial"/>
        </w:rPr>
        <w:t>later</w:t>
      </w:r>
      <w:r w:rsidR="00776AA7">
        <w:rPr>
          <w:rFonts w:cs="Arial"/>
        </w:rPr>
        <w:t xml:space="preserve"> </w:t>
      </w:r>
      <w:r w:rsidR="00A9123C" w:rsidRPr="004C38CD">
        <w:rPr>
          <w:rFonts w:cs="Arial"/>
        </w:rPr>
        <w:t xml:space="preserve">if a </w:t>
      </w:r>
      <w:proofErr w:type="spellStart"/>
      <w:r w:rsidR="00A9123C" w:rsidRPr="004C38CD">
        <w:rPr>
          <w:rFonts w:cs="Arial"/>
        </w:rPr>
        <w:t>CDx</w:t>
      </w:r>
      <w:proofErr w:type="spellEnd"/>
      <w:r w:rsidR="00A9123C" w:rsidRPr="004C38CD">
        <w:rPr>
          <w:rFonts w:cs="Arial"/>
        </w:rPr>
        <w:t xml:space="preserve"> is </w:t>
      </w:r>
      <w:r w:rsidR="00776AA7">
        <w:rPr>
          <w:rFonts w:cs="Arial"/>
        </w:rPr>
        <w:t xml:space="preserve">subsequently </w:t>
      </w:r>
      <w:r w:rsidR="00A9123C" w:rsidRPr="004C38CD">
        <w:rPr>
          <w:rFonts w:cs="Arial"/>
        </w:rPr>
        <w:t xml:space="preserve">approved by </w:t>
      </w:r>
      <w:r w:rsidR="008130CC">
        <w:rPr>
          <w:rFonts w:cs="Arial"/>
        </w:rPr>
        <w:t xml:space="preserve">the </w:t>
      </w:r>
      <w:r w:rsidR="31952C43" w:rsidRPr="61C17192">
        <w:rPr>
          <w:rFonts w:cs="Arial"/>
        </w:rPr>
        <w:t xml:space="preserve">TGA </w:t>
      </w:r>
      <w:r w:rsidR="00984208" w:rsidRPr="004C38CD">
        <w:rPr>
          <w:rFonts w:cs="Arial"/>
        </w:rPr>
        <w:t>(</w:t>
      </w:r>
      <w:r w:rsidR="00A9123C" w:rsidRPr="004C38CD">
        <w:rPr>
          <w:rFonts w:cs="Arial"/>
        </w:rPr>
        <w:t>or notified</w:t>
      </w:r>
      <w:r w:rsidR="6EFB4E06" w:rsidRPr="61C17192">
        <w:rPr>
          <w:rFonts w:cs="Arial"/>
        </w:rPr>
        <w:t xml:space="preserve"> to TGA</w:t>
      </w:r>
      <w:r w:rsidR="002216B3">
        <w:rPr>
          <w:rFonts w:cs="Arial"/>
        </w:rPr>
        <w:t>,</w:t>
      </w:r>
      <w:r w:rsidR="00984208" w:rsidRPr="004C38CD">
        <w:rPr>
          <w:rFonts w:cs="Arial"/>
        </w:rPr>
        <w:t xml:space="preserve"> as part of the in-house IVD framework)</w:t>
      </w:r>
      <w:r w:rsidR="00A9123C" w:rsidRPr="004C38CD">
        <w:rPr>
          <w:rFonts w:cs="Arial"/>
        </w:rPr>
        <w:t xml:space="preserve">. </w:t>
      </w:r>
      <w:r w:rsidR="6304D828" w:rsidRPr="61C17192">
        <w:rPr>
          <w:rFonts w:cs="Arial"/>
        </w:rPr>
        <w:t>A c</w:t>
      </w:r>
      <w:r w:rsidR="401E2ACD" w:rsidRPr="61C17192">
        <w:rPr>
          <w:rFonts w:cs="Arial"/>
        </w:rPr>
        <w:t xml:space="preserve">ondition of registration can be </w:t>
      </w:r>
      <w:r w:rsidR="5E7BEC9F" w:rsidRPr="61C17192">
        <w:rPr>
          <w:rFonts w:cs="Arial"/>
        </w:rPr>
        <w:t xml:space="preserve">removed </w:t>
      </w:r>
      <w:r w:rsidR="401E2ACD" w:rsidRPr="61C17192">
        <w:rPr>
          <w:rFonts w:cs="Arial"/>
        </w:rPr>
        <w:t>without a fee.</w:t>
      </w:r>
    </w:p>
    <w:p w14:paraId="4CC55633" w14:textId="148EF297" w:rsidR="002655B5" w:rsidRDefault="205F1E02" w:rsidP="11CAC404">
      <w:pPr>
        <w:spacing w:after="240"/>
        <w:ind w:left="-6"/>
        <w:rPr>
          <w:rFonts w:cs="Arial"/>
        </w:rPr>
      </w:pPr>
      <w:r w:rsidRPr="61C17192">
        <w:rPr>
          <w:rFonts w:cs="Arial"/>
        </w:rPr>
        <w:lastRenderedPageBreak/>
        <w:t xml:space="preserve">For medicine or biological indications where a </w:t>
      </w:r>
      <w:proofErr w:type="spellStart"/>
      <w:r w:rsidRPr="61C17192">
        <w:rPr>
          <w:rFonts w:cs="Arial"/>
        </w:rPr>
        <w:t>CDx</w:t>
      </w:r>
      <w:proofErr w:type="spellEnd"/>
      <w:r w:rsidRPr="61C17192">
        <w:rPr>
          <w:rFonts w:cs="Arial"/>
        </w:rPr>
        <w:t xml:space="preserve"> is included in the ARTG (or notified as an in-house </w:t>
      </w:r>
      <w:proofErr w:type="spellStart"/>
      <w:r w:rsidRPr="61C17192">
        <w:rPr>
          <w:rFonts w:cs="Arial"/>
        </w:rPr>
        <w:t>CDx</w:t>
      </w:r>
      <w:proofErr w:type="spellEnd"/>
      <w:r w:rsidRPr="61C17192">
        <w:rPr>
          <w:rFonts w:cs="Arial"/>
        </w:rPr>
        <w:t xml:space="preserve"> IVD), conditions of registration relating to a companion testing plan are not needed. </w:t>
      </w:r>
    </w:p>
    <w:p w14:paraId="22EB007D" w14:textId="000B391D" w:rsidR="002655B5" w:rsidRDefault="00A9123C" w:rsidP="00A70BFC">
      <w:pPr>
        <w:spacing w:after="240"/>
        <w:ind w:left="-6"/>
        <w:rPr>
          <w:rFonts w:cs="Arial"/>
        </w:rPr>
      </w:pPr>
      <w:r w:rsidRPr="004C38CD">
        <w:rPr>
          <w:rFonts w:cs="Arial"/>
        </w:rPr>
        <w:t xml:space="preserve">If </w:t>
      </w:r>
      <w:r w:rsidR="002655B5">
        <w:rPr>
          <w:rFonts w:cs="Arial"/>
        </w:rPr>
        <w:t xml:space="preserve">the TGA becomes aware that </w:t>
      </w:r>
      <w:r w:rsidRPr="004C38CD">
        <w:rPr>
          <w:rFonts w:cs="Arial"/>
        </w:rPr>
        <w:t>all existing</w:t>
      </w:r>
      <w:r w:rsidR="00F1083F">
        <w:rPr>
          <w:rFonts w:cs="Arial"/>
        </w:rPr>
        <w:t xml:space="preserve"> (</w:t>
      </w:r>
      <w:r w:rsidRPr="004C38CD">
        <w:rPr>
          <w:rFonts w:cs="Arial"/>
        </w:rPr>
        <w:t>approved and notified</w:t>
      </w:r>
      <w:r w:rsidR="00F1083F">
        <w:rPr>
          <w:rFonts w:cs="Arial"/>
        </w:rPr>
        <w:t>)</w:t>
      </w:r>
      <w:r w:rsidRPr="004C38CD">
        <w:rPr>
          <w:rFonts w:cs="Arial"/>
        </w:rPr>
        <w:t xml:space="preserve"> </w:t>
      </w:r>
      <w:proofErr w:type="spellStart"/>
      <w:r w:rsidRPr="004C38CD">
        <w:rPr>
          <w:rFonts w:cs="Arial"/>
        </w:rPr>
        <w:t>CDx</w:t>
      </w:r>
      <w:proofErr w:type="spellEnd"/>
      <w:r w:rsidRPr="004C38CD">
        <w:rPr>
          <w:rFonts w:cs="Arial"/>
        </w:rPr>
        <w:t xml:space="preserve"> </w:t>
      </w:r>
      <w:r w:rsidR="002655B5">
        <w:rPr>
          <w:rFonts w:cs="Arial"/>
        </w:rPr>
        <w:t xml:space="preserve">for a given medicine or biological indication have </w:t>
      </w:r>
      <w:r w:rsidRPr="004C38CD">
        <w:rPr>
          <w:rFonts w:cs="Arial"/>
        </w:rPr>
        <w:t xml:space="preserve">become </w:t>
      </w:r>
      <w:r w:rsidR="00D1368F" w:rsidRPr="004C38CD">
        <w:rPr>
          <w:rFonts w:cs="Arial"/>
        </w:rPr>
        <w:t>unavailable in Australia</w:t>
      </w:r>
      <w:r w:rsidRPr="004C38CD">
        <w:rPr>
          <w:rFonts w:cs="Arial"/>
        </w:rPr>
        <w:t xml:space="preserve">, the medicine or biological sponsor </w:t>
      </w:r>
      <w:r w:rsidR="002655B5">
        <w:rPr>
          <w:rFonts w:cs="Arial"/>
        </w:rPr>
        <w:t>may be asked</w:t>
      </w:r>
      <w:r w:rsidRPr="004C38CD">
        <w:rPr>
          <w:rFonts w:cs="Arial"/>
        </w:rPr>
        <w:t xml:space="preserve"> to provide a new companion testing plan</w:t>
      </w:r>
      <w:r w:rsidR="09B7C499" w:rsidRPr="61C17192">
        <w:rPr>
          <w:rFonts w:cs="Arial"/>
        </w:rPr>
        <w:t xml:space="preserve"> for evaluation</w:t>
      </w:r>
      <w:r w:rsidR="1624C0CF" w:rsidRPr="61C17192">
        <w:rPr>
          <w:rFonts w:cs="Arial"/>
        </w:rPr>
        <w:t>, and a</w:t>
      </w:r>
      <w:r w:rsidR="09B7C499" w:rsidRPr="61C17192">
        <w:rPr>
          <w:rFonts w:cs="Arial"/>
        </w:rPr>
        <w:t xml:space="preserve"> new condition of registration </w:t>
      </w:r>
      <w:r w:rsidR="790C72EA" w:rsidRPr="61C17192">
        <w:rPr>
          <w:rFonts w:cs="Arial"/>
        </w:rPr>
        <w:t xml:space="preserve">regarding substantial changes to the testing plan </w:t>
      </w:r>
      <w:r w:rsidR="09B7C499" w:rsidRPr="61C17192">
        <w:rPr>
          <w:rFonts w:cs="Arial"/>
        </w:rPr>
        <w:t>may be added</w:t>
      </w:r>
      <w:r w:rsidRPr="004C38CD">
        <w:rPr>
          <w:rFonts w:cs="Arial"/>
        </w:rPr>
        <w:t xml:space="preserve">. </w:t>
      </w:r>
    </w:p>
    <w:p w14:paraId="738D4D70" w14:textId="7B362B2F" w:rsidR="00A9123C" w:rsidRDefault="599FBC6E" w:rsidP="21E0E7CE">
      <w:pPr>
        <w:spacing w:after="240"/>
        <w:ind w:left="-6"/>
        <w:rPr>
          <w:rFonts w:cs="Arial"/>
        </w:rPr>
      </w:pPr>
      <w:r w:rsidRPr="61C17192">
        <w:rPr>
          <w:rFonts w:cs="Arial"/>
        </w:rPr>
        <w:t>Data to support n</w:t>
      </w:r>
      <w:r w:rsidR="00A9123C" w:rsidRPr="61C17192">
        <w:rPr>
          <w:rFonts w:cs="Arial"/>
        </w:rPr>
        <w:t xml:space="preserve">ew or changed companion testing plans </w:t>
      </w:r>
      <w:r w:rsidR="3184C934" w:rsidRPr="61C17192">
        <w:rPr>
          <w:rFonts w:cs="Arial"/>
        </w:rPr>
        <w:t>should</w:t>
      </w:r>
      <w:r w:rsidR="00A9123C" w:rsidRPr="61C17192">
        <w:rPr>
          <w:rFonts w:cs="Arial"/>
        </w:rPr>
        <w:t xml:space="preserve"> be submitted by</w:t>
      </w:r>
      <w:r w:rsidR="00561927" w:rsidRPr="61C17192">
        <w:rPr>
          <w:rFonts w:cs="Arial"/>
        </w:rPr>
        <w:t xml:space="preserve"> the medicine or biological sponsor </w:t>
      </w:r>
      <w:r w:rsidR="00984208" w:rsidRPr="61C17192">
        <w:rPr>
          <w:rFonts w:cs="Arial"/>
        </w:rPr>
        <w:t>through</w:t>
      </w:r>
      <w:r w:rsidR="00561927" w:rsidRPr="61C17192">
        <w:rPr>
          <w:rFonts w:cs="Arial"/>
        </w:rPr>
        <w:t xml:space="preserve"> a </w:t>
      </w:r>
      <w:hyperlink r:id="rId28" w:history="1">
        <w:r w:rsidR="00561927" w:rsidRPr="001B2D45">
          <w:rPr>
            <w:rFonts w:cs="Arial"/>
            <w:color w:val="3333FF"/>
            <w:u w:val="single"/>
          </w:rPr>
          <w:t>type H application</w:t>
        </w:r>
        <w:r w:rsidR="47C16480" w:rsidRPr="61C17192">
          <w:rPr>
            <w:rFonts w:cs="Arial"/>
          </w:rPr>
          <w:t>, as</w:t>
        </w:r>
      </w:hyperlink>
      <w:r w:rsidR="3135D5CD" w:rsidRPr="61C17192">
        <w:rPr>
          <w:rFonts w:cs="Arial"/>
        </w:rPr>
        <w:t xml:space="preserve"> they require</w:t>
      </w:r>
      <w:r w:rsidR="0F3D1B99" w:rsidRPr="61C17192">
        <w:rPr>
          <w:rFonts w:cs="Arial"/>
        </w:rPr>
        <w:t xml:space="preserve"> </w:t>
      </w:r>
      <w:r w:rsidR="5F1BB113" w:rsidRPr="61C17192">
        <w:rPr>
          <w:rFonts w:cs="Arial"/>
        </w:rPr>
        <w:t>evaluation</w:t>
      </w:r>
      <w:r w:rsidR="00A9123C" w:rsidRPr="61C17192">
        <w:rPr>
          <w:rFonts w:cs="Arial"/>
        </w:rPr>
        <w:t xml:space="preserve">. </w:t>
      </w:r>
    </w:p>
    <w:p w14:paraId="23DCDA85" w14:textId="1D59D4C9" w:rsidR="00776AA7" w:rsidRDefault="00776AA7" w:rsidP="00923E07">
      <w:pPr>
        <w:pStyle w:val="Heading3"/>
      </w:pPr>
      <w:bookmarkStart w:id="38" w:name="_Toc158650265"/>
      <w:bookmarkEnd w:id="37"/>
      <w:r w:rsidRPr="00984208">
        <w:t>Product Information (PI)</w:t>
      </w:r>
      <w:bookmarkEnd w:id="38"/>
    </w:p>
    <w:p w14:paraId="24A290DF" w14:textId="75C9D566" w:rsidR="00010748" w:rsidDel="006B7D8D" w:rsidRDefault="5AB594B1" w:rsidP="00A70BFC">
      <w:pPr>
        <w:spacing w:after="240"/>
        <w:ind w:left="-6"/>
        <w:rPr>
          <w:rFonts w:cs="Arial"/>
        </w:rPr>
      </w:pPr>
      <w:r w:rsidRPr="2F9C3BCB">
        <w:rPr>
          <w:rFonts w:cs="Arial"/>
        </w:rPr>
        <w:t>T</w:t>
      </w:r>
      <w:r w:rsidR="7C8BBBD2" w:rsidRPr="2F9C3BCB">
        <w:rPr>
          <w:rFonts w:cs="Arial"/>
        </w:rPr>
        <w:t xml:space="preserve">he </w:t>
      </w:r>
      <w:r w:rsidR="0005166D">
        <w:rPr>
          <w:rFonts w:cs="Arial"/>
        </w:rPr>
        <w:t>Product Information (</w:t>
      </w:r>
      <w:r w:rsidR="7C8BBBD2" w:rsidRPr="2F9C3BCB">
        <w:rPr>
          <w:rFonts w:cs="Arial"/>
        </w:rPr>
        <w:t>PI</w:t>
      </w:r>
      <w:r w:rsidR="0005166D">
        <w:rPr>
          <w:rFonts w:cs="Arial"/>
        </w:rPr>
        <w:t>)</w:t>
      </w:r>
      <w:r w:rsidR="7C8BBBD2" w:rsidRPr="2F9C3BCB">
        <w:rPr>
          <w:rFonts w:cs="Arial"/>
        </w:rPr>
        <w:t xml:space="preserve"> for a medicine or the IFU (for a biological) </w:t>
      </w:r>
      <w:r w:rsidR="00776AA7">
        <w:rPr>
          <w:rFonts w:cs="Arial"/>
        </w:rPr>
        <w:t>will</w:t>
      </w:r>
      <w:r w:rsidR="00776AA7" w:rsidRPr="2F9C3BCB">
        <w:rPr>
          <w:rFonts w:cs="Arial"/>
        </w:rPr>
        <w:t xml:space="preserve"> </w:t>
      </w:r>
      <w:r w:rsidR="7C8BBBD2" w:rsidRPr="2F9C3BCB">
        <w:rPr>
          <w:rFonts w:cs="Arial"/>
        </w:rPr>
        <w:t xml:space="preserve">include </w:t>
      </w:r>
      <w:r w:rsidR="6EF57BBF" w:rsidRPr="61C17192">
        <w:rPr>
          <w:rFonts w:cs="Arial"/>
        </w:rPr>
        <w:t xml:space="preserve">a </w:t>
      </w:r>
      <w:proofErr w:type="spellStart"/>
      <w:r w:rsidR="5E86D9CD" w:rsidRPr="61C17192">
        <w:rPr>
          <w:rFonts w:cs="Arial"/>
        </w:rPr>
        <w:t>CDx</w:t>
      </w:r>
      <w:proofErr w:type="spellEnd"/>
      <w:r w:rsidR="5E86D9CD" w:rsidRPr="61C17192">
        <w:rPr>
          <w:rFonts w:cs="Arial"/>
        </w:rPr>
        <w:t xml:space="preserve"> ‘flag’</w:t>
      </w:r>
      <w:r w:rsidR="7C8BBBD2" w:rsidRPr="2F9C3BCB">
        <w:rPr>
          <w:rFonts w:cs="Arial"/>
        </w:rPr>
        <w:t xml:space="preserve"> </w:t>
      </w:r>
      <w:r w:rsidR="00776AA7">
        <w:rPr>
          <w:rFonts w:cs="Arial"/>
        </w:rPr>
        <w:t>statement</w:t>
      </w:r>
      <w:r w:rsidR="00776AA7" w:rsidRPr="2F9C3BCB">
        <w:rPr>
          <w:rFonts w:cs="Arial"/>
        </w:rPr>
        <w:t xml:space="preserve"> </w:t>
      </w:r>
      <w:r w:rsidR="5773FE58" w:rsidRPr="61C17192">
        <w:rPr>
          <w:rFonts w:cs="Arial"/>
        </w:rPr>
        <w:t xml:space="preserve">in line with the following </w:t>
      </w:r>
      <w:r w:rsidR="6C4DDE61" w:rsidRPr="2F9C3BCB">
        <w:rPr>
          <w:rFonts w:cs="Arial"/>
        </w:rPr>
        <w:t>for</w:t>
      </w:r>
      <w:r w:rsidR="4666D93A" w:rsidRPr="2F9C3BCB">
        <w:rPr>
          <w:rFonts w:cs="Arial"/>
        </w:rPr>
        <w:t xml:space="preserve"> all</w:t>
      </w:r>
      <w:r w:rsidR="7575B303" w:rsidRPr="2F9C3BCB">
        <w:rPr>
          <w:rFonts w:cs="Arial"/>
        </w:rPr>
        <w:t xml:space="preserve"> </w:t>
      </w:r>
      <w:r w:rsidR="7575B303" w:rsidRPr="00CD47CB">
        <w:rPr>
          <w:rFonts w:cs="Arial"/>
          <w:b/>
          <w:bCs/>
        </w:rPr>
        <w:t>new</w:t>
      </w:r>
      <w:r w:rsidR="6C4DDE61" w:rsidRPr="00CD47CB">
        <w:rPr>
          <w:rFonts w:cs="Arial"/>
          <w:b/>
          <w:bCs/>
        </w:rPr>
        <w:t xml:space="preserve"> </w:t>
      </w:r>
      <w:r w:rsidR="6C4DDE61" w:rsidRPr="2F9C3BCB">
        <w:rPr>
          <w:rFonts w:cs="Arial"/>
        </w:rPr>
        <w:t>indication</w:t>
      </w:r>
      <w:r w:rsidR="7C97EF07" w:rsidRPr="2F9C3BCB">
        <w:rPr>
          <w:rFonts w:cs="Arial"/>
        </w:rPr>
        <w:t>s</w:t>
      </w:r>
      <w:r w:rsidR="6C4DDE61" w:rsidRPr="2F9C3BCB">
        <w:rPr>
          <w:rFonts w:cs="Arial"/>
        </w:rPr>
        <w:t xml:space="preserve"> that require </w:t>
      </w:r>
      <w:proofErr w:type="spellStart"/>
      <w:r w:rsidR="6C4DDE61" w:rsidRPr="2F9C3BCB">
        <w:rPr>
          <w:rFonts w:cs="Arial"/>
        </w:rPr>
        <w:t>CDx</w:t>
      </w:r>
      <w:proofErr w:type="spellEnd"/>
      <w:r w:rsidR="6C4DDE61" w:rsidRPr="2F9C3BCB">
        <w:rPr>
          <w:rFonts w:cs="Arial"/>
        </w:rPr>
        <w:t xml:space="preserve"> testing</w:t>
      </w:r>
      <w:r w:rsidR="7C8BBBD2" w:rsidRPr="2F9C3BCB">
        <w:rPr>
          <w:rFonts w:cs="Arial"/>
        </w:rPr>
        <w:t>:</w:t>
      </w:r>
    </w:p>
    <w:p w14:paraId="600CA4FC" w14:textId="04FC8E97" w:rsidR="00561927" w:rsidRDefault="23AD497A" w:rsidP="00A70BFC">
      <w:pPr>
        <w:spacing w:after="240"/>
        <w:ind w:left="-6"/>
        <w:rPr>
          <w:rFonts w:cs="Arial"/>
          <w:i/>
          <w:iCs/>
        </w:rPr>
      </w:pPr>
      <w:r w:rsidRPr="415C6BA6">
        <w:rPr>
          <w:rFonts w:cs="Arial"/>
          <w:i/>
          <w:iCs/>
          <w:u w:val="single"/>
        </w:rPr>
        <w:t>“</w:t>
      </w:r>
      <w:r w:rsidR="06AAE8D9" w:rsidRPr="415C6BA6">
        <w:rPr>
          <w:rFonts w:cs="Arial"/>
          <w:i/>
          <w:iCs/>
          <w:u w:val="single"/>
        </w:rPr>
        <w:t>IVD</w:t>
      </w:r>
      <w:r w:rsidRPr="415C6BA6">
        <w:rPr>
          <w:rFonts w:cs="Arial"/>
          <w:i/>
          <w:iCs/>
          <w:u w:val="single"/>
        </w:rPr>
        <w:t xml:space="preserve"> companion diagnostic </w:t>
      </w:r>
      <w:r w:rsidR="7ADE1062" w:rsidRPr="415C6BA6">
        <w:rPr>
          <w:rFonts w:cs="Arial"/>
          <w:i/>
          <w:iCs/>
          <w:u w:val="single"/>
        </w:rPr>
        <w:t>(</w:t>
      </w:r>
      <w:proofErr w:type="spellStart"/>
      <w:r w:rsidR="7ADE1062" w:rsidRPr="415C6BA6">
        <w:rPr>
          <w:rFonts w:cs="Arial"/>
          <w:i/>
          <w:iCs/>
          <w:u w:val="single"/>
        </w:rPr>
        <w:t>CDx</w:t>
      </w:r>
      <w:proofErr w:type="spellEnd"/>
      <w:r w:rsidR="7ADE1062" w:rsidRPr="415C6BA6">
        <w:rPr>
          <w:rFonts w:cs="Arial"/>
          <w:i/>
          <w:iCs/>
          <w:u w:val="single"/>
        </w:rPr>
        <w:t xml:space="preserve">) </w:t>
      </w:r>
      <w:r w:rsidRPr="415C6BA6">
        <w:rPr>
          <w:rFonts w:cs="Arial"/>
          <w:i/>
          <w:iCs/>
          <w:u w:val="single"/>
        </w:rPr>
        <w:t>testing</w:t>
      </w:r>
      <w:r w:rsidR="007D29E8" w:rsidRPr="415C6BA6">
        <w:rPr>
          <w:rFonts w:cs="Arial"/>
          <w:i/>
          <w:iCs/>
          <w:u w:val="single"/>
        </w:rPr>
        <w:t>”</w:t>
      </w:r>
      <w:r>
        <w:br/>
      </w:r>
      <w:r w:rsidR="00F1083F" w:rsidRPr="415C6BA6">
        <w:rPr>
          <w:rFonts w:cs="Arial"/>
          <w:i/>
          <w:iCs/>
        </w:rPr>
        <w:t>“</w:t>
      </w:r>
      <w:r w:rsidRPr="415C6BA6">
        <w:rPr>
          <w:rFonts w:cs="Arial"/>
          <w:i/>
          <w:iCs/>
        </w:rPr>
        <w:t xml:space="preserve">For safe and effective use of (medicine) to treat (indication), testing of (sample type) to (purpose of test) is essential. Testing </w:t>
      </w:r>
      <w:r w:rsidR="72F2F313" w:rsidRPr="415C6BA6">
        <w:rPr>
          <w:rFonts w:cs="Arial"/>
          <w:i/>
          <w:iCs/>
        </w:rPr>
        <w:t xml:space="preserve">used in clinical practice </w:t>
      </w:r>
      <w:r w:rsidRPr="415C6BA6">
        <w:rPr>
          <w:rFonts w:cs="Arial"/>
          <w:i/>
          <w:iCs/>
        </w:rPr>
        <w:t>should be adequately comparable to the testing used in the pivotal study(</w:t>
      </w:r>
      <w:proofErr w:type="spellStart"/>
      <w:r w:rsidRPr="415C6BA6">
        <w:rPr>
          <w:rFonts w:cs="Arial"/>
          <w:i/>
          <w:iCs/>
        </w:rPr>
        <w:t>ies</w:t>
      </w:r>
      <w:proofErr w:type="spellEnd"/>
      <w:r w:rsidRPr="415C6BA6">
        <w:rPr>
          <w:rFonts w:cs="Arial"/>
          <w:i/>
          <w:iCs/>
        </w:rPr>
        <w:t>).”</w:t>
      </w:r>
    </w:p>
    <w:p w14:paraId="755958EC" w14:textId="7DE2D0F8" w:rsidR="002655B5" w:rsidRDefault="070A6F48" w:rsidP="61C17192">
      <w:r>
        <w:t xml:space="preserve">It is </w:t>
      </w:r>
      <w:r w:rsidR="009704D5">
        <w:t xml:space="preserve">recommended </w:t>
      </w:r>
      <w:r>
        <w:t xml:space="preserve">that the </w:t>
      </w:r>
      <w:proofErr w:type="spellStart"/>
      <w:r>
        <w:t>CDx</w:t>
      </w:r>
      <w:proofErr w:type="spellEnd"/>
      <w:r>
        <w:t xml:space="preserve"> flag statement be </w:t>
      </w:r>
      <w:r w:rsidR="4D624BAE">
        <w:t xml:space="preserve">included </w:t>
      </w:r>
      <w:r>
        <w:t xml:space="preserve">as a </w:t>
      </w:r>
      <w:r w:rsidR="7BC2A887">
        <w:t>sub</w:t>
      </w:r>
      <w:r>
        <w:t>heading in section 4.4 of the PI (Special warnings and precautions for use)</w:t>
      </w:r>
      <w:r w:rsidR="4E47EE58">
        <w:t>.</w:t>
      </w:r>
      <w:r w:rsidR="74D7E001">
        <w:t xml:space="preserve"> A single statement listing all relevant indications is preferred </w:t>
      </w:r>
      <w:r w:rsidR="7CAEF781">
        <w:t xml:space="preserve">rather than </w:t>
      </w:r>
      <w:r w:rsidR="74D7E001">
        <w:t xml:space="preserve">a separate </w:t>
      </w:r>
      <w:r w:rsidR="494236E4">
        <w:t>statement</w:t>
      </w:r>
      <w:r w:rsidR="53A0401E">
        <w:t>/</w:t>
      </w:r>
      <w:r w:rsidR="494236E4">
        <w:t xml:space="preserve">new </w:t>
      </w:r>
      <w:r w:rsidR="74D7E001">
        <w:t xml:space="preserve">paragraph per indication. </w:t>
      </w:r>
    </w:p>
    <w:p w14:paraId="7D6A957C" w14:textId="70B295BF" w:rsidR="002655B5" w:rsidRDefault="002655B5" w:rsidP="002655B5">
      <w:r>
        <w:t xml:space="preserve">TGA does not intend to retrospectively assess all existing medicine indications for </w:t>
      </w:r>
      <w:proofErr w:type="gramStart"/>
      <w:r>
        <w:t>whether or not</w:t>
      </w:r>
      <w:proofErr w:type="gramEnd"/>
      <w:r>
        <w:t xml:space="preserve"> they are indications requiring companion testing. Instead, we will do this for existing medicine indications </w:t>
      </w:r>
      <w:r w:rsidR="00776AA7">
        <w:t xml:space="preserve">only </w:t>
      </w:r>
      <w:r>
        <w:t xml:space="preserve">when we receive </w:t>
      </w:r>
      <w:r w:rsidR="006F689F">
        <w:t>a</w:t>
      </w:r>
      <w:r>
        <w:t xml:space="preserve"> relevant application from a device sponsor for a corresponding </w:t>
      </w:r>
      <w:proofErr w:type="spellStart"/>
      <w:r>
        <w:t>CDx</w:t>
      </w:r>
      <w:proofErr w:type="spellEnd"/>
      <w:r>
        <w:t xml:space="preserve"> device to be </w:t>
      </w:r>
      <w:r w:rsidR="00776AA7">
        <w:t>included in</w:t>
      </w:r>
      <w:r>
        <w:t xml:space="preserve"> the ARTG. </w:t>
      </w:r>
    </w:p>
    <w:p w14:paraId="7CF5A77C" w14:textId="43C0340D" w:rsidR="002655B5" w:rsidRDefault="002655B5" w:rsidP="002655B5">
      <w:r>
        <w:t xml:space="preserve">The PI for medicines with existing indications that require testing </w:t>
      </w:r>
      <w:r w:rsidR="00776AA7">
        <w:t xml:space="preserve">that is </w:t>
      </w:r>
      <w:r>
        <w:t xml:space="preserve">consistent with companion testing according to the identification guide may contain </w:t>
      </w:r>
      <w:r w:rsidR="240F5727">
        <w:t>other</w:t>
      </w:r>
      <w:r>
        <w:t xml:space="preserve"> testing-related </w:t>
      </w:r>
      <w:r w:rsidR="00776AA7">
        <w:t>terminology</w:t>
      </w:r>
      <w:r>
        <w:t xml:space="preserve"> (such as “validated test”). The flexibility in the legislation wording means that we can still consider those older indications to be </w:t>
      </w:r>
      <w:r w:rsidR="00776AA7">
        <w:t>‘</w:t>
      </w:r>
      <w:r>
        <w:t>indications requiring companion testing</w:t>
      </w:r>
      <w:r w:rsidR="00776AA7">
        <w:t>’</w:t>
      </w:r>
      <w:r>
        <w:t xml:space="preserve"> without needing the new specific </w:t>
      </w:r>
      <w:proofErr w:type="spellStart"/>
      <w:r w:rsidR="2C2AEF42">
        <w:t>CDx</w:t>
      </w:r>
      <w:proofErr w:type="spellEnd"/>
      <w:r w:rsidR="2C2AEF42">
        <w:t xml:space="preserve"> </w:t>
      </w:r>
      <w:r w:rsidR="553F7FA0">
        <w:t>‘</w:t>
      </w:r>
      <w:r>
        <w:t>flag</w:t>
      </w:r>
      <w:r w:rsidR="79E6F1F7">
        <w:t>’</w:t>
      </w:r>
      <w:r>
        <w:t xml:space="preserve"> phrase to be in the PI. However, as the intention of the new flag phrase is to assist stakeholders to identify the medicine indications that correlate with registered </w:t>
      </w:r>
      <w:proofErr w:type="spellStart"/>
      <w:r>
        <w:t>CDx</w:t>
      </w:r>
      <w:proofErr w:type="spellEnd"/>
      <w:r>
        <w:t xml:space="preserve"> devices or notified NATA-accredited tests, we encourage sponsors of such indications to alter </w:t>
      </w:r>
      <w:r w:rsidR="67916F3B">
        <w:t>their</w:t>
      </w:r>
      <w:r>
        <w:t xml:space="preserve"> PIs to add the new flag phrase</w:t>
      </w:r>
      <w:r w:rsidR="0036E537">
        <w:t>.</w:t>
      </w:r>
      <w:r>
        <w:t xml:space="preserve"> </w:t>
      </w:r>
      <w:r w:rsidR="10BB6766">
        <w:t>This can be done at a convenient time</w:t>
      </w:r>
      <w:r>
        <w:t xml:space="preserve"> within an existing </w:t>
      </w:r>
      <w:proofErr w:type="gramStart"/>
      <w:r>
        <w:t>submission</w:t>
      </w:r>
      <w:r w:rsidR="53995705">
        <w:t>, and</w:t>
      </w:r>
      <w:proofErr w:type="gramEnd"/>
      <w:r>
        <w:t xml:space="preserve"> is encouraged but not mandated. </w:t>
      </w:r>
    </w:p>
    <w:p w14:paraId="67F6EEAD" w14:textId="3FD2AB62" w:rsidR="002655B5" w:rsidRPr="009C77AA" w:rsidRDefault="5D471E9B" w:rsidP="61C17192">
      <w:r>
        <w:t>T</w:t>
      </w:r>
      <w:r w:rsidR="002655B5">
        <w:t xml:space="preserve">he </w:t>
      </w:r>
      <w:proofErr w:type="spellStart"/>
      <w:r w:rsidR="7DF4AC02">
        <w:t>CDx</w:t>
      </w:r>
      <w:proofErr w:type="spellEnd"/>
      <w:r w:rsidR="7DF4AC02">
        <w:t xml:space="preserve"> </w:t>
      </w:r>
      <w:r w:rsidR="002655B5">
        <w:t xml:space="preserve">flag phrase for the medicine PI </w:t>
      </w:r>
      <w:r w:rsidR="22FE1231">
        <w:t>will</w:t>
      </w:r>
      <w:r w:rsidR="002655B5">
        <w:t xml:space="preserve"> not </w:t>
      </w:r>
      <w:r w:rsidR="7EEED72C">
        <w:t>be included</w:t>
      </w:r>
      <w:r w:rsidR="002655B5">
        <w:t xml:space="preserve"> in the wording of the indication, </w:t>
      </w:r>
      <w:r w:rsidR="4A90071C">
        <w:t>to avoid</w:t>
      </w:r>
      <w:r w:rsidR="002655B5">
        <w:t xml:space="preserve"> implications for on-label versus off-label use based on test selection. Selection of patients that match the clinical indication description</w:t>
      </w:r>
      <w:r w:rsidR="0EB7C99A">
        <w:t xml:space="preserve"> (</w:t>
      </w:r>
      <w:r w:rsidR="002655B5">
        <w:t xml:space="preserve">including </w:t>
      </w:r>
      <w:r w:rsidR="206AEE9D">
        <w:t>selection</w:t>
      </w:r>
      <w:r w:rsidR="002655B5">
        <w:t xml:space="preserve"> of clinical tools </w:t>
      </w:r>
      <w:r w:rsidR="6B34BF62">
        <w:t>such as</w:t>
      </w:r>
      <w:r w:rsidR="002655B5">
        <w:t xml:space="preserve"> IVD diagnostic tests with which to do so</w:t>
      </w:r>
      <w:r w:rsidR="20F6A421">
        <w:t>)</w:t>
      </w:r>
      <w:r w:rsidR="002655B5">
        <w:t xml:space="preserve"> is within the remit of clinical practice. The intention of the TGA </w:t>
      </w:r>
      <w:proofErr w:type="spellStart"/>
      <w:r w:rsidR="002655B5">
        <w:t>CDx</w:t>
      </w:r>
      <w:proofErr w:type="spellEnd"/>
      <w:r w:rsidR="002655B5">
        <w:t xml:space="preserve"> framework is to provide additional information that stakeholders can use in their decision-making, including identifying where TGA has made a specific assessment of comparability between tests.</w:t>
      </w:r>
    </w:p>
    <w:p w14:paraId="19A2D5A5" w14:textId="5C032E77" w:rsidR="00FE2E00" w:rsidRPr="00BA3896" w:rsidRDefault="7A589AFE" w:rsidP="006853B0">
      <w:pPr>
        <w:pStyle w:val="Heading2"/>
      </w:pPr>
      <w:bookmarkStart w:id="39" w:name="_Toc143557683"/>
      <w:bookmarkStart w:id="40" w:name="_Toc144388261"/>
      <w:bookmarkStart w:id="41" w:name="_Toc158650266"/>
      <w:r w:rsidRPr="00BA3896">
        <w:t>What do device sponsors need to do?</w:t>
      </w:r>
      <w:bookmarkEnd w:id="39"/>
      <w:bookmarkEnd w:id="40"/>
      <w:bookmarkEnd w:id="41"/>
    </w:p>
    <w:p w14:paraId="55CAACB5" w14:textId="25F050A1" w:rsidR="00101B49" w:rsidRPr="006853B0" w:rsidRDefault="2AB66FA6" w:rsidP="00A70BFC">
      <w:pPr>
        <w:spacing w:after="240"/>
        <w:rPr>
          <w:rFonts w:eastAsia="Arial" w:cs="Arial"/>
        </w:rPr>
      </w:pPr>
      <w:r w:rsidRPr="00671582">
        <w:rPr>
          <w:rFonts w:eastAsia="Arial" w:cs="Arial"/>
        </w:rPr>
        <w:t xml:space="preserve">Sponsors of </w:t>
      </w:r>
      <w:r w:rsidR="5D447E4E" w:rsidRPr="00671582">
        <w:rPr>
          <w:rFonts w:eastAsia="Arial" w:cs="Arial"/>
        </w:rPr>
        <w:t xml:space="preserve">a test seeking inclusion </w:t>
      </w:r>
      <w:r w:rsidR="006E510D">
        <w:rPr>
          <w:rFonts w:eastAsia="Arial" w:cs="Arial"/>
        </w:rPr>
        <w:t>of</w:t>
      </w:r>
      <w:r w:rsidR="006E510D" w:rsidRPr="00671582">
        <w:rPr>
          <w:rFonts w:eastAsia="Arial" w:cs="Arial"/>
        </w:rPr>
        <w:t xml:space="preserve"> </w:t>
      </w:r>
      <w:r w:rsidR="5D447E4E" w:rsidRPr="00671582">
        <w:rPr>
          <w:rFonts w:eastAsia="Arial" w:cs="Arial"/>
        </w:rPr>
        <w:t>a</w:t>
      </w:r>
      <w:r w:rsidRPr="00671582">
        <w:rPr>
          <w:rFonts w:eastAsia="Arial" w:cs="Arial"/>
        </w:rPr>
        <w:t xml:space="preserve"> </w:t>
      </w:r>
      <w:proofErr w:type="spellStart"/>
      <w:r w:rsidRPr="00671582">
        <w:rPr>
          <w:rFonts w:eastAsia="Arial" w:cs="Arial"/>
        </w:rPr>
        <w:t>CDx</w:t>
      </w:r>
      <w:proofErr w:type="spellEnd"/>
      <w:r w:rsidRPr="00671582">
        <w:rPr>
          <w:rFonts w:eastAsia="Arial" w:cs="Arial"/>
        </w:rPr>
        <w:t xml:space="preserve"> </w:t>
      </w:r>
      <w:r w:rsidR="006E510D">
        <w:rPr>
          <w:rFonts w:eastAsia="Arial" w:cs="Arial"/>
        </w:rPr>
        <w:t xml:space="preserve">in the ARTG </w:t>
      </w:r>
      <w:r w:rsidR="00F1083F">
        <w:rPr>
          <w:rFonts w:eastAsia="Arial" w:cs="Arial"/>
        </w:rPr>
        <w:t>must</w:t>
      </w:r>
      <w:r w:rsidRPr="00671582">
        <w:rPr>
          <w:rFonts w:eastAsia="Arial" w:cs="Arial"/>
        </w:rPr>
        <w:t xml:space="preserve"> submit an IVD medical device application while th</w:t>
      </w:r>
      <w:r w:rsidR="3F9F3489" w:rsidRPr="00671582">
        <w:rPr>
          <w:rFonts w:eastAsia="Arial" w:cs="Arial"/>
        </w:rPr>
        <w:t>e medicine or biological application is being considered</w:t>
      </w:r>
      <w:r w:rsidR="006E510D">
        <w:rPr>
          <w:rFonts w:eastAsia="Arial" w:cs="Arial"/>
        </w:rPr>
        <w:t>,</w:t>
      </w:r>
      <w:r w:rsidR="3F9F3489" w:rsidRPr="00671582">
        <w:rPr>
          <w:rFonts w:eastAsia="Arial" w:cs="Arial"/>
        </w:rPr>
        <w:t xml:space="preserve"> or </w:t>
      </w:r>
      <w:r w:rsidR="006E510D">
        <w:rPr>
          <w:rFonts w:eastAsia="Arial" w:cs="Arial"/>
        </w:rPr>
        <w:t xml:space="preserve">at </w:t>
      </w:r>
      <w:r w:rsidR="3F9F3489" w:rsidRPr="00671582">
        <w:rPr>
          <w:rFonts w:eastAsia="Arial" w:cs="Arial"/>
        </w:rPr>
        <w:t xml:space="preserve">any time after approval of the medicine or biological. </w:t>
      </w:r>
      <w:r w:rsidR="7861B578" w:rsidRPr="00671582">
        <w:rPr>
          <w:rFonts w:eastAsia="Arial" w:cs="Arial"/>
        </w:rPr>
        <w:t xml:space="preserve">Instructions for the submission of IVD medical device applications can be found </w:t>
      </w:r>
      <w:r w:rsidR="00BA3896" w:rsidRPr="00671582">
        <w:rPr>
          <w:rFonts w:eastAsia="Arial" w:cs="Arial"/>
        </w:rPr>
        <w:t>on</w:t>
      </w:r>
      <w:r w:rsidR="7842509A" w:rsidRPr="00671582">
        <w:rPr>
          <w:rFonts w:eastAsia="Arial" w:cs="Arial"/>
        </w:rPr>
        <w:t xml:space="preserve"> </w:t>
      </w:r>
      <w:hyperlink r:id="rId29" w:history="1">
        <w:r w:rsidR="7842509A" w:rsidRPr="00671582">
          <w:rPr>
            <w:rStyle w:val="Hyperlink"/>
            <w:rFonts w:eastAsia="Arial" w:cs="Arial"/>
          </w:rPr>
          <w:t>Medical device inclusion process</w:t>
        </w:r>
      </w:hyperlink>
      <w:r w:rsidR="7842509A" w:rsidRPr="00671582">
        <w:rPr>
          <w:rFonts w:eastAsia="Arial" w:cs="Arial"/>
        </w:rPr>
        <w:t>.</w:t>
      </w:r>
    </w:p>
    <w:p w14:paraId="6A2F6BD7" w14:textId="2E90371B" w:rsidR="00F747B2" w:rsidRPr="00671582" w:rsidDel="006B7D8D" w:rsidRDefault="00F747B2" w:rsidP="00F747B2">
      <w:pPr>
        <w:spacing w:after="240"/>
        <w:ind w:left="-4"/>
        <w:rPr>
          <w:rFonts w:cs="Arial"/>
        </w:rPr>
      </w:pPr>
      <w:bookmarkStart w:id="42" w:name="_Toc143557684"/>
      <w:r w:rsidRPr="00671582">
        <w:rPr>
          <w:rFonts w:cs="Arial"/>
        </w:rPr>
        <w:t>The medical device application must include</w:t>
      </w:r>
      <w:r w:rsidR="00C84B84" w:rsidRPr="00671582">
        <w:rPr>
          <w:rFonts w:cs="Arial"/>
        </w:rPr>
        <w:t xml:space="preserve"> data to demonstrate application of minimum applicable conformity assessment procedures and compliance with the relevant</w:t>
      </w:r>
      <w:r w:rsidR="00000FB8" w:rsidRPr="00671582">
        <w:rPr>
          <w:rFonts w:cs="Arial"/>
        </w:rPr>
        <w:t xml:space="preserve"> </w:t>
      </w:r>
      <w:hyperlink r:id="rId30" w:history="1">
        <w:r w:rsidR="00000FB8" w:rsidRPr="00671582">
          <w:rPr>
            <w:rStyle w:val="Hyperlink"/>
            <w:rFonts w:cs="Arial"/>
          </w:rPr>
          <w:t>Essential Principles</w:t>
        </w:r>
      </w:hyperlink>
      <w:r w:rsidRPr="00671582">
        <w:rPr>
          <w:rFonts w:cs="Arial"/>
        </w:rPr>
        <w:t>:</w:t>
      </w:r>
    </w:p>
    <w:bookmarkEnd w:id="42"/>
    <w:p w14:paraId="55264485" w14:textId="5B880A3C" w:rsidR="00101B49" w:rsidRPr="00671582" w:rsidRDefault="37F5AF62" w:rsidP="00101B49">
      <w:pPr>
        <w:pStyle w:val="ListParagraph"/>
        <w:numPr>
          <w:ilvl w:val="0"/>
          <w:numId w:val="21"/>
        </w:numPr>
        <w:spacing w:after="385"/>
        <w:ind w:right="0"/>
        <w:rPr>
          <w:rFonts w:ascii="Arial" w:hAnsi="Arial" w:cs="Arial"/>
          <w:sz w:val="20"/>
          <w:szCs w:val="20"/>
        </w:rPr>
      </w:pPr>
      <w:r w:rsidRPr="00671582">
        <w:rPr>
          <w:rFonts w:ascii="Arial" w:hAnsi="Arial" w:cs="Arial"/>
          <w:sz w:val="20"/>
          <w:szCs w:val="20"/>
        </w:rPr>
        <w:lastRenderedPageBreak/>
        <w:t xml:space="preserve">Device history, including </w:t>
      </w:r>
      <w:r w:rsidR="59171BC3" w:rsidRPr="00671582">
        <w:rPr>
          <w:rFonts w:ascii="Arial" w:hAnsi="Arial" w:cs="Arial"/>
          <w:sz w:val="20"/>
          <w:szCs w:val="20"/>
        </w:rPr>
        <w:t xml:space="preserve">any </w:t>
      </w:r>
      <w:r w:rsidRPr="00671582">
        <w:rPr>
          <w:rFonts w:ascii="Arial" w:hAnsi="Arial" w:cs="Arial"/>
          <w:sz w:val="20"/>
          <w:szCs w:val="20"/>
        </w:rPr>
        <w:t xml:space="preserve">international approvals, </w:t>
      </w:r>
      <w:proofErr w:type="gramStart"/>
      <w:r w:rsidRPr="00671582">
        <w:rPr>
          <w:rFonts w:ascii="Arial" w:hAnsi="Arial" w:cs="Arial"/>
          <w:sz w:val="20"/>
          <w:szCs w:val="20"/>
        </w:rPr>
        <w:t>rejections</w:t>
      </w:r>
      <w:proofErr w:type="gramEnd"/>
      <w:r w:rsidRPr="00671582">
        <w:rPr>
          <w:rFonts w:ascii="Arial" w:hAnsi="Arial" w:cs="Arial"/>
          <w:sz w:val="20"/>
          <w:szCs w:val="20"/>
        </w:rPr>
        <w:t xml:space="preserve"> or </w:t>
      </w:r>
      <w:r w:rsidR="00BA3896" w:rsidRPr="00671582">
        <w:rPr>
          <w:rFonts w:ascii="Arial" w:hAnsi="Arial" w:cs="Arial"/>
          <w:sz w:val="20"/>
          <w:szCs w:val="20"/>
        </w:rPr>
        <w:t>withdrawals.</w:t>
      </w:r>
    </w:p>
    <w:p w14:paraId="381F95A2" w14:textId="77777777" w:rsidR="00101B49" w:rsidRPr="00671582" w:rsidRDefault="00101B49" w:rsidP="00101B49">
      <w:pPr>
        <w:pStyle w:val="ListParagraph"/>
        <w:numPr>
          <w:ilvl w:val="0"/>
          <w:numId w:val="21"/>
        </w:numPr>
        <w:spacing w:after="385"/>
        <w:ind w:right="0"/>
        <w:rPr>
          <w:rFonts w:ascii="Arial" w:hAnsi="Arial" w:cs="Arial"/>
          <w:sz w:val="20"/>
          <w:szCs w:val="20"/>
        </w:rPr>
      </w:pPr>
      <w:r w:rsidRPr="00671582">
        <w:rPr>
          <w:rFonts w:ascii="Arial" w:hAnsi="Arial" w:cs="Arial"/>
          <w:sz w:val="20"/>
          <w:szCs w:val="20"/>
        </w:rPr>
        <w:t>Design and manufacturing information</w:t>
      </w:r>
    </w:p>
    <w:p w14:paraId="1F27819D" w14:textId="767EFE55" w:rsidR="00F87194" w:rsidRPr="00671582" w:rsidRDefault="00000000" w:rsidP="00101B49">
      <w:pPr>
        <w:pStyle w:val="ListParagraph"/>
        <w:numPr>
          <w:ilvl w:val="0"/>
          <w:numId w:val="21"/>
        </w:numPr>
        <w:spacing w:after="385"/>
        <w:ind w:right="0"/>
        <w:rPr>
          <w:rFonts w:ascii="Arial" w:hAnsi="Arial" w:cs="Arial"/>
          <w:sz w:val="20"/>
          <w:szCs w:val="20"/>
        </w:rPr>
      </w:pPr>
      <w:hyperlink w:anchor="_Instructions_for_use" w:history="1">
        <w:r w:rsidR="23EF3C0C" w:rsidRPr="00671582">
          <w:rPr>
            <w:rStyle w:val="Hyperlink"/>
            <w:rFonts w:cs="Arial"/>
            <w:sz w:val="20"/>
            <w:szCs w:val="20"/>
          </w:rPr>
          <w:t>Instructions for use (IFU)</w:t>
        </w:r>
      </w:hyperlink>
    </w:p>
    <w:p w14:paraId="6BE6F558" w14:textId="58EFE230" w:rsidR="00405812" w:rsidRPr="00671582" w:rsidRDefault="00147DC5" w:rsidP="00405812">
      <w:pPr>
        <w:pStyle w:val="ListParagraph"/>
        <w:numPr>
          <w:ilvl w:val="0"/>
          <w:numId w:val="21"/>
        </w:numPr>
        <w:spacing w:after="385"/>
        <w:ind w:right="0"/>
        <w:rPr>
          <w:rStyle w:val="Hyperlink"/>
          <w:rFonts w:cs="Arial"/>
          <w:sz w:val="20"/>
          <w:szCs w:val="20"/>
        </w:rPr>
      </w:pPr>
      <w:r w:rsidRPr="00671582">
        <w:rPr>
          <w:rFonts w:ascii="Arial" w:hAnsi="Arial" w:cs="Arial"/>
          <w:sz w:val="20"/>
          <w:szCs w:val="20"/>
        </w:rPr>
        <w:fldChar w:fldCharType="begin"/>
      </w:r>
      <w:r w:rsidRPr="00671582">
        <w:rPr>
          <w:rFonts w:ascii="Arial" w:hAnsi="Arial" w:cs="Arial"/>
          <w:sz w:val="20"/>
          <w:szCs w:val="20"/>
        </w:rPr>
        <w:instrText xml:space="preserve"> HYPERLINK  \l "_Clinical_performance_requirements" </w:instrText>
      </w:r>
      <w:r w:rsidRPr="00671582">
        <w:rPr>
          <w:rFonts w:ascii="Arial" w:hAnsi="Arial" w:cs="Arial"/>
          <w:sz w:val="20"/>
          <w:szCs w:val="20"/>
        </w:rPr>
      </w:r>
      <w:r w:rsidRPr="00671582">
        <w:rPr>
          <w:rFonts w:ascii="Arial" w:hAnsi="Arial" w:cs="Arial"/>
          <w:sz w:val="20"/>
          <w:szCs w:val="20"/>
        </w:rPr>
        <w:fldChar w:fldCharType="separate"/>
      </w:r>
      <w:r w:rsidR="00405812" w:rsidRPr="00671582">
        <w:rPr>
          <w:rStyle w:val="Hyperlink"/>
          <w:rFonts w:cs="Arial"/>
          <w:sz w:val="20"/>
          <w:szCs w:val="20"/>
        </w:rPr>
        <w:t>Clinical performance</w:t>
      </w:r>
    </w:p>
    <w:p w14:paraId="6FF7468D" w14:textId="1F19B522" w:rsidR="00147DC5" w:rsidRPr="00671582" w:rsidRDefault="00147DC5" w:rsidP="00101B49">
      <w:pPr>
        <w:pStyle w:val="ListParagraph"/>
        <w:numPr>
          <w:ilvl w:val="0"/>
          <w:numId w:val="21"/>
        </w:numPr>
        <w:spacing w:after="385"/>
        <w:ind w:right="0"/>
        <w:rPr>
          <w:rFonts w:ascii="Arial" w:hAnsi="Arial" w:cs="Arial"/>
          <w:sz w:val="20"/>
          <w:szCs w:val="20"/>
        </w:rPr>
      </w:pPr>
      <w:r w:rsidRPr="00671582">
        <w:rPr>
          <w:rFonts w:ascii="Arial" w:hAnsi="Arial" w:cs="Arial"/>
          <w:sz w:val="20"/>
          <w:szCs w:val="20"/>
        </w:rPr>
        <w:fldChar w:fldCharType="end"/>
      </w:r>
      <w:hyperlink w:anchor="_Clinical_utility_for" w:history="1">
        <w:r w:rsidRPr="00671582">
          <w:rPr>
            <w:rStyle w:val="Hyperlink"/>
            <w:rFonts w:cs="Arial"/>
            <w:sz w:val="20"/>
            <w:szCs w:val="20"/>
          </w:rPr>
          <w:t>Clinical utility</w:t>
        </w:r>
      </w:hyperlink>
      <w:r w:rsidRPr="00671582">
        <w:rPr>
          <w:rFonts w:ascii="Arial" w:hAnsi="Arial" w:cs="Arial"/>
          <w:sz w:val="20"/>
          <w:szCs w:val="20"/>
        </w:rPr>
        <w:t>, if applicable</w:t>
      </w:r>
    </w:p>
    <w:p w14:paraId="0493331C" w14:textId="59EC2FD2" w:rsidR="00101B49" w:rsidRPr="00671582" w:rsidRDefault="00000000" w:rsidP="00101B49">
      <w:pPr>
        <w:pStyle w:val="ListParagraph"/>
        <w:numPr>
          <w:ilvl w:val="0"/>
          <w:numId w:val="21"/>
        </w:numPr>
        <w:spacing w:after="385"/>
        <w:ind w:right="0"/>
        <w:rPr>
          <w:rFonts w:ascii="Arial" w:hAnsi="Arial" w:cs="Arial"/>
          <w:sz w:val="20"/>
          <w:szCs w:val="20"/>
        </w:rPr>
      </w:pPr>
      <w:hyperlink w:anchor="_Analytical_performance" w:history="1">
        <w:r w:rsidR="37F5AF62" w:rsidRPr="00671582">
          <w:rPr>
            <w:rStyle w:val="Hyperlink"/>
            <w:rFonts w:cs="Arial"/>
            <w:sz w:val="20"/>
            <w:szCs w:val="20"/>
          </w:rPr>
          <w:t>Analytical performance</w:t>
        </w:r>
      </w:hyperlink>
      <w:r w:rsidR="37F5AF62" w:rsidRPr="00671582">
        <w:rPr>
          <w:rFonts w:ascii="Arial" w:hAnsi="Arial" w:cs="Arial"/>
          <w:sz w:val="20"/>
          <w:szCs w:val="20"/>
        </w:rPr>
        <w:t>, including validation of any controls/calibrators/reference materials or internal standards utilised</w:t>
      </w:r>
      <w:r w:rsidR="00671582" w:rsidRPr="00671582">
        <w:rPr>
          <w:rFonts w:ascii="Arial" w:hAnsi="Arial" w:cs="Arial"/>
          <w:sz w:val="20"/>
          <w:szCs w:val="20"/>
        </w:rPr>
        <w:t>.</w:t>
      </w:r>
      <w:r w:rsidR="37F5AF62" w:rsidRPr="00671582">
        <w:rPr>
          <w:rFonts w:ascii="Arial" w:hAnsi="Arial" w:cs="Arial"/>
          <w:sz w:val="20"/>
          <w:szCs w:val="20"/>
        </w:rPr>
        <w:t xml:space="preserve">  </w:t>
      </w:r>
    </w:p>
    <w:p w14:paraId="439ACCD0" w14:textId="37DD1DB4" w:rsidR="00101B49" w:rsidRPr="00671582" w:rsidRDefault="00101B49" w:rsidP="00101B49">
      <w:pPr>
        <w:pStyle w:val="ListParagraph"/>
        <w:numPr>
          <w:ilvl w:val="0"/>
          <w:numId w:val="21"/>
        </w:numPr>
        <w:spacing w:after="385"/>
        <w:ind w:right="0"/>
        <w:rPr>
          <w:rFonts w:ascii="Arial" w:hAnsi="Arial" w:cs="Arial"/>
          <w:sz w:val="20"/>
          <w:szCs w:val="20"/>
        </w:rPr>
      </w:pPr>
      <w:r w:rsidRPr="00671582">
        <w:rPr>
          <w:rFonts w:ascii="Arial" w:hAnsi="Arial" w:cs="Arial"/>
          <w:sz w:val="20"/>
          <w:szCs w:val="20"/>
        </w:rPr>
        <w:t>Risk analysis</w:t>
      </w:r>
    </w:p>
    <w:p w14:paraId="24B0223A" w14:textId="1E72E91F" w:rsidR="00101B49" w:rsidRPr="006853B0" w:rsidRDefault="00101B49" w:rsidP="000223EE">
      <w:pPr>
        <w:pStyle w:val="ListParagraph"/>
        <w:numPr>
          <w:ilvl w:val="0"/>
          <w:numId w:val="21"/>
        </w:numPr>
        <w:spacing w:after="385"/>
        <w:ind w:right="0"/>
        <w:rPr>
          <w:rFonts w:ascii="Arial" w:hAnsi="Arial" w:cs="Arial"/>
          <w:sz w:val="20"/>
          <w:szCs w:val="20"/>
        </w:rPr>
      </w:pPr>
      <w:r w:rsidRPr="006853B0">
        <w:rPr>
          <w:rFonts w:ascii="Arial" w:hAnsi="Arial" w:cs="Arial"/>
          <w:sz w:val="20"/>
          <w:szCs w:val="20"/>
        </w:rPr>
        <w:t>Stability</w:t>
      </w:r>
    </w:p>
    <w:p w14:paraId="416CC8AE" w14:textId="4786E578" w:rsidR="00574784" w:rsidRPr="006853B0" w:rsidRDefault="57FBF3DE" w:rsidP="00A70BFC">
      <w:pPr>
        <w:spacing w:after="240"/>
        <w:rPr>
          <w:rFonts w:cs="Arial"/>
        </w:rPr>
      </w:pPr>
      <w:bookmarkStart w:id="43" w:name="_Toc143557685"/>
      <w:r w:rsidRPr="00671582">
        <w:rPr>
          <w:rFonts w:eastAsia="Cambria" w:cs="Arial"/>
          <w:color w:val="000000" w:themeColor="text1"/>
        </w:rPr>
        <w:t xml:space="preserve">The intended purpose in the application form for a </w:t>
      </w:r>
      <w:proofErr w:type="spellStart"/>
      <w:r w:rsidRPr="00671582">
        <w:rPr>
          <w:rFonts w:eastAsia="Cambria" w:cs="Arial"/>
          <w:color w:val="000000" w:themeColor="text1"/>
        </w:rPr>
        <w:t>CDx</w:t>
      </w:r>
      <w:proofErr w:type="spellEnd"/>
      <w:r w:rsidRPr="00671582">
        <w:rPr>
          <w:rFonts w:eastAsia="Cambria" w:cs="Arial"/>
          <w:color w:val="000000" w:themeColor="text1"/>
        </w:rPr>
        <w:t xml:space="preserve"> must </w:t>
      </w:r>
      <w:r w:rsidR="00574784" w:rsidRPr="00671582">
        <w:rPr>
          <w:rFonts w:eastAsia="Cambria" w:cs="Arial"/>
          <w:color w:val="000000" w:themeColor="text1"/>
        </w:rPr>
        <w:t>e</w:t>
      </w:r>
      <w:r w:rsidRPr="00671582">
        <w:rPr>
          <w:rFonts w:eastAsia="Cambria" w:cs="Arial"/>
          <w:color w:val="000000" w:themeColor="text1"/>
        </w:rPr>
        <w:t>xactly match the intended purpose in the IFU, as this is the source of the intended purpose for the ARTG certificate.</w:t>
      </w:r>
      <w:bookmarkEnd w:id="43"/>
    </w:p>
    <w:p w14:paraId="6AE94EF8" w14:textId="6B928F76" w:rsidR="00B07244" w:rsidRPr="009C77AA" w:rsidRDefault="00F87194" w:rsidP="000223EE">
      <w:pPr>
        <w:pStyle w:val="Heading3"/>
      </w:pPr>
      <w:bookmarkStart w:id="44" w:name="_Instructions_for_use"/>
      <w:bookmarkStart w:id="45" w:name="_Toc143557686"/>
      <w:bookmarkStart w:id="46" w:name="_Toc144388262"/>
      <w:bookmarkStart w:id="47" w:name="_Toc158650267"/>
      <w:bookmarkEnd w:id="44"/>
      <w:r>
        <w:t>Instructions for use (IFU)</w:t>
      </w:r>
      <w:bookmarkEnd w:id="45"/>
      <w:bookmarkEnd w:id="46"/>
      <w:bookmarkEnd w:id="47"/>
    </w:p>
    <w:p w14:paraId="5EA00E53" w14:textId="39B224F1" w:rsidR="00B07244" w:rsidRPr="00671582" w:rsidRDefault="008130CC" w:rsidP="00671582">
      <w:pPr>
        <w:spacing w:after="0"/>
        <w:ind w:left="-4"/>
        <w:rPr>
          <w:rFonts w:cs="Arial"/>
        </w:rPr>
      </w:pPr>
      <w:r>
        <w:rPr>
          <w:rFonts w:cs="Arial"/>
        </w:rPr>
        <w:t xml:space="preserve">The </w:t>
      </w:r>
      <w:r w:rsidR="00F87194" w:rsidRPr="00671582">
        <w:rPr>
          <w:rFonts w:cs="Arial"/>
        </w:rPr>
        <w:t>TGA uses the term ‘</w:t>
      </w:r>
      <w:proofErr w:type="spellStart"/>
      <w:r w:rsidR="00F87194" w:rsidRPr="00671582">
        <w:rPr>
          <w:rFonts w:cs="Arial"/>
        </w:rPr>
        <w:t>CDx</w:t>
      </w:r>
      <w:proofErr w:type="spellEnd"/>
      <w:r w:rsidR="00F87194" w:rsidRPr="00671582">
        <w:rPr>
          <w:rFonts w:cs="Arial"/>
        </w:rPr>
        <w:t xml:space="preserve"> claims’ to refer to statements</w:t>
      </w:r>
      <w:r w:rsidR="00671582" w:rsidRPr="00671582">
        <w:rPr>
          <w:rFonts w:cs="Arial"/>
        </w:rPr>
        <w:t xml:space="preserve"> </w:t>
      </w:r>
      <w:r w:rsidR="006E510D">
        <w:rPr>
          <w:rFonts w:cs="Arial"/>
        </w:rPr>
        <w:t xml:space="preserve">about </w:t>
      </w:r>
      <w:r w:rsidR="00671582" w:rsidRPr="00671582">
        <w:rPr>
          <w:rFonts w:cs="Arial"/>
        </w:rPr>
        <w:t>the IVD’s intended use</w:t>
      </w:r>
      <w:r w:rsidR="00F87194" w:rsidRPr="00671582">
        <w:rPr>
          <w:rFonts w:cs="Arial"/>
        </w:rPr>
        <w:t xml:space="preserve">: </w:t>
      </w:r>
    </w:p>
    <w:p w14:paraId="63EC969B" w14:textId="77777777" w:rsidR="00F87194" w:rsidRPr="00671582" w:rsidRDefault="00F87194" w:rsidP="006853B0">
      <w:pPr>
        <w:numPr>
          <w:ilvl w:val="0"/>
          <w:numId w:val="14"/>
        </w:numPr>
        <w:spacing w:after="0" w:line="240" w:lineRule="auto"/>
        <w:ind w:hanging="360"/>
        <w:rPr>
          <w:rFonts w:cs="Arial"/>
        </w:rPr>
      </w:pPr>
      <w:r w:rsidRPr="00671582">
        <w:rPr>
          <w:rFonts w:cs="Arial"/>
        </w:rPr>
        <w:t xml:space="preserve">in the selection of patients for treatment with a particular medicine or biological; or </w:t>
      </w:r>
    </w:p>
    <w:p w14:paraId="2F80CCB9" w14:textId="77777777" w:rsidR="00CB0A3D" w:rsidRPr="00671582" w:rsidRDefault="00CB0A3D" w:rsidP="00CB0A3D">
      <w:pPr>
        <w:numPr>
          <w:ilvl w:val="0"/>
          <w:numId w:val="14"/>
        </w:numPr>
        <w:spacing w:after="0" w:line="240" w:lineRule="auto"/>
        <w:ind w:hanging="360"/>
        <w:rPr>
          <w:rFonts w:cs="Arial"/>
        </w:rPr>
      </w:pPr>
      <w:r w:rsidRPr="00671582">
        <w:rPr>
          <w:rFonts w:cs="Arial"/>
        </w:rPr>
        <w:t xml:space="preserve">in the monitoring of patients who are being treated with a particular medicine or biological; or </w:t>
      </w:r>
    </w:p>
    <w:p w14:paraId="611A8E9F" w14:textId="05DD3D78" w:rsidR="00F87194" w:rsidRPr="00671582" w:rsidRDefault="00F87194" w:rsidP="00671582">
      <w:pPr>
        <w:numPr>
          <w:ilvl w:val="0"/>
          <w:numId w:val="14"/>
        </w:numPr>
        <w:spacing w:after="0" w:line="240" w:lineRule="auto"/>
        <w:ind w:hanging="360"/>
        <w:rPr>
          <w:rFonts w:cs="Arial"/>
        </w:rPr>
      </w:pPr>
      <w:r w:rsidRPr="00671582">
        <w:rPr>
          <w:rFonts w:cs="Arial"/>
        </w:rPr>
        <w:t xml:space="preserve">in both selection and monitoring of treatment with a particular medicine or biological. </w:t>
      </w:r>
    </w:p>
    <w:p w14:paraId="138BE6D5" w14:textId="77777777" w:rsidR="00671582" w:rsidRPr="00671582" w:rsidRDefault="00671582" w:rsidP="006853B0">
      <w:pPr>
        <w:spacing w:after="0" w:line="240" w:lineRule="auto"/>
        <w:ind w:left="360"/>
        <w:rPr>
          <w:rFonts w:cs="Arial"/>
        </w:rPr>
      </w:pPr>
    </w:p>
    <w:p w14:paraId="52DE6192" w14:textId="4AC69D2A" w:rsidR="00F87194" w:rsidRPr="00671582" w:rsidRDefault="00F87194" w:rsidP="00B07244">
      <w:pPr>
        <w:spacing w:after="0"/>
        <w:ind w:left="-4"/>
        <w:rPr>
          <w:rFonts w:cs="Arial"/>
        </w:rPr>
      </w:pPr>
      <w:proofErr w:type="spellStart"/>
      <w:r w:rsidRPr="00671582">
        <w:rPr>
          <w:rFonts w:cs="Arial"/>
        </w:rPr>
        <w:t>CDx</w:t>
      </w:r>
      <w:proofErr w:type="spellEnd"/>
      <w:r w:rsidRPr="00671582">
        <w:rPr>
          <w:rFonts w:cs="Arial"/>
        </w:rPr>
        <w:t xml:space="preserve"> claims in the IFU are expected to reference </w:t>
      </w:r>
      <w:r w:rsidR="00CB0A3D" w:rsidRPr="00671582">
        <w:rPr>
          <w:rFonts w:cs="Arial"/>
        </w:rPr>
        <w:t xml:space="preserve">the International Non-proprietary Name (INN) </w:t>
      </w:r>
      <w:r w:rsidRPr="00671582">
        <w:rPr>
          <w:rFonts w:cs="Arial"/>
        </w:rPr>
        <w:t xml:space="preserve">of the corresponding medicine or biological. </w:t>
      </w:r>
    </w:p>
    <w:p w14:paraId="4BAB9EF7" w14:textId="77777777" w:rsidR="00B07244" w:rsidRPr="00671582" w:rsidRDefault="00B07244" w:rsidP="000D5224">
      <w:pPr>
        <w:spacing w:after="0"/>
        <w:ind w:left="-4"/>
        <w:rPr>
          <w:rFonts w:cs="Arial"/>
        </w:rPr>
      </w:pPr>
    </w:p>
    <w:p w14:paraId="23F19740" w14:textId="07AE35C7" w:rsidR="00B07244" w:rsidRPr="00671582" w:rsidRDefault="23EF3C0C" w:rsidP="4A19D81B">
      <w:pPr>
        <w:spacing w:after="0"/>
        <w:ind w:left="-4"/>
        <w:rPr>
          <w:rFonts w:cs="Arial"/>
          <w:i/>
          <w:iCs/>
        </w:rPr>
      </w:pPr>
      <w:r w:rsidRPr="00671582">
        <w:rPr>
          <w:rFonts w:cs="Arial"/>
        </w:rPr>
        <w:t>IVDs that match the applicable core characteristics (of the clinical trial testing that supported registration of the relevant indication for use f</w:t>
      </w:r>
      <w:r w:rsidR="00671582" w:rsidRPr="00671582">
        <w:rPr>
          <w:rFonts w:cs="Arial"/>
        </w:rPr>
        <w:t>or</w:t>
      </w:r>
      <w:r w:rsidRPr="00671582">
        <w:rPr>
          <w:rFonts w:cs="Arial"/>
        </w:rPr>
        <w:t xml:space="preserve"> the corresponding medicine or biological) will be allowed to make </w:t>
      </w:r>
      <w:proofErr w:type="spellStart"/>
      <w:r w:rsidRPr="00671582">
        <w:rPr>
          <w:rFonts w:cs="Arial"/>
        </w:rPr>
        <w:t>CDx</w:t>
      </w:r>
      <w:proofErr w:type="spellEnd"/>
      <w:r w:rsidRPr="00671582">
        <w:rPr>
          <w:rFonts w:cs="Arial"/>
        </w:rPr>
        <w:t xml:space="preserve"> claims in the IFU and be included in the ARTG as </w:t>
      </w:r>
      <w:proofErr w:type="spellStart"/>
      <w:r w:rsidRPr="00671582">
        <w:rPr>
          <w:rFonts w:cs="Arial"/>
        </w:rPr>
        <w:t>CDx</w:t>
      </w:r>
      <w:proofErr w:type="spellEnd"/>
      <w:r w:rsidRPr="00671582">
        <w:rPr>
          <w:rFonts w:cs="Arial"/>
        </w:rPr>
        <w:t xml:space="preserve"> for the relevant use of the corresponding medicine or biological. Approved </w:t>
      </w:r>
      <w:proofErr w:type="spellStart"/>
      <w:r w:rsidRPr="00671582">
        <w:rPr>
          <w:rFonts w:cs="Arial"/>
        </w:rPr>
        <w:t>CDx</w:t>
      </w:r>
      <w:proofErr w:type="spellEnd"/>
      <w:r w:rsidRPr="00671582">
        <w:rPr>
          <w:rFonts w:cs="Arial"/>
        </w:rPr>
        <w:t xml:space="preserve"> will be published on </w:t>
      </w:r>
      <w:r w:rsidR="00C77BB5" w:rsidRPr="00671582">
        <w:rPr>
          <w:rFonts w:cs="Arial"/>
        </w:rPr>
        <w:t xml:space="preserve">the </w:t>
      </w:r>
      <w:hyperlink r:id="rId31" w:history="1">
        <w:r w:rsidRPr="00764F3A">
          <w:rPr>
            <w:rStyle w:val="Hyperlink"/>
            <w:rFonts w:cs="Arial"/>
          </w:rPr>
          <w:t xml:space="preserve">TGA </w:t>
        </w:r>
        <w:proofErr w:type="spellStart"/>
        <w:r w:rsidRPr="00764F3A">
          <w:rPr>
            <w:rStyle w:val="Hyperlink"/>
            <w:rFonts w:cs="Arial"/>
          </w:rPr>
          <w:t>CDx</w:t>
        </w:r>
        <w:proofErr w:type="spellEnd"/>
        <w:r w:rsidRPr="00764F3A">
          <w:rPr>
            <w:rStyle w:val="Hyperlink"/>
            <w:rFonts w:cs="Arial"/>
          </w:rPr>
          <w:t xml:space="preserve"> list</w:t>
        </w:r>
      </w:hyperlink>
      <w:r w:rsidRPr="00671582">
        <w:rPr>
          <w:rFonts w:cs="Arial"/>
          <w:i/>
          <w:iCs/>
        </w:rPr>
        <w:t>.</w:t>
      </w:r>
    </w:p>
    <w:p w14:paraId="385208E3" w14:textId="7EFBFBA3" w:rsidR="00F87194" w:rsidRPr="00671582" w:rsidRDefault="00F87194" w:rsidP="000D5224">
      <w:pPr>
        <w:spacing w:after="0"/>
        <w:ind w:left="-4"/>
        <w:rPr>
          <w:rFonts w:cs="Arial"/>
          <w:i/>
          <w:iCs/>
        </w:rPr>
      </w:pPr>
      <w:r w:rsidRPr="00671582">
        <w:rPr>
          <w:rFonts w:cs="Arial"/>
          <w:i/>
          <w:iCs/>
        </w:rPr>
        <w:t xml:space="preserve">  </w:t>
      </w:r>
    </w:p>
    <w:p w14:paraId="3E2BC70E" w14:textId="0D5DB6B2" w:rsidR="00F87194" w:rsidRPr="00671582" w:rsidRDefault="23EF3C0C" w:rsidP="00B07244">
      <w:pPr>
        <w:spacing w:after="0"/>
        <w:ind w:left="-4"/>
        <w:rPr>
          <w:rFonts w:cs="Arial"/>
        </w:rPr>
      </w:pPr>
      <w:r w:rsidRPr="00671582">
        <w:rPr>
          <w:rFonts w:cs="Arial"/>
        </w:rPr>
        <w:t xml:space="preserve">Ambiguous claims in the IFU regarding whether a product is intended for use as a </w:t>
      </w:r>
      <w:proofErr w:type="spellStart"/>
      <w:r w:rsidRPr="00671582">
        <w:rPr>
          <w:rFonts w:cs="Arial"/>
        </w:rPr>
        <w:t>CDx</w:t>
      </w:r>
      <w:proofErr w:type="spellEnd"/>
      <w:r w:rsidRPr="00671582">
        <w:rPr>
          <w:rFonts w:cs="Arial"/>
        </w:rPr>
        <w:t xml:space="preserve"> are not acceptable. </w:t>
      </w:r>
    </w:p>
    <w:p w14:paraId="480581D4" w14:textId="77777777" w:rsidR="00B07244" w:rsidRDefault="00B07244" w:rsidP="000D5224">
      <w:pPr>
        <w:spacing w:after="0"/>
        <w:ind w:left="-4"/>
        <w:rPr>
          <w:rFonts w:cs="Arial"/>
        </w:rPr>
      </w:pPr>
    </w:p>
    <w:p w14:paraId="30802EB7" w14:textId="4CD58485" w:rsidR="00F87194" w:rsidRPr="006853B0" w:rsidRDefault="00C84B84" w:rsidP="00F87194">
      <w:pPr>
        <w:ind w:left="-4"/>
        <w:rPr>
          <w:rFonts w:cs="Arial"/>
          <w:b/>
          <w:bCs/>
        </w:rPr>
      </w:pPr>
      <w:r w:rsidRPr="006853B0">
        <w:rPr>
          <w:rFonts w:cs="Arial"/>
          <w:b/>
          <w:bCs/>
        </w:rPr>
        <w:t xml:space="preserve">Examples of intended use </w:t>
      </w:r>
      <w:r w:rsidR="23EF3C0C" w:rsidRPr="006853B0">
        <w:rPr>
          <w:rFonts w:cs="Arial"/>
          <w:b/>
          <w:bCs/>
        </w:rPr>
        <w:t xml:space="preserve">statements consistent with </w:t>
      </w:r>
      <w:proofErr w:type="spellStart"/>
      <w:r w:rsidR="23EF3C0C" w:rsidRPr="006853B0">
        <w:rPr>
          <w:rFonts w:cs="Arial"/>
          <w:b/>
          <w:bCs/>
        </w:rPr>
        <w:t>CDx</w:t>
      </w:r>
      <w:proofErr w:type="spellEnd"/>
      <w:r w:rsidR="23EF3C0C" w:rsidRPr="006853B0">
        <w:rPr>
          <w:rFonts w:cs="Arial"/>
          <w:b/>
          <w:bCs/>
        </w:rPr>
        <w:t xml:space="preserve"> claim</w:t>
      </w:r>
      <w:r w:rsidRPr="006853B0">
        <w:rPr>
          <w:rFonts w:cs="Arial"/>
          <w:b/>
          <w:bCs/>
        </w:rPr>
        <w:t>s</w:t>
      </w:r>
      <w:r w:rsidR="23EF3C0C" w:rsidRPr="006853B0">
        <w:rPr>
          <w:rFonts w:cs="Arial"/>
          <w:b/>
          <w:bCs/>
        </w:rPr>
        <w:t xml:space="preserve">: </w:t>
      </w:r>
    </w:p>
    <w:p w14:paraId="408CF906" w14:textId="77777777" w:rsidR="00F87194" w:rsidRPr="009C77AA" w:rsidRDefault="00F87194" w:rsidP="00F87194">
      <w:pPr>
        <w:numPr>
          <w:ilvl w:val="0"/>
          <w:numId w:val="14"/>
        </w:numPr>
        <w:spacing w:after="226" w:line="248" w:lineRule="auto"/>
        <w:ind w:hanging="360"/>
        <w:rPr>
          <w:rFonts w:cs="Arial"/>
        </w:rPr>
      </w:pPr>
      <w:r w:rsidRPr="26156433">
        <w:rPr>
          <w:rFonts w:cs="Arial"/>
        </w:rPr>
        <w:t>The primary use of the (</w:t>
      </w:r>
      <w:r w:rsidRPr="006853B0">
        <w:rPr>
          <w:rFonts w:cs="Arial"/>
          <w:i/>
          <w:iCs/>
        </w:rPr>
        <w:t>IVD name</w:t>
      </w:r>
      <w:r w:rsidRPr="26156433">
        <w:rPr>
          <w:rFonts w:cs="Arial"/>
        </w:rPr>
        <w:t xml:space="preserve">) is the detection of the BRAF V600 mutations in DNA extracted from formalin-fixed, paraffin-embedded human melanoma and papillary thyroid carcinoma (PTC) tissue.  In melanoma, it is intended to be used as an aid in selecting patients whose </w:t>
      </w:r>
      <w:proofErr w:type="spellStart"/>
      <w:r w:rsidRPr="26156433">
        <w:rPr>
          <w:rFonts w:cs="Arial"/>
        </w:rPr>
        <w:t>tumors</w:t>
      </w:r>
      <w:proofErr w:type="spellEnd"/>
      <w:r w:rsidRPr="26156433">
        <w:rPr>
          <w:rFonts w:cs="Arial"/>
        </w:rPr>
        <w:t xml:space="preserve"> carry BRAF V600 mutations, for treatment either with ZELBORAF® (vemurafenib) alone, or for treatment with COTELLIC® (</w:t>
      </w:r>
      <w:proofErr w:type="spellStart"/>
      <w:r w:rsidRPr="26156433">
        <w:rPr>
          <w:rFonts w:cs="Arial"/>
        </w:rPr>
        <w:t>cobimetinib</w:t>
      </w:r>
      <w:proofErr w:type="spellEnd"/>
      <w:r w:rsidRPr="26156433">
        <w:rPr>
          <w:rFonts w:cs="Arial"/>
        </w:rPr>
        <w:t xml:space="preserve">) in combination with ZELBORAF® (vemurafenib). </w:t>
      </w:r>
    </w:p>
    <w:p w14:paraId="7B3A2D26" w14:textId="77777777" w:rsidR="00F87194" w:rsidRPr="009C77AA" w:rsidRDefault="23EF3C0C" w:rsidP="00F87194">
      <w:pPr>
        <w:numPr>
          <w:ilvl w:val="0"/>
          <w:numId w:val="14"/>
        </w:numPr>
        <w:spacing w:after="167" w:line="248" w:lineRule="auto"/>
        <w:ind w:hanging="360"/>
        <w:rPr>
          <w:rFonts w:cs="Arial"/>
        </w:rPr>
      </w:pPr>
      <w:r w:rsidRPr="4A19D81B">
        <w:rPr>
          <w:rFonts w:cs="Arial"/>
        </w:rPr>
        <w:t xml:space="preserve">PD-L1 expression in </w:t>
      </w:r>
      <w:proofErr w:type="spellStart"/>
      <w:r w:rsidRPr="4A19D81B">
        <w:rPr>
          <w:rFonts w:cs="Arial"/>
        </w:rPr>
        <w:t>tumor</w:t>
      </w:r>
      <w:proofErr w:type="spellEnd"/>
      <w:r w:rsidRPr="4A19D81B">
        <w:rPr>
          <w:rFonts w:cs="Arial"/>
        </w:rPr>
        <w:t xml:space="preserve"> cell (TC) membrane as detected by (</w:t>
      </w:r>
      <w:r w:rsidRPr="006853B0">
        <w:rPr>
          <w:rFonts w:cs="Arial"/>
          <w:i/>
          <w:iCs/>
        </w:rPr>
        <w:t>IVD name</w:t>
      </w:r>
      <w:r w:rsidRPr="4A19D81B">
        <w:rPr>
          <w:rFonts w:cs="Arial"/>
        </w:rPr>
        <w:t xml:space="preserve">) in NSCLC is indicated as an aid in identifying patients for treatment with KEYTRUDA® (pembrolizumab). </w:t>
      </w:r>
    </w:p>
    <w:p w14:paraId="4EE48A81" w14:textId="75404659" w:rsidR="4A19D81B" w:rsidRDefault="00CE305A" w:rsidP="4A19D81B">
      <w:pPr>
        <w:numPr>
          <w:ilvl w:val="0"/>
          <w:numId w:val="14"/>
        </w:numPr>
        <w:spacing w:after="167" w:line="248" w:lineRule="auto"/>
        <w:ind w:hanging="360"/>
        <w:rPr>
          <w:rFonts w:cs="Arial"/>
        </w:rPr>
      </w:pPr>
      <w:r w:rsidRPr="00CE305A">
        <w:rPr>
          <w:rFonts w:cs="Arial"/>
        </w:rPr>
        <w:t xml:space="preserve">The assay </w:t>
      </w:r>
      <w:r>
        <w:rPr>
          <w:rFonts w:cs="Arial"/>
        </w:rPr>
        <w:t>(</w:t>
      </w:r>
      <w:r w:rsidRPr="006853B0">
        <w:rPr>
          <w:rFonts w:cs="Arial"/>
          <w:i/>
          <w:iCs/>
        </w:rPr>
        <w:t>In-house IVD</w:t>
      </w:r>
      <w:r>
        <w:rPr>
          <w:rFonts w:cs="Arial"/>
        </w:rPr>
        <w:t xml:space="preserve">) </w:t>
      </w:r>
      <w:r w:rsidRPr="00CE305A">
        <w:rPr>
          <w:rFonts w:cs="Arial"/>
        </w:rPr>
        <w:t xml:space="preserve">is intended to be used as a companion diagnostic to be ordered by Australian medical oncologists to identify ovarian cancer patients with homologous recombination deficiency (HRD), who may benefit from treatment with </w:t>
      </w:r>
      <w:proofErr w:type="spellStart"/>
      <w:r w:rsidR="00B21818">
        <w:rPr>
          <w:rFonts w:cs="Arial"/>
        </w:rPr>
        <w:t>o</w:t>
      </w:r>
      <w:r w:rsidR="00B21818" w:rsidRPr="00CE305A">
        <w:rPr>
          <w:rFonts w:cs="Arial"/>
        </w:rPr>
        <w:t>laparib</w:t>
      </w:r>
      <w:proofErr w:type="spellEnd"/>
      <w:r w:rsidR="00B21818" w:rsidRPr="00CE305A">
        <w:rPr>
          <w:rFonts w:cs="Arial"/>
        </w:rPr>
        <w:t xml:space="preserve"> </w:t>
      </w:r>
      <w:r w:rsidRPr="00CE305A">
        <w:rPr>
          <w:rFonts w:cs="Arial"/>
        </w:rPr>
        <w:t>in combination with standard therapy as a maintenance therapy following first line chemotherapy.</w:t>
      </w:r>
    </w:p>
    <w:tbl>
      <w:tblPr>
        <w:tblStyle w:val="TableGrid"/>
        <w:tblW w:w="0" w:type="auto"/>
        <w:tblInd w:w="-4" w:type="dxa"/>
        <w:shd w:val="clear" w:color="auto" w:fill="DEEAF6" w:themeFill="accent5" w:themeFillTint="33"/>
        <w:tblLook w:val="04A0" w:firstRow="1" w:lastRow="0" w:firstColumn="1" w:lastColumn="0" w:noHBand="0" w:noVBand="1"/>
      </w:tblPr>
      <w:tblGrid>
        <w:gridCol w:w="9062"/>
      </w:tblGrid>
      <w:tr w:rsidR="00F747B2" w14:paraId="7697B1D3" w14:textId="77777777" w:rsidTr="006853B0">
        <w:trPr>
          <w:trHeight w:val="1472"/>
        </w:trPr>
        <w:tc>
          <w:tcPr>
            <w:tcW w:w="9062" w:type="dxa"/>
            <w:shd w:val="clear" w:color="auto" w:fill="DEEAF6" w:themeFill="accent5" w:themeFillTint="33"/>
          </w:tcPr>
          <w:p w14:paraId="7936A1E5" w14:textId="605B5068" w:rsidR="00A33E6F" w:rsidRPr="004505F2" w:rsidRDefault="00F747B2" w:rsidP="006853B0">
            <w:pPr>
              <w:shd w:val="clear" w:color="auto" w:fill="DEEAF6" w:themeFill="accent5" w:themeFillTint="33"/>
              <w:spacing w:line="276" w:lineRule="auto"/>
              <w:rPr>
                <w:rFonts w:cs="Arial"/>
                <w:b/>
                <w:bCs/>
                <w:sz w:val="20"/>
                <w:szCs w:val="20"/>
              </w:rPr>
            </w:pPr>
            <w:r w:rsidRPr="004505F2">
              <w:rPr>
                <w:rFonts w:cs="Arial"/>
                <w:b/>
                <w:bCs/>
              </w:rPr>
              <w:t>Please note:</w:t>
            </w:r>
          </w:p>
          <w:p w14:paraId="47DCA44B" w14:textId="7BE26E6F" w:rsidR="00F747B2" w:rsidRPr="006853B0" w:rsidRDefault="00F747B2" w:rsidP="006853B0">
            <w:pPr>
              <w:shd w:val="clear" w:color="auto" w:fill="DEEAF6" w:themeFill="accent5" w:themeFillTint="33"/>
              <w:spacing w:line="276" w:lineRule="auto"/>
              <w:rPr>
                <w:rFonts w:cs="Arial"/>
              </w:rPr>
            </w:pPr>
            <w:r w:rsidRPr="004505F2">
              <w:rPr>
                <w:rFonts w:eastAsiaTheme="minorHAnsi" w:cs="Arial"/>
                <w:sz w:val="20"/>
                <w:szCs w:val="20"/>
                <w:lang w:eastAsia="en-US"/>
              </w:rPr>
              <w:t xml:space="preserve">An IVD manufacturer cannot make </w:t>
            </w:r>
            <w:proofErr w:type="spellStart"/>
            <w:r w:rsidRPr="004505F2">
              <w:rPr>
                <w:rFonts w:eastAsiaTheme="minorHAnsi" w:cs="Arial"/>
                <w:sz w:val="20"/>
                <w:szCs w:val="20"/>
                <w:lang w:eastAsia="en-US"/>
              </w:rPr>
              <w:t>CDx</w:t>
            </w:r>
            <w:proofErr w:type="spellEnd"/>
            <w:r w:rsidRPr="004505F2">
              <w:rPr>
                <w:rFonts w:eastAsiaTheme="minorHAnsi" w:cs="Arial"/>
                <w:sz w:val="20"/>
                <w:szCs w:val="20"/>
                <w:lang w:eastAsia="en-US"/>
              </w:rPr>
              <w:t xml:space="preserve"> claims in the IFU unless the </w:t>
            </w:r>
            <w:r w:rsidR="00A33E6F" w:rsidRPr="004505F2">
              <w:rPr>
                <w:rFonts w:eastAsiaTheme="minorHAnsi" w:cs="Arial"/>
                <w:sz w:val="20"/>
                <w:szCs w:val="20"/>
                <w:lang w:eastAsia="en-US"/>
              </w:rPr>
              <w:t xml:space="preserve">corresponding </w:t>
            </w:r>
            <w:r w:rsidRPr="004505F2">
              <w:rPr>
                <w:rFonts w:eastAsiaTheme="minorHAnsi" w:cs="Arial"/>
                <w:sz w:val="20"/>
                <w:szCs w:val="20"/>
                <w:lang w:eastAsia="en-US"/>
              </w:rPr>
              <w:t xml:space="preserve">medicine or biological has been approved for the relevant use in Australia, or there are concurrent applications for approval of both the </w:t>
            </w:r>
            <w:proofErr w:type="spellStart"/>
            <w:r w:rsidRPr="004505F2">
              <w:rPr>
                <w:rFonts w:eastAsiaTheme="minorHAnsi" w:cs="Arial"/>
                <w:sz w:val="20"/>
                <w:szCs w:val="20"/>
                <w:lang w:eastAsia="en-US"/>
              </w:rPr>
              <w:t>CDx</w:t>
            </w:r>
            <w:proofErr w:type="spellEnd"/>
            <w:r w:rsidRPr="004505F2">
              <w:rPr>
                <w:rFonts w:eastAsiaTheme="minorHAnsi" w:cs="Arial"/>
                <w:sz w:val="20"/>
                <w:szCs w:val="20"/>
                <w:lang w:eastAsia="en-US"/>
              </w:rPr>
              <w:t xml:space="preserve"> and the relevant indication for use of the </w:t>
            </w:r>
            <w:r w:rsidR="00A33E6F" w:rsidRPr="004505F2">
              <w:rPr>
                <w:rFonts w:eastAsiaTheme="minorHAnsi" w:cs="Arial"/>
                <w:sz w:val="20"/>
                <w:szCs w:val="20"/>
                <w:lang w:eastAsia="en-US"/>
              </w:rPr>
              <w:t>corresponding medicine</w:t>
            </w:r>
            <w:r w:rsidRPr="004505F2">
              <w:rPr>
                <w:rFonts w:eastAsiaTheme="minorHAnsi" w:cs="Arial"/>
                <w:sz w:val="20"/>
                <w:szCs w:val="20"/>
                <w:lang w:eastAsia="en-US"/>
              </w:rPr>
              <w:t xml:space="preserve"> or biological. </w:t>
            </w:r>
            <w:r w:rsidR="00835130">
              <w:rPr>
                <w:rFonts w:eastAsiaTheme="minorHAnsi" w:cs="Arial"/>
                <w:sz w:val="20"/>
                <w:szCs w:val="20"/>
                <w:lang w:eastAsia="en-US"/>
              </w:rPr>
              <w:t xml:space="preserve">The </w:t>
            </w:r>
            <w:r w:rsidR="00835130" w:rsidRPr="004505F2">
              <w:rPr>
                <w:rFonts w:eastAsiaTheme="minorHAnsi" w:cs="Arial"/>
                <w:sz w:val="20"/>
                <w:szCs w:val="20"/>
                <w:lang w:eastAsia="en-US"/>
              </w:rPr>
              <w:t xml:space="preserve">TGA </w:t>
            </w:r>
            <w:r w:rsidR="00835130">
              <w:rPr>
                <w:rFonts w:eastAsiaTheme="minorHAnsi" w:cs="Arial"/>
                <w:sz w:val="20"/>
                <w:szCs w:val="20"/>
                <w:lang w:eastAsia="en-US"/>
              </w:rPr>
              <w:t xml:space="preserve">does </w:t>
            </w:r>
            <w:r w:rsidR="00835130" w:rsidRPr="004505F2">
              <w:rPr>
                <w:rFonts w:eastAsiaTheme="minorHAnsi" w:cs="Arial"/>
                <w:sz w:val="20"/>
                <w:szCs w:val="20"/>
                <w:lang w:eastAsia="en-US"/>
              </w:rPr>
              <w:t xml:space="preserve">not require the decision dates for the two applications </w:t>
            </w:r>
            <w:r w:rsidR="00835130">
              <w:rPr>
                <w:rFonts w:eastAsiaTheme="minorHAnsi" w:cs="Arial"/>
                <w:sz w:val="20"/>
                <w:szCs w:val="20"/>
                <w:lang w:eastAsia="en-US"/>
              </w:rPr>
              <w:t>to a</w:t>
            </w:r>
            <w:r w:rsidR="00835130" w:rsidRPr="004505F2">
              <w:rPr>
                <w:rFonts w:eastAsiaTheme="minorHAnsi" w:cs="Arial"/>
                <w:sz w:val="20"/>
                <w:szCs w:val="20"/>
                <w:lang w:eastAsia="en-US"/>
              </w:rPr>
              <w:t>lign</w:t>
            </w:r>
            <w:r w:rsidRPr="004505F2">
              <w:rPr>
                <w:rFonts w:eastAsiaTheme="minorHAnsi" w:cs="Arial"/>
                <w:sz w:val="20"/>
                <w:szCs w:val="20"/>
                <w:lang w:eastAsia="en-US"/>
              </w:rPr>
              <w:t>.</w:t>
            </w:r>
          </w:p>
        </w:tc>
      </w:tr>
    </w:tbl>
    <w:p w14:paraId="2C7E9C3E" w14:textId="77777777" w:rsidR="00987E37" w:rsidRDefault="00987E37" w:rsidP="006853B0">
      <w:pPr>
        <w:pStyle w:val="Heading3"/>
      </w:pPr>
      <w:bookmarkStart w:id="48" w:name="_Toc144388263"/>
      <w:bookmarkStart w:id="49" w:name="_Toc158650268"/>
      <w:r>
        <w:lastRenderedPageBreak/>
        <w:t>Transitional arrangements</w:t>
      </w:r>
      <w:bookmarkEnd w:id="48"/>
      <w:bookmarkEnd w:id="49"/>
      <w:r>
        <w:t xml:space="preserve"> </w:t>
      </w:r>
    </w:p>
    <w:p w14:paraId="103CD264" w14:textId="2CB97C0A" w:rsidR="00987E37" w:rsidRPr="009C77AA" w:rsidRDefault="00987E37" w:rsidP="00987E37">
      <w:pPr>
        <w:ind w:left="-4"/>
        <w:rPr>
          <w:rFonts w:cs="Arial"/>
        </w:rPr>
      </w:pPr>
      <w:r w:rsidRPr="2F9C3BCB">
        <w:rPr>
          <w:rFonts w:cs="Arial"/>
        </w:rPr>
        <w:t xml:space="preserve">Transitional arrangements apply to </w:t>
      </w:r>
      <w:proofErr w:type="spellStart"/>
      <w:r w:rsidRPr="2F9C3BCB">
        <w:rPr>
          <w:rFonts w:cs="Arial"/>
        </w:rPr>
        <w:t>CDx</w:t>
      </w:r>
      <w:proofErr w:type="spellEnd"/>
      <w:r w:rsidRPr="2F9C3BCB">
        <w:rPr>
          <w:rFonts w:cs="Arial"/>
        </w:rPr>
        <w:t xml:space="preserve"> that, on </w:t>
      </w:r>
      <w:r w:rsidR="003F2D0A">
        <w:rPr>
          <w:rFonts w:cs="Arial"/>
        </w:rPr>
        <w:t xml:space="preserve">and after </w:t>
      </w:r>
      <w:r w:rsidRPr="2F9C3BCB">
        <w:rPr>
          <w:rFonts w:cs="Arial"/>
        </w:rPr>
        <w:t xml:space="preserve">31 January 2020: </w:t>
      </w:r>
    </w:p>
    <w:p w14:paraId="085FEDF8" w14:textId="31BB6DCA" w:rsidR="00987E37" w:rsidRPr="009C77AA" w:rsidRDefault="00F65BCB" w:rsidP="00987E37">
      <w:pPr>
        <w:numPr>
          <w:ilvl w:val="0"/>
          <w:numId w:val="19"/>
        </w:numPr>
        <w:spacing w:after="226" w:line="248" w:lineRule="auto"/>
        <w:ind w:hanging="360"/>
        <w:rPr>
          <w:rFonts w:cs="Arial"/>
        </w:rPr>
      </w:pPr>
      <w:r>
        <w:rPr>
          <w:rFonts w:cs="Arial"/>
        </w:rPr>
        <w:t>are</w:t>
      </w:r>
      <w:r w:rsidR="00987E37" w:rsidRPr="009C77AA">
        <w:rPr>
          <w:rFonts w:cs="Arial"/>
        </w:rPr>
        <w:t xml:space="preserve"> included in the ARTG; or </w:t>
      </w:r>
    </w:p>
    <w:p w14:paraId="6338F9F0" w14:textId="6F1C80B8" w:rsidR="00987E37" w:rsidRPr="009C77AA" w:rsidRDefault="003F366F" w:rsidP="00987E37">
      <w:pPr>
        <w:numPr>
          <w:ilvl w:val="0"/>
          <w:numId w:val="19"/>
        </w:numPr>
        <w:spacing w:after="226" w:line="248" w:lineRule="auto"/>
        <w:ind w:hanging="360"/>
        <w:rPr>
          <w:rFonts w:cs="Arial"/>
        </w:rPr>
      </w:pPr>
      <w:r>
        <w:rPr>
          <w:rFonts w:cs="Arial"/>
        </w:rPr>
        <w:t>are</w:t>
      </w:r>
      <w:r w:rsidR="00987E37" w:rsidRPr="009C77AA">
        <w:rPr>
          <w:rFonts w:cs="Arial"/>
        </w:rPr>
        <w:t xml:space="preserve"> the subject of an effective application for inclusion in the ARTG that has not been finally determined; or </w:t>
      </w:r>
    </w:p>
    <w:p w14:paraId="1BD96AE5" w14:textId="22FC5483" w:rsidR="00987E37" w:rsidRPr="009C77AA" w:rsidRDefault="003F366F" w:rsidP="00987E37">
      <w:pPr>
        <w:numPr>
          <w:ilvl w:val="0"/>
          <w:numId w:val="19"/>
        </w:numPr>
        <w:spacing w:after="226" w:line="248" w:lineRule="auto"/>
        <w:ind w:hanging="360"/>
        <w:rPr>
          <w:rFonts w:cs="Arial"/>
        </w:rPr>
      </w:pPr>
      <w:r>
        <w:rPr>
          <w:rFonts w:cs="Arial"/>
        </w:rPr>
        <w:t>are</w:t>
      </w:r>
      <w:r w:rsidR="00987E37" w:rsidRPr="009C77AA">
        <w:rPr>
          <w:rFonts w:cs="Arial"/>
        </w:rPr>
        <w:t xml:space="preserve"> not included in the ARTG but are covered by a current conformity assessment certificate issued by the TGA; or </w:t>
      </w:r>
    </w:p>
    <w:p w14:paraId="7EE68C95" w14:textId="2DD4E294" w:rsidR="00987E37" w:rsidRPr="009C77AA" w:rsidRDefault="00987E37" w:rsidP="00987E37">
      <w:pPr>
        <w:numPr>
          <w:ilvl w:val="0"/>
          <w:numId w:val="19"/>
        </w:numPr>
        <w:spacing w:after="226" w:line="248" w:lineRule="auto"/>
        <w:ind w:hanging="360"/>
        <w:rPr>
          <w:rFonts w:cs="Arial"/>
        </w:rPr>
      </w:pPr>
      <w:r w:rsidRPr="009C77AA">
        <w:rPr>
          <w:rFonts w:cs="Arial"/>
        </w:rPr>
        <w:t xml:space="preserve">are not included in the ARTG but are covered by an effective application for a conformity assessment certificate that has not been finally determined; or </w:t>
      </w:r>
    </w:p>
    <w:p w14:paraId="6DAC3593" w14:textId="5CC18FA4" w:rsidR="00987E37" w:rsidRPr="009C77AA" w:rsidRDefault="00987E37" w:rsidP="00987E37">
      <w:pPr>
        <w:numPr>
          <w:ilvl w:val="0"/>
          <w:numId w:val="19"/>
        </w:numPr>
        <w:spacing w:after="166" w:line="248" w:lineRule="auto"/>
        <w:ind w:hanging="360"/>
        <w:rPr>
          <w:rFonts w:cs="Arial"/>
        </w:rPr>
      </w:pPr>
      <w:r w:rsidRPr="2F9C3BCB">
        <w:rPr>
          <w:rFonts w:cs="Arial"/>
        </w:rPr>
        <w:t xml:space="preserve">are in-house IVDs that are Class 1, Class </w:t>
      </w:r>
      <w:r w:rsidR="00463BA9" w:rsidRPr="2F9C3BCB">
        <w:rPr>
          <w:rFonts w:cs="Arial"/>
        </w:rPr>
        <w:t>2,</w:t>
      </w:r>
      <w:r w:rsidRPr="2F9C3BCB">
        <w:rPr>
          <w:rFonts w:cs="Arial"/>
        </w:rPr>
        <w:t xml:space="preserve"> or Class 3 </w:t>
      </w:r>
      <w:r w:rsidR="006E510D">
        <w:rPr>
          <w:rFonts w:cs="Arial"/>
        </w:rPr>
        <w:t xml:space="preserve">in-house IVDs </w:t>
      </w:r>
      <w:r w:rsidRPr="2F9C3BCB">
        <w:rPr>
          <w:rFonts w:cs="Arial"/>
        </w:rPr>
        <w:t xml:space="preserve">(noting that </w:t>
      </w:r>
      <w:proofErr w:type="spellStart"/>
      <w:r w:rsidRPr="2F9C3BCB">
        <w:rPr>
          <w:rFonts w:cs="Arial"/>
        </w:rPr>
        <w:t>CDx</w:t>
      </w:r>
      <w:proofErr w:type="spellEnd"/>
      <w:r w:rsidRPr="2F9C3BCB">
        <w:rPr>
          <w:rFonts w:cs="Arial"/>
        </w:rPr>
        <w:t xml:space="preserve"> will be Class 3 under the new Regulations). </w:t>
      </w:r>
    </w:p>
    <w:p w14:paraId="6161A759" w14:textId="689D118A" w:rsidR="003F2D0A" w:rsidRDefault="00987E37" w:rsidP="00CA0088">
      <w:pPr>
        <w:spacing w:after="169"/>
        <w:ind w:left="-4"/>
        <w:rPr>
          <w:rFonts w:cs="Arial"/>
        </w:rPr>
      </w:pPr>
      <w:r w:rsidRPr="2F9C3BCB">
        <w:rPr>
          <w:rFonts w:cs="Arial"/>
        </w:rPr>
        <w:t xml:space="preserve">A new application for inclusion that complies with the amended Regulations must be made before </w:t>
      </w:r>
      <w:r w:rsidR="00463BA9">
        <w:rPr>
          <w:rFonts w:cs="Arial"/>
        </w:rPr>
        <w:t xml:space="preserve">the transition end date of </w:t>
      </w:r>
      <w:r w:rsidRPr="2F9C3BCB">
        <w:rPr>
          <w:rFonts w:cs="Arial"/>
        </w:rPr>
        <w:t xml:space="preserve">26 May 2026, for continued supply of </w:t>
      </w:r>
      <w:proofErr w:type="spellStart"/>
      <w:r w:rsidRPr="2F9C3BCB">
        <w:rPr>
          <w:rFonts w:cs="Arial"/>
        </w:rPr>
        <w:t>CDx</w:t>
      </w:r>
      <w:proofErr w:type="spellEnd"/>
      <w:r w:rsidRPr="2F9C3BCB">
        <w:rPr>
          <w:rFonts w:cs="Arial"/>
        </w:rPr>
        <w:t>.</w:t>
      </w:r>
    </w:p>
    <w:p w14:paraId="17267B1A" w14:textId="77777777" w:rsidR="00B34E34" w:rsidRDefault="00B34E34" w:rsidP="00CA0088">
      <w:pPr>
        <w:spacing w:after="169"/>
        <w:ind w:left="-4"/>
        <w:rPr>
          <w:rFonts w:cs="Arial"/>
        </w:rPr>
      </w:pPr>
    </w:p>
    <w:p w14:paraId="41B03BB3" w14:textId="77777777" w:rsidR="00B34E34" w:rsidRDefault="00B34E34" w:rsidP="00CA0088">
      <w:pPr>
        <w:spacing w:after="169"/>
        <w:ind w:left="-4"/>
        <w:rPr>
          <w:rFonts w:cs="Arial"/>
        </w:rPr>
      </w:pPr>
    </w:p>
    <w:p w14:paraId="12223D6D" w14:textId="77777777" w:rsidR="00B34E34" w:rsidRDefault="00B34E34" w:rsidP="00CA0088">
      <w:pPr>
        <w:spacing w:after="169"/>
        <w:ind w:left="-4"/>
        <w:rPr>
          <w:rFonts w:cs="Arial"/>
        </w:rPr>
      </w:pPr>
    </w:p>
    <w:p w14:paraId="361C9628" w14:textId="77777777" w:rsidR="00B34E34" w:rsidRDefault="00B34E34" w:rsidP="00CA0088">
      <w:pPr>
        <w:spacing w:after="169"/>
        <w:ind w:left="-4"/>
        <w:rPr>
          <w:rFonts w:cs="Arial"/>
        </w:rPr>
      </w:pPr>
    </w:p>
    <w:p w14:paraId="7F6BB597" w14:textId="77777777" w:rsidR="00B34E34" w:rsidRDefault="00B34E34" w:rsidP="00CA0088">
      <w:pPr>
        <w:spacing w:after="169"/>
        <w:ind w:left="-4"/>
        <w:rPr>
          <w:rFonts w:cs="Arial"/>
        </w:rPr>
      </w:pPr>
    </w:p>
    <w:p w14:paraId="71485E6B" w14:textId="77777777" w:rsidR="00B34E34" w:rsidRDefault="00B34E34" w:rsidP="00CA0088">
      <w:pPr>
        <w:spacing w:after="169"/>
        <w:ind w:left="-4"/>
        <w:rPr>
          <w:rFonts w:cs="Arial"/>
        </w:rPr>
      </w:pPr>
    </w:p>
    <w:p w14:paraId="1C1BDBDE" w14:textId="77777777" w:rsidR="00B34E34" w:rsidRDefault="00B34E34" w:rsidP="00CA0088">
      <w:pPr>
        <w:spacing w:after="169"/>
        <w:ind w:left="-4"/>
        <w:rPr>
          <w:rFonts w:cs="Arial"/>
        </w:rPr>
      </w:pPr>
    </w:p>
    <w:p w14:paraId="5D4F1F85" w14:textId="77777777" w:rsidR="00B34E34" w:rsidRDefault="00B34E34" w:rsidP="00CA0088">
      <w:pPr>
        <w:spacing w:after="169"/>
        <w:ind w:left="-4"/>
        <w:rPr>
          <w:rFonts w:cs="Arial"/>
        </w:rPr>
      </w:pPr>
    </w:p>
    <w:p w14:paraId="4DF01CB5" w14:textId="77777777" w:rsidR="00B34E34" w:rsidRDefault="00B34E34" w:rsidP="00CA0088">
      <w:pPr>
        <w:spacing w:after="169"/>
        <w:ind w:left="-4"/>
        <w:rPr>
          <w:rFonts w:cs="Arial"/>
        </w:rPr>
      </w:pPr>
    </w:p>
    <w:p w14:paraId="68B9228E" w14:textId="77777777" w:rsidR="00B34E34" w:rsidRDefault="00B34E34" w:rsidP="00CA0088">
      <w:pPr>
        <w:spacing w:after="169"/>
        <w:ind w:left="-4"/>
        <w:rPr>
          <w:rFonts w:cs="Arial"/>
        </w:rPr>
      </w:pPr>
    </w:p>
    <w:p w14:paraId="0EDA5E93" w14:textId="77777777" w:rsidR="00B34E34" w:rsidRDefault="00B34E34" w:rsidP="00CA0088">
      <w:pPr>
        <w:spacing w:after="169"/>
        <w:ind w:left="-4"/>
        <w:rPr>
          <w:rFonts w:cs="Arial"/>
        </w:rPr>
      </w:pPr>
    </w:p>
    <w:p w14:paraId="780F6194" w14:textId="77777777" w:rsidR="00B34E34" w:rsidRDefault="00B34E34" w:rsidP="00CA0088">
      <w:pPr>
        <w:spacing w:after="169"/>
        <w:ind w:left="-4"/>
        <w:rPr>
          <w:rFonts w:cs="Arial"/>
        </w:rPr>
      </w:pPr>
    </w:p>
    <w:p w14:paraId="3D445A6B" w14:textId="77777777" w:rsidR="00B34E34" w:rsidRDefault="00B34E34" w:rsidP="00CA0088">
      <w:pPr>
        <w:spacing w:after="169"/>
        <w:ind w:left="-4"/>
        <w:rPr>
          <w:rFonts w:cs="Arial"/>
        </w:rPr>
      </w:pPr>
    </w:p>
    <w:p w14:paraId="6731F253" w14:textId="77777777" w:rsidR="00B34E34" w:rsidRDefault="00B34E34" w:rsidP="00CA0088">
      <w:pPr>
        <w:spacing w:after="169"/>
        <w:ind w:left="-4"/>
        <w:rPr>
          <w:rFonts w:cs="Arial"/>
        </w:rPr>
      </w:pPr>
    </w:p>
    <w:p w14:paraId="6E162A4E" w14:textId="77777777" w:rsidR="00B34E34" w:rsidRDefault="00B34E34" w:rsidP="00CA0088">
      <w:pPr>
        <w:spacing w:after="169"/>
        <w:ind w:left="-4"/>
        <w:rPr>
          <w:rFonts w:cs="Arial"/>
        </w:rPr>
      </w:pPr>
    </w:p>
    <w:p w14:paraId="33E47CA8" w14:textId="77777777" w:rsidR="00B34E34" w:rsidRDefault="00B34E34" w:rsidP="00CA0088">
      <w:pPr>
        <w:spacing w:after="169"/>
        <w:ind w:left="-4"/>
        <w:rPr>
          <w:rFonts w:cs="Arial"/>
        </w:rPr>
      </w:pPr>
    </w:p>
    <w:p w14:paraId="2CBC152F" w14:textId="77777777" w:rsidR="00B34E34" w:rsidRDefault="00B34E34" w:rsidP="00CA0088">
      <w:pPr>
        <w:spacing w:after="169"/>
        <w:ind w:left="-4"/>
        <w:rPr>
          <w:rFonts w:cs="Arial"/>
        </w:rPr>
      </w:pPr>
    </w:p>
    <w:p w14:paraId="0523FC8C" w14:textId="77777777" w:rsidR="00B34E34" w:rsidRDefault="00B34E34" w:rsidP="00CA0088">
      <w:pPr>
        <w:spacing w:after="169"/>
        <w:ind w:left="-4"/>
        <w:rPr>
          <w:rFonts w:cs="Arial"/>
        </w:rPr>
      </w:pPr>
    </w:p>
    <w:p w14:paraId="1E34B7CC" w14:textId="77777777" w:rsidR="00B34E34" w:rsidRDefault="00B34E34" w:rsidP="00CA0088">
      <w:pPr>
        <w:spacing w:after="169"/>
        <w:ind w:left="-4"/>
        <w:rPr>
          <w:rFonts w:cs="Arial"/>
        </w:rPr>
      </w:pPr>
    </w:p>
    <w:p w14:paraId="6E53DF3A" w14:textId="77777777" w:rsidR="00B34E34" w:rsidRDefault="00B34E34" w:rsidP="00CA0088">
      <w:pPr>
        <w:spacing w:after="169"/>
        <w:ind w:left="-4"/>
        <w:rPr>
          <w:rFonts w:cs="Arial"/>
        </w:rPr>
      </w:pPr>
    </w:p>
    <w:p w14:paraId="4955178A" w14:textId="77777777" w:rsidR="00B34E34" w:rsidRPr="00CA0088" w:rsidRDefault="00B34E34" w:rsidP="00CA0088">
      <w:pPr>
        <w:spacing w:after="169"/>
        <w:ind w:left="-4"/>
        <w:rPr>
          <w:rFonts w:cs="Arial"/>
        </w:rPr>
      </w:pPr>
    </w:p>
    <w:p w14:paraId="3BD4AFB0" w14:textId="77777777" w:rsidR="00CA0088" w:rsidRDefault="00F05EDC" w:rsidP="00CA0088">
      <w:pPr>
        <w:pStyle w:val="Heading3"/>
      </w:pPr>
      <w:bookmarkStart w:id="50" w:name="_Clinical_performance_requirements"/>
      <w:bookmarkStart w:id="51" w:name="_Toc158650269"/>
      <w:bookmarkEnd w:id="50"/>
      <w:r w:rsidRPr="00463BA9">
        <w:lastRenderedPageBreak/>
        <w:t>Clinical performance requirements</w:t>
      </w:r>
      <w:bookmarkEnd w:id="51"/>
    </w:p>
    <w:p w14:paraId="57F763A8" w14:textId="77777777" w:rsidR="00CA0088" w:rsidRDefault="00CA0088" w:rsidP="006853B0">
      <w:pPr>
        <w:spacing w:after="0"/>
        <w:ind w:left="-4"/>
      </w:pPr>
    </w:p>
    <w:p w14:paraId="459532DF" w14:textId="6964B818" w:rsidR="00463BA9" w:rsidRPr="006853B0" w:rsidRDefault="5D0761BC" w:rsidP="006853B0">
      <w:pPr>
        <w:spacing w:after="0"/>
        <w:ind w:left="-4"/>
        <w:rPr>
          <w:rFonts w:cs="Arial"/>
        </w:rPr>
      </w:pPr>
      <w:r w:rsidRPr="00463BA9">
        <w:rPr>
          <w:rFonts w:cs="Arial"/>
        </w:rPr>
        <w:t xml:space="preserve">There are </w:t>
      </w:r>
      <w:r w:rsidR="00C41939">
        <w:rPr>
          <w:rFonts w:cs="Arial"/>
        </w:rPr>
        <w:t>two</w:t>
      </w:r>
      <w:r w:rsidR="00C41939" w:rsidRPr="00463BA9">
        <w:rPr>
          <w:rFonts w:cs="Arial"/>
        </w:rPr>
        <w:t xml:space="preserve"> </w:t>
      </w:r>
      <w:r w:rsidR="3F8D0BB6" w:rsidRPr="00463BA9">
        <w:rPr>
          <w:rFonts w:cs="Arial"/>
        </w:rPr>
        <w:t xml:space="preserve">ways that </w:t>
      </w:r>
      <w:r w:rsidR="00C41939">
        <w:rPr>
          <w:rFonts w:cs="Arial"/>
        </w:rPr>
        <w:t xml:space="preserve">a </w:t>
      </w:r>
      <w:proofErr w:type="spellStart"/>
      <w:r w:rsidR="3F8D0BB6" w:rsidRPr="00463BA9">
        <w:rPr>
          <w:rFonts w:cs="Arial"/>
        </w:rPr>
        <w:t>C</w:t>
      </w:r>
      <w:r w:rsidR="48A2CEFB" w:rsidRPr="00463BA9">
        <w:rPr>
          <w:rFonts w:cs="Arial"/>
        </w:rPr>
        <w:t>D</w:t>
      </w:r>
      <w:r w:rsidR="3F8D0BB6" w:rsidRPr="00463BA9">
        <w:rPr>
          <w:rFonts w:cs="Arial"/>
        </w:rPr>
        <w:t>x</w:t>
      </w:r>
      <w:proofErr w:type="spellEnd"/>
      <w:r w:rsidR="3F8D0BB6" w:rsidRPr="00463BA9">
        <w:rPr>
          <w:rFonts w:cs="Arial"/>
        </w:rPr>
        <w:t xml:space="preserve"> can be </w:t>
      </w:r>
      <w:r w:rsidR="00F747B2" w:rsidRPr="00463BA9">
        <w:rPr>
          <w:rFonts w:cs="Arial"/>
        </w:rPr>
        <w:t xml:space="preserve">made available for </w:t>
      </w:r>
      <w:r w:rsidR="00C41939">
        <w:rPr>
          <w:rFonts w:cs="Arial"/>
        </w:rPr>
        <w:t>supply in Australia</w:t>
      </w:r>
      <w:r w:rsidR="00463BA9" w:rsidRPr="006853B0">
        <w:rPr>
          <w:rFonts w:cs="Arial"/>
        </w:rPr>
        <w:t>:</w:t>
      </w:r>
    </w:p>
    <w:p w14:paraId="2C938B87" w14:textId="5AC06DB2" w:rsidR="00463BA9" w:rsidRPr="006853B0" w:rsidRDefault="00463BA9" w:rsidP="006853B0">
      <w:pPr>
        <w:pStyle w:val="ListParagraph"/>
        <w:numPr>
          <w:ilvl w:val="0"/>
          <w:numId w:val="33"/>
        </w:numPr>
        <w:spacing w:after="0"/>
        <w:rPr>
          <w:rFonts w:ascii="Arial" w:hAnsi="Arial" w:cs="Arial"/>
        </w:rPr>
      </w:pPr>
      <w:r w:rsidRPr="006853B0">
        <w:rPr>
          <w:rFonts w:ascii="Arial" w:hAnsi="Arial" w:cs="Arial"/>
          <w:sz w:val="20"/>
          <w:szCs w:val="20"/>
        </w:rPr>
        <w:t xml:space="preserve">Application for inclusion of </w:t>
      </w:r>
      <w:r w:rsidR="00C41939">
        <w:rPr>
          <w:rFonts w:ascii="Arial" w:hAnsi="Arial" w:cs="Arial"/>
          <w:sz w:val="20"/>
          <w:szCs w:val="20"/>
        </w:rPr>
        <w:t xml:space="preserve">the </w:t>
      </w:r>
      <w:proofErr w:type="spellStart"/>
      <w:r w:rsidRPr="006853B0">
        <w:rPr>
          <w:rFonts w:ascii="Arial" w:hAnsi="Arial" w:cs="Arial"/>
          <w:sz w:val="20"/>
          <w:szCs w:val="20"/>
        </w:rPr>
        <w:t>CDx</w:t>
      </w:r>
      <w:proofErr w:type="spellEnd"/>
      <w:r w:rsidRPr="006853B0">
        <w:rPr>
          <w:rFonts w:ascii="Arial" w:hAnsi="Arial" w:cs="Arial"/>
          <w:sz w:val="20"/>
          <w:szCs w:val="20"/>
        </w:rPr>
        <w:t xml:space="preserve"> in the ARTG</w:t>
      </w:r>
    </w:p>
    <w:p w14:paraId="527F37C5" w14:textId="689C80F4" w:rsidR="00B34E34" w:rsidRPr="00B34E34" w:rsidRDefault="00463BA9" w:rsidP="006853B0">
      <w:pPr>
        <w:pStyle w:val="ListParagraph"/>
        <w:numPr>
          <w:ilvl w:val="0"/>
          <w:numId w:val="33"/>
        </w:numPr>
        <w:spacing w:after="0"/>
        <w:rPr>
          <w:rFonts w:ascii="Arial" w:hAnsi="Arial" w:cs="Arial"/>
        </w:rPr>
      </w:pPr>
      <w:r w:rsidRPr="006853B0">
        <w:rPr>
          <w:rFonts w:ascii="Arial" w:hAnsi="Arial" w:cs="Arial"/>
          <w:sz w:val="20"/>
          <w:szCs w:val="20"/>
        </w:rPr>
        <w:t xml:space="preserve">Development of </w:t>
      </w:r>
      <w:r w:rsidR="00C41939">
        <w:rPr>
          <w:rFonts w:ascii="Arial" w:hAnsi="Arial" w:cs="Arial"/>
          <w:sz w:val="20"/>
          <w:szCs w:val="20"/>
        </w:rPr>
        <w:t xml:space="preserve">an </w:t>
      </w:r>
      <w:r w:rsidRPr="006853B0">
        <w:rPr>
          <w:rFonts w:ascii="Arial" w:hAnsi="Arial" w:cs="Arial"/>
          <w:sz w:val="20"/>
          <w:szCs w:val="20"/>
        </w:rPr>
        <w:t xml:space="preserve">in-house </w:t>
      </w:r>
      <w:proofErr w:type="spellStart"/>
      <w:r w:rsidRPr="006853B0">
        <w:rPr>
          <w:rFonts w:ascii="Arial" w:hAnsi="Arial" w:cs="Arial"/>
          <w:sz w:val="20"/>
          <w:szCs w:val="20"/>
        </w:rPr>
        <w:t>CDx</w:t>
      </w:r>
      <w:proofErr w:type="spellEnd"/>
      <w:r w:rsidR="00A44EA2">
        <w:rPr>
          <w:rFonts w:ascii="Arial" w:hAnsi="Arial" w:cs="Arial"/>
          <w:sz w:val="20"/>
          <w:szCs w:val="20"/>
        </w:rPr>
        <w:t xml:space="preserve"> IVD</w:t>
      </w:r>
      <w:r w:rsidRPr="006853B0">
        <w:rPr>
          <w:rFonts w:ascii="Arial" w:hAnsi="Arial" w:cs="Arial"/>
          <w:sz w:val="20"/>
          <w:szCs w:val="20"/>
        </w:rPr>
        <w:t xml:space="preserve"> and notification to the TGA</w:t>
      </w:r>
    </w:p>
    <w:p w14:paraId="7CF5C683" w14:textId="77777777" w:rsidR="00B34E34" w:rsidRPr="006853B0" w:rsidRDefault="00B34E34" w:rsidP="006853B0">
      <w:pPr>
        <w:spacing w:after="0"/>
        <w:rPr>
          <w:rFonts w:cs="Arial"/>
          <w:highlight w:val="yellow"/>
        </w:rPr>
      </w:pPr>
    </w:p>
    <w:p w14:paraId="62BC70FD" w14:textId="7EC47351" w:rsidR="5D0761BC" w:rsidRPr="00463BA9" w:rsidRDefault="00000000" w:rsidP="007676CB">
      <w:pPr>
        <w:spacing w:after="180"/>
        <w:ind w:left="-6"/>
        <w:rPr>
          <w:rFonts w:cs="Arial"/>
        </w:rPr>
      </w:pPr>
      <w:hyperlink w:anchor="Fig2" w:history="1">
        <w:r w:rsidR="00C41939" w:rsidRPr="00801CDA">
          <w:rPr>
            <w:rStyle w:val="Hyperlink"/>
            <w:rFonts w:cs="Arial"/>
          </w:rPr>
          <w:t>Figure 2</w:t>
        </w:r>
      </w:hyperlink>
      <w:r w:rsidR="00463BA9">
        <w:rPr>
          <w:rFonts w:cs="Arial"/>
        </w:rPr>
        <w:t xml:space="preserve"> </w:t>
      </w:r>
      <w:r w:rsidR="00A03FD6" w:rsidRPr="00463BA9">
        <w:rPr>
          <w:rFonts w:cs="Arial"/>
        </w:rPr>
        <w:t>describe</w:t>
      </w:r>
      <w:r w:rsidR="00052EA6" w:rsidRPr="00463BA9">
        <w:rPr>
          <w:rFonts w:cs="Arial"/>
        </w:rPr>
        <w:t>s</w:t>
      </w:r>
      <w:r w:rsidR="00A03FD6" w:rsidRPr="00463BA9">
        <w:rPr>
          <w:rFonts w:cs="Arial"/>
        </w:rPr>
        <w:t xml:space="preserve"> the </w:t>
      </w:r>
      <w:r w:rsidR="008C6910" w:rsidRPr="00463BA9">
        <w:rPr>
          <w:rFonts w:cs="Arial"/>
        </w:rPr>
        <w:t>clinical performance requirements</w:t>
      </w:r>
      <w:r w:rsidR="00C41939">
        <w:rPr>
          <w:rFonts w:cs="Arial"/>
        </w:rPr>
        <w:t xml:space="preserve"> for an IVD </w:t>
      </w:r>
      <w:r w:rsidR="006E510D">
        <w:rPr>
          <w:rFonts w:cs="Arial"/>
        </w:rPr>
        <w:t xml:space="preserve">that is intended </w:t>
      </w:r>
      <w:r w:rsidR="00C41939">
        <w:rPr>
          <w:rFonts w:cs="Arial"/>
        </w:rPr>
        <w:t xml:space="preserve">to be </w:t>
      </w:r>
      <w:r w:rsidR="006E510D">
        <w:rPr>
          <w:rFonts w:cs="Arial"/>
        </w:rPr>
        <w:t xml:space="preserve">used as </w:t>
      </w:r>
      <w:r w:rsidR="00C41939">
        <w:rPr>
          <w:rFonts w:cs="Arial"/>
        </w:rPr>
        <w:t xml:space="preserve">a </w:t>
      </w:r>
      <w:proofErr w:type="spellStart"/>
      <w:r w:rsidR="00C41939">
        <w:rPr>
          <w:rFonts w:cs="Arial"/>
        </w:rPr>
        <w:t>CDx</w:t>
      </w:r>
      <w:proofErr w:type="spellEnd"/>
      <w:r w:rsidR="00463BA9">
        <w:rPr>
          <w:rFonts w:cs="Arial"/>
        </w:rPr>
        <w:t>,</w:t>
      </w:r>
      <w:r w:rsidR="00463BA9" w:rsidRPr="006853B0">
        <w:rPr>
          <w:rFonts w:cs="Arial"/>
        </w:rPr>
        <w:t xml:space="preserve"> based on the way the </w:t>
      </w:r>
      <w:r w:rsidR="00C41939">
        <w:rPr>
          <w:rFonts w:cs="Arial"/>
        </w:rPr>
        <w:t>IVD</w:t>
      </w:r>
      <w:r w:rsidR="00C41939" w:rsidRPr="006853B0">
        <w:rPr>
          <w:rFonts w:cs="Arial"/>
        </w:rPr>
        <w:t xml:space="preserve"> </w:t>
      </w:r>
      <w:r w:rsidR="00463BA9">
        <w:rPr>
          <w:rFonts w:cs="Arial"/>
        </w:rPr>
        <w:t xml:space="preserve">was </w:t>
      </w:r>
      <w:r w:rsidR="00463BA9" w:rsidRPr="006853B0">
        <w:rPr>
          <w:rFonts w:cs="Arial"/>
        </w:rPr>
        <w:t>developed</w:t>
      </w:r>
      <w:r w:rsidR="00C41939">
        <w:rPr>
          <w:rFonts w:cs="Arial"/>
        </w:rPr>
        <w:t xml:space="preserve"> with relation to the original </w:t>
      </w:r>
      <w:proofErr w:type="spellStart"/>
      <w:r w:rsidR="00236F0E">
        <w:rPr>
          <w:rFonts w:cs="Arial"/>
        </w:rPr>
        <w:t>CDx</w:t>
      </w:r>
      <w:proofErr w:type="spellEnd"/>
      <w:r w:rsidR="00236F0E">
        <w:rPr>
          <w:rFonts w:cs="Arial"/>
        </w:rPr>
        <w:t xml:space="preserve"> (the </w:t>
      </w:r>
      <w:r w:rsidR="00C41939">
        <w:rPr>
          <w:rFonts w:cs="Arial"/>
        </w:rPr>
        <w:t xml:space="preserve">clinical trial </w:t>
      </w:r>
      <w:r w:rsidR="005A3E29">
        <w:rPr>
          <w:rFonts w:cs="Arial"/>
        </w:rPr>
        <w:t>assay</w:t>
      </w:r>
      <w:r w:rsidR="00236F0E">
        <w:rPr>
          <w:rFonts w:cs="Arial"/>
        </w:rPr>
        <w:t>)</w:t>
      </w:r>
      <w:r w:rsidR="00463BA9">
        <w:rPr>
          <w:rFonts w:cs="Arial"/>
        </w:rPr>
        <w:t>.</w:t>
      </w:r>
      <w:r w:rsidR="00F747B2" w:rsidRPr="00463BA9">
        <w:rPr>
          <w:rFonts w:cs="Arial"/>
        </w:rPr>
        <w:t xml:space="preserve"> </w:t>
      </w:r>
    </w:p>
    <w:p w14:paraId="4ECE05D5" w14:textId="63E5CD9D" w:rsidR="002765F4" w:rsidRPr="00801CDA" w:rsidRDefault="00C41939" w:rsidP="00801CDA">
      <w:pPr>
        <w:pStyle w:val="NoSpacing"/>
        <w:rPr>
          <w:rFonts w:ascii="Arial" w:hAnsi="Arial" w:cs="Arial"/>
          <w:b/>
          <w:bCs/>
        </w:rPr>
      </w:pPr>
      <w:bookmarkStart w:id="52" w:name="Fig2"/>
      <w:r w:rsidRPr="00801CDA">
        <w:rPr>
          <w:rFonts w:ascii="Arial" w:hAnsi="Arial" w:cs="Arial"/>
          <w:b/>
          <w:bCs/>
        </w:rPr>
        <w:t>Figure 2</w:t>
      </w:r>
      <w:r w:rsidR="002765F4" w:rsidRPr="00801CDA">
        <w:rPr>
          <w:rFonts w:ascii="Arial" w:hAnsi="Arial" w:cs="Arial"/>
          <w:b/>
          <w:bCs/>
        </w:rPr>
        <w:t>: Clinical performance requirements</w:t>
      </w:r>
      <w:r w:rsidRPr="00801CDA">
        <w:rPr>
          <w:rFonts w:ascii="Arial" w:hAnsi="Arial" w:cs="Arial"/>
          <w:b/>
          <w:bCs/>
        </w:rPr>
        <w:t xml:space="preserve"> in various scenarios</w:t>
      </w:r>
    </w:p>
    <w:tbl>
      <w:tblPr>
        <w:tblStyle w:val="GridTable2-Accent5"/>
        <w:tblW w:w="0" w:type="auto"/>
        <w:tblLook w:val="04A0" w:firstRow="1" w:lastRow="0" w:firstColumn="1" w:lastColumn="0" w:noHBand="0" w:noVBand="1"/>
      </w:tblPr>
      <w:tblGrid>
        <w:gridCol w:w="1611"/>
        <w:gridCol w:w="1852"/>
        <w:gridCol w:w="1853"/>
        <w:gridCol w:w="1872"/>
        <w:gridCol w:w="1872"/>
      </w:tblGrid>
      <w:tr w:rsidR="00E4193E" w:rsidRPr="00041C43" w14:paraId="5FA3A9E0" w14:textId="77777777" w:rsidTr="00F236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vMerge w:val="restart"/>
            <w:tcBorders>
              <w:top w:val="single" w:sz="4" w:space="0" w:color="9CC2E5"/>
              <w:left w:val="single" w:sz="4" w:space="0" w:color="9CC2E5"/>
              <w:right w:val="single" w:sz="4" w:space="0" w:color="9CC2E5" w:themeColor="accent5" w:themeTint="99"/>
            </w:tcBorders>
            <w:shd w:val="clear" w:color="auto" w:fill="DEEAF6" w:themeFill="accent5" w:themeFillTint="33"/>
          </w:tcPr>
          <w:bookmarkEnd w:id="52"/>
          <w:p w14:paraId="623F0CBD" w14:textId="0D0FF8C6" w:rsidR="00C41939" w:rsidRPr="00B21818" w:rsidRDefault="00C41939" w:rsidP="00F236C0">
            <w:pPr>
              <w:pStyle w:val="NoSpacing"/>
              <w:spacing w:before="120" w:after="120"/>
              <w:rPr>
                <w:rFonts w:ascii="Arial" w:hAnsi="Arial" w:cs="Arial"/>
                <w:color w:val="000000" w:themeColor="text1"/>
                <w:sz w:val="20"/>
                <w:szCs w:val="20"/>
              </w:rPr>
            </w:pPr>
            <w:r w:rsidRPr="00B21818">
              <w:rPr>
                <w:rFonts w:ascii="Arial" w:hAnsi="Arial" w:cs="Arial"/>
                <w:color w:val="000000" w:themeColor="text1"/>
                <w:sz w:val="20"/>
                <w:szCs w:val="20"/>
              </w:rPr>
              <w:t>Scenario</w:t>
            </w:r>
          </w:p>
        </w:tc>
        <w:tc>
          <w:tcPr>
            <w:tcW w:w="0" w:type="dxa"/>
            <w:tcBorders>
              <w:top w:val="single" w:sz="4" w:space="0" w:color="9CC2E5"/>
              <w:left w:val="single" w:sz="4" w:space="0" w:color="9CC2E5"/>
              <w:bottom w:val="single" w:sz="4" w:space="0" w:color="B4C6E7" w:themeColor="accent1" w:themeTint="66"/>
              <w:right w:val="single" w:sz="4" w:space="0" w:color="9CC2E5" w:themeColor="accent5" w:themeTint="99"/>
            </w:tcBorders>
            <w:shd w:val="clear" w:color="auto" w:fill="DEEAF6" w:themeFill="accent5" w:themeFillTint="33"/>
          </w:tcPr>
          <w:p w14:paraId="27D89C22" w14:textId="4A0CBED3" w:rsidR="00C41939" w:rsidRPr="007676CB" w:rsidRDefault="00C41939" w:rsidP="007676CB">
            <w:pPr>
              <w:pStyle w:val="NoSpacing"/>
              <w:jc w:val="center"/>
              <w:cnfStyle w:val="100000000000" w:firstRow="1" w:lastRow="0" w:firstColumn="0" w:lastColumn="0" w:oddVBand="0" w:evenVBand="0" w:oddHBand="0" w:evenHBand="0" w:firstRowFirstColumn="0" w:firstRowLastColumn="0" w:lastRowFirstColumn="0" w:lastRowLastColumn="0"/>
            </w:pPr>
            <w:r w:rsidRPr="007676CB">
              <w:t>1</w:t>
            </w:r>
          </w:p>
        </w:tc>
        <w:tc>
          <w:tcPr>
            <w:tcW w:w="0" w:type="dxa"/>
            <w:tcBorders>
              <w:top w:val="single" w:sz="4" w:space="0" w:color="9CC2E5"/>
              <w:left w:val="single" w:sz="4" w:space="0" w:color="9CC2E5" w:themeColor="accent5" w:themeTint="99"/>
              <w:bottom w:val="single" w:sz="4" w:space="0" w:color="B4C6E7" w:themeColor="accent1" w:themeTint="66"/>
              <w:right w:val="single" w:sz="4" w:space="0" w:color="9CC2E5" w:themeColor="accent5" w:themeTint="99"/>
            </w:tcBorders>
            <w:shd w:val="clear" w:color="auto" w:fill="DEEAF6" w:themeFill="accent5" w:themeFillTint="33"/>
          </w:tcPr>
          <w:p w14:paraId="3BEA864A" w14:textId="35AB2F34" w:rsidR="00C41939" w:rsidRPr="007676CB" w:rsidRDefault="00C41939" w:rsidP="007676CB">
            <w:pPr>
              <w:pStyle w:val="NoSpacing"/>
              <w:jc w:val="center"/>
              <w:cnfStyle w:val="100000000000" w:firstRow="1" w:lastRow="0" w:firstColumn="0" w:lastColumn="0" w:oddVBand="0" w:evenVBand="0" w:oddHBand="0" w:evenHBand="0" w:firstRowFirstColumn="0" w:firstRowLastColumn="0" w:lastRowFirstColumn="0" w:lastRowLastColumn="0"/>
            </w:pPr>
            <w:r w:rsidRPr="007676CB">
              <w:t>2</w:t>
            </w:r>
          </w:p>
        </w:tc>
        <w:tc>
          <w:tcPr>
            <w:tcW w:w="0" w:type="dxa"/>
            <w:tcBorders>
              <w:top w:val="single" w:sz="4" w:space="0" w:color="9CC2E5"/>
              <w:left w:val="single" w:sz="4" w:space="0" w:color="9CC2E5" w:themeColor="accent5" w:themeTint="99"/>
              <w:bottom w:val="single" w:sz="4" w:space="0" w:color="B4C6E7" w:themeColor="accent1" w:themeTint="66"/>
              <w:right w:val="single" w:sz="4" w:space="0" w:color="9CC2E5" w:themeColor="accent5" w:themeTint="99"/>
            </w:tcBorders>
            <w:shd w:val="clear" w:color="auto" w:fill="DEEAF6" w:themeFill="accent5" w:themeFillTint="33"/>
          </w:tcPr>
          <w:p w14:paraId="2F2E98BB" w14:textId="7218E2C7" w:rsidR="00C41939" w:rsidRPr="007676CB" w:rsidRDefault="00C41939" w:rsidP="007676CB">
            <w:pPr>
              <w:pStyle w:val="NoSpacing"/>
              <w:jc w:val="center"/>
              <w:cnfStyle w:val="100000000000" w:firstRow="1" w:lastRow="0" w:firstColumn="0" w:lastColumn="0" w:oddVBand="0" w:evenVBand="0" w:oddHBand="0" w:evenHBand="0" w:firstRowFirstColumn="0" w:firstRowLastColumn="0" w:lastRowFirstColumn="0" w:lastRowLastColumn="0"/>
            </w:pPr>
            <w:r w:rsidRPr="007676CB">
              <w:t>3</w:t>
            </w:r>
          </w:p>
        </w:tc>
        <w:tc>
          <w:tcPr>
            <w:tcW w:w="0" w:type="dxa"/>
            <w:tcBorders>
              <w:top w:val="single" w:sz="4" w:space="0" w:color="9CC2E5"/>
              <w:left w:val="single" w:sz="4" w:space="0" w:color="9CC2E5" w:themeColor="accent5" w:themeTint="99"/>
              <w:bottom w:val="single" w:sz="4" w:space="0" w:color="B4C6E7" w:themeColor="accent1" w:themeTint="66"/>
              <w:right w:val="single" w:sz="4" w:space="0" w:color="9CC2E5"/>
            </w:tcBorders>
            <w:shd w:val="clear" w:color="auto" w:fill="DEEAF6" w:themeFill="accent5" w:themeFillTint="33"/>
          </w:tcPr>
          <w:p w14:paraId="29A5FB3A" w14:textId="7BF42BAA" w:rsidR="00C41939" w:rsidRPr="007676CB" w:rsidRDefault="00C41939" w:rsidP="007676CB">
            <w:pPr>
              <w:pStyle w:val="NoSpacing"/>
              <w:jc w:val="center"/>
              <w:cnfStyle w:val="100000000000" w:firstRow="1" w:lastRow="0" w:firstColumn="0" w:lastColumn="0" w:oddVBand="0" w:evenVBand="0" w:oddHBand="0" w:evenHBand="0" w:firstRowFirstColumn="0" w:firstRowLastColumn="0" w:lastRowFirstColumn="0" w:lastRowLastColumn="0"/>
            </w:pPr>
            <w:r w:rsidRPr="007676CB">
              <w:t>4</w:t>
            </w:r>
          </w:p>
        </w:tc>
      </w:tr>
      <w:tr w:rsidR="00E4193E" w:rsidRPr="00041C43" w14:paraId="5D875968" w14:textId="77777777" w:rsidTr="00801C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0" w:type="dxa"/>
            <w:vMerge/>
            <w:tcBorders>
              <w:left w:val="single" w:sz="4" w:space="0" w:color="9CC2E5"/>
              <w:bottom w:val="single" w:sz="18" w:space="0" w:color="9CC2E5" w:themeColor="accent5" w:themeTint="99"/>
              <w:right w:val="single" w:sz="4" w:space="0" w:color="9CC2E5" w:themeColor="accent5" w:themeTint="99"/>
            </w:tcBorders>
          </w:tcPr>
          <w:p w14:paraId="3DC1DC5C" w14:textId="16992AE9" w:rsidR="00C41939" w:rsidRPr="00B21818" w:rsidRDefault="00C41939" w:rsidP="00B21818">
            <w:pPr>
              <w:pStyle w:val="NoSpacing"/>
              <w:spacing w:after="240"/>
              <w:rPr>
                <w:rFonts w:ascii="Arial" w:hAnsi="Arial" w:cs="Arial"/>
                <w:sz w:val="20"/>
                <w:szCs w:val="20"/>
              </w:rPr>
            </w:pPr>
          </w:p>
        </w:tc>
        <w:tc>
          <w:tcPr>
            <w:tcW w:w="1853" w:type="dxa"/>
            <w:tcBorders>
              <w:top w:val="single" w:sz="4" w:space="0" w:color="B4C6E7" w:themeColor="accent1" w:themeTint="66"/>
              <w:left w:val="single" w:sz="4" w:space="0" w:color="9CC2E5"/>
              <w:bottom w:val="single" w:sz="18" w:space="0" w:color="9CC2E5" w:themeColor="accent5" w:themeTint="99"/>
              <w:right w:val="single" w:sz="4" w:space="0" w:color="9CC2E5" w:themeColor="accent5" w:themeTint="99"/>
            </w:tcBorders>
          </w:tcPr>
          <w:p w14:paraId="3D3EDD87" w14:textId="24282DD3" w:rsidR="00C41939" w:rsidRPr="00B21818" w:rsidRDefault="00C41939" w:rsidP="00B21818">
            <w:pPr>
              <w:pStyle w:val="NoSpacing"/>
              <w:spacing w:after="240"/>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B21818">
              <w:rPr>
                <w:rFonts w:ascii="Arial" w:hAnsi="Arial" w:cs="Arial"/>
                <w:b/>
                <w:bCs/>
                <w:sz w:val="20"/>
                <w:szCs w:val="20"/>
              </w:rPr>
              <w:t xml:space="preserve">Proposed </w:t>
            </w:r>
            <w:proofErr w:type="spellStart"/>
            <w:r w:rsidRPr="00B21818">
              <w:rPr>
                <w:rFonts w:ascii="Arial" w:hAnsi="Arial" w:cs="Arial"/>
                <w:b/>
                <w:bCs/>
                <w:sz w:val="20"/>
                <w:szCs w:val="20"/>
              </w:rPr>
              <w:t>CDx</w:t>
            </w:r>
            <w:proofErr w:type="spellEnd"/>
            <w:r w:rsidR="00F05002">
              <w:rPr>
                <w:rFonts w:ascii="Arial" w:hAnsi="Arial" w:cs="Arial"/>
                <w:b/>
                <w:bCs/>
                <w:sz w:val="20"/>
                <w:szCs w:val="20"/>
              </w:rPr>
              <w:t xml:space="preserve"> for inclusion in the ARTG</w:t>
            </w:r>
            <w:r w:rsidRPr="00B21818">
              <w:rPr>
                <w:rFonts w:ascii="Arial" w:hAnsi="Arial" w:cs="Arial"/>
                <w:b/>
                <w:bCs/>
                <w:sz w:val="20"/>
                <w:szCs w:val="20"/>
              </w:rPr>
              <w:t xml:space="preserve"> is </w:t>
            </w:r>
            <w:r w:rsidR="00F236C0">
              <w:rPr>
                <w:rFonts w:ascii="Arial" w:hAnsi="Arial" w:cs="Arial"/>
                <w:b/>
                <w:bCs/>
                <w:sz w:val="20"/>
                <w:szCs w:val="20"/>
              </w:rPr>
              <w:t xml:space="preserve">the original </w:t>
            </w:r>
            <w:proofErr w:type="spellStart"/>
            <w:r w:rsidR="00F236C0">
              <w:rPr>
                <w:rFonts w:ascii="Arial" w:hAnsi="Arial" w:cs="Arial"/>
                <w:b/>
                <w:bCs/>
                <w:sz w:val="20"/>
                <w:szCs w:val="20"/>
              </w:rPr>
              <w:t>CDx</w:t>
            </w:r>
            <w:proofErr w:type="spellEnd"/>
            <w:r w:rsidR="00F236C0">
              <w:rPr>
                <w:rFonts w:ascii="Arial" w:hAnsi="Arial" w:cs="Arial"/>
                <w:b/>
                <w:bCs/>
                <w:sz w:val="20"/>
                <w:szCs w:val="20"/>
              </w:rPr>
              <w:t xml:space="preserve"> (</w:t>
            </w:r>
            <w:r w:rsidRPr="00B21818">
              <w:rPr>
                <w:rFonts w:ascii="Arial" w:hAnsi="Arial" w:cs="Arial"/>
                <w:b/>
                <w:bCs/>
                <w:sz w:val="20"/>
                <w:szCs w:val="20"/>
              </w:rPr>
              <w:t xml:space="preserve">the same as the clinical trial </w:t>
            </w:r>
            <w:r w:rsidR="005A3E29">
              <w:rPr>
                <w:rFonts w:ascii="Arial" w:hAnsi="Arial" w:cs="Arial"/>
                <w:b/>
                <w:bCs/>
                <w:sz w:val="20"/>
                <w:szCs w:val="20"/>
              </w:rPr>
              <w:t>assay</w:t>
            </w:r>
            <w:r w:rsidR="00F236C0">
              <w:rPr>
                <w:rFonts w:ascii="Arial" w:hAnsi="Arial" w:cs="Arial"/>
                <w:b/>
                <w:bCs/>
                <w:sz w:val="20"/>
                <w:szCs w:val="20"/>
              </w:rPr>
              <w:t>)</w:t>
            </w:r>
            <w:r w:rsidR="005A3E29" w:rsidRPr="00B21818">
              <w:rPr>
                <w:rFonts w:ascii="Arial" w:hAnsi="Arial" w:cs="Arial"/>
                <w:b/>
                <w:bCs/>
                <w:sz w:val="20"/>
                <w:szCs w:val="20"/>
              </w:rPr>
              <w:t xml:space="preserve"> </w:t>
            </w:r>
          </w:p>
        </w:tc>
        <w:tc>
          <w:tcPr>
            <w:tcW w:w="1853" w:type="dxa"/>
            <w:tcBorders>
              <w:top w:val="single" w:sz="4" w:space="0" w:color="B4C6E7" w:themeColor="accent1" w:themeTint="66"/>
              <w:left w:val="single" w:sz="4" w:space="0" w:color="9CC2E5" w:themeColor="accent5" w:themeTint="99"/>
              <w:bottom w:val="single" w:sz="18" w:space="0" w:color="9CC2E5" w:themeColor="accent5" w:themeTint="99"/>
              <w:right w:val="single" w:sz="4" w:space="0" w:color="9CC2E5" w:themeColor="accent5" w:themeTint="99"/>
            </w:tcBorders>
          </w:tcPr>
          <w:p w14:paraId="41C397DE" w14:textId="7B7FC65E" w:rsidR="00C41939" w:rsidRPr="00B21818" w:rsidRDefault="00C41939" w:rsidP="00B21818">
            <w:pPr>
              <w:pStyle w:val="NoSpacing"/>
              <w:spacing w:after="240"/>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B21818">
              <w:rPr>
                <w:rFonts w:ascii="Arial" w:hAnsi="Arial" w:cs="Arial"/>
                <w:b/>
                <w:bCs/>
                <w:sz w:val="20"/>
                <w:szCs w:val="20"/>
              </w:rPr>
              <w:t xml:space="preserve">Proposed </w:t>
            </w:r>
            <w:proofErr w:type="spellStart"/>
            <w:r w:rsidRPr="00B21818">
              <w:rPr>
                <w:rFonts w:ascii="Arial" w:hAnsi="Arial" w:cs="Arial"/>
                <w:b/>
                <w:bCs/>
                <w:sz w:val="20"/>
                <w:szCs w:val="20"/>
              </w:rPr>
              <w:t>CDx</w:t>
            </w:r>
            <w:proofErr w:type="spellEnd"/>
            <w:r w:rsidR="00F05002">
              <w:rPr>
                <w:rFonts w:ascii="Arial" w:hAnsi="Arial" w:cs="Arial"/>
                <w:b/>
                <w:bCs/>
                <w:sz w:val="20"/>
                <w:szCs w:val="20"/>
              </w:rPr>
              <w:t xml:space="preserve"> for inclusion in the ARTG</w:t>
            </w:r>
            <w:r w:rsidRPr="00B21818">
              <w:rPr>
                <w:rFonts w:ascii="Arial" w:hAnsi="Arial" w:cs="Arial"/>
                <w:b/>
                <w:bCs/>
                <w:sz w:val="20"/>
                <w:szCs w:val="20"/>
              </w:rPr>
              <w:t xml:space="preserve"> is a </w:t>
            </w:r>
            <w:r w:rsidR="00F236C0" w:rsidRPr="00B34E34">
              <w:rPr>
                <w:rFonts w:ascii="Arial" w:hAnsi="Arial" w:cs="Arial"/>
                <w:b/>
                <w:bCs/>
                <w:sz w:val="20"/>
                <w:szCs w:val="20"/>
              </w:rPr>
              <w:t>subsequent</w:t>
            </w:r>
            <w:r w:rsidRPr="00B34E34">
              <w:rPr>
                <w:rFonts w:ascii="Arial" w:hAnsi="Arial" w:cs="Arial"/>
                <w:b/>
                <w:bCs/>
                <w:sz w:val="20"/>
                <w:szCs w:val="20"/>
              </w:rPr>
              <w:t xml:space="preserve"> IVD</w:t>
            </w:r>
            <w:r w:rsidR="00E4193E" w:rsidRPr="00B34E34">
              <w:rPr>
                <w:rFonts w:ascii="Arial" w:hAnsi="Arial" w:cs="Arial"/>
                <w:b/>
                <w:bCs/>
                <w:sz w:val="20"/>
                <w:szCs w:val="20"/>
              </w:rPr>
              <w:t xml:space="preserve"> </w:t>
            </w:r>
            <w:r w:rsidR="00E4193E" w:rsidRPr="000464C1">
              <w:rPr>
                <w:rFonts w:ascii="Arial" w:hAnsi="Arial" w:cs="Arial"/>
                <w:b/>
                <w:bCs/>
                <w:sz w:val="20"/>
                <w:szCs w:val="20"/>
              </w:rPr>
              <w:t>being developed commercially</w:t>
            </w:r>
          </w:p>
        </w:tc>
        <w:tc>
          <w:tcPr>
            <w:tcW w:w="1873" w:type="dxa"/>
            <w:tcBorders>
              <w:top w:val="single" w:sz="4" w:space="0" w:color="B4C6E7" w:themeColor="accent1" w:themeTint="66"/>
              <w:left w:val="single" w:sz="4" w:space="0" w:color="9CC2E5" w:themeColor="accent5" w:themeTint="99"/>
              <w:bottom w:val="single" w:sz="18" w:space="0" w:color="9CC2E5" w:themeColor="accent5" w:themeTint="99"/>
              <w:right w:val="single" w:sz="4" w:space="0" w:color="9CC2E5" w:themeColor="accent5" w:themeTint="99"/>
            </w:tcBorders>
          </w:tcPr>
          <w:p w14:paraId="06BCD270" w14:textId="52C4E205" w:rsidR="00C41939" w:rsidRPr="00B21818" w:rsidRDefault="00C41939" w:rsidP="00B21818">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B21818">
              <w:rPr>
                <w:rFonts w:ascii="Arial" w:hAnsi="Arial" w:cs="Arial"/>
                <w:b/>
                <w:bCs/>
                <w:sz w:val="20"/>
                <w:szCs w:val="20"/>
              </w:rPr>
              <w:t xml:space="preserve">Proposed </w:t>
            </w:r>
            <w:proofErr w:type="spellStart"/>
            <w:r w:rsidRPr="00B21818">
              <w:rPr>
                <w:rFonts w:ascii="Arial" w:hAnsi="Arial" w:cs="Arial"/>
                <w:b/>
                <w:bCs/>
                <w:sz w:val="20"/>
                <w:szCs w:val="20"/>
              </w:rPr>
              <w:t>CDx</w:t>
            </w:r>
            <w:proofErr w:type="spellEnd"/>
            <w:r w:rsidRPr="00B21818">
              <w:rPr>
                <w:rFonts w:ascii="Arial" w:hAnsi="Arial" w:cs="Arial"/>
                <w:b/>
                <w:bCs/>
                <w:sz w:val="20"/>
                <w:szCs w:val="20"/>
              </w:rPr>
              <w:t xml:space="preserve"> is a transfer of the clinical trial </w:t>
            </w:r>
            <w:r w:rsidR="005A3E29">
              <w:rPr>
                <w:rFonts w:ascii="Arial" w:hAnsi="Arial" w:cs="Arial"/>
                <w:b/>
                <w:bCs/>
                <w:sz w:val="20"/>
                <w:szCs w:val="20"/>
              </w:rPr>
              <w:t>assay</w:t>
            </w:r>
            <w:r w:rsidR="005A3E29" w:rsidRPr="00B21818">
              <w:rPr>
                <w:rFonts w:ascii="Arial" w:hAnsi="Arial" w:cs="Arial"/>
                <w:b/>
                <w:bCs/>
                <w:sz w:val="20"/>
                <w:szCs w:val="20"/>
              </w:rPr>
              <w:t xml:space="preserve"> </w:t>
            </w:r>
            <w:r w:rsidRPr="00B21818">
              <w:rPr>
                <w:rFonts w:ascii="Arial" w:hAnsi="Arial" w:cs="Arial"/>
                <w:b/>
                <w:bCs/>
                <w:sz w:val="20"/>
                <w:szCs w:val="20"/>
              </w:rPr>
              <w:t>to an Australian laboratory</w:t>
            </w:r>
            <w:r w:rsidR="0096443E">
              <w:rPr>
                <w:rFonts w:ascii="Arial" w:hAnsi="Arial" w:cs="Arial"/>
                <w:b/>
                <w:bCs/>
                <w:sz w:val="20"/>
                <w:szCs w:val="20"/>
              </w:rPr>
              <w:t>,</w:t>
            </w:r>
          </w:p>
          <w:p w14:paraId="14E1C5CB" w14:textId="330F3515" w:rsidR="00C41939" w:rsidRPr="00B21818" w:rsidRDefault="00C41939" w:rsidP="00B21818">
            <w:pPr>
              <w:pStyle w:val="NoSpacing"/>
              <w:spacing w:after="240"/>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roofErr w:type="gramStart"/>
            <w:r w:rsidRPr="00B21818">
              <w:rPr>
                <w:rFonts w:ascii="Arial" w:hAnsi="Arial" w:cs="Arial"/>
                <w:b/>
                <w:bCs/>
                <w:sz w:val="20"/>
                <w:szCs w:val="20"/>
              </w:rPr>
              <w:t>i.e.</w:t>
            </w:r>
            <w:proofErr w:type="gramEnd"/>
            <w:r w:rsidRPr="00B21818">
              <w:rPr>
                <w:rFonts w:ascii="Arial" w:hAnsi="Arial" w:cs="Arial"/>
                <w:b/>
                <w:bCs/>
                <w:sz w:val="20"/>
                <w:szCs w:val="20"/>
              </w:rPr>
              <w:t xml:space="preserve"> in-house IVD </w:t>
            </w:r>
          </w:p>
        </w:tc>
        <w:tc>
          <w:tcPr>
            <w:tcW w:w="1873" w:type="dxa"/>
            <w:tcBorders>
              <w:top w:val="single" w:sz="4" w:space="0" w:color="B4C6E7" w:themeColor="accent1" w:themeTint="66"/>
              <w:left w:val="single" w:sz="4" w:space="0" w:color="9CC2E5" w:themeColor="accent5" w:themeTint="99"/>
              <w:bottom w:val="single" w:sz="18" w:space="0" w:color="9CC2E5" w:themeColor="accent5" w:themeTint="99"/>
              <w:right w:val="single" w:sz="4" w:space="0" w:color="9CC2E5"/>
            </w:tcBorders>
          </w:tcPr>
          <w:p w14:paraId="6E5C1465" w14:textId="50ACF9B0" w:rsidR="00C41939" w:rsidRPr="00B21818" w:rsidRDefault="00C41939" w:rsidP="00B21818">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B21818">
              <w:rPr>
                <w:rFonts w:ascii="Arial" w:hAnsi="Arial" w:cs="Arial"/>
                <w:b/>
                <w:bCs/>
                <w:sz w:val="20"/>
                <w:szCs w:val="20"/>
              </w:rPr>
              <w:t xml:space="preserve">A laboratory seeks to develop their own in-house IVD for use as a proposed </w:t>
            </w:r>
            <w:proofErr w:type="spellStart"/>
            <w:r w:rsidRPr="00B21818">
              <w:rPr>
                <w:rFonts w:ascii="Arial" w:hAnsi="Arial" w:cs="Arial"/>
                <w:b/>
                <w:bCs/>
                <w:sz w:val="20"/>
                <w:szCs w:val="20"/>
              </w:rPr>
              <w:t>CDx</w:t>
            </w:r>
            <w:proofErr w:type="spellEnd"/>
          </w:p>
        </w:tc>
      </w:tr>
      <w:tr w:rsidR="00C41939" w:rsidRPr="00041C43" w14:paraId="7076D339" w14:textId="77777777" w:rsidTr="00C41939">
        <w:tc>
          <w:tcPr>
            <w:cnfStyle w:val="001000000000" w:firstRow="0" w:lastRow="0" w:firstColumn="1" w:lastColumn="0" w:oddVBand="0" w:evenVBand="0" w:oddHBand="0" w:evenHBand="0" w:firstRowFirstColumn="0" w:firstRowLastColumn="0" w:lastRowFirstColumn="0" w:lastRowLastColumn="0"/>
            <w:tcW w:w="1610" w:type="dxa"/>
            <w:vMerge w:val="restart"/>
            <w:tcBorders>
              <w:left w:val="single" w:sz="4" w:space="0" w:color="9CC2E5"/>
              <w:right w:val="single" w:sz="4" w:space="0" w:color="9CC2E5"/>
            </w:tcBorders>
            <w:shd w:val="clear" w:color="auto" w:fill="auto"/>
          </w:tcPr>
          <w:p w14:paraId="280DD539" w14:textId="6038C65B" w:rsidR="00C41939" w:rsidRPr="00F9219C" w:rsidRDefault="007D29E8" w:rsidP="006853B0">
            <w:pPr>
              <w:pStyle w:val="NoSpacing"/>
              <w:spacing w:before="120" w:after="120"/>
              <w:rPr>
                <w:rFonts w:ascii="Arial" w:hAnsi="Arial" w:cs="Arial"/>
                <w:color w:val="000000" w:themeColor="text1"/>
              </w:rPr>
            </w:pPr>
            <w:r>
              <w:rPr>
                <w:rFonts w:ascii="Arial" w:hAnsi="Arial" w:cs="Arial"/>
                <w:color w:val="000000" w:themeColor="text1"/>
                <w:sz w:val="20"/>
                <w:szCs w:val="20"/>
              </w:rPr>
              <w:t>R</w:t>
            </w:r>
            <w:r w:rsidR="00C41939" w:rsidRPr="0086593E">
              <w:rPr>
                <w:rFonts w:ascii="Arial" w:hAnsi="Arial" w:cs="Arial"/>
                <w:color w:val="000000" w:themeColor="text1"/>
                <w:sz w:val="20"/>
                <w:szCs w:val="20"/>
              </w:rPr>
              <w:t>equirements</w:t>
            </w:r>
          </w:p>
        </w:tc>
        <w:tc>
          <w:tcPr>
            <w:tcW w:w="7452" w:type="dxa"/>
            <w:gridSpan w:val="4"/>
            <w:tcBorders>
              <w:left w:val="single" w:sz="4" w:space="0" w:color="9CC2E5"/>
              <w:right w:val="single" w:sz="4" w:space="0" w:color="9CC2E5"/>
            </w:tcBorders>
            <w:shd w:val="clear" w:color="auto" w:fill="auto"/>
          </w:tcPr>
          <w:p w14:paraId="2C7DC838" w14:textId="03957BBD" w:rsidR="00C41939" w:rsidRPr="00F9219C" w:rsidRDefault="00C41939" w:rsidP="006853B0">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F9219C">
              <w:rPr>
                <w:rFonts w:ascii="Arial" w:hAnsi="Arial" w:cs="Arial"/>
                <w:color w:val="000000" w:themeColor="text1"/>
                <w:sz w:val="20"/>
                <w:szCs w:val="20"/>
              </w:rPr>
              <w:t xml:space="preserve">Clinical studies need to be well-designed. </w:t>
            </w:r>
            <w:r w:rsidR="003F2D0A">
              <w:rPr>
                <w:rFonts w:ascii="Arial" w:hAnsi="Arial" w:cs="Arial"/>
                <w:color w:val="000000" w:themeColor="text1"/>
                <w:sz w:val="20"/>
                <w:szCs w:val="20"/>
              </w:rPr>
              <w:t>A</w:t>
            </w:r>
            <w:r w:rsidRPr="00F9219C">
              <w:rPr>
                <w:rFonts w:ascii="Arial" w:hAnsi="Arial" w:cs="Arial"/>
                <w:color w:val="000000" w:themeColor="text1"/>
                <w:sz w:val="20"/>
                <w:szCs w:val="20"/>
              </w:rPr>
              <w:t xml:space="preserve">spects such as the prevalence of the target analyte, the statistical confidence and </w:t>
            </w:r>
            <w:r w:rsidR="00FA2939">
              <w:rPr>
                <w:rFonts w:ascii="Arial" w:hAnsi="Arial" w:cs="Arial"/>
                <w:color w:val="000000" w:themeColor="text1"/>
                <w:sz w:val="20"/>
                <w:szCs w:val="20"/>
              </w:rPr>
              <w:t>the</w:t>
            </w:r>
            <w:r w:rsidRPr="00F9219C">
              <w:rPr>
                <w:rFonts w:ascii="Arial" w:hAnsi="Arial" w:cs="Arial"/>
                <w:color w:val="000000" w:themeColor="text1"/>
                <w:sz w:val="20"/>
                <w:szCs w:val="20"/>
              </w:rPr>
              <w:t xml:space="preserve"> adequate characteris</w:t>
            </w:r>
            <w:r w:rsidR="00FA2939">
              <w:rPr>
                <w:rFonts w:ascii="Arial" w:hAnsi="Arial" w:cs="Arial"/>
                <w:color w:val="000000" w:themeColor="text1"/>
                <w:sz w:val="20"/>
                <w:szCs w:val="20"/>
              </w:rPr>
              <w:t>ation of</w:t>
            </w:r>
            <w:r w:rsidRPr="00F9219C">
              <w:rPr>
                <w:rFonts w:ascii="Arial" w:hAnsi="Arial" w:cs="Arial"/>
                <w:color w:val="000000" w:themeColor="text1"/>
                <w:sz w:val="20"/>
                <w:szCs w:val="20"/>
              </w:rPr>
              <w:t xml:space="preserve"> all samples included in the study</w:t>
            </w:r>
            <w:r w:rsidR="003F2D0A">
              <w:rPr>
                <w:rFonts w:ascii="Arial" w:hAnsi="Arial" w:cs="Arial"/>
                <w:color w:val="000000" w:themeColor="text1"/>
                <w:sz w:val="20"/>
                <w:szCs w:val="20"/>
              </w:rPr>
              <w:t xml:space="preserve"> must be considered</w:t>
            </w:r>
            <w:r w:rsidRPr="00F9219C">
              <w:rPr>
                <w:rFonts w:ascii="Arial" w:hAnsi="Arial" w:cs="Arial"/>
                <w:color w:val="000000" w:themeColor="text1"/>
                <w:sz w:val="20"/>
                <w:szCs w:val="20"/>
              </w:rPr>
              <w:t>.</w:t>
            </w:r>
          </w:p>
        </w:tc>
      </w:tr>
      <w:tr w:rsidR="00C41939" w:rsidRPr="00041C43" w14:paraId="2FFFA347" w14:textId="77777777" w:rsidTr="00801C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vMerge/>
            <w:tcBorders>
              <w:left w:val="single" w:sz="4" w:space="0" w:color="9CC2E5"/>
              <w:right w:val="single" w:sz="4" w:space="0" w:color="9CC2E5"/>
            </w:tcBorders>
          </w:tcPr>
          <w:p w14:paraId="2DF1562D" w14:textId="77777777" w:rsidR="00C41939" w:rsidRPr="00F9219C" w:rsidRDefault="00C41939" w:rsidP="00B73478">
            <w:pPr>
              <w:pStyle w:val="NoSpacing"/>
              <w:rPr>
                <w:rFonts w:ascii="Arial" w:hAnsi="Arial" w:cs="Arial"/>
                <w:b w:val="0"/>
                <w:bCs w:val="0"/>
              </w:rPr>
            </w:pPr>
          </w:p>
        </w:tc>
        <w:tc>
          <w:tcPr>
            <w:tcW w:w="0" w:type="dxa"/>
            <w:tcBorders>
              <w:left w:val="single" w:sz="4" w:space="0" w:color="9CC2E5"/>
            </w:tcBorders>
            <w:shd w:val="clear" w:color="auto" w:fill="auto"/>
          </w:tcPr>
          <w:p w14:paraId="19922B78" w14:textId="35B9A4BA" w:rsidR="00C41939" w:rsidRPr="001202F9" w:rsidRDefault="00C41939" w:rsidP="00B73478">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0" w:type="dxa"/>
            <w:gridSpan w:val="3"/>
            <w:tcBorders>
              <w:right w:val="single" w:sz="4" w:space="0" w:color="9CC2E5"/>
            </w:tcBorders>
            <w:shd w:val="clear" w:color="auto" w:fill="auto"/>
          </w:tcPr>
          <w:p w14:paraId="7A217D8F" w14:textId="7128C5D3" w:rsidR="00E4193E" w:rsidRPr="00B34E34" w:rsidRDefault="00E4193E" w:rsidP="00E4193E">
            <w:pPr>
              <w:pStyle w:val="NoSpacing"/>
              <w:spacing w:before="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34E34">
              <w:rPr>
                <w:rFonts w:ascii="Arial" w:hAnsi="Arial" w:cs="Arial"/>
                <w:sz w:val="20"/>
                <w:szCs w:val="20"/>
              </w:rPr>
              <w:t xml:space="preserve">Substantial equivalence of the subsequent IVD with the original </w:t>
            </w:r>
            <w:proofErr w:type="spellStart"/>
            <w:r w:rsidRPr="00B34E34">
              <w:rPr>
                <w:rFonts w:ascii="Arial" w:hAnsi="Arial" w:cs="Arial"/>
                <w:sz w:val="20"/>
                <w:szCs w:val="20"/>
              </w:rPr>
              <w:t>CDx</w:t>
            </w:r>
            <w:proofErr w:type="spellEnd"/>
            <w:r w:rsidRPr="00B34E34">
              <w:rPr>
                <w:rFonts w:ascii="Arial" w:hAnsi="Arial" w:cs="Arial"/>
                <w:sz w:val="20"/>
                <w:szCs w:val="20"/>
              </w:rPr>
              <w:t xml:space="preserve"> must be demonstrated. This will be contextualised by the core characteristics of the pivotal clinical trial testing, and could be based on: </w:t>
            </w:r>
          </w:p>
          <w:p w14:paraId="71DAC790" w14:textId="77777777" w:rsidR="00E4193E" w:rsidRPr="00B34E34" w:rsidRDefault="00E4193E" w:rsidP="00E4193E">
            <w:pPr>
              <w:pStyle w:val="NoSpacing"/>
              <w:numPr>
                <w:ilvl w:val="0"/>
                <w:numId w:val="32"/>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34E34">
              <w:rPr>
                <w:rFonts w:ascii="Arial" w:hAnsi="Arial" w:cs="Arial"/>
                <w:sz w:val="20"/>
                <w:szCs w:val="20"/>
              </w:rPr>
              <w:t xml:space="preserve">Bridging studies showing a high level of agreement in clinical performance between the clinical trial assay and the new </w:t>
            </w:r>
            <w:proofErr w:type="spellStart"/>
            <w:r w:rsidRPr="00B34E34">
              <w:rPr>
                <w:rFonts w:ascii="Arial" w:hAnsi="Arial" w:cs="Arial"/>
                <w:sz w:val="20"/>
                <w:szCs w:val="20"/>
              </w:rPr>
              <w:t>CDx</w:t>
            </w:r>
            <w:proofErr w:type="spellEnd"/>
            <w:r w:rsidRPr="00B34E34">
              <w:rPr>
                <w:rFonts w:ascii="Arial" w:hAnsi="Arial" w:cs="Arial"/>
                <w:sz w:val="20"/>
                <w:szCs w:val="20"/>
              </w:rPr>
              <w:t xml:space="preserve">. Specimens used in bridging studies should be representative of those tested in the original pivotal clinical trials. </w:t>
            </w:r>
          </w:p>
          <w:p w14:paraId="7126DFD0" w14:textId="0B2022BD" w:rsidR="00E4193E" w:rsidRPr="00B34E34" w:rsidRDefault="00D910B7" w:rsidP="00E4193E">
            <w:pPr>
              <w:pStyle w:val="NoSpacing"/>
              <w:numPr>
                <w:ilvl w:val="0"/>
                <w:numId w:val="32"/>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34E34">
              <w:rPr>
                <w:rFonts w:ascii="Arial" w:hAnsi="Arial" w:cs="Arial"/>
                <w:sz w:val="20"/>
                <w:szCs w:val="20"/>
              </w:rPr>
              <w:t>R</w:t>
            </w:r>
            <w:r w:rsidR="00E4193E" w:rsidRPr="00B34E34">
              <w:rPr>
                <w:rFonts w:ascii="Arial" w:hAnsi="Arial" w:cs="Arial"/>
                <w:sz w:val="20"/>
                <w:szCs w:val="20"/>
              </w:rPr>
              <w:t>e-test</w:t>
            </w:r>
            <w:r w:rsidR="00594229" w:rsidRPr="00B34E34">
              <w:rPr>
                <w:rFonts w:ascii="Arial" w:hAnsi="Arial" w:cs="Arial"/>
                <w:sz w:val="20"/>
                <w:szCs w:val="20"/>
              </w:rPr>
              <w:t>ing</w:t>
            </w:r>
            <w:r w:rsidR="00E4193E" w:rsidRPr="00B34E34">
              <w:rPr>
                <w:rFonts w:ascii="Arial" w:hAnsi="Arial" w:cs="Arial"/>
                <w:sz w:val="20"/>
                <w:szCs w:val="20"/>
              </w:rPr>
              <w:t xml:space="preserve"> the original clinical trial specimens</w:t>
            </w:r>
            <w:r w:rsidRPr="00B34E34">
              <w:rPr>
                <w:rFonts w:ascii="Arial" w:hAnsi="Arial" w:cs="Arial"/>
                <w:sz w:val="20"/>
                <w:szCs w:val="20"/>
              </w:rPr>
              <w:t xml:space="preserve"> with the new </w:t>
            </w:r>
            <w:proofErr w:type="spellStart"/>
            <w:r w:rsidRPr="00B34E34">
              <w:rPr>
                <w:rFonts w:ascii="Arial" w:hAnsi="Arial" w:cs="Arial"/>
                <w:sz w:val="20"/>
                <w:szCs w:val="20"/>
              </w:rPr>
              <w:t>CDx</w:t>
            </w:r>
            <w:proofErr w:type="spellEnd"/>
            <w:r w:rsidRPr="00B34E34">
              <w:rPr>
                <w:rFonts w:ascii="Arial" w:hAnsi="Arial" w:cs="Arial"/>
                <w:sz w:val="20"/>
                <w:szCs w:val="20"/>
              </w:rPr>
              <w:t xml:space="preserve"> to demonstrate</w:t>
            </w:r>
            <w:r w:rsidR="00E4193E" w:rsidRPr="00B34E34">
              <w:rPr>
                <w:rFonts w:ascii="Arial" w:hAnsi="Arial" w:cs="Arial"/>
                <w:sz w:val="20"/>
                <w:szCs w:val="20"/>
              </w:rPr>
              <w:t xml:space="preserve"> high agreement with the original </w:t>
            </w:r>
            <w:proofErr w:type="spellStart"/>
            <w:r w:rsidR="00E4193E" w:rsidRPr="00B34E34">
              <w:rPr>
                <w:rFonts w:ascii="Arial" w:hAnsi="Arial" w:cs="Arial"/>
                <w:sz w:val="20"/>
                <w:szCs w:val="20"/>
              </w:rPr>
              <w:t>CDx</w:t>
            </w:r>
            <w:proofErr w:type="spellEnd"/>
            <w:r w:rsidR="00E4193E" w:rsidRPr="00B34E34">
              <w:rPr>
                <w:rFonts w:ascii="Arial" w:hAnsi="Arial" w:cs="Arial"/>
                <w:sz w:val="20"/>
                <w:szCs w:val="20"/>
              </w:rPr>
              <w:t xml:space="preserve"> results.</w:t>
            </w:r>
          </w:p>
          <w:p w14:paraId="25A7C364" w14:textId="36003300" w:rsidR="00C41939" w:rsidRPr="00B34E34" w:rsidRDefault="00E4193E" w:rsidP="00B34E34">
            <w:pPr>
              <w:pStyle w:val="NoSpacing"/>
              <w:spacing w:before="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34E34">
              <w:rPr>
                <w:rFonts w:ascii="Arial" w:hAnsi="Arial" w:cs="Arial"/>
                <w:sz w:val="20"/>
                <w:szCs w:val="20"/>
              </w:rPr>
              <w:t xml:space="preserve">The TGA may consider other parameters when assessing whether there is substantial equivalence between a subsequent </w:t>
            </w:r>
            <w:proofErr w:type="spellStart"/>
            <w:r w:rsidRPr="00B34E34">
              <w:rPr>
                <w:rFonts w:ascii="Arial" w:hAnsi="Arial" w:cs="Arial"/>
                <w:sz w:val="20"/>
                <w:szCs w:val="20"/>
              </w:rPr>
              <w:t>CDx</w:t>
            </w:r>
            <w:proofErr w:type="spellEnd"/>
            <w:r w:rsidRPr="00B34E34">
              <w:rPr>
                <w:rFonts w:ascii="Arial" w:hAnsi="Arial" w:cs="Arial"/>
                <w:sz w:val="20"/>
                <w:szCs w:val="20"/>
              </w:rPr>
              <w:t xml:space="preserve"> and a clinical trial assay, such as the composition and nature of the tests.</w:t>
            </w:r>
          </w:p>
        </w:tc>
      </w:tr>
      <w:tr w:rsidR="00C41939" w:rsidRPr="00041C43" w14:paraId="06B0CF0C" w14:textId="77777777" w:rsidTr="00C41939">
        <w:tc>
          <w:tcPr>
            <w:cnfStyle w:val="001000000000" w:firstRow="0" w:lastRow="0" w:firstColumn="1" w:lastColumn="0" w:oddVBand="0" w:evenVBand="0" w:oddHBand="0" w:evenHBand="0" w:firstRowFirstColumn="0" w:firstRowLastColumn="0" w:lastRowFirstColumn="0" w:lastRowLastColumn="0"/>
            <w:tcW w:w="1610" w:type="dxa"/>
            <w:vMerge/>
            <w:tcBorders>
              <w:left w:val="single" w:sz="4" w:space="0" w:color="9CC2E5"/>
              <w:right w:val="single" w:sz="4" w:space="0" w:color="9CC2E5"/>
            </w:tcBorders>
          </w:tcPr>
          <w:p w14:paraId="42F63E86" w14:textId="77777777" w:rsidR="00C41939" w:rsidRPr="00F9219C" w:rsidRDefault="00C41939" w:rsidP="00B73478">
            <w:pPr>
              <w:pStyle w:val="NoSpacing"/>
              <w:rPr>
                <w:rFonts w:ascii="Arial" w:hAnsi="Arial" w:cs="Arial"/>
                <w:b w:val="0"/>
                <w:bCs w:val="0"/>
              </w:rPr>
            </w:pPr>
          </w:p>
        </w:tc>
        <w:tc>
          <w:tcPr>
            <w:tcW w:w="1853" w:type="dxa"/>
            <w:tcBorders>
              <w:left w:val="single" w:sz="4" w:space="0" w:color="9CC2E5"/>
            </w:tcBorders>
          </w:tcPr>
          <w:p w14:paraId="7D27AD5C" w14:textId="1E83D7B0" w:rsidR="00C41939" w:rsidRPr="00F9219C" w:rsidRDefault="00C41939" w:rsidP="00B73478">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853" w:type="dxa"/>
          </w:tcPr>
          <w:p w14:paraId="7632A911" w14:textId="77777777" w:rsidR="00C41939" w:rsidRPr="00F9219C" w:rsidRDefault="00C41939" w:rsidP="00B73478">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746" w:type="dxa"/>
            <w:gridSpan w:val="2"/>
            <w:tcBorders>
              <w:bottom w:val="single" w:sz="4" w:space="0" w:color="9CC2E5"/>
              <w:right w:val="single" w:sz="4" w:space="0" w:color="9CC2E5"/>
            </w:tcBorders>
            <w:shd w:val="clear" w:color="auto" w:fill="FFFFFF" w:themeFill="background1"/>
          </w:tcPr>
          <w:p w14:paraId="108CDAC1" w14:textId="7F0B6E92" w:rsidR="00C41939" w:rsidRPr="00F9219C" w:rsidRDefault="00D1368F" w:rsidP="006853B0">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9219C">
              <w:rPr>
                <w:rFonts w:ascii="Arial" w:hAnsi="Arial" w:cs="Arial"/>
                <w:sz w:val="20"/>
                <w:szCs w:val="20"/>
              </w:rPr>
              <w:t xml:space="preserve">In-house </w:t>
            </w:r>
            <w:proofErr w:type="spellStart"/>
            <w:r w:rsidRPr="00F9219C">
              <w:rPr>
                <w:rFonts w:ascii="Arial" w:hAnsi="Arial" w:cs="Arial"/>
                <w:sz w:val="20"/>
                <w:szCs w:val="20"/>
              </w:rPr>
              <w:t>CDx</w:t>
            </w:r>
            <w:proofErr w:type="spellEnd"/>
            <w:r w:rsidRPr="00F9219C">
              <w:rPr>
                <w:rFonts w:ascii="Arial" w:hAnsi="Arial" w:cs="Arial"/>
                <w:sz w:val="20"/>
                <w:szCs w:val="20"/>
              </w:rPr>
              <w:t xml:space="preserve"> IVDs must also comply with the validation requirements set out in the National Pathology Accreditation Advisory Council (NPAAC) standard. </w:t>
            </w:r>
            <w:r>
              <w:rPr>
                <w:rFonts w:ascii="Arial" w:hAnsi="Arial" w:cs="Arial"/>
                <w:sz w:val="20"/>
                <w:szCs w:val="20"/>
              </w:rPr>
              <w:t xml:space="preserve">Refer to requirements for </w:t>
            </w:r>
            <w:hyperlink w:anchor="_In-house_IVDs_that" w:history="1">
              <w:r w:rsidRPr="003C57F4">
                <w:rPr>
                  <w:rStyle w:val="Hyperlink"/>
                  <w:rFonts w:cs="Arial"/>
                  <w:sz w:val="20"/>
                  <w:szCs w:val="20"/>
                </w:rPr>
                <w:t xml:space="preserve">in-house </w:t>
              </w:r>
              <w:proofErr w:type="spellStart"/>
              <w:r w:rsidRPr="003C57F4">
                <w:rPr>
                  <w:rStyle w:val="Hyperlink"/>
                  <w:rFonts w:cs="Arial"/>
                  <w:sz w:val="20"/>
                  <w:szCs w:val="20"/>
                </w:rPr>
                <w:t>CDx</w:t>
              </w:r>
              <w:proofErr w:type="spellEnd"/>
            </w:hyperlink>
            <w:r>
              <w:rPr>
                <w:rStyle w:val="Hyperlink"/>
                <w:rFonts w:cs="Arial"/>
              </w:rPr>
              <w:t xml:space="preserve"> </w:t>
            </w:r>
            <w:r w:rsidRPr="009A4E32">
              <w:rPr>
                <w:rStyle w:val="Hyperlink"/>
                <w:rFonts w:cs="Arial"/>
              </w:rPr>
              <w:t>IVDs</w:t>
            </w:r>
            <w:r w:rsidRPr="009A4E32">
              <w:rPr>
                <w:rFonts w:ascii="Arial" w:hAnsi="Arial" w:cs="Arial"/>
                <w:sz w:val="20"/>
                <w:szCs w:val="20"/>
              </w:rPr>
              <w:t>.</w:t>
            </w:r>
            <w:r>
              <w:rPr>
                <w:rFonts w:ascii="Arial" w:hAnsi="Arial" w:cs="Arial"/>
                <w:sz w:val="20"/>
                <w:szCs w:val="20"/>
              </w:rPr>
              <w:t xml:space="preserve"> </w:t>
            </w:r>
          </w:p>
        </w:tc>
      </w:tr>
    </w:tbl>
    <w:p w14:paraId="5658289B" w14:textId="77777777" w:rsidR="009E177C" w:rsidRPr="009C77AA" w:rsidRDefault="009E177C" w:rsidP="009E177C">
      <w:pPr>
        <w:pStyle w:val="Heading3"/>
      </w:pPr>
      <w:bookmarkStart w:id="53" w:name="_Clinical_utility_for"/>
      <w:bookmarkStart w:id="54" w:name="_Toc158650270"/>
      <w:bookmarkStart w:id="55" w:name="_Toc144388265"/>
      <w:bookmarkEnd w:id="53"/>
      <w:r>
        <w:t xml:space="preserve">Clinical utility for subsequent </w:t>
      </w:r>
      <w:proofErr w:type="spellStart"/>
      <w:r>
        <w:t>CDx</w:t>
      </w:r>
      <w:bookmarkEnd w:id="54"/>
      <w:proofErr w:type="spellEnd"/>
    </w:p>
    <w:p w14:paraId="0F1A9A6D" w14:textId="549E515A" w:rsidR="009E177C" w:rsidRDefault="009E177C" w:rsidP="009E177C">
      <w:pPr>
        <w:spacing w:after="385"/>
        <w:rPr>
          <w:rFonts w:eastAsia="Arial" w:cs="Arial"/>
        </w:rPr>
      </w:pPr>
      <w:r w:rsidRPr="006F689F">
        <w:t xml:space="preserve">Evidence of clinical utility must be provided for a subsequent IVD to be acceptable as a </w:t>
      </w:r>
      <w:r>
        <w:t>subsequent</w:t>
      </w:r>
      <w:r w:rsidRPr="006F689F">
        <w:t xml:space="preserve"> </w:t>
      </w:r>
      <w:proofErr w:type="spellStart"/>
      <w:r w:rsidRPr="006F689F">
        <w:t>CDx</w:t>
      </w:r>
      <w:proofErr w:type="spellEnd"/>
      <w:r w:rsidR="000A5105">
        <w:t>. This</w:t>
      </w:r>
      <w:r w:rsidRPr="006F689F">
        <w:t xml:space="preserve"> involves a combination of clinical and analytical performance</w:t>
      </w:r>
      <w:r w:rsidR="000A5105">
        <w:t xml:space="preserve"> studies</w:t>
      </w:r>
      <w:r w:rsidRPr="006F689F">
        <w:t>.</w:t>
      </w:r>
      <w:r w:rsidRPr="009704D5">
        <w:rPr>
          <w:rFonts w:eastAsia="Arial" w:cs="Arial"/>
        </w:rPr>
        <w:t xml:space="preserve"> </w:t>
      </w:r>
      <w:r w:rsidRPr="00463BA9">
        <w:rPr>
          <w:rFonts w:cs="Arial"/>
        </w:rPr>
        <w:t xml:space="preserve">The following sections </w:t>
      </w:r>
      <w:r>
        <w:rPr>
          <w:rFonts w:cs="Arial"/>
        </w:rPr>
        <w:t>regarding</w:t>
      </w:r>
      <w:r w:rsidRPr="00463BA9">
        <w:rPr>
          <w:rFonts w:cs="Arial"/>
        </w:rPr>
        <w:t xml:space="preserve"> </w:t>
      </w:r>
      <w:proofErr w:type="spellStart"/>
      <w:r w:rsidRPr="00463BA9">
        <w:rPr>
          <w:rFonts w:cs="Arial"/>
        </w:rPr>
        <w:t>CDx</w:t>
      </w:r>
      <w:proofErr w:type="spellEnd"/>
      <w:r w:rsidRPr="00463BA9">
        <w:rPr>
          <w:rFonts w:cs="Arial"/>
        </w:rPr>
        <w:t xml:space="preserve"> clinical and analytical performance requirements should be read in conjunction with the guidance:</w:t>
      </w:r>
      <w:r w:rsidRPr="00463BA9">
        <w:rPr>
          <w:rFonts w:eastAsia="Times New Roman" w:cs="Arial"/>
        </w:rPr>
        <w:t xml:space="preserve"> </w:t>
      </w:r>
      <w:hyperlink r:id="rId32" w:history="1">
        <w:r w:rsidRPr="00463BA9">
          <w:rPr>
            <w:rStyle w:val="Hyperlink"/>
            <w:rFonts w:cs="Arial"/>
          </w:rPr>
          <w:t>clinical evidence guidelines supplement: In vitro diagnostic (IVD) medical devices</w:t>
        </w:r>
      </w:hyperlink>
      <w:r w:rsidRPr="00463BA9">
        <w:rPr>
          <w:rFonts w:cs="Arial"/>
        </w:rPr>
        <w:t>.</w:t>
      </w:r>
      <w:r w:rsidRPr="0062591A">
        <w:rPr>
          <w:rFonts w:eastAsia="Arial" w:cs="Arial"/>
        </w:rPr>
        <w:t xml:space="preserve"> </w:t>
      </w:r>
    </w:p>
    <w:p w14:paraId="0AA31274" w14:textId="03967B7C" w:rsidR="009E177C" w:rsidRDefault="000A5105" w:rsidP="009E177C">
      <w:pPr>
        <w:spacing w:after="385"/>
        <w:rPr>
          <w:rFonts w:eastAsia="Arial" w:cs="Arial"/>
        </w:rPr>
      </w:pPr>
      <w:r>
        <w:rPr>
          <w:rFonts w:eastAsia="Arial" w:cs="Arial"/>
        </w:rPr>
        <w:lastRenderedPageBreak/>
        <w:t>Applicants may use b</w:t>
      </w:r>
      <w:r w:rsidR="009E177C">
        <w:rPr>
          <w:rFonts w:eastAsia="Arial" w:cs="Arial"/>
        </w:rPr>
        <w:t xml:space="preserve">ridging and comparability studies to demonstrate comparability of analytical and clinical performance between the original </w:t>
      </w:r>
      <w:proofErr w:type="spellStart"/>
      <w:r w:rsidR="009E177C">
        <w:rPr>
          <w:rFonts w:eastAsia="Arial" w:cs="Arial"/>
        </w:rPr>
        <w:t>CDx</w:t>
      </w:r>
      <w:proofErr w:type="spellEnd"/>
      <w:r w:rsidR="009E177C">
        <w:rPr>
          <w:rFonts w:eastAsia="Arial" w:cs="Arial"/>
        </w:rPr>
        <w:t xml:space="preserve"> and the subsequent IVD</w:t>
      </w:r>
      <w:r w:rsidR="0033277B">
        <w:rPr>
          <w:rFonts w:eastAsia="Arial" w:cs="Arial"/>
        </w:rPr>
        <w:t xml:space="preserve">. This would enable </w:t>
      </w:r>
      <w:r w:rsidR="009E177C">
        <w:rPr>
          <w:rFonts w:eastAsia="Arial" w:cs="Arial"/>
        </w:rPr>
        <w:t xml:space="preserve">the pivotal studies that supported the indication approval </w:t>
      </w:r>
      <w:r w:rsidR="0033277B">
        <w:rPr>
          <w:rFonts w:eastAsia="Arial" w:cs="Arial"/>
        </w:rPr>
        <w:t xml:space="preserve">of the original </w:t>
      </w:r>
      <w:proofErr w:type="spellStart"/>
      <w:r w:rsidR="0033277B">
        <w:rPr>
          <w:rFonts w:eastAsia="Arial" w:cs="Arial"/>
        </w:rPr>
        <w:t>CDx</w:t>
      </w:r>
      <w:proofErr w:type="spellEnd"/>
      <w:r w:rsidR="0033277B">
        <w:rPr>
          <w:rFonts w:eastAsia="Arial" w:cs="Arial"/>
        </w:rPr>
        <w:t xml:space="preserve"> </w:t>
      </w:r>
      <w:r w:rsidR="009E177C">
        <w:rPr>
          <w:rFonts w:eastAsia="Arial" w:cs="Arial"/>
        </w:rPr>
        <w:t xml:space="preserve">to </w:t>
      </w:r>
      <w:r w:rsidR="0033277B">
        <w:rPr>
          <w:rFonts w:eastAsia="Arial" w:cs="Arial"/>
        </w:rPr>
        <w:t xml:space="preserve">demonstrate the </w:t>
      </w:r>
      <w:r w:rsidR="009E177C">
        <w:rPr>
          <w:rFonts w:eastAsia="Arial" w:cs="Arial"/>
        </w:rPr>
        <w:t xml:space="preserve">clinical utility data for approval of a subsequent </w:t>
      </w:r>
      <w:proofErr w:type="spellStart"/>
      <w:r w:rsidR="009E177C">
        <w:rPr>
          <w:rFonts w:eastAsia="Arial" w:cs="Arial"/>
        </w:rPr>
        <w:t>CDx</w:t>
      </w:r>
      <w:proofErr w:type="spellEnd"/>
      <w:r w:rsidR="009E177C">
        <w:rPr>
          <w:rFonts w:eastAsia="Arial" w:cs="Arial"/>
        </w:rPr>
        <w:t>.</w:t>
      </w:r>
    </w:p>
    <w:p w14:paraId="2D07B13A" w14:textId="2F93DFB7" w:rsidR="009E177C" w:rsidRPr="00463BA9" w:rsidRDefault="009E177C" w:rsidP="009E177C">
      <w:pPr>
        <w:spacing w:after="385"/>
        <w:rPr>
          <w:rFonts w:cs="Arial"/>
        </w:rPr>
      </w:pPr>
      <w:r>
        <w:rPr>
          <w:rFonts w:eastAsia="Arial" w:cs="Arial"/>
        </w:rPr>
        <w:t>Alternatively, a non-inferiority</w:t>
      </w:r>
      <w:r w:rsidRPr="00402BB4">
        <w:rPr>
          <w:rFonts w:eastAsia="Arial" w:cs="Arial"/>
        </w:rPr>
        <w:t xml:space="preserve"> clinical study with adequate statistical methodology and appropriate clinical endpoints could be performed establishing </w:t>
      </w:r>
      <w:r>
        <w:rPr>
          <w:rFonts w:eastAsia="Arial" w:cs="Arial"/>
        </w:rPr>
        <w:t>a direct</w:t>
      </w:r>
      <w:r w:rsidRPr="00402BB4">
        <w:rPr>
          <w:rFonts w:eastAsia="Arial" w:cs="Arial"/>
        </w:rPr>
        <w:t xml:space="preserve"> link between the results of the </w:t>
      </w:r>
      <w:r>
        <w:rPr>
          <w:rFonts w:eastAsia="Arial" w:cs="Arial"/>
        </w:rPr>
        <w:t>subsequent</w:t>
      </w:r>
      <w:r w:rsidRPr="00402BB4">
        <w:rPr>
          <w:rFonts w:eastAsia="Arial" w:cs="Arial"/>
        </w:rPr>
        <w:t xml:space="preserve"> </w:t>
      </w:r>
      <w:proofErr w:type="spellStart"/>
      <w:r>
        <w:rPr>
          <w:rFonts w:eastAsia="Arial" w:cs="Arial"/>
        </w:rPr>
        <w:t>CDx</w:t>
      </w:r>
      <w:proofErr w:type="spellEnd"/>
      <w:r w:rsidRPr="00402BB4">
        <w:rPr>
          <w:rFonts w:eastAsia="Arial" w:cs="Arial"/>
        </w:rPr>
        <w:t xml:space="preserve"> and patient outcomes for that </w:t>
      </w:r>
      <w:r w:rsidR="0033277B">
        <w:rPr>
          <w:rFonts w:eastAsia="Arial" w:cs="Arial"/>
        </w:rPr>
        <w:t xml:space="preserve">medicine </w:t>
      </w:r>
      <w:r w:rsidRPr="00402BB4">
        <w:rPr>
          <w:rFonts w:eastAsia="Arial" w:cs="Arial"/>
        </w:rPr>
        <w:t xml:space="preserve">indication. The data would need to demonstrate that the clinical outcomes were not significantly different with use of the </w:t>
      </w:r>
      <w:r>
        <w:rPr>
          <w:rFonts w:eastAsia="Arial" w:cs="Arial"/>
        </w:rPr>
        <w:t>subsequent</w:t>
      </w:r>
      <w:r w:rsidRPr="00402BB4">
        <w:rPr>
          <w:rFonts w:eastAsia="Arial" w:cs="Arial"/>
        </w:rPr>
        <w:t xml:space="preserve"> </w:t>
      </w:r>
      <w:proofErr w:type="spellStart"/>
      <w:r>
        <w:rPr>
          <w:rFonts w:eastAsia="Arial" w:cs="Arial"/>
        </w:rPr>
        <w:t>CDx</w:t>
      </w:r>
      <w:proofErr w:type="spellEnd"/>
      <w:r>
        <w:rPr>
          <w:rFonts w:eastAsia="Arial" w:cs="Arial"/>
        </w:rPr>
        <w:t xml:space="preserve"> </w:t>
      </w:r>
      <w:r w:rsidRPr="00402BB4">
        <w:rPr>
          <w:rFonts w:eastAsia="Arial" w:cs="Arial"/>
        </w:rPr>
        <w:t xml:space="preserve">to those that were obtained using the clinical trial </w:t>
      </w:r>
      <w:r>
        <w:rPr>
          <w:rFonts w:eastAsia="Arial" w:cs="Arial"/>
        </w:rPr>
        <w:t>assay</w:t>
      </w:r>
      <w:r w:rsidRPr="00402BB4">
        <w:rPr>
          <w:rFonts w:eastAsia="Arial" w:cs="Arial"/>
        </w:rPr>
        <w:t xml:space="preserve"> in the original pivotal studies. Adequate clinical justification would be required for the statistical parameters in the study design, which should be pre-specified, including power and acceptance criteria (margins for concluding equivalence</w:t>
      </w:r>
      <w:r w:rsidR="00B23385">
        <w:rPr>
          <w:rFonts w:eastAsia="Arial" w:cs="Arial"/>
        </w:rPr>
        <w:t xml:space="preserve"> or </w:t>
      </w:r>
      <w:r w:rsidRPr="00402BB4">
        <w:rPr>
          <w:rFonts w:eastAsia="Arial" w:cs="Arial"/>
        </w:rPr>
        <w:t>non-inferiority).</w:t>
      </w:r>
    </w:p>
    <w:p w14:paraId="37F3E139" w14:textId="73A5CE20" w:rsidR="00FB5E1A" w:rsidRDefault="00FB5E1A" w:rsidP="0073110C">
      <w:pPr>
        <w:pStyle w:val="Heading3"/>
      </w:pPr>
      <w:bookmarkStart w:id="56" w:name="_Analytical_performance"/>
      <w:bookmarkStart w:id="57" w:name="_Analytical_performance_requirements"/>
      <w:bookmarkStart w:id="58" w:name="_Toc143557688"/>
      <w:bookmarkStart w:id="59" w:name="_Toc144388266"/>
      <w:bookmarkStart w:id="60" w:name="_Toc158650271"/>
      <w:bookmarkEnd w:id="55"/>
      <w:bookmarkEnd w:id="56"/>
      <w:bookmarkEnd w:id="57"/>
      <w:r>
        <w:t xml:space="preserve">Analytical </w:t>
      </w:r>
      <w:r w:rsidR="00524870">
        <w:t>performance</w:t>
      </w:r>
      <w:bookmarkEnd w:id="58"/>
      <w:bookmarkEnd w:id="59"/>
      <w:r w:rsidR="00C6516A">
        <w:t xml:space="preserve"> requirements</w:t>
      </w:r>
      <w:bookmarkEnd w:id="60"/>
    </w:p>
    <w:p w14:paraId="509E48C7" w14:textId="69AE37CD" w:rsidR="00FB5E1A" w:rsidRPr="00C6516A" w:rsidRDefault="001D7142" w:rsidP="00FB5E1A">
      <w:pPr>
        <w:rPr>
          <w:rFonts w:cs="Arial"/>
        </w:rPr>
      </w:pPr>
      <w:r w:rsidRPr="00C6516A">
        <w:rPr>
          <w:rFonts w:cs="Arial"/>
        </w:rPr>
        <w:t xml:space="preserve">Analytical performance </w:t>
      </w:r>
      <w:r w:rsidR="00FB367A" w:rsidRPr="00C6516A">
        <w:rPr>
          <w:rFonts w:cs="Arial"/>
        </w:rPr>
        <w:t>studies will be expected to include</w:t>
      </w:r>
      <w:r w:rsidR="006C0F2E" w:rsidRPr="00C6516A">
        <w:rPr>
          <w:rFonts w:cs="Arial"/>
        </w:rPr>
        <w:t xml:space="preserve"> </w:t>
      </w:r>
      <w:r w:rsidR="00CB7074" w:rsidRPr="00C6516A">
        <w:rPr>
          <w:rFonts w:cs="Arial"/>
        </w:rPr>
        <w:t xml:space="preserve">full </w:t>
      </w:r>
      <w:r w:rsidR="006C0F2E" w:rsidRPr="00C6516A">
        <w:rPr>
          <w:rFonts w:cs="Arial"/>
        </w:rPr>
        <w:t>validation of the following:</w:t>
      </w:r>
    </w:p>
    <w:p w14:paraId="148DBCEB" w14:textId="02D67740" w:rsidR="006C0F2E" w:rsidRPr="00C6516A" w:rsidRDefault="00B6653C" w:rsidP="006C0F2E">
      <w:pPr>
        <w:pStyle w:val="ListParagraph"/>
        <w:numPr>
          <w:ilvl w:val="0"/>
          <w:numId w:val="25"/>
        </w:numPr>
        <w:rPr>
          <w:rFonts w:ascii="Arial" w:hAnsi="Arial" w:cs="Arial"/>
          <w:sz w:val="20"/>
          <w:szCs w:val="20"/>
        </w:rPr>
      </w:pPr>
      <w:r w:rsidRPr="00C6516A">
        <w:rPr>
          <w:rFonts w:ascii="Arial" w:hAnsi="Arial" w:cs="Arial"/>
          <w:sz w:val="20"/>
          <w:szCs w:val="20"/>
        </w:rPr>
        <w:t>Specimen stability (storage and transport)</w:t>
      </w:r>
    </w:p>
    <w:p w14:paraId="1154DF96" w14:textId="040F6EEA" w:rsidR="00B6653C" w:rsidRPr="00C6516A" w:rsidRDefault="00B6653C" w:rsidP="006C0F2E">
      <w:pPr>
        <w:pStyle w:val="ListParagraph"/>
        <w:numPr>
          <w:ilvl w:val="0"/>
          <w:numId w:val="25"/>
        </w:numPr>
        <w:rPr>
          <w:rFonts w:ascii="Arial" w:hAnsi="Arial" w:cs="Arial"/>
          <w:sz w:val="20"/>
          <w:szCs w:val="20"/>
        </w:rPr>
      </w:pPr>
      <w:r w:rsidRPr="00C6516A">
        <w:rPr>
          <w:rFonts w:ascii="Arial" w:hAnsi="Arial" w:cs="Arial"/>
          <w:sz w:val="20"/>
          <w:szCs w:val="20"/>
        </w:rPr>
        <w:t>Specimen equivalence (</w:t>
      </w:r>
      <w:r w:rsidR="009C1CC7" w:rsidRPr="00C6516A">
        <w:rPr>
          <w:rFonts w:ascii="Arial" w:hAnsi="Arial" w:cs="Arial"/>
          <w:sz w:val="20"/>
          <w:szCs w:val="20"/>
        </w:rPr>
        <w:t>for devices which intend to use more than one type of specimen)</w:t>
      </w:r>
    </w:p>
    <w:p w14:paraId="091B177F" w14:textId="6FA74EC3" w:rsidR="009C1CC7" w:rsidRPr="00C6516A" w:rsidRDefault="00327394" w:rsidP="006C0F2E">
      <w:pPr>
        <w:pStyle w:val="ListParagraph"/>
        <w:numPr>
          <w:ilvl w:val="0"/>
          <w:numId w:val="25"/>
        </w:numPr>
        <w:rPr>
          <w:rFonts w:ascii="Arial" w:hAnsi="Arial" w:cs="Arial"/>
          <w:sz w:val="20"/>
          <w:szCs w:val="20"/>
        </w:rPr>
      </w:pPr>
      <w:r w:rsidRPr="00C6516A">
        <w:rPr>
          <w:rFonts w:ascii="Arial" w:hAnsi="Arial" w:cs="Arial"/>
          <w:sz w:val="20"/>
          <w:szCs w:val="20"/>
        </w:rPr>
        <w:t>Sensitivity (limit of detection, limit of blank, limit of quantitation, as appropriate)</w:t>
      </w:r>
    </w:p>
    <w:p w14:paraId="0B90301F" w14:textId="32C0505C" w:rsidR="00C36605" w:rsidRPr="00C6516A" w:rsidRDefault="00C36605" w:rsidP="006C0F2E">
      <w:pPr>
        <w:pStyle w:val="ListParagraph"/>
        <w:numPr>
          <w:ilvl w:val="0"/>
          <w:numId w:val="25"/>
        </w:numPr>
        <w:rPr>
          <w:rFonts w:ascii="Arial" w:hAnsi="Arial" w:cs="Arial"/>
          <w:sz w:val="20"/>
          <w:szCs w:val="20"/>
        </w:rPr>
      </w:pPr>
      <w:r w:rsidRPr="00C6516A">
        <w:rPr>
          <w:rFonts w:ascii="Arial" w:hAnsi="Arial" w:cs="Arial"/>
          <w:sz w:val="20"/>
          <w:szCs w:val="20"/>
        </w:rPr>
        <w:t>Assay cut-off</w:t>
      </w:r>
      <w:r w:rsidR="000F238E">
        <w:rPr>
          <w:rFonts w:ascii="Arial" w:hAnsi="Arial" w:cs="Arial"/>
          <w:sz w:val="20"/>
          <w:szCs w:val="20"/>
        </w:rPr>
        <w:t>, or decision points for the assay</w:t>
      </w:r>
    </w:p>
    <w:p w14:paraId="1CCA49D2" w14:textId="6017CE7D" w:rsidR="00C36605" w:rsidRPr="00C6516A" w:rsidRDefault="00C36605" w:rsidP="006C0F2E">
      <w:pPr>
        <w:pStyle w:val="ListParagraph"/>
        <w:numPr>
          <w:ilvl w:val="0"/>
          <w:numId w:val="25"/>
        </w:numPr>
        <w:rPr>
          <w:rFonts w:ascii="Arial" w:hAnsi="Arial" w:cs="Arial"/>
          <w:sz w:val="20"/>
          <w:szCs w:val="20"/>
        </w:rPr>
      </w:pPr>
      <w:r w:rsidRPr="00C6516A">
        <w:rPr>
          <w:rFonts w:ascii="Arial" w:hAnsi="Arial" w:cs="Arial"/>
          <w:sz w:val="20"/>
          <w:szCs w:val="20"/>
        </w:rPr>
        <w:t>Specificity (</w:t>
      </w:r>
      <w:r w:rsidR="009E7672" w:rsidRPr="00C6516A">
        <w:rPr>
          <w:rFonts w:ascii="Arial" w:hAnsi="Arial" w:cs="Arial"/>
          <w:sz w:val="20"/>
          <w:szCs w:val="20"/>
        </w:rPr>
        <w:t>interference, cross-reactivity</w:t>
      </w:r>
      <w:r w:rsidR="006933C4" w:rsidRPr="00C6516A">
        <w:rPr>
          <w:rFonts w:ascii="Arial" w:hAnsi="Arial" w:cs="Arial"/>
          <w:sz w:val="20"/>
          <w:szCs w:val="20"/>
        </w:rPr>
        <w:t>, inclusivity</w:t>
      </w:r>
      <w:r w:rsidR="009E0721" w:rsidRPr="00C6516A">
        <w:rPr>
          <w:rFonts w:ascii="Arial" w:hAnsi="Arial" w:cs="Arial"/>
          <w:sz w:val="20"/>
          <w:szCs w:val="20"/>
        </w:rPr>
        <w:t xml:space="preserve">, any Hook Effect or </w:t>
      </w:r>
      <w:proofErr w:type="spellStart"/>
      <w:r w:rsidR="009E0721" w:rsidRPr="00C6516A">
        <w:rPr>
          <w:rFonts w:ascii="Arial" w:hAnsi="Arial" w:cs="Arial"/>
          <w:sz w:val="20"/>
          <w:szCs w:val="20"/>
        </w:rPr>
        <w:t>prozoning</w:t>
      </w:r>
      <w:proofErr w:type="spellEnd"/>
      <w:r w:rsidR="009E0721" w:rsidRPr="00C6516A">
        <w:rPr>
          <w:rFonts w:ascii="Arial" w:hAnsi="Arial" w:cs="Arial"/>
          <w:sz w:val="20"/>
          <w:szCs w:val="20"/>
        </w:rPr>
        <w:t xml:space="preserve">, </w:t>
      </w:r>
      <w:r w:rsidR="00C313FA" w:rsidRPr="00C6516A">
        <w:rPr>
          <w:rFonts w:ascii="Arial" w:hAnsi="Arial" w:cs="Arial"/>
          <w:sz w:val="20"/>
          <w:szCs w:val="20"/>
        </w:rPr>
        <w:t>linearity</w:t>
      </w:r>
      <w:r w:rsidR="00E31343">
        <w:rPr>
          <w:rFonts w:ascii="Arial" w:hAnsi="Arial" w:cs="Arial"/>
          <w:sz w:val="20"/>
          <w:szCs w:val="20"/>
        </w:rPr>
        <w:t xml:space="preserve"> or </w:t>
      </w:r>
      <w:r w:rsidR="00FA274E" w:rsidRPr="00C6516A">
        <w:rPr>
          <w:rFonts w:ascii="Arial" w:hAnsi="Arial" w:cs="Arial"/>
          <w:sz w:val="20"/>
          <w:szCs w:val="20"/>
        </w:rPr>
        <w:t>measuring range, precision, and accuracy)</w:t>
      </w:r>
    </w:p>
    <w:p w14:paraId="30059A61" w14:textId="77621F4A" w:rsidR="00FA274E" w:rsidRPr="00C6516A" w:rsidRDefault="73F1C76F" w:rsidP="006C0F2E">
      <w:pPr>
        <w:pStyle w:val="ListParagraph"/>
        <w:numPr>
          <w:ilvl w:val="0"/>
          <w:numId w:val="25"/>
        </w:numPr>
        <w:rPr>
          <w:rFonts w:ascii="Arial" w:hAnsi="Arial" w:cs="Arial"/>
          <w:sz w:val="20"/>
          <w:szCs w:val="20"/>
        </w:rPr>
      </w:pPr>
      <w:r w:rsidRPr="00C6516A">
        <w:rPr>
          <w:rFonts w:ascii="Arial" w:hAnsi="Arial" w:cs="Arial"/>
          <w:sz w:val="20"/>
          <w:szCs w:val="20"/>
        </w:rPr>
        <w:t>Quality c</w:t>
      </w:r>
      <w:r w:rsidR="00D55709" w:rsidRPr="00C6516A">
        <w:rPr>
          <w:rFonts w:ascii="Arial" w:hAnsi="Arial" w:cs="Arial"/>
          <w:sz w:val="20"/>
          <w:szCs w:val="20"/>
        </w:rPr>
        <w:t xml:space="preserve">ontrol </w:t>
      </w:r>
      <w:r w:rsidR="235E30A9" w:rsidRPr="00C6516A">
        <w:rPr>
          <w:rFonts w:ascii="Arial" w:hAnsi="Arial" w:cs="Arial"/>
          <w:sz w:val="20"/>
          <w:szCs w:val="20"/>
        </w:rPr>
        <w:t xml:space="preserve">material </w:t>
      </w:r>
      <w:r w:rsidR="00D55709" w:rsidRPr="00C6516A">
        <w:rPr>
          <w:rFonts w:ascii="Arial" w:hAnsi="Arial" w:cs="Arial"/>
          <w:sz w:val="20"/>
          <w:szCs w:val="20"/>
        </w:rPr>
        <w:t>(</w:t>
      </w:r>
      <w:r w:rsidR="004460AB" w:rsidRPr="00C6516A">
        <w:rPr>
          <w:rFonts w:ascii="Arial" w:hAnsi="Arial" w:cs="Arial"/>
          <w:sz w:val="20"/>
          <w:szCs w:val="20"/>
        </w:rPr>
        <w:t>including reference materials or internal standards utilised</w:t>
      </w:r>
      <w:r w:rsidR="00EE5F40" w:rsidRPr="00C6516A">
        <w:rPr>
          <w:rFonts w:ascii="Arial" w:hAnsi="Arial" w:cs="Arial"/>
          <w:sz w:val="20"/>
          <w:szCs w:val="20"/>
        </w:rPr>
        <w:t>)</w:t>
      </w:r>
    </w:p>
    <w:p w14:paraId="71BF51A1" w14:textId="78BC3135" w:rsidR="79D1B6C0" w:rsidRPr="00C6516A" w:rsidRDefault="79D1B6C0" w:rsidP="5E8721A9">
      <w:pPr>
        <w:pStyle w:val="ListParagraph"/>
        <w:numPr>
          <w:ilvl w:val="0"/>
          <w:numId w:val="25"/>
        </w:numPr>
        <w:rPr>
          <w:rFonts w:ascii="Arial" w:hAnsi="Arial" w:cs="Arial"/>
          <w:color w:val="000000" w:themeColor="text1"/>
          <w:sz w:val="20"/>
          <w:szCs w:val="20"/>
        </w:rPr>
      </w:pPr>
      <w:r w:rsidRPr="00C6516A">
        <w:rPr>
          <w:rFonts w:ascii="Arial" w:hAnsi="Arial" w:cs="Arial"/>
          <w:color w:val="000000" w:themeColor="text1"/>
          <w:sz w:val="20"/>
          <w:szCs w:val="20"/>
        </w:rPr>
        <w:t>If it is a semi- or quantitative assay, calibration material must be available and expressed in acceptable</w:t>
      </w:r>
      <w:r w:rsidR="00E31343">
        <w:rPr>
          <w:rFonts w:ascii="Arial" w:hAnsi="Arial" w:cs="Arial"/>
          <w:color w:val="000000" w:themeColor="text1"/>
          <w:sz w:val="20"/>
          <w:szCs w:val="20"/>
        </w:rPr>
        <w:t xml:space="preserve"> or </w:t>
      </w:r>
      <w:r w:rsidRPr="00C6516A">
        <w:rPr>
          <w:rFonts w:ascii="Arial" w:hAnsi="Arial" w:cs="Arial"/>
          <w:color w:val="000000" w:themeColor="text1"/>
          <w:sz w:val="20"/>
          <w:szCs w:val="20"/>
        </w:rPr>
        <w:t>transferable units of measurement</w:t>
      </w:r>
      <w:r w:rsidR="00C6516A" w:rsidRPr="00C6516A">
        <w:rPr>
          <w:rFonts w:ascii="Arial" w:hAnsi="Arial" w:cs="Arial"/>
          <w:color w:val="000000" w:themeColor="text1"/>
          <w:sz w:val="20"/>
          <w:szCs w:val="20"/>
        </w:rPr>
        <w:t>.</w:t>
      </w:r>
    </w:p>
    <w:p w14:paraId="4930EB1A" w14:textId="3A0EB75C" w:rsidR="00257AE9" w:rsidRDefault="00257AE9" w:rsidP="007C018D">
      <w:pPr>
        <w:rPr>
          <w:rFonts w:cs="Arial"/>
        </w:rPr>
      </w:pPr>
      <w:r w:rsidRPr="00C6516A">
        <w:rPr>
          <w:rFonts w:cs="Arial"/>
        </w:rPr>
        <w:t xml:space="preserve">Full details of all </w:t>
      </w:r>
      <w:r w:rsidR="00EE5F40" w:rsidRPr="00C6516A">
        <w:rPr>
          <w:rFonts w:cs="Arial"/>
        </w:rPr>
        <w:t>studies conducted including experimental design and individual results for each individual sample utilised</w:t>
      </w:r>
      <w:r w:rsidR="00B75250" w:rsidRPr="00C6516A">
        <w:rPr>
          <w:rFonts w:cs="Arial"/>
        </w:rPr>
        <w:t xml:space="preserve"> </w:t>
      </w:r>
      <w:r w:rsidR="00177A2A">
        <w:rPr>
          <w:rFonts w:cs="Arial"/>
        </w:rPr>
        <w:t>are</w:t>
      </w:r>
      <w:r w:rsidR="00B75250" w:rsidRPr="00C6516A">
        <w:rPr>
          <w:rFonts w:cs="Arial"/>
        </w:rPr>
        <w:t xml:space="preserve"> required</w:t>
      </w:r>
      <w:r w:rsidR="00BE650E" w:rsidRPr="00C6516A">
        <w:rPr>
          <w:rFonts w:cs="Arial"/>
        </w:rPr>
        <w:t xml:space="preserve"> </w:t>
      </w:r>
      <w:r w:rsidR="00B75250" w:rsidRPr="00C6516A">
        <w:rPr>
          <w:rFonts w:cs="Arial"/>
        </w:rPr>
        <w:t>Summary details will not be accepted.</w:t>
      </w:r>
      <w:r w:rsidR="0039175A" w:rsidRPr="00C6516A">
        <w:rPr>
          <w:rFonts w:cs="Arial"/>
        </w:rPr>
        <w:t xml:space="preserve"> For more information on the requirements of</w:t>
      </w:r>
      <w:r w:rsidR="00050697" w:rsidRPr="00C6516A">
        <w:rPr>
          <w:rFonts w:cs="Arial"/>
        </w:rPr>
        <w:t xml:space="preserve"> </w:t>
      </w:r>
      <w:r w:rsidR="00BE650E" w:rsidRPr="00C6516A">
        <w:rPr>
          <w:rFonts w:cs="Arial"/>
        </w:rPr>
        <w:t xml:space="preserve">elaborated </w:t>
      </w:r>
      <w:r w:rsidR="0088162E" w:rsidRPr="00C6516A">
        <w:rPr>
          <w:rFonts w:cs="Arial"/>
        </w:rPr>
        <w:t xml:space="preserve">information, please refer to </w:t>
      </w:r>
      <w:hyperlink r:id="rId33" w:history="1">
        <w:r w:rsidR="0088162E" w:rsidRPr="00C6516A">
          <w:rPr>
            <w:rStyle w:val="Hyperlink"/>
            <w:rFonts w:cs="Arial"/>
          </w:rPr>
          <w:t>depth of information to be provided</w:t>
        </w:r>
      </w:hyperlink>
      <w:r w:rsidR="0088162E" w:rsidRPr="00C6516A">
        <w:rPr>
          <w:rFonts w:cs="Arial"/>
        </w:rPr>
        <w:t>.</w:t>
      </w:r>
    </w:p>
    <w:p w14:paraId="40CCF4D3" w14:textId="77777777" w:rsidR="001E5C51" w:rsidRDefault="001E5C51" w:rsidP="007C018D">
      <w:pPr>
        <w:rPr>
          <w:rFonts w:cs="Arial"/>
        </w:rPr>
      </w:pPr>
    </w:p>
    <w:p w14:paraId="281974A3" w14:textId="33794BFE" w:rsidR="26F4D99B" w:rsidRDefault="00CB0A3D" w:rsidP="00453DB3">
      <w:pPr>
        <w:pStyle w:val="Heading2"/>
        <w:spacing w:before="0"/>
      </w:pPr>
      <w:bookmarkStart w:id="61" w:name="_Toc144388267"/>
      <w:bookmarkStart w:id="62" w:name="_Toc158650272"/>
      <w:r>
        <w:t>Case studies</w:t>
      </w:r>
      <w:bookmarkEnd w:id="61"/>
      <w:bookmarkEnd w:id="62"/>
    </w:p>
    <w:p w14:paraId="4243CFCD" w14:textId="619D2155" w:rsidR="26F4D99B" w:rsidRDefault="26F4D99B" w:rsidP="5E8721A9">
      <w:pPr>
        <w:ind w:left="-4"/>
        <w:rPr>
          <w:rFonts w:cs="Arial"/>
        </w:rPr>
      </w:pPr>
      <w:r w:rsidRPr="5E8721A9">
        <w:rPr>
          <w:rFonts w:cs="Arial"/>
        </w:rPr>
        <w:t xml:space="preserve">Below are </w:t>
      </w:r>
      <w:r w:rsidR="001C083C">
        <w:rPr>
          <w:rFonts w:cs="Arial"/>
        </w:rPr>
        <w:t>four</w:t>
      </w:r>
      <w:r w:rsidR="001C083C" w:rsidRPr="5E8721A9">
        <w:rPr>
          <w:rFonts w:cs="Arial"/>
        </w:rPr>
        <w:t xml:space="preserve"> </w:t>
      </w:r>
      <w:r w:rsidRPr="5E8721A9">
        <w:rPr>
          <w:rFonts w:cs="Arial"/>
        </w:rPr>
        <w:t xml:space="preserve">case study examples that may assist device sponsors in understanding clinical and analytical requirements when submitting a </w:t>
      </w:r>
      <w:proofErr w:type="spellStart"/>
      <w:r w:rsidRPr="5E8721A9">
        <w:rPr>
          <w:rFonts w:cs="Arial"/>
        </w:rPr>
        <w:t>CDx</w:t>
      </w:r>
      <w:proofErr w:type="spellEnd"/>
      <w:r w:rsidRPr="5E8721A9">
        <w:rPr>
          <w:rFonts w:cs="Arial"/>
        </w:rPr>
        <w:t xml:space="preserve"> application.</w:t>
      </w:r>
    </w:p>
    <w:p w14:paraId="309A19A1" w14:textId="7DD7A726" w:rsidR="5E8721A9" w:rsidRDefault="5E8721A9" w:rsidP="5E8721A9">
      <w:pPr>
        <w:ind w:left="-4"/>
        <w:rPr>
          <w:rFonts w:cs="Arial"/>
        </w:rPr>
      </w:pPr>
    </w:p>
    <w:p w14:paraId="6E6894C0" w14:textId="5842EE98" w:rsidR="192C24DA" w:rsidRDefault="192C24DA" w:rsidP="5E8721A9">
      <w:pPr>
        <w:ind w:left="-4"/>
        <w:rPr>
          <w:rFonts w:cs="Arial"/>
          <w:b/>
          <w:bCs/>
          <w:sz w:val="24"/>
          <w:szCs w:val="24"/>
        </w:rPr>
      </w:pPr>
      <w:r w:rsidRPr="5E8721A9">
        <w:rPr>
          <w:rFonts w:cs="Arial"/>
          <w:b/>
          <w:bCs/>
          <w:sz w:val="24"/>
          <w:szCs w:val="24"/>
        </w:rPr>
        <w:t xml:space="preserve">Case study 1: </w:t>
      </w:r>
      <w:r w:rsidR="00955E34">
        <w:rPr>
          <w:rFonts w:cs="Arial"/>
          <w:b/>
          <w:bCs/>
          <w:sz w:val="24"/>
          <w:szCs w:val="24"/>
        </w:rPr>
        <w:t xml:space="preserve">Inclusion of </w:t>
      </w:r>
      <w:r w:rsidR="0877F2E0" w:rsidRPr="5E8721A9">
        <w:rPr>
          <w:rFonts w:cs="Arial"/>
          <w:b/>
          <w:bCs/>
          <w:sz w:val="24"/>
          <w:szCs w:val="24"/>
        </w:rPr>
        <w:t>IVD</w:t>
      </w:r>
      <w:r w:rsidR="49D30DAE" w:rsidRPr="5E8721A9">
        <w:rPr>
          <w:rFonts w:cs="Arial"/>
          <w:b/>
          <w:bCs/>
          <w:sz w:val="24"/>
          <w:szCs w:val="24"/>
        </w:rPr>
        <w:t xml:space="preserve"> </w:t>
      </w:r>
      <w:r w:rsidR="00D1368F">
        <w:rPr>
          <w:rFonts w:cs="Arial"/>
          <w:b/>
          <w:bCs/>
          <w:sz w:val="24"/>
          <w:szCs w:val="24"/>
        </w:rPr>
        <w:t>that</w:t>
      </w:r>
      <w:r w:rsidR="00D1368F" w:rsidRPr="5E8721A9">
        <w:rPr>
          <w:rFonts w:cs="Arial"/>
          <w:b/>
          <w:bCs/>
          <w:sz w:val="24"/>
          <w:szCs w:val="24"/>
        </w:rPr>
        <w:t xml:space="preserve"> </w:t>
      </w:r>
      <w:r w:rsidR="49D30DAE" w:rsidRPr="5E8721A9">
        <w:rPr>
          <w:rFonts w:cs="Arial"/>
          <w:b/>
          <w:bCs/>
          <w:sz w:val="24"/>
          <w:szCs w:val="24"/>
        </w:rPr>
        <w:t xml:space="preserve">has been used </w:t>
      </w:r>
      <w:r w:rsidR="002A787D">
        <w:rPr>
          <w:rFonts w:cs="Arial"/>
          <w:b/>
          <w:bCs/>
          <w:sz w:val="24"/>
          <w:szCs w:val="24"/>
        </w:rPr>
        <w:t>as</w:t>
      </w:r>
      <w:r w:rsidR="49D30DAE" w:rsidRPr="5E8721A9">
        <w:rPr>
          <w:rFonts w:cs="Arial"/>
          <w:b/>
          <w:bCs/>
          <w:sz w:val="24"/>
          <w:szCs w:val="24"/>
        </w:rPr>
        <w:t xml:space="preserve"> the clinical trial </w:t>
      </w:r>
      <w:r w:rsidR="002A787D">
        <w:rPr>
          <w:rFonts w:cs="Arial"/>
          <w:b/>
          <w:bCs/>
          <w:sz w:val="24"/>
          <w:szCs w:val="24"/>
        </w:rPr>
        <w:t>assay for</w:t>
      </w:r>
      <w:r w:rsidR="49D30DAE" w:rsidRPr="5E8721A9">
        <w:rPr>
          <w:rFonts w:cs="Arial"/>
          <w:b/>
          <w:bCs/>
          <w:sz w:val="24"/>
          <w:szCs w:val="24"/>
        </w:rPr>
        <w:t xml:space="preserve"> </w:t>
      </w:r>
      <w:r w:rsidR="3F7C9D63" w:rsidRPr="5E8721A9">
        <w:rPr>
          <w:rFonts w:cs="Arial"/>
          <w:b/>
          <w:bCs/>
          <w:sz w:val="24"/>
          <w:szCs w:val="24"/>
        </w:rPr>
        <w:t>a</w:t>
      </w:r>
      <w:r w:rsidR="49D30DAE" w:rsidRPr="5E8721A9">
        <w:rPr>
          <w:rFonts w:cs="Arial"/>
          <w:b/>
          <w:bCs/>
          <w:sz w:val="24"/>
          <w:szCs w:val="24"/>
        </w:rPr>
        <w:t xml:space="preserve"> medicine</w:t>
      </w:r>
      <w:r w:rsidR="002A787D">
        <w:rPr>
          <w:rFonts w:cs="Arial"/>
          <w:b/>
          <w:bCs/>
          <w:sz w:val="24"/>
          <w:szCs w:val="24"/>
        </w:rPr>
        <w:t>.</w:t>
      </w:r>
    </w:p>
    <w:tbl>
      <w:tblPr>
        <w:tblStyle w:val="TableGrid"/>
        <w:tblW w:w="0" w:type="auto"/>
        <w:tblInd w:w="-4" w:type="dxa"/>
        <w:tblLook w:val="04A0" w:firstRow="1" w:lastRow="0" w:firstColumn="1" w:lastColumn="0" w:noHBand="0" w:noVBand="1"/>
      </w:tblPr>
      <w:tblGrid>
        <w:gridCol w:w="1693"/>
        <w:gridCol w:w="7371"/>
      </w:tblGrid>
      <w:tr w:rsidR="00DB70F1" w14:paraId="705A9D4F" w14:textId="77777777" w:rsidTr="00F64152">
        <w:trPr>
          <w:trHeight w:val="1867"/>
        </w:trPr>
        <w:tc>
          <w:tcPr>
            <w:tcW w:w="1693" w:type="dxa"/>
          </w:tcPr>
          <w:p w14:paraId="416D9F88" w14:textId="69439AD6" w:rsidR="00DB70F1" w:rsidRPr="00801CDA" w:rsidRDefault="00DB70F1" w:rsidP="5E8721A9">
            <w:pPr>
              <w:rPr>
                <w:rFonts w:asciiTheme="minorHAnsi" w:eastAsiaTheme="minorHAnsi" w:hAnsiTheme="minorHAnsi" w:cstheme="minorBidi"/>
                <w:sz w:val="20"/>
                <w:szCs w:val="20"/>
                <w:lang w:eastAsia="en-US"/>
              </w:rPr>
            </w:pPr>
          </w:p>
          <w:p w14:paraId="16C958DB" w14:textId="069130A5" w:rsidR="00A749D8" w:rsidRPr="00801CDA" w:rsidRDefault="003E6C5B" w:rsidP="003E6C5B">
            <w:pPr>
              <w:rPr>
                <w:rFonts w:cs="Arial"/>
                <w:sz w:val="20"/>
                <w:szCs w:val="20"/>
              </w:rPr>
            </w:pPr>
            <w:r>
              <w:rPr>
                <w:rFonts w:cs="Arial"/>
                <w:noProof/>
              </w:rPr>
              <w:drawing>
                <wp:anchor distT="0" distB="0" distL="114300" distR="114300" simplePos="0" relativeHeight="251658240" behindDoc="0" locked="0" layoutInCell="1" allowOverlap="1" wp14:anchorId="4D0525BC" wp14:editId="14C2CD83">
                  <wp:simplePos x="0" y="0"/>
                  <wp:positionH relativeFrom="column">
                    <wp:posOffset>162560</wp:posOffset>
                  </wp:positionH>
                  <wp:positionV relativeFrom="paragraph">
                    <wp:posOffset>93296</wp:posOffset>
                  </wp:positionV>
                  <wp:extent cx="611945" cy="668376"/>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11945" cy="668376"/>
                          </a:xfrm>
                          <a:prstGeom prst="rect">
                            <a:avLst/>
                          </a:prstGeom>
                          <a:noFill/>
                        </pic:spPr>
                      </pic:pic>
                    </a:graphicData>
                  </a:graphic>
                  <wp14:sizeRelH relativeFrom="page">
                    <wp14:pctWidth>0</wp14:pctWidth>
                  </wp14:sizeRelH>
                  <wp14:sizeRelV relativeFrom="page">
                    <wp14:pctHeight>0</wp14:pctHeight>
                  </wp14:sizeRelV>
                </wp:anchor>
              </w:drawing>
            </w:r>
          </w:p>
        </w:tc>
        <w:tc>
          <w:tcPr>
            <w:tcW w:w="7371" w:type="dxa"/>
          </w:tcPr>
          <w:p w14:paraId="45628A26" w14:textId="4B37F0DF" w:rsidR="00DB70F1" w:rsidRPr="00FE0711" w:rsidRDefault="00DB70F1" w:rsidP="00923E07">
            <w:pPr>
              <w:spacing w:before="240" w:after="240"/>
              <w:rPr>
                <w:rFonts w:cs="Arial"/>
                <w:sz w:val="20"/>
                <w:szCs w:val="20"/>
              </w:rPr>
            </w:pPr>
            <w:r w:rsidRPr="00FE0711">
              <w:rPr>
                <w:rFonts w:cs="Arial"/>
                <w:sz w:val="20"/>
                <w:szCs w:val="20"/>
              </w:rPr>
              <w:t xml:space="preserve">Paul is the sponsor of an </w:t>
            </w:r>
            <w:r w:rsidRPr="001F7329">
              <w:rPr>
                <w:rFonts w:cs="Arial"/>
                <w:sz w:val="20"/>
                <w:szCs w:val="20"/>
              </w:rPr>
              <w:t xml:space="preserve">IVD </w:t>
            </w:r>
            <w:r w:rsidRPr="001F7329">
              <w:rPr>
                <w:rFonts w:cs="Arial"/>
                <w:i/>
                <w:iCs/>
                <w:sz w:val="20"/>
                <w:szCs w:val="20"/>
              </w:rPr>
              <w:t>‘</w:t>
            </w:r>
            <w:r w:rsidR="00D179F5" w:rsidRPr="001F7329">
              <w:rPr>
                <w:rFonts w:cs="Arial"/>
                <w:i/>
                <w:iCs/>
                <w:sz w:val="20"/>
                <w:szCs w:val="20"/>
              </w:rPr>
              <w:t>PD-L1 Detect</w:t>
            </w:r>
            <w:r w:rsidRPr="001F7329">
              <w:rPr>
                <w:rFonts w:cs="Arial"/>
                <w:i/>
                <w:iCs/>
                <w:sz w:val="20"/>
                <w:szCs w:val="20"/>
              </w:rPr>
              <w:t>’</w:t>
            </w:r>
            <w:r w:rsidRPr="001F7329">
              <w:rPr>
                <w:rFonts w:cs="Arial"/>
                <w:sz w:val="20"/>
                <w:szCs w:val="20"/>
              </w:rPr>
              <w:t xml:space="preserve"> which detects </w:t>
            </w:r>
            <w:r w:rsidR="006853B0" w:rsidRPr="001F7329">
              <w:rPr>
                <w:rFonts w:cs="Arial"/>
                <w:sz w:val="20"/>
                <w:szCs w:val="20"/>
              </w:rPr>
              <w:t xml:space="preserve">Programmed Death Ligand 1 (PD-L1) </w:t>
            </w:r>
            <w:r w:rsidR="00CD2BE2" w:rsidRPr="001F7329">
              <w:rPr>
                <w:rFonts w:cs="Arial"/>
                <w:sz w:val="20"/>
                <w:szCs w:val="20"/>
              </w:rPr>
              <w:t>i</w:t>
            </w:r>
            <w:r w:rsidRPr="001F7329">
              <w:rPr>
                <w:rFonts w:cs="Arial"/>
                <w:sz w:val="20"/>
                <w:szCs w:val="20"/>
              </w:rPr>
              <w:t xml:space="preserve">n oesophageal squamous cell carcinoma </w:t>
            </w:r>
            <w:r w:rsidR="00A47DEA" w:rsidRPr="001F7329">
              <w:rPr>
                <w:rFonts w:cs="Arial"/>
                <w:sz w:val="20"/>
                <w:szCs w:val="20"/>
              </w:rPr>
              <w:t xml:space="preserve">to </w:t>
            </w:r>
            <w:r w:rsidR="0096008F" w:rsidRPr="001F7329">
              <w:rPr>
                <w:rFonts w:cs="Arial"/>
                <w:sz w:val="20"/>
                <w:szCs w:val="20"/>
              </w:rPr>
              <w:t>select</w:t>
            </w:r>
            <w:r w:rsidR="00A47DEA" w:rsidRPr="001F7329">
              <w:rPr>
                <w:rFonts w:cs="Arial"/>
                <w:sz w:val="20"/>
                <w:szCs w:val="20"/>
              </w:rPr>
              <w:t xml:space="preserve"> </w:t>
            </w:r>
            <w:r w:rsidRPr="001F7329">
              <w:rPr>
                <w:rFonts w:cs="Arial"/>
                <w:sz w:val="20"/>
                <w:szCs w:val="20"/>
              </w:rPr>
              <w:t xml:space="preserve">patients for treatment with medicine </w:t>
            </w:r>
            <w:r w:rsidRPr="001F7329">
              <w:rPr>
                <w:rFonts w:cs="Arial"/>
                <w:i/>
                <w:iCs/>
                <w:sz w:val="20"/>
                <w:szCs w:val="20"/>
              </w:rPr>
              <w:t>‘</w:t>
            </w:r>
            <w:proofErr w:type="spellStart"/>
            <w:r w:rsidR="00D057CF" w:rsidRPr="001F7329">
              <w:rPr>
                <w:rFonts w:cs="Arial"/>
                <w:i/>
                <w:iCs/>
                <w:sz w:val="20"/>
                <w:szCs w:val="20"/>
              </w:rPr>
              <w:t>anticancermab</w:t>
            </w:r>
            <w:proofErr w:type="spellEnd"/>
            <w:r w:rsidR="00D057CF" w:rsidRPr="001F7329">
              <w:rPr>
                <w:rFonts w:cs="Arial"/>
                <w:sz w:val="20"/>
                <w:szCs w:val="20"/>
              </w:rPr>
              <w:t xml:space="preserve">’ </w:t>
            </w:r>
            <w:r w:rsidRPr="001F7329">
              <w:rPr>
                <w:rFonts w:cs="Arial"/>
                <w:sz w:val="20"/>
                <w:szCs w:val="20"/>
              </w:rPr>
              <w:t>and intends to</w:t>
            </w:r>
            <w:r w:rsidRPr="00FE0711">
              <w:rPr>
                <w:rFonts w:cs="Arial"/>
                <w:sz w:val="20"/>
                <w:szCs w:val="20"/>
              </w:rPr>
              <w:t xml:space="preserve"> supply the IVD in Australia. Paul uses the </w:t>
            </w:r>
            <w:hyperlink w:anchor="ColumnTitle_4" w:history="1">
              <w:r w:rsidRPr="00FE0711">
                <w:rPr>
                  <w:rStyle w:val="Hyperlink"/>
                  <w:rFonts w:cs="Arial"/>
                  <w:sz w:val="20"/>
                  <w:szCs w:val="20"/>
                </w:rPr>
                <w:t>identification guide</w:t>
              </w:r>
            </w:hyperlink>
            <w:r w:rsidRPr="00FE0711">
              <w:rPr>
                <w:rFonts w:cs="Arial"/>
                <w:sz w:val="20"/>
                <w:szCs w:val="20"/>
              </w:rPr>
              <w:t xml:space="preserve"> and determines </w:t>
            </w:r>
            <w:r w:rsidR="00D179F5" w:rsidRPr="00FE0711">
              <w:rPr>
                <w:rFonts w:cs="Arial"/>
                <w:i/>
                <w:iCs/>
                <w:sz w:val="20"/>
                <w:szCs w:val="20"/>
              </w:rPr>
              <w:t>‘PD-L1 Detect’</w:t>
            </w:r>
            <w:r w:rsidRPr="00FE0711">
              <w:rPr>
                <w:rFonts w:cs="Arial"/>
                <w:sz w:val="20"/>
                <w:szCs w:val="20"/>
              </w:rPr>
              <w:t xml:space="preserve"> is essential for the safe and effective </w:t>
            </w:r>
            <w:r w:rsidRPr="001F7329">
              <w:rPr>
                <w:rFonts w:cs="Arial"/>
                <w:sz w:val="20"/>
                <w:szCs w:val="20"/>
              </w:rPr>
              <w:t xml:space="preserve">use of </w:t>
            </w:r>
            <w:r w:rsidR="00D179F5" w:rsidRPr="001F7329">
              <w:rPr>
                <w:rFonts w:cs="Arial"/>
                <w:i/>
                <w:iCs/>
                <w:sz w:val="20"/>
                <w:szCs w:val="20"/>
              </w:rPr>
              <w:t>‘</w:t>
            </w:r>
            <w:proofErr w:type="spellStart"/>
            <w:r w:rsidR="00D057CF" w:rsidRPr="001F7329">
              <w:rPr>
                <w:rFonts w:cs="Arial"/>
                <w:i/>
                <w:iCs/>
                <w:sz w:val="20"/>
                <w:szCs w:val="20"/>
              </w:rPr>
              <w:t>anticancermab</w:t>
            </w:r>
            <w:proofErr w:type="spellEnd"/>
            <w:r w:rsidR="00D057CF" w:rsidRPr="001F7329">
              <w:rPr>
                <w:rFonts w:cs="Arial"/>
                <w:sz w:val="20"/>
                <w:szCs w:val="20"/>
              </w:rPr>
              <w:t>’</w:t>
            </w:r>
            <w:r w:rsidRPr="001F7329">
              <w:rPr>
                <w:rFonts w:cs="Arial"/>
                <w:sz w:val="20"/>
                <w:szCs w:val="20"/>
              </w:rPr>
              <w:t xml:space="preserve">, as it is not solely </w:t>
            </w:r>
            <w:r w:rsidR="006D2E4C" w:rsidRPr="001F7329">
              <w:rPr>
                <w:rFonts w:cs="Arial"/>
                <w:sz w:val="20"/>
                <w:szCs w:val="20"/>
              </w:rPr>
              <w:t xml:space="preserve">intended </w:t>
            </w:r>
            <w:r w:rsidRPr="001F7329">
              <w:rPr>
                <w:rFonts w:cs="Arial"/>
                <w:sz w:val="20"/>
                <w:szCs w:val="20"/>
              </w:rPr>
              <w:t xml:space="preserve">to determine cell/tissue compatibility and is not a mainstream pathology test. </w:t>
            </w:r>
            <w:r w:rsidR="00D179F5" w:rsidRPr="001F7329">
              <w:rPr>
                <w:rFonts w:cs="Arial"/>
                <w:i/>
                <w:iCs/>
                <w:sz w:val="20"/>
                <w:szCs w:val="20"/>
              </w:rPr>
              <w:t>‘PD-L1 Detect’</w:t>
            </w:r>
            <w:r w:rsidRPr="001F7329">
              <w:rPr>
                <w:rFonts w:cs="Arial"/>
                <w:sz w:val="20"/>
                <w:szCs w:val="20"/>
              </w:rPr>
              <w:t xml:space="preserve"> is the same clinical trial assay that </w:t>
            </w:r>
            <w:r w:rsidR="00177A2A" w:rsidRPr="001F7329">
              <w:rPr>
                <w:rFonts w:cs="Arial"/>
                <w:sz w:val="20"/>
                <w:szCs w:val="20"/>
              </w:rPr>
              <w:t xml:space="preserve">was </w:t>
            </w:r>
            <w:r w:rsidRPr="001F7329">
              <w:rPr>
                <w:rFonts w:cs="Arial"/>
                <w:sz w:val="20"/>
                <w:szCs w:val="20"/>
              </w:rPr>
              <w:t xml:space="preserve">used in the pivotal clinical trial for </w:t>
            </w:r>
            <w:r w:rsidR="00D179F5" w:rsidRPr="001F7329">
              <w:rPr>
                <w:rFonts w:cs="Arial"/>
                <w:i/>
                <w:iCs/>
                <w:sz w:val="20"/>
                <w:szCs w:val="20"/>
              </w:rPr>
              <w:t>‘</w:t>
            </w:r>
            <w:proofErr w:type="spellStart"/>
            <w:r w:rsidR="00D057CF" w:rsidRPr="001F7329">
              <w:rPr>
                <w:rFonts w:cs="Arial"/>
                <w:i/>
                <w:iCs/>
                <w:sz w:val="20"/>
                <w:szCs w:val="20"/>
              </w:rPr>
              <w:t>anticancermab</w:t>
            </w:r>
            <w:proofErr w:type="spellEnd"/>
            <w:r w:rsidR="00D057CF" w:rsidRPr="001F7329">
              <w:rPr>
                <w:rFonts w:cs="Arial"/>
                <w:i/>
                <w:iCs/>
                <w:sz w:val="20"/>
                <w:szCs w:val="20"/>
              </w:rPr>
              <w:t>’</w:t>
            </w:r>
            <w:r w:rsidRPr="001F7329">
              <w:rPr>
                <w:rFonts w:cs="Arial"/>
                <w:sz w:val="20"/>
                <w:szCs w:val="20"/>
              </w:rPr>
              <w:t>.</w:t>
            </w:r>
            <w:r w:rsidRPr="00FE0711">
              <w:rPr>
                <w:rFonts w:cs="Arial"/>
                <w:sz w:val="20"/>
                <w:szCs w:val="20"/>
              </w:rPr>
              <w:t xml:space="preserve"> </w:t>
            </w:r>
          </w:p>
        </w:tc>
      </w:tr>
      <w:tr w:rsidR="00DB70F1" w14:paraId="6B9E3B9E" w14:textId="77777777" w:rsidTr="00923E07">
        <w:tc>
          <w:tcPr>
            <w:tcW w:w="9064" w:type="dxa"/>
            <w:gridSpan w:val="2"/>
            <w:shd w:val="clear" w:color="auto" w:fill="auto"/>
          </w:tcPr>
          <w:p w14:paraId="7C91CD0E" w14:textId="69667824" w:rsidR="00DB70F1" w:rsidRPr="001F7329" w:rsidRDefault="00955E34" w:rsidP="00923E07">
            <w:pPr>
              <w:spacing w:before="240"/>
              <w:ind w:left="-4"/>
              <w:rPr>
                <w:rFonts w:cs="Arial"/>
                <w:sz w:val="20"/>
                <w:szCs w:val="20"/>
              </w:rPr>
            </w:pPr>
            <w:r w:rsidRPr="00FE0711">
              <w:rPr>
                <w:rFonts w:cs="Arial"/>
                <w:sz w:val="20"/>
                <w:szCs w:val="20"/>
              </w:rPr>
              <w:t xml:space="preserve">Paul </w:t>
            </w:r>
            <w:r w:rsidR="00DB70F1" w:rsidRPr="00FE0711">
              <w:rPr>
                <w:rFonts w:cs="Arial"/>
                <w:sz w:val="20"/>
                <w:szCs w:val="20"/>
              </w:rPr>
              <w:t xml:space="preserve">must apply for inclusion in the ARTG to </w:t>
            </w:r>
            <w:r w:rsidR="00DB70F1" w:rsidRPr="001F7329">
              <w:rPr>
                <w:rFonts w:cs="Arial"/>
                <w:sz w:val="20"/>
                <w:szCs w:val="20"/>
              </w:rPr>
              <w:t xml:space="preserve">supply </w:t>
            </w:r>
            <w:r w:rsidR="00D179F5" w:rsidRPr="001F7329">
              <w:rPr>
                <w:rFonts w:cs="Arial"/>
                <w:i/>
                <w:iCs/>
                <w:sz w:val="20"/>
                <w:szCs w:val="20"/>
              </w:rPr>
              <w:t>‘PD-L1 Detect’</w:t>
            </w:r>
            <w:r w:rsidR="00DB70F1" w:rsidRPr="001F7329">
              <w:rPr>
                <w:rFonts w:cs="Arial"/>
                <w:sz w:val="20"/>
                <w:szCs w:val="20"/>
              </w:rPr>
              <w:t xml:space="preserve"> in Australia as a </w:t>
            </w:r>
            <w:proofErr w:type="spellStart"/>
            <w:r w:rsidR="00DB70F1" w:rsidRPr="001F7329">
              <w:rPr>
                <w:rFonts w:cs="Arial"/>
                <w:sz w:val="20"/>
                <w:szCs w:val="20"/>
              </w:rPr>
              <w:t>CDx</w:t>
            </w:r>
            <w:proofErr w:type="spellEnd"/>
            <w:r w:rsidR="003F305E">
              <w:rPr>
                <w:rFonts w:cs="Arial"/>
                <w:sz w:val="20"/>
                <w:szCs w:val="20"/>
              </w:rPr>
              <w:t>.</w:t>
            </w:r>
            <w:r w:rsidR="0073110C">
              <w:rPr>
                <w:rFonts w:cs="Arial"/>
                <w:sz w:val="20"/>
                <w:szCs w:val="20"/>
              </w:rPr>
              <w:t xml:space="preserve"> </w:t>
            </w:r>
          </w:p>
          <w:p w14:paraId="16EE55A4" w14:textId="0A13BDAF" w:rsidR="003C0EB7" w:rsidRPr="00FE0711" w:rsidRDefault="00DB70F1" w:rsidP="00923E07">
            <w:pPr>
              <w:spacing w:before="240"/>
              <w:rPr>
                <w:rFonts w:cs="Arial"/>
                <w:sz w:val="20"/>
                <w:szCs w:val="20"/>
              </w:rPr>
            </w:pPr>
            <w:r w:rsidRPr="001F7329">
              <w:rPr>
                <w:rFonts w:cs="Arial"/>
                <w:sz w:val="20"/>
                <w:szCs w:val="20"/>
              </w:rPr>
              <w:t xml:space="preserve">Paul is required to provide documentation to demonstrate the clinical and analytical performance of </w:t>
            </w:r>
            <w:r w:rsidR="00D179F5" w:rsidRPr="001F7329">
              <w:rPr>
                <w:rFonts w:cs="Arial"/>
                <w:i/>
                <w:iCs/>
                <w:sz w:val="20"/>
                <w:szCs w:val="20"/>
              </w:rPr>
              <w:t>‘PD-L1 Detect’</w:t>
            </w:r>
            <w:r w:rsidRPr="001F7329">
              <w:rPr>
                <w:rFonts w:cs="Arial"/>
                <w:sz w:val="20"/>
                <w:szCs w:val="20"/>
              </w:rPr>
              <w:t>. Paul can leverage the clinical trial study to demonstrate clinical performance by submitting the complete clinical trial report.</w:t>
            </w:r>
          </w:p>
          <w:p w14:paraId="5E5E8842" w14:textId="2FE3331F" w:rsidR="00DB70F1" w:rsidRPr="00801CDA" w:rsidRDefault="00DB70F1" w:rsidP="00923E07">
            <w:pPr>
              <w:spacing w:before="240" w:after="240"/>
              <w:rPr>
                <w:rFonts w:cs="Arial"/>
                <w:b/>
                <w:bCs/>
                <w:sz w:val="20"/>
                <w:szCs w:val="20"/>
              </w:rPr>
            </w:pPr>
            <w:r w:rsidRPr="00FE0711">
              <w:rPr>
                <w:rFonts w:cs="Arial"/>
                <w:sz w:val="20"/>
                <w:szCs w:val="20"/>
              </w:rPr>
              <w:lastRenderedPageBreak/>
              <w:t xml:space="preserve">To demonstrate analytical performance, </w:t>
            </w:r>
            <w:r w:rsidR="00BC6425" w:rsidRPr="00FE0711">
              <w:rPr>
                <w:rFonts w:cs="Arial"/>
                <w:sz w:val="20"/>
                <w:szCs w:val="20"/>
              </w:rPr>
              <w:t>Paul</w:t>
            </w:r>
            <w:r w:rsidRPr="00FE0711">
              <w:rPr>
                <w:rFonts w:cs="Arial"/>
                <w:sz w:val="20"/>
                <w:szCs w:val="20"/>
              </w:rPr>
              <w:t xml:space="preserve"> must also submit detailed reports of risk management analysis, stability (shelf-life, in-use, and transport), specimen stability, accuracy of measurement, analytical sensitivity, specificity (precision, cross-reactivity, and interference), range of the assay and validation of cut-off. The evidence provided must be in-line with the claims in the I</w:t>
            </w:r>
            <w:r w:rsidRPr="001F7329">
              <w:rPr>
                <w:rFonts w:cs="Arial"/>
                <w:sz w:val="20"/>
                <w:szCs w:val="20"/>
              </w:rPr>
              <w:t xml:space="preserve">FU for </w:t>
            </w:r>
            <w:r w:rsidR="00BC6425" w:rsidRPr="001F7329">
              <w:rPr>
                <w:rFonts w:cs="Arial"/>
                <w:sz w:val="20"/>
                <w:szCs w:val="20"/>
              </w:rPr>
              <w:t>‘</w:t>
            </w:r>
            <w:r w:rsidR="00BC6425" w:rsidRPr="001F7329">
              <w:rPr>
                <w:rFonts w:cs="Arial"/>
                <w:i/>
                <w:iCs/>
                <w:sz w:val="20"/>
                <w:szCs w:val="20"/>
              </w:rPr>
              <w:t>PD-L1 Detect</w:t>
            </w:r>
            <w:r w:rsidR="00BC6425" w:rsidRPr="001F7329">
              <w:rPr>
                <w:rFonts w:cs="Arial"/>
                <w:sz w:val="20"/>
                <w:szCs w:val="20"/>
              </w:rPr>
              <w:t>’</w:t>
            </w:r>
            <w:r w:rsidRPr="001F7329">
              <w:rPr>
                <w:rFonts w:cs="Arial"/>
                <w:sz w:val="20"/>
                <w:szCs w:val="20"/>
              </w:rPr>
              <w:t xml:space="preserve">. Refer to </w:t>
            </w:r>
            <w:hyperlink w:anchor="_Clinical_performance_requirements" w:history="1">
              <w:r w:rsidRPr="001F7329">
                <w:rPr>
                  <w:rStyle w:val="Hyperlink"/>
                  <w:rFonts w:cs="Arial"/>
                  <w:sz w:val="20"/>
                  <w:szCs w:val="20"/>
                </w:rPr>
                <w:t>clinical</w:t>
              </w:r>
            </w:hyperlink>
            <w:r w:rsidRPr="001F7329">
              <w:rPr>
                <w:rFonts w:cs="Arial"/>
                <w:sz w:val="20"/>
                <w:szCs w:val="20"/>
              </w:rPr>
              <w:t xml:space="preserve"> and </w:t>
            </w:r>
            <w:hyperlink w:anchor="_Analytical_performance_requirements" w:history="1">
              <w:r w:rsidRPr="001F7329">
                <w:rPr>
                  <w:rStyle w:val="Hyperlink"/>
                  <w:rFonts w:cs="Arial"/>
                  <w:sz w:val="20"/>
                  <w:szCs w:val="20"/>
                </w:rPr>
                <w:t>analytical</w:t>
              </w:r>
            </w:hyperlink>
            <w:r w:rsidRPr="001F7329">
              <w:rPr>
                <w:rFonts w:cs="Arial"/>
                <w:sz w:val="20"/>
                <w:szCs w:val="20"/>
              </w:rPr>
              <w:t xml:space="preserve"> performance requirements for additional informati</w:t>
            </w:r>
            <w:r w:rsidRPr="00FE0711">
              <w:rPr>
                <w:rFonts w:cs="Arial"/>
                <w:sz w:val="20"/>
                <w:szCs w:val="20"/>
              </w:rPr>
              <w:t>on.</w:t>
            </w:r>
          </w:p>
        </w:tc>
      </w:tr>
    </w:tbl>
    <w:p w14:paraId="7AE77BC3" w14:textId="659ABAE3" w:rsidR="00DB70F1" w:rsidRDefault="00DB70F1" w:rsidP="5E8721A9">
      <w:pPr>
        <w:ind w:left="-4"/>
        <w:rPr>
          <w:rFonts w:cs="Arial"/>
          <w:b/>
          <w:bCs/>
          <w:sz w:val="24"/>
          <w:szCs w:val="24"/>
        </w:rPr>
      </w:pPr>
    </w:p>
    <w:p w14:paraId="3C0AFE0A" w14:textId="688DD4A8" w:rsidR="0047179D" w:rsidRDefault="0047179D" w:rsidP="0047179D">
      <w:pPr>
        <w:rPr>
          <w:b/>
          <w:bCs/>
          <w:sz w:val="24"/>
          <w:szCs w:val="24"/>
        </w:rPr>
      </w:pPr>
      <w:bookmarkStart w:id="63" w:name="_Toc143557690"/>
      <w:bookmarkStart w:id="64" w:name="_Toc144388268"/>
      <w:r w:rsidRPr="00453DB3">
        <w:rPr>
          <w:b/>
          <w:bCs/>
          <w:sz w:val="24"/>
          <w:szCs w:val="24"/>
        </w:rPr>
        <w:t xml:space="preserve">Case study </w:t>
      </w:r>
      <w:r w:rsidR="00BE42C5">
        <w:rPr>
          <w:b/>
          <w:bCs/>
          <w:sz w:val="24"/>
          <w:szCs w:val="24"/>
        </w:rPr>
        <w:t>2</w:t>
      </w:r>
      <w:r w:rsidRPr="00453DB3">
        <w:rPr>
          <w:b/>
          <w:bCs/>
          <w:sz w:val="24"/>
          <w:szCs w:val="24"/>
        </w:rPr>
        <w:t xml:space="preserve">: </w:t>
      </w:r>
      <w:r w:rsidR="00FE0711">
        <w:rPr>
          <w:b/>
          <w:bCs/>
          <w:sz w:val="24"/>
          <w:szCs w:val="24"/>
        </w:rPr>
        <w:t xml:space="preserve">Inclusion of a drug monitoring </w:t>
      </w:r>
      <w:r w:rsidR="00942515">
        <w:rPr>
          <w:b/>
          <w:bCs/>
          <w:sz w:val="24"/>
          <w:szCs w:val="24"/>
        </w:rPr>
        <w:t>IVD</w:t>
      </w:r>
      <w:r w:rsidR="00FE0711">
        <w:rPr>
          <w:b/>
          <w:bCs/>
          <w:sz w:val="24"/>
          <w:szCs w:val="24"/>
        </w:rPr>
        <w:t xml:space="preserve"> </w:t>
      </w:r>
      <w:r w:rsidR="00942515">
        <w:rPr>
          <w:rFonts w:eastAsia="Cambria" w:cs="Arial"/>
          <w:b/>
          <w:bCs/>
          <w:color w:val="000000" w:themeColor="text1"/>
          <w:sz w:val="24"/>
          <w:szCs w:val="24"/>
        </w:rPr>
        <w:t>that</w:t>
      </w:r>
      <w:r w:rsidR="00942515" w:rsidRPr="5E8721A9">
        <w:rPr>
          <w:rFonts w:eastAsia="Cambria" w:cs="Arial"/>
          <w:b/>
          <w:bCs/>
          <w:color w:val="000000" w:themeColor="text1"/>
          <w:sz w:val="24"/>
          <w:szCs w:val="24"/>
        </w:rPr>
        <w:t xml:space="preserve"> was not used </w:t>
      </w:r>
      <w:r w:rsidR="00942515">
        <w:rPr>
          <w:rFonts w:eastAsia="Cambria" w:cs="Arial"/>
          <w:b/>
          <w:bCs/>
          <w:color w:val="000000" w:themeColor="text1"/>
          <w:sz w:val="24"/>
          <w:szCs w:val="24"/>
        </w:rPr>
        <w:t>as part of</w:t>
      </w:r>
      <w:r w:rsidR="00942515" w:rsidRPr="5E8721A9">
        <w:rPr>
          <w:rFonts w:eastAsia="Cambria" w:cs="Arial"/>
          <w:b/>
          <w:bCs/>
          <w:color w:val="000000" w:themeColor="text1"/>
          <w:sz w:val="24"/>
          <w:szCs w:val="24"/>
        </w:rPr>
        <w:t xml:space="preserve"> the clinical trial </w:t>
      </w:r>
      <w:r w:rsidR="00942515">
        <w:rPr>
          <w:rFonts w:eastAsia="Cambria" w:cs="Arial"/>
          <w:b/>
          <w:bCs/>
          <w:color w:val="000000" w:themeColor="text1"/>
          <w:sz w:val="24"/>
          <w:szCs w:val="24"/>
        </w:rPr>
        <w:t xml:space="preserve">assay for a medicine (a </w:t>
      </w:r>
      <w:r w:rsidR="00EA5360">
        <w:rPr>
          <w:rFonts w:eastAsia="Cambria" w:cs="Arial"/>
          <w:b/>
          <w:bCs/>
          <w:color w:val="000000" w:themeColor="text1"/>
          <w:sz w:val="24"/>
          <w:szCs w:val="24"/>
        </w:rPr>
        <w:t>subsequent</w:t>
      </w:r>
      <w:r w:rsidR="00942515">
        <w:rPr>
          <w:rFonts w:eastAsia="Cambria" w:cs="Arial"/>
          <w:b/>
          <w:bCs/>
          <w:color w:val="000000" w:themeColor="text1"/>
          <w:sz w:val="24"/>
          <w:szCs w:val="24"/>
        </w:rPr>
        <w:t xml:space="preserve"> IVD).</w:t>
      </w:r>
    </w:p>
    <w:tbl>
      <w:tblPr>
        <w:tblStyle w:val="TableGrid"/>
        <w:tblW w:w="0" w:type="auto"/>
        <w:tblInd w:w="-4" w:type="dxa"/>
        <w:tblLook w:val="04A0" w:firstRow="1" w:lastRow="0" w:firstColumn="1" w:lastColumn="0" w:noHBand="0" w:noVBand="1"/>
      </w:tblPr>
      <w:tblGrid>
        <w:gridCol w:w="1700"/>
        <w:gridCol w:w="7362"/>
      </w:tblGrid>
      <w:tr w:rsidR="00FE0711" w:rsidRPr="00801CDA" w14:paraId="030406B2" w14:textId="77777777" w:rsidTr="00B73478">
        <w:trPr>
          <w:trHeight w:val="1519"/>
        </w:trPr>
        <w:tc>
          <w:tcPr>
            <w:tcW w:w="1700" w:type="dxa"/>
          </w:tcPr>
          <w:p w14:paraId="1AFA73ED" w14:textId="7B780637" w:rsidR="00FE0711" w:rsidRPr="00801CDA" w:rsidRDefault="00570647" w:rsidP="00B73478">
            <w:pPr>
              <w:rPr>
                <w:rFonts w:cs="Arial"/>
                <w:b/>
                <w:bCs/>
                <w:sz w:val="20"/>
                <w:szCs w:val="20"/>
              </w:rPr>
            </w:pPr>
            <w:r w:rsidRPr="00664A57">
              <w:rPr>
                <w:rFonts w:asciiTheme="majorHAnsi" w:hAnsiTheme="majorHAnsi" w:cstheme="majorHAnsi"/>
                <w:noProof/>
              </w:rPr>
              <w:drawing>
                <wp:anchor distT="0" distB="0" distL="114300" distR="114300" simplePos="0" relativeHeight="251658243" behindDoc="0" locked="0" layoutInCell="1" allowOverlap="1" wp14:anchorId="469371CD" wp14:editId="1A5C0CD9">
                  <wp:simplePos x="0" y="0"/>
                  <wp:positionH relativeFrom="column">
                    <wp:posOffset>140335</wp:posOffset>
                  </wp:positionH>
                  <wp:positionV relativeFrom="paragraph">
                    <wp:posOffset>445466</wp:posOffset>
                  </wp:positionV>
                  <wp:extent cx="689317" cy="701253"/>
                  <wp:effectExtent l="0" t="0" r="0" b="381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689317" cy="701253"/>
                          </a:xfrm>
                          <a:prstGeom prst="rect">
                            <a:avLst/>
                          </a:prstGeom>
                          <a:noFill/>
                        </pic:spPr>
                      </pic:pic>
                    </a:graphicData>
                  </a:graphic>
                  <wp14:sizeRelH relativeFrom="margin">
                    <wp14:pctWidth>0</wp14:pctWidth>
                  </wp14:sizeRelH>
                  <wp14:sizeRelV relativeFrom="margin">
                    <wp14:pctHeight>0</wp14:pctHeight>
                  </wp14:sizeRelV>
                </wp:anchor>
              </w:drawing>
            </w:r>
          </w:p>
        </w:tc>
        <w:tc>
          <w:tcPr>
            <w:tcW w:w="7362" w:type="dxa"/>
          </w:tcPr>
          <w:p w14:paraId="08E2E1FB" w14:textId="6C8F2245" w:rsidR="00FE0711" w:rsidRPr="00453DB3" w:rsidRDefault="00FE0711" w:rsidP="00923E07">
            <w:pPr>
              <w:spacing w:before="240" w:after="240"/>
              <w:rPr>
                <w:rFonts w:cs="Arial"/>
                <w:color w:val="000000" w:themeColor="text1"/>
                <w:sz w:val="20"/>
                <w:szCs w:val="20"/>
              </w:rPr>
            </w:pPr>
            <w:r>
              <w:rPr>
                <w:rFonts w:cs="Arial"/>
                <w:color w:val="000000" w:themeColor="text1"/>
                <w:sz w:val="20"/>
                <w:szCs w:val="20"/>
              </w:rPr>
              <w:t>Shannon</w:t>
            </w:r>
            <w:r w:rsidRPr="00FE0711">
              <w:rPr>
                <w:rFonts w:cs="Arial"/>
                <w:color w:val="000000" w:themeColor="text1"/>
                <w:sz w:val="20"/>
                <w:szCs w:val="20"/>
              </w:rPr>
              <w:t xml:space="preserve"> </w:t>
            </w:r>
            <w:r w:rsidR="00942515" w:rsidRPr="001F7329">
              <w:rPr>
                <w:rFonts w:cs="Arial"/>
                <w:color w:val="000000" w:themeColor="text1"/>
                <w:sz w:val="20"/>
                <w:szCs w:val="20"/>
              </w:rPr>
              <w:t xml:space="preserve">is a sponsor of an IVD </w:t>
            </w:r>
            <w:r w:rsidR="00942515" w:rsidRPr="001F7329">
              <w:rPr>
                <w:rFonts w:cs="Arial"/>
                <w:i/>
                <w:iCs/>
                <w:color w:val="000000" w:themeColor="text1"/>
                <w:sz w:val="20"/>
                <w:szCs w:val="20"/>
              </w:rPr>
              <w:t>‘</w:t>
            </w:r>
            <w:proofErr w:type="spellStart"/>
            <w:r w:rsidR="00942515" w:rsidRPr="001F7329">
              <w:rPr>
                <w:rFonts w:cs="Arial"/>
                <w:i/>
                <w:iCs/>
                <w:color w:val="000000" w:themeColor="text1"/>
                <w:sz w:val="20"/>
                <w:szCs w:val="20"/>
              </w:rPr>
              <w:t>Medicinemab</w:t>
            </w:r>
            <w:proofErr w:type="spellEnd"/>
            <w:r w:rsidR="00942515" w:rsidRPr="001F7329">
              <w:rPr>
                <w:rFonts w:cs="Arial"/>
                <w:i/>
                <w:iCs/>
                <w:color w:val="000000" w:themeColor="text1"/>
                <w:sz w:val="20"/>
                <w:szCs w:val="20"/>
              </w:rPr>
              <w:t>-ELISA’</w:t>
            </w:r>
            <w:r w:rsidR="00942515" w:rsidRPr="001F7329">
              <w:rPr>
                <w:rFonts w:cs="Arial"/>
                <w:color w:val="000000" w:themeColor="text1"/>
                <w:sz w:val="20"/>
                <w:szCs w:val="20"/>
              </w:rPr>
              <w:t xml:space="preserve"> which </w:t>
            </w:r>
            <w:r w:rsidR="00016635" w:rsidRPr="001F7329">
              <w:rPr>
                <w:rFonts w:cs="Arial"/>
                <w:color w:val="000000" w:themeColor="text1"/>
                <w:sz w:val="20"/>
                <w:szCs w:val="20"/>
              </w:rPr>
              <w:t xml:space="preserve">is used to monitor the concentration of </w:t>
            </w:r>
            <w:r w:rsidR="00016635" w:rsidRPr="001F7329">
              <w:rPr>
                <w:rFonts w:cs="Arial"/>
                <w:i/>
                <w:iCs/>
                <w:color w:val="000000" w:themeColor="text1"/>
                <w:sz w:val="20"/>
                <w:szCs w:val="20"/>
              </w:rPr>
              <w:t>‘</w:t>
            </w:r>
            <w:proofErr w:type="spellStart"/>
            <w:r w:rsidR="00016635" w:rsidRPr="001F7329">
              <w:rPr>
                <w:rFonts w:cs="Arial"/>
                <w:i/>
                <w:iCs/>
                <w:color w:val="000000" w:themeColor="text1"/>
                <w:sz w:val="20"/>
                <w:szCs w:val="20"/>
              </w:rPr>
              <w:t>medicinemab</w:t>
            </w:r>
            <w:proofErr w:type="spellEnd"/>
            <w:r w:rsidR="00016635" w:rsidRPr="001F7329">
              <w:rPr>
                <w:rFonts w:cs="Arial"/>
                <w:i/>
                <w:iCs/>
                <w:color w:val="000000" w:themeColor="text1"/>
                <w:sz w:val="20"/>
                <w:szCs w:val="20"/>
              </w:rPr>
              <w:t>’</w:t>
            </w:r>
            <w:r w:rsidR="00016635" w:rsidRPr="001F7329">
              <w:rPr>
                <w:rFonts w:cs="Arial"/>
                <w:color w:val="000000" w:themeColor="text1"/>
                <w:sz w:val="20"/>
                <w:szCs w:val="20"/>
              </w:rPr>
              <w:t xml:space="preserve"> in patients receiving treatment for genetic mutations that cause haemophilia A</w:t>
            </w:r>
            <w:r w:rsidR="00D73902" w:rsidRPr="001F7329">
              <w:rPr>
                <w:rFonts w:cs="Arial"/>
                <w:color w:val="000000" w:themeColor="text1"/>
                <w:sz w:val="20"/>
                <w:szCs w:val="20"/>
              </w:rPr>
              <w:t xml:space="preserve">. </w:t>
            </w:r>
            <w:r w:rsidR="00147376" w:rsidRPr="001F7329">
              <w:rPr>
                <w:rFonts w:cs="Arial"/>
                <w:color w:val="000000" w:themeColor="text1"/>
                <w:sz w:val="20"/>
                <w:szCs w:val="20"/>
              </w:rPr>
              <w:t xml:space="preserve">Monitoring the levels of </w:t>
            </w:r>
            <w:r w:rsidR="00147376" w:rsidRPr="001F7329">
              <w:rPr>
                <w:rFonts w:cs="Arial"/>
                <w:i/>
                <w:iCs/>
                <w:color w:val="000000" w:themeColor="text1"/>
                <w:sz w:val="20"/>
                <w:szCs w:val="20"/>
              </w:rPr>
              <w:t>‘</w:t>
            </w:r>
            <w:proofErr w:type="spellStart"/>
            <w:r w:rsidR="00147376" w:rsidRPr="001F7329">
              <w:rPr>
                <w:rFonts w:cs="Arial"/>
                <w:i/>
                <w:iCs/>
                <w:color w:val="000000" w:themeColor="text1"/>
                <w:sz w:val="20"/>
                <w:szCs w:val="20"/>
              </w:rPr>
              <w:t>medicinemab</w:t>
            </w:r>
            <w:proofErr w:type="spellEnd"/>
            <w:r w:rsidR="00147376" w:rsidRPr="001F7329">
              <w:rPr>
                <w:rFonts w:cs="Arial"/>
                <w:i/>
                <w:iCs/>
                <w:color w:val="000000" w:themeColor="text1"/>
                <w:sz w:val="20"/>
                <w:szCs w:val="20"/>
              </w:rPr>
              <w:t>’</w:t>
            </w:r>
            <w:r w:rsidR="00147376" w:rsidRPr="001F7329">
              <w:rPr>
                <w:rFonts w:cs="Arial"/>
                <w:color w:val="000000" w:themeColor="text1"/>
                <w:sz w:val="20"/>
                <w:szCs w:val="20"/>
              </w:rPr>
              <w:t xml:space="preserve"> and dose adjustment is critical as too high or low concentrations</w:t>
            </w:r>
            <w:r w:rsidR="00F978B6" w:rsidRPr="001F7329">
              <w:rPr>
                <w:rFonts w:cs="Arial"/>
                <w:color w:val="000000" w:themeColor="text1"/>
                <w:sz w:val="20"/>
                <w:szCs w:val="20"/>
              </w:rPr>
              <w:t xml:space="preserve"> in the patient</w:t>
            </w:r>
            <w:r w:rsidR="00147376" w:rsidRPr="001F7329">
              <w:rPr>
                <w:rFonts w:cs="Arial"/>
                <w:color w:val="000000" w:themeColor="text1"/>
                <w:sz w:val="20"/>
                <w:szCs w:val="20"/>
              </w:rPr>
              <w:t xml:space="preserve"> </w:t>
            </w:r>
            <w:r w:rsidR="00F978B6" w:rsidRPr="001F7329">
              <w:rPr>
                <w:rFonts w:cs="Arial"/>
                <w:color w:val="000000" w:themeColor="text1"/>
                <w:sz w:val="20"/>
                <w:szCs w:val="20"/>
              </w:rPr>
              <w:t>can</w:t>
            </w:r>
            <w:r w:rsidR="00147376" w:rsidRPr="001F7329">
              <w:rPr>
                <w:rFonts w:cs="Arial"/>
                <w:color w:val="000000" w:themeColor="text1"/>
                <w:sz w:val="20"/>
                <w:szCs w:val="20"/>
              </w:rPr>
              <w:t xml:space="preserve"> lead to complications. </w:t>
            </w:r>
            <w:r w:rsidR="00016635" w:rsidRPr="001F7329">
              <w:rPr>
                <w:rFonts w:cs="Arial"/>
                <w:color w:val="000000" w:themeColor="text1"/>
                <w:sz w:val="20"/>
                <w:szCs w:val="20"/>
              </w:rPr>
              <w:t>‘</w:t>
            </w:r>
            <w:proofErr w:type="spellStart"/>
            <w:r w:rsidR="00016635" w:rsidRPr="001F7329">
              <w:rPr>
                <w:rFonts w:cs="Arial"/>
                <w:i/>
                <w:iCs/>
                <w:color w:val="000000" w:themeColor="text1"/>
                <w:sz w:val="20"/>
                <w:szCs w:val="20"/>
              </w:rPr>
              <w:t>Medicinemab</w:t>
            </w:r>
            <w:proofErr w:type="spellEnd"/>
            <w:r w:rsidR="00016635" w:rsidRPr="001F7329">
              <w:rPr>
                <w:rFonts w:cs="Arial"/>
                <w:i/>
                <w:iCs/>
                <w:color w:val="000000" w:themeColor="text1"/>
                <w:sz w:val="20"/>
                <w:szCs w:val="20"/>
              </w:rPr>
              <w:t>-ELISA</w:t>
            </w:r>
            <w:r w:rsidR="00016635" w:rsidRPr="001F7329">
              <w:rPr>
                <w:rFonts w:cs="Arial"/>
                <w:color w:val="000000" w:themeColor="text1"/>
                <w:sz w:val="20"/>
                <w:szCs w:val="20"/>
              </w:rPr>
              <w:t xml:space="preserve">’ was developed as a </w:t>
            </w:r>
            <w:r w:rsidR="00EA5360">
              <w:rPr>
                <w:rFonts w:cs="Arial"/>
                <w:color w:val="000000" w:themeColor="text1"/>
                <w:sz w:val="20"/>
                <w:szCs w:val="20"/>
              </w:rPr>
              <w:t>subsequent</w:t>
            </w:r>
            <w:r w:rsidR="00016635" w:rsidRPr="001F7329">
              <w:rPr>
                <w:rFonts w:cs="Arial"/>
                <w:color w:val="000000" w:themeColor="text1"/>
                <w:sz w:val="20"/>
                <w:szCs w:val="20"/>
              </w:rPr>
              <w:t xml:space="preserve"> </w:t>
            </w:r>
            <w:proofErr w:type="gramStart"/>
            <w:r w:rsidR="00016635" w:rsidRPr="001F7329">
              <w:rPr>
                <w:rFonts w:cs="Arial"/>
                <w:color w:val="000000" w:themeColor="text1"/>
                <w:sz w:val="20"/>
                <w:szCs w:val="20"/>
              </w:rPr>
              <w:t>IVD</w:t>
            </w:r>
            <w:proofErr w:type="gramEnd"/>
            <w:r w:rsidR="00016635" w:rsidRPr="001F7329">
              <w:rPr>
                <w:rFonts w:cs="Arial"/>
                <w:color w:val="000000" w:themeColor="text1"/>
                <w:sz w:val="20"/>
                <w:szCs w:val="20"/>
              </w:rPr>
              <w:t xml:space="preserve"> and it is intended to be used to adjust the dose of </w:t>
            </w:r>
            <w:r w:rsidR="00016635" w:rsidRPr="001F7329">
              <w:rPr>
                <w:rFonts w:cs="Arial"/>
                <w:i/>
                <w:iCs/>
                <w:color w:val="000000" w:themeColor="text1"/>
                <w:sz w:val="20"/>
                <w:szCs w:val="20"/>
              </w:rPr>
              <w:t>‘</w:t>
            </w:r>
            <w:proofErr w:type="spellStart"/>
            <w:r w:rsidR="00016635" w:rsidRPr="001F7329">
              <w:rPr>
                <w:rFonts w:cs="Arial"/>
                <w:i/>
                <w:iCs/>
                <w:color w:val="000000" w:themeColor="text1"/>
                <w:sz w:val="20"/>
                <w:szCs w:val="20"/>
              </w:rPr>
              <w:t>medicinemab</w:t>
            </w:r>
            <w:proofErr w:type="spellEnd"/>
            <w:r w:rsidR="00016635" w:rsidRPr="001F7329">
              <w:rPr>
                <w:rFonts w:cs="Arial"/>
                <w:i/>
                <w:iCs/>
                <w:color w:val="000000" w:themeColor="text1"/>
                <w:sz w:val="20"/>
                <w:szCs w:val="20"/>
              </w:rPr>
              <w:t xml:space="preserve">’. </w:t>
            </w:r>
            <w:r w:rsidR="00016635" w:rsidRPr="001F7329">
              <w:rPr>
                <w:rFonts w:cs="Arial"/>
                <w:sz w:val="20"/>
                <w:szCs w:val="20"/>
              </w:rPr>
              <w:t xml:space="preserve">Using the </w:t>
            </w:r>
            <w:hyperlink w:anchor="ColumnTitle_4" w:history="1">
              <w:r w:rsidR="00016635" w:rsidRPr="001F7329">
                <w:rPr>
                  <w:rStyle w:val="Hyperlink"/>
                  <w:rFonts w:cs="Arial"/>
                  <w:sz w:val="20"/>
                  <w:szCs w:val="20"/>
                </w:rPr>
                <w:t>identification guide</w:t>
              </w:r>
            </w:hyperlink>
            <w:r w:rsidR="00016635" w:rsidRPr="001F7329">
              <w:rPr>
                <w:rFonts w:cs="Arial"/>
                <w:sz w:val="20"/>
                <w:szCs w:val="20"/>
              </w:rPr>
              <w:t xml:space="preserve">, Shannon has determined that </w:t>
            </w:r>
            <w:r w:rsidR="00016635" w:rsidRPr="001F7329">
              <w:rPr>
                <w:rFonts w:cs="Arial"/>
                <w:i/>
                <w:iCs/>
                <w:sz w:val="20"/>
                <w:szCs w:val="20"/>
              </w:rPr>
              <w:t>‘</w:t>
            </w:r>
            <w:proofErr w:type="spellStart"/>
            <w:r w:rsidR="00016635" w:rsidRPr="001F7329">
              <w:rPr>
                <w:rFonts w:cs="Arial"/>
                <w:i/>
                <w:iCs/>
                <w:color w:val="000000" w:themeColor="text1"/>
                <w:sz w:val="20"/>
                <w:szCs w:val="20"/>
              </w:rPr>
              <w:t>Medicinemab</w:t>
            </w:r>
            <w:proofErr w:type="spellEnd"/>
            <w:r w:rsidR="00016635" w:rsidRPr="001F7329">
              <w:rPr>
                <w:rFonts w:cs="Arial"/>
                <w:i/>
                <w:iCs/>
                <w:color w:val="000000" w:themeColor="text1"/>
                <w:sz w:val="20"/>
                <w:szCs w:val="20"/>
              </w:rPr>
              <w:t>-ELISA</w:t>
            </w:r>
            <w:r w:rsidR="00016635" w:rsidRPr="001F7329">
              <w:rPr>
                <w:rFonts w:cs="Arial"/>
                <w:i/>
                <w:iCs/>
                <w:sz w:val="20"/>
                <w:szCs w:val="20"/>
              </w:rPr>
              <w:t>’</w:t>
            </w:r>
            <w:r w:rsidR="00016635" w:rsidRPr="001F7329">
              <w:rPr>
                <w:rFonts w:cs="Arial"/>
                <w:sz w:val="20"/>
                <w:szCs w:val="20"/>
              </w:rPr>
              <w:t xml:space="preserve"> is essential for the safe and effective use of </w:t>
            </w:r>
            <w:r w:rsidR="00016635" w:rsidRPr="001F7329">
              <w:rPr>
                <w:rFonts w:cs="Arial"/>
                <w:i/>
                <w:iCs/>
                <w:sz w:val="20"/>
                <w:szCs w:val="20"/>
              </w:rPr>
              <w:t>‘</w:t>
            </w:r>
            <w:proofErr w:type="spellStart"/>
            <w:r w:rsidR="00016635" w:rsidRPr="001F7329">
              <w:rPr>
                <w:rFonts w:cs="Arial"/>
                <w:i/>
                <w:iCs/>
                <w:sz w:val="20"/>
                <w:szCs w:val="20"/>
              </w:rPr>
              <w:t>medicinemab</w:t>
            </w:r>
            <w:proofErr w:type="spellEnd"/>
            <w:r w:rsidR="008E5BB8" w:rsidRPr="001F7329">
              <w:rPr>
                <w:rFonts w:cs="Arial"/>
                <w:i/>
                <w:iCs/>
                <w:sz w:val="20"/>
                <w:szCs w:val="20"/>
              </w:rPr>
              <w:t>’</w:t>
            </w:r>
            <w:r w:rsidR="008E5BB8" w:rsidRPr="001F7329">
              <w:rPr>
                <w:rFonts w:cs="Arial"/>
                <w:sz w:val="20"/>
                <w:szCs w:val="20"/>
              </w:rPr>
              <w:t xml:space="preserve"> and</w:t>
            </w:r>
            <w:r w:rsidR="00147376" w:rsidRPr="001F7329">
              <w:rPr>
                <w:rFonts w:cs="Arial"/>
                <w:sz w:val="20"/>
                <w:szCs w:val="20"/>
              </w:rPr>
              <w:t xml:space="preserve"> </w:t>
            </w:r>
            <w:r w:rsidR="00016635" w:rsidRPr="001F7329">
              <w:rPr>
                <w:rFonts w:cs="Arial"/>
                <w:sz w:val="20"/>
                <w:szCs w:val="20"/>
              </w:rPr>
              <w:t xml:space="preserve">is not solely to determine cell/tissue compatibility and is not a mainstream pathology test. </w:t>
            </w:r>
            <w:r w:rsidR="00942515" w:rsidRPr="001F7329">
              <w:rPr>
                <w:rFonts w:cs="Arial"/>
                <w:i/>
                <w:iCs/>
                <w:color w:val="000000" w:themeColor="text1"/>
                <w:sz w:val="20"/>
                <w:szCs w:val="20"/>
              </w:rPr>
              <w:t>‘</w:t>
            </w:r>
            <w:proofErr w:type="spellStart"/>
            <w:r w:rsidR="00016635" w:rsidRPr="001F7329">
              <w:rPr>
                <w:rFonts w:cs="Arial"/>
                <w:i/>
                <w:iCs/>
                <w:color w:val="000000" w:themeColor="text1"/>
                <w:sz w:val="20"/>
                <w:szCs w:val="20"/>
              </w:rPr>
              <w:t>Medicinemab</w:t>
            </w:r>
            <w:proofErr w:type="spellEnd"/>
            <w:r w:rsidR="00016635" w:rsidRPr="001F7329">
              <w:rPr>
                <w:rFonts w:cs="Arial"/>
                <w:i/>
                <w:iCs/>
                <w:color w:val="000000" w:themeColor="text1"/>
                <w:sz w:val="20"/>
                <w:szCs w:val="20"/>
              </w:rPr>
              <w:t>-ELISA</w:t>
            </w:r>
            <w:r w:rsidR="00942515" w:rsidRPr="001F7329">
              <w:rPr>
                <w:rFonts w:cs="Arial"/>
                <w:i/>
                <w:iCs/>
                <w:color w:val="000000" w:themeColor="text1"/>
                <w:sz w:val="20"/>
                <w:szCs w:val="20"/>
              </w:rPr>
              <w:t>’</w:t>
            </w:r>
            <w:r w:rsidR="00942515" w:rsidRPr="001F7329">
              <w:rPr>
                <w:rFonts w:cs="Arial"/>
                <w:color w:val="000000" w:themeColor="text1"/>
                <w:sz w:val="20"/>
                <w:szCs w:val="20"/>
              </w:rPr>
              <w:t xml:space="preserve"> was not used in the pivotal clinical trial for the </w:t>
            </w:r>
            <w:r w:rsidR="00942515" w:rsidRPr="001F7329">
              <w:rPr>
                <w:rFonts w:cs="Arial"/>
                <w:i/>
                <w:iCs/>
                <w:color w:val="000000" w:themeColor="text1"/>
                <w:sz w:val="20"/>
                <w:szCs w:val="20"/>
              </w:rPr>
              <w:t>‘</w:t>
            </w:r>
            <w:proofErr w:type="spellStart"/>
            <w:r w:rsidR="00016635" w:rsidRPr="001F7329">
              <w:rPr>
                <w:rFonts w:cs="Arial"/>
                <w:i/>
                <w:iCs/>
                <w:color w:val="000000" w:themeColor="text1"/>
                <w:sz w:val="20"/>
                <w:szCs w:val="20"/>
              </w:rPr>
              <w:t>medicinemab</w:t>
            </w:r>
            <w:proofErr w:type="spellEnd"/>
            <w:r w:rsidR="00942515" w:rsidRPr="001F7329">
              <w:rPr>
                <w:rFonts w:cs="Arial"/>
                <w:i/>
                <w:iCs/>
                <w:color w:val="000000" w:themeColor="text1"/>
                <w:sz w:val="20"/>
                <w:szCs w:val="20"/>
              </w:rPr>
              <w:t>’</w:t>
            </w:r>
            <w:r w:rsidR="00942515" w:rsidRPr="001F7329">
              <w:rPr>
                <w:rFonts w:cs="Arial"/>
                <w:color w:val="000000" w:themeColor="text1"/>
                <w:sz w:val="20"/>
                <w:szCs w:val="20"/>
              </w:rPr>
              <w:t>.</w:t>
            </w:r>
            <w:r w:rsidR="00942515" w:rsidRPr="00FE0711">
              <w:rPr>
                <w:rFonts w:cs="Arial"/>
                <w:color w:val="000000" w:themeColor="text1"/>
                <w:sz w:val="20"/>
                <w:szCs w:val="20"/>
              </w:rPr>
              <w:t xml:space="preserve"> </w:t>
            </w:r>
          </w:p>
        </w:tc>
      </w:tr>
      <w:tr w:rsidR="00FE0711" w:rsidRPr="00801CDA" w14:paraId="6D2CE7B3" w14:textId="77777777" w:rsidTr="00B73478">
        <w:tc>
          <w:tcPr>
            <w:tcW w:w="9062" w:type="dxa"/>
            <w:gridSpan w:val="2"/>
          </w:tcPr>
          <w:p w14:paraId="30E4DD0C" w14:textId="4A22A2E2" w:rsidR="00016635" w:rsidRPr="001F7329" w:rsidRDefault="00016635" w:rsidP="00923E07">
            <w:pPr>
              <w:spacing w:before="240"/>
              <w:ind w:left="-4"/>
              <w:rPr>
                <w:rFonts w:cs="Arial"/>
                <w:sz w:val="20"/>
                <w:szCs w:val="20"/>
              </w:rPr>
            </w:pPr>
            <w:r w:rsidRPr="001F7329">
              <w:rPr>
                <w:rFonts w:cs="Arial"/>
                <w:sz w:val="20"/>
                <w:szCs w:val="20"/>
              </w:rPr>
              <w:t xml:space="preserve">Shannon must apply for inclusion in the ARTG to supply </w:t>
            </w:r>
            <w:r w:rsidRPr="001F7329">
              <w:rPr>
                <w:rFonts w:cs="Arial"/>
                <w:i/>
                <w:iCs/>
                <w:sz w:val="20"/>
                <w:szCs w:val="20"/>
              </w:rPr>
              <w:t>‘</w:t>
            </w:r>
            <w:proofErr w:type="spellStart"/>
            <w:r w:rsidRPr="001F7329">
              <w:rPr>
                <w:rFonts w:cs="Arial"/>
                <w:i/>
                <w:iCs/>
                <w:color w:val="000000" w:themeColor="text1"/>
                <w:sz w:val="20"/>
                <w:szCs w:val="20"/>
              </w:rPr>
              <w:t>Medicinemab</w:t>
            </w:r>
            <w:proofErr w:type="spellEnd"/>
            <w:r w:rsidRPr="001F7329">
              <w:rPr>
                <w:rFonts w:cs="Arial"/>
                <w:i/>
                <w:iCs/>
                <w:color w:val="000000" w:themeColor="text1"/>
                <w:sz w:val="20"/>
                <w:szCs w:val="20"/>
              </w:rPr>
              <w:t>-ELISA</w:t>
            </w:r>
            <w:r w:rsidRPr="001F7329">
              <w:rPr>
                <w:rFonts w:cs="Arial"/>
                <w:i/>
                <w:iCs/>
                <w:sz w:val="20"/>
                <w:szCs w:val="20"/>
              </w:rPr>
              <w:t>’</w:t>
            </w:r>
            <w:r w:rsidRPr="001F7329">
              <w:rPr>
                <w:rFonts w:cs="Arial"/>
                <w:sz w:val="20"/>
                <w:szCs w:val="20"/>
              </w:rPr>
              <w:t xml:space="preserve"> in Australia as a </w:t>
            </w:r>
            <w:proofErr w:type="spellStart"/>
            <w:r w:rsidRPr="001F7329">
              <w:rPr>
                <w:rFonts w:cs="Arial"/>
                <w:sz w:val="20"/>
                <w:szCs w:val="20"/>
              </w:rPr>
              <w:t>CDx</w:t>
            </w:r>
            <w:proofErr w:type="spellEnd"/>
            <w:r w:rsidR="0073110C">
              <w:rPr>
                <w:rFonts w:cs="Arial"/>
                <w:sz w:val="20"/>
                <w:szCs w:val="20"/>
              </w:rPr>
              <w:t xml:space="preserve">. Shannon </w:t>
            </w:r>
            <w:r w:rsidR="0073110C" w:rsidRPr="001F7329">
              <w:rPr>
                <w:rFonts w:cs="Arial"/>
                <w:sz w:val="20"/>
                <w:szCs w:val="20"/>
              </w:rPr>
              <w:t>is required to provide documentation to demonstrate the clinical and analytical performance</w:t>
            </w:r>
            <w:r w:rsidR="0033277B">
              <w:rPr>
                <w:rFonts w:cs="Arial"/>
                <w:sz w:val="20"/>
                <w:szCs w:val="20"/>
              </w:rPr>
              <w:t>.</w:t>
            </w:r>
          </w:p>
          <w:p w14:paraId="45190DA2" w14:textId="77C9381C" w:rsidR="00FE0711" w:rsidRPr="00801CDA" w:rsidRDefault="00016635" w:rsidP="00923E07">
            <w:pPr>
              <w:spacing w:before="240" w:after="240"/>
              <w:rPr>
                <w:rFonts w:cs="Arial"/>
                <w:b/>
                <w:bCs/>
                <w:sz w:val="20"/>
                <w:szCs w:val="20"/>
              </w:rPr>
            </w:pPr>
            <w:r w:rsidRPr="001F7329">
              <w:rPr>
                <w:rFonts w:cs="Arial"/>
                <w:color w:val="000000" w:themeColor="text1"/>
                <w:sz w:val="20"/>
                <w:szCs w:val="20"/>
              </w:rPr>
              <w:t xml:space="preserve">To demonstrate clinical performance, Shannon must provide a bridging study to demonstrate the concordance between the </w:t>
            </w:r>
            <w:r w:rsidRPr="001F7329">
              <w:rPr>
                <w:rFonts w:cs="Arial"/>
                <w:i/>
                <w:iCs/>
                <w:color w:val="000000" w:themeColor="text1"/>
                <w:sz w:val="20"/>
                <w:szCs w:val="20"/>
              </w:rPr>
              <w:t>‘</w:t>
            </w:r>
            <w:proofErr w:type="spellStart"/>
            <w:r w:rsidRPr="001F7329">
              <w:rPr>
                <w:rFonts w:cs="Arial"/>
                <w:i/>
                <w:iCs/>
                <w:color w:val="000000" w:themeColor="text1"/>
                <w:sz w:val="20"/>
                <w:szCs w:val="20"/>
              </w:rPr>
              <w:t>Medicinemab</w:t>
            </w:r>
            <w:proofErr w:type="spellEnd"/>
            <w:r w:rsidRPr="001F7329">
              <w:rPr>
                <w:rFonts w:cs="Arial"/>
                <w:i/>
                <w:iCs/>
                <w:color w:val="000000" w:themeColor="text1"/>
                <w:sz w:val="20"/>
                <w:szCs w:val="20"/>
              </w:rPr>
              <w:t>-ELISA’</w:t>
            </w:r>
            <w:r w:rsidRPr="001F7329">
              <w:rPr>
                <w:rFonts w:cs="Arial"/>
                <w:color w:val="000000" w:themeColor="text1"/>
                <w:sz w:val="20"/>
                <w:szCs w:val="20"/>
              </w:rPr>
              <w:t xml:space="preserve"> and the assay used in the pivotal clinical trial</w:t>
            </w:r>
            <w:r w:rsidRPr="001F7329">
              <w:rPr>
                <w:rFonts w:cs="Arial"/>
                <w:b/>
                <w:bCs/>
                <w:color w:val="000000" w:themeColor="text1"/>
                <w:sz w:val="20"/>
                <w:szCs w:val="20"/>
              </w:rPr>
              <w:t xml:space="preserve"> </w:t>
            </w:r>
            <w:r w:rsidRPr="001F7329">
              <w:rPr>
                <w:rFonts w:cs="Arial"/>
                <w:color w:val="000000" w:themeColor="text1"/>
                <w:sz w:val="20"/>
                <w:szCs w:val="20"/>
              </w:rPr>
              <w:t xml:space="preserve">for </w:t>
            </w:r>
            <w:r w:rsidRPr="001F7329">
              <w:rPr>
                <w:rFonts w:cs="Arial"/>
                <w:i/>
                <w:iCs/>
                <w:color w:val="000000" w:themeColor="text1"/>
                <w:sz w:val="20"/>
                <w:szCs w:val="20"/>
              </w:rPr>
              <w:t>‘</w:t>
            </w:r>
            <w:proofErr w:type="spellStart"/>
            <w:r w:rsidRPr="001F7329">
              <w:rPr>
                <w:rFonts w:cs="Arial"/>
                <w:i/>
                <w:iCs/>
                <w:color w:val="000000" w:themeColor="text1"/>
                <w:sz w:val="20"/>
                <w:szCs w:val="20"/>
              </w:rPr>
              <w:t>medicinemab</w:t>
            </w:r>
            <w:proofErr w:type="spellEnd"/>
            <w:r w:rsidRPr="001F7329">
              <w:rPr>
                <w:rFonts w:cs="Arial"/>
                <w:i/>
                <w:iCs/>
                <w:color w:val="000000" w:themeColor="text1"/>
                <w:sz w:val="20"/>
                <w:szCs w:val="20"/>
              </w:rPr>
              <w:t>’</w:t>
            </w:r>
            <w:r w:rsidRPr="001F7329">
              <w:rPr>
                <w:rFonts w:cs="Arial"/>
                <w:color w:val="000000" w:themeColor="text1"/>
                <w:sz w:val="20"/>
                <w:szCs w:val="20"/>
              </w:rPr>
              <w:t xml:space="preserve">. The bridging study includes the specimens used in the pivotal clinical trial re-tested with </w:t>
            </w:r>
            <w:r w:rsidRPr="001F7329">
              <w:rPr>
                <w:rFonts w:cs="Arial"/>
                <w:i/>
                <w:iCs/>
                <w:color w:val="000000" w:themeColor="text1"/>
                <w:sz w:val="20"/>
                <w:szCs w:val="20"/>
              </w:rPr>
              <w:t>‘</w:t>
            </w:r>
            <w:proofErr w:type="spellStart"/>
            <w:r w:rsidRPr="001F7329">
              <w:rPr>
                <w:rFonts w:cs="Arial"/>
                <w:i/>
                <w:iCs/>
                <w:color w:val="000000" w:themeColor="text1"/>
                <w:sz w:val="20"/>
                <w:szCs w:val="20"/>
              </w:rPr>
              <w:t>Medicinemab</w:t>
            </w:r>
            <w:proofErr w:type="spellEnd"/>
            <w:r w:rsidRPr="001F7329">
              <w:rPr>
                <w:rFonts w:cs="Arial"/>
                <w:i/>
                <w:iCs/>
                <w:color w:val="000000" w:themeColor="text1"/>
                <w:sz w:val="20"/>
                <w:szCs w:val="20"/>
              </w:rPr>
              <w:t>-ELISA’</w:t>
            </w:r>
            <w:r w:rsidRPr="001F7329">
              <w:rPr>
                <w:rFonts w:cs="Arial"/>
                <w:color w:val="000000" w:themeColor="text1"/>
                <w:sz w:val="20"/>
                <w:szCs w:val="20"/>
              </w:rPr>
              <w:t xml:space="preserve"> to assess percentage agreement with the clinical trial assay, including evaluation of the clinical decision points for dose adjustmen</w:t>
            </w:r>
            <w:r w:rsidR="003C0EB7">
              <w:rPr>
                <w:rFonts w:cs="Arial"/>
                <w:color w:val="000000" w:themeColor="text1"/>
                <w:sz w:val="20"/>
                <w:szCs w:val="20"/>
              </w:rPr>
              <w:t xml:space="preserve">t. </w:t>
            </w:r>
            <w:r w:rsidRPr="001F7329">
              <w:rPr>
                <w:rFonts w:cs="Arial"/>
                <w:color w:val="000000" w:themeColor="text1"/>
                <w:sz w:val="20"/>
                <w:szCs w:val="20"/>
              </w:rPr>
              <w:t xml:space="preserve">To demonstrate analytical performance, Shannon must submit </w:t>
            </w:r>
            <w:r w:rsidRPr="001F7329">
              <w:rPr>
                <w:rFonts w:cs="Arial"/>
                <w:sz w:val="20"/>
                <w:szCs w:val="20"/>
              </w:rPr>
              <w:t>detailed reports of risk management analysis, stability (shelf-life, in-</w:t>
            </w:r>
            <w:proofErr w:type="gramStart"/>
            <w:r w:rsidRPr="001F7329">
              <w:rPr>
                <w:rFonts w:cs="Arial"/>
                <w:sz w:val="20"/>
                <w:szCs w:val="20"/>
              </w:rPr>
              <w:t>use</w:t>
            </w:r>
            <w:proofErr w:type="gramEnd"/>
            <w:r w:rsidRPr="001F7329">
              <w:rPr>
                <w:rFonts w:cs="Arial"/>
                <w:sz w:val="20"/>
                <w:szCs w:val="20"/>
              </w:rPr>
              <w:t xml:space="preserve"> and transport), specimen stability, accuracy of measurement, analytical sensitivity, specificity (precision, cross-reactivity and interference), range of the assay and validation of cut-off. The evidence provided must be in-line with the claims in the IFU for </w:t>
            </w:r>
            <w:r w:rsidRPr="001F7329">
              <w:rPr>
                <w:rFonts w:cs="Arial"/>
                <w:i/>
                <w:iCs/>
                <w:sz w:val="20"/>
                <w:szCs w:val="20"/>
              </w:rPr>
              <w:t>‘</w:t>
            </w:r>
            <w:proofErr w:type="spellStart"/>
            <w:r w:rsidRPr="001F7329">
              <w:rPr>
                <w:rFonts w:cs="Arial"/>
                <w:i/>
                <w:iCs/>
                <w:sz w:val="20"/>
                <w:szCs w:val="20"/>
              </w:rPr>
              <w:t>Medicinemab</w:t>
            </w:r>
            <w:proofErr w:type="spellEnd"/>
            <w:r w:rsidRPr="001F7329">
              <w:rPr>
                <w:rFonts w:cs="Arial"/>
                <w:i/>
                <w:iCs/>
                <w:sz w:val="20"/>
                <w:szCs w:val="20"/>
              </w:rPr>
              <w:t>-ELISA’</w:t>
            </w:r>
            <w:r w:rsidRPr="001F7329">
              <w:rPr>
                <w:rFonts w:cs="Arial"/>
                <w:sz w:val="20"/>
                <w:szCs w:val="20"/>
              </w:rPr>
              <w:t xml:space="preserve">. Refer to </w:t>
            </w:r>
            <w:hyperlink w:anchor="_Clinical_performance_requirements" w:history="1">
              <w:r w:rsidRPr="001F7329">
                <w:rPr>
                  <w:rStyle w:val="Hyperlink"/>
                  <w:rFonts w:cs="Arial"/>
                  <w:sz w:val="20"/>
                  <w:szCs w:val="20"/>
                </w:rPr>
                <w:t>clinical</w:t>
              </w:r>
            </w:hyperlink>
            <w:r w:rsidRPr="001F7329">
              <w:rPr>
                <w:rFonts w:cs="Arial"/>
                <w:sz w:val="20"/>
                <w:szCs w:val="20"/>
              </w:rPr>
              <w:t xml:space="preserve"> and </w:t>
            </w:r>
            <w:hyperlink w:anchor="_Analytical_performance" w:history="1">
              <w:r w:rsidRPr="001F7329">
                <w:rPr>
                  <w:rStyle w:val="Hyperlink"/>
                  <w:rFonts w:cs="Arial"/>
                  <w:sz w:val="20"/>
                  <w:szCs w:val="20"/>
                </w:rPr>
                <w:t>analytical</w:t>
              </w:r>
            </w:hyperlink>
            <w:r w:rsidRPr="001F7329">
              <w:rPr>
                <w:rFonts w:cs="Arial"/>
                <w:sz w:val="20"/>
                <w:szCs w:val="20"/>
              </w:rPr>
              <w:t xml:space="preserve"> performance requirements for additional information.</w:t>
            </w:r>
          </w:p>
        </w:tc>
      </w:tr>
    </w:tbl>
    <w:p w14:paraId="46EF8724" w14:textId="1C5065E9" w:rsidR="00FE0711" w:rsidRDefault="00FE0711" w:rsidP="00453DB3"/>
    <w:p w14:paraId="5DB55473" w14:textId="2DCF8EA5" w:rsidR="00BE42C5" w:rsidRDefault="00BE42C5" w:rsidP="00BE42C5">
      <w:pPr>
        <w:rPr>
          <w:b/>
          <w:bCs/>
          <w:sz w:val="24"/>
          <w:szCs w:val="24"/>
        </w:rPr>
      </w:pPr>
      <w:r w:rsidRPr="00453DB3">
        <w:rPr>
          <w:b/>
          <w:bCs/>
          <w:sz w:val="24"/>
          <w:szCs w:val="24"/>
        </w:rPr>
        <w:t xml:space="preserve">Case study </w:t>
      </w:r>
      <w:r>
        <w:rPr>
          <w:b/>
          <w:bCs/>
          <w:sz w:val="24"/>
          <w:szCs w:val="24"/>
        </w:rPr>
        <w:t>3</w:t>
      </w:r>
      <w:r w:rsidRPr="00453DB3">
        <w:rPr>
          <w:b/>
          <w:bCs/>
          <w:sz w:val="24"/>
          <w:szCs w:val="24"/>
        </w:rPr>
        <w:t xml:space="preserve">: </w:t>
      </w:r>
      <w:r>
        <w:rPr>
          <w:b/>
          <w:bCs/>
          <w:sz w:val="24"/>
          <w:szCs w:val="24"/>
        </w:rPr>
        <w:t xml:space="preserve">Inclusion of a NGS panel IVD </w:t>
      </w:r>
      <w:r>
        <w:rPr>
          <w:rFonts w:eastAsia="Cambria" w:cs="Arial"/>
          <w:b/>
          <w:bCs/>
          <w:color w:val="000000" w:themeColor="text1"/>
          <w:sz w:val="24"/>
          <w:szCs w:val="24"/>
        </w:rPr>
        <w:t>that</w:t>
      </w:r>
      <w:r w:rsidRPr="5E8721A9">
        <w:rPr>
          <w:rFonts w:eastAsia="Cambria" w:cs="Arial"/>
          <w:b/>
          <w:bCs/>
          <w:color w:val="000000" w:themeColor="text1"/>
          <w:sz w:val="24"/>
          <w:szCs w:val="24"/>
        </w:rPr>
        <w:t xml:space="preserve"> was not used </w:t>
      </w:r>
      <w:r>
        <w:rPr>
          <w:rFonts w:eastAsia="Cambria" w:cs="Arial"/>
          <w:b/>
          <w:bCs/>
          <w:color w:val="000000" w:themeColor="text1"/>
          <w:sz w:val="24"/>
          <w:szCs w:val="24"/>
        </w:rPr>
        <w:t>as part of</w:t>
      </w:r>
      <w:r w:rsidRPr="5E8721A9">
        <w:rPr>
          <w:rFonts w:eastAsia="Cambria" w:cs="Arial"/>
          <w:b/>
          <w:bCs/>
          <w:color w:val="000000" w:themeColor="text1"/>
          <w:sz w:val="24"/>
          <w:szCs w:val="24"/>
        </w:rPr>
        <w:t xml:space="preserve"> the clinical trial </w:t>
      </w:r>
      <w:r>
        <w:rPr>
          <w:rFonts w:eastAsia="Cambria" w:cs="Arial"/>
          <w:b/>
          <w:bCs/>
          <w:color w:val="000000" w:themeColor="text1"/>
          <w:sz w:val="24"/>
          <w:szCs w:val="24"/>
        </w:rPr>
        <w:t>assay</w:t>
      </w:r>
      <w:r w:rsidR="00247C15">
        <w:rPr>
          <w:rFonts w:eastAsia="Cambria" w:cs="Arial"/>
          <w:b/>
          <w:bCs/>
          <w:color w:val="000000" w:themeColor="text1"/>
          <w:sz w:val="24"/>
          <w:szCs w:val="24"/>
        </w:rPr>
        <w:t>s</w:t>
      </w:r>
      <w:r>
        <w:rPr>
          <w:rFonts w:eastAsia="Cambria" w:cs="Arial"/>
          <w:b/>
          <w:bCs/>
          <w:color w:val="000000" w:themeColor="text1"/>
          <w:sz w:val="24"/>
          <w:szCs w:val="24"/>
        </w:rPr>
        <w:t xml:space="preserve"> for </w:t>
      </w:r>
      <w:r w:rsidR="00247C15">
        <w:rPr>
          <w:rFonts w:eastAsia="Cambria" w:cs="Arial"/>
          <w:b/>
          <w:bCs/>
          <w:color w:val="000000" w:themeColor="text1"/>
          <w:sz w:val="24"/>
          <w:szCs w:val="24"/>
        </w:rPr>
        <w:t>the</w:t>
      </w:r>
      <w:r>
        <w:rPr>
          <w:rFonts w:eastAsia="Cambria" w:cs="Arial"/>
          <w:b/>
          <w:bCs/>
          <w:color w:val="000000" w:themeColor="text1"/>
          <w:sz w:val="24"/>
          <w:szCs w:val="24"/>
        </w:rPr>
        <w:t xml:space="preserve"> medicine</w:t>
      </w:r>
      <w:r w:rsidR="00247C15">
        <w:rPr>
          <w:rFonts w:eastAsia="Cambria" w:cs="Arial"/>
          <w:b/>
          <w:bCs/>
          <w:color w:val="000000" w:themeColor="text1"/>
          <w:sz w:val="24"/>
          <w:szCs w:val="24"/>
        </w:rPr>
        <w:t>s</w:t>
      </w:r>
      <w:r>
        <w:rPr>
          <w:rFonts w:eastAsia="Cambria" w:cs="Arial"/>
          <w:b/>
          <w:bCs/>
          <w:color w:val="000000" w:themeColor="text1"/>
          <w:sz w:val="24"/>
          <w:szCs w:val="24"/>
        </w:rPr>
        <w:t xml:space="preserve"> (a </w:t>
      </w:r>
      <w:r w:rsidR="00EA5360">
        <w:rPr>
          <w:rFonts w:eastAsia="Cambria" w:cs="Arial"/>
          <w:b/>
          <w:bCs/>
          <w:color w:val="000000" w:themeColor="text1"/>
          <w:sz w:val="24"/>
          <w:szCs w:val="24"/>
        </w:rPr>
        <w:t>subsequent</w:t>
      </w:r>
      <w:r>
        <w:rPr>
          <w:rFonts w:eastAsia="Cambria" w:cs="Arial"/>
          <w:b/>
          <w:bCs/>
          <w:color w:val="000000" w:themeColor="text1"/>
          <w:sz w:val="24"/>
          <w:szCs w:val="24"/>
        </w:rPr>
        <w:t xml:space="preserve"> IVD).</w:t>
      </w:r>
    </w:p>
    <w:tbl>
      <w:tblPr>
        <w:tblStyle w:val="TableGrid"/>
        <w:tblW w:w="0" w:type="auto"/>
        <w:tblInd w:w="-4" w:type="dxa"/>
        <w:tblLook w:val="04A0" w:firstRow="1" w:lastRow="0" w:firstColumn="1" w:lastColumn="0" w:noHBand="0" w:noVBand="1"/>
      </w:tblPr>
      <w:tblGrid>
        <w:gridCol w:w="1700"/>
        <w:gridCol w:w="7362"/>
      </w:tblGrid>
      <w:tr w:rsidR="00BE42C5" w:rsidRPr="00801CDA" w14:paraId="13D29A59" w14:textId="77777777" w:rsidTr="00B73478">
        <w:trPr>
          <w:trHeight w:val="1519"/>
        </w:trPr>
        <w:tc>
          <w:tcPr>
            <w:tcW w:w="1700" w:type="dxa"/>
          </w:tcPr>
          <w:p w14:paraId="1075AB27" w14:textId="0C8A8E22" w:rsidR="00BE42C5" w:rsidRPr="00801CDA" w:rsidRDefault="00BE42C5" w:rsidP="00B73478">
            <w:pPr>
              <w:rPr>
                <w:rFonts w:cs="Arial"/>
                <w:b/>
                <w:bCs/>
                <w:sz w:val="20"/>
                <w:szCs w:val="20"/>
              </w:rPr>
            </w:pPr>
            <w:r>
              <w:rPr>
                <w:rFonts w:cs="Arial"/>
                <w:b/>
                <w:bCs/>
                <w:noProof/>
              </w:rPr>
              <w:drawing>
                <wp:anchor distT="0" distB="0" distL="114300" distR="114300" simplePos="0" relativeHeight="251658242" behindDoc="0" locked="0" layoutInCell="1" allowOverlap="1" wp14:anchorId="3A7B6B45" wp14:editId="528334D3">
                  <wp:simplePos x="0" y="0"/>
                  <wp:positionH relativeFrom="column">
                    <wp:posOffset>186690</wp:posOffset>
                  </wp:positionH>
                  <wp:positionV relativeFrom="paragraph">
                    <wp:posOffset>425919</wp:posOffset>
                  </wp:positionV>
                  <wp:extent cx="618290" cy="651901"/>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18290" cy="651901"/>
                          </a:xfrm>
                          <a:prstGeom prst="rect">
                            <a:avLst/>
                          </a:prstGeom>
                          <a:noFill/>
                        </pic:spPr>
                      </pic:pic>
                    </a:graphicData>
                  </a:graphic>
                  <wp14:sizeRelH relativeFrom="margin">
                    <wp14:pctWidth>0</wp14:pctWidth>
                  </wp14:sizeRelH>
                  <wp14:sizeRelV relativeFrom="margin">
                    <wp14:pctHeight>0</wp14:pctHeight>
                  </wp14:sizeRelV>
                </wp:anchor>
              </w:drawing>
            </w:r>
          </w:p>
        </w:tc>
        <w:tc>
          <w:tcPr>
            <w:tcW w:w="7362" w:type="dxa"/>
          </w:tcPr>
          <w:p w14:paraId="0D33B5D0" w14:textId="0EA021EB" w:rsidR="00BE42C5" w:rsidRPr="00453DB3" w:rsidRDefault="00BE42C5" w:rsidP="00923E07">
            <w:pPr>
              <w:spacing w:before="240" w:after="240"/>
              <w:rPr>
                <w:rFonts w:cs="Arial"/>
                <w:color w:val="000000" w:themeColor="text1"/>
                <w:sz w:val="20"/>
                <w:szCs w:val="20"/>
              </w:rPr>
            </w:pPr>
            <w:r>
              <w:rPr>
                <w:rFonts w:cs="Arial"/>
                <w:color w:val="000000" w:themeColor="text1"/>
                <w:sz w:val="20"/>
                <w:szCs w:val="20"/>
              </w:rPr>
              <w:t>Jenny</w:t>
            </w:r>
            <w:r w:rsidRPr="00FE0711">
              <w:rPr>
                <w:rFonts w:cs="Arial"/>
                <w:color w:val="000000" w:themeColor="text1"/>
                <w:sz w:val="20"/>
                <w:szCs w:val="20"/>
              </w:rPr>
              <w:t xml:space="preserve"> </w:t>
            </w:r>
            <w:r w:rsidRPr="001F7329">
              <w:rPr>
                <w:rFonts w:cs="Arial"/>
                <w:color w:val="000000" w:themeColor="text1"/>
                <w:sz w:val="20"/>
                <w:szCs w:val="20"/>
              </w:rPr>
              <w:t xml:space="preserve">is a sponsor of an IVD </w:t>
            </w:r>
            <w:r w:rsidRPr="001F7329">
              <w:rPr>
                <w:rFonts w:cs="Arial"/>
                <w:i/>
                <w:iCs/>
                <w:color w:val="000000" w:themeColor="text1"/>
                <w:sz w:val="20"/>
                <w:szCs w:val="20"/>
              </w:rPr>
              <w:t>‘</w:t>
            </w:r>
            <w:r>
              <w:rPr>
                <w:rFonts w:cs="Arial"/>
                <w:i/>
                <w:iCs/>
                <w:color w:val="000000" w:themeColor="text1"/>
                <w:sz w:val="20"/>
                <w:szCs w:val="20"/>
              </w:rPr>
              <w:t>NGS-Dx</w:t>
            </w:r>
            <w:r w:rsidRPr="001F7329">
              <w:rPr>
                <w:rFonts w:cs="Arial"/>
                <w:i/>
                <w:iCs/>
                <w:color w:val="000000" w:themeColor="text1"/>
                <w:sz w:val="20"/>
                <w:szCs w:val="20"/>
              </w:rPr>
              <w:t>’</w:t>
            </w:r>
            <w:r w:rsidRPr="001F7329">
              <w:rPr>
                <w:rFonts w:cs="Arial"/>
                <w:color w:val="000000" w:themeColor="text1"/>
                <w:sz w:val="20"/>
                <w:szCs w:val="20"/>
              </w:rPr>
              <w:t xml:space="preserve"> which is </w:t>
            </w:r>
            <w:r>
              <w:rPr>
                <w:rFonts w:cs="Arial"/>
                <w:color w:val="000000" w:themeColor="text1"/>
                <w:sz w:val="20"/>
                <w:szCs w:val="20"/>
              </w:rPr>
              <w:t xml:space="preserve">an NGS panel of 25 genes </w:t>
            </w:r>
            <w:r w:rsidRPr="001F7329">
              <w:rPr>
                <w:rFonts w:cs="Arial"/>
                <w:color w:val="000000" w:themeColor="text1"/>
                <w:sz w:val="20"/>
                <w:szCs w:val="20"/>
              </w:rPr>
              <w:t>used to</w:t>
            </w:r>
            <w:r>
              <w:rPr>
                <w:rFonts w:cs="Arial"/>
                <w:color w:val="000000" w:themeColor="text1"/>
                <w:sz w:val="20"/>
                <w:szCs w:val="20"/>
              </w:rPr>
              <w:t xml:space="preserve"> detect mutations and gene fusions in cancer-related genes. 9 out of 25 genes in the NGS panel are biomarkers which are essential for the selection of patients for use of medicines that have an approved indication </w:t>
            </w:r>
            <w:r w:rsidR="004D6D06">
              <w:rPr>
                <w:rFonts w:cs="Arial"/>
                <w:color w:val="000000" w:themeColor="text1"/>
                <w:sz w:val="20"/>
                <w:szCs w:val="20"/>
              </w:rPr>
              <w:t xml:space="preserve">in Australia </w:t>
            </w:r>
            <w:r>
              <w:rPr>
                <w:rFonts w:cs="Arial"/>
                <w:color w:val="000000" w:themeColor="text1"/>
                <w:sz w:val="20"/>
                <w:szCs w:val="20"/>
              </w:rPr>
              <w:t>requiring companion testing.</w:t>
            </w:r>
            <w:r w:rsidRPr="001F7329">
              <w:rPr>
                <w:rFonts w:cs="Arial"/>
                <w:color w:val="000000" w:themeColor="text1"/>
                <w:sz w:val="20"/>
                <w:szCs w:val="20"/>
              </w:rPr>
              <w:t xml:space="preserve"> ‘</w:t>
            </w:r>
            <w:r w:rsidR="004D6D06">
              <w:rPr>
                <w:rFonts w:cs="Arial"/>
                <w:i/>
                <w:iCs/>
                <w:color w:val="000000" w:themeColor="text1"/>
                <w:sz w:val="20"/>
                <w:szCs w:val="20"/>
              </w:rPr>
              <w:t>NGS-Dx</w:t>
            </w:r>
            <w:r w:rsidRPr="001F7329">
              <w:rPr>
                <w:rFonts w:cs="Arial"/>
                <w:color w:val="000000" w:themeColor="text1"/>
                <w:sz w:val="20"/>
                <w:szCs w:val="20"/>
              </w:rPr>
              <w:t xml:space="preserve">’ was developed as a </w:t>
            </w:r>
            <w:r w:rsidR="00EA5360">
              <w:rPr>
                <w:rFonts w:cs="Arial"/>
                <w:color w:val="000000" w:themeColor="text1"/>
                <w:sz w:val="20"/>
                <w:szCs w:val="20"/>
              </w:rPr>
              <w:t>subsequent</w:t>
            </w:r>
            <w:r w:rsidRPr="001F7329">
              <w:rPr>
                <w:rFonts w:cs="Arial"/>
                <w:color w:val="000000" w:themeColor="text1"/>
                <w:sz w:val="20"/>
                <w:szCs w:val="20"/>
              </w:rPr>
              <w:t xml:space="preserve"> </w:t>
            </w:r>
            <w:proofErr w:type="gramStart"/>
            <w:r w:rsidRPr="001F7329">
              <w:rPr>
                <w:rFonts w:cs="Arial"/>
                <w:color w:val="000000" w:themeColor="text1"/>
                <w:sz w:val="20"/>
                <w:szCs w:val="20"/>
              </w:rPr>
              <w:t>IVD</w:t>
            </w:r>
            <w:proofErr w:type="gramEnd"/>
            <w:r w:rsidRPr="001F7329">
              <w:rPr>
                <w:rFonts w:cs="Arial"/>
                <w:color w:val="000000" w:themeColor="text1"/>
                <w:sz w:val="20"/>
                <w:szCs w:val="20"/>
              </w:rPr>
              <w:t xml:space="preserve"> and </w:t>
            </w:r>
            <w:r w:rsidR="004D6D06">
              <w:rPr>
                <w:rFonts w:cs="Arial"/>
                <w:color w:val="000000" w:themeColor="text1"/>
                <w:sz w:val="20"/>
                <w:szCs w:val="20"/>
              </w:rPr>
              <w:t xml:space="preserve">the device’s sponsor intends to supply </w:t>
            </w:r>
            <w:r w:rsidR="004D6D06" w:rsidRPr="004D6D06">
              <w:rPr>
                <w:rFonts w:cs="Arial"/>
                <w:i/>
                <w:iCs/>
                <w:color w:val="000000" w:themeColor="text1"/>
                <w:sz w:val="20"/>
                <w:szCs w:val="20"/>
              </w:rPr>
              <w:t>‘NGS-Dx’</w:t>
            </w:r>
            <w:r w:rsidR="004D6D06">
              <w:rPr>
                <w:rFonts w:cs="Arial"/>
                <w:color w:val="000000" w:themeColor="text1"/>
                <w:sz w:val="20"/>
                <w:szCs w:val="20"/>
              </w:rPr>
              <w:t xml:space="preserve"> in Australia</w:t>
            </w:r>
            <w:r w:rsidRPr="001F7329">
              <w:rPr>
                <w:rFonts w:cs="Arial"/>
                <w:i/>
                <w:iCs/>
                <w:color w:val="000000" w:themeColor="text1"/>
                <w:sz w:val="20"/>
                <w:szCs w:val="20"/>
              </w:rPr>
              <w:t xml:space="preserve">. </w:t>
            </w:r>
            <w:r w:rsidRPr="001F7329">
              <w:rPr>
                <w:rFonts w:cs="Arial"/>
                <w:sz w:val="20"/>
                <w:szCs w:val="20"/>
              </w:rPr>
              <w:t xml:space="preserve">Using the </w:t>
            </w:r>
            <w:hyperlink w:anchor="ColumnTitle_4" w:history="1">
              <w:r w:rsidRPr="001F7329">
                <w:rPr>
                  <w:rStyle w:val="Hyperlink"/>
                  <w:rFonts w:cs="Arial"/>
                  <w:sz w:val="20"/>
                  <w:szCs w:val="20"/>
                </w:rPr>
                <w:t>identification guide</w:t>
              </w:r>
            </w:hyperlink>
            <w:r w:rsidRPr="001F7329">
              <w:rPr>
                <w:rFonts w:cs="Arial"/>
                <w:sz w:val="20"/>
                <w:szCs w:val="20"/>
              </w:rPr>
              <w:t xml:space="preserve">, </w:t>
            </w:r>
            <w:r w:rsidR="004D6D06">
              <w:rPr>
                <w:rFonts w:cs="Arial"/>
                <w:sz w:val="20"/>
                <w:szCs w:val="20"/>
              </w:rPr>
              <w:t>Jenny</w:t>
            </w:r>
            <w:r w:rsidRPr="001F7329">
              <w:rPr>
                <w:rFonts w:cs="Arial"/>
                <w:sz w:val="20"/>
                <w:szCs w:val="20"/>
              </w:rPr>
              <w:t xml:space="preserve"> has determined that </w:t>
            </w:r>
            <w:r w:rsidRPr="001F7329">
              <w:rPr>
                <w:rFonts w:cs="Arial"/>
                <w:i/>
                <w:iCs/>
                <w:sz w:val="20"/>
                <w:szCs w:val="20"/>
              </w:rPr>
              <w:t>‘</w:t>
            </w:r>
            <w:r w:rsidR="004D6D06" w:rsidRPr="004D6D06">
              <w:rPr>
                <w:rFonts w:cs="Arial"/>
                <w:i/>
                <w:iCs/>
                <w:color w:val="000000" w:themeColor="text1"/>
                <w:sz w:val="20"/>
                <w:szCs w:val="20"/>
              </w:rPr>
              <w:t>NGS-D</w:t>
            </w:r>
            <w:r w:rsidR="004D6D06">
              <w:rPr>
                <w:rFonts w:cs="Arial"/>
                <w:i/>
                <w:iCs/>
                <w:color w:val="000000" w:themeColor="text1"/>
                <w:sz w:val="20"/>
                <w:szCs w:val="20"/>
              </w:rPr>
              <w:t xml:space="preserve">x’ </w:t>
            </w:r>
            <w:r w:rsidRPr="001F7329">
              <w:rPr>
                <w:rFonts w:cs="Arial"/>
                <w:sz w:val="20"/>
                <w:szCs w:val="20"/>
              </w:rPr>
              <w:t xml:space="preserve">is essential for the safe and effective use of </w:t>
            </w:r>
            <w:r w:rsidR="004D6D06">
              <w:rPr>
                <w:rFonts w:cs="Arial"/>
                <w:sz w:val="20"/>
                <w:szCs w:val="20"/>
              </w:rPr>
              <w:t>9 different medicines, it</w:t>
            </w:r>
            <w:r w:rsidRPr="001F7329">
              <w:rPr>
                <w:rFonts w:cs="Arial"/>
                <w:sz w:val="20"/>
                <w:szCs w:val="20"/>
              </w:rPr>
              <w:t xml:space="preserve"> is not solely to determine cell/tissue compatibility and is not a mainstream pathology test. </w:t>
            </w:r>
            <w:r w:rsidRPr="001F7329">
              <w:rPr>
                <w:rFonts w:cs="Arial"/>
                <w:i/>
                <w:iCs/>
                <w:color w:val="000000" w:themeColor="text1"/>
                <w:sz w:val="20"/>
                <w:szCs w:val="20"/>
              </w:rPr>
              <w:t>‘</w:t>
            </w:r>
            <w:r w:rsidR="004D6D06">
              <w:rPr>
                <w:rFonts w:cs="Arial"/>
                <w:i/>
                <w:iCs/>
                <w:color w:val="000000" w:themeColor="text1"/>
                <w:sz w:val="20"/>
                <w:szCs w:val="20"/>
              </w:rPr>
              <w:t>NGS-Dx’</w:t>
            </w:r>
            <w:r w:rsidRPr="001F7329">
              <w:rPr>
                <w:rFonts w:cs="Arial"/>
                <w:color w:val="000000" w:themeColor="text1"/>
                <w:sz w:val="20"/>
                <w:szCs w:val="20"/>
              </w:rPr>
              <w:t xml:space="preserve"> was not used in </w:t>
            </w:r>
            <w:r w:rsidR="004D6D06">
              <w:rPr>
                <w:rFonts w:cs="Arial"/>
                <w:color w:val="000000" w:themeColor="text1"/>
                <w:sz w:val="20"/>
                <w:szCs w:val="20"/>
              </w:rPr>
              <w:t xml:space="preserve">any of </w:t>
            </w:r>
            <w:r w:rsidRPr="001F7329">
              <w:rPr>
                <w:rFonts w:cs="Arial"/>
                <w:color w:val="000000" w:themeColor="text1"/>
                <w:sz w:val="20"/>
                <w:szCs w:val="20"/>
              </w:rPr>
              <w:t>the pivotal clinical trial</w:t>
            </w:r>
            <w:r w:rsidR="004D6D06">
              <w:rPr>
                <w:rFonts w:cs="Arial"/>
                <w:color w:val="000000" w:themeColor="text1"/>
                <w:sz w:val="20"/>
                <w:szCs w:val="20"/>
              </w:rPr>
              <w:t>s</w:t>
            </w:r>
            <w:r w:rsidRPr="001F7329">
              <w:rPr>
                <w:rFonts w:cs="Arial"/>
                <w:color w:val="000000" w:themeColor="text1"/>
                <w:sz w:val="20"/>
                <w:szCs w:val="20"/>
              </w:rPr>
              <w:t xml:space="preserve"> for the </w:t>
            </w:r>
            <w:r w:rsidR="004D6D06">
              <w:rPr>
                <w:rFonts w:cs="Arial"/>
                <w:color w:val="000000" w:themeColor="text1"/>
                <w:sz w:val="20"/>
                <w:szCs w:val="20"/>
              </w:rPr>
              <w:t>9 different medicines</w:t>
            </w:r>
            <w:r w:rsidRPr="001F7329">
              <w:rPr>
                <w:rFonts w:cs="Arial"/>
                <w:color w:val="000000" w:themeColor="text1"/>
                <w:sz w:val="20"/>
                <w:szCs w:val="20"/>
              </w:rPr>
              <w:t>.</w:t>
            </w:r>
            <w:r w:rsidRPr="00FE0711">
              <w:rPr>
                <w:rFonts w:cs="Arial"/>
                <w:color w:val="000000" w:themeColor="text1"/>
                <w:sz w:val="20"/>
                <w:szCs w:val="20"/>
              </w:rPr>
              <w:t xml:space="preserve"> </w:t>
            </w:r>
          </w:p>
        </w:tc>
      </w:tr>
      <w:tr w:rsidR="00BE42C5" w:rsidRPr="00801CDA" w14:paraId="4FF30E12" w14:textId="77777777" w:rsidTr="00B73478">
        <w:tc>
          <w:tcPr>
            <w:tcW w:w="9062" w:type="dxa"/>
            <w:gridSpan w:val="2"/>
          </w:tcPr>
          <w:p w14:paraId="42EA2709" w14:textId="357D6738" w:rsidR="00BE42C5" w:rsidRPr="001F7329" w:rsidRDefault="004D6D06" w:rsidP="00923E07">
            <w:pPr>
              <w:spacing w:before="240"/>
              <w:ind w:left="-4"/>
              <w:rPr>
                <w:rFonts w:cs="Arial"/>
                <w:sz w:val="20"/>
                <w:szCs w:val="20"/>
              </w:rPr>
            </w:pPr>
            <w:r>
              <w:rPr>
                <w:rFonts w:cs="Arial"/>
                <w:sz w:val="20"/>
                <w:szCs w:val="20"/>
              </w:rPr>
              <w:t>Jenny</w:t>
            </w:r>
            <w:r w:rsidR="00BE42C5" w:rsidRPr="001F7329">
              <w:rPr>
                <w:rFonts w:cs="Arial"/>
                <w:sz w:val="20"/>
                <w:szCs w:val="20"/>
              </w:rPr>
              <w:t xml:space="preserve"> must apply for inclusion in the ARTG to supply </w:t>
            </w:r>
            <w:r w:rsidR="00BE42C5" w:rsidRPr="001F7329">
              <w:rPr>
                <w:rFonts w:cs="Arial"/>
                <w:i/>
                <w:iCs/>
                <w:sz w:val="20"/>
                <w:szCs w:val="20"/>
              </w:rPr>
              <w:t>‘</w:t>
            </w:r>
            <w:r>
              <w:rPr>
                <w:rFonts w:cs="Arial"/>
                <w:i/>
                <w:iCs/>
                <w:sz w:val="20"/>
                <w:szCs w:val="20"/>
              </w:rPr>
              <w:t>NGS-Dx’</w:t>
            </w:r>
            <w:r w:rsidR="00BE42C5" w:rsidRPr="001F7329">
              <w:rPr>
                <w:rFonts w:cs="Arial"/>
                <w:sz w:val="20"/>
                <w:szCs w:val="20"/>
              </w:rPr>
              <w:t xml:space="preserve"> in Australia as a </w:t>
            </w:r>
            <w:proofErr w:type="spellStart"/>
            <w:proofErr w:type="gramStart"/>
            <w:r w:rsidR="00BE42C5" w:rsidRPr="001F7329">
              <w:rPr>
                <w:rFonts w:cs="Arial"/>
                <w:sz w:val="20"/>
                <w:szCs w:val="20"/>
              </w:rPr>
              <w:t>CDx</w:t>
            </w:r>
            <w:proofErr w:type="spellEnd"/>
            <w:r w:rsidR="00BE42C5" w:rsidRPr="001F7329">
              <w:rPr>
                <w:rFonts w:cs="Arial"/>
                <w:sz w:val="20"/>
                <w:szCs w:val="20"/>
              </w:rPr>
              <w:t xml:space="preserve"> </w:t>
            </w:r>
            <w:r w:rsidR="0073110C">
              <w:rPr>
                <w:rFonts w:cs="Arial"/>
                <w:sz w:val="20"/>
                <w:szCs w:val="20"/>
              </w:rPr>
              <w:t>.</w:t>
            </w:r>
            <w:proofErr w:type="gramEnd"/>
            <w:r w:rsidR="0073110C">
              <w:rPr>
                <w:rFonts w:cs="Arial"/>
                <w:sz w:val="20"/>
                <w:szCs w:val="20"/>
              </w:rPr>
              <w:t xml:space="preserve"> Jenny </w:t>
            </w:r>
            <w:r w:rsidR="0073110C" w:rsidRPr="001F7329">
              <w:rPr>
                <w:rFonts w:cs="Arial"/>
                <w:sz w:val="20"/>
                <w:szCs w:val="20"/>
              </w:rPr>
              <w:t>is required to provide documentation to demonstrate the clinical and analytical performance</w:t>
            </w:r>
            <w:r w:rsidR="0033277B">
              <w:rPr>
                <w:rFonts w:cs="Arial"/>
                <w:sz w:val="20"/>
                <w:szCs w:val="20"/>
              </w:rPr>
              <w:t>.</w:t>
            </w:r>
          </w:p>
          <w:p w14:paraId="0C2D0CD2" w14:textId="2B6DA4EC" w:rsidR="00BE42C5" w:rsidRPr="001F7329" w:rsidRDefault="00BE42C5" w:rsidP="00923E07">
            <w:pPr>
              <w:spacing w:before="240"/>
              <w:rPr>
                <w:rFonts w:cs="Arial"/>
                <w:color w:val="000000" w:themeColor="text1"/>
                <w:sz w:val="20"/>
                <w:szCs w:val="20"/>
              </w:rPr>
            </w:pPr>
            <w:r w:rsidRPr="001F7329">
              <w:rPr>
                <w:rFonts w:cs="Arial"/>
                <w:color w:val="000000" w:themeColor="text1"/>
                <w:sz w:val="20"/>
                <w:szCs w:val="20"/>
              </w:rPr>
              <w:lastRenderedPageBreak/>
              <w:t xml:space="preserve">To demonstrate clinical performance, </w:t>
            </w:r>
            <w:r w:rsidR="004D6D06">
              <w:rPr>
                <w:rFonts w:cs="Arial"/>
                <w:color w:val="000000" w:themeColor="text1"/>
                <w:sz w:val="20"/>
                <w:szCs w:val="20"/>
              </w:rPr>
              <w:t>Jenny</w:t>
            </w:r>
            <w:r w:rsidRPr="001F7329">
              <w:rPr>
                <w:rFonts w:cs="Arial"/>
                <w:color w:val="000000" w:themeColor="text1"/>
                <w:sz w:val="20"/>
                <w:szCs w:val="20"/>
              </w:rPr>
              <w:t xml:space="preserve"> must provide bridging stud</w:t>
            </w:r>
            <w:r w:rsidR="004D6D06">
              <w:rPr>
                <w:rFonts w:cs="Arial"/>
                <w:color w:val="000000" w:themeColor="text1"/>
                <w:sz w:val="20"/>
                <w:szCs w:val="20"/>
              </w:rPr>
              <w:t>ies</w:t>
            </w:r>
            <w:r w:rsidRPr="001F7329">
              <w:rPr>
                <w:rFonts w:cs="Arial"/>
                <w:color w:val="000000" w:themeColor="text1"/>
                <w:sz w:val="20"/>
                <w:szCs w:val="20"/>
              </w:rPr>
              <w:t xml:space="preserve"> to demonstrate the concordance</w:t>
            </w:r>
            <w:r w:rsidR="004E03B6">
              <w:rPr>
                <w:rFonts w:cs="Arial"/>
                <w:color w:val="000000" w:themeColor="text1"/>
                <w:sz w:val="20"/>
                <w:szCs w:val="20"/>
              </w:rPr>
              <w:t xml:space="preserve"> or </w:t>
            </w:r>
            <w:r w:rsidR="004D6D06">
              <w:rPr>
                <w:rFonts w:cs="Arial"/>
                <w:color w:val="000000" w:themeColor="text1"/>
                <w:sz w:val="20"/>
                <w:szCs w:val="20"/>
              </w:rPr>
              <w:t>equivalence</w:t>
            </w:r>
            <w:r w:rsidRPr="001F7329">
              <w:rPr>
                <w:rFonts w:cs="Arial"/>
                <w:color w:val="000000" w:themeColor="text1"/>
                <w:sz w:val="20"/>
                <w:szCs w:val="20"/>
              </w:rPr>
              <w:t xml:space="preserve"> between the </w:t>
            </w:r>
            <w:r w:rsidRPr="001F7329">
              <w:rPr>
                <w:rFonts w:cs="Arial"/>
                <w:i/>
                <w:iCs/>
                <w:color w:val="000000" w:themeColor="text1"/>
                <w:sz w:val="20"/>
                <w:szCs w:val="20"/>
              </w:rPr>
              <w:t>‘</w:t>
            </w:r>
            <w:r w:rsidR="004D6D06">
              <w:rPr>
                <w:rFonts w:cs="Arial"/>
                <w:i/>
                <w:iCs/>
                <w:color w:val="000000" w:themeColor="text1"/>
                <w:sz w:val="20"/>
                <w:szCs w:val="20"/>
              </w:rPr>
              <w:t>NGS-Dx’</w:t>
            </w:r>
            <w:r w:rsidRPr="001F7329">
              <w:rPr>
                <w:rFonts w:cs="Arial"/>
                <w:color w:val="000000" w:themeColor="text1"/>
                <w:sz w:val="20"/>
                <w:szCs w:val="20"/>
              </w:rPr>
              <w:t xml:space="preserve"> and the assay</w:t>
            </w:r>
            <w:r w:rsidR="004D6D06">
              <w:rPr>
                <w:rFonts w:cs="Arial"/>
                <w:color w:val="000000" w:themeColor="text1"/>
                <w:sz w:val="20"/>
                <w:szCs w:val="20"/>
              </w:rPr>
              <w:t>s</w:t>
            </w:r>
            <w:r w:rsidRPr="001F7329">
              <w:rPr>
                <w:rFonts w:cs="Arial"/>
                <w:color w:val="000000" w:themeColor="text1"/>
                <w:sz w:val="20"/>
                <w:szCs w:val="20"/>
              </w:rPr>
              <w:t xml:space="preserve"> used in the pivotal clinical trial</w:t>
            </w:r>
            <w:r w:rsidR="004D6D06">
              <w:rPr>
                <w:rFonts w:cs="Arial"/>
                <w:color w:val="000000" w:themeColor="text1"/>
                <w:sz w:val="20"/>
                <w:szCs w:val="20"/>
              </w:rPr>
              <w:t>s</w:t>
            </w:r>
            <w:r w:rsidRPr="001F7329">
              <w:rPr>
                <w:rFonts w:cs="Arial"/>
                <w:b/>
                <w:bCs/>
                <w:color w:val="000000" w:themeColor="text1"/>
                <w:sz w:val="20"/>
                <w:szCs w:val="20"/>
              </w:rPr>
              <w:t xml:space="preserve"> </w:t>
            </w:r>
            <w:r w:rsidRPr="001F7329">
              <w:rPr>
                <w:rFonts w:cs="Arial"/>
                <w:color w:val="000000" w:themeColor="text1"/>
                <w:sz w:val="20"/>
                <w:szCs w:val="20"/>
              </w:rPr>
              <w:t xml:space="preserve">for </w:t>
            </w:r>
            <w:r w:rsidR="004D6D06">
              <w:rPr>
                <w:rFonts w:cs="Arial"/>
                <w:color w:val="000000" w:themeColor="text1"/>
                <w:sz w:val="20"/>
                <w:szCs w:val="20"/>
              </w:rPr>
              <w:t>the 9 medicines requiring companion testing</w:t>
            </w:r>
            <w:r w:rsidRPr="001F7329">
              <w:rPr>
                <w:rFonts w:cs="Arial"/>
                <w:color w:val="000000" w:themeColor="text1"/>
                <w:sz w:val="20"/>
                <w:szCs w:val="20"/>
              </w:rPr>
              <w:t xml:space="preserve">. The </w:t>
            </w:r>
            <w:r w:rsidR="00194A40">
              <w:rPr>
                <w:rFonts w:cs="Arial"/>
                <w:color w:val="000000" w:themeColor="text1"/>
                <w:sz w:val="20"/>
                <w:szCs w:val="20"/>
              </w:rPr>
              <w:t>comparability</w:t>
            </w:r>
            <w:r w:rsidR="00194A40" w:rsidRPr="001F7329">
              <w:rPr>
                <w:rFonts w:cs="Arial"/>
                <w:color w:val="000000" w:themeColor="text1"/>
                <w:sz w:val="20"/>
                <w:szCs w:val="20"/>
              </w:rPr>
              <w:t xml:space="preserve"> </w:t>
            </w:r>
            <w:r w:rsidRPr="001F7329">
              <w:rPr>
                <w:rFonts w:cs="Arial"/>
                <w:color w:val="000000" w:themeColor="text1"/>
                <w:sz w:val="20"/>
                <w:szCs w:val="20"/>
              </w:rPr>
              <w:t>stud</w:t>
            </w:r>
            <w:r w:rsidR="004D6D06">
              <w:rPr>
                <w:rFonts w:cs="Arial"/>
                <w:color w:val="000000" w:themeColor="text1"/>
                <w:sz w:val="20"/>
                <w:szCs w:val="20"/>
              </w:rPr>
              <w:t>ies</w:t>
            </w:r>
            <w:r w:rsidRPr="001F7329">
              <w:rPr>
                <w:rFonts w:cs="Arial"/>
                <w:color w:val="000000" w:themeColor="text1"/>
                <w:sz w:val="20"/>
                <w:szCs w:val="20"/>
              </w:rPr>
              <w:t xml:space="preserve"> include</w:t>
            </w:r>
            <w:r w:rsidR="004D6D06">
              <w:rPr>
                <w:rFonts w:cs="Arial"/>
                <w:color w:val="000000" w:themeColor="text1"/>
                <w:sz w:val="20"/>
                <w:szCs w:val="20"/>
              </w:rPr>
              <w:t>d</w:t>
            </w:r>
            <w:r w:rsidRPr="001F7329">
              <w:rPr>
                <w:rFonts w:cs="Arial"/>
                <w:color w:val="000000" w:themeColor="text1"/>
                <w:sz w:val="20"/>
                <w:szCs w:val="20"/>
              </w:rPr>
              <w:t xml:space="preserve"> the specimens used in the pivotal clinical trial</w:t>
            </w:r>
            <w:r w:rsidR="004D6D06">
              <w:rPr>
                <w:rFonts w:cs="Arial"/>
                <w:color w:val="000000" w:themeColor="text1"/>
                <w:sz w:val="20"/>
                <w:szCs w:val="20"/>
              </w:rPr>
              <w:t>s</w:t>
            </w:r>
            <w:r w:rsidRPr="001F7329">
              <w:rPr>
                <w:rFonts w:cs="Arial"/>
                <w:color w:val="000000" w:themeColor="text1"/>
                <w:sz w:val="20"/>
                <w:szCs w:val="20"/>
              </w:rPr>
              <w:t xml:space="preserve"> re-tested with </w:t>
            </w:r>
            <w:r w:rsidRPr="001F7329">
              <w:rPr>
                <w:rFonts w:cs="Arial"/>
                <w:i/>
                <w:iCs/>
                <w:color w:val="000000" w:themeColor="text1"/>
                <w:sz w:val="20"/>
                <w:szCs w:val="20"/>
              </w:rPr>
              <w:t>‘</w:t>
            </w:r>
            <w:r w:rsidR="004D6D06">
              <w:rPr>
                <w:rFonts w:cs="Arial"/>
                <w:i/>
                <w:iCs/>
                <w:color w:val="000000" w:themeColor="text1"/>
                <w:sz w:val="20"/>
                <w:szCs w:val="20"/>
              </w:rPr>
              <w:t>NGS-Dx’</w:t>
            </w:r>
            <w:r w:rsidRPr="001F7329">
              <w:rPr>
                <w:rFonts w:cs="Arial"/>
                <w:color w:val="000000" w:themeColor="text1"/>
                <w:sz w:val="20"/>
                <w:szCs w:val="20"/>
              </w:rPr>
              <w:t xml:space="preserve"> to assess percentage agreement with the clinical trial assay</w:t>
            </w:r>
            <w:r w:rsidR="004D6D06">
              <w:rPr>
                <w:rFonts w:cs="Arial"/>
                <w:color w:val="000000" w:themeColor="text1"/>
                <w:sz w:val="20"/>
                <w:szCs w:val="20"/>
              </w:rPr>
              <w:t>s</w:t>
            </w:r>
            <w:r w:rsidRPr="001F7329">
              <w:rPr>
                <w:rFonts w:cs="Arial"/>
                <w:color w:val="000000" w:themeColor="text1"/>
                <w:sz w:val="20"/>
                <w:szCs w:val="20"/>
              </w:rPr>
              <w:t>.</w:t>
            </w:r>
          </w:p>
          <w:p w14:paraId="5075BD7C" w14:textId="54CECC8F" w:rsidR="00BE42C5" w:rsidRPr="00801CDA" w:rsidRDefault="00BE42C5" w:rsidP="00923E07">
            <w:pPr>
              <w:spacing w:before="240" w:after="240"/>
              <w:rPr>
                <w:rFonts w:cs="Arial"/>
                <w:b/>
                <w:bCs/>
                <w:sz w:val="20"/>
                <w:szCs w:val="20"/>
              </w:rPr>
            </w:pPr>
            <w:r w:rsidRPr="001F7329">
              <w:rPr>
                <w:rFonts w:cs="Arial"/>
                <w:color w:val="000000" w:themeColor="text1"/>
                <w:sz w:val="20"/>
                <w:szCs w:val="20"/>
              </w:rPr>
              <w:t xml:space="preserve">To demonstrate analytical performance, </w:t>
            </w:r>
            <w:r w:rsidR="004D6D06">
              <w:rPr>
                <w:rFonts w:cs="Arial"/>
                <w:color w:val="000000" w:themeColor="text1"/>
                <w:sz w:val="20"/>
                <w:szCs w:val="20"/>
              </w:rPr>
              <w:t>Jenny</w:t>
            </w:r>
            <w:r w:rsidRPr="001F7329">
              <w:rPr>
                <w:rFonts w:cs="Arial"/>
                <w:color w:val="000000" w:themeColor="text1"/>
                <w:sz w:val="20"/>
                <w:szCs w:val="20"/>
              </w:rPr>
              <w:t xml:space="preserve"> must submit </w:t>
            </w:r>
            <w:r w:rsidRPr="001F7329">
              <w:rPr>
                <w:rFonts w:cs="Arial"/>
                <w:sz w:val="20"/>
                <w:szCs w:val="20"/>
              </w:rPr>
              <w:t>detailed reports of risk management analysis, stability (shelf-life, in-use and transport), specimen stability</w:t>
            </w:r>
            <w:r w:rsidR="004D6D06">
              <w:rPr>
                <w:rFonts w:cs="Arial"/>
                <w:sz w:val="20"/>
                <w:szCs w:val="20"/>
              </w:rPr>
              <w:t xml:space="preserve"> and processing</w:t>
            </w:r>
            <w:r w:rsidRPr="001F7329">
              <w:rPr>
                <w:rFonts w:cs="Arial"/>
                <w:sz w:val="20"/>
                <w:szCs w:val="20"/>
              </w:rPr>
              <w:t>, accuracy of measurement, analytical sensitivity</w:t>
            </w:r>
            <w:r w:rsidR="004D6D06">
              <w:rPr>
                <w:rFonts w:cs="Arial"/>
                <w:sz w:val="20"/>
                <w:szCs w:val="20"/>
              </w:rPr>
              <w:t xml:space="preserve"> (coverage and call/detection/hit rates)</w:t>
            </w:r>
            <w:r w:rsidRPr="001F7329">
              <w:rPr>
                <w:rFonts w:cs="Arial"/>
                <w:sz w:val="20"/>
                <w:szCs w:val="20"/>
              </w:rPr>
              <w:t>, specificity (</w:t>
            </w:r>
            <w:r w:rsidR="004D6D06">
              <w:rPr>
                <w:rFonts w:cs="Arial"/>
                <w:sz w:val="20"/>
                <w:szCs w:val="20"/>
              </w:rPr>
              <w:t>inclusivity</w:t>
            </w:r>
            <w:r w:rsidRPr="001F7329">
              <w:rPr>
                <w:rFonts w:cs="Arial"/>
                <w:sz w:val="20"/>
                <w:szCs w:val="20"/>
              </w:rPr>
              <w:t xml:space="preserve"> and interference), range of the assay</w:t>
            </w:r>
            <w:r w:rsidR="004D6D06">
              <w:rPr>
                <w:rFonts w:cs="Arial"/>
                <w:sz w:val="20"/>
                <w:szCs w:val="20"/>
              </w:rPr>
              <w:t>,</w:t>
            </w:r>
            <w:r w:rsidRPr="001F7329">
              <w:rPr>
                <w:rFonts w:cs="Arial"/>
                <w:sz w:val="20"/>
                <w:szCs w:val="20"/>
              </w:rPr>
              <w:t xml:space="preserve"> validation of cut-off</w:t>
            </w:r>
            <w:r w:rsidR="004D6D06">
              <w:rPr>
                <w:rFonts w:cs="Arial"/>
                <w:sz w:val="20"/>
                <w:szCs w:val="20"/>
              </w:rPr>
              <w:t xml:space="preserve"> and validation of any software/bioinformatics pipeline</w:t>
            </w:r>
            <w:r w:rsidR="00D02A2E">
              <w:rPr>
                <w:rFonts w:cs="Arial"/>
                <w:sz w:val="20"/>
                <w:szCs w:val="20"/>
              </w:rPr>
              <w:t xml:space="preserve"> used to detect variant allele frequency, chimeric reads, copy number variants etc</w:t>
            </w:r>
            <w:r w:rsidRPr="001F7329">
              <w:rPr>
                <w:rFonts w:cs="Arial"/>
                <w:sz w:val="20"/>
                <w:szCs w:val="20"/>
              </w:rPr>
              <w:t xml:space="preserve">. The evidence provided must be in-line with the claims in the IFU for </w:t>
            </w:r>
            <w:r w:rsidRPr="001F7329">
              <w:rPr>
                <w:rFonts w:cs="Arial"/>
                <w:i/>
                <w:iCs/>
                <w:sz w:val="20"/>
                <w:szCs w:val="20"/>
              </w:rPr>
              <w:t>‘</w:t>
            </w:r>
            <w:r w:rsidR="00D02A2E">
              <w:rPr>
                <w:rFonts w:cs="Arial"/>
                <w:i/>
                <w:iCs/>
                <w:sz w:val="20"/>
                <w:szCs w:val="20"/>
              </w:rPr>
              <w:t>NGS-Dx</w:t>
            </w:r>
            <w:r w:rsidRPr="001F7329">
              <w:rPr>
                <w:rFonts w:cs="Arial"/>
                <w:i/>
                <w:iCs/>
                <w:sz w:val="20"/>
                <w:szCs w:val="20"/>
              </w:rPr>
              <w:t>’</w:t>
            </w:r>
            <w:r w:rsidR="00D02A2E">
              <w:rPr>
                <w:rFonts w:cs="Arial"/>
                <w:sz w:val="20"/>
                <w:szCs w:val="20"/>
              </w:rPr>
              <w:t xml:space="preserve">, </w:t>
            </w:r>
            <w:proofErr w:type="gramStart"/>
            <w:r w:rsidR="00D02A2E">
              <w:rPr>
                <w:rFonts w:cs="Arial"/>
                <w:sz w:val="20"/>
                <w:szCs w:val="20"/>
              </w:rPr>
              <w:t>i.e.</w:t>
            </w:r>
            <w:proofErr w:type="gramEnd"/>
            <w:r w:rsidR="00D02A2E">
              <w:rPr>
                <w:rFonts w:cs="Arial"/>
                <w:sz w:val="20"/>
                <w:szCs w:val="20"/>
              </w:rPr>
              <w:t xml:space="preserve"> a list of 9 genes with </w:t>
            </w:r>
            <w:proofErr w:type="spellStart"/>
            <w:r w:rsidR="00D02A2E">
              <w:rPr>
                <w:rFonts w:cs="Arial"/>
                <w:sz w:val="20"/>
                <w:szCs w:val="20"/>
              </w:rPr>
              <w:t>CDx</w:t>
            </w:r>
            <w:proofErr w:type="spellEnd"/>
            <w:r w:rsidR="00D02A2E">
              <w:rPr>
                <w:rFonts w:cs="Arial"/>
                <w:sz w:val="20"/>
                <w:szCs w:val="20"/>
              </w:rPr>
              <w:t xml:space="preserve"> claims and the corresponding medicines, and the other 16 genes that can be detected using </w:t>
            </w:r>
            <w:r w:rsidR="00D02A2E" w:rsidRPr="00D02A2E">
              <w:rPr>
                <w:rFonts w:cs="Arial"/>
                <w:i/>
                <w:iCs/>
                <w:sz w:val="20"/>
                <w:szCs w:val="20"/>
              </w:rPr>
              <w:t>‘NGS-Dx’</w:t>
            </w:r>
            <w:r w:rsidR="00D02A2E">
              <w:rPr>
                <w:rFonts w:cs="Arial"/>
                <w:sz w:val="20"/>
                <w:szCs w:val="20"/>
              </w:rPr>
              <w:t xml:space="preserve"> with no </w:t>
            </w:r>
            <w:proofErr w:type="spellStart"/>
            <w:r w:rsidR="00D02A2E">
              <w:rPr>
                <w:rFonts w:cs="Arial"/>
                <w:sz w:val="20"/>
                <w:szCs w:val="20"/>
              </w:rPr>
              <w:t>CDx</w:t>
            </w:r>
            <w:proofErr w:type="spellEnd"/>
            <w:r w:rsidR="00D02A2E">
              <w:rPr>
                <w:rFonts w:cs="Arial"/>
                <w:sz w:val="20"/>
                <w:szCs w:val="20"/>
              </w:rPr>
              <w:t xml:space="preserve"> claims</w:t>
            </w:r>
            <w:r w:rsidRPr="001F7329">
              <w:rPr>
                <w:rFonts w:cs="Arial"/>
                <w:sz w:val="20"/>
                <w:szCs w:val="20"/>
              </w:rPr>
              <w:t xml:space="preserve">. Refer to </w:t>
            </w:r>
            <w:hyperlink w:anchor="_Clinical_performance_requirements" w:history="1">
              <w:r w:rsidRPr="001F7329">
                <w:rPr>
                  <w:rStyle w:val="Hyperlink"/>
                  <w:rFonts w:cs="Arial"/>
                  <w:sz w:val="20"/>
                  <w:szCs w:val="20"/>
                </w:rPr>
                <w:t>clinical</w:t>
              </w:r>
            </w:hyperlink>
            <w:r w:rsidRPr="001F7329">
              <w:rPr>
                <w:rFonts w:cs="Arial"/>
                <w:sz w:val="20"/>
                <w:szCs w:val="20"/>
              </w:rPr>
              <w:t xml:space="preserve"> and </w:t>
            </w:r>
            <w:hyperlink w:anchor="_Analytical_performance" w:history="1">
              <w:r w:rsidRPr="001F7329">
                <w:rPr>
                  <w:rStyle w:val="Hyperlink"/>
                  <w:rFonts w:cs="Arial"/>
                  <w:sz w:val="20"/>
                  <w:szCs w:val="20"/>
                </w:rPr>
                <w:t>analytical</w:t>
              </w:r>
            </w:hyperlink>
            <w:r w:rsidRPr="001F7329">
              <w:rPr>
                <w:rFonts w:cs="Arial"/>
                <w:sz w:val="20"/>
                <w:szCs w:val="20"/>
              </w:rPr>
              <w:t xml:space="preserve"> performance requirements for additional information.</w:t>
            </w:r>
          </w:p>
        </w:tc>
      </w:tr>
    </w:tbl>
    <w:p w14:paraId="53625EA1" w14:textId="6AC57553" w:rsidR="00BE42C5" w:rsidRDefault="00BE42C5" w:rsidP="00453DB3"/>
    <w:p w14:paraId="444124D2" w14:textId="5EB2B185" w:rsidR="00D02A2E" w:rsidRDefault="00D02A2E" w:rsidP="00D02A2E">
      <w:pPr>
        <w:rPr>
          <w:b/>
          <w:bCs/>
          <w:sz w:val="24"/>
          <w:szCs w:val="24"/>
        </w:rPr>
      </w:pPr>
      <w:r w:rsidRPr="00453DB3">
        <w:rPr>
          <w:b/>
          <w:bCs/>
          <w:sz w:val="24"/>
          <w:szCs w:val="24"/>
        </w:rPr>
        <w:t xml:space="preserve">Case study </w:t>
      </w:r>
      <w:r>
        <w:rPr>
          <w:b/>
          <w:bCs/>
          <w:sz w:val="24"/>
          <w:szCs w:val="24"/>
        </w:rPr>
        <w:t>4</w:t>
      </w:r>
      <w:r w:rsidRPr="00453DB3">
        <w:rPr>
          <w:b/>
          <w:bCs/>
          <w:sz w:val="24"/>
          <w:szCs w:val="24"/>
        </w:rPr>
        <w:t xml:space="preserve">: </w:t>
      </w:r>
      <w:r>
        <w:rPr>
          <w:b/>
          <w:bCs/>
          <w:sz w:val="24"/>
          <w:szCs w:val="24"/>
        </w:rPr>
        <w:t xml:space="preserve">Inclusion of a </w:t>
      </w:r>
      <w:r w:rsidR="00247C15">
        <w:rPr>
          <w:b/>
          <w:bCs/>
          <w:sz w:val="24"/>
          <w:szCs w:val="24"/>
        </w:rPr>
        <w:t>medicine</w:t>
      </w:r>
      <w:r>
        <w:rPr>
          <w:b/>
          <w:bCs/>
          <w:sz w:val="24"/>
          <w:szCs w:val="24"/>
        </w:rPr>
        <w:t xml:space="preserve"> </w:t>
      </w:r>
      <w:r>
        <w:rPr>
          <w:rFonts w:eastAsia="Cambria" w:cs="Arial"/>
          <w:b/>
          <w:bCs/>
          <w:color w:val="000000" w:themeColor="text1"/>
          <w:sz w:val="24"/>
          <w:szCs w:val="24"/>
        </w:rPr>
        <w:t>that</w:t>
      </w:r>
      <w:r w:rsidRPr="5E8721A9">
        <w:rPr>
          <w:rFonts w:eastAsia="Cambria" w:cs="Arial"/>
          <w:b/>
          <w:bCs/>
          <w:color w:val="000000" w:themeColor="text1"/>
          <w:sz w:val="24"/>
          <w:szCs w:val="24"/>
        </w:rPr>
        <w:t xml:space="preserve"> </w:t>
      </w:r>
      <w:r w:rsidR="00247C15">
        <w:rPr>
          <w:rFonts w:eastAsia="Cambria" w:cs="Arial"/>
          <w:b/>
          <w:bCs/>
          <w:color w:val="000000" w:themeColor="text1"/>
          <w:sz w:val="24"/>
          <w:szCs w:val="24"/>
        </w:rPr>
        <w:t>does not require companion testing</w:t>
      </w:r>
      <w:r>
        <w:rPr>
          <w:rFonts w:eastAsia="Cambria" w:cs="Arial"/>
          <w:b/>
          <w:bCs/>
          <w:color w:val="000000" w:themeColor="text1"/>
          <w:sz w:val="24"/>
          <w:szCs w:val="24"/>
        </w:rPr>
        <w:t>.</w:t>
      </w:r>
    </w:p>
    <w:tbl>
      <w:tblPr>
        <w:tblStyle w:val="TableGrid"/>
        <w:tblW w:w="0" w:type="auto"/>
        <w:tblInd w:w="-4" w:type="dxa"/>
        <w:tblLook w:val="04A0" w:firstRow="1" w:lastRow="0" w:firstColumn="1" w:lastColumn="0" w:noHBand="0" w:noVBand="1"/>
      </w:tblPr>
      <w:tblGrid>
        <w:gridCol w:w="1700"/>
        <w:gridCol w:w="7362"/>
      </w:tblGrid>
      <w:tr w:rsidR="00D02A2E" w:rsidRPr="00801CDA" w14:paraId="46E292C9" w14:textId="77777777" w:rsidTr="00B73478">
        <w:trPr>
          <w:trHeight w:val="1519"/>
        </w:trPr>
        <w:tc>
          <w:tcPr>
            <w:tcW w:w="1700" w:type="dxa"/>
          </w:tcPr>
          <w:p w14:paraId="122E6AED" w14:textId="331D6750" w:rsidR="00D02A2E" w:rsidRPr="00801CDA" w:rsidRDefault="4AD0FA45" w:rsidP="00B73478">
            <w:r>
              <w:rPr>
                <w:noProof/>
              </w:rPr>
              <w:drawing>
                <wp:anchor distT="0" distB="0" distL="114300" distR="114300" simplePos="0" relativeHeight="251658244" behindDoc="0" locked="0" layoutInCell="1" allowOverlap="1" wp14:anchorId="69EDEEA1" wp14:editId="67882758">
                  <wp:simplePos x="0" y="0"/>
                  <wp:positionH relativeFrom="column">
                    <wp:posOffset>103505</wp:posOffset>
                  </wp:positionH>
                  <wp:positionV relativeFrom="paragraph">
                    <wp:posOffset>325451</wp:posOffset>
                  </wp:positionV>
                  <wp:extent cx="691764" cy="691764"/>
                  <wp:effectExtent l="0" t="0" r="0" b="0"/>
                  <wp:wrapNone/>
                  <wp:docPr id="1474450847" name="Picture 14744508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extLst>
                              <a:ext uri="{28A0092B-C50C-407E-A947-70E740481C1C}">
                                <a14:useLocalDpi xmlns:a14="http://schemas.microsoft.com/office/drawing/2010/main" val="0"/>
                              </a:ext>
                            </a:extLst>
                          </a:blip>
                          <a:stretch>
                            <a:fillRect/>
                          </a:stretch>
                        </pic:blipFill>
                        <pic:spPr>
                          <a:xfrm>
                            <a:off x="0" y="0"/>
                            <a:ext cx="691764" cy="691764"/>
                          </a:xfrm>
                          <a:prstGeom prst="rect">
                            <a:avLst/>
                          </a:prstGeom>
                        </pic:spPr>
                      </pic:pic>
                    </a:graphicData>
                  </a:graphic>
                  <wp14:sizeRelH relativeFrom="margin">
                    <wp14:pctWidth>0</wp14:pctWidth>
                  </wp14:sizeRelH>
                  <wp14:sizeRelV relativeFrom="margin">
                    <wp14:pctHeight>0</wp14:pctHeight>
                  </wp14:sizeRelV>
                </wp:anchor>
              </w:drawing>
            </w:r>
          </w:p>
        </w:tc>
        <w:tc>
          <w:tcPr>
            <w:tcW w:w="7362" w:type="dxa"/>
          </w:tcPr>
          <w:p w14:paraId="19C8C963" w14:textId="0473A171" w:rsidR="00D02A2E" w:rsidRPr="00453DB3" w:rsidRDefault="00247C15" w:rsidP="00923E07">
            <w:pPr>
              <w:spacing w:before="240"/>
              <w:rPr>
                <w:rFonts w:cs="Arial"/>
                <w:color w:val="000000" w:themeColor="text1"/>
                <w:sz w:val="20"/>
                <w:szCs w:val="20"/>
              </w:rPr>
            </w:pPr>
            <w:r>
              <w:rPr>
                <w:rFonts w:cs="Arial"/>
                <w:color w:val="000000" w:themeColor="text1"/>
                <w:sz w:val="20"/>
                <w:szCs w:val="20"/>
              </w:rPr>
              <w:t>Chris</w:t>
            </w:r>
            <w:r w:rsidRPr="00FE0711">
              <w:rPr>
                <w:rFonts w:cs="Arial"/>
                <w:color w:val="000000" w:themeColor="text1"/>
                <w:sz w:val="20"/>
                <w:szCs w:val="20"/>
              </w:rPr>
              <w:t xml:space="preserve"> </w:t>
            </w:r>
            <w:r w:rsidR="00D02A2E" w:rsidRPr="001F7329">
              <w:rPr>
                <w:rFonts w:cs="Arial"/>
                <w:color w:val="000000" w:themeColor="text1"/>
                <w:sz w:val="20"/>
                <w:szCs w:val="20"/>
              </w:rPr>
              <w:t xml:space="preserve">is a sponsor of </w:t>
            </w:r>
            <w:r>
              <w:rPr>
                <w:rFonts w:cs="Arial"/>
                <w:color w:val="000000" w:themeColor="text1"/>
                <w:sz w:val="20"/>
                <w:szCs w:val="20"/>
              </w:rPr>
              <w:t>a</w:t>
            </w:r>
            <w:r w:rsidR="00D02A2E" w:rsidRPr="001F7329">
              <w:rPr>
                <w:rFonts w:cs="Arial"/>
                <w:color w:val="000000" w:themeColor="text1"/>
                <w:sz w:val="20"/>
                <w:szCs w:val="20"/>
              </w:rPr>
              <w:t xml:space="preserve"> </w:t>
            </w:r>
            <w:r w:rsidRPr="00247C15">
              <w:rPr>
                <w:rFonts w:cs="Arial"/>
                <w:color w:val="000000" w:themeColor="text1"/>
                <w:sz w:val="20"/>
                <w:szCs w:val="20"/>
              </w:rPr>
              <w:t xml:space="preserve">medicine </w:t>
            </w:r>
            <w:r w:rsidRPr="00247C15">
              <w:rPr>
                <w:rFonts w:cs="Arial"/>
                <w:i/>
                <w:iCs/>
                <w:color w:val="000000" w:themeColor="text1"/>
                <w:sz w:val="20"/>
                <w:szCs w:val="20"/>
              </w:rPr>
              <w:t>‘</w:t>
            </w:r>
            <w:proofErr w:type="spellStart"/>
            <w:r w:rsidRPr="00247C15">
              <w:rPr>
                <w:rFonts w:cs="Arial"/>
                <w:i/>
                <w:iCs/>
                <w:color w:val="000000" w:themeColor="text1"/>
                <w:sz w:val="20"/>
                <w:szCs w:val="20"/>
              </w:rPr>
              <w:t>antidysplasiamab</w:t>
            </w:r>
            <w:proofErr w:type="spellEnd"/>
            <w:r w:rsidRPr="00247C15">
              <w:rPr>
                <w:rFonts w:cs="Arial"/>
                <w:i/>
                <w:iCs/>
                <w:color w:val="000000" w:themeColor="text1"/>
                <w:sz w:val="20"/>
                <w:szCs w:val="20"/>
              </w:rPr>
              <w:t>’</w:t>
            </w:r>
            <w:r>
              <w:rPr>
                <w:rFonts w:cs="Arial"/>
                <w:i/>
                <w:iCs/>
                <w:color w:val="000000" w:themeColor="text1"/>
                <w:sz w:val="20"/>
                <w:szCs w:val="20"/>
              </w:rPr>
              <w:t xml:space="preserve"> </w:t>
            </w:r>
            <w:r>
              <w:rPr>
                <w:rFonts w:cs="Arial"/>
                <w:color w:val="000000" w:themeColor="text1"/>
                <w:sz w:val="20"/>
                <w:szCs w:val="20"/>
              </w:rPr>
              <w:t>which require</w:t>
            </w:r>
            <w:r w:rsidR="00100C5C">
              <w:rPr>
                <w:rFonts w:cs="Arial"/>
                <w:color w:val="000000" w:themeColor="text1"/>
                <w:sz w:val="20"/>
                <w:szCs w:val="20"/>
              </w:rPr>
              <w:t xml:space="preserve">s the detection of </w:t>
            </w:r>
            <w:r w:rsidR="00100C5C" w:rsidRPr="00100C5C">
              <w:rPr>
                <w:rFonts w:cs="Arial"/>
                <w:color w:val="000000" w:themeColor="text1"/>
                <w:sz w:val="20"/>
                <w:szCs w:val="20"/>
              </w:rPr>
              <w:t xml:space="preserve">human epidermal growth factor receptor 2 (HER2) </w:t>
            </w:r>
            <w:r w:rsidR="00100C5C">
              <w:rPr>
                <w:rFonts w:cs="Arial"/>
                <w:color w:val="000000" w:themeColor="text1"/>
                <w:sz w:val="20"/>
                <w:szCs w:val="20"/>
              </w:rPr>
              <w:t xml:space="preserve">for first line use in patients with metastatic breast cancer. The clinical trial used an in-house IVD </w:t>
            </w:r>
            <w:r w:rsidR="00EA4687">
              <w:rPr>
                <w:rFonts w:cs="Arial"/>
                <w:color w:val="000000" w:themeColor="text1"/>
                <w:sz w:val="20"/>
                <w:szCs w:val="20"/>
              </w:rPr>
              <w:t>to identify HER2</w:t>
            </w:r>
            <w:r w:rsidR="00100C5C">
              <w:rPr>
                <w:rFonts w:cs="Arial"/>
                <w:color w:val="000000" w:themeColor="text1"/>
                <w:sz w:val="20"/>
                <w:szCs w:val="20"/>
              </w:rPr>
              <w:t xml:space="preserve"> </w:t>
            </w:r>
            <w:r w:rsidR="00EA4687">
              <w:rPr>
                <w:rFonts w:cs="Arial"/>
                <w:color w:val="000000" w:themeColor="text1"/>
                <w:sz w:val="20"/>
                <w:szCs w:val="20"/>
              </w:rPr>
              <w:t xml:space="preserve">(IHC 3+/ISH+) patients for treatment with </w:t>
            </w:r>
            <w:r w:rsidR="00EA4687" w:rsidRPr="00247C15">
              <w:rPr>
                <w:rFonts w:cs="Arial"/>
                <w:i/>
                <w:iCs/>
                <w:color w:val="000000" w:themeColor="text1"/>
                <w:sz w:val="20"/>
                <w:szCs w:val="20"/>
              </w:rPr>
              <w:t>‘</w:t>
            </w:r>
            <w:proofErr w:type="spellStart"/>
            <w:r w:rsidR="00EA4687" w:rsidRPr="00247C15">
              <w:rPr>
                <w:rFonts w:cs="Arial"/>
                <w:i/>
                <w:iCs/>
                <w:color w:val="000000" w:themeColor="text1"/>
                <w:sz w:val="20"/>
                <w:szCs w:val="20"/>
              </w:rPr>
              <w:t>antidysplasiamab</w:t>
            </w:r>
            <w:proofErr w:type="spellEnd"/>
            <w:r w:rsidR="00EA4687" w:rsidRPr="00247C15">
              <w:rPr>
                <w:rFonts w:cs="Arial"/>
                <w:i/>
                <w:iCs/>
                <w:color w:val="000000" w:themeColor="text1"/>
                <w:sz w:val="20"/>
                <w:szCs w:val="20"/>
              </w:rPr>
              <w:t>’</w:t>
            </w:r>
            <w:r w:rsidR="00EA4687">
              <w:rPr>
                <w:rFonts w:cs="Arial"/>
                <w:color w:val="000000" w:themeColor="text1"/>
                <w:sz w:val="20"/>
                <w:szCs w:val="20"/>
              </w:rPr>
              <w:t xml:space="preserve">. </w:t>
            </w:r>
            <w:r w:rsidR="00D02A2E" w:rsidRPr="001F7329">
              <w:rPr>
                <w:rFonts w:cs="Arial"/>
                <w:sz w:val="20"/>
                <w:szCs w:val="20"/>
              </w:rPr>
              <w:t xml:space="preserve">Using the </w:t>
            </w:r>
            <w:hyperlink w:anchor="ColumnTitle_4" w:history="1">
              <w:r w:rsidR="00D02A2E" w:rsidRPr="001F7329">
                <w:rPr>
                  <w:rStyle w:val="Hyperlink"/>
                  <w:rFonts w:cs="Arial"/>
                  <w:sz w:val="20"/>
                  <w:szCs w:val="20"/>
                </w:rPr>
                <w:t>identification guide</w:t>
              </w:r>
            </w:hyperlink>
            <w:r w:rsidR="00D02A2E" w:rsidRPr="001F7329">
              <w:rPr>
                <w:rFonts w:cs="Arial"/>
                <w:sz w:val="20"/>
                <w:szCs w:val="20"/>
              </w:rPr>
              <w:t xml:space="preserve">, </w:t>
            </w:r>
            <w:r w:rsidR="00EA4687">
              <w:rPr>
                <w:rFonts w:cs="Arial"/>
                <w:sz w:val="20"/>
                <w:szCs w:val="20"/>
              </w:rPr>
              <w:t>Chris</w:t>
            </w:r>
            <w:r w:rsidR="00EA4687" w:rsidRPr="001F7329">
              <w:rPr>
                <w:rFonts w:cs="Arial"/>
                <w:sz w:val="20"/>
                <w:szCs w:val="20"/>
              </w:rPr>
              <w:t xml:space="preserve"> </w:t>
            </w:r>
            <w:r w:rsidR="00D02A2E" w:rsidRPr="001F7329">
              <w:rPr>
                <w:rFonts w:cs="Arial"/>
                <w:sz w:val="20"/>
                <w:szCs w:val="20"/>
              </w:rPr>
              <w:t xml:space="preserve">has determined </w:t>
            </w:r>
            <w:r w:rsidR="00D02A2E" w:rsidRPr="00EA4687">
              <w:rPr>
                <w:rFonts w:cs="Arial"/>
                <w:sz w:val="20"/>
                <w:szCs w:val="20"/>
              </w:rPr>
              <w:t xml:space="preserve">that </w:t>
            </w:r>
            <w:r w:rsidR="00EA4687" w:rsidRPr="00EA4687">
              <w:rPr>
                <w:rFonts w:cs="Arial"/>
                <w:color w:val="000000" w:themeColor="text1"/>
                <w:sz w:val="20"/>
                <w:szCs w:val="20"/>
              </w:rPr>
              <w:t>HER2</w:t>
            </w:r>
            <w:r w:rsidR="00EA4687">
              <w:rPr>
                <w:rFonts w:cs="Arial"/>
                <w:i/>
                <w:iCs/>
                <w:color w:val="000000" w:themeColor="text1"/>
                <w:sz w:val="20"/>
                <w:szCs w:val="20"/>
              </w:rPr>
              <w:t xml:space="preserve"> </w:t>
            </w:r>
            <w:r w:rsidR="00EA4687">
              <w:rPr>
                <w:rFonts w:cs="Arial"/>
                <w:color w:val="000000" w:themeColor="text1"/>
                <w:sz w:val="20"/>
                <w:szCs w:val="20"/>
              </w:rPr>
              <w:t>testing</w:t>
            </w:r>
            <w:r w:rsidR="00D02A2E">
              <w:rPr>
                <w:rFonts w:cs="Arial"/>
                <w:i/>
                <w:iCs/>
                <w:color w:val="000000" w:themeColor="text1"/>
                <w:sz w:val="20"/>
                <w:szCs w:val="20"/>
              </w:rPr>
              <w:t xml:space="preserve"> </w:t>
            </w:r>
            <w:r w:rsidR="00D02A2E" w:rsidRPr="001F7329">
              <w:rPr>
                <w:rFonts w:cs="Arial"/>
                <w:sz w:val="20"/>
                <w:szCs w:val="20"/>
              </w:rPr>
              <w:t xml:space="preserve">is essential for the safe and effective use of </w:t>
            </w:r>
            <w:r w:rsidR="00EA4687" w:rsidRPr="00247C15">
              <w:rPr>
                <w:rFonts w:cs="Arial"/>
                <w:i/>
                <w:iCs/>
                <w:color w:val="000000" w:themeColor="text1"/>
                <w:sz w:val="20"/>
                <w:szCs w:val="20"/>
              </w:rPr>
              <w:t>‘</w:t>
            </w:r>
            <w:proofErr w:type="spellStart"/>
            <w:r w:rsidR="00EA4687" w:rsidRPr="00247C15">
              <w:rPr>
                <w:rFonts w:cs="Arial"/>
                <w:i/>
                <w:iCs/>
                <w:color w:val="000000" w:themeColor="text1"/>
                <w:sz w:val="20"/>
                <w:szCs w:val="20"/>
              </w:rPr>
              <w:t>antidysplasiamab</w:t>
            </w:r>
            <w:proofErr w:type="spellEnd"/>
            <w:r w:rsidR="00EA4687" w:rsidRPr="00247C15">
              <w:rPr>
                <w:rFonts w:cs="Arial"/>
                <w:i/>
                <w:iCs/>
                <w:color w:val="000000" w:themeColor="text1"/>
                <w:sz w:val="20"/>
                <w:szCs w:val="20"/>
              </w:rPr>
              <w:t>’</w:t>
            </w:r>
            <w:r w:rsidR="00D02A2E">
              <w:rPr>
                <w:rFonts w:cs="Arial"/>
                <w:sz w:val="20"/>
                <w:szCs w:val="20"/>
              </w:rPr>
              <w:t>, it</w:t>
            </w:r>
            <w:r w:rsidR="00D02A2E" w:rsidRPr="001F7329">
              <w:rPr>
                <w:rFonts w:cs="Arial"/>
                <w:sz w:val="20"/>
                <w:szCs w:val="20"/>
              </w:rPr>
              <w:t xml:space="preserve"> is not solely to determine cell/tissue compatibility</w:t>
            </w:r>
            <w:r w:rsidR="00EA4687">
              <w:rPr>
                <w:rFonts w:cs="Arial"/>
                <w:sz w:val="20"/>
                <w:szCs w:val="20"/>
              </w:rPr>
              <w:t>, however,</w:t>
            </w:r>
            <w:r w:rsidR="00D02A2E" w:rsidRPr="001F7329">
              <w:rPr>
                <w:rFonts w:cs="Arial"/>
                <w:sz w:val="20"/>
                <w:szCs w:val="20"/>
              </w:rPr>
              <w:t xml:space="preserve"> </w:t>
            </w:r>
            <w:r w:rsidR="00D02A2E" w:rsidRPr="00EA4687">
              <w:rPr>
                <w:rFonts w:cs="Arial"/>
                <w:sz w:val="20"/>
                <w:szCs w:val="20"/>
                <w:u w:val="single"/>
              </w:rPr>
              <w:t>is</w:t>
            </w:r>
            <w:r w:rsidR="00D02A2E" w:rsidRPr="001F7329">
              <w:rPr>
                <w:rFonts w:cs="Arial"/>
                <w:sz w:val="20"/>
                <w:szCs w:val="20"/>
              </w:rPr>
              <w:t xml:space="preserve"> a mainstream pathology test</w:t>
            </w:r>
            <w:r w:rsidR="009D507B">
              <w:rPr>
                <w:rFonts w:cs="Arial"/>
                <w:sz w:val="20"/>
                <w:szCs w:val="20"/>
              </w:rPr>
              <w:t>.</w:t>
            </w:r>
          </w:p>
        </w:tc>
      </w:tr>
      <w:tr w:rsidR="00D02A2E" w:rsidRPr="00801CDA" w14:paraId="6E28C095" w14:textId="77777777" w:rsidTr="00923E07">
        <w:tc>
          <w:tcPr>
            <w:tcW w:w="9062" w:type="dxa"/>
            <w:gridSpan w:val="2"/>
            <w:vAlign w:val="bottom"/>
          </w:tcPr>
          <w:p w14:paraId="1E639A72" w14:textId="630515B6" w:rsidR="00D02A2E" w:rsidRPr="00801CDA" w:rsidRDefault="00EA4687" w:rsidP="00923E07">
            <w:pPr>
              <w:spacing w:before="240" w:after="240"/>
              <w:rPr>
                <w:rFonts w:cs="Arial"/>
                <w:b/>
                <w:bCs/>
                <w:sz w:val="20"/>
                <w:szCs w:val="20"/>
              </w:rPr>
            </w:pPr>
            <w:r>
              <w:rPr>
                <w:rFonts w:cs="Arial"/>
                <w:sz w:val="20"/>
                <w:szCs w:val="20"/>
              </w:rPr>
              <w:t xml:space="preserve">As part of the medicine’s application, </w:t>
            </w:r>
            <w:r w:rsidR="0073110C">
              <w:rPr>
                <w:rFonts w:cs="Arial"/>
                <w:sz w:val="20"/>
                <w:szCs w:val="20"/>
              </w:rPr>
              <w:t xml:space="preserve">TGA during </w:t>
            </w:r>
            <w:proofErr w:type="gramStart"/>
            <w:r w:rsidR="0073110C">
              <w:rPr>
                <w:rFonts w:cs="Arial"/>
                <w:sz w:val="20"/>
                <w:szCs w:val="20"/>
              </w:rPr>
              <w:t xml:space="preserve">evaluation </w:t>
            </w:r>
            <w:r>
              <w:rPr>
                <w:rFonts w:cs="Arial"/>
                <w:sz w:val="20"/>
                <w:szCs w:val="20"/>
              </w:rPr>
              <w:t xml:space="preserve"> determined</w:t>
            </w:r>
            <w:proofErr w:type="gramEnd"/>
            <w:r>
              <w:rPr>
                <w:rFonts w:cs="Arial"/>
                <w:sz w:val="20"/>
                <w:szCs w:val="20"/>
              </w:rPr>
              <w:t xml:space="preserve"> that the proposed indication for </w:t>
            </w:r>
            <w:r w:rsidRPr="00247C15">
              <w:rPr>
                <w:rFonts w:cs="Arial"/>
                <w:i/>
                <w:iCs/>
                <w:color w:val="000000" w:themeColor="text1"/>
                <w:sz w:val="20"/>
                <w:szCs w:val="20"/>
              </w:rPr>
              <w:t>‘</w:t>
            </w:r>
            <w:proofErr w:type="spellStart"/>
            <w:r w:rsidRPr="00247C15">
              <w:rPr>
                <w:rFonts w:cs="Arial"/>
                <w:i/>
                <w:iCs/>
                <w:color w:val="000000" w:themeColor="text1"/>
                <w:sz w:val="20"/>
                <w:szCs w:val="20"/>
              </w:rPr>
              <w:t>antidysplasiamab</w:t>
            </w:r>
            <w:proofErr w:type="spellEnd"/>
            <w:r w:rsidRPr="00247C15">
              <w:rPr>
                <w:rFonts w:cs="Arial"/>
                <w:i/>
                <w:iCs/>
                <w:color w:val="000000" w:themeColor="text1"/>
                <w:sz w:val="20"/>
                <w:szCs w:val="20"/>
              </w:rPr>
              <w:t>’</w:t>
            </w:r>
            <w:r>
              <w:rPr>
                <w:rFonts w:cs="Arial"/>
                <w:sz w:val="20"/>
                <w:szCs w:val="20"/>
              </w:rPr>
              <w:t xml:space="preserve"> does not require companion testing. The TGA provided advice to Chris indicating that the TGA considers</w:t>
            </w:r>
            <w:r w:rsidRPr="00EA4687">
              <w:rPr>
                <w:rFonts w:cs="Arial"/>
                <w:sz w:val="20"/>
                <w:szCs w:val="20"/>
              </w:rPr>
              <w:t xml:space="preserve"> the identification of HER2-positive status in breast cancer </w:t>
            </w:r>
            <w:r>
              <w:rPr>
                <w:rFonts w:cs="Arial"/>
                <w:sz w:val="20"/>
                <w:szCs w:val="20"/>
              </w:rPr>
              <w:t>was</w:t>
            </w:r>
            <w:r w:rsidRPr="00EA4687">
              <w:rPr>
                <w:rFonts w:cs="Arial"/>
                <w:sz w:val="20"/>
                <w:szCs w:val="20"/>
              </w:rPr>
              <w:t xml:space="preserve"> well established across pathology lab</w:t>
            </w:r>
            <w:r>
              <w:rPr>
                <w:rFonts w:cs="Arial"/>
                <w:sz w:val="20"/>
                <w:szCs w:val="20"/>
              </w:rPr>
              <w:t>oratorie</w:t>
            </w:r>
            <w:r w:rsidRPr="00EA4687">
              <w:rPr>
                <w:rFonts w:cs="Arial"/>
                <w:sz w:val="20"/>
                <w:szCs w:val="20"/>
              </w:rPr>
              <w:t>s in Australia, and that a HER2-positive result would generally be expected to identify the same patients nation-wide, regardless of the brand of test used.</w:t>
            </w:r>
            <w:r>
              <w:rPr>
                <w:rFonts w:cs="Arial"/>
                <w:sz w:val="20"/>
                <w:szCs w:val="20"/>
              </w:rPr>
              <w:t xml:space="preserve"> No companion testing plan will be required.</w:t>
            </w:r>
          </w:p>
        </w:tc>
      </w:tr>
    </w:tbl>
    <w:p w14:paraId="3432DFD3" w14:textId="77777777" w:rsidR="00D02A2E" w:rsidRPr="00FE0711" w:rsidRDefault="00D02A2E" w:rsidP="00453DB3"/>
    <w:p w14:paraId="7006F9AA" w14:textId="20AECC28" w:rsidR="002726E6" w:rsidRDefault="00D266D6" w:rsidP="000223EE">
      <w:pPr>
        <w:pStyle w:val="Heading2"/>
      </w:pPr>
      <w:bookmarkStart w:id="65" w:name="_Toc158650273"/>
      <w:r w:rsidRPr="00CD50C3">
        <w:t xml:space="preserve">Changes to </w:t>
      </w:r>
      <w:proofErr w:type="spellStart"/>
      <w:r w:rsidR="004A4708" w:rsidRPr="00CD50C3">
        <w:t>CDx</w:t>
      </w:r>
      <w:proofErr w:type="spellEnd"/>
      <w:r w:rsidR="008572A9" w:rsidRPr="00CD50C3">
        <w:t xml:space="preserve"> </w:t>
      </w:r>
      <w:bookmarkEnd w:id="63"/>
      <w:bookmarkEnd w:id="64"/>
      <w:r w:rsidR="000F238E">
        <w:t>included in the</w:t>
      </w:r>
      <w:r w:rsidR="000F238E" w:rsidRPr="00CD50C3">
        <w:t xml:space="preserve"> </w:t>
      </w:r>
      <w:proofErr w:type="gramStart"/>
      <w:r w:rsidR="000F238E" w:rsidRPr="00CD50C3">
        <w:t>ARTG</w:t>
      </w:r>
      <w:bookmarkEnd w:id="65"/>
      <w:proofErr w:type="gramEnd"/>
      <w:r w:rsidR="00134E0E">
        <w:t xml:space="preserve"> </w:t>
      </w:r>
    </w:p>
    <w:p w14:paraId="0A981F5C" w14:textId="434DEAFD" w:rsidR="00BA6CD0" w:rsidRDefault="00955E34" w:rsidP="00BA6CD0">
      <w:pPr>
        <w:pStyle w:val="NormalWeb"/>
        <w:shd w:val="clear" w:color="auto" w:fill="FFFFFF"/>
        <w:spacing w:before="0" w:beforeAutospacing="0" w:after="0" w:afterAutospacing="0"/>
        <w:rPr>
          <w:rFonts w:ascii="Arial" w:hAnsi="Arial" w:cs="Arial"/>
          <w:color w:val="313131"/>
          <w:sz w:val="20"/>
          <w:szCs w:val="20"/>
        </w:rPr>
      </w:pPr>
      <w:r w:rsidRPr="000223EE">
        <w:rPr>
          <w:rFonts w:ascii="Arial" w:hAnsi="Arial" w:cs="Arial"/>
          <w:sz w:val="20"/>
          <w:szCs w:val="20"/>
        </w:rPr>
        <w:t xml:space="preserve">All inclusions of </w:t>
      </w:r>
      <w:proofErr w:type="spellStart"/>
      <w:r w:rsidR="00B32C79">
        <w:rPr>
          <w:rFonts w:ascii="Arial" w:hAnsi="Arial" w:cs="Arial"/>
          <w:sz w:val="20"/>
          <w:szCs w:val="20"/>
        </w:rPr>
        <w:t>CDx</w:t>
      </w:r>
      <w:proofErr w:type="spellEnd"/>
      <w:r w:rsidR="00B32C79">
        <w:rPr>
          <w:rFonts w:ascii="Arial" w:hAnsi="Arial" w:cs="Arial"/>
          <w:sz w:val="20"/>
          <w:szCs w:val="20"/>
        </w:rPr>
        <w:t xml:space="preserve"> </w:t>
      </w:r>
      <w:r w:rsidRPr="000223EE">
        <w:rPr>
          <w:rFonts w:ascii="Arial" w:hAnsi="Arial" w:cs="Arial"/>
          <w:sz w:val="20"/>
          <w:szCs w:val="20"/>
        </w:rPr>
        <w:t xml:space="preserve">in the ARTG are subject to </w:t>
      </w:r>
      <w:hyperlink r:id="rId38" w:anchor="automatic" w:history="1">
        <w:r w:rsidR="00F95604" w:rsidRPr="00F95604">
          <w:rPr>
            <w:rStyle w:val="Hyperlink"/>
            <w:rFonts w:cs="Arial"/>
            <w:sz w:val="20"/>
            <w:szCs w:val="20"/>
          </w:rPr>
          <w:t>automatic conditions which are imposed at the time a device is included in the ARTG</w:t>
        </w:r>
      </w:hyperlink>
      <w:r w:rsidR="002726E6" w:rsidRPr="00BA6CD0">
        <w:rPr>
          <w:rFonts w:ascii="Arial" w:hAnsi="Arial" w:cs="Arial"/>
          <w:color w:val="313131"/>
          <w:sz w:val="20"/>
          <w:szCs w:val="20"/>
        </w:rPr>
        <w:t>.</w:t>
      </w:r>
    </w:p>
    <w:p w14:paraId="501B5FC0" w14:textId="2BE1A588" w:rsidR="00BA6CD0" w:rsidRPr="000223EE" w:rsidRDefault="002726E6" w:rsidP="000223EE">
      <w:pPr>
        <w:pStyle w:val="NormalWeb"/>
        <w:shd w:val="clear" w:color="auto" w:fill="FFFFFF"/>
        <w:spacing w:before="0" w:beforeAutospacing="0" w:after="0" w:afterAutospacing="0"/>
        <w:rPr>
          <w:rFonts w:ascii="Arial" w:hAnsi="Arial" w:cs="Arial"/>
          <w:color w:val="313131"/>
        </w:rPr>
      </w:pPr>
      <w:r w:rsidRPr="00BA6CD0">
        <w:rPr>
          <w:rFonts w:ascii="Arial" w:hAnsi="Arial" w:cs="Arial"/>
          <w:color w:val="313131"/>
          <w:sz w:val="20"/>
          <w:szCs w:val="20"/>
        </w:rPr>
        <w:t xml:space="preserve"> </w:t>
      </w:r>
    </w:p>
    <w:p w14:paraId="3A3B44D1" w14:textId="49BC8D13" w:rsidR="00B32C79" w:rsidRPr="009C77AA" w:rsidRDefault="00B32C79" w:rsidP="00B32C79">
      <w:pPr>
        <w:ind w:left="-4"/>
        <w:rPr>
          <w:rFonts w:cs="Arial"/>
        </w:rPr>
      </w:pPr>
      <w:r>
        <w:rPr>
          <w:rFonts w:cs="Arial"/>
        </w:rPr>
        <w:t xml:space="preserve">The sponsors of all </w:t>
      </w:r>
      <w:proofErr w:type="spellStart"/>
      <w:r>
        <w:rPr>
          <w:rFonts w:cs="Arial"/>
        </w:rPr>
        <w:t>CDx</w:t>
      </w:r>
      <w:proofErr w:type="spellEnd"/>
      <w:r>
        <w:rPr>
          <w:rFonts w:cs="Arial"/>
        </w:rPr>
        <w:t xml:space="preserve"> </w:t>
      </w:r>
      <w:r w:rsidR="0096008F">
        <w:rPr>
          <w:rFonts w:cs="Arial"/>
        </w:rPr>
        <w:t xml:space="preserve">included in the ARTG </w:t>
      </w:r>
      <w:r>
        <w:rPr>
          <w:rFonts w:cs="Arial"/>
        </w:rPr>
        <w:t xml:space="preserve">are required to notify the TGA if they need to </w:t>
      </w:r>
      <w:r w:rsidR="0096008F">
        <w:rPr>
          <w:rFonts w:cs="Arial"/>
        </w:rPr>
        <w:t xml:space="preserve">change any </w:t>
      </w:r>
      <w:r>
        <w:rPr>
          <w:rFonts w:cs="Arial"/>
        </w:rPr>
        <w:t xml:space="preserve">details of the </w:t>
      </w:r>
      <w:r w:rsidR="00C54EB2">
        <w:rPr>
          <w:rFonts w:cs="Arial"/>
        </w:rPr>
        <w:t>device</w:t>
      </w:r>
      <w:r>
        <w:rPr>
          <w:rFonts w:cs="Arial"/>
        </w:rPr>
        <w:t xml:space="preserve"> </w:t>
      </w:r>
      <w:r w:rsidR="0096008F">
        <w:rPr>
          <w:rFonts w:cs="Arial"/>
        </w:rPr>
        <w:t>by</w:t>
      </w:r>
      <w:r>
        <w:rPr>
          <w:rFonts w:cs="Arial"/>
        </w:rPr>
        <w:t xml:space="preserve"> completi</w:t>
      </w:r>
      <w:r w:rsidR="0096008F">
        <w:rPr>
          <w:rFonts w:cs="Arial"/>
        </w:rPr>
        <w:t>ng</w:t>
      </w:r>
      <w:r>
        <w:rPr>
          <w:rFonts w:cs="Arial"/>
        </w:rPr>
        <w:t xml:space="preserve"> the </w:t>
      </w:r>
      <w:hyperlink r:id="rId39" w:history="1">
        <w:r w:rsidRPr="00B32C79">
          <w:rPr>
            <w:rStyle w:val="Hyperlink"/>
            <w:rFonts w:cs="Arial"/>
          </w:rPr>
          <w:t>Device Change Request</w:t>
        </w:r>
      </w:hyperlink>
      <w:r>
        <w:rPr>
          <w:rFonts w:cs="Arial"/>
        </w:rPr>
        <w:t xml:space="preserve"> form</w:t>
      </w:r>
      <w:r w:rsidR="0096008F">
        <w:rPr>
          <w:rFonts w:cs="Arial"/>
        </w:rPr>
        <w:t>.</w:t>
      </w:r>
      <w:r>
        <w:rPr>
          <w:rFonts w:cs="Arial"/>
        </w:rPr>
        <w:t xml:space="preserve"> </w:t>
      </w:r>
      <w:r w:rsidR="0096008F">
        <w:rPr>
          <w:rFonts w:cs="Arial"/>
        </w:rPr>
        <w:t>Changes</w:t>
      </w:r>
      <w:r w:rsidR="0096008F" w:rsidRPr="5E8721A9">
        <w:rPr>
          <w:rFonts w:cs="Arial"/>
        </w:rPr>
        <w:t xml:space="preserve"> </w:t>
      </w:r>
      <w:r w:rsidR="0096008F">
        <w:rPr>
          <w:rFonts w:cs="Arial"/>
        </w:rPr>
        <w:t>could</w:t>
      </w:r>
      <w:r w:rsidR="0096008F" w:rsidRPr="5E8721A9">
        <w:rPr>
          <w:rFonts w:cs="Arial"/>
        </w:rPr>
        <w:t xml:space="preserve"> </w:t>
      </w:r>
      <w:r w:rsidRPr="5E8721A9">
        <w:rPr>
          <w:rFonts w:cs="Arial"/>
        </w:rPr>
        <w:t xml:space="preserve">include: </w:t>
      </w:r>
    </w:p>
    <w:p w14:paraId="0ECBCDC9" w14:textId="2140CD3E" w:rsidR="00B32C79" w:rsidRDefault="00B32C79" w:rsidP="00B32C79">
      <w:pPr>
        <w:numPr>
          <w:ilvl w:val="0"/>
          <w:numId w:val="18"/>
        </w:numPr>
        <w:spacing w:before="240" w:after="0" w:line="240" w:lineRule="auto"/>
        <w:ind w:hanging="360"/>
        <w:rPr>
          <w:rFonts w:cs="Arial"/>
        </w:rPr>
      </w:pPr>
      <w:r w:rsidRPr="2F9C3BCB">
        <w:rPr>
          <w:rFonts w:cs="Arial"/>
        </w:rPr>
        <w:t xml:space="preserve">A change in name (UPI) of the </w:t>
      </w:r>
      <w:proofErr w:type="spellStart"/>
      <w:r w:rsidRPr="2F9C3BCB">
        <w:rPr>
          <w:rFonts w:cs="Arial"/>
        </w:rPr>
        <w:t>CDx</w:t>
      </w:r>
      <w:proofErr w:type="spellEnd"/>
    </w:p>
    <w:p w14:paraId="6D5ADF0A" w14:textId="77777777" w:rsidR="0096008F" w:rsidRDefault="00B32C79" w:rsidP="00B32C79">
      <w:pPr>
        <w:numPr>
          <w:ilvl w:val="0"/>
          <w:numId w:val="18"/>
        </w:numPr>
        <w:spacing w:before="240" w:after="0" w:line="240" w:lineRule="auto"/>
        <w:ind w:hanging="360"/>
        <w:rPr>
          <w:rFonts w:cs="Arial"/>
        </w:rPr>
      </w:pPr>
      <w:r w:rsidRPr="00BA6CD0">
        <w:rPr>
          <w:rFonts w:cs="Arial"/>
        </w:rPr>
        <w:t>A change to the intended purpose</w:t>
      </w:r>
    </w:p>
    <w:p w14:paraId="3BA252EA" w14:textId="055B56D5" w:rsidR="00B32C79" w:rsidRDefault="0096008F" w:rsidP="00801CDA">
      <w:pPr>
        <w:numPr>
          <w:ilvl w:val="1"/>
          <w:numId w:val="18"/>
        </w:numPr>
        <w:spacing w:before="240" w:after="0" w:line="240" w:lineRule="auto"/>
        <w:ind w:hanging="360"/>
        <w:rPr>
          <w:rFonts w:cs="Arial"/>
        </w:rPr>
      </w:pPr>
      <w:r>
        <w:rPr>
          <w:rFonts w:cs="Arial"/>
        </w:rPr>
        <w:t>Examples could include a change to the target</w:t>
      </w:r>
      <w:r w:rsidR="00B0790A">
        <w:rPr>
          <w:rFonts w:cs="Arial"/>
        </w:rPr>
        <w:t xml:space="preserve"> or </w:t>
      </w:r>
      <w:r>
        <w:rPr>
          <w:rFonts w:cs="Arial"/>
        </w:rPr>
        <w:t>biomarker detected, addition of other targets</w:t>
      </w:r>
      <w:r w:rsidR="00B0790A">
        <w:rPr>
          <w:rFonts w:cs="Arial"/>
        </w:rPr>
        <w:t xml:space="preserve"> or </w:t>
      </w:r>
      <w:r>
        <w:rPr>
          <w:rFonts w:cs="Arial"/>
        </w:rPr>
        <w:t>biomarkers to be detected</w:t>
      </w:r>
      <w:r w:rsidR="00B32C79">
        <w:rPr>
          <w:rFonts w:cs="Arial"/>
        </w:rPr>
        <w:t xml:space="preserve">, </w:t>
      </w:r>
      <w:r w:rsidR="00D03F01">
        <w:rPr>
          <w:rFonts w:cs="Arial"/>
        </w:rPr>
        <w:t xml:space="preserve">change in </w:t>
      </w:r>
      <w:r w:rsidR="000F1F14">
        <w:rPr>
          <w:rFonts w:cs="Arial"/>
        </w:rPr>
        <w:t xml:space="preserve">cut-off </w:t>
      </w:r>
      <w:r w:rsidR="00D03F01">
        <w:rPr>
          <w:rFonts w:cs="Arial"/>
        </w:rPr>
        <w:t>conc</w:t>
      </w:r>
      <w:r w:rsidR="000F1F14">
        <w:rPr>
          <w:rFonts w:cs="Arial"/>
        </w:rPr>
        <w:t>entration</w:t>
      </w:r>
      <w:r w:rsidR="00D03F01">
        <w:rPr>
          <w:rFonts w:cs="Arial"/>
        </w:rPr>
        <w:t xml:space="preserve"> or decision point for receiving </w:t>
      </w:r>
      <w:r w:rsidR="000F1F14">
        <w:rPr>
          <w:rFonts w:cs="Arial"/>
        </w:rPr>
        <w:t>the medicine/biological</w:t>
      </w:r>
      <w:r w:rsidR="00D03F01">
        <w:rPr>
          <w:rFonts w:cs="Arial"/>
        </w:rPr>
        <w:t xml:space="preserve">, </w:t>
      </w:r>
      <w:r w:rsidR="00080A07">
        <w:rPr>
          <w:rFonts w:cs="Arial"/>
        </w:rPr>
        <w:t xml:space="preserve">expanded medicine/biological indications, </w:t>
      </w:r>
      <w:r>
        <w:rPr>
          <w:rFonts w:cs="Arial"/>
        </w:rPr>
        <w:t xml:space="preserve">addition of a new </w:t>
      </w:r>
      <w:r w:rsidR="00B32C79">
        <w:rPr>
          <w:rFonts w:cs="Arial"/>
        </w:rPr>
        <w:t xml:space="preserve">type of specimen </w:t>
      </w:r>
      <w:r>
        <w:rPr>
          <w:rFonts w:cs="Arial"/>
        </w:rPr>
        <w:t xml:space="preserve">or an </w:t>
      </w:r>
      <w:r w:rsidR="00162D35">
        <w:rPr>
          <w:rFonts w:cs="Arial"/>
        </w:rPr>
        <w:t>addition/</w:t>
      </w:r>
      <w:r w:rsidR="00B32C79" w:rsidRPr="009B0384">
        <w:rPr>
          <w:rFonts w:cs="Arial"/>
        </w:rPr>
        <w:t xml:space="preserve">change to the </w:t>
      </w:r>
      <w:r w:rsidR="00B32C79">
        <w:rPr>
          <w:rFonts w:cs="Arial"/>
        </w:rPr>
        <w:t xml:space="preserve">function </w:t>
      </w:r>
      <w:r w:rsidR="00B32C79" w:rsidRPr="009B0384">
        <w:rPr>
          <w:rFonts w:cs="Arial"/>
        </w:rPr>
        <w:t xml:space="preserve">of </w:t>
      </w:r>
      <w:r w:rsidR="00B32C79">
        <w:rPr>
          <w:rFonts w:cs="Arial"/>
        </w:rPr>
        <w:t xml:space="preserve">the </w:t>
      </w:r>
      <w:r w:rsidR="00B32C79" w:rsidRPr="009B0384">
        <w:rPr>
          <w:rFonts w:cs="Arial"/>
        </w:rPr>
        <w:t xml:space="preserve">software used with the </w:t>
      </w:r>
      <w:r w:rsidR="00CB0A3D" w:rsidRPr="009B0384">
        <w:rPr>
          <w:rFonts w:cs="Arial"/>
        </w:rPr>
        <w:t>device</w:t>
      </w:r>
      <w:r w:rsidR="00B32C79">
        <w:rPr>
          <w:rFonts w:cs="Arial"/>
        </w:rPr>
        <w:t>.</w:t>
      </w:r>
      <w:r w:rsidR="00D03F01">
        <w:rPr>
          <w:rFonts w:cs="Arial"/>
        </w:rPr>
        <w:t xml:space="preserve"> </w:t>
      </w:r>
      <w:r w:rsidR="000F1F14">
        <w:rPr>
          <w:rFonts w:cs="Arial"/>
        </w:rPr>
        <w:t xml:space="preserve">Please note: </w:t>
      </w:r>
      <w:r w:rsidR="00D03F01">
        <w:rPr>
          <w:rFonts w:cs="Arial"/>
        </w:rPr>
        <w:t xml:space="preserve">This list is not </w:t>
      </w:r>
      <w:r w:rsidR="000F1F14">
        <w:rPr>
          <w:rFonts w:cs="Arial"/>
        </w:rPr>
        <w:t xml:space="preserve">exhaustive but is intended to provide </w:t>
      </w:r>
      <w:r w:rsidR="00670C19">
        <w:rPr>
          <w:rFonts w:cs="Arial"/>
        </w:rPr>
        <w:t xml:space="preserve">some </w:t>
      </w:r>
      <w:r w:rsidR="000F1F14">
        <w:rPr>
          <w:rFonts w:cs="Arial"/>
        </w:rPr>
        <w:t>examples</w:t>
      </w:r>
      <w:r w:rsidR="00670C19">
        <w:rPr>
          <w:rFonts w:cs="Arial"/>
        </w:rPr>
        <w:t xml:space="preserve"> only</w:t>
      </w:r>
      <w:r w:rsidR="000F1F14">
        <w:rPr>
          <w:rFonts w:cs="Arial"/>
        </w:rPr>
        <w:t xml:space="preserve">. </w:t>
      </w:r>
    </w:p>
    <w:p w14:paraId="5D53AC01" w14:textId="735BD3AD" w:rsidR="00B32C79" w:rsidRDefault="00B32C79" w:rsidP="001F7329">
      <w:pPr>
        <w:numPr>
          <w:ilvl w:val="0"/>
          <w:numId w:val="18"/>
        </w:numPr>
        <w:spacing w:before="240" w:after="240" w:line="240" w:lineRule="auto"/>
        <w:ind w:left="357" w:hanging="357"/>
        <w:rPr>
          <w:rFonts w:cs="Arial"/>
        </w:rPr>
      </w:pPr>
      <w:r>
        <w:rPr>
          <w:rFonts w:cs="Arial"/>
        </w:rPr>
        <w:t xml:space="preserve">Change to the manufacturer name or </w:t>
      </w:r>
      <w:r w:rsidR="00134E0E">
        <w:rPr>
          <w:rFonts w:cs="Arial"/>
        </w:rPr>
        <w:t>address.</w:t>
      </w:r>
      <w:r>
        <w:rPr>
          <w:rFonts w:cs="Arial"/>
        </w:rPr>
        <w:t xml:space="preserve"> </w:t>
      </w:r>
    </w:p>
    <w:p w14:paraId="1B1235C2" w14:textId="17D1C932" w:rsidR="002726E6" w:rsidRPr="000223EE" w:rsidRDefault="00BD5FE8" w:rsidP="00BA6CD0">
      <w:pPr>
        <w:ind w:left="-4"/>
        <w:rPr>
          <w:rFonts w:cs="Arial"/>
        </w:rPr>
      </w:pPr>
      <w:r w:rsidRPr="002726E6">
        <w:rPr>
          <w:rFonts w:cs="Arial"/>
        </w:rPr>
        <w:lastRenderedPageBreak/>
        <w:t>Under the Medical Device Regulation</w:t>
      </w:r>
      <w:r w:rsidR="002726E6" w:rsidRPr="002726E6">
        <w:rPr>
          <w:rFonts w:cs="Arial"/>
        </w:rPr>
        <w:t xml:space="preserve">s, some </w:t>
      </w:r>
      <w:proofErr w:type="spellStart"/>
      <w:r w:rsidR="00B32C79">
        <w:rPr>
          <w:rFonts w:cs="Arial"/>
        </w:rPr>
        <w:t>CDx</w:t>
      </w:r>
      <w:proofErr w:type="spellEnd"/>
      <w:r w:rsidR="00B32C79">
        <w:rPr>
          <w:rFonts w:cs="Arial"/>
        </w:rPr>
        <w:t xml:space="preserve"> </w:t>
      </w:r>
      <w:r w:rsidR="00B0790A" w:rsidRPr="000223EE">
        <w:rPr>
          <w:rFonts w:cs="Arial"/>
        </w:rPr>
        <w:t>that have undergone mandatory application audit</w:t>
      </w:r>
      <w:r w:rsidR="00B0790A" w:rsidRPr="002726E6">
        <w:rPr>
          <w:rFonts w:cs="Arial"/>
        </w:rPr>
        <w:t xml:space="preserve"> </w:t>
      </w:r>
      <w:r w:rsidR="002726E6" w:rsidRPr="002726E6">
        <w:rPr>
          <w:rFonts w:cs="Arial"/>
        </w:rPr>
        <w:t xml:space="preserve">have additional conditions that </w:t>
      </w:r>
      <w:r w:rsidRPr="002726E6">
        <w:rPr>
          <w:rFonts w:cs="Arial"/>
        </w:rPr>
        <w:t>apply automatically to the ARTG inclusion</w:t>
      </w:r>
      <w:r w:rsidR="002726E6" w:rsidRPr="000223EE">
        <w:rPr>
          <w:rFonts w:cs="Arial"/>
        </w:rPr>
        <w:t>.</w:t>
      </w:r>
      <w:r w:rsidR="000F1F14">
        <w:rPr>
          <w:rFonts w:cs="Arial"/>
        </w:rPr>
        <w:t xml:space="preserve"> Please contact</w:t>
      </w:r>
      <w:r w:rsidR="00670C19">
        <w:rPr>
          <w:rFonts w:cs="Arial"/>
        </w:rPr>
        <w:t xml:space="preserve"> </w:t>
      </w:r>
      <w:hyperlink r:id="rId40" w:history="1">
        <w:r w:rsidR="001E5C51" w:rsidRPr="009334E5">
          <w:rPr>
            <w:rStyle w:val="Hyperlink"/>
            <w:rFonts w:cs="Arial"/>
          </w:rPr>
          <w:t>ivds@tga.com.au</w:t>
        </w:r>
      </w:hyperlink>
      <w:r w:rsidR="001E5C51">
        <w:rPr>
          <w:rFonts w:cs="Arial"/>
        </w:rPr>
        <w:t xml:space="preserve"> </w:t>
      </w:r>
      <w:r w:rsidR="000F1F14">
        <w:rPr>
          <w:rFonts w:cs="Arial"/>
        </w:rPr>
        <w:t xml:space="preserve"> for further information or to seek clarity on </w:t>
      </w:r>
      <w:r w:rsidR="00670C19">
        <w:rPr>
          <w:rFonts w:cs="Arial"/>
        </w:rPr>
        <w:t xml:space="preserve">any action required for changes to the </w:t>
      </w:r>
      <w:proofErr w:type="spellStart"/>
      <w:r w:rsidR="00670C19">
        <w:rPr>
          <w:rFonts w:cs="Arial"/>
        </w:rPr>
        <w:t>CDx</w:t>
      </w:r>
      <w:proofErr w:type="spellEnd"/>
      <w:r w:rsidR="00670C19">
        <w:rPr>
          <w:rFonts w:cs="Arial"/>
        </w:rPr>
        <w:t xml:space="preserve"> included in the ARTG.</w:t>
      </w:r>
    </w:p>
    <w:p w14:paraId="08AE2319" w14:textId="04F87BC0" w:rsidR="00FE2E00" w:rsidRDefault="13FCA7AC" w:rsidP="00F95604">
      <w:pPr>
        <w:pStyle w:val="Heading2"/>
        <w:spacing w:after="240"/>
      </w:pPr>
      <w:bookmarkStart w:id="66" w:name="_In-house_IVDs_that"/>
      <w:bookmarkStart w:id="67" w:name="_Toc158650274"/>
      <w:bookmarkStart w:id="68" w:name="_Toc143557698"/>
      <w:bookmarkStart w:id="69" w:name="_Toc144388269"/>
      <w:bookmarkStart w:id="70" w:name="_Toc11476"/>
      <w:bookmarkEnd w:id="66"/>
      <w:r>
        <w:t xml:space="preserve">In-house </w:t>
      </w:r>
      <w:proofErr w:type="spellStart"/>
      <w:r w:rsidR="00C54EB2">
        <w:t>CDx</w:t>
      </w:r>
      <w:proofErr w:type="spellEnd"/>
      <w:r w:rsidR="00C54EB2">
        <w:t xml:space="preserve"> </w:t>
      </w:r>
      <w:r>
        <w:t>IVDs</w:t>
      </w:r>
      <w:bookmarkEnd w:id="67"/>
      <w:r>
        <w:t xml:space="preserve"> </w:t>
      </w:r>
      <w:bookmarkEnd w:id="68"/>
      <w:bookmarkEnd w:id="69"/>
      <w:bookmarkEnd w:id="70"/>
    </w:p>
    <w:p w14:paraId="1B85212B" w14:textId="7A757844" w:rsidR="00FE2E00" w:rsidRPr="00B32C79" w:rsidRDefault="4B3B8FE4" w:rsidP="00FE2E00">
      <w:pPr>
        <w:spacing w:after="556"/>
        <w:ind w:left="-4"/>
        <w:rPr>
          <w:rFonts w:cs="Arial"/>
        </w:rPr>
      </w:pPr>
      <w:r w:rsidRPr="00B32C79">
        <w:rPr>
          <w:rFonts w:cs="Arial"/>
        </w:rPr>
        <w:t xml:space="preserve">Laboratory developed or “in-house” tests </w:t>
      </w:r>
      <w:r w:rsidR="7C7F47E0" w:rsidRPr="00B32C79">
        <w:rPr>
          <w:rFonts w:cs="Arial"/>
        </w:rPr>
        <w:t>may be</w:t>
      </w:r>
      <w:r w:rsidRPr="00B32C79">
        <w:rPr>
          <w:rFonts w:cs="Arial"/>
        </w:rPr>
        <w:t xml:space="preserve"> used as </w:t>
      </w:r>
      <w:proofErr w:type="spellStart"/>
      <w:r w:rsidR="7794DFCA" w:rsidRPr="00B32C79">
        <w:rPr>
          <w:rFonts w:cs="Arial"/>
        </w:rPr>
        <w:t>CDx</w:t>
      </w:r>
      <w:proofErr w:type="spellEnd"/>
      <w:r w:rsidRPr="00B32C79">
        <w:rPr>
          <w:rFonts w:cs="Arial"/>
        </w:rPr>
        <w:t xml:space="preserve">. In-house IVDs that are intended for use as </w:t>
      </w:r>
      <w:proofErr w:type="spellStart"/>
      <w:r w:rsidR="0B5D2BA9" w:rsidRPr="00B32C79">
        <w:rPr>
          <w:rFonts w:cs="Arial"/>
        </w:rPr>
        <w:t>CDx</w:t>
      </w:r>
      <w:proofErr w:type="spellEnd"/>
      <w:r w:rsidR="0B5D2BA9" w:rsidRPr="00B32C79">
        <w:rPr>
          <w:rFonts w:cs="Arial"/>
        </w:rPr>
        <w:t xml:space="preserve"> </w:t>
      </w:r>
      <w:r w:rsidRPr="00B32C79">
        <w:rPr>
          <w:rFonts w:cs="Arial"/>
        </w:rPr>
        <w:t xml:space="preserve">are also subject to the regulatory changes (e.g. definition, classification rules) and a </w:t>
      </w:r>
      <w:hyperlink r:id="rId41" w:history="1">
        <w:r w:rsidRPr="00B32C79">
          <w:rPr>
            <w:rStyle w:val="Hyperlink"/>
            <w:rFonts w:cs="Arial"/>
          </w:rPr>
          <w:t>transition period</w:t>
        </w:r>
      </w:hyperlink>
      <w:r w:rsidRPr="00B32C79">
        <w:rPr>
          <w:rFonts w:cs="Arial"/>
        </w:rPr>
        <w:t xml:space="preserve"> </w:t>
      </w:r>
      <w:r w:rsidR="0073110C">
        <w:rPr>
          <w:rFonts w:cs="Arial"/>
        </w:rPr>
        <w:t xml:space="preserve">that is similar to other </w:t>
      </w:r>
      <w:proofErr w:type="spellStart"/>
      <w:r w:rsidR="0073110C">
        <w:rPr>
          <w:rFonts w:cs="Arial"/>
        </w:rPr>
        <w:t>CDx</w:t>
      </w:r>
      <w:proofErr w:type="spellEnd"/>
      <w:r w:rsidR="0033277B">
        <w:rPr>
          <w:rFonts w:cs="Arial"/>
        </w:rPr>
        <w:t xml:space="preserve"> is applicable</w:t>
      </w:r>
      <w:r w:rsidR="0073110C">
        <w:rPr>
          <w:rFonts w:cs="Arial"/>
        </w:rPr>
        <w:t xml:space="preserve">. </w:t>
      </w:r>
    </w:p>
    <w:p w14:paraId="5D56331B" w14:textId="77777777" w:rsidR="00FE2E00" w:rsidRDefault="00FE2E00" w:rsidP="009C77AA">
      <w:pPr>
        <w:pStyle w:val="Heading3"/>
      </w:pPr>
      <w:bookmarkStart w:id="71" w:name="_Toc143557699"/>
      <w:bookmarkStart w:id="72" w:name="_Toc144388270"/>
      <w:bookmarkStart w:id="73" w:name="_Toc158650275"/>
      <w:bookmarkStart w:id="74" w:name="_Toc11477"/>
      <w:r>
        <w:t>Classification</w:t>
      </w:r>
      <w:bookmarkEnd w:id="71"/>
      <w:bookmarkEnd w:id="72"/>
      <w:bookmarkEnd w:id="73"/>
      <w:r>
        <w:t xml:space="preserve"> </w:t>
      </w:r>
      <w:bookmarkEnd w:id="74"/>
    </w:p>
    <w:p w14:paraId="4EF36D65" w14:textId="029A72B1" w:rsidR="00FE2E00" w:rsidRPr="009C77AA" w:rsidRDefault="4B3B8FE4" w:rsidP="00FE2E00">
      <w:pPr>
        <w:spacing w:after="558"/>
        <w:ind w:left="-4"/>
        <w:rPr>
          <w:rFonts w:cs="Arial"/>
        </w:rPr>
      </w:pPr>
      <w:r w:rsidRPr="2F9C3BCB">
        <w:rPr>
          <w:rFonts w:cs="Arial"/>
        </w:rPr>
        <w:t xml:space="preserve">The classification rule which clarifies that all </w:t>
      </w:r>
      <w:proofErr w:type="spellStart"/>
      <w:r w:rsidR="26B84205" w:rsidRPr="2F9C3BCB">
        <w:rPr>
          <w:rFonts w:cs="Arial"/>
        </w:rPr>
        <w:t>C</w:t>
      </w:r>
      <w:r w:rsidRPr="2F9C3BCB">
        <w:rPr>
          <w:rFonts w:cs="Arial"/>
        </w:rPr>
        <w:t>D</w:t>
      </w:r>
      <w:r w:rsidR="4988A94C" w:rsidRPr="2F9C3BCB">
        <w:rPr>
          <w:rFonts w:cs="Arial"/>
        </w:rPr>
        <w:t>x</w:t>
      </w:r>
      <w:proofErr w:type="spellEnd"/>
      <w:r w:rsidRPr="2F9C3BCB">
        <w:rPr>
          <w:rFonts w:cs="Arial"/>
        </w:rPr>
        <w:t xml:space="preserve"> are Class 3 </w:t>
      </w:r>
      <w:r w:rsidR="000F238E">
        <w:rPr>
          <w:rFonts w:cs="Arial"/>
        </w:rPr>
        <w:t xml:space="preserve">IVDs </w:t>
      </w:r>
      <w:r w:rsidRPr="2F9C3BCB">
        <w:rPr>
          <w:rFonts w:cs="Arial"/>
        </w:rPr>
        <w:t xml:space="preserve">applies equally to </w:t>
      </w:r>
      <w:r w:rsidR="00C54EB2" w:rsidRPr="2F9C3BCB">
        <w:rPr>
          <w:rFonts w:cs="Arial"/>
        </w:rPr>
        <w:t>commercially</w:t>
      </w:r>
      <w:r w:rsidR="00C54EB2">
        <w:rPr>
          <w:rFonts w:cs="Arial"/>
        </w:rPr>
        <w:t xml:space="preserve"> supplied</w:t>
      </w:r>
      <w:r w:rsidR="000F238E" w:rsidRPr="2F9C3BCB">
        <w:rPr>
          <w:rFonts w:cs="Arial"/>
        </w:rPr>
        <w:t xml:space="preserve"> </w:t>
      </w:r>
      <w:r w:rsidR="000F238E">
        <w:rPr>
          <w:rFonts w:cs="Arial"/>
        </w:rPr>
        <w:t xml:space="preserve">and </w:t>
      </w:r>
      <w:r w:rsidRPr="2F9C3BCB">
        <w:rPr>
          <w:rFonts w:cs="Arial"/>
        </w:rPr>
        <w:t>in-house</w:t>
      </w:r>
      <w:r w:rsidR="000F238E">
        <w:rPr>
          <w:rFonts w:cs="Arial"/>
        </w:rPr>
        <w:t xml:space="preserve"> IVDs</w:t>
      </w:r>
      <w:r w:rsidRPr="2F9C3BCB">
        <w:rPr>
          <w:rFonts w:cs="Arial"/>
        </w:rPr>
        <w:t xml:space="preserve">. </w:t>
      </w:r>
    </w:p>
    <w:p w14:paraId="6BB8ACAE" w14:textId="77777777" w:rsidR="00FE2E00" w:rsidRDefault="00FE2E00" w:rsidP="009C77AA">
      <w:pPr>
        <w:pStyle w:val="Heading3"/>
      </w:pPr>
      <w:bookmarkStart w:id="75" w:name="_Toc143557700"/>
      <w:bookmarkStart w:id="76" w:name="_Toc144388271"/>
      <w:bookmarkStart w:id="77" w:name="_Toc158650276"/>
      <w:bookmarkStart w:id="78" w:name="_Toc11478"/>
      <w:r>
        <w:t>Notification to the TGA</w:t>
      </w:r>
      <w:bookmarkEnd w:id="75"/>
      <w:bookmarkEnd w:id="76"/>
      <w:bookmarkEnd w:id="77"/>
      <w:r>
        <w:t xml:space="preserve"> </w:t>
      </w:r>
      <w:bookmarkEnd w:id="78"/>
    </w:p>
    <w:p w14:paraId="26C58C1E" w14:textId="452D1205" w:rsidR="00FE2E00" w:rsidRPr="00B32C79" w:rsidRDefault="4B3B8FE4" w:rsidP="00FE2E00">
      <w:pPr>
        <w:spacing w:after="169"/>
        <w:ind w:left="-4"/>
        <w:rPr>
          <w:rFonts w:cs="Arial"/>
        </w:rPr>
      </w:pPr>
      <w:r w:rsidRPr="00B32C79">
        <w:rPr>
          <w:rFonts w:cs="Arial"/>
        </w:rPr>
        <w:t xml:space="preserve">Class 1-3 in-house IVDs do not require inclusion in the ARTG, however, laboratories will need to identify their in-house </w:t>
      </w:r>
      <w:proofErr w:type="spellStart"/>
      <w:r w:rsidR="5C9D97CE" w:rsidRPr="00B32C79">
        <w:rPr>
          <w:rFonts w:cs="Arial"/>
        </w:rPr>
        <w:t>C</w:t>
      </w:r>
      <w:r w:rsidRPr="00B32C79">
        <w:rPr>
          <w:rFonts w:cs="Arial"/>
        </w:rPr>
        <w:t>D</w:t>
      </w:r>
      <w:r w:rsidR="090B74E2" w:rsidRPr="00B32C79">
        <w:rPr>
          <w:rFonts w:cs="Arial"/>
        </w:rPr>
        <w:t>x</w:t>
      </w:r>
      <w:proofErr w:type="spellEnd"/>
      <w:r w:rsidR="0041305D">
        <w:rPr>
          <w:rFonts w:cs="Arial"/>
        </w:rPr>
        <w:t xml:space="preserve"> IVD</w:t>
      </w:r>
      <w:r w:rsidR="00C54EB2">
        <w:rPr>
          <w:rFonts w:cs="Arial"/>
        </w:rPr>
        <w:t>s</w:t>
      </w:r>
      <w:r w:rsidRPr="00B32C79">
        <w:rPr>
          <w:rFonts w:cs="Arial"/>
        </w:rPr>
        <w:t xml:space="preserve"> in the test list they provide to the TGA as part of the </w:t>
      </w:r>
      <w:r w:rsidR="00976113">
        <w:rPr>
          <w:rFonts w:cs="Arial"/>
        </w:rPr>
        <w:t xml:space="preserve">existing </w:t>
      </w:r>
      <w:r w:rsidRPr="00B32C79">
        <w:rPr>
          <w:rFonts w:cs="Arial"/>
        </w:rPr>
        <w:t xml:space="preserve">notification process. </w:t>
      </w:r>
    </w:p>
    <w:p w14:paraId="039D2CF3" w14:textId="68A7613D" w:rsidR="00FE2E00" w:rsidRPr="00B32C79" w:rsidRDefault="4B3B8FE4" w:rsidP="00FE2E00">
      <w:pPr>
        <w:spacing w:after="556"/>
        <w:ind w:left="-4"/>
        <w:rPr>
          <w:rFonts w:cs="Arial"/>
        </w:rPr>
      </w:pPr>
      <w:r w:rsidRPr="00B32C79">
        <w:rPr>
          <w:rFonts w:cs="Arial"/>
        </w:rPr>
        <w:t xml:space="preserve">The notification form that laboratories manufacturing in-house IVDs must complete will be amended to require them to indicate whether they have any in-house </w:t>
      </w:r>
      <w:proofErr w:type="spellStart"/>
      <w:r w:rsidR="2F7E9930" w:rsidRPr="00B32C79">
        <w:rPr>
          <w:rFonts w:cs="Arial"/>
        </w:rPr>
        <w:t>C</w:t>
      </w:r>
      <w:r w:rsidRPr="00B32C79">
        <w:rPr>
          <w:rFonts w:cs="Arial"/>
        </w:rPr>
        <w:t>D</w:t>
      </w:r>
      <w:r w:rsidR="188C61B6" w:rsidRPr="00B32C79">
        <w:rPr>
          <w:rFonts w:cs="Arial"/>
        </w:rPr>
        <w:t>x</w:t>
      </w:r>
      <w:proofErr w:type="spellEnd"/>
      <w:r w:rsidR="0041305D">
        <w:rPr>
          <w:rFonts w:cs="Arial"/>
        </w:rPr>
        <w:t xml:space="preserve"> IVD</w:t>
      </w:r>
      <w:r w:rsidR="00C54EB2">
        <w:rPr>
          <w:rFonts w:cs="Arial"/>
        </w:rPr>
        <w:t>s</w:t>
      </w:r>
      <w:r w:rsidRPr="00B32C79">
        <w:rPr>
          <w:rFonts w:cs="Arial"/>
        </w:rPr>
        <w:t xml:space="preserve">. If so, laboratories will be required to specifically identify their </w:t>
      </w:r>
      <w:proofErr w:type="spellStart"/>
      <w:r w:rsidR="23EBADF9" w:rsidRPr="00B32C79">
        <w:rPr>
          <w:rFonts w:cs="Arial"/>
        </w:rPr>
        <w:t>C</w:t>
      </w:r>
      <w:r w:rsidRPr="00B32C79">
        <w:rPr>
          <w:rFonts w:cs="Arial"/>
        </w:rPr>
        <w:t>D</w:t>
      </w:r>
      <w:r w:rsidR="6290B18A" w:rsidRPr="00B32C79">
        <w:rPr>
          <w:rFonts w:cs="Arial"/>
        </w:rPr>
        <w:t>x</w:t>
      </w:r>
      <w:proofErr w:type="spellEnd"/>
      <w:r w:rsidRPr="00B32C79">
        <w:rPr>
          <w:rFonts w:cs="Arial"/>
        </w:rPr>
        <w:t xml:space="preserve"> in the test list that they attach to their notification to the TGA. </w:t>
      </w:r>
      <w:r w:rsidR="000E112B" w:rsidRPr="00B32C79">
        <w:rPr>
          <w:rFonts w:cs="Arial"/>
        </w:rPr>
        <w:t xml:space="preserve">Guidance </w:t>
      </w:r>
      <w:r w:rsidR="00FE2B9C" w:rsidRPr="00B32C79">
        <w:rPr>
          <w:rFonts w:cs="Arial"/>
        </w:rPr>
        <w:t xml:space="preserve">and </w:t>
      </w:r>
      <w:r w:rsidR="00721B93" w:rsidRPr="00B32C79">
        <w:rPr>
          <w:rFonts w:cs="Arial"/>
        </w:rPr>
        <w:t xml:space="preserve">updates </w:t>
      </w:r>
      <w:r w:rsidR="008163A0" w:rsidRPr="00B32C79">
        <w:rPr>
          <w:rFonts w:cs="Arial"/>
        </w:rPr>
        <w:t xml:space="preserve">on in-house </w:t>
      </w:r>
      <w:proofErr w:type="spellStart"/>
      <w:r w:rsidR="008163A0" w:rsidRPr="00B32C79">
        <w:rPr>
          <w:rFonts w:cs="Arial"/>
        </w:rPr>
        <w:t>CDx</w:t>
      </w:r>
      <w:proofErr w:type="spellEnd"/>
      <w:r w:rsidR="0041305D">
        <w:rPr>
          <w:rFonts w:cs="Arial"/>
        </w:rPr>
        <w:t xml:space="preserve"> IVD</w:t>
      </w:r>
      <w:r w:rsidR="00700FE8" w:rsidRPr="00B32C79">
        <w:rPr>
          <w:rFonts w:cs="Arial"/>
        </w:rPr>
        <w:t xml:space="preserve"> notification</w:t>
      </w:r>
      <w:r w:rsidR="00721B93" w:rsidRPr="00B32C79">
        <w:rPr>
          <w:rFonts w:cs="Arial"/>
        </w:rPr>
        <w:t>s</w:t>
      </w:r>
      <w:r w:rsidR="00700FE8" w:rsidRPr="00B32C79">
        <w:rPr>
          <w:rFonts w:cs="Arial"/>
        </w:rPr>
        <w:t xml:space="preserve">, and in-house </w:t>
      </w:r>
      <w:r w:rsidR="00721B93" w:rsidRPr="00B32C79">
        <w:rPr>
          <w:rFonts w:cs="Arial"/>
        </w:rPr>
        <w:t xml:space="preserve">IVD </w:t>
      </w:r>
      <w:r w:rsidR="00700FE8" w:rsidRPr="00B32C79">
        <w:rPr>
          <w:rFonts w:cs="Arial"/>
        </w:rPr>
        <w:t>notification</w:t>
      </w:r>
      <w:r w:rsidR="00721B93" w:rsidRPr="00B32C79">
        <w:rPr>
          <w:rFonts w:cs="Arial"/>
        </w:rPr>
        <w:t>s</w:t>
      </w:r>
      <w:r w:rsidR="00700FE8" w:rsidRPr="00B32C79">
        <w:rPr>
          <w:rFonts w:cs="Arial"/>
        </w:rPr>
        <w:t xml:space="preserve"> in general, </w:t>
      </w:r>
      <w:r w:rsidR="006F7516" w:rsidRPr="00B32C79">
        <w:rPr>
          <w:rFonts w:cs="Arial"/>
        </w:rPr>
        <w:t xml:space="preserve">can be found at </w:t>
      </w:r>
      <w:hyperlink r:id="rId42" w:history="1">
        <w:r w:rsidR="00502DC4" w:rsidRPr="00B32C79">
          <w:rPr>
            <w:rStyle w:val="Hyperlink"/>
            <w:rFonts w:cs="Arial"/>
          </w:rPr>
          <w:t>Regulatory requirements for in-house IVDs</w:t>
        </w:r>
      </w:hyperlink>
      <w:r w:rsidR="00502DC4" w:rsidRPr="00B32C79">
        <w:rPr>
          <w:rFonts w:cs="Arial"/>
        </w:rPr>
        <w:t xml:space="preserve">. </w:t>
      </w:r>
      <w:r w:rsidR="00D1368F" w:rsidRPr="00B32C79">
        <w:rPr>
          <w:rFonts w:cs="Arial"/>
        </w:rPr>
        <w:t xml:space="preserve">This requirement will be mandatory from 27 May 2026 and the amended notification form will be available </w:t>
      </w:r>
      <w:r w:rsidR="00D1368F">
        <w:rPr>
          <w:rFonts w:cs="Arial"/>
        </w:rPr>
        <w:t>soon</w:t>
      </w:r>
      <w:r w:rsidRPr="00B32C79">
        <w:rPr>
          <w:rFonts w:cs="Arial"/>
        </w:rPr>
        <w:t xml:space="preserve">. </w:t>
      </w:r>
    </w:p>
    <w:p w14:paraId="3FD215C8" w14:textId="6A6F69D9" w:rsidR="00FE2E00" w:rsidRDefault="4B3B8FE4" w:rsidP="009C77AA">
      <w:pPr>
        <w:pStyle w:val="Heading3"/>
      </w:pPr>
      <w:bookmarkStart w:id="79" w:name="_Toc143557701"/>
      <w:bookmarkStart w:id="80" w:name="_Toc144388272"/>
      <w:bookmarkStart w:id="81" w:name="_Toc11479"/>
      <w:bookmarkStart w:id="82" w:name="_Toc158650277"/>
      <w:r>
        <w:t xml:space="preserve">Evaluation of in-house </w:t>
      </w:r>
      <w:proofErr w:type="spellStart"/>
      <w:r w:rsidR="5BD1BA79">
        <w:t>C</w:t>
      </w:r>
      <w:r>
        <w:t>D</w:t>
      </w:r>
      <w:r w:rsidR="3A17C0C2">
        <w:t>x</w:t>
      </w:r>
      <w:bookmarkEnd w:id="79"/>
      <w:bookmarkEnd w:id="80"/>
      <w:proofErr w:type="spellEnd"/>
      <w:r>
        <w:t xml:space="preserve"> </w:t>
      </w:r>
      <w:bookmarkEnd w:id="81"/>
      <w:r w:rsidR="0041305D">
        <w:t>IVDs</w:t>
      </w:r>
      <w:bookmarkEnd w:id="82"/>
    </w:p>
    <w:p w14:paraId="799A79A3" w14:textId="77777777" w:rsidR="00FE2E00" w:rsidRPr="00B32C79" w:rsidRDefault="00FE2E00" w:rsidP="00FE2E00">
      <w:pPr>
        <w:spacing w:after="10"/>
        <w:ind w:left="-4"/>
        <w:rPr>
          <w:rFonts w:cs="Arial"/>
        </w:rPr>
      </w:pPr>
      <w:r w:rsidRPr="00B32C79">
        <w:rPr>
          <w:rFonts w:cs="Arial"/>
        </w:rPr>
        <w:t xml:space="preserve">The conformity assessment procedures in Schedule 3, Part 6A of the Medical Devices </w:t>
      </w:r>
    </w:p>
    <w:p w14:paraId="36395634" w14:textId="69FDD167" w:rsidR="00FE2E00" w:rsidRPr="00B32C79" w:rsidRDefault="00FE2E00" w:rsidP="00FE2E00">
      <w:pPr>
        <w:spacing w:after="10"/>
        <w:ind w:left="-4"/>
        <w:rPr>
          <w:rFonts w:cs="Arial"/>
        </w:rPr>
      </w:pPr>
      <w:r w:rsidRPr="00B32C79">
        <w:rPr>
          <w:rFonts w:cs="Arial"/>
        </w:rPr>
        <w:t>Regulations require laboratories who manufacture Class 1-3 in-house IVDs to be accredited by</w:t>
      </w:r>
      <w:r w:rsidR="00976113">
        <w:rPr>
          <w:rFonts w:cs="Arial"/>
        </w:rPr>
        <w:t xml:space="preserve"> the</w:t>
      </w:r>
      <w:r w:rsidRPr="00B32C79">
        <w:rPr>
          <w:rFonts w:cs="Arial"/>
        </w:rPr>
        <w:t xml:space="preserve"> </w:t>
      </w:r>
    </w:p>
    <w:p w14:paraId="50ACE99F" w14:textId="6C1F5FB1" w:rsidR="00FE2E00" w:rsidRPr="00B32C79" w:rsidRDefault="00000000" w:rsidP="00FE2E00">
      <w:pPr>
        <w:spacing w:after="172"/>
        <w:ind w:left="-4"/>
        <w:rPr>
          <w:rFonts w:cs="Arial"/>
        </w:rPr>
      </w:pPr>
      <w:hyperlink r:id="rId43" w:history="1">
        <w:r w:rsidR="005916BF" w:rsidRPr="00B32C79">
          <w:rPr>
            <w:rStyle w:val="Hyperlink"/>
            <w:rFonts w:cs="Arial"/>
          </w:rPr>
          <w:t>National Association of Testing Authorities</w:t>
        </w:r>
      </w:hyperlink>
      <w:r w:rsidR="005916BF" w:rsidRPr="00B32C79">
        <w:rPr>
          <w:rFonts w:cs="Arial"/>
        </w:rPr>
        <w:t xml:space="preserve"> (</w:t>
      </w:r>
      <w:r w:rsidR="00FE2E00" w:rsidRPr="00B32C79">
        <w:rPr>
          <w:rFonts w:cs="Arial"/>
        </w:rPr>
        <w:t>NATA</w:t>
      </w:r>
      <w:r w:rsidR="005916BF" w:rsidRPr="00B32C79">
        <w:rPr>
          <w:rFonts w:cs="Arial"/>
        </w:rPr>
        <w:t>)</w:t>
      </w:r>
      <w:r w:rsidR="00FE2E00" w:rsidRPr="00B32C79">
        <w:rPr>
          <w:rFonts w:cs="Arial"/>
        </w:rPr>
        <w:t xml:space="preserve"> as a testing laboratory and to meet the National Pathology Accreditation Advisory Council (NPAAC) standard, </w:t>
      </w:r>
      <w:hyperlink r:id="rId44">
        <w:r w:rsidR="00FE2E00" w:rsidRPr="00B32C79">
          <w:rPr>
            <w:rFonts w:cs="Arial"/>
            <w:i/>
            <w:color w:val="0000FF"/>
            <w:u w:val="single" w:color="0000FF"/>
          </w:rPr>
          <w:t>Requirements for development and use of in-house in vitro diagnostic medical</w:t>
        </w:r>
      </w:hyperlink>
      <w:hyperlink r:id="rId45">
        <w:r w:rsidR="00FE2E00" w:rsidRPr="00B32C79">
          <w:rPr>
            <w:rFonts w:cs="Arial"/>
            <w:i/>
            <w:color w:val="0000FF"/>
          </w:rPr>
          <w:t xml:space="preserve"> </w:t>
        </w:r>
      </w:hyperlink>
      <w:hyperlink r:id="rId46">
        <w:r w:rsidR="00FE2E00" w:rsidRPr="00B32C79">
          <w:rPr>
            <w:rFonts w:cs="Arial"/>
            <w:i/>
            <w:color w:val="0000FF"/>
            <w:u w:val="single" w:color="0000FF"/>
          </w:rPr>
          <w:t>devices (IVDs)</w:t>
        </w:r>
      </w:hyperlink>
      <w:hyperlink r:id="rId47">
        <w:r w:rsidR="00FE2E00" w:rsidRPr="00B32C79">
          <w:rPr>
            <w:rFonts w:cs="Arial"/>
            <w:i/>
            <w:color w:val="0000FF"/>
          </w:rPr>
          <w:t xml:space="preserve"> </w:t>
        </w:r>
      </w:hyperlink>
      <w:r w:rsidR="00FE2E00" w:rsidRPr="00B32C79">
        <w:rPr>
          <w:rFonts w:cs="Arial"/>
        </w:rPr>
        <w:t xml:space="preserve">(the NPAAC standard). </w:t>
      </w:r>
    </w:p>
    <w:p w14:paraId="148B65B6" w14:textId="5733E1D4" w:rsidR="00FE2E00" w:rsidRPr="00B32C79" w:rsidRDefault="4B3B8FE4" w:rsidP="00FE2E00">
      <w:pPr>
        <w:spacing w:after="556"/>
        <w:ind w:left="-4"/>
        <w:rPr>
          <w:rFonts w:cs="Arial"/>
        </w:rPr>
      </w:pPr>
      <w:r w:rsidRPr="00B32C79">
        <w:rPr>
          <w:rFonts w:cs="Arial"/>
        </w:rPr>
        <w:t>Under NATA accreditation requirements</w:t>
      </w:r>
      <w:r w:rsidR="007D313D" w:rsidRPr="00B32C79">
        <w:rPr>
          <w:rFonts w:cs="Arial"/>
        </w:rPr>
        <w:t>,</w:t>
      </w:r>
      <w:r w:rsidRPr="00B32C79">
        <w:rPr>
          <w:rFonts w:cs="Arial"/>
        </w:rPr>
        <w:t xml:space="preserve"> all Class 3 in-house IVDs will be evaluated for compliance with the NPAAC standard. Further consultation will be undertaken with NPAAC to determine whether there is a need to include additional information in this standard </w:t>
      </w:r>
      <w:r w:rsidR="005945A2">
        <w:rPr>
          <w:rFonts w:cs="Arial"/>
        </w:rPr>
        <w:t xml:space="preserve">specific to </w:t>
      </w:r>
      <w:r w:rsidRPr="00B32C79">
        <w:rPr>
          <w:rFonts w:cs="Arial"/>
        </w:rPr>
        <w:t xml:space="preserve">the validation of in-house </w:t>
      </w:r>
      <w:proofErr w:type="spellStart"/>
      <w:r w:rsidR="672B25C2" w:rsidRPr="00B32C79">
        <w:rPr>
          <w:rFonts w:cs="Arial"/>
        </w:rPr>
        <w:t>C</w:t>
      </w:r>
      <w:r w:rsidRPr="00B32C79">
        <w:rPr>
          <w:rFonts w:cs="Arial"/>
        </w:rPr>
        <w:t>D</w:t>
      </w:r>
      <w:r w:rsidR="5DB51550" w:rsidRPr="00B32C79">
        <w:rPr>
          <w:rFonts w:cs="Arial"/>
        </w:rPr>
        <w:t>x</w:t>
      </w:r>
      <w:proofErr w:type="spellEnd"/>
      <w:r w:rsidR="005945A2">
        <w:rPr>
          <w:rFonts w:cs="Arial"/>
        </w:rPr>
        <w:t xml:space="preserve"> IVDs</w:t>
      </w:r>
      <w:r w:rsidRPr="00B32C79">
        <w:rPr>
          <w:rFonts w:cs="Arial"/>
        </w:rPr>
        <w:t xml:space="preserve">. Under </w:t>
      </w:r>
      <w:r w:rsidR="005945A2">
        <w:rPr>
          <w:rFonts w:cs="Arial"/>
        </w:rPr>
        <w:t>the</w:t>
      </w:r>
      <w:r w:rsidR="005945A2" w:rsidRPr="00B32C79">
        <w:rPr>
          <w:rFonts w:cs="Arial"/>
        </w:rPr>
        <w:t xml:space="preserve"> </w:t>
      </w:r>
      <w:hyperlink r:id="rId48" w:history="1">
        <w:r w:rsidRPr="0090582A">
          <w:rPr>
            <w:rStyle w:val="Hyperlink"/>
            <w:rFonts w:cs="Arial"/>
          </w:rPr>
          <w:t>Memorandum of Understanding (MoU) between NATA and the TGA</w:t>
        </w:r>
      </w:hyperlink>
      <w:r w:rsidRPr="00B32C79">
        <w:rPr>
          <w:rFonts w:cs="Arial"/>
        </w:rPr>
        <w:t xml:space="preserve">, </w:t>
      </w:r>
      <w:r w:rsidR="005945A2">
        <w:rPr>
          <w:rFonts w:cs="Arial"/>
        </w:rPr>
        <w:t xml:space="preserve">it is expected that </w:t>
      </w:r>
      <w:r w:rsidRPr="00B32C79">
        <w:rPr>
          <w:rFonts w:cs="Arial"/>
        </w:rPr>
        <w:t xml:space="preserve">NATA </w:t>
      </w:r>
      <w:r w:rsidR="000B2C90">
        <w:rPr>
          <w:rFonts w:cs="Arial"/>
        </w:rPr>
        <w:t>may</w:t>
      </w:r>
      <w:r w:rsidRPr="00B32C79">
        <w:rPr>
          <w:rFonts w:cs="Arial"/>
        </w:rPr>
        <w:t xml:space="preserve"> request TGA</w:t>
      </w:r>
      <w:r w:rsidR="005945A2">
        <w:rPr>
          <w:rFonts w:cs="Arial"/>
        </w:rPr>
        <w:t>’s</w:t>
      </w:r>
      <w:r w:rsidRPr="00B32C79">
        <w:rPr>
          <w:rFonts w:cs="Arial"/>
        </w:rPr>
        <w:t xml:space="preserve"> assistance in the technical evaluation of </w:t>
      </w:r>
      <w:r w:rsidR="005945A2">
        <w:rPr>
          <w:rFonts w:cs="Arial"/>
        </w:rPr>
        <w:t xml:space="preserve">the </w:t>
      </w:r>
      <w:r w:rsidRPr="00B32C79">
        <w:rPr>
          <w:rFonts w:cs="Arial"/>
        </w:rPr>
        <w:t xml:space="preserve">analytical and clinical performance of an in-house </w:t>
      </w:r>
      <w:proofErr w:type="spellStart"/>
      <w:r w:rsidR="005945A2">
        <w:rPr>
          <w:rFonts w:cs="Arial"/>
        </w:rPr>
        <w:t>CDx</w:t>
      </w:r>
      <w:proofErr w:type="spellEnd"/>
      <w:r w:rsidR="005945A2">
        <w:rPr>
          <w:rFonts w:cs="Arial"/>
        </w:rPr>
        <w:t xml:space="preserve"> </w:t>
      </w:r>
      <w:r w:rsidRPr="00B32C79">
        <w:rPr>
          <w:rFonts w:cs="Arial"/>
        </w:rPr>
        <w:t>IVD</w:t>
      </w:r>
      <w:r w:rsidR="00134E0E">
        <w:rPr>
          <w:rFonts w:cs="Arial"/>
        </w:rPr>
        <w:t>,</w:t>
      </w:r>
      <w:r w:rsidRPr="00B32C79">
        <w:rPr>
          <w:rFonts w:cs="Arial"/>
        </w:rPr>
        <w:t xml:space="preserve"> </w:t>
      </w:r>
      <w:r w:rsidR="005945A2">
        <w:rPr>
          <w:rFonts w:cs="Arial"/>
        </w:rPr>
        <w:t>due to the need to access proprietary information regarding clinical trial assay performance characteristics and its use in establishing the medicine or biological indication</w:t>
      </w:r>
      <w:r w:rsidRPr="00B32C79">
        <w:rPr>
          <w:rFonts w:cs="Arial"/>
        </w:rPr>
        <w:t xml:space="preserve">. </w:t>
      </w:r>
    </w:p>
    <w:p w14:paraId="42C9AEA4" w14:textId="77777777" w:rsidR="00FE2E00" w:rsidRDefault="00FE2E00" w:rsidP="009C77AA">
      <w:pPr>
        <w:pStyle w:val="Heading3"/>
      </w:pPr>
      <w:bookmarkStart w:id="83" w:name="_Toc143557702"/>
      <w:bookmarkStart w:id="84" w:name="_Toc144388273"/>
      <w:bookmarkStart w:id="85" w:name="_Toc158650278"/>
      <w:bookmarkStart w:id="86" w:name="_Toc11480"/>
      <w:r>
        <w:t>Clinical evidence</w:t>
      </w:r>
      <w:bookmarkEnd w:id="83"/>
      <w:bookmarkEnd w:id="84"/>
      <w:bookmarkEnd w:id="85"/>
      <w:r>
        <w:t xml:space="preserve"> </w:t>
      </w:r>
      <w:bookmarkEnd w:id="86"/>
    </w:p>
    <w:p w14:paraId="2B600C51" w14:textId="0D7102ED" w:rsidR="00FE2E00" w:rsidRPr="009C77AA" w:rsidRDefault="4B3B8FE4" w:rsidP="00FD756F">
      <w:pPr>
        <w:ind w:left="-4"/>
        <w:rPr>
          <w:rFonts w:cs="Arial"/>
        </w:rPr>
      </w:pPr>
      <w:r w:rsidRPr="2F9C3BCB">
        <w:rPr>
          <w:rFonts w:cs="Arial"/>
        </w:rPr>
        <w:t xml:space="preserve">Laboratories must comply with the validation requirements set out in the NPAAC standard and as noted above the TGA proposes to collaborate with NPAAC to ensure that the standard sufficiently addresses the clinical evidence requirements for in-house </w:t>
      </w:r>
      <w:proofErr w:type="spellStart"/>
      <w:r w:rsidR="7EE84190" w:rsidRPr="2F9C3BCB">
        <w:rPr>
          <w:rFonts w:cs="Arial"/>
        </w:rPr>
        <w:t>C</w:t>
      </w:r>
      <w:r w:rsidRPr="2F9C3BCB">
        <w:rPr>
          <w:rFonts w:cs="Arial"/>
        </w:rPr>
        <w:t>D</w:t>
      </w:r>
      <w:r w:rsidR="392FEA05" w:rsidRPr="2F9C3BCB">
        <w:rPr>
          <w:rFonts w:cs="Arial"/>
        </w:rPr>
        <w:t>x</w:t>
      </w:r>
      <w:proofErr w:type="spellEnd"/>
      <w:r w:rsidR="00C54EB2">
        <w:rPr>
          <w:rFonts w:cs="Arial"/>
        </w:rPr>
        <w:t xml:space="preserve"> IVDs</w:t>
      </w:r>
      <w:r w:rsidR="00D1368F" w:rsidRPr="2F9C3BCB">
        <w:rPr>
          <w:rFonts w:cs="Arial"/>
        </w:rPr>
        <w:t>.</w:t>
      </w:r>
      <w:r w:rsidRPr="2F9C3BCB">
        <w:rPr>
          <w:rFonts w:cs="Arial"/>
        </w:rPr>
        <w:t xml:space="preserve"> </w:t>
      </w:r>
    </w:p>
    <w:p w14:paraId="7B55EE0D" w14:textId="77777777" w:rsidR="00D80E95" w:rsidRDefault="00D80E95" w:rsidP="007D29E8">
      <w:pPr>
        <w:pStyle w:val="Heading2"/>
      </w:pPr>
      <w:bookmarkStart w:id="87" w:name="_Glossary_and_abbreviations"/>
      <w:bookmarkStart w:id="88" w:name="_Toc158650279"/>
      <w:bookmarkEnd w:id="5"/>
      <w:bookmarkEnd w:id="6"/>
      <w:bookmarkEnd w:id="87"/>
      <w:r>
        <w:lastRenderedPageBreak/>
        <w:t>Glossary and abbreviations</w:t>
      </w:r>
      <w:bookmarkEnd w:id="88"/>
      <w:r>
        <w:t xml:space="preserve"> </w:t>
      </w:r>
    </w:p>
    <w:tbl>
      <w:tblPr>
        <w:tblStyle w:val="TableGrid"/>
        <w:tblW w:w="0" w:type="auto"/>
        <w:tblLook w:val="04A0" w:firstRow="1" w:lastRow="0" w:firstColumn="1" w:lastColumn="0" w:noHBand="0" w:noVBand="1"/>
      </w:tblPr>
      <w:tblGrid>
        <w:gridCol w:w="1980"/>
        <w:gridCol w:w="7080"/>
      </w:tblGrid>
      <w:tr w:rsidR="00D80E95" w:rsidRPr="003362D9" w14:paraId="6952511C" w14:textId="77777777" w:rsidTr="00B73478">
        <w:trPr>
          <w:trHeight w:val="138"/>
        </w:trPr>
        <w:tc>
          <w:tcPr>
            <w:tcW w:w="1980" w:type="dxa"/>
            <w:shd w:val="clear" w:color="auto" w:fill="DEEAF6" w:themeFill="accent5" w:themeFillTint="33"/>
          </w:tcPr>
          <w:p w14:paraId="2A9A7045" w14:textId="77777777" w:rsidR="00D80E95" w:rsidRPr="003362D9" w:rsidRDefault="00D80E95" w:rsidP="00B73478">
            <w:pPr>
              <w:pStyle w:val="NoSpacing"/>
              <w:spacing w:before="120" w:after="240"/>
              <w:rPr>
                <w:rFonts w:ascii="Arial" w:hAnsi="Arial" w:cs="Arial"/>
                <w:b/>
                <w:bCs/>
                <w:sz w:val="20"/>
                <w:szCs w:val="20"/>
              </w:rPr>
            </w:pPr>
            <w:r w:rsidRPr="003362D9">
              <w:rPr>
                <w:rFonts w:ascii="Arial" w:hAnsi="Arial" w:cs="Arial"/>
                <w:b/>
                <w:bCs/>
                <w:sz w:val="20"/>
                <w:szCs w:val="20"/>
              </w:rPr>
              <w:t>Term</w:t>
            </w:r>
          </w:p>
        </w:tc>
        <w:tc>
          <w:tcPr>
            <w:tcW w:w="7080" w:type="dxa"/>
            <w:shd w:val="clear" w:color="auto" w:fill="DEEAF6" w:themeFill="accent5" w:themeFillTint="33"/>
          </w:tcPr>
          <w:p w14:paraId="01D1D12D" w14:textId="77777777" w:rsidR="00D80E95" w:rsidRPr="003362D9" w:rsidRDefault="00D80E95" w:rsidP="00B73478">
            <w:pPr>
              <w:pStyle w:val="NoSpacing"/>
              <w:spacing w:before="120" w:after="240"/>
              <w:rPr>
                <w:rFonts w:ascii="Arial" w:hAnsi="Arial" w:cs="Arial"/>
                <w:b/>
                <w:bCs/>
                <w:sz w:val="20"/>
                <w:szCs w:val="20"/>
              </w:rPr>
            </w:pPr>
            <w:r w:rsidRPr="003362D9">
              <w:rPr>
                <w:rFonts w:ascii="Arial" w:hAnsi="Arial" w:cs="Arial"/>
                <w:b/>
                <w:bCs/>
                <w:sz w:val="20"/>
                <w:szCs w:val="20"/>
              </w:rPr>
              <w:t xml:space="preserve">Description </w:t>
            </w:r>
          </w:p>
        </w:tc>
      </w:tr>
      <w:tr w:rsidR="0096443E" w:rsidRPr="003362D9" w14:paraId="5FB93597" w14:textId="77777777" w:rsidTr="00B73478">
        <w:tc>
          <w:tcPr>
            <w:tcW w:w="1980" w:type="dxa"/>
            <w:shd w:val="clear" w:color="auto" w:fill="DEEAF6" w:themeFill="accent5" w:themeFillTint="33"/>
          </w:tcPr>
          <w:p w14:paraId="5ACD2161" w14:textId="629D73F0" w:rsidR="0096443E" w:rsidRPr="003362D9" w:rsidRDefault="0096443E" w:rsidP="00D04D9F">
            <w:pPr>
              <w:spacing w:after="120" w:line="276" w:lineRule="auto"/>
              <w:rPr>
                <w:rFonts w:cs="Arial"/>
                <w:sz w:val="20"/>
                <w:szCs w:val="20"/>
              </w:rPr>
            </w:pPr>
            <w:r w:rsidRPr="003362D9">
              <w:rPr>
                <w:rFonts w:cs="Arial"/>
                <w:sz w:val="20"/>
                <w:szCs w:val="20"/>
              </w:rPr>
              <w:t>Bridging study</w:t>
            </w:r>
          </w:p>
        </w:tc>
        <w:tc>
          <w:tcPr>
            <w:tcW w:w="7080" w:type="dxa"/>
          </w:tcPr>
          <w:p w14:paraId="0A865D62" w14:textId="2EC3DC4C" w:rsidR="0096443E" w:rsidRPr="003362D9" w:rsidRDefault="00794683" w:rsidP="00D04D9F">
            <w:pPr>
              <w:pStyle w:val="NoSpacing"/>
              <w:spacing w:after="120"/>
              <w:rPr>
                <w:rFonts w:cs="Arial"/>
                <w:sz w:val="20"/>
                <w:szCs w:val="20"/>
              </w:rPr>
            </w:pPr>
            <w:r w:rsidRPr="003362D9">
              <w:rPr>
                <w:rFonts w:ascii="Arial" w:hAnsi="Arial" w:cs="Arial"/>
                <w:sz w:val="20"/>
                <w:szCs w:val="20"/>
              </w:rPr>
              <w:t xml:space="preserve">A study required to demonstrate equivalence to the clinical trial assay, when one or more factors relevant to clinical utility of the test varies between the </w:t>
            </w:r>
            <w:r w:rsidR="001047F9" w:rsidRPr="003362D9">
              <w:rPr>
                <w:rFonts w:ascii="Arial" w:hAnsi="Arial" w:cs="Arial"/>
                <w:sz w:val="20"/>
                <w:szCs w:val="20"/>
              </w:rPr>
              <w:t xml:space="preserve">clinical trial assay </w:t>
            </w:r>
            <w:r w:rsidRPr="003362D9">
              <w:rPr>
                <w:rFonts w:ascii="Arial" w:hAnsi="Arial" w:cs="Arial"/>
                <w:sz w:val="20"/>
                <w:szCs w:val="20"/>
              </w:rPr>
              <w:t xml:space="preserve">and the </w:t>
            </w:r>
            <w:r w:rsidR="00EA5360">
              <w:rPr>
                <w:rFonts w:ascii="Arial" w:hAnsi="Arial" w:cs="Arial"/>
                <w:sz w:val="20"/>
                <w:szCs w:val="20"/>
              </w:rPr>
              <w:t>subsequent</w:t>
            </w:r>
            <w:r w:rsidRPr="003362D9">
              <w:rPr>
                <w:rFonts w:ascii="Arial" w:hAnsi="Arial" w:cs="Arial"/>
                <w:sz w:val="20"/>
                <w:szCs w:val="20"/>
              </w:rPr>
              <w:t xml:space="preserve"> </w:t>
            </w:r>
            <w:proofErr w:type="spellStart"/>
            <w:r w:rsidRPr="003362D9">
              <w:rPr>
                <w:rFonts w:ascii="Arial" w:hAnsi="Arial" w:cs="Arial"/>
                <w:sz w:val="20"/>
                <w:szCs w:val="20"/>
              </w:rPr>
              <w:t>CDx</w:t>
            </w:r>
            <w:proofErr w:type="spellEnd"/>
            <w:r w:rsidR="0031516D" w:rsidRPr="003362D9">
              <w:rPr>
                <w:rFonts w:ascii="Arial" w:hAnsi="Arial" w:cs="Arial"/>
                <w:sz w:val="20"/>
                <w:szCs w:val="20"/>
              </w:rPr>
              <w:t xml:space="preserve">. For example, </w:t>
            </w:r>
            <w:r w:rsidRPr="003362D9">
              <w:rPr>
                <w:rFonts w:ascii="Arial" w:hAnsi="Arial" w:cs="Arial"/>
                <w:sz w:val="20"/>
                <w:szCs w:val="20"/>
              </w:rPr>
              <w:t xml:space="preserve">a variation to the subject population or </w:t>
            </w:r>
            <w:r w:rsidR="0031516D" w:rsidRPr="003362D9">
              <w:rPr>
                <w:rFonts w:ascii="Arial" w:hAnsi="Arial" w:cs="Arial"/>
                <w:sz w:val="20"/>
                <w:szCs w:val="20"/>
              </w:rPr>
              <w:t xml:space="preserve">a change to </w:t>
            </w:r>
            <w:r w:rsidRPr="003362D9">
              <w:rPr>
                <w:rFonts w:ascii="Arial" w:hAnsi="Arial" w:cs="Arial"/>
                <w:sz w:val="20"/>
                <w:szCs w:val="20"/>
              </w:rPr>
              <w:t xml:space="preserve">the assay mechanism of the </w:t>
            </w:r>
            <w:proofErr w:type="spellStart"/>
            <w:r w:rsidRPr="003362D9">
              <w:rPr>
                <w:rFonts w:ascii="Arial" w:hAnsi="Arial" w:cs="Arial"/>
                <w:sz w:val="20"/>
                <w:szCs w:val="20"/>
              </w:rPr>
              <w:t>CDx</w:t>
            </w:r>
            <w:proofErr w:type="spellEnd"/>
            <w:r w:rsidRPr="003362D9">
              <w:rPr>
                <w:rFonts w:ascii="Arial" w:hAnsi="Arial" w:cs="Arial"/>
                <w:sz w:val="20"/>
                <w:szCs w:val="20"/>
              </w:rPr>
              <w:t>.</w:t>
            </w:r>
          </w:p>
        </w:tc>
      </w:tr>
      <w:tr w:rsidR="00D80E95" w:rsidRPr="003362D9" w14:paraId="72AC10E9" w14:textId="77777777" w:rsidTr="00B73478">
        <w:tc>
          <w:tcPr>
            <w:tcW w:w="1980" w:type="dxa"/>
            <w:shd w:val="clear" w:color="auto" w:fill="DEEAF6" w:themeFill="accent5" w:themeFillTint="33"/>
          </w:tcPr>
          <w:p w14:paraId="15FE8DFF" w14:textId="77777777" w:rsidR="00D80E95" w:rsidRPr="003362D9" w:rsidRDefault="00D80E95" w:rsidP="00D04D9F">
            <w:pPr>
              <w:spacing w:after="120" w:line="276" w:lineRule="auto"/>
              <w:rPr>
                <w:rFonts w:cs="Arial"/>
                <w:sz w:val="20"/>
                <w:szCs w:val="20"/>
              </w:rPr>
            </w:pPr>
            <w:proofErr w:type="spellStart"/>
            <w:r w:rsidRPr="003362D9">
              <w:rPr>
                <w:rFonts w:cs="Arial"/>
                <w:sz w:val="20"/>
                <w:szCs w:val="20"/>
              </w:rPr>
              <w:t>CDx</w:t>
            </w:r>
            <w:proofErr w:type="spellEnd"/>
          </w:p>
        </w:tc>
        <w:tc>
          <w:tcPr>
            <w:tcW w:w="7080" w:type="dxa"/>
          </w:tcPr>
          <w:p w14:paraId="619A2C8D" w14:textId="77777777" w:rsidR="00D80E95" w:rsidRPr="003362D9" w:rsidRDefault="00D80E95" w:rsidP="00D04D9F">
            <w:pPr>
              <w:spacing w:after="120" w:line="276" w:lineRule="auto"/>
              <w:rPr>
                <w:rFonts w:cs="Arial"/>
                <w:sz w:val="20"/>
                <w:szCs w:val="20"/>
              </w:rPr>
            </w:pPr>
            <w:r w:rsidRPr="003362D9">
              <w:rPr>
                <w:rFonts w:cs="Arial"/>
                <w:sz w:val="20"/>
                <w:szCs w:val="20"/>
              </w:rPr>
              <w:t xml:space="preserve">In vitro diagnostic companion diagnostic. </w:t>
            </w:r>
          </w:p>
        </w:tc>
      </w:tr>
      <w:tr w:rsidR="00D80E95" w:rsidRPr="003362D9" w14:paraId="409884BD" w14:textId="77777777" w:rsidTr="00B73478">
        <w:tc>
          <w:tcPr>
            <w:tcW w:w="1980" w:type="dxa"/>
            <w:shd w:val="clear" w:color="auto" w:fill="DEEAF6" w:themeFill="accent5" w:themeFillTint="33"/>
          </w:tcPr>
          <w:p w14:paraId="4E11A5DE" w14:textId="307B7583" w:rsidR="00D80E95" w:rsidRPr="003362D9" w:rsidRDefault="00D80E95" w:rsidP="00D04D9F">
            <w:pPr>
              <w:spacing w:after="120" w:line="276" w:lineRule="auto"/>
              <w:rPr>
                <w:rFonts w:cs="Arial"/>
                <w:sz w:val="20"/>
                <w:szCs w:val="20"/>
              </w:rPr>
            </w:pPr>
            <w:r w:rsidRPr="003362D9">
              <w:rPr>
                <w:rFonts w:cs="Arial"/>
                <w:sz w:val="20"/>
                <w:szCs w:val="20"/>
              </w:rPr>
              <w:t>Clinical trial assay</w:t>
            </w:r>
            <w:r w:rsidR="00542E26">
              <w:rPr>
                <w:rFonts w:cs="Arial"/>
                <w:sz w:val="20"/>
                <w:szCs w:val="20"/>
              </w:rPr>
              <w:t xml:space="preserve"> (Original </w:t>
            </w:r>
            <w:proofErr w:type="spellStart"/>
            <w:r w:rsidR="00542E26">
              <w:rPr>
                <w:rFonts w:cs="Arial"/>
                <w:sz w:val="20"/>
                <w:szCs w:val="20"/>
              </w:rPr>
              <w:t>CDx</w:t>
            </w:r>
            <w:proofErr w:type="spellEnd"/>
            <w:r w:rsidR="00542E26">
              <w:rPr>
                <w:rFonts w:cs="Arial"/>
                <w:sz w:val="20"/>
                <w:szCs w:val="20"/>
              </w:rPr>
              <w:t>)</w:t>
            </w:r>
          </w:p>
        </w:tc>
        <w:tc>
          <w:tcPr>
            <w:tcW w:w="7080" w:type="dxa"/>
          </w:tcPr>
          <w:p w14:paraId="16150CCB" w14:textId="77777777" w:rsidR="00D80E95" w:rsidRPr="003362D9" w:rsidRDefault="00D80E95" w:rsidP="00D04D9F">
            <w:pPr>
              <w:spacing w:after="120" w:line="276" w:lineRule="auto"/>
              <w:rPr>
                <w:rFonts w:cs="Arial"/>
                <w:sz w:val="20"/>
                <w:szCs w:val="20"/>
              </w:rPr>
            </w:pPr>
            <w:r w:rsidRPr="003362D9">
              <w:rPr>
                <w:rFonts w:cs="Arial"/>
                <w:sz w:val="20"/>
                <w:szCs w:val="20"/>
              </w:rPr>
              <w:t xml:space="preserve">The </w:t>
            </w:r>
            <w:proofErr w:type="spellStart"/>
            <w:r w:rsidRPr="003362D9">
              <w:rPr>
                <w:rFonts w:cs="Arial"/>
                <w:sz w:val="20"/>
                <w:szCs w:val="20"/>
              </w:rPr>
              <w:t>CDx</w:t>
            </w:r>
            <w:proofErr w:type="spellEnd"/>
            <w:r w:rsidRPr="003362D9">
              <w:rPr>
                <w:rFonts w:cs="Arial"/>
                <w:sz w:val="20"/>
                <w:szCs w:val="20"/>
              </w:rPr>
              <w:t xml:space="preserve"> assay used in the pivotal clinical trial of the associated medicine.</w:t>
            </w:r>
          </w:p>
        </w:tc>
      </w:tr>
      <w:tr w:rsidR="00D80E95" w:rsidRPr="003362D9" w14:paraId="1842F578" w14:textId="77777777" w:rsidTr="007D29E8">
        <w:trPr>
          <w:trHeight w:val="64"/>
        </w:trPr>
        <w:tc>
          <w:tcPr>
            <w:tcW w:w="1980" w:type="dxa"/>
            <w:shd w:val="clear" w:color="auto" w:fill="DEEAF6" w:themeFill="accent5" w:themeFillTint="33"/>
          </w:tcPr>
          <w:p w14:paraId="36291AF5" w14:textId="77777777" w:rsidR="00D80E95" w:rsidRPr="003362D9" w:rsidRDefault="00D80E95" w:rsidP="00D04D9F">
            <w:pPr>
              <w:spacing w:after="120" w:line="276" w:lineRule="auto"/>
              <w:rPr>
                <w:rFonts w:cs="Arial"/>
                <w:sz w:val="20"/>
                <w:szCs w:val="20"/>
              </w:rPr>
            </w:pPr>
            <w:r w:rsidRPr="003362D9">
              <w:rPr>
                <w:rFonts w:cs="Arial"/>
                <w:sz w:val="20"/>
                <w:szCs w:val="20"/>
              </w:rPr>
              <w:t>Clinical utility</w:t>
            </w:r>
          </w:p>
        </w:tc>
        <w:tc>
          <w:tcPr>
            <w:tcW w:w="7080" w:type="dxa"/>
          </w:tcPr>
          <w:p w14:paraId="61FBE9BD" w14:textId="77777777" w:rsidR="00D80E95" w:rsidRPr="003362D9" w:rsidRDefault="00D80E95" w:rsidP="00D04D9F">
            <w:pPr>
              <w:spacing w:after="120" w:line="276" w:lineRule="auto"/>
              <w:rPr>
                <w:rFonts w:cs="Arial"/>
                <w:sz w:val="20"/>
                <w:szCs w:val="20"/>
              </w:rPr>
            </w:pPr>
            <w:r w:rsidRPr="003362D9">
              <w:rPr>
                <w:rFonts w:cs="Arial"/>
                <w:sz w:val="20"/>
                <w:szCs w:val="20"/>
              </w:rPr>
              <w:t>The usefulness of the results obtained from testing with the IVD medical device and the value of the information to the individual being tested and/or the broader population.</w:t>
            </w:r>
          </w:p>
        </w:tc>
      </w:tr>
      <w:tr w:rsidR="008D4F5B" w:rsidRPr="003362D9" w14:paraId="4936C0DF" w14:textId="77777777" w:rsidTr="00B73478">
        <w:trPr>
          <w:trHeight w:val="60"/>
        </w:trPr>
        <w:tc>
          <w:tcPr>
            <w:tcW w:w="1980" w:type="dxa"/>
            <w:shd w:val="clear" w:color="auto" w:fill="DEEAF6" w:themeFill="accent5" w:themeFillTint="33"/>
          </w:tcPr>
          <w:p w14:paraId="24152834" w14:textId="53B2FAD9" w:rsidR="008D4F5B" w:rsidRPr="00D04D9F" w:rsidRDefault="008D4F5B" w:rsidP="00D04D9F">
            <w:pPr>
              <w:spacing w:after="120" w:line="276" w:lineRule="auto"/>
              <w:rPr>
                <w:rFonts w:cs="Arial"/>
                <w:sz w:val="20"/>
                <w:szCs w:val="20"/>
              </w:rPr>
            </w:pPr>
            <w:r w:rsidRPr="00D04D9F">
              <w:rPr>
                <w:rFonts w:cs="Arial"/>
                <w:sz w:val="20"/>
                <w:szCs w:val="20"/>
              </w:rPr>
              <w:t xml:space="preserve">Subsequent </w:t>
            </w:r>
            <w:proofErr w:type="spellStart"/>
            <w:r w:rsidR="00005F34">
              <w:rPr>
                <w:rFonts w:cs="Arial"/>
                <w:sz w:val="20"/>
                <w:szCs w:val="20"/>
              </w:rPr>
              <w:t>CDx</w:t>
            </w:r>
            <w:proofErr w:type="spellEnd"/>
            <w:r w:rsidR="00005F34">
              <w:rPr>
                <w:rFonts w:cs="Arial"/>
                <w:sz w:val="20"/>
                <w:szCs w:val="20"/>
              </w:rPr>
              <w:t>/IVD</w:t>
            </w:r>
          </w:p>
        </w:tc>
        <w:tc>
          <w:tcPr>
            <w:tcW w:w="7080" w:type="dxa"/>
          </w:tcPr>
          <w:p w14:paraId="5AB41281" w14:textId="0CA68925" w:rsidR="008D4F5B" w:rsidRPr="00D04D9F" w:rsidRDefault="008D4F5B" w:rsidP="00D04D9F">
            <w:pPr>
              <w:spacing w:after="120" w:line="276" w:lineRule="auto"/>
              <w:rPr>
                <w:rFonts w:cs="Arial"/>
                <w:sz w:val="20"/>
                <w:szCs w:val="20"/>
              </w:rPr>
            </w:pPr>
            <w:r w:rsidRPr="00D04D9F">
              <w:rPr>
                <w:rFonts w:cs="Arial"/>
                <w:sz w:val="20"/>
                <w:szCs w:val="20"/>
              </w:rPr>
              <w:t>An IVD that is different to what was used in the clinical trial but is intended for the same medicine and indication.</w:t>
            </w:r>
          </w:p>
        </w:tc>
      </w:tr>
      <w:tr w:rsidR="00D80E95" w:rsidRPr="003362D9" w14:paraId="72F9C7E2" w14:textId="77777777" w:rsidTr="00B73478">
        <w:tc>
          <w:tcPr>
            <w:tcW w:w="1980" w:type="dxa"/>
            <w:shd w:val="clear" w:color="auto" w:fill="DEEAF6" w:themeFill="accent5" w:themeFillTint="33"/>
          </w:tcPr>
          <w:p w14:paraId="2EBFA951" w14:textId="2AC5D281" w:rsidR="00D80E95" w:rsidRPr="003362D9" w:rsidRDefault="00D80E95" w:rsidP="00D04D9F">
            <w:pPr>
              <w:spacing w:after="120" w:line="276" w:lineRule="auto"/>
              <w:rPr>
                <w:rFonts w:cs="Arial"/>
                <w:sz w:val="20"/>
                <w:szCs w:val="20"/>
              </w:rPr>
            </w:pPr>
            <w:r w:rsidRPr="003362D9">
              <w:rPr>
                <w:rFonts w:cs="Arial"/>
                <w:sz w:val="20"/>
                <w:szCs w:val="20"/>
              </w:rPr>
              <w:t xml:space="preserve">In-house </w:t>
            </w:r>
            <w:proofErr w:type="spellStart"/>
            <w:r w:rsidRPr="003362D9">
              <w:rPr>
                <w:rFonts w:cs="Arial"/>
                <w:sz w:val="20"/>
                <w:szCs w:val="20"/>
              </w:rPr>
              <w:t>CDx</w:t>
            </w:r>
            <w:proofErr w:type="spellEnd"/>
            <w:r w:rsidR="00C54EB2" w:rsidRPr="003362D9">
              <w:rPr>
                <w:rFonts w:cs="Arial"/>
                <w:sz w:val="20"/>
                <w:szCs w:val="20"/>
              </w:rPr>
              <w:t xml:space="preserve"> </w:t>
            </w:r>
          </w:p>
        </w:tc>
        <w:tc>
          <w:tcPr>
            <w:tcW w:w="7080" w:type="dxa"/>
          </w:tcPr>
          <w:p w14:paraId="7846D0C3" w14:textId="29E61C81" w:rsidR="0090582A" w:rsidRPr="003362D9" w:rsidRDefault="0090582A" w:rsidP="00D04D9F">
            <w:pPr>
              <w:pStyle w:val="NoSpacing"/>
              <w:spacing w:after="120"/>
              <w:rPr>
                <w:rFonts w:cs="Arial"/>
                <w:sz w:val="20"/>
                <w:szCs w:val="20"/>
              </w:rPr>
            </w:pPr>
            <w:r w:rsidRPr="003362D9">
              <w:rPr>
                <w:rFonts w:ascii="Arial" w:hAnsi="Arial" w:cs="Arial"/>
                <w:sz w:val="20"/>
                <w:szCs w:val="20"/>
              </w:rPr>
              <w:t>An IVD medical device that is:</w:t>
            </w:r>
          </w:p>
          <w:p w14:paraId="1D7FAE27" w14:textId="410DE164" w:rsidR="0090582A" w:rsidRPr="003362D9" w:rsidRDefault="0090582A" w:rsidP="00D04D9F">
            <w:pPr>
              <w:pStyle w:val="NoSpacing"/>
              <w:spacing w:after="120"/>
              <w:ind w:left="175"/>
              <w:rPr>
                <w:rFonts w:cs="Arial"/>
                <w:sz w:val="20"/>
                <w:szCs w:val="20"/>
              </w:rPr>
            </w:pPr>
            <w:r w:rsidRPr="003362D9">
              <w:rPr>
                <w:rFonts w:ascii="Arial" w:hAnsi="Arial" w:cs="Arial"/>
                <w:sz w:val="20"/>
                <w:szCs w:val="20"/>
              </w:rPr>
              <w:t>(a)  within the confines or scope of an Australian laboratory or Australian laboratory network:</w:t>
            </w:r>
          </w:p>
          <w:p w14:paraId="4C8C9D48" w14:textId="12F1337B" w:rsidR="0090582A" w:rsidRPr="003362D9" w:rsidRDefault="0090582A" w:rsidP="00D04D9F">
            <w:pPr>
              <w:pStyle w:val="NoSpacing"/>
              <w:spacing w:after="120"/>
              <w:ind w:firstLine="459"/>
              <w:rPr>
                <w:rFonts w:cs="Arial"/>
                <w:sz w:val="20"/>
                <w:szCs w:val="20"/>
              </w:rPr>
            </w:pPr>
            <w:r w:rsidRPr="003362D9">
              <w:rPr>
                <w:rFonts w:ascii="Arial" w:hAnsi="Arial" w:cs="Arial"/>
                <w:sz w:val="20"/>
                <w:szCs w:val="20"/>
              </w:rPr>
              <w:t>(</w:t>
            </w:r>
            <w:proofErr w:type="spellStart"/>
            <w:r w:rsidRPr="003362D9">
              <w:rPr>
                <w:rFonts w:ascii="Arial" w:hAnsi="Arial" w:cs="Arial"/>
                <w:sz w:val="20"/>
                <w:szCs w:val="20"/>
              </w:rPr>
              <w:t>i</w:t>
            </w:r>
            <w:proofErr w:type="spellEnd"/>
            <w:r w:rsidRPr="003362D9">
              <w:rPr>
                <w:rFonts w:ascii="Arial" w:hAnsi="Arial" w:cs="Arial"/>
                <w:sz w:val="20"/>
                <w:szCs w:val="20"/>
              </w:rPr>
              <w:t>)  developed from first principles; or</w:t>
            </w:r>
          </w:p>
          <w:p w14:paraId="4A50B11A" w14:textId="1E590AE6" w:rsidR="0090582A" w:rsidRPr="003362D9" w:rsidRDefault="0090582A" w:rsidP="00D04D9F">
            <w:pPr>
              <w:pStyle w:val="NoSpacing"/>
              <w:spacing w:after="120"/>
              <w:ind w:firstLine="459"/>
              <w:rPr>
                <w:rFonts w:cs="Arial"/>
                <w:sz w:val="20"/>
                <w:szCs w:val="20"/>
              </w:rPr>
            </w:pPr>
            <w:r w:rsidRPr="003362D9">
              <w:rPr>
                <w:rFonts w:ascii="Arial" w:hAnsi="Arial" w:cs="Arial"/>
                <w:sz w:val="20"/>
                <w:szCs w:val="20"/>
              </w:rPr>
              <w:t>(ii)  developed or modified from a published source; or</w:t>
            </w:r>
          </w:p>
          <w:p w14:paraId="5903D8B8" w14:textId="273F024B" w:rsidR="0090582A" w:rsidRPr="003362D9" w:rsidRDefault="0090582A" w:rsidP="00D04D9F">
            <w:pPr>
              <w:pStyle w:val="NoSpacing"/>
              <w:spacing w:after="120"/>
              <w:ind w:left="459"/>
              <w:rPr>
                <w:rFonts w:cs="Arial"/>
                <w:sz w:val="20"/>
                <w:szCs w:val="20"/>
              </w:rPr>
            </w:pPr>
            <w:r w:rsidRPr="003362D9">
              <w:rPr>
                <w:rFonts w:ascii="Arial" w:hAnsi="Arial" w:cs="Arial"/>
                <w:sz w:val="20"/>
                <w:szCs w:val="20"/>
              </w:rPr>
              <w:t>(iii)  developed or modified from any other source; or</w:t>
            </w:r>
          </w:p>
          <w:p w14:paraId="3A1AF6EB" w14:textId="55F79D3C" w:rsidR="0090582A" w:rsidRPr="003362D9" w:rsidRDefault="0090582A" w:rsidP="00D04D9F">
            <w:pPr>
              <w:pStyle w:val="NoSpacing"/>
              <w:spacing w:after="120"/>
              <w:ind w:left="459"/>
              <w:rPr>
                <w:rFonts w:cs="Arial"/>
                <w:sz w:val="20"/>
                <w:szCs w:val="20"/>
              </w:rPr>
            </w:pPr>
            <w:r w:rsidRPr="003362D9">
              <w:rPr>
                <w:rFonts w:ascii="Arial" w:hAnsi="Arial" w:cs="Arial"/>
                <w:sz w:val="20"/>
                <w:szCs w:val="20"/>
              </w:rPr>
              <w:t>(iv)  used for a purpose, other than the intended purpose assigned by the manufacturer; and</w:t>
            </w:r>
          </w:p>
          <w:p w14:paraId="1757EB94" w14:textId="4FE9825D" w:rsidR="0090582A" w:rsidRPr="003362D9" w:rsidRDefault="0090582A" w:rsidP="00D04D9F">
            <w:pPr>
              <w:pStyle w:val="NoSpacing"/>
              <w:spacing w:after="120"/>
              <w:ind w:left="175"/>
              <w:rPr>
                <w:rFonts w:cs="Arial"/>
                <w:sz w:val="20"/>
                <w:szCs w:val="20"/>
              </w:rPr>
            </w:pPr>
            <w:r w:rsidRPr="003362D9">
              <w:rPr>
                <w:rFonts w:ascii="Arial" w:hAnsi="Arial" w:cs="Arial"/>
                <w:sz w:val="20"/>
                <w:szCs w:val="20"/>
              </w:rPr>
              <w:t>(b)  not supplied for use outside that laboratory or laboratory network.</w:t>
            </w:r>
          </w:p>
          <w:p w14:paraId="09CF5B9A" w14:textId="26513528" w:rsidR="00D80E95" w:rsidRPr="003362D9" w:rsidRDefault="00D80E95" w:rsidP="00D04D9F">
            <w:pPr>
              <w:pStyle w:val="NoSpacing"/>
              <w:spacing w:after="120"/>
              <w:rPr>
                <w:sz w:val="20"/>
                <w:szCs w:val="20"/>
              </w:rPr>
            </w:pPr>
            <w:r w:rsidRPr="003362D9">
              <w:rPr>
                <w:rFonts w:ascii="Arial" w:hAnsi="Arial" w:cs="Arial"/>
                <w:sz w:val="20"/>
                <w:szCs w:val="20"/>
              </w:rPr>
              <w:t xml:space="preserve">Please </w:t>
            </w:r>
            <w:r w:rsidR="0090582A" w:rsidRPr="003362D9">
              <w:rPr>
                <w:rFonts w:ascii="Arial" w:hAnsi="Arial" w:cs="Arial"/>
                <w:sz w:val="20"/>
                <w:szCs w:val="20"/>
              </w:rPr>
              <w:t xml:space="preserve">refer to </w:t>
            </w:r>
            <w:hyperlink r:id="rId49" w:history="1">
              <w:r w:rsidRPr="003362D9">
                <w:rPr>
                  <w:rStyle w:val="Hyperlink"/>
                  <w:rFonts w:cs="Arial"/>
                  <w:sz w:val="20"/>
                  <w:szCs w:val="20"/>
                </w:rPr>
                <w:t>guidance on in-house IVDs</w:t>
              </w:r>
            </w:hyperlink>
            <w:r w:rsidRPr="003362D9">
              <w:rPr>
                <w:rFonts w:ascii="Arial" w:hAnsi="Arial" w:cs="Arial"/>
                <w:sz w:val="20"/>
                <w:szCs w:val="20"/>
              </w:rPr>
              <w:t>.</w:t>
            </w:r>
          </w:p>
        </w:tc>
      </w:tr>
      <w:tr w:rsidR="009D507B" w:rsidRPr="003362D9" w14:paraId="3AD05176" w14:textId="77777777" w:rsidTr="00B73478">
        <w:tc>
          <w:tcPr>
            <w:tcW w:w="1980" w:type="dxa"/>
            <w:shd w:val="clear" w:color="auto" w:fill="DEEAF6" w:themeFill="accent5" w:themeFillTint="33"/>
          </w:tcPr>
          <w:p w14:paraId="55202284" w14:textId="6CC599C1" w:rsidR="009D507B" w:rsidRPr="00D04D9F" w:rsidRDefault="009D507B" w:rsidP="00D04D9F">
            <w:pPr>
              <w:spacing w:after="120" w:line="276" w:lineRule="auto"/>
              <w:rPr>
                <w:rFonts w:cs="Arial"/>
                <w:sz w:val="20"/>
                <w:szCs w:val="20"/>
              </w:rPr>
            </w:pPr>
            <w:r w:rsidRPr="00D04D9F">
              <w:rPr>
                <w:rFonts w:cs="Arial"/>
                <w:sz w:val="20"/>
                <w:szCs w:val="20"/>
              </w:rPr>
              <w:t>Companion testing plan</w:t>
            </w:r>
          </w:p>
        </w:tc>
        <w:tc>
          <w:tcPr>
            <w:tcW w:w="7080" w:type="dxa"/>
          </w:tcPr>
          <w:p w14:paraId="4CD8F8DF" w14:textId="02295DBB" w:rsidR="009D507B" w:rsidRPr="00005F34" w:rsidRDefault="001920EB" w:rsidP="00D04D9F">
            <w:pPr>
              <w:pStyle w:val="NoSpacing"/>
              <w:spacing w:after="120"/>
              <w:rPr>
                <w:rFonts w:ascii="Arial" w:hAnsi="Arial" w:cs="Arial"/>
                <w:sz w:val="20"/>
                <w:szCs w:val="20"/>
              </w:rPr>
            </w:pPr>
            <w:r w:rsidRPr="00D04D9F">
              <w:rPr>
                <w:rFonts w:ascii="Arial" w:hAnsi="Arial" w:cs="Arial"/>
                <w:sz w:val="20"/>
                <w:szCs w:val="20"/>
              </w:rPr>
              <w:t>A c</w:t>
            </w:r>
            <w:r w:rsidR="009D507B" w:rsidRPr="00D04D9F">
              <w:rPr>
                <w:rFonts w:ascii="Arial" w:hAnsi="Arial" w:cs="Arial"/>
                <w:sz w:val="20"/>
                <w:szCs w:val="20"/>
              </w:rPr>
              <w:t xml:space="preserve">ompanion testing plan </w:t>
            </w:r>
            <w:r w:rsidRPr="00D04D9F">
              <w:rPr>
                <w:rFonts w:ascii="Arial" w:hAnsi="Arial" w:cs="Arial"/>
                <w:sz w:val="20"/>
                <w:szCs w:val="20"/>
              </w:rPr>
              <w:t xml:space="preserve">is </w:t>
            </w:r>
            <w:r w:rsidR="006538AE" w:rsidRPr="00D04D9F">
              <w:rPr>
                <w:rFonts w:ascii="Arial" w:hAnsi="Arial" w:cs="Arial"/>
                <w:sz w:val="20"/>
                <w:szCs w:val="20"/>
              </w:rPr>
              <w:t>information provided</w:t>
            </w:r>
            <w:r w:rsidR="0062591A" w:rsidRPr="00D04D9F">
              <w:rPr>
                <w:rFonts w:ascii="Arial" w:hAnsi="Arial" w:cs="Arial"/>
                <w:sz w:val="20"/>
                <w:szCs w:val="20"/>
              </w:rPr>
              <w:t xml:space="preserve"> by</w:t>
            </w:r>
            <w:r w:rsidR="006538AE" w:rsidRPr="00D04D9F">
              <w:rPr>
                <w:rFonts w:ascii="Arial" w:hAnsi="Arial" w:cs="Arial"/>
                <w:sz w:val="20"/>
                <w:szCs w:val="20"/>
              </w:rPr>
              <w:t xml:space="preserve"> </w:t>
            </w:r>
            <w:r w:rsidRPr="00D04D9F">
              <w:rPr>
                <w:rFonts w:ascii="Arial" w:hAnsi="Arial" w:cs="Arial"/>
                <w:sz w:val="20"/>
                <w:szCs w:val="20"/>
              </w:rPr>
              <w:t>the sponsor of a medicine</w:t>
            </w:r>
            <w:r w:rsidR="0062591A" w:rsidRPr="00D04D9F">
              <w:rPr>
                <w:rFonts w:ascii="Arial" w:hAnsi="Arial" w:cs="Arial"/>
                <w:sz w:val="20"/>
                <w:szCs w:val="20"/>
              </w:rPr>
              <w:t xml:space="preserve"> or biological</w:t>
            </w:r>
            <w:r w:rsidRPr="00D04D9F">
              <w:rPr>
                <w:rFonts w:ascii="Arial" w:hAnsi="Arial" w:cs="Arial"/>
                <w:sz w:val="20"/>
                <w:szCs w:val="20"/>
              </w:rPr>
              <w:t>, relating to a</w:t>
            </w:r>
            <w:r w:rsidR="0062591A" w:rsidRPr="00D04D9F">
              <w:rPr>
                <w:rFonts w:ascii="Arial" w:hAnsi="Arial" w:cs="Arial"/>
                <w:sz w:val="20"/>
                <w:szCs w:val="20"/>
              </w:rPr>
              <w:t>n</w:t>
            </w:r>
            <w:r w:rsidRPr="00D04D9F">
              <w:rPr>
                <w:rFonts w:ascii="Arial" w:hAnsi="Arial" w:cs="Arial"/>
                <w:sz w:val="20"/>
                <w:szCs w:val="20"/>
              </w:rPr>
              <w:t xml:space="preserve"> indication that requires companion testing</w:t>
            </w:r>
            <w:r w:rsidR="0062591A" w:rsidRPr="00D04D9F">
              <w:rPr>
                <w:rFonts w:ascii="Arial" w:hAnsi="Arial" w:cs="Arial"/>
                <w:sz w:val="20"/>
                <w:szCs w:val="20"/>
              </w:rPr>
              <w:t xml:space="preserve">, that </w:t>
            </w:r>
            <w:r w:rsidR="006538AE" w:rsidRPr="00D04D9F">
              <w:rPr>
                <w:rFonts w:ascii="Arial" w:hAnsi="Arial" w:cs="Arial"/>
                <w:sz w:val="20"/>
                <w:szCs w:val="20"/>
              </w:rPr>
              <w:t>provide</w:t>
            </w:r>
            <w:r w:rsidR="0062591A" w:rsidRPr="00D04D9F">
              <w:rPr>
                <w:rFonts w:ascii="Arial" w:hAnsi="Arial" w:cs="Arial"/>
                <w:sz w:val="20"/>
                <w:szCs w:val="20"/>
              </w:rPr>
              <w:t>s</w:t>
            </w:r>
            <w:r w:rsidR="006538AE" w:rsidRPr="00D04D9F">
              <w:rPr>
                <w:rFonts w:ascii="Arial" w:hAnsi="Arial" w:cs="Arial"/>
                <w:sz w:val="20"/>
                <w:szCs w:val="20"/>
              </w:rPr>
              <w:t xml:space="preserve"> reassurance</w:t>
            </w:r>
            <w:r w:rsidRPr="00D04D9F">
              <w:rPr>
                <w:rFonts w:ascii="Arial" w:hAnsi="Arial" w:cs="Arial"/>
                <w:sz w:val="20"/>
                <w:szCs w:val="20"/>
              </w:rPr>
              <w:t xml:space="preserve"> </w:t>
            </w:r>
            <w:r w:rsidR="006538AE" w:rsidRPr="00D04D9F">
              <w:rPr>
                <w:rFonts w:ascii="Arial" w:hAnsi="Arial" w:cs="Arial"/>
                <w:sz w:val="20"/>
                <w:szCs w:val="20"/>
              </w:rPr>
              <w:t>that</w:t>
            </w:r>
            <w:r w:rsidRPr="00D04D9F">
              <w:rPr>
                <w:rFonts w:ascii="Arial" w:hAnsi="Arial" w:cs="Arial"/>
                <w:sz w:val="20"/>
                <w:szCs w:val="20"/>
              </w:rPr>
              <w:t xml:space="preserve"> Australian </w:t>
            </w:r>
            <w:r w:rsidR="006538AE" w:rsidRPr="00D04D9F">
              <w:rPr>
                <w:rFonts w:ascii="Arial" w:hAnsi="Arial" w:cs="Arial"/>
                <w:sz w:val="20"/>
                <w:szCs w:val="20"/>
              </w:rPr>
              <w:t>patients</w:t>
            </w:r>
            <w:r w:rsidRPr="00D04D9F">
              <w:rPr>
                <w:rFonts w:ascii="Arial" w:hAnsi="Arial" w:cs="Arial"/>
                <w:sz w:val="20"/>
                <w:szCs w:val="20"/>
              </w:rPr>
              <w:t xml:space="preserve"> will</w:t>
            </w:r>
            <w:r w:rsidR="006538AE" w:rsidRPr="00D04D9F">
              <w:rPr>
                <w:rFonts w:ascii="Arial" w:hAnsi="Arial" w:cs="Arial"/>
                <w:sz w:val="20"/>
                <w:szCs w:val="20"/>
              </w:rPr>
              <w:t xml:space="preserve"> be able to </w:t>
            </w:r>
            <w:proofErr w:type="gramStart"/>
            <w:r w:rsidR="006538AE" w:rsidRPr="00D04D9F">
              <w:rPr>
                <w:rFonts w:ascii="Arial" w:hAnsi="Arial" w:cs="Arial"/>
                <w:sz w:val="20"/>
                <w:szCs w:val="20"/>
              </w:rPr>
              <w:t>safely and effectively use the medicine</w:t>
            </w:r>
            <w:proofErr w:type="gramEnd"/>
            <w:r w:rsidRPr="00D04D9F">
              <w:rPr>
                <w:rFonts w:ascii="Arial" w:hAnsi="Arial" w:cs="Arial"/>
                <w:sz w:val="20"/>
                <w:szCs w:val="20"/>
              </w:rPr>
              <w:t xml:space="preserve"> </w:t>
            </w:r>
            <w:r w:rsidR="008D4F5B" w:rsidRPr="00D04D9F">
              <w:rPr>
                <w:rFonts w:ascii="Arial" w:hAnsi="Arial" w:cs="Arial"/>
                <w:sz w:val="20"/>
                <w:szCs w:val="20"/>
              </w:rPr>
              <w:t xml:space="preserve">as they will </w:t>
            </w:r>
            <w:r w:rsidRPr="00D04D9F">
              <w:rPr>
                <w:rFonts w:ascii="Arial" w:hAnsi="Arial" w:cs="Arial"/>
                <w:sz w:val="20"/>
                <w:szCs w:val="20"/>
              </w:rPr>
              <w:t>have access to</w:t>
            </w:r>
            <w:r w:rsidR="008D4F5B" w:rsidRPr="00D04D9F">
              <w:rPr>
                <w:rFonts w:ascii="Arial" w:hAnsi="Arial" w:cs="Arial"/>
                <w:sz w:val="20"/>
                <w:szCs w:val="20"/>
              </w:rPr>
              <w:t xml:space="preserve"> at least one IVD that is adequate for companion testing.</w:t>
            </w:r>
          </w:p>
        </w:tc>
      </w:tr>
    </w:tbl>
    <w:p w14:paraId="1E38B174" w14:textId="77777777" w:rsidR="00F02AEC" w:rsidRPr="00215D48" w:rsidRDefault="00F02AEC" w:rsidP="001B2E61">
      <w:pPr>
        <w:pStyle w:val="NonTOCheading2"/>
      </w:pPr>
      <w:bookmarkStart w:id="89" w:name="_Toc158650280"/>
      <w:r w:rsidRPr="00215D48">
        <w:lastRenderedPageBreak/>
        <w:t>Version history</w:t>
      </w:r>
      <w:bookmarkEnd w:id="89"/>
    </w:p>
    <w:tbl>
      <w:tblPr>
        <w:tblStyle w:val="TGABlack2023"/>
        <w:tblW w:w="9038" w:type="dxa"/>
        <w:tblLayout w:type="fixed"/>
        <w:tblLook w:val="04A0" w:firstRow="1" w:lastRow="0" w:firstColumn="1" w:lastColumn="0" w:noHBand="0" w:noVBand="1"/>
      </w:tblPr>
      <w:tblGrid>
        <w:gridCol w:w="1276"/>
        <w:gridCol w:w="3242"/>
        <w:gridCol w:w="2712"/>
        <w:gridCol w:w="1808"/>
      </w:tblGrid>
      <w:tr w:rsidR="00F02AEC" w:rsidRPr="00215D48" w14:paraId="24404BAA" w14:textId="77777777" w:rsidTr="00FA49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7FFC6037" w14:textId="77777777" w:rsidR="00F02AEC" w:rsidRPr="00215D48" w:rsidRDefault="00F02AEC" w:rsidP="001B2E61">
            <w:r w:rsidRPr="00215D48">
              <w:t>Version</w:t>
            </w:r>
          </w:p>
        </w:tc>
        <w:tc>
          <w:tcPr>
            <w:tcW w:w="3242" w:type="dxa"/>
          </w:tcPr>
          <w:p w14:paraId="10041D36" w14:textId="77777777" w:rsidR="00F02AEC" w:rsidRPr="00215D48" w:rsidRDefault="00F02AEC" w:rsidP="001B2E61">
            <w:pPr>
              <w:cnfStyle w:val="100000000000" w:firstRow="1" w:lastRow="0" w:firstColumn="0" w:lastColumn="0" w:oddVBand="0" w:evenVBand="0" w:oddHBand="0" w:evenHBand="0" w:firstRowFirstColumn="0" w:firstRowLastColumn="0" w:lastRowFirstColumn="0" w:lastRowLastColumn="0"/>
            </w:pPr>
            <w:r w:rsidRPr="00215D48">
              <w:t>Description of change</w:t>
            </w:r>
          </w:p>
        </w:tc>
        <w:tc>
          <w:tcPr>
            <w:tcW w:w="2712" w:type="dxa"/>
          </w:tcPr>
          <w:p w14:paraId="08E16495" w14:textId="77777777" w:rsidR="00F02AEC" w:rsidRPr="00215D48" w:rsidRDefault="00F02AEC" w:rsidP="001B2E61">
            <w:pPr>
              <w:cnfStyle w:val="100000000000" w:firstRow="1" w:lastRow="0" w:firstColumn="0" w:lastColumn="0" w:oddVBand="0" w:evenVBand="0" w:oddHBand="0" w:evenHBand="0" w:firstRowFirstColumn="0" w:firstRowLastColumn="0" w:lastRowFirstColumn="0" w:lastRowLastColumn="0"/>
            </w:pPr>
            <w:r w:rsidRPr="00215D48">
              <w:t>Author</w:t>
            </w:r>
          </w:p>
        </w:tc>
        <w:tc>
          <w:tcPr>
            <w:tcW w:w="1808" w:type="dxa"/>
          </w:tcPr>
          <w:p w14:paraId="49DC51F0" w14:textId="77777777" w:rsidR="00F02AEC" w:rsidRPr="00215D48" w:rsidRDefault="00F02AEC" w:rsidP="001B2E61">
            <w:pPr>
              <w:cnfStyle w:val="100000000000" w:firstRow="1" w:lastRow="0" w:firstColumn="0" w:lastColumn="0" w:oddVBand="0" w:evenVBand="0" w:oddHBand="0" w:evenHBand="0" w:firstRowFirstColumn="0" w:firstRowLastColumn="0" w:lastRowFirstColumn="0" w:lastRowLastColumn="0"/>
            </w:pPr>
            <w:r w:rsidRPr="00215D48">
              <w:t>Effective date</w:t>
            </w:r>
          </w:p>
        </w:tc>
      </w:tr>
      <w:tr w:rsidR="00F02AEC" w:rsidRPr="00215D48" w14:paraId="02D81676" w14:textId="77777777" w:rsidTr="00FA49C3">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51A38CAD" w14:textId="77777777" w:rsidR="00F02AEC" w:rsidRPr="001E5C51" w:rsidRDefault="00F02AEC" w:rsidP="001B2E61">
            <w:pPr>
              <w:rPr>
                <w:rFonts w:cs="Arial"/>
                <w:sz w:val="20"/>
                <w:szCs w:val="20"/>
              </w:rPr>
            </w:pPr>
            <w:r w:rsidRPr="001E5C51">
              <w:rPr>
                <w:rFonts w:cs="Arial"/>
                <w:sz w:val="20"/>
                <w:szCs w:val="20"/>
              </w:rPr>
              <w:t>V1.0</w:t>
            </w:r>
          </w:p>
        </w:tc>
        <w:tc>
          <w:tcPr>
            <w:tcW w:w="3242" w:type="dxa"/>
          </w:tcPr>
          <w:p w14:paraId="0A58B379" w14:textId="77777777" w:rsidR="00F02AEC" w:rsidRPr="001E5C51" w:rsidRDefault="00F02AEC" w:rsidP="001B2E61">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1E5C51">
              <w:rPr>
                <w:rFonts w:cs="Arial"/>
                <w:sz w:val="20"/>
                <w:szCs w:val="20"/>
              </w:rPr>
              <w:t>Original publication</w:t>
            </w:r>
          </w:p>
        </w:tc>
        <w:tc>
          <w:tcPr>
            <w:tcW w:w="2712" w:type="dxa"/>
          </w:tcPr>
          <w:p w14:paraId="07E9EEA5" w14:textId="41BFDC04" w:rsidR="00F02AEC" w:rsidRPr="001E5C51" w:rsidRDefault="00ED4175" w:rsidP="001B2E61">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1E5C51">
              <w:rPr>
                <w:rFonts w:cs="Arial"/>
                <w:sz w:val="20"/>
                <w:szCs w:val="20"/>
              </w:rPr>
              <w:t>Medical Devices Branch</w:t>
            </w:r>
          </w:p>
        </w:tc>
        <w:tc>
          <w:tcPr>
            <w:tcW w:w="1808" w:type="dxa"/>
          </w:tcPr>
          <w:p w14:paraId="3474E092" w14:textId="1BFB14A9" w:rsidR="00F02AEC" w:rsidRPr="001E5C51" w:rsidRDefault="00ED4175" w:rsidP="001B2E61">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1E5C51">
              <w:rPr>
                <w:rFonts w:cs="Arial"/>
                <w:sz w:val="20"/>
                <w:szCs w:val="20"/>
              </w:rPr>
              <w:t>December 2019</w:t>
            </w:r>
          </w:p>
        </w:tc>
      </w:tr>
      <w:tr w:rsidR="00ED4175" w:rsidRPr="00215D48" w14:paraId="7207F528" w14:textId="77777777" w:rsidTr="00FA49C3">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424ADB78" w14:textId="4E2EA3AF" w:rsidR="00ED4175" w:rsidRPr="001E5C51" w:rsidRDefault="00ED4175" w:rsidP="001B2E61">
            <w:pPr>
              <w:rPr>
                <w:rFonts w:cs="Arial"/>
                <w:sz w:val="20"/>
                <w:szCs w:val="20"/>
              </w:rPr>
            </w:pPr>
            <w:r w:rsidRPr="001E5C51">
              <w:rPr>
                <w:rFonts w:cs="Arial"/>
                <w:sz w:val="20"/>
                <w:szCs w:val="20"/>
              </w:rPr>
              <w:t>V1.1</w:t>
            </w:r>
          </w:p>
        </w:tc>
        <w:tc>
          <w:tcPr>
            <w:tcW w:w="3242" w:type="dxa"/>
          </w:tcPr>
          <w:p w14:paraId="4CD27478" w14:textId="7284AB80" w:rsidR="00ED4175" w:rsidRPr="001E5C51" w:rsidRDefault="00ED4175" w:rsidP="001B2E61">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1E5C51">
              <w:rPr>
                <w:rFonts w:cs="Arial"/>
                <w:sz w:val="20"/>
                <w:szCs w:val="20"/>
              </w:rPr>
              <w:t>Reference to ‘proposed’ removed post approval of regulatory amendments</w:t>
            </w:r>
          </w:p>
        </w:tc>
        <w:tc>
          <w:tcPr>
            <w:tcW w:w="2712" w:type="dxa"/>
          </w:tcPr>
          <w:p w14:paraId="40CAEC52" w14:textId="0A80AB67" w:rsidR="00ED4175" w:rsidRPr="001E5C51" w:rsidRDefault="00ED4175" w:rsidP="001B2E61">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1E5C51">
              <w:rPr>
                <w:rFonts w:cs="Arial"/>
                <w:sz w:val="20"/>
                <w:szCs w:val="20"/>
              </w:rPr>
              <w:t>Medical Devices Branch</w:t>
            </w:r>
          </w:p>
        </w:tc>
        <w:tc>
          <w:tcPr>
            <w:tcW w:w="1808" w:type="dxa"/>
          </w:tcPr>
          <w:p w14:paraId="43D8DFA1" w14:textId="21287E56" w:rsidR="00ED4175" w:rsidRPr="001E5C51" w:rsidRDefault="00ED4175" w:rsidP="001B2E61">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1E5C51">
              <w:rPr>
                <w:rFonts w:cs="Arial"/>
                <w:sz w:val="20"/>
                <w:szCs w:val="20"/>
              </w:rPr>
              <w:t>February 2020</w:t>
            </w:r>
          </w:p>
        </w:tc>
      </w:tr>
      <w:tr w:rsidR="00ED4175" w:rsidRPr="00215D48" w14:paraId="24CDCD8F" w14:textId="77777777" w:rsidTr="00FA49C3">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7FA4FF2B" w14:textId="636DB760" w:rsidR="00ED4175" w:rsidRPr="001E5C51" w:rsidRDefault="00ED4175" w:rsidP="001B2E61">
            <w:pPr>
              <w:rPr>
                <w:rFonts w:cs="Arial"/>
                <w:sz w:val="20"/>
                <w:szCs w:val="20"/>
              </w:rPr>
            </w:pPr>
            <w:r w:rsidRPr="001E5C51">
              <w:rPr>
                <w:rFonts w:cs="Arial"/>
                <w:sz w:val="20"/>
                <w:szCs w:val="20"/>
              </w:rPr>
              <w:t>V1.2</w:t>
            </w:r>
          </w:p>
        </w:tc>
        <w:tc>
          <w:tcPr>
            <w:tcW w:w="3242" w:type="dxa"/>
          </w:tcPr>
          <w:p w14:paraId="77DE0BFB" w14:textId="2C115BF9" w:rsidR="00ED4175" w:rsidRPr="001E5C51" w:rsidRDefault="00ED4175" w:rsidP="001B2E61">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1E5C51">
              <w:rPr>
                <w:rFonts w:cs="Arial"/>
                <w:sz w:val="20"/>
                <w:szCs w:val="20"/>
              </w:rPr>
              <w:t>Update to reflect the extension in transition arrangements to 26 May 2026 for IVD companion diagnostics</w:t>
            </w:r>
          </w:p>
        </w:tc>
        <w:tc>
          <w:tcPr>
            <w:tcW w:w="2712" w:type="dxa"/>
          </w:tcPr>
          <w:p w14:paraId="1C7E83A9" w14:textId="2B1A4EE8" w:rsidR="00ED4175" w:rsidRPr="001E5C51" w:rsidRDefault="00ED4175" w:rsidP="001B2E61">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1E5C51">
              <w:rPr>
                <w:rFonts w:cs="Arial"/>
                <w:sz w:val="20"/>
                <w:szCs w:val="20"/>
              </w:rPr>
              <w:t xml:space="preserve">Medical Devices </w:t>
            </w:r>
            <w:r w:rsidR="006E5DF1">
              <w:rPr>
                <w:rFonts w:cs="Arial"/>
                <w:sz w:val="20"/>
                <w:szCs w:val="20"/>
              </w:rPr>
              <w:t xml:space="preserve">Authorisation </w:t>
            </w:r>
            <w:r w:rsidRPr="001E5C51">
              <w:rPr>
                <w:rFonts w:cs="Arial"/>
                <w:sz w:val="20"/>
                <w:szCs w:val="20"/>
              </w:rPr>
              <w:t>Branch</w:t>
            </w:r>
          </w:p>
        </w:tc>
        <w:tc>
          <w:tcPr>
            <w:tcW w:w="1808" w:type="dxa"/>
          </w:tcPr>
          <w:p w14:paraId="3C8DBE64" w14:textId="3AC1FFA6" w:rsidR="00ED4175" w:rsidRPr="001E5C51" w:rsidRDefault="00ED4175" w:rsidP="001B2E61">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1E5C51">
              <w:rPr>
                <w:rFonts w:cs="Arial"/>
                <w:sz w:val="20"/>
                <w:szCs w:val="20"/>
              </w:rPr>
              <w:t>October 2022</w:t>
            </w:r>
          </w:p>
        </w:tc>
      </w:tr>
      <w:tr w:rsidR="00ED4175" w:rsidRPr="00215D48" w14:paraId="78EC9BB6" w14:textId="77777777" w:rsidTr="00FA49C3">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19E156C2" w14:textId="54465735" w:rsidR="00ED4175" w:rsidRPr="001E5C51" w:rsidRDefault="00ED4175" w:rsidP="001B2E61">
            <w:pPr>
              <w:rPr>
                <w:rFonts w:cs="Arial"/>
                <w:sz w:val="20"/>
                <w:szCs w:val="20"/>
              </w:rPr>
            </w:pPr>
            <w:r w:rsidRPr="001E5C51">
              <w:rPr>
                <w:rFonts w:cs="Arial"/>
                <w:sz w:val="20"/>
                <w:szCs w:val="20"/>
              </w:rPr>
              <w:t>V1.3</w:t>
            </w:r>
          </w:p>
        </w:tc>
        <w:tc>
          <w:tcPr>
            <w:tcW w:w="3242" w:type="dxa"/>
          </w:tcPr>
          <w:p w14:paraId="74CA146F" w14:textId="2F071A46" w:rsidR="00ED4175" w:rsidRPr="001E5C51" w:rsidRDefault="00ED4175" w:rsidP="005144F9">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1E5C51">
              <w:rPr>
                <w:rFonts w:cs="Arial"/>
                <w:sz w:val="20"/>
                <w:szCs w:val="20"/>
              </w:rPr>
              <w:t xml:space="preserve">Updated </w:t>
            </w:r>
            <w:r w:rsidR="00B32C79" w:rsidRPr="001E5C51">
              <w:rPr>
                <w:rFonts w:cs="Arial"/>
                <w:sz w:val="20"/>
                <w:szCs w:val="20"/>
              </w:rPr>
              <w:t xml:space="preserve">guidance to </w:t>
            </w:r>
            <w:proofErr w:type="gramStart"/>
            <w:r w:rsidR="00B32C79" w:rsidRPr="001E5C51">
              <w:rPr>
                <w:rFonts w:cs="Arial"/>
                <w:sz w:val="20"/>
                <w:szCs w:val="20"/>
              </w:rPr>
              <w:t>include</w:t>
            </w:r>
            <w:r w:rsidR="005144F9">
              <w:rPr>
                <w:rFonts w:cs="Arial"/>
                <w:sz w:val="20"/>
                <w:szCs w:val="20"/>
              </w:rPr>
              <w:t>:</w:t>
            </w:r>
            <w:proofErr w:type="gramEnd"/>
            <w:r w:rsidR="005144F9">
              <w:rPr>
                <w:rFonts w:cs="Arial"/>
                <w:sz w:val="20"/>
                <w:szCs w:val="20"/>
              </w:rPr>
              <w:t xml:space="preserve"> C</w:t>
            </w:r>
            <w:r w:rsidR="00B32C79" w:rsidRPr="001E5C51">
              <w:rPr>
                <w:rFonts w:cs="Arial"/>
                <w:sz w:val="20"/>
                <w:szCs w:val="20"/>
              </w:rPr>
              <w:t>ompanion diagnostic identification guide</w:t>
            </w:r>
            <w:r w:rsidR="005144F9">
              <w:rPr>
                <w:rFonts w:cs="Arial"/>
                <w:sz w:val="20"/>
                <w:szCs w:val="20"/>
              </w:rPr>
              <w:t>, C</w:t>
            </w:r>
            <w:r w:rsidR="00B32C79" w:rsidRPr="001E5C51">
              <w:rPr>
                <w:rFonts w:cs="Arial"/>
                <w:sz w:val="20"/>
                <w:szCs w:val="20"/>
              </w:rPr>
              <w:t>ase studies</w:t>
            </w:r>
            <w:r w:rsidR="005144F9">
              <w:rPr>
                <w:rFonts w:cs="Arial"/>
                <w:sz w:val="20"/>
                <w:szCs w:val="20"/>
              </w:rPr>
              <w:t xml:space="preserve"> and p</w:t>
            </w:r>
            <w:r w:rsidR="00134E0E" w:rsidRPr="001E5C51">
              <w:rPr>
                <w:rFonts w:cs="Arial"/>
                <w:sz w:val="20"/>
                <w:szCs w:val="20"/>
              </w:rPr>
              <w:t xml:space="preserve">erformance requirements </w:t>
            </w:r>
            <w:r w:rsidR="00C81EA2" w:rsidRPr="001E5C51">
              <w:rPr>
                <w:rFonts w:cs="Arial"/>
                <w:sz w:val="20"/>
                <w:szCs w:val="20"/>
              </w:rPr>
              <w:t xml:space="preserve">and </w:t>
            </w:r>
            <w:r w:rsidR="00B32C79" w:rsidRPr="001E5C51">
              <w:rPr>
                <w:rFonts w:cs="Arial"/>
                <w:sz w:val="20"/>
                <w:szCs w:val="20"/>
              </w:rPr>
              <w:t xml:space="preserve">further clarity on regulatory </w:t>
            </w:r>
            <w:r w:rsidR="00C81EA2" w:rsidRPr="001E5C51">
              <w:rPr>
                <w:rFonts w:cs="Arial"/>
                <w:sz w:val="20"/>
                <w:szCs w:val="20"/>
              </w:rPr>
              <w:t>requirements</w:t>
            </w:r>
          </w:p>
        </w:tc>
        <w:tc>
          <w:tcPr>
            <w:tcW w:w="2712" w:type="dxa"/>
          </w:tcPr>
          <w:p w14:paraId="077EDCDD" w14:textId="50BDB00D" w:rsidR="00ED4175" w:rsidRPr="001E5C51" w:rsidRDefault="00ED4175" w:rsidP="001B2E61">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1E5C51">
              <w:rPr>
                <w:rFonts w:cs="Arial"/>
                <w:sz w:val="20"/>
                <w:szCs w:val="20"/>
              </w:rPr>
              <w:t xml:space="preserve">Medical Devices </w:t>
            </w:r>
            <w:r w:rsidR="00F27048">
              <w:rPr>
                <w:rFonts w:cs="Arial"/>
                <w:sz w:val="20"/>
                <w:szCs w:val="20"/>
              </w:rPr>
              <w:t xml:space="preserve">Authorisation </w:t>
            </w:r>
            <w:r w:rsidRPr="001E5C51">
              <w:rPr>
                <w:rFonts w:cs="Arial"/>
                <w:sz w:val="20"/>
                <w:szCs w:val="20"/>
              </w:rPr>
              <w:t>Branch</w:t>
            </w:r>
          </w:p>
        </w:tc>
        <w:tc>
          <w:tcPr>
            <w:tcW w:w="1808" w:type="dxa"/>
          </w:tcPr>
          <w:p w14:paraId="28EBCB8D" w14:textId="76D2A9DD" w:rsidR="00ED4175" w:rsidRPr="001E5C51" w:rsidRDefault="005144F9" w:rsidP="001B2E61">
            <w:pP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March</w:t>
            </w:r>
            <w:r w:rsidR="00D33732">
              <w:rPr>
                <w:rFonts w:cs="Arial"/>
                <w:sz w:val="20"/>
                <w:szCs w:val="20"/>
              </w:rPr>
              <w:t xml:space="preserve"> </w:t>
            </w:r>
            <w:r w:rsidR="00B270CC">
              <w:rPr>
                <w:rFonts w:cs="Arial"/>
                <w:sz w:val="20"/>
                <w:szCs w:val="20"/>
              </w:rPr>
              <w:t>2024</w:t>
            </w:r>
          </w:p>
        </w:tc>
      </w:tr>
    </w:tbl>
    <w:p w14:paraId="36E2630B" w14:textId="77777777" w:rsidR="00F02AEC" w:rsidRPr="00215D48" w:rsidRDefault="00F02AEC" w:rsidP="001B2E61">
      <w:pPr>
        <w:spacing w:after="0" w:line="240" w:lineRule="auto"/>
        <w:sectPr w:rsidR="00F02AEC" w:rsidRPr="00215D48" w:rsidSect="000F4BBD">
          <w:headerReference w:type="default" r:id="rId50"/>
          <w:pgSz w:w="11906" w:h="16838" w:code="9"/>
          <w:pgMar w:top="1134" w:right="1418" w:bottom="1361"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F02AEC" w:rsidRPr="00215D48" w14:paraId="2A422509" w14:textId="77777777" w:rsidTr="001B2E61">
        <w:trPr>
          <w:trHeight w:hRule="exact" w:val="565"/>
          <w:jc w:val="center"/>
        </w:trPr>
        <w:tc>
          <w:tcPr>
            <w:tcW w:w="9145" w:type="dxa"/>
          </w:tcPr>
          <w:p w14:paraId="25FE5CFD" w14:textId="77777777" w:rsidR="00F02AEC" w:rsidRPr="00215D48" w:rsidRDefault="00F02AEC" w:rsidP="001B2E61">
            <w:pPr>
              <w:pStyle w:val="TGASignoff"/>
            </w:pPr>
            <w:r w:rsidRPr="00215D48">
              <w:lastRenderedPageBreak/>
              <w:t>Therapeutic Goods Administration</w:t>
            </w:r>
          </w:p>
        </w:tc>
      </w:tr>
      <w:tr w:rsidR="00F02AEC" w:rsidRPr="00215D48" w14:paraId="65BB3CAE" w14:textId="77777777" w:rsidTr="001B2E61">
        <w:trPr>
          <w:trHeight w:val="963"/>
          <w:jc w:val="center"/>
        </w:trPr>
        <w:tc>
          <w:tcPr>
            <w:tcW w:w="9145" w:type="dxa"/>
            <w:tcMar>
              <w:top w:w="28" w:type="dxa"/>
            </w:tcMar>
          </w:tcPr>
          <w:p w14:paraId="46939CEA" w14:textId="77777777" w:rsidR="00F02AEC" w:rsidRPr="00215D48" w:rsidRDefault="00F02AEC" w:rsidP="001B2E61">
            <w:pPr>
              <w:pStyle w:val="Address"/>
              <w:jc w:val="center"/>
            </w:pPr>
            <w:r w:rsidRPr="00215D48">
              <w:t>PO Box 100 Woden ACT 2606 Australia</w:t>
            </w:r>
          </w:p>
          <w:p w14:paraId="27F7A443" w14:textId="77777777" w:rsidR="00F02AEC" w:rsidRDefault="00F02AEC">
            <w:pPr>
              <w:pStyle w:val="Address"/>
              <w:jc w:val="center"/>
              <w:rPr>
                <w:sz w:val="22"/>
                <w:szCs w:val="22"/>
              </w:rPr>
            </w:pPr>
            <w:r w:rsidRPr="00215D48">
              <w:t xml:space="preserve">Email: </w:t>
            </w:r>
            <w:hyperlink r:id="rId51" w:history="1">
              <w:r w:rsidRPr="00215D48">
                <w:rPr>
                  <w:rStyle w:val="Hyperlink"/>
                </w:rPr>
                <w:t>info@tga.gov.au</w:t>
              </w:r>
            </w:hyperlink>
            <w:r w:rsidRPr="00215D48">
              <w:t xml:space="preserve">  Phone: 1800 020 </w:t>
            </w:r>
            <w:proofErr w:type="gramStart"/>
            <w:r w:rsidRPr="00215D48">
              <w:t>653  Fax</w:t>
            </w:r>
            <w:proofErr w:type="gramEnd"/>
            <w:r w:rsidRPr="00215D48">
              <w:t xml:space="preserve">: </w:t>
            </w:r>
            <w:r w:rsidRPr="00BA0DFC">
              <w:t>02 6203 1605</w:t>
            </w:r>
          </w:p>
          <w:p w14:paraId="62655D5A" w14:textId="77777777" w:rsidR="00F02AEC" w:rsidRPr="00215D48" w:rsidRDefault="00000000">
            <w:pPr>
              <w:pStyle w:val="Address"/>
              <w:jc w:val="center"/>
              <w:rPr>
                <w:rStyle w:val="Hyperlink"/>
                <w:b/>
                <w:color w:val="auto"/>
                <w:sz w:val="22"/>
              </w:rPr>
            </w:pPr>
            <w:hyperlink r:id="rId52" w:history="1">
              <w:r w:rsidR="00F02AEC" w:rsidRPr="00C4721A">
                <w:rPr>
                  <w:rStyle w:val="Hyperlink"/>
                  <w:b/>
                </w:rPr>
                <w:t>https://www.tga.gov.au</w:t>
              </w:r>
            </w:hyperlink>
          </w:p>
        </w:tc>
      </w:tr>
      <w:tr w:rsidR="00F02AEC" w:rsidRPr="00215D48" w14:paraId="213E5BE9" w14:textId="77777777" w:rsidTr="001B2E61">
        <w:trPr>
          <w:trHeight w:val="251"/>
          <w:jc w:val="center"/>
        </w:trPr>
        <w:tc>
          <w:tcPr>
            <w:tcW w:w="9145" w:type="dxa"/>
            <w:tcMar>
              <w:top w:w="28" w:type="dxa"/>
            </w:tcMar>
          </w:tcPr>
          <w:p w14:paraId="5B13CA22" w14:textId="77777777" w:rsidR="00F02AEC" w:rsidRPr="00215D48" w:rsidRDefault="00F02AEC" w:rsidP="001B2E61">
            <w:pPr>
              <w:pStyle w:val="Address"/>
              <w:jc w:val="center"/>
            </w:pPr>
            <w:r w:rsidRPr="00215D48">
              <w:t>Reference/Publication #</w:t>
            </w:r>
          </w:p>
        </w:tc>
      </w:tr>
    </w:tbl>
    <w:p w14:paraId="17D06F16" w14:textId="77777777" w:rsidR="001B2E61" w:rsidRDefault="001B2E61"/>
    <w:sectPr w:rsidR="001B2E61" w:rsidSect="000F4BBD">
      <w:headerReference w:type="first" r:id="rId53"/>
      <w:footerReference w:type="first" r:id="rId54"/>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99DE4" w14:textId="77777777" w:rsidR="001F3312" w:rsidRDefault="001F3312" w:rsidP="00F02AEC">
      <w:pPr>
        <w:spacing w:after="0" w:line="240" w:lineRule="auto"/>
      </w:pPr>
      <w:r>
        <w:separator/>
      </w:r>
    </w:p>
  </w:endnote>
  <w:endnote w:type="continuationSeparator" w:id="0">
    <w:p w14:paraId="4A1A8222" w14:textId="77777777" w:rsidR="001F3312" w:rsidRDefault="001F3312" w:rsidP="00F02AEC">
      <w:pPr>
        <w:spacing w:after="0" w:line="240" w:lineRule="auto"/>
      </w:pPr>
      <w:r>
        <w:continuationSeparator/>
      </w:r>
    </w:p>
  </w:endnote>
  <w:endnote w:type="continuationNotice" w:id="1">
    <w:p w14:paraId="58944DE1" w14:textId="77777777" w:rsidR="001F3312" w:rsidRDefault="001F33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BF6F1F" w:rsidRPr="00257138" w14:paraId="21042669" w14:textId="77777777" w:rsidTr="001B2E61">
      <w:trPr>
        <w:trHeight w:val="423"/>
      </w:trPr>
      <w:tc>
        <w:tcPr>
          <w:tcW w:w="4360" w:type="dxa"/>
          <w:tcBorders>
            <w:top w:val="single" w:sz="4" w:space="0" w:color="auto"/>
          </w:tcBorders>
        </w:tcPr>
        <w:p w14:paraId="7D09A1F8" w14:textId="77777777" w:rsidR="00BF6F1F" w:rsidRDefault="00BF6F1F" w:rsidP="001B2E61">
          <w:pPr>
            <w:pStyle w:val="Footer"/>
          </w:pPr>
        </w:p>
        <w:p w14:paraId="7597B41B" w14:textId="2D55FABE" w:rsidR="00BF6F1F" w:rsidRPr="00257138" w:rsidRDefault="00201E13" w:rsidP="001B2E61">
          <w:pPr>
            <w:pStyle w:val="Footer"/>
          </w:pPr>
          <w:r>
            <w:t>IVD companion diagnostics (</w:t>
          </w:r>
          <w:proofErr w:type="spellStart"/>
          <w:r>
            <w:t>CDx</w:t>
          </w:r>
          <w:proofErr w:type="spellEnd"/>
          <w:r>
            <w:t>)</w:t>
          </w:r>
        </w:p>
      </w:tc>
      <w:tc>
        <w:tcPr>
          <w:tcW w:w="4360" w:type="dxa"/>
          <w:tcBorders>
            <w:top w:val="single" w:sz="4" w:space="0" w:color="auto"/>
          </w:tcBorders>
        </w:tcPr>
        <w:sdt>
          <w:sdtPr>
            <w:id w:val="1087729233"/>
            <w:docPartObj>
              <w:docPartGallery w:val="Page Numbers (Top of Page)"/>
              <w:docPartUnique/>
            </w:docPartObj>
          </w:sdtPr>
          <w:sdtContent>
            <w:p w14:paraId="57E56A51" w14:textId="77777777" w:rsidR="00BF6F1F" w:rsidRDefault="00BF6F1F" w:rsidP="001B2E61">
              <w:pPr>
                <w:pStyle w:val="Footer"/>
                <w:jc w:val="right"/>
              </w:pPr>
            </w:p>
            <w:p w14:paraId="172C7EAB" w14:textId="77777777" w:rsidR="00BF6F1F" w:rsidRPr="00257138" w:rsidRDefault="00BF6F1F" w:rsidP="001B2E61">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r>
                <w:fldChar w:fldCharType="begin"/>
              </w:r>
              <w:r>
                <w:instrText>NUMPAGES</w:instrText>
              </w:r>
              <w:r>
                <w:fldChar w:fldCharType="separate"/>
              </w:r>
              <w:r>
                <w:rPr>
                  <w:noProof/>
                </w:rPr>
                <w:t>2</w:t>
              </w:r>
              <w:r>
                <w:fldChar w:fldCharType="end"/>
              </w:r>
            </w:p>
          </w:sdtContent>
        </w:sdt>
      </w:tc>
    </w:tr>
    <w:tr w:rsidR="00BF6F1F" w:rsidRPr="00257138" w14:paraId="2855D643" w14:textId="77777777" w:rsidTr="001B2E61">
      <w:trPr>
        <w:trHeight w:val="263"/>
      </w:trPr>
      <w:tc>
        <w:tcPr>
          <w:tcW w:w="4360" w:type="dxa"/>
        </w:tcPr>
        <w:p w14:paraId="37425E24" w14:textId="2E72C186" w:rsidR="00BF6F1F" w:rsidRPr="00257138" w:rsidRDefault="00BF6F1F" w:rsidP="001B2E61">
          <w:pPr>
            <w:pStyle w:val="Footer"/>
          </w:pPr>
          <w:r w:rsidRPr="00257138">
            <w:t>V1.</w:t>
          </w:r>
          <w:r w:rsidR="00201E13">
            <w:t>3</w:t>
          </w:r>
          <w:r w:rsidR="00201E13" w:rsidRPr="00257138">
            <w:t xml:space="preserve"> </w:t>
          </w:r>
          <w:r w:rsidR="006246E2">
            <w:t>March</w:t>
          </w:r>
          <w:r w:rsidR="00F810AC">
            <w:t xml:space="preserve"> 2024</w:t>
          </w:r>
        </w:p>
      </w:tc>
      <w:tc>
        <w:tcPr>
          <w:tcW w:w="4360" w:type="dxa"/>
        </w:tcPr>
        <w:p w14:paraId="0822564F" w14:textId="77777777" w:rsidR="00BF6F1F" w:rsidRPr="00257138" w:rsidRDefault="00BF6F1F" w:rsidP="001B2E61">
          <w:pPr>
            <w:pStyle w:val="Footer"/>
            <w:jc w:val="right"/>
          </w:pPr>
        </w:p>
      </w:tc>
    </w:tr>
  </w:tbl>
  <w:p w14:paraId="00099FB6" w14:textId="77777777" w:rsidR="00BF6F1F" w:rsidRPr="00826007" w:rsidRDefault="00BF6F1F" w:rsidP="001B2E61">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4F81F" w14:textId="77777777" w:rsidR="00BF6F1F" w:rsidRDefault="00BF6F1F" w:rsidP="001B2E61">
    <w:pPr>
      <w:pStyle w:val="Footer"/>
      <w:ind w:left="-1701"/>
    </w:pPr>
    <w:r w:rsidRPr="002B29B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5EDC2" w14:textId="77777777" w:rsidR="001B2E61" w:rsidRPr="008E3C43" w:rsidRDefault="001B2E61" w:rsidP="001B2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7B4FB" w14:textId="77777777" w:rsidR="001F3312" w:rsidRDefault="001F3312" w:rsidP="00F02AEC">
      <w:pPr>
        <w:spacing w:after="0" w:line="240" w:lineRule="auto"/>
      </w:pPr>
      <w:r>
        <w:separator/>
      </w:r>
    </w:p>
  </w:footnote>
  <w:footnote w:type="continuationSeparator" w:id="0">
    <w:p w14:paraId="045081FF" w14:textId="77777777" w:rsidR="001F3312" w:rsidRDefault="001F3312" w:rsidP="00F02AEC">
      <w:pPr>
        <w:spacing w:after="0" w:line="240" w:lineRule="auto"/>
      </w:pPr>
      <w:r>
        <w:continuationSeparator/>
      </w:r>
    </w:p>
  </w:footnote>
  <w:footnote w:type="continuationNotice" w:id="1">
    <w:p w14:paraId="1EE37C82" w14:textId="77777777" w:rsidR="001F3312" w:rsidRDefault="001F3312">
      <w:pPr>
        <w:spacing w:after="0" w:line="240" w:lineRule="auto"/>
      </w:pPr>
    </w:p>
  </w:footnote>
  <w:footnote w:id="2">
    <w:p w14:paraId="34178AE2" w14:textId="4464C0FC" w:rsidR="00D80E95" w:rsidRPr="002F5CF0" w:rsidRDefault="00FE2E00" w:rsidP="002F5CF0">
      <w:pPr>
        <w:pStyle w:val="NoSpacing"/>
        <w:rPr>
          <w:rFonts w:ascii="Arial" w:hAnsi="Arial" w:cs="Arial"/>
        </w:rPr>
      </w:pPr>
      <w:r w:rsidRPr="00D80E95">
        <w:rPr>
          <w:rStyle w:val="footnotemark"/>
          <w:rFonts w:ascii="Arial" w:hAnsi="Arial" w:cs="Arial"/>
        </w:rPr>
        <w:footnoteRef/>
      </w:r>
      <w:r w:rsidRPr="002F5CF0">
        <w:rPr>
          <w:rFonts w:ascii="Arial" w:hAnsi="Arial" w:cs="Arial"/>
        </w:rPr>
        <w:t xml:space="preserve"> See US FDA Food and Drug Administration guideline on </w:t>
      </w:r>
      <w:hyperlink r:id="rId1">
        <w:r w:rsidRPr="002F5CF0">
          <w:rPr>
            <w:rFonts w:ascii="Arial" w:hAnsi="Arial" w:cs="Arial"/>
            <w:color w:val="0000FF"/>
            <w:u w:val="single" w:color="0000FF"/>
          </w:rPr>
          <w:t>Companion Diagnostics</w:t>
        </w:r>
      </w:hyperlink>
      <w:r w:rsidR="00D80E95" w:rsidRPr="002F5CF0">
        <w:rPr>
          <w:rFonts w:ascii="Arial" w:hAnsi="Arial" w:cs="Arial"/>
        </w:rPr>
        <w:t>; and</w:t>
      </w:r>
    </w:p>
    <w:p w14:paraId="024D012D" w14:textId="5028D538" w:rsidR="00D80E95" w:rsidRPr="002F5CF0" w:rsidRDefault="00D80E95" w:rsidP="002F5CF0">
      <w:pPr>
        <w:pStyle w:val="NoSpacing"/>
        <w:rPr>
          <w:rFonts w:ascii="Arial" w:hAnsi="Arial" w:cs="Arial"/>
        </w:rPr>
      </w:pPr>
      <w:r>
        <w:rPr>
          <w:rFonts w:ascii="Arial" w:hAnsi="Arial" w:cs="Arial"/>
        </w:rPr>
        <w:t xml:space="preserve">Clause 7 Article 2 of the EU IVDR, 2017-746 on </w:t>
      </w:r>
      <w:hyperlink r:id="rId2" w:history="1">
        <w:r w:rsidRPr="00D80E95">
          <w:rPr>
            <w:rStyle w:val="Hyperlink"/>
            <w:rFonts w:cs="Arial"/>
          </w:rPr>
          <w:t>Companion Diagnostic</w:t>
        </w:r>
      </w:hyperlink>
      <w:r>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03872" w14:textId="77777777" w:rsidR="00BF6F1F" w:rsidRPr="00CB0550" w:rsidRDefault="00BF6F1F" w:rsidP="00CB0550">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BF6F1F" w:rsidRPr="002B29B2" w14:paraId="44250D77" w14:textId="77777777" w:rsidTr="001B2E61">
      <w:trPr>
        <w:trHeight w:hRule="exact" w:val="8845"/>
      </w:trPr>
      <w:tc>
        <w:tcPr>
          <w:tcW w:w="11964" w:type="dxa"/>
          <w:vAlign w:val="center"/>
        </w:tcPr>
        <w:p w14:paraId="295F329A" w14:textId="77777777" w:rsidR="00BF6F1F" w:rsidRPr="002B29B2" w:rsidRDefault="00000000" w:rsidP="001B2E61">
          <w:pPr>
            <w:ind w:left="-57"/>
            <w:rPr>
              <w:noProof/>
            </w:rPr>
          </w:pPr>
          <w:sdt>
            <w:sdtPr>
              <w:rPr>
                <w:noProof/>
              </w:rPr>
              <w:id w:val="1926993388"/>
              <w:showingPlcHdr/>
              <w:picture/>
            </w:sdtPr>
            <w:sdtContent>
              <w:r w:rsidR="00BF6F1F" w:rsidRPr="00F71E1E">
                <w:rPr>
                  <w:noProof/>
                </w:rPr>
                <w:drawing>
                  <wp:inline distT="0" distB="0" distL="0" distR="0" wp14:anchorId="6E19DFE1" wp14:editId="71AEB4F2">
                    <wp:extent cx="7631430" cy="5523865"/>
                    <wp:effectExtent l="0" t="0" r="762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1"/>
                            <pic:cNvPicPr>
                              <a:picLocks noChangeAspect="1" noChangeArrowheads="1"/>
                            </pic:cNvPicPr>
                          </pic:nvPicPr>
                          <pic:blipFill>
                            <a:blip r:embed="rId1" cstate="print"/>
                            <a:srcRect/>
                            <a:stretch>
                              <a:fillRect/>
                            </a:stretch>
                          </pic:blipFill>
                          <pic:spPr bwMode="auto">
                            <a:xfrm>
                              <a:off x="0" y="0"/>
                              <a:ext cx="7631430" cy="5523865"/>
                            </a:xfrm>
                            <a:prstGeom prst="rect">
                              <a:avLst/>
                            </a:prstGeom>
                            <a:noFill/>
                            <a:ln w="9525">
                              <a:noFill/>
                              <a:miter lim="800000"/>
                              <a:headEnd/>
                              <a:tailEnd/>
                            </a:ln>
                          </pic:spPr>
                        </pic:pic>
                      </a:graphicData>
                    </a:graphic>
                  </wp:inline>
                </w:drawing>
              </w:r>
            </w:sdtContent>
          </w:sdt>
        </w:p>
      </w:tc>
    </w:tr>
  </w:tbl>
  <w:p w14:paraId="5C82557C" w14:textId="77777777" w:rsidR="00BF6F1F" w:rsidRDefault="00BF6F1F" w:rsidP="001B2E61">
    <w:pPr>
      <w:rPr>
        <w:noProof/>
      </w:rPr>
    </w:pPr>
    <w:r>
      <w:rPr>
        <w:noProof/>
        <w:lang w:eastAsia="en-AU"/>
      </w:rPr>
      <w:drawing>
        <wp:anchor distT="0" distB="0" distL="114300" distR="114300" simplePos="0" relativeHeight="251657728" behindDoc="0" locked="0" layoutInCell="1" allowOverlap="1" wp14:anchorId="56608BA5" wp14:editId="50DA09CA">
          <wp:simplePos x="0" y="0"/>
          <wp:positionH relativeFrom="column">
            <wp:posOffset>-400050</wp:posOffset>
          </wp:positionH>
          <wp:positionV relativeFrom="paragraph">
            <wp:posOffset>-116205</wp:posOffset>
          </wp:positionV>
          <wp:extent cx="2676525" cy="621665"/>
          <wp:effectExtent l="0" t="0" r="9525" b="698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676525" cy="6216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2B29B2">
      <w:rPr>
        <w:noProof/>
        <w:lang w:eastAsia="en-AU"/>
      </w:rPr>
      <w:drawing>
        <wp:anchor distT="0" distB="0" distL="114300" distR="114300" simplePos="0" relativeHeight="251656704" behindDoc="0" locked="0" layoutInCell="0" allowOverlap="1" wp14:anchorId="57B663D9" wp14:editId="0B215107">
          <wp:simplePos x="0" y="0"/>
          <wp:positionH relativeFrom="page">
            <wp:align>left</wp:align>
          </wp:positionH>
          <wp:positionV relativeFrom="page">
            <wp:posOffset>3239495</wp:posOffset>
          </wp:positionV>
          <wp:extent cx="7663815" cy="4323091"/>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7663815" cy="43230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51CE9" w14:textId="25D1493F" w:rsidR="00F02AEC" w:rsidRDefault="00000000" w:rsidP="001B2E61">
    <w:pPr>
      <w:pStyle w:val="Header"/>
    </w:pPr>
    <w:sdt>
      <w:sdtPr>
        <w:id w:val="1671749708"/>
        <w:docPartObj>
          <w:docPartGallery w:val="Watermarks"/>
          <w:docPartUnique/>
        </w:docPartObj>
      </w:sdtPr>
      <w:sdtContent>
        <w:r>
          <w:rPr>
            <w:noProof/>
          </w:rPr>
          <w:pict w14:anchorId="7734F0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F02AEC" w:rsidRPr="000F5176">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E72B1" w14:textId="77777777" w:rsidR="001B2E61" w:rsidRPr="00FE501F" w:rsidRDefault="001B2E61" w:rsidP="001B2E61">
    <w:pPr>
      <w:pStyle w:val="Headernoline"/>
    </w:pPr>
  </w:p>
</w:hdr>
</file>

<file path=word/intelligence2.xml><?xml version="1.0" encoding="utf-8"?>
<int2:intelligence xmlns:int2="http://schemas.microsoft.com/office/intelligence/2020/intelligence" xmlns:oel="http://schemas.microsoft.com/office/2019/extlst">
  <int2:observations>
    <int2:textHash int2:hashCode="x1DOIRsapvWhgV" int2:id="P6DD5Iel">
      <int2:state int2:value="Rejected" int2:type="AugLoop_Text_Critique"/>
    </int2:textHash>
    <int2:textHash int2:hashCode="Cy8twNclQg1Kby" int2:id="cMcgGMG5">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F1EE0"/>
    <w:multiLevelType w:val="hybridMultilevel"/>
    <w:tmpl w:val="633ED8D6"/>
    <w:lvl w:ilvl="0" w:tplc="0C09000F">
      <w:start w:val="1"/>
      <w:numFmt w:val="decimal"/>
      <w:lvlText w:val="%1."/>
      <w:lvlJc w:val="left"/>
      <w:pPr>
        <w:ind w:left="765" w:hanging="360"/>
      </w:pPr>
    </w:lvl>
    <w:lvl w:ilvl="1" w:tplc="0C090019" w:tentative="1">
      <w:start w:val="1"/>
      <w:numFmt w:val="lowerLetter"/>
      <w:lvlText w:val="%2."/>
      <w:lvlJc w:val="left"/>
      <w:pPr>
        <w:ind w:left="1485" w:hanging="360"/>
      </w:pPr>
    </w:lvl>
    <w:lvl w:ilvl="2" w:tplc="0C09001B" w:tentative="1">
      <w:start w:val="1"/>
      <w:numFmt w:val="lowerRoman"/>
      <w:lvlText w:val="%3."/>
      <w:lvlJc w:val="right"/>
      <w:pPr>
        <w:ind w:left="2205" w:hanging="180"/>
      </w:pPr>
    </w:lvl>
    <w:lvl w:ilvl="3" w:tplc="0C09000F" w:tentative="1">
      <w:start w:val="1"/>
      <w:numFmt w:val="decimal"/>
      <w:lvlText w:val="%4."/>
      <w:lvlJc w:val="left"/>
      <w:pPr>
        <w:ind w:left="2925" w:hanging="360"/>
      </w:pPr>
    </w:lvl>
    <w:lvl w:ilvl="4" w:tplc="0C090019" w:tentative="1">
      <w:start w:val="1"/>
      <w:numFmt w:val="lowerLetter"/>
      <w:lvlText w:val="%5."/>
      <w:lvlJc w:val="left"/>
      <w:pPr>
        <w:ind w:left="3645" w:hanging="360"/>
      </w:pPr>
    </w:lvl>
    <w:lvl w:ilvl="5" w:tplc="0C09001B" w:tentative="1">
      <w:start w:val="1"/>
      <w:numFmt w:val="lowerRoman"/>
      <w:lvlText w:val="%6."/>
      <w:lvlJc w:val="right"/>
      <w:pPr>
        <w:ind w:left="4365" w:hanging="180"/>
      </w:pPr>
    </w:lvl>
    <w:lvl w:ilvl="6" w:tplc="0C09000F" w:tentative="1">
      <w:start w:val="1"/>
      <w:numFmt w:val="decimal"/>
      <w:lvlText w:val="%7."/>
      <w:lvlJc w:val="left"/>
      <w:pPr>
        <w:ind w:left="5085" w:hanging="360"/>
      </w:pPr>
    </w:lvl>
    <w:lvl w:ilvl="7" w:tplc="0C090019" w:tentative="1">
      <w:start w:val="1"/>
      <w:numFmt w:val="lowerLetter"/>
      <w:lvlText w:val="%8."/>
      <w:lvlJc w:val="left"/>
      <w:pPr>
        <w:ind w:left="5805" w:hanging="360"/>
      </w:pPr>
    </w:lvl>
    <w:lvl w:ilvl="8" w:tplc="0C09001B" w:tentative="1">
      <w:start w:val="1"/>
      <w:numFmt w:val="lowerRoman"/>
      <w:lvlText w:val="%9."/>
      <w:lvlJc w:val="right"/>
      <w:pPr>
        <w:ind w:left="6525" w:hanging="180"/>
      </w:pPr>
    </w:lvl>
  </w:abstractNum>
  <w:abstractNum w:abstractNumId="1" w15:restartNumberingAfterBreak="0">
    <w:nsid w:val="069E7CE4"/>
    <w:multiLevelType w:val="hybridMultilevel"/>
    <w:tmpl w:val="34E6BFC2"/>
    <w:lvl w:ilvl="0" w:tplc="0F9E9AB2">
      <w:start w:val="1"/>
      <w:numFmt w:val="bullet"/>
      <w:lvlText w:val="•"/>
      <w:lvlJc w:val="left"/>
      <w:pPr>
        <w:ind w:left="360" w:hanging="360"/>
      </w:pPr>
      <w:rPr>
        <w:rFonts w:ascii="Cambria" w:hAnsi="Cambria" w:hint="default"/>
      </w:rPr>
    </w:lvl>
    <w:lvl w:ilvl="1" w:tplc="44AAC452">
      <w:start w:val="1"/>
      <w:numFmt w:val="bullet"/>
      <w:lvlText w:val="o"/>
      <w:lvlJc w:val="left"/>
      <w:pPr>
        <w:ind w:left="1440" w:hanging="360"/>
      </w:pPr>
      <w:rPr>
        <w:rFonts w:ascii="Courier New" w:hAnsi="Courier New" w:hint="default"/>
      </w:rPr>
    </w:lvl>
    <w:lvl w:ilvl="2" w:tplc="27E2537C">
      <w:start w:val="1"/>
      <w:numFmt w:val="bullet"/>
      <w:lvlText w:val=""/>
      <w:lvlJc w:val="left"/>
      <w:pPr>
        <w:ind w:left="2160" w:hanging="360"/>
      </w:pPr>
      <w:rPr>
        <w:rFonts w:ascii="Wingdings" w:hAnsi="Wingdings" w:hint="default"/>
      </w:rPr>
    </w:lvl>
    <w:lvl w:ilvl="3" w:tplc="1CA8D02A">
      <w:start w:val="1"/>
      <w:numFmt w:val="bullet"/>
      <w:lvlText w:val=""/>
      <w:lvlJc w:val="left"/>
      <w:pPr>
        <w:ind w:left="2880" w:hanging="360"/>
      </w:pPr>
      <w:rPr>
        <w:rFonts w:ascii="Symbol" w:hAnsi="Symbol" w:hint="default"/>
      </w:rPr>
    </w:lvl>
    <w:lvl w:ilvl="4" w:tplc="5ECA060E">
      <w:start w:val="1"/>
      <w:numFmt w:val="bullet"/>
      <w:lvlText w:val="o"/>
      <w:lvlJc w:val="left"/>
      <w:pPr>
        <w:ind w:left="3600" w:hanging="360"/>
      </w:pPr>
      <w:rPr>
        <w:rFonts w:ascii="Courier New" w:hAnsi="Courier New" w:hint="default"/>
      </w:rPr>
    </w:lvl>
    <w:lvl w:ilvl="5" w:tplc="B78E4094">
      <w:start w:val="1"/>
      <w:numFmt w:val="bullet"/>
      <w:lvlText w:val=""/>
      <w:lvlJc w:val="left"/>
      <w:pPr>
        <w:ind w:left="4320" w:hanging="360"/>
      </w:pPr>
      <w:rPr>
        <w:rFonts w:ascii="Wingdings" w:hAnsi="Wingdings" w:hint="default"/>
      </w:rPr>
    </w:lvl>
    <w:lvl w:ilvl="6" w:tplc="D0B6690A">
      <w:start w:val="1"/>
      <w:numFmt w:val="bullet"/>
      <w:lvlText w:val=""/>
      <w:lvlJc w:val="left"/>
      <w:pPr>
        <w:ind w:left="5040" w:hanging="360"/>
      </w:pPr>
      <w:rPr>
        <w:rFonts w:ascii="Symbol" w:hAnsi="Symbol" w:hint="default"/>
      </w:rPr>
    </w:lvl>
    <w:lvl w:ilvl="7" w:tplc="35C42426">
      <w:start w:val="1"/>
      <w:numFmt w:val="bullet"/>
      <w:lvlText w:val="o"/>
      <w:lvlJc w:val="left"/>
      <w:pPr>
        <w:ind w:left="5760" w:hanging="360"/>
      </w:pPr>
      <w:rPr>
        <w:rFonts w:ascii="Courier New" w:hAnsi="Courier New" w:hint="default"/>
      </w:rPr>
    </w:lvl>
    <w:lvl w:ilvl="8" w:tplc="0A6E64D8">
      <w:start w:val="1"/>
      <w:numFmt w:val="bullet"/>
      <w:lvlText w:val=""/>
      <w:lvlJc w:val="left"/>
      <w:pPr>
        <w:ind w:left="6480" w:hanging="360"/>
      </w:pPr>
      <w:rPr>
        <w:rFonts w:ascii="Wingdings" w:hAnsi="Wingdings" w:hint="default"/>
      </w:rPr>
    </w:lvl>
  </w:abstractNum>
  <w:abstractNum w:abstractNumId="2" w15:restartNumberingAfterBreak="0">
    <w:nsid w:val="0B4F12B4"/>
    <w:multiLevelType w:val="hybridMultilevel"/>
    <w:tmpl w:val="AAF8888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B53E5F"/>
    <w:multiLevelType w:val="hybridMultilevel"/>
    <w:tmpl w:val="EA74E5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053F11"/>
    <w:multiLevelType w:val="multilevel"/>
    <w:tmpl w:val="E58A81F0"/>
    <w:styleLink w:val="NumberBullet"/>
    <w:lvl w:ilvl="0">
      <w:start w:val="1"/>
      <w:numFmt w:val="decimal"/>
      <w:pStyle w:val="Numberbullet0"/>
      <w:lvlText w:val="%1."/>
      <w:lvlJc w:val="left"/>
      <w:pPr>
        <w:ind w:left="360" w:hanging="360"/>
      </w:pPr>
      <w:rPr>
        <w:rFonts w:ascii="Arial" w:hAnsi="Arial"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5" w15:restartNumberingAfterBreak="0">
    <w:nsid w:val="118C4FD1"/>
    <w:multiLevelType w:val="hybridMultilevel"/>
    <w:tmpl w:val="3FE8FFE0"/>
    <w:lvl w:ilvl="0" w:tplc="F6F6CC3C">
      <w:start w:val="1"/>
      <w:numFmt w:val="decimal"/>
      <w:lvlText w:val="%1."/>
      <w:lvlJc w:val="left"/>
      <w:pPr>
        <w:ind w:left="720" w:hanging="360"/>
      </w:pPr>
    </w:lvl>
    <w:lvl w:ilvl="1" w:tplc="B75E2128">
      <w:start w:val="1"/>
      <w:numFmt w:val="lowerLetter"/>
      <w:lvlText w:val="%2."/>
      <w:lvlJc w:val="left"/>
      <w:pPr>
        <w:ind w:left="1440" w:hanging="360"/>
      </w:pPr>
    </w:lvl>
    <w:lvl w:ilvl="2" w:tplc="58A2A378">
      <w:start w:val="1"/>
      <w:numFmt w:val="lowerRoman"/>
      <w:lvlText w:val="%3."/>
      <w:lvlJc w:val="right"/>
      <w:pPr>
        <w:ind w:left="2160" w:hanging="180"/>
      </w:pPr>
    </w:lvl>
    <w:lvl w:ilvl="3" w:tplc="C0BEDCE6">
      <w:start w:val="1"/>
      <w:numFmt w:val="decimal"/>
      <w:lvlText w:val="%4."/>
      <w:lvlJc w:val="left"/>
      <w:pPr>
        <w:ind w:left="2880" w:hanging="360"/>
      </w:pPr>
    </w:lvl>
    <w:lvl w:ilvl="4" w:tplc="1A3E3684">
      <w:start w:val="1"/>
      <w:numFmt w:val="lowerLetter"/>
      <w:lvlText w:val="%5."/>
      <w:lvlJc w:val="left"/>
      <w:pPr>
        <w:ind w:left="3600" w:hanging="360"/>
      </w:pPr>
    </w:lvl>
    <w:lvl w:ilvl="5" w:tplc="F67EE380">
      <w:start w:val="1"/>
      <w:numFmt w:val="lowerRoman"/>
      <w:lvlText w:val="%6."/>
      <w:lvlJc w:val="right"/>
      <w:pPr>
        <w:ind w:left="4320" w:hanging="180"/>
      </w:pPr>
    </w:lvl>
    <w:lvl w:ilvl="6" w:tplc="470029D4">
      <w:start w:val="1"/>
      <w:numFmt w:val="decimal"/>
      <w:lvlText w:val="%7."/>
      <w:lvlJc w:val="left"/>
      <w:pPr>
        <w:ind w:left="5040" w:hanging="360"/>
      </w:pPr>
    </w:lvl>
    <w:lvl w:ilvl="7" w:tplc="01D2443E">
      <w:start w:val="1"/>
      <w:numFmt w:val="lowerLetter"/>
      <w:lvlText w:val="%8."/>
      <w:lvlJc w:val="left"/>
      <w:pPr>
        <w:ind w:left="5760" w:hanging="360"/>
      </w:pPr>
    </w:lvl>
    <w:lvl w:ilvl="8" w:tplc="5C244CAE">
      <w:start w:val="1"/>
      <w:numFmt w:val="lowerRoman"/>
      <w:lvlText w:val="%9."/>
      <w:lvlJc w:val="right"/>
      <w:pPr>
        <w:ind w:left="6480" w:hanging="180"/>
      </w:pPr>
    </w:lvl>
  </w:abstractNum>
  <w:abstractNum w:abstractNumId="6" w15:restartNumberingAfterBreak="0">
    <w:nsid w:val="134E5E62"/>
    <w:multiLevelType w:val="hybridMultilevel"/>
    <w:tmpl w:val="61CC3B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8" w15:restartNumberingAfterBreak="0">
    <w:nsid w:val="168F13E9"/>
    <w:multiLevelType w:val="multilevel"/>
    <w:tmpl w:val="BDCE1BCC"/>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9" w15:restartNumberingAfterBreak="0">
    <w:nsid w:val="188F63F5"/>
    <w:multiLevelType w:val="hybridMultilevel"/>
    <w:tmpl w:val="F3A808FC"/>
    <w:lvl w:ilvl="0" w:tplc="0C090001">
      <w:start w:val="1"/>
      <w:numFmt w:val="bullet"/>
      <w:lvlText w:val=""/>
      <w:lvlJc w:val="left"/>
      <w:pPr>
        <w:ind w:left="1562" w:hanging="360"/>
      </w:pPr>
      <w:rPr>
        <w:rFonts w:ascii="Symbol" w:hAnsi="Symbol" w:hint="default"/>
      </w:rPr>
    </w:lvl>
    <w:lvl w:ilvl="1" w:tplc="0C090003" w:tentative="1">
      <w:start w:val="1"/>
      <w:numFmt w:val="bullet"/>
      <w:lvlText w:val="o"/>
      <w:lvlJc w:val="left"/>
      <w:pPr>
        <w:ind w:left="2282" w:hanging="360"/>
      </w:pPr>
      <w:rPr>
        <w:rFonts w:ascii="Courier New" w:hAnsi="Courier New" w:cs="Courier New" w:hint="default"/>
      </w:rPr>
    </w:lvl>
    <w:lvl w:ilvl="2" w:tplc="0C090005" w:tentative="1">
      <w:start w:val="1"/>
      <w:numFmt w:val="bullet"/>
      <w:lvlText w:val=""/>
      <w:lvlJc w:val="left"/>
      <w:pPr>
        <w:ind w:left="3002" w:hanging="360"/>
      </w:pPr>
      <w:rPr>
        <w:rFonts w:ascii="Wingdings" w:hAnsi="Wingdings" w:hint="default"/>
      </w:rPr>
    </w:lvl>
    <w:lvl w:ilvl="3" w:tplc="0C090001" w:tentative="1">
      <w:start w:val="1"/>
      <w:numFmt w:val="bullet"/>
      <w:lvlText w:val=""/>
      <w:lvlJc w:val="left"/>
      <w:pPr>
        <w:ind w:left="3722" w:hanging="360"/>
      </w:pPr>
      <w:rPr>
        <w:rFonts w:ascii="Symbol" w:hAnsi="Symbol" w:hint="default"/>
      </w:rPr>
    </w:lvl>
    <w:lvl w:ilvl="4" w:tplc="0C090003" w:tentative="1">
      <w:start w:val="1"/>
      <w:numFmt w:val="bullet"/>
      <w:lvlText w:val="o"/>
      <w:lvlJc w:val="left"/>
      <w:pPr>
        <w:ind w:left="4442" w:hanging="360"/>
      </w:pPr>
      <w:rPr>
        <w:rFonts w:ascii="Courier New" w:hAnsi="Courier New" w:cs="Courier New" w:hint="default"/>
      </w:rPr>
    </w:lvl>
    <w:lvl w:ilvl="5" w:tplc="0C090005" w:tentative="1">
      <w:start w:val="1"/>
      <w:numFmt w:val="bullet"/>
      <w:lvlText w:val=""/>
      <w:lvlJc w:val="left"/>
      <w:pPr>
        <w:ind w:left="5162" w:hanging="360"/>
      </w:pPr>
      <w:rPr>
        <w:rFonts w:ascii="Wingdings" w:hAnsi="Wingdings" w:hint="default"/>
      </w:rPr>
    </w:lvl>
    <w:lvl w:ilvl="6" w:tplc="0C090001" w:tentative="1">
      <w:start w:val="1"/>
      <w:numFmt w:val="bullet"/>
      <w:lvlText w:val=""/>
      <w:lvlJc w:val="left"/>
      <w:pPr>
        <w:ind w:left="5882" w:hanging="360"/>
      </w:pPr>
      <w:rPr>
        <w:rFonts w:ascii="Symbol" w:hAnsi="Symbol" w:hint="default"/>
      </w:rPr>
    </w:lvl>
    <w:lvl w:ilvl="7" w:tplc="0C090003" w:tentative="1">
      <w:start w:val="1"/>
      <w:numFmt w:val="bullet"/>
      <w:lvlText w:val="o"/>
      <w:lvlJc w:val="left"/>
      <w:pPr>
        <w:ind w:left="6602" w:hanging="360"/>
      </w:pPr>
      <w:rPr>
        <w:rFonts w:ascii="Courier New" w:hAnsi="Courier New" w:cs="Courier New" w:hint="default"/>
      </w:rPr>
    </w:lvl>
    <w:lvl w:ilvl="8" w:tplc="0C090005" w:tentative="1">
      <w:start w:val="1"/>
      <w:numFmt w:val="bullet"/>
      <w:lvlText w:val=""/>
      <w:lvlJc w:val="left"/>
      <w:pPr>
        <w:ind w:left="7322" w:hanging="360"/>
      </w:pPr>
      <w:rPr>
        <w:rFonts w:ascii="Wingdings" w:hAnsi="Wingdings" w:hint="default"/>
      </w:rPr>
    </w:lvl>
  </w:abstractNum>
  <w:abstractNum w:abstractNumId="10" w15:restartNumberingAfterBreak="0">
    <w:nsid w:val="194C332F"/>
    <w:multiLevelType w:val="hybridMultilevel"/>
    <w:tmpl w:val="8DD82754"/>
    <w:lvl w:ilvl="0" w:tplc="0A76ABB0">
      <w:start w:val="1"/>
      <w:numFmt w:val="bullet"/>
      <w:lvlText w:val="•"/>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2CCCFD0A">
      <w:start w:val="1"/>
      <w:numFmt w:val="bullet"/>
      <w:lvlText w:val="o"/>
      <w:lvlJc w:val="left"/>
      <w:pPr>
        <w:ind w:left="108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F90A9950">
      <w:start w:val="1"/>
      <w:numFmt w:val="bullet"/>
      <w:lvlText w:val="▪"/>
      <w:lvlJc w:val="left"/>
      <w:pPr>
        <w:ind w:left="180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FF6EABEA">
      <w:start w:val="1"/>
      <w:numFmt w:val="bullet"/>
      <w:lvlText w:val="•"/>
      <w:lvlJc w:val="left"/>
      <w:pPr>
        <w:ind w:left="252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B06009B0">
      <w:start w:val="1"/>
      <w:numFmt w:val="bullet"/>
      <w:lvlText w:val="o"/>
      <w:lvlJc w:val="left"/>
      <w:pPr>
        <w:ind w:left="324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208AA30A">
      <w:start w:val="1"/>
      <w:numFmt w:val="bullet"/>
      <w:lvlText w:val="▪"/>
      <w:lvlJc w:val="left"/>
      <w:pPr>
        <w:ind w:left="396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23A0195C">
      <w:start w:val="1"/>
      <w:numFmt w:val="bullet"/>
      <w:lvlText w:val="•"/>
      <w:lvlJc w:val="left"/>
      <w:pPr>
        <w:ind w:left="468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45C61318">
      <w:start w:val="1"/>
      <w:numFmt w:val="bullet"/>
      <w:lvlText w:val="o"/>
      <w:lvlJc w:val="left"/>
      <w:pPr>
        <w:ind w:left="540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0002C2D0">
      <w:start w:val="1"/>
      <w:numFmt w:val="bullet"/>
      <w:lvlText w:val="▪"/>
      <w:lvlJc w:val="left"/>
      <w:pPr>
        <w:ind w:left="612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1618950"/>
    <w:multiLevelType w:val="hybridMultilevel"/>
    <w:tmpl w:val="FA727056"/>
    <w:lvl w:ilvl="0" w:tplc="24EE09C6">
      <w:start w:val="1"/>
      <w:numFmt w:val="bullet"/>
      <w:lvlText w:val=""/>
      <w:lvlJc w:val="left"/>
      <w:pPr>
        <w:ind w:left="720" w:hanging="360"/>
      </w:pPr>
      <w:rPr>
        <w:rFonts w:ascii="Symbol" w:hAnsi="Symbol" w:hint="default"/>
      </w:rPr>
    </w:lvl>
    <w:lvl w:ilvl="1" w:tplc="63D4554C">
      <w:start w:val="1"/>
      <w:numFmt w:val="bullet"/>
      <w:lvlText w:val="o"/>
      <w:lvlJc w:val="left"/>
      <w:pPr>
        <w:ind w:left="1440" w:hanging="360"/>
      </w:pPr>
      <w:rPr>
        <w:rFonts w:ascii="Courier New" w:hAnsi="Courier New" w:hint="default"/>
      </w:rPr>
    </w:lvl>
    <w:lvl w:ilvl="2" w:tplc="C2862D40">
      <w:start w:val="1"/>
      <w:numFmt w:val="bullet"/>
      <w:lvlText w:val=""/>
      <w:lvlJc w:val="left"/>
      <w:pPr>
        <w:ind w:left="2160" w:hanging="360"/>
      </w:pPr>
      <w:rPr>
        <w:rFonts w:ascii="Wingdings" w:hAnsi="Wingdings" w:hint="default"/>
      </w:rPr>
    </w:lvl>
    <w:lvl w:ilvl="3" w:tplc="6C740638">
      <w:start w:val="1"/>
      <w:numFmt w:val="bullet"/>
      <w:lvlText w:val=""/>
      <w:lvlJc w:val="left"/>
      <w:pPr>
        <w:ind w:left="2880" w:hanging="360"/>
      </w:pPr>
      <w:rPr>
        <w:rFonts w:ascii="Symbol" w:hAnsi="Symbol" w:hint="default"/>
      </w:rPr>
    </w:lvl>
    <w:lvl w:ilvl="4" w:tplc="0C28A58A">
      <w:start w:val="1"/>
      <w:numFmt w:val="bullet"/>
      <w:lvlText w:val="o"/>
      <w:lvlJc w:val="left"/>
      <w:pPr>
        <w:ind w:left="3600" w:hanging="360"/>
      </w:pPr>
      <w:rPr>
        <w:rFonts w:ascii="Courier New" w:hAnsi="Courier New" w:hint="default"/>
      </w:rPr>
    </w:lvl>
    <w:lvl w:ilvl="5" w:tplc="43CAFEC2">
      <w:start w:val="1"/>
      <w:numFmt w:val="bullet"/>
      <w:lvlText w:val=""/>
      <w:lvlJc w:val="left"/>
      <w:pPr>
        <w:ind w:left="4320" w:hanging="360"/>
      </w:pPr>
      <w:rPr>
        <w:rFonts w:ascii="Wingdings" w:hAnsi="Wingdings" w:hint="default"/>
      </w:rPr>
    </w:lvl>
    <w:lvl w:ilvl="6" w:tplc="073A803C">
      <w:start w:val="1"/>
      <w:numFmt w:val="bullet"/>
      <w:lvlText w:val=""/>
      <w:lvlJc w:val="left"/>
      <w:pPr>
        <w:ind w:left="5040" w:hanging="360"/>
      </w:pPr>
      <w:rPr>
        <w:rFonts w:ascii="Symbol" w:hAnsi="Symbol" w:hint="default"/>
      </w:rPr>
    </w:lvl>
    <w:lvl w:ilvl="7" w:tplc="F7202124">
      <w:start w:val="1"/>
      <w:numFmt w:val="bullet"/>
      <w:lvlText w:val="o"/>
      <w:lvlJc w:val="left"/>
      <w:pPr>
        <w:ind w:left="5760" w:hanging="360"/>
      </w:pPr>
      <w:rPr>
        <w:rFonts w:ascii="Courier New" w:hAnsi="Courier New" w:hint="default"/>
      </w:rPr>
    </w:lvl>
    <w:lvl w:ilvl="8" w:tplc="D4B855C2">
      <w:start w:val="1"/>
      <w:numFmt w:val="bullet"/>
      <w:lvlText w:val=""/>
      <w:lvlJc w:val="left"/>
      <w:pPr>
        <w:ind w:left="6480" w:hanging="360"/>
      </w:pPr>
      <w:rPr>
        <w:rFonts w:ascii="Wingdings" w:hAnsi="Wingdings" w:hint="default"/>
      </w:rPr>
    </w:lvl>
  </w:abstractNum>
  <w:abstractNum w:abstractNumId="12" w15:restartNumberingAfterBreak="0">
    <w:nsid w:val="23FB1C56"/>
    <w:multiLevelType w:val="multilevel"/>
    <w:tmpl w:val="339EBC96"/>
    <w:lvl w:ilvl="0">
      <w:start w:val="1"/>
      <w:numFmt w:val="bullet"/>
      <w:pStyle w:val="ListBullet-dotick"/>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3" w15:restartNumberingAfterBreak="0">
    <w:nsid w:val="26413603"/>
    <w:multiLevelType w:val="hybridMultilevel"/>
    <w:tmpl w:val="9BAA4E5E"/>
    <w:lvl w:ilvl="0" w:tplc="0C090001">
      <w:start w:val="1"/>
      <w:numFmt w:val="bullet"/>
      <w:lvlText w:val=""/>
      <w:lvlJc w:val="left"/>
      <w:pPr>
        <w:ind w:left="714" w:hanging="360"/>
      </w:pPr>
      <w:rPr>
        <w:rFonts w:ascii="Symbol" w:hAnsi="Symbol" w:hint="default"/>
      </w:rPr>
    </w:lvl>
    <w:lvl w:ilvl="1" w:tplc="0C090003" w:tentative="1">
      <w:start w:val="1"/>
      <w:numFmt w:val="bullet"/>
      <w:lvlText w:val="o"/>
      <w:lvlJc w:val="left"/>
      <w:pPr>
        <w:ind w:left="1434" w:hanging="360"/>
      </w:pPr>
      <w:rPr>
        <w:rFonts w:ascii="Courier New" w:hAnsi="Courier New" w:cs="Courier New" w:hint="default"/>
      </w:rPr>
    </w:lvl>
    <w:lvl w:ilvl="2" w:tplc="0C090005" w:tentative="1">
      <w:start w:val="1"/>
      <w:numFmt w:val="bullet"/>
      <w:lvlText w:val=""/>
      <w:lvlJc w:val="left"/>
      <w:pPr>
        <w:ind w:left="2154" w:hanging="360"/>
      </w:pPr>
      <w:rPr>
        <w:rFonts w:ascii="Wingdings" w:hAnsi="Wingdings" w:hint="default"/>
      </w:rPr>
    </w:lvl>
    <w:lvl w:ilvl="3" w:tplc="0C090001" w:tentative="1">
      <w:start w:val="1"/>
      <w:numFmt w:val="bullet"/>
      <w:lvlText w:val=""/>
      <w:lvlJc w:val="left"/>
      <w:pPr>
        <w:ind w:left="2874" w:hanging="360"/>
      </w:pPr>
      <w:rPr>
        <w:rFonts w:ascii="Symbol" w:hAnsi="Symbol" w:hint="default"/>
      </w:rPr>
    </w:lvl>
    <w:lvl w:ilvl="4" w:tplc="0C090003" w:tentative="1">
      <w:start w:val="1"/>
      <w:numFmt w:val="bullet"/>
      <w:lvlText w:val="o"/>
      <w:lvlJc w:val="left"/>
      <w:pPr>
        <w:ind w:left="3594" w:hanging="360"/>
      </w:pPr>
      <w:rPr>
        <w:rFonts w:ascii="Courier New" w:hAnsi="Courier New" w:cs="Courier New" w:hint="default"/>
      </w:rPr>
    </w:lvl>
    <w:lvl w:ilvl="5" w:tplc="0C090005" w:tentative="1">
      <w:start w:val="1"/>
      <w:numFmt w:val="bullet"/>
      <w:lvlText w:val=""/>
      <w:lvlJc w:val="left"/>
      <w:pPr>
        <w:ind w:left="4314" w:hanging="360"/>
      </w:pPr>
      <w:rPr>
        <w:rFonts w:ascii="Wingdings" w:hAnsi="Wingdings" w:hint="default"/>
      </w:rPr>
    </w:lvl>
    <w:lvl w:ilvl="6" w:tplc="0C090001" w:tentative="1">
      <w:start w:val="1"/>
      <w:numFmt w:val="bullet"/>
      <w:lvlText w:val=""/>
      <w:lvlJc w:val="left"/>
      <w:pPr>
        <w:ind w:left="5034" w:hanging="360"/>
      </w:pPr>
      <w:rPr>
        <w:rFonts w:ascii="Symbol" w:hAnsi="Symbol" w:hint="default"/>
      </w:rPr>
    </w:lvl>
    <w:lvl w:ilvl="7" w:tplc="0C090003" w:tentative="1">
      <w:start w:val="1"/>
      <w:numFmt w:val="bullet"/>
      <w:lvlText w:val="o"/>
      <w:lvlJc w:val="left"/>
      <w:pPr>
        <w:ind w:left="5754" w:hanging="360"/>
      </w:pPr>
      <w:rPr>
        <w:rFonts w:ascii="Courier New" w:hAnsi="Courier New" w:cs="Courier New" w:hint="default"/>
      </w:rPr>
    </w:lvl>
    <w:lvl w:ilvl="8" w:tplc="0C090005" w:tentative="1">
      <w:start w:val="1"/>
      <w:numFmt w:val="bullet"/>
      <w:lvlText w:val=""/>
      <w:lvlJc w:val="left"/>
      <w:pPr>
        <w:ind w:left="6474" w:hanging="360"/>
      </w:pPr>
      <w:rPr>
        <w:rFonts w:ascii="Wingdings" w:hAnsi="Wingdings" w:hint="default"/>
      </w:rPr>
    </w:lvl>
  </w:abstractNum>
  <w:abstractNum w:abstractNumId="14" w15:restartNumberingAfterBreak="0">
    <w:nsid w:val="282E2A60"/>
    <w:multiLevelType w:val="hybridMultilevel"/>
    <w:tmpl w:val="8370E8B6"/>
    <w:lvl w:ilvl="0" w:tplc="FFFFFFFF">
      <w:start w:val="1"/>
      <w:numFmt w:val="bullet"/>
      <w:lvlText w:val="•"/>
      <w:lvlJc w:val="left"/>
      <w:pPr>
        <w:ind w:left="360"/>
      </w:pPr>
      <w:rPr>
        <w:rFonts w:ascii="Cambria" w:hAnsi="Cambria" w:hint="default"/>
        <w:b w:val="0"/>
        <w:i w:val="0"/>
        <w:strike w:val="0"/>
        <w:dstrike w:val="0"/>
        <w:color w:val="000000"/>
        <w:sz w:val="22"/>
        <w:szCs w:val="22"/>
        <w:u w:val="none" w:color="000000"/>
        <w:bdr w:val="none" w:sz="0" w:space="0" w:color="auto"/>
        <w:shd w:val="clear" w:color="auto" w:fill="auto"/>
        <w:vertAlign w:val="baseline"/>
      </w:rPr>
    </w:lvl>
    <w:lvl w:ilvl="1" w:tplc="1F94F558">
      <w:start w:val="1"/>
      <w:numFmt w:val="bullet"/>
      <w:lvlText w:val="–"/>
      <w:lvlJc w:val="left"/>
      <w:pPr>
        <w:ind w:left="8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00CC4DE">
      <w:start w:val="1"/>
      <w:numFmt w:val="bullet"/>
      <w:lvlText w:val="▪"/>
      <w:lvlJc w:val="left"/>
      <w:pPr>
        <w:ind w:left="15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0C49E32">
      <w:start w:val="1"/>
      <w:numFmt w:val="bullet"/>
      <w:lvlText w:val="•"/>
      <w:lvlJc w:val="left"/>
      <w:pPr>
        <w:ind w:left="22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062EA5A">
      <w:start w:val="1"/>
      <w:numFmt w:val="bullet"/>
      <w:lvlText w:val="o"/>
      <w:lvlJc w:val="left"/>
      <w:pPr>
        <w:ind w:left="29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DDC6B02">
      <w:start w:val="1"/>
      <w:numFmt w:val="bullet"/>
      <w:lvlText w:val="▪"/>
      <w:lvlJc w:val="left"/>
      <w:pPr>
        <w:ind w:left="36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F54E68E">
      <w:start w:val="1"/>
      <w:numFmt w:val="bullet"/>
      <w:lvlText w:val="•"/>
      <w:lvlJc w:val="left"/>
      <w:pPr>
        <w:ind w:left="43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B58AB7C">
      <w:start w:val="1"/>
      <w:numFmt w:val="bullet"/>
      <w:lvlText w:val="o"/>
      <w:lvlJc w:val="left"/>
      <w:pPr>
        <w:ind w:left="51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4AEFFCC">
      <w:start w:val="1"/>
      <w:numFmt w:val="bullet"/>
      <w:lvlText w:val="▪"/>
      <w:lvlJc w:val="left"/>
      <w:pPr>
        <w:ind w:left="58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8D30DEE"/>
    <w:multiLevelType w:val="hybridMultilevel"/>
    <w:tmpl w:val="A69E8B40"/>
    <w:lvl w:ilvl="0" w:tplc="80DE4D02">
      <w:start w:val="1"/>
      <w:numFmt w:val="decimal"/>
      <w:lvlText w:val="%1."/>
      <w:lvlJc w:val="left"/>
      <w:pPr>
        <w:ind w:left="720" w:hanging="360"/>
      </w:pPr>
      <w:rPr>
        <w:rFonts w:ascii="Arial" w:hAnsi="Arial" w:cs="Arial" w:hint="default"/>
        <w:sz w:val="20"/>
        <w:szCs w:val="20"/>
      </w:rPr>
    </w:lvl>
    <w:lvl w:ilvl="1" w:tplc="38523020">
      <w:start w:val="1"/>
      <w:numFmt w:val="bullet"/>
      <w:lvlText w:val="o"/>
      <w:lvlJc w:val="left"/>
      <w:pPr>
        <w:ind w:left="1440" w:hanging="360"/>
      </w:pPr>
      <w:rPr>
        <w:rFonts w:ascii="Courier New" w:hAnsi="Courier New" w:hint="default"/>
      </w:rPr>
    </w:lvl>
    <w:lvl w:ilvl="2" w:tplc="82B4BD18">
      <w:start w:val="1"/>
      <w:numFmt w:val="bullet"/>
      <w:lvlText w:val=""/>
      <w:lvlJc w:val="left"/>
      <w:pPr>
        <w:ind w:left="2160" w:hanging="360"/>
      </w:pPr>
      <w:rPr>
        <w:rFonts w:ascii="Wingdings" w:hAnsi="Wingdings" w:hint="default"/>
      </w:rPr>
    </w:lvl>
    <w:lvl w:ilvl="3" w:tplc="C6040894">
      <w:start w:val="1"/>
      <w:numFmt w:val="bullet"/>
      <w:lvlText w:val=""/>
      <w:lvlJc w:val="left"/>
      <w:pPr>
        <w:ind w:left="2880" w:hanging="360"/>
      </w:pPr>
      <w:rPr>
        <w:rFonts w:ascii="Symbol" w:hAnsi="Symbol" w:hint="default"/>
      </w:rPr>
    </w:lvl>
    <w:lvl w:ilvl="4" w:tplc="50B46776">
      <w:start w:val="1"/>
      <w:numFmt w:val="bullet"/>
      <w:lvlText w:val="o"/>
      <w:lvlJc w:val="left"/>
      <w:pPr>
        <w:ind w:left="3600" w:hanging="360"/>
      </w:pPr>
      <w:rPr>
        <w:rFonts w:ascii="Courier New" w:hAnsi="Courier New" w:hint="default"/>
      </w:rPr>
    </w:lvl>
    <w:lvl w:ilvl="5" w:tplc="857C5326">
      <w:start w:val="1"/>
      <w:numFmt w:val="bullet"/>
      <w:lvlText w:val=""/>
      <w:lvlJc w:val="left"/>
      <w:pPr>
        <w:ind w:left="4320" w:hanging="360"/>
      </w:pPr>
      <w:rPr>
        <w:rFonts w:ascii="Wingdings" w:hAnsi="Wingdings" w:hint="default"/>
      </w:rPr>
    </w:lvl>
    <w:lvl w:ilvl="6" w:tplc="301893E8">
      <w:start w:val="1"/>
      <w:numFmt w:val="bullet"/>
      <w:lvlText w:val=""/>
      <w:lvlJc w:val="left"/>
      <w:pPr>
        <w:ind w:left="5040" w:hanging="360"/>
      </w:pPr>
      <w:rPr>
        <w:rFonts w:ascii="Symbol" w:hAnsi="Symbol" w:hint="default"/>
      </w:rPr>
    </w:lvl>
    <w:lvl w:ilvl="7" w:tplc="D7F43878">
      <w:start w:val="1"/>
      <w:numFmt w:val="bullet"/>
      <w:lvlText w:val="o"/>
      <w:lvlJc w:val="left"/>
      <w:pPr>
        <w:ind w:left="5760" w:hanging="360"/>
      </w:pPr>
      <w:rPr>
        <w:rFonts w:ascii="Courier New" w:hAnsi="Courier New" w:hint="default"/>
      </w:rPr>
    </w:lvl>
    <w:lvl w:ilvl="8" w:tplc="CB5AED76">
      <w:start w:val="1"/>
      <w:numFmt w:val="bullet"/>
      <w:lvlText w:val=""/>
      <w:lvlJc w:val="left"/>
      <w:pPr>
        <w:ind w:left="6480" w:hanging="360"/>
      </w:pPr>
      <w:rPr>
        <w:rFonts w:ascii="Wingdings" w:hAnsi="Wingdings" w:hint="default"/>
      </w:rPr>
    </w:lvl>
  </w:abstractNum>
  <w:abstractNum w:abstractNumId="16" w15:restartNumberingAfterBreak="0">
    <w:nsid w:val="292A9ECF"/>
    <w:multiLevelType w:val="hybridMultilevel"/>
    <w:tmpl w:val="DAE8B200"/>
    <w:lvl w:ilvl="0" w:tplc="FFFFFFFF">
      <w:start w:val="1"/>
      <w:numFmt w:val="bullet"/>
      <w:lvlText w:val=""/>
      <w:lvlJc w:val="left"/>
      <w:pPr>
        <w:ind w:left="360" w:hanging="360"/>
      </w:pPr>
      <w:rPr>
        <w:rFonts w:ascii="Symbol" w:hAnsi="Symbol" w:hint="default"/>
      </w:rPr>
    </w:lvl>
    <w:lvl w:ilvl="1" w:tplc="EEE09098">
      <w:start w:val="1"/>
      <w:numFmt w:val="bullet"/>
      <w:lvlText w:val="o"/>
      <w:lvlJc w:val="left"/>
      <w:pPr>
        <w:ind w:left="1440" w:hanging="360"/>
      </w:pPr>
      <w:rPr>
        <w:rFonts w:ascii="Courier New" w:hAnsi="Courier New" w:hint="default"/>
      </w:rPr>
    </w:lvl>
    <w:lvl w:ilvl="2" w:tplc="B8D8EF5A">
      <w:start w:val="1"/>
      <w:numFmt w:val="bullet"/>
      <w:lvlText w:val=""/>
      <w:lvlJc w:val="left"/>
      <w:pPr>
        <w:ind w:left="2160" w:hanging="360"/>
      </w:pPr>
      <w:rPr>
        <w:rFonts w:ascii="Wingdings" w:hAnsi="Wingdings" w:hint="default"/>
      </w:rPr>
    </w:lvl>
    <w:lvl w:ilvl="3" w:tplc="E9503EC6">
      <w:start w:val="1"/>
      <w:numFmt w:val="bullet"/>
      <w:lvlText w:val=""/>
      <w:lvlJc w:val="left"/>
      <w:pPr>
        <w:ind w:left="2880" w:hanging="360"/>
      </w:pPr>
      <w:rPr>
        <w:rFonts w:ascii="Symbol" w:hAnsi="Symbol" w:hint="default"/>
      </w:rPr>
    </w:lvl>
    <w:lvl w:ilvl="4" w:tplc="A770E094">
      <w:start w:val="1"/>
      <w:numFmt w:val="bullet"/>
      <w:lvlText w:val="o"/>
      <w:lvlJc w:val="left"/>
      <w:pPr>
        <w:ind w:left="3600" w:hanging="360"/>
      </w:pPr>
      <w:rPr>
        <w:rFonts w:ascii="Courier New" w:hAnsi="Courier New" w:hint="default"/>
      </w:rPr>
    </w:lvl>
    <w:lvl w:ilvl="5" w:tplc="3348B378">
      <w:start w:val="1"/>
      <w:numFmt w:val="bullet"/>
      <w:lvlText w:val=""/>
      <w:lvlJc w:val="left"/>
      <w:pPr>
        <w:ind w:left="4320" w:hanging="360"/>
      </w:pPr>
      <w:rPr>
        <w:rFonts w:ascii="Wingdings" w:hAnsi="Wingdings" w:hint="default"/>
      </w:rPr>
    </w:lvl>
    <w:lvl w:ilvl="6" w:tplc="94B42440">
      <w:start w:val="1"/>
      <w:numFmt w:val="bullet"/>
      <w:lvlText w:val=""/>
      <w:lvlJc w:val="left"/>
      <w:pPr>
        <w:ind w:left="5040" w:hanging="360"/>
      </w:pPr>
      <w:rPr>
        <w:rFonts w:ascii="Symbol" w:hAnsi="Symbol" w:hint="default"/>
      </w:rPr>
    </w:lvl>
    <w:lvl w:ilvl="7" w:tplc="0EEE3BAA">
      <w:start w:val="1"/>
      <w:numFmt w:val="bullet"/>
      <w:lvlText w:val="o"/>
      <w:lvlJc w:val="left"/>
      <w:pPr>
        <w:ind w:left="5760" w:hanging="360"/>
      </w:pPr>
      <w:rPr>
        <w:rFonts w:ascii="Courier New" w:hAnsi="Courier New" w:hint="default"/>
      </w:rPr>
    </w:lvl>
    <w:lvl w:ilvl="8" w:tplc="436E24CE">
      <w:start w:val="1"/>
      <w:numFmt w:val="bullet"/>
      <w:lvlText w:val=""/>
      <w:lvlJc w:val="left"/>
      <w:pPr>
        <w:ind w:left="6480" w:hanging="360"/>
      </w:pPr>
      <w:rPr>
        <w:rFonts w:ascii="Wingdings" w:hAnsi="Wingdings" w:hint="default"/>
      </w:rPr>
    </w:lvl>
  </w:abstractNum>
  <w:abstractNum w:abstractNumId="17" w15:restartNumberingAfterBreak="0">
    <w:nsid w:val="2C0B64D5"/>
    <w:multiLevelType w:val="hybridMultilevel"/>
    <w:tmpl w:val="FBDCD058"/>
    <w:lvl w:ilvl="0" w:tplc="6CD6D270">
      <w:start w:val="1"/>
      <w:numFmt w:val="bullet"/>
      <w:lvlText w:val="•"/>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A9C0D746">
      <w:start w:val="1"/>
      <w:numFmt w:val="bullet"/>
      <w:lvlText w:val="o"/>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37B4760C">
      <w:start w:val="1"/>
      <w:numFmt w:val="bullet"/>
      <w:lvlText w:val="▪"/>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32205F82">
      <w:start w:val="1"/>
      <w:numFmt w:val="bullet"/>
      <w:lvlText w:val="•"/>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93C0C80E">
      <w:start w:val="1"/>
      <w:numFmt w:val="bullet"/>
      <w:lvlText w:val="o"/>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62EC85BE">
      <w:start w:val="1"/>
      <w:numFmt w:val="bullet"/>
      <w:lvlText w:val="▪"/>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62B2B600">
      <w:start w:val="1"/>
      <w:numFmt w:val="bullet"/>
      <w:lvlText w:val="•"/>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B928EBE0">
      <w:start w:val="1"/>
      <w:numFmt w:val="bullet"/>
      <w:lvlText w:val="o"/>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9E084A2C">
      <w:start w:val="1"/>
      <w:numFmt w:val="bullet"/>
      <w:lvlText w:val="▪"/>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D997FDF"/>
    <w:multiLevelType w:val="hybridMultilevel"/>
    <w:tmpl w:val="C4B29B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E0833D8"/>
    <w:multiLevelType w:val="multilevel"/>
    <w:tmpl w:val="67489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285FD2"/>
    <w:multiLevelType w:val="hybridMultilevel"/>
    <w:tmpl w:val="DB18D62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3FF7DC8"/>
    <w:multiLevelType w:val="hybridMultilevel"/>
    <w:tmpl w:val="6F14BB5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60C07CF"/>
    <w:multiLevelType w:val="hybridMultilevel"/>
    <w:tmpl w:val="FFFFFFFF"/>
    <w:lvl w:ilvl="0" w:tplc="D2443880">
      <w:start w:val="1"/>
      <w:numFmt w:val="bullet"/>
      <w:lvlText w:val=""/>
      <w:lvlJc w:val="left"/>
      <w:pPr>
        <w:ind w:left="720" w:hanging="360"/>
      </w:pPr>
      <w:rPr>
        <w:rFonts w:ascii="Symbol" w:hAnsi="Symbol" w:hint="default"/>
      </w:rPr>
    </w:lvl>
    <w:lvl w:ilvl="1" w:tplc="035896AC">
      <w:start w:val="1"/>
      <w:numFmt w:val="bullet"/>
      <w:lvlText w:val="o"/>
      <w:lvlJc w:val="left"/>
      <w:pPr>
        <w:ind w:left="1440" w:hanging="360"/>
      </w:pPr>
      <w:rPr>
        <w:rFonts w:ascii="Courier New" w:hAnsi="Courier New" w:hint="default"/>
      </w:rPr>
    </w:lvl>
    <w:lvl w:ilvl="2" w:tplc="E5EE5D3C">
      <w:start w:val="1"/>
      <w:numFmt w:val="bullet"/>
      <w:lvlText w:val=""/>
      <w:lvlJc w:val="left"/>
      <w:pPr>
        <w:ind w:left="2160" w:hanging="360"/>
      </w:pPr>
      <w:rPr>
        <w:rFonts w:ascii="Wingdings" w:hAnsi="Wingdings" w:hint="default"/>
      </w:rPr>
    </w:lvl>
    <w:lvl w:ilvl="3" w:tplc="3C2CBC8A">
      <w:start w:val="1"/>
      <w:numFmt w:val="bullet"/>
      <w:lvlText w:val=""/>
      <w:lvlJc w:val="left"/>
      <w:pPr>
        <w:ind w:left="2880" w:hanging="360"/>
      </w:pPr>
      <w:rPr>
        <w:rFonts w:ascii="Symbol" w:hAnsi="Symbol" w:hint="default"/>
      </w:rPr>
    </w:lvl>
    <w:lvl w:ilvl="4" w:tplc="69E6234E">
      <w:start w:val="1"/>
      <w:numFmt w:val="bullet"/>
      <w:lvlText w:val="o"/>
      <w:lvlJc w:val="left"/>
      <w:pPr>
        <w:ind w:left="3600" w:hanging="360"/>
      </w:pPr>
      <w:rPr>
        <w:rFonts w:ascii="Courier New" w:hAnsi="Courier New" w:hint="default"/>
      </w:rPr>
    </w:lvl>
    <w:lvl w:ilvl="5" w:tplc="D5384AB8">
      <w:start w:val="1"/>
      <w:numFmt w:val="bullet"/>
      <w:lvlText w:val=""/>
      <w:lvlJc w:val="left"/>
      <w:pPr>
        <w:ind w:left="4320" w:hanging="360"/>
      </w:pPr>
      <w:rPr>
        <w:rFonts w:ascii="Wingdings" w:hAnsi="Wingdings" w:hint="default"/>
      </w:rPr>
    </w:lvl>
    <w:lvl w:ilvl="6" w:tplc="CF3A66AA">
      <w:start w:val="1"/>
      <w:numFmt w:val="bullet"/>
      <w:lvlText w:val=""/>
      <w:lvlJc w:val="left"/>
      <w:pPr>
        <w:ind w:left="5040" w:hanging="360"/>
      </w:pPr>
      <w:rPr>
        <w:rFonts w:ascii="Symbol" w:hAnsi="Symbol" w:hint="default"/>
      </w:rPr>
    </w:lvl>
    <w:lvl w:ilvl="7" w:tplc="26F27A2A">
      <w:start w:val="1"/>
      <w:numFmt w:val="bullet"/>
      <w:lvlText w:val="o"/>
      <w:lvlJc w:val="left"/>
      <w:pPr>
        <w:ind w:left="5760" w:hanging="360"/>
      </w:pPr>
      <w:rPr>
        <w:rFonts w:ascii="Courier New" w:hAnsi="Courier New" w:hint="default"/>
      </w:rPr>
    </w:lvl>
    <w:lvl w:ilvl="8" w:tplc="163C4A68">
      <w:start w:val="1"/>
      <w:numFmt w:val="bullet"/>
      <w:lvlText w:val=""/>
      <w:lvlJc w:val="left"/>
      <w:pPr>
        <w:ind w:left="6480" w:hanging="360"/>
      </w:pPr>
      <w:rPr>
        <w:rFonts w:ascii="Wingdings" w:hAnsi="Wingdings" w:hint="default"/>
      </w:rPr>
    </w:lvl>
  </w:abstractNum>
  <w:abstractNum w:abstractNumId="23" w15:restartNumberingAfterBreak="0">
    <w:nsid w:val="3BDA5A04"/>
    <w:multiLevelType w:val="hybridMultilevel"/>
    <w:tmpl w:val="4BAA42CC"/>
    <w:lvl w:ilvl="0" w:tplc="DABC04FA">
      <w:start w:val="2"/>
      <w:numFmt w:val="bullet"/>
      <w:lvlText w:val=""/>
      <w:lvlJc w:val="left"/>
      <w:pPr>
        <w:ind w:left="717" w:hanging="360"/>
      </w:pPr>
      <w:rPr>
        <w:rFonts w:ascii="Arial" w:eastAsiaTheme="minorHAnsi" w:hAnsi="Arial" w:cs="Aria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24" w15:restartNumberingAfterBreak="0">
    <w:nsid w:val="40925D0D"/>
    <w:multiLevelType w:val="hybridMultilevel"/>
    <w:tmpl w:val="42C60D34"/>
    <w:lvl w:ilvl="0" w:tplc="0C09000F">
      <w:start w:val="1"/>
      <w:numFmt w:val="decimal"/>
      <w:lvlText w:val="%1."/>
      <w:lvlJc w:val="left"/>
      <w:pPr>
        <w:ind w:left="765" w:hanging="360"/>
      </w:pPr>
      <w:rPr>
        <w:rFonts w:hint="default"/>
      </w:rPr>
    </w:lvl>
    <w:lvl w:ilvl="1" w:tplc="FFFFFFFF" w:tentative="1">
      <w:start w:val="1"/>
      <w:numFmt w:val="bullet"/>
      <w:lvlText w:val="o"/>
      <w:lvlJc w:val="left"/>
      <w:pPr>
        <w:ind w:left="1485" w:hanging="360"/>
      </w:pPr>
      <w:rPr>
        <w:rFonts w:ascii="Courier New" w:hAnsi="Courier New" w:cs="Courier New" w:hint="default"/>
      </w:rPr>
    </w:lvl>
    <w:lvl w:ilvl="2" w:tplc="FFFFFFFF" w:tentative="1">
      <w:start w:val="1"/>
      <w:numFmt w:val="bullet"/>
      <w:lvlText w:val=""/>
      <w:lvlJc w:val="left"/>
      <w:pPr>
        <w:ind w:left="2205" w:hanging="360"/>
      </w:pPr>
      <w:rPr>
        <w:rFonts w:ascii="Wingdings" w:hAnsi="Wingdings" w:hint="default"/>
      </w:r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25" w15:restartNumberingAfterBreak="0">
    <w:nsid w:val="4354284B"/>
    <w:multiLevelType w:val="hybridMultilevel"/>
    <w:tmpl w:val="1ABE71BE"/>
    <w:lvl w:ilvl="0" w:tplc="15722A7E">
      <w:start w:val="1"/>
      <w:numFmt w:val="bullet"/>
      <w:lvlText w:val="•"/>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700E6262">
      <w:start w:val="1"/>
      <w:numFmt w:val="bullet"/>
      <w:lvlText w:val="o"/>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9ED27078">
      <w:start w:val="1"/>
      <w:numFmt w:val="bullet"/>
      <w:lvlText w:val="▪"/>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1D50F12A">
      <w:start w:val="1"/>
      <w:numFmt w:val="bullet"/>
      <w:lvlText w:val="•"/>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592E9846">
      <w:start w:val="1"/>
      <w:numFmt w:val="bullet"/>
      <w:lvlText w:val="o"/>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49280C40">
      <w:start w:val="1"/>
      <w:numFmt w:val="bullet"/>
      <w:lvlText w:val="▪"/>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53A8B14E">
      <w:start w:val="1"/>
      <w:numFmt w:val="bullet"/>
      <w:lvlText w:val="•"/>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9A62306C">
      <w:start w:val="1"/>
      <w:numFmt w:val="bullet"/>
      <w:lvlText w:val="o"/>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12D84AC8">
      <w:start w:val="1"/>
      <w:numFmt w:val="bullet"/>
      <w:lvlText w:val="▪"/>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C8F5B19"/>
    <w:multiLevelType w:val="hybridMultilevel"/>
    <w:tmpl w:val="C256FAC4"/>
    <w:lvl w:ilvl="0" w:tplc="FFFFFFFF">
      <w:start w:val="1"/>
      <w:numFmt w:val="bullet"/>
      <w:lvlText w:val=""/>
      <w:lvlJc w:val="left"/>
      <w:pPr>
        <w:ind w:left="360" w:hanging="360"/>
      </w:pPr>
      <w:rPr>
        <w:rFonts w:ascii="Symbol" w:hAnsi="Symbol" w:hint="default"/>
      </w:rPr>
    </w:lvl>
    <w:lvl w:ilvl="1" w:tplc="19320B7A">
      <w:start w:val="1"/>
      <w:numFmt w:val="bullet"/>
      <w:lvlText w:val="o"/>
      <w:lvlJc w:val="left"/>
      <w:pPr>
        <w:ind w:left="1440" w:hanging="360"/>
      </w:pPr>
      <w:rPr>
        <w:rFonts w:ascii="Courier New" w:hAnsi="Courier New" w:hint="default"/>
      </w:rPr>
    </w:lvl>
    <w:lvl w:ilvl="2" w:tplc="B71EAD02">
      <w:start w:val="1"/>
      <w:numFmt w:val="bullet"/>
      <w:lvlText w:val=""/>
      <w:lvlJc w:val="left"/>
      <w:pPr>
        <w:ind w:left="2160" w:hanging="360"/>
      </w:pPr>
      <w:rPr>
        <w:rFonts w:ascii="Wingdings" w:hAnsi="Wingdings" w:hint="default"/>
      </w:rPr>
    </w:lvl>
    <w:lvl w:ilvl="3" w:tplc="D4AC5660">
      <w:start w:val="1"/>
      <w:numFmt w:val="bullet"/>
      <w:lvlText w:val=""/>
      <w:lvlJc w:val="left"/>
      <w:pPr>
        <w:ind w:left="2880" w:hanging="360"/>
      </w:pPr>
      <w:rPr>
        <w:rFonts w:ascii="Symbol" w:hAnsi="Symbol" w:hint="default"/>
      </w:rPr>
    </w:lvl>
    <w:lvl w:ilvl="4" w:tplc="22BA8CC2">
      <w:start w:val="1"/>
      <w:numFmt w:val="bullet"/>
      <w:lvlText w:val="o"/>
      <w:lvlJc w:val="left"/>
      <w:pPr>
        <w:ind w:left="3600" w:hanging="360"/>
      </w:pPr>
      <w:rPr>
        <w:rFonts w:ascii="Courier New" w:hAnsi="Courier New" w:hint="default"/>
      </w:rPr>
    </w:lvl>
    <w:lvl w:ilvl="5" w:tplc="946C56B2">
      <w:start w:val="1"/>
      <w:numFmt w:val="bullet"/>
      <w:lvlText w:val=""/>
      <w:lvlJc w:val="left"/>
      <w:pPr>
        <w:ind w:left="4320" w:hanging="360"/>
      </w:pPr>
      <w:rPr>
        <w:rFonts w:ascii="Wingdings" w:hAnsi="Wingdings" w:hint="default"/>
      </w:rPr>
    </w:lvl>
    <w:lvl w:ilvl="6" w:tplc="59CC82F0">
      <w:start w:val="1"/>
      <w:numFmt w:val="bullet"/>
      <w:lvlText w:val=""/>
      <w:lvlJc w:val="left"/>
      <w:pPr>
        <w:ind w:left="5040" w:hanging="360"/>
      </w:pPr>
      <w:rPr>
        <w:rFonts w:ascii="Symbol" w:hAnsi="Symbol" w:hint="default"/>
      </w:rPr>
    </w:lvl>
    <w:lvl w:ilvl="7" w:tplc="A552B67E">
      <w:start w:val="1"/>
      <w:numFmt w:val="bullet"/>
      <w:lvlText w:val="o"/>
      <w:lvlJc w:val="left"/>
      <w:pPr>
        <w:ind w:left="5760" w:hanging="360"/>
      </w:pPr>
      <w:rPr>
        <w:rFonts w:ascii="Courier New" w:hAnsi="Courier New" w:hint="default"/>
      </w:rPr>
    </w:lvl>
    <w:lvl w:ilvl="8" w:tplc="B4025A86">
      <w:start w:val="1"/>
      <w:numFmt w:val="bullet"/>
      <w:lvlText w:val=""/>
      <w:lvlJc w:val="left"/>
      <w:pPr>
        <w:ind w:left="6480" w:hanging="360"/>
      </w:pPr>
      <w:rPr>
        <w:rFonts w:ascii="Wingdings" w:hAnsi="Wingdings" w:hint="default"/>
      </w:rPr>
    </w:lvl>
  </w:abstractNum>
  <w:abstractNum w:abstractNumId="27" w15:restartNumberingAfterBreak="0">
    <w:nsid w:val="4F7912C9"/>
    <w:multiLevelType w:val="multilevel"/>
    <w:tmpl w:val="D6F4F1DE"/>
    <w:lvl w:ilvl="0">
      <w:start w:val="1"/>
      <w:numFmt w:val="bullet"/>
      <w:pStyle w:val="ListBullet-donotcross"/>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28" w15:restartNumberingAfterBreak="0">
    <w:nsid w:val="4FE104BF"/>
    <w:multiLevelType w:val="hybridMultilevel"/>
    <w:tmpl w:val="DED2BF1E"/>
    <w:lvl w:ilvl="0" w:tplc="54245D8A">
      <w:start w:val="1"/>
      <w:numFmt w:val="decimal"/>
      <w:lvlText w:val="%1."/>
      <w:lvlJc w:val="left"/>
      <w:pPr>
        <w:ind w:left="720" w:hanging="360"/>
      </w:pPr>
    </w:lvl>
    <w:lvl w:ilvl="1" w:tplc="F9CC9332">
      <w:start w:val="1"/>
      <w:numFmt w:val="lowerLetter"/>
      <w:lvlText w:val="%2."/>
      <w:lvlJc w:val="left"/>
      <w:pPr>
        <w:ind w:left="1440" w:hanging="360"/>
      </w:pPr>
    </w:lvl>
    <w:lvl w:ilvl="2" w:tplc="755CD940">
      <w:start w:val="1"/>
      <w:numFmt w:val="lowerRoman"/>
      <w:lvlText w:val="%3."/>
      <w:lvlJc w:val="right"/>
      <w:pPr>
        <w:ind w:left="2160" w:hanging="180"/>
      </w:pPr>
    </w:lvl>
    <w:lvl w:ilvl="3" w:tplc="10BC626A">
      <w:start w:val="1"/>
      <w:numFmt w:val="decimal"/>
      <w:lvlText w:val="%4."/>
      <w:lvlJc w:val="left"/>
      <w:pPr>
        <w:ind w:left="2880" w:hanging="360"/>
      </w:pPr>
    </w:lvl>
    <w:lvl w:ilvl="4" w:tplc="E7EE4DAE">
      <w:start w:val="1"/>
      <w:numFmt w:val="lowerLetter"/>
      <w:lvlText w:val="%5."/>
      <w:lvlJc w:val="left"/>
      <w:pPr>
        <w:ind w:left="3600" w:hanging="360"/>
      </w:pPr>
    </w:lvl>
    <w:lvl w:ilvl="5" w:tplc="739EFB32">
      <w:start w:val="1"/>
      <w:numFmt w:val="lowerRoman"/>
      <w:lvlText w:val="%6."/>
      <w:lvlJc w:val="right"/>
      <w:pPr>
        <w:ind w:left="4320" w:hanging="180"/>
      </w:pPr>
    </w:lvl>
    <w:lvl w:ilvl="6" w:tplc="597C81CA">
      <w:start w:val="1"/>
      <w:numFmt w:val="decimal"/>
      <w:lvlText w:val="%7."/>
      <w:lvlJc w:val="left"/>
      <w:pPr>
        <w:ind w:left="5040" w:hanging="360"/>
      </w:pPr>
    </w:lvl>
    <w:lvl w:ilvl="7" w:tplc="9DF2E790">
      <w:start w:val="1"/>
      <w:numFmt w:val="lowerLetter"/>
      <w:lvlText w:val="%8."/>
      <w:lvlJc w:val="left"/>
      <w:pPr>
        <w:ind w:left="5760" w:hanging="360"/>
      </w:pPr>
    </w:lvl>
    <w:lvl w:ilvl="8" w:tplc="474A7988">
      <w:start w:val="1"/>
      <w:numFmt w:val="lowerRoman"/>
      <w:lvlText w:val="%9."/>
      <w:lvlJc w:val="right"/>
      <w:pPr>
        <w:ind w:left="6480" w:hanging="180"/>
      </w:pPr>
    </w:lvl>
  </w:abstractNum>
  <w:abstractNum w:abstractNumId="29"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0365D94"/>
    <w:multiLevelType w:val="hybridMultilevel"/>
    <w:tmpl w:val="8F58D098"/>
    <w:lvl w:ilvl="0" w:tplc="DA28D0A6">
      <w:start w:val="1"/>
      <w:numFmt w:val="bullet"/>
      <w:lvlText w:val=""/>
      <w:lvlJc w:val="left"/>
      <w:pPr>
        <w:ind w:left="720" w:hanging="360"/>
      </w:pPr>
      <w:rPr>
        <w:rFonts w:ascii="Symbol" w:hAnsi="Symbol"/>
      </w:rPr>
    </w:lvl>
    <w:lvl w:ilvl="1" w:tplc="01A0916A">
      <w:start w:val="1"/>
      <w:numFmt w:val="bullet"/>
      <w:lvlText w:val=""/>
      <w:lvlJc w:val="left"/>
      <w:pPr>
        <w:ind w:left="720" w:hanging="360"/>
      </w:pPr>
      <w:rPr>
        <w:rFonts w:ascii="Symbol" w:hAnsi="Symbol"/>
      </w:rPr>
    </w:lvl>
    <w:lvl w:ilvl="2" w:tplc="3C4E0D4A">
      <w:start w:val="1"/>
      <w:numFmt w:val="bullet"/>
      <w:lvlText w:val=""/>
      <w:lvlJc w:val="left"/>
      <w:pPr>
        <w:ind w:left="720" w:hanging="360"/>
      </w:pPr>
      <w:rPr>
        <w:rFonts w:ascii="Symbol" w:hAnsi="Symbol"/>
      </w:rPr>
    </w:lvl>
    <w:lvl w:ilvl="3" w:tplc="0B204596">
      <w:start w:val="1"/>
      <w:numFmt w:val="bullet"/>
      <w:lvlText w:val=""/>
      <w:lvlJc w:val="left"/>
      <w:pPr>
        <w:ind w:left="720" w:hanging="360"/>
      </w:pPr>
      <w:rPr>
        <w:rFonts w:ascii="Symbol" w:hAnsi="Symbol"/>
      </w:rPr>
    </w:lvl>
    <w:lvl w:ilvl="4" w:tplc="0D12DA94">
      <w:start w:val="1"/>
      <w:numFmt w:val="bullet"/>
      <w:lvlText w:val=""/>
      <w:lvlJc w:val="left"/>
      <w:pPr>
        <w:ind w:left="720" w:hanging="360"/>
      </w:pPr>
      <w:rPr>
        <w:rFonts w:ascii="Symbol" w:hAnsi="Symbol"/>
      </w:rPr>
    </w:lvl>
    <w:lvl w:ilvl="5" w:tplc="D850232A">
      <w:start w:val="1"/>
      <w:numFmt w:val="bullet"/>
      <w:lvlText w:val=""/>
      <w:lvlJc w:val="left"/>
      <w:pPr>
        <w:ind w:left="720" w:hanging="360"/>
      </w:pPr>
      <w:rPr>
        <w:rFonts w:ascii="Symbol" w:hAnsi="Symbol"/>
      </w:rPr>
    </w:lvl>
    <w:lvl w:ilvl="6" w:tplc="5ACA57B8">
      <w:start w:val="1"/>
      <w:numFmt w:val="bullet"/>
      <w:lvlText w:val=""/>
      <w:lvlJc w:val="left"/>
      <w:pPr>
        <w:ind w:left="720" w:hanging="360"/>
      </w:pPr>
      <w:rPr>
        <w:rFonts w:ascii="Symbol" w:hAnsi="Symbol"/>
      </w:rPr>
    </w:lvl>
    <w:lvl w:ilvl="7" w:tplc="99C0CDF8">
      <w:start w:val="1"/>
      <w:numFmt w:val="bullet"/>
      <w:lvlText w:val=""/>
      <w:lvlJc w:val="left"/>
      <w:pPr>
        <w:ind w:left="720" w:hanging="360"/>
      </w:pPr>
      <w:rPr>
        <w:rFonts w:ascii="Symbol" w:hAnsi="Symbol"/>
      </w:rPr>
    </w:lvl>
    <w:lvl w:ilvl="8" w:tplc="50BC8C48">
      <w:start w:val="1"/>
      <w:numFmt w:val="bullet"/>
      <w:lvlText w:val=""/>
      <w:lvlJc w:val="left"/>
      <w:pPr>
        <w:ind w:left="720" w:hanging="360"/>
      </w:pPr>
      <w:rPr>
        <w:rFonts w:ascii="Symbol" w:hAnsi="Symbol"/>
      </w:rPr>
    </w:lvl>
  </w:abstractNum>
  <w:abstractNum w:abstractNumId="31" w15:restartNumberingAfterBreak="0">
    <w:nsid w:val="57343F97"/>
    <w:multiLevelType w:val="hybridMultilevel"/>
    <w:tmpl w:val="91387EF6"/>
    <w:lvl w:ilvl="0" w:tplc="1400A9EC">
      <w:start w:val="1"/>
      <w:numFmt w:val="bullet"/>
      <w:lvlText w:val="•"/>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59208702">
      <w:start w:val="1"/>
      <w:numFmt w:val="bullet"/>
      <w:lvlText w:val="o"/>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EE70EACE">
      <w:start w:val="1"/>
      <w:numFmt w:val="bullet"/>
      <w:lvlText w:val="▪"/>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976CA6F0">
      <w:start w:val="1"/>
      <w:numFmt w:val="bullet"/>
      <w:lvlText w:val="•"/>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F4F4FAEA">
      <w:start w:val="1"/>
      <w:numFmt w:val="bullet"/>
      <w:lvlText w:val="o"/>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9184DBEA">
      <w:start w:val="1"/>
      <w:numFmt w:val="bullet"/>
      <w:lvlText w:val="▪"/>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34061D16">
      <w:start w:val="1"/>
      <w:numFmt w:val="bullet"/>
      <w:lvlText w:val="•"/>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3CF8656E">
      <w:start w:val="1"/>
      <w:numFmt w:val="bullet"/>
      <w:lvlText w:val="o"/>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BED23382">
      <w:start w:val="1"/>
      <w:numFmt w:val="bullet"/>
      <w:lvlText w:val="▪"/>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7A540B0"/>
    <w:multiLevelType w:val="hybridMultilevel"/>
    <w:tmpl w:val="949812EA"/>
    <w:lvl w:ilvl="0" w:tplc="1B96B0DE">
      <w:start w:val="1"/>
      <w:numFmt w:val="bullet"/>
      <w:lvlText w:val="•"/>
      <w:lvlJc w:val="left"/>
      <w:pPr>
        <w:ind w:left="360" w:hanging="360"/>
      </w:pPr>
      <w:rPr>
        <w:rFonts w:ascii="Cambria" w:hAnsi="Cambria" w:hint="default"/>
      </w:rPr>
    </w:lvl>
    <w:lvl w:ilvl="1" w:tplc="C8087D52">
      <w:start w:val="1"/>
      <w:numFmt w:val="bullet"/>
      <w:lvlText w:val="o"/>
      <w:lvlJc w:val="left"/>
      <w:pPr>
        <w:ind w:left="1440" w:hanging="360"/>
      </w:pPr>
      <w:rPr>
        <w:rFonts w:ascii="Courier New" w:hAnsi="Courier New" w:hint="default"/>
      </w:rPr>
    </w:lvl>
    <w:lvl w:ilvl="2" w:tplc="426EF110">
      <w:start w:val="1"/>
      <w:numFmt w:val="bullet"/>
      <w:lvlText w:val=""/>
      <w:lvlJc w:val="left"/>
      <w:pPr>
        <w:ind w:left="2160" w:hanging="360"/>
      </w:pPr>
      <w:rPr>
        <w:rFonts w:ascii="Wingdings" w:hAnsi="Wingdings" w:hint="default"/>
      </w:rPr>
    </w:lvl>
    <w:lvl w:ilvl="3" w:tplc="A0126410">
      <w:start w:val="1"/>
      <w:numFmt w:val="bullet"/>
      <w:lvlText w:val=""/>
      <w:lvlJc w:val="left"/>
      <w:pPr>
        <w:ind w:left="2880" w:hanging="360"/>
      </w:pPr>
      <w:rPr>
        <w:rFonts w:ascii="Symbol" w:hAnsi="Symbol" w:hint="default"/>
      </w:rPr>
    </w:lvl>
    <w:lvl w:ilvl="4" w:tplc="1A28F85A">
      <w:start w:val="1"/>
      <w:numFmt w:val="bullet"/>
      <w:lvlText w:val="o"/>
      <w:lvlJc w:val="left"/>
      <w:pPr>
        <w:ind w:left="3600" w:hanging="360"/>
      </w:pPr>
      <w:rPr>
        <w:rFonts w:ascii="Courier New" w:hAnsi="Courier New" w:hint="default"/>
      </w:rPr>
    </w:lvl>
    <w:lvl w:ilvl="5" w:tplc="5FD61F2A">
      <w:start w:val="1"/>
      <w:numFmt w:val="bullet"/>
      <w:lvlText w:val=""/>
      <w:lvlJc w:val="left"/>
      <w:pPr>
        <w:ind w:left="4320" w:hanging="360"/>
      </w:pPr>
      <w:rPr>
        <w:rFonts w:ascii="Wingdings" w:hAnsi="Wingdings" w:hint="default"/>
      </w:rPr>
    </w:lvl>
    <w:lvl w:ilvl="6" w:tplc="D9B69B40">
      <w:start w:val="1"/>
      <w:numFmt w:val="bullet"/>
      <w:lvlText w:val=""/>
      <w:lvlJc w:val="left"/>
      <w:pPr>
        <w:ind w:left="5040" w:hanging="360"/>
      </w:pPr>
      <w:rPr>
        <w:rFonts w:ascii="Symbol" w:hAnsi="Symbol" w:hint="default"/>
      </w:rPr>
    </w:lvl>
    <w:lvl w:ilvl="7" w:tplc="637CFA3E">
      <w:start w:val="1"/>
      <w:numFmt w:val="bullet"/>
      <w:lvlText w:val="o"/>
      <w:lvlJc w:val="left"/>
      <w:pPr>
        <w:ind w:left="5760" w:hanging="360"/>
      </w:pPr>
      <w:rPr>
        <w:rFonts w:ascii="Courier New" w:hAnsi="Courier New" w:hint="default"/>
      </w:rPr>
    </w:lvl>
    <w:lvl w:ilvl="8" w:tplc="E56CE60C">
      <w:start w:val="1"/>
      <w:numFmt w:val="bullet"/>
      <w:lvlText w:val=""/>
      <w:lvlJc w:val="left"/>
      <w:pPr>
        <w:ind w:left="6480" w:hanging="360"/>
      </w:pPr>
      <w:rPr>
        <w:rFonts w:ascii="Wingdings" w:hAnsi="Wingdings" w:hint="default"/>
      </w:rPr>
    </w:lvl>
  </w:abstractNum>
  <w:abstractNum w:abstractNumId="33" w15:restartNumberingAfterBreak="0">
    <w:nsid w:val="5C6A1859"/>
    <w:multiLevelType w:val="hybridMultilevel"/>
    <w:tmpl w:val="8246196E"/>
    <w:lvl w:ilvl="0" w:tplc="FFFFFFFF">
      <w:start w:val="1"/>
      <w:numFmt w:val="bullet"/>
      <w:lvlText w:val="•"/>
      <w:lvlJc w:val="left"/>
      <w:pPr>
        <w:ind w:left="360"/>
      </w:pPr>
      <w:rPr>
        <w:rFonts w:ascii="Cambria" w:hAnsi="Cambria" w:hint="default"/>
        <w:b w:val="0"/>
        <w:i w:val="0"/>
        <w:strike w:val="0"/>
        <w:dstrike w:val="0"/>
        <w:color w:val="000000"/>
        <w:sz w:val="22"/>
        <w:szCs w:val="22"/>
        <w:u w:val="none" w:color="000000"/>
        <w:bdr w:val="none" w:sz="0" w:space="0" w:color="auto"/>
        <w:shd w:val="clear" w:color="auto" w:fill="auto"/>
        <w:vertAlign w:val="baseline"/>
      </w:rPr>
    </w:lvl>
    <w:lvl w:ilvl="1" w:tplc="73CA6DCA">
      <w:start w:val="1"/>
      <w:numFmt w:val="bullet"/>
      <w:lvlText w:val="o"/>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58B44EB4">
      <w:start w:val="1"/>
      <w:numFmt w:val="bullet"/>
      <w:lvlText w:val="▪"/>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D91470EE">
      <w:start w:val="1"/>
      <w:numFmt w:val="bullet"/>
      <w:lvlText w:val="•"/>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FA8EC1CC">
      <w:start w:val="1"/>
      <w:numFmt w:val="bullet"/>
      <w:lvlText w:val="o"/>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55C84E8C">
      <w:start w:val="1"/>
      <w:numFmt w:val="bullet"/>
      <w:lvlText w:val="▪"/>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C6ECF2F4">
      <w:start w:val="1"/>
      <w:numFmt w:val="bullet"/>
      <w:lvlText w:val="•"/>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2B108B76">
      <w:start w:val="1"/>
      <w:numFmt w:val="bullet"/>
      <w:lvlText w:val="o"/>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A86E31D0">
      <w:start w:val="1"/>
      <w:numFmt w:val="bullet"/>
      <w:lvlText w:val="▪"/>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5FB35489"/>
    <w:multiLevelType w:val="hybridMultilevel"/>
    <w:tmpl w:val="A578A032"/>
    <w:lvl w:ilvl="0" w:tplc="0C1AC1CE">
      <w:start w:val="1"/>
      <w:numFmt w:val="bullet"/>
      <w:lvlText w:val="•"/>
      <w:lvlJc w:val="left"/>
      <w:pPr>
        <w:ind w:left="360" w:hanging="360"/>
      </w:pPr>
      <w:rPr>
        <w:rFonts w:ascii="Cambria" w:hAnsi="Cambria" w:hint="default"/>
      </w:rPr>
    </w:lvl>
    <w:lvl w:ilvl="1" w:tplc="755A9484">
      <w:start w:val="1"/>
      <w:numFmt w:val="bullet"/>
      <w:lvlText w:val="o"/>
      <w:lvlJc w:val="left"/>
      <w:pPr>
        <w:ind w:left="1440" w:hanging="360"/>
      </w:pPr>
      <w:rPr>
        <w:rFonts w:ascii="Courier New" w:hAnsi="Courier New" w:hint="default"/>
      </w:rPr>
    </w:lvl>
    <w:lvl w:ilvl="2" w:tplc="1E002D2A">
      <w:start w:val="1"/>
      <w:numFmt w:val="bullet"/>
      <w:lvlText w:val=""/>
      <w:lvlJc w:val="left"/>
      <w:pPr>
        <w:ind w:left="2160" w:hanging="360"/>
      </w:pPr>
      <w:rPr>
        <w:rFonts w:ascii="Wingdings" w:hAnsi="Wingdings" w:hint="default"/>
      </w:rPr>
    </w:lvl>
    <w:lvl w:ilvl="3" w:tplc="2FE8295C">
      <w:start w:val="1"/>
      <w:numFmt w:val="bullet"/>
      <w:lvlText w:val=""/>
      <w:lvlJc w:val="left"/>
      <w:pPr>
        <w:ind w:left="2880" w:hanging="360"/>
      </w:pPr>
      <w:rPr>
        <w:rFonts w:ascii="Symbol" w:hAnsi="Symbol" w:hint="default"/>
      </w:rPr>
    </w:lvl>
    <w:lvl w:ilvl="4" w:tplc="F49CAAE8">
      <w:start w:val="1"/>
      <w:numFmt w:val="bullet"/>
      <w:lvlText w:val="o"/>
      <w:lvlJc w:val="left"/>
      <w:pPr>
        <w:ind w:left="3600" w:hanging="360"/>
      </w:pPr>
      <w:rPr>
        <w:rFonts w:ascii="Courier New" w:hAnsi="Courier New" w:hint="default"/>
      </w:rPr>
    </w:lvl>
    <w:lvl w:ilvl="5" w:tplc="00BC918E">
      <w:start w:val="1"/>
      <w:numFmt w:val="bullet"/>
      <w:lvlText w:val=""/>
      <w:lvlJc w:val="left"/>
      <w:pPr>
        <w:ind w:left="4320" w:hanging="360"/>
      </w:pPr>
      <w:rPr>
        <w:rFonts w:ascii="Wingdings" w:hAnsi="Wingdings" w:hint="default"/>
      </w:rPr>
    </w:lvl>
    <w:lvl w:ilvl="6" w:tplc="7CB217D4">
      <w:start w:val="1"/>
      <w:numFmt w:val="bullet"/>
      <w:lvlText w:val=""/>
      <w:lvlJc w:val="left"/>
      <w:pPr>
        <w:ind w:left="5040" w:hanging="360"/>
      </w:pPr>
      <w:rPr>
        <w:rFonts w:ascii="Symbol" w:hAnsi="Symbol" w:hint="default"/>
      </w:rPr>
    </w:lvl>
    <w:lvl w:ilvl="7" w:tplc="A0B820D0">
      <w:start w:val="1"/>
      <w:numFmt w:val="bullet"/>
      <w:lvlText w:val="o"/>
      <w:lvlJc w:val="left"/>
      <w:pPr>
        <w:ind w:left="5760" w:hanging="360"/>
      </w:pPr>
      <w:rPr>
        <w:rFonts w:ascii="Courier New" w:hAnsi="Courier New" w:hint="default"/>
      </w:rPr>
    </w:lvl>
    <w:lvl w:ilvl="8" w:tplc="2DEABEC8">
      <w:start w:val="1"/>
      <w:numFmt w:val="bullet"/>
      <w:lvlText w:val=""/>
      <w:lvlJc w:val="left"/>
      <w:pPr>
        <w:ind w:left="6480" w:hanging="360"/>
      </w:pPr>
      <w:rPr>
        <w:rFonts w:ascii="Wingdings" w:hAnsi="Wingdings" w:hint="default"/>
      </w:rPr>
    </w:lvl>
  </w:abstractNum>
  <w:abstractNum w:abstractNumId="35" w15:restartNumberingAfterBreak="0">
    <w:nsid w:val="62E534BF"/>
    <w:multiLevelType w:val="hybridMultilevel"/>
    <w:tmpl w:val="2F92488E"/>
    <w:lvl w:ilvl="0" w:tplc="C218C93C">
      <w:start w:val="1"/>
      <w:numFmt w:val="bullet"/>
      <w:lvlText w:val=""/>
      <w:lvlJc w:val="left"/>
      <w:pPr>
        <w:ind w:left="716" w:hanging="360"/>
      </w:pPr>
      <w:rPr>
        <w:rFonts w:ascii="Symbol" w:hAnsi="Symbol" w:hint="default"/>
        <w:color w:val="auto"/>
      </w:rPr>
    </w:lvl>
    <w:lvl w:ilvl="1" w:tplc="0C090003" w:tentative="1">
      <w:start w:val="1"/>
      <w:numFmt w:val="bullet"/>
      <w:lvlText w:val="o"/>
      <w:lvlJc w:val="left"/>
      <w:pPr>
        <w:ind w:left="1436" w:hanging="360"/>
      </w:pPr>
      <w:rPr>
        <w:rFonts w:ascii="Courier New" w:hAnsi="Courier New" w:cs="Courier New" w:hint="default"/>
      </w:rPr>
    </w:lvl>
    <w:lvl w:ilvl="2" w:tplc="0C090005" w:tentative="1">
      <w:start w:val="1"/>
      <w:numFmt w:val="bullet"/>
      <w:lvlText w:val=""/>
      <w:lvlJc w:val="left"/>
      <w:pPr>
        <w:ind w:left="2156" w:hanging="360"/>
      </w:pPr>
      <w:rPr>
        <w:rFonts w:ascii="Wingdings" w:hAnsi="Wingdings" w:hint="default"/>
      </w:rPr>
    </w:lvl>
    <w:lvl w:ilvl="3" w:tplc="0C090001" w:tentative="1">
      <w:start w:val="1"/>
      <w:numFmt w:val="bullet"/>
      <w:lvlText w:val=""/>
      <w:lvlJc w:val="left"/>
      <w:pPr>
        <w:ind w:left="2876" w:hanging="360"/>
      </w:pPr>
      <w:rPr>
        <w:rFonts w:ascii="Symbol" w:hAnsi="Symbol" w:hint="default"/>
      </w:rPr>
    </w:lvl>
    <w:lvl w:ilvl="4" w:tplc="0C090003" w:tentative="1">
      <w:start w:val="1"/>
      <w:numFmt w:val="bullet"/>
      <w:lvlText w:val="o"/>
      <w:lvlJc w:val="left"/>
      <w:pPr>
        <w:ind w:left="3596" w:hanging="360"/>
      </w:pPr>
      <w:rPr>
        <w:rFonts w:ascii="Courier New" w:hAnsi="Courier New" w:cs="Courier New" w:hint="default"/>
      </w:rPr>
    </w:lvl>
    <w:lvl w:ilvl="5" w:tplc="0C090005" w:tentative="1">
      <w:start w:val="1"/>
      <w:numFmt w:val="bullet"/>
      <w:lvlText w:val=""/>
      <w:lvlJc w:val="left"/>
      <w:pPr>
        <w:ind w:left="4316" w:hanging="360"/>
      </w:pPr>
      <w:rPr>
        <w:rFonts w:ascii="Wingdings" w:hAnsi="Wingdings" w:hint="default"/>
      </w:rPr>
    </w:lvl>
    <w:lvl w:ilvl="6" w:tplc="0C090001" w:tentative="1">
      <w:start w:val="1"/>
      <w:numFmt w:val="bullet"/>
      <w:lvlText w:val=""/>
      <w:lvlJc w:val="left"/>
      <w:pPr>
        <w:ind w:left="5036" w:hanging="360"/>
      </w:pPr>
      <w:rPr>
        <w:rFonts w:ascii="Symbol" w:hAnsi="Symbol" w:hint="default"/>
      </w:rPr>
    </w:lvl>
    <w:lvl w:ilvl="7" w:tplc="0C090003" w:tentative="1">
      <w:start w:val="1"/>
      <w:numFmt w:val="bullet"/>
      <w:lvlText w:val="o"/>
      <w:lvlJc w:val="left"/>
      <w:pPr>
        <w:ind w:left="5756" w:hanging="360"/>
      </w:pPr>
      <w:rPr>
        <w:rFonts w:ascii="Courier New" w:hAnsi="Courier New" w:cs="Courier New" w:hint="default"/>
      </w:rPr>
    </w:lvl>
    <w:lvl w:ilvl="8" w:tplc="0C090005" w:tentative="1">
      <w:start w:val="1"/>
      <w:numFmt w:val="bullet"/>
      <w:lvlText w:val=""/>
      <w:lvlJc w:val="left"/>
      <w:pPr>
        <w:ind w:left="6476" w:hanging="360"/>
      </w:pPr>
      <w:rPr>
        <w:rFonts w:ascii="Wingdings" w:hAnsi="Wingdings" w:hint="default"/>
      </w:rPr>
    </w:lvl>
  </w:abstractNum>
  <w:abstractNum w:abstractNumId="36" w15:restartNumberingAfterBreak="0">
    <w:nsid w:val="63F7461F"/>
    <w:multiLevelType w:val="hybridMultilevel"/>
    <w:tmpl w:val="9BEE8F34"/>
    <w:lvl w:ilvl="0" w:tplc="21BCA836">
      <w:start w:val="1"/>
      <w:numFmt w:val="bullet"/>
      <w:lvlText w:val="•"/>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9A8C98F4">
      <w:start w:val="1"/>
      <w:numFmt w:val="bullet"/>
      <w:lvlText w:val="o"/>
      <w:lvlJc w:val="left"/>
      <w:pPr>
        <w:ind w:left="108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639A983E">
      <w:start w:val="1"/>
      <w:numFmt w:val="bullet"/>
      <w:lvlText w:val="▪"/>
      <w:lvlJc w:val="left"/>
      <w:pPr>
        <w:ind w:left="180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12E6843E">
      <w:start w:val="1"/>
      <w:numFmt w:val="bullet"/>
      <w:lvlText w:val="•"/>
      <w:lvlJc w:val="left"/>
      <w:pPr>
        <w:ind w:left="252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B8D42B12">
      <w:start w:val="1"/>
      <w:numFmt w:val="bullet"/>
      <w:lvlText w:val="o"/>
      <w:lvlJc w:val="left"/>
      <w:pPr>
        <w:ind w:left="324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A0324B92">
      <w:start w:val="1"/>
      <w:numFmt w:val="bullet"/>
      <w:lvlText w:val="▪"/>
      <w:lvlJc w:val="left"/>
      <w:pPr>
        <w:ind w:left="396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7C8EB5BC">
      <w:start w:val="1"/>
      <w:numFmt w:val="bullet"/>
      <w:lvlText w:val="•"/>
      <w:lvlJc w:val="left"/>
      <w:pPr>
        <w:ind w:left="468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7242CB34">
      <w:start w:val="1"/>
      <w:numFmt w:val="bullet"/>
      <w:lvlText w:val="o"/>
      <w:lvlJc w:val="left"/>
      <w:pPr>
        <w:ind w:left="540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41B8C48C">
      <w:start w:val="1"/>
      <w:numFmt w:val="bullet"/>
      <w:lvlText w:val="▪"/>
      <w:lvlJc w:val="left"/>
      <w:pPr>
        <w:ind w:left="612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640BF1A3"/>
    <w:multiLevelType w:val="hybridMultilevel"/>
    <w:tmpl w:val="48C89242"/>
    <w:lvl w:ilvl="0" w:tplc="79484330">
      <w:start w:val="1"/>
      <w:numFmt w:val="bullet"/>
      <w:lvlText w:val="•"/>
      <w:lvlJc w:val="left"/>
      <w:pPr>
        <w:ind w:left="360" w:hanging="360"/>
      </w:pPr>
      <w:rPr>
        <w:rFonts w:ascii="Cambria" w:hAnsi="Cambria" w:hint="default"/>
      </w:rPr>
    </w:lvl>
    <w:lvl w:ilvl="1" w:tplc="D400B30E">
      <w:start w:val="1"/>
      <w:numFmt w:val="bullet"/>
      <w:lvlText w:val="o"/>
      <w:lvlJc w:val="left"/>
      <w:pPr>
        <w:ind w:left="1440" w:hanging="360"/>
      </w:pPr>
      <w:rPr>
        <w:rFonts w:ascii="Courier New" w:hAnsi="Courier New" w:hint="default"/>
      </w:rPr>
    </w:lvl>
    <w:lvl w:ilvl="2" w:tplc="C6041C82">
      <w:start w:val="1"/>
      <w:numFmt w:val="bullet"/>
      <w:lvlText w:val=""/>
      <w:lvlJc w:val="left"/>
      <w:pPr>
        <w:ind w:left="2160" w:hanging="360"/>
      </w:pPr>
      <w:rPr>
        <w:rFonts w:ascii="Wingdings" w:hAnsi="Wingdings" w:hint="default"/>
      </w:rPr>
    </w:lvl>
    <w:lvl w:ilvl="3" w:tplc="ED0A2F92">
      <w:start w:val="1"/>
      <w:numFmt w:val="bullet"/>
      <w:lvlText w:val=""/>
      <w:lvlJc w:val="left"/>
      <w:pPr>
        <w:ind w:left="2880" w:hanging="360"/>
      </w:pPr>
      <w:rPr>
        <w:rFonts w:ascii="Symbol" w:hAnsi="Symbol" w:hint="default"/>
      </w:rPr>
    </w:lvl>
    <w:lvl w:ilvl="4" w:tplc="6A0834F4">
      <w:start w:val="1"/>
      <w:numFmt w:val="bullet"/>
      <w:lvlText w:val="o"/>
      <w:lvlJc w:val="left"/>
      <w:pPr>
        <w:ind w:left="3600" w:hanging="360"/>
      </w:pPr>
      <w:rPr>
        <w:rFonts w:ascii="Courier New" w:hAnsi="Courier New" w:hint="default"/>
      </w:rPr>
    </w:lvl>
    <w:lvl w:ilvl="5" w:tplc="E5046A84">
      <w:start w:val="1"/>
      <w:numFmt w:val="bullet"/>
      <w:lvlText w:val=""/>
      <w:lvlJc w:val="left"/>
      <w:pPr>
        <w:ind w:left="4320" w:hanging="360"/>
      </w:pPr>
      <w:rPr>
        <w:rFonts w:ascii="Wingdings" w:hAnsi="Wingdings" w:hint="default"/>
      </w:rPr>
    </w:lvl>
    <w:lvl w:ilvl="6" w:tplc="BBE6E6D8">
      <w:start w:val="1"/>
      <w:numFmt w:val="bullet"/>
      <w:lvlText w:val=""/>
      <w:lvlJc w:val="left"/>
      <w:pPr>
        <w:ind w:left="5040" w:hanging="360"/>
      </w:pPr>
      <w:rPr>
        <w:rFonts w:ascii="Symbol" w:hAnsi="Symbol" w:hint="default"/>
      </w:rPr>
    </w:lvl>
    <w:lvl w:ilvl="7" w:tplc="87D0D8BC">
      <w:start w:val="1"/>
      <w:numFmt w:val="bullet"/>
      <w:lvlText w:val="o"/>
      <w:lvlJc w:val="left"/>
      <w:pPr>
        <w:ind w:left="5760" w:hanging="360"/>
      </w:pPr>
      <w:rPr>
        <w:rFonts w:ascii="Courier New" w:hAnsi="Courier New" w:hint="default"/>
      </w:rPr>
    </w:lvl>
    <w:lvl w:ilvl="8" w:tplc="3AF64BA0">
      <w:start w:val="1"/>
      <w:numFmt w:val="bullet"/>
      <w:lvlText w:val=""/>
      <w:lvlJc w:val="left"/>
      <w:pPr>
        <w:ind w:left="6480" w:hanging="360"/>
      </w:pPr>
      <w:rPr>
        <w:rFonts w:ascii="Wingdings" w:hAnsi="Wingdings" w:hint="default"/>
      </w:rPr>
    </w:lvl>
  </w:abstractNum>
  <w:abstractNum w:abstractNumId="38" w15:restartNumberingAfterBreak="0">
    <w:nsid w:val="6989838F"/>
    <w:multiLevelType w:val="hybridMultilevel"/>
    <w:tmpl w:val="C66A756C"/>
    <w:lvl w:ilvl="0" w:tplc="1E366A70">
      <w:start w:val="1"/>
      <w:numFmt w:val="bullet"/>
      <w:lvlText w:val=""/>
      <w:lvlJc w:val="left"/>
      <w:pPr>
        <w:ind w:left="360" w:hanging="360"/>
      </w:pPr>
      <w:rPr>
        <w:rFonts w:ascii="Symbol" w:hAnsi="Symbol" w:hint="default"/>
      </w:rPr>
    </w:lvl>
    <w:lvl w:ilvl="1" w:tplc="D25CBF04">
      <w:start w:val="1"/>
      <w:numFmt w:val="bullet"/>
      <w:lvlText w:val="o"/>
      <w:lvlJc w:val="left"/>
      <w:pPr>
        <w:ind w:left="1080" w:hanging="360"/>
      </w:pPr>
      <w:rPr>
        <w:rFonts w:ascii="Courier New" w:hAnsi="Courier New" w:hint="default"/>
      </w:rPr>
    </w:lvl>
    <w:lvl w:ilvl="2" w:tplc="AD8088AA">
      <w:start w:val="1"/>
      <w:numFmt w:val="bullet"/>
      <w:lvlText w:val=""/>
      <w:lvlJc w:val="left"/>
      <w:pPr>
        <w:ind w:left="1800" w:hanging="360"/>
      </w:pPr>
      <w:rPr>
        <w:rFonts w:ascii="Wingdings" w:hAnsi="Wingdings" w:hint="default"/>
      </w:rPr>
    </w:lvl>
    <w:lvl w:ilvl="3" w:tplc="8604C25A">
      <w:start w:val="1"/>
      <w:numFmt w:val="bullet"/>
      <w:lvlText w:val=""/>
      <w:lvlJc w:val="left"/>
      <w:pPr>
        <w:ind w:left="2520" w:hanging="360"/>
      </w:pPr>
      <w:rPr>
        <w:rFonts w:ascii="Symbol" w:hAnsi="Symbol" w:hint="default"/>
      </w:rPr>
    </w:lvl>
    <w:lvl w:ilvl="4" w:tplc="68BA2C4C">
      <w:start w:val="1"/>
      <w:numFmt w:val="bullet"/>
      <w:lvlText w:val="o"/>
      <w:lvlJc w:val="left"/>
      <w:pPr>
        <w:ind w:left="3240" w:hanging="360"/>
      </w:pPr>
      <w:rPr>
        <w:rFonts w:ascii="Courier New" w:hAnsi="Courier New" w:hint="default"/>
      </w:rPr>
    </w:lvl>
    <w:lvl w:ilvl="5" w:tplc="CE041CCC">
      <w:start w:val="1"/>
      <w:numFmt w:val="bullet"/>
      <w:lvlText w:val=""/>
      <w:lvlJc w:val="left"/>
      <w:pPr>
        <w:ind w:left="3960" w:hanging="360"/>
      </w:pPr>
      <w:rPr>
        <w:rFonts w:ascii="Wingdings" w:hAnsi="Wingdings" w:hint="default"/>
      </w:rPr>
    </w:lvl>
    <w:lvl w:ilvl="6" w:tplc="155E0A0E">
      <w:start w:val="1"/>
      <w:numFmt w:val="bullet"/>
      <w:lvlText w:val=""/>
      <w:lvlJc w:val="left"/>
      <w:pPr>
        <w:ind w:left="4680" w:hanging="360"/>
      </w:pPr>
      <w:rPr>
        <w:rFonts w:ascii="Symbol" w:hAnsi="Symbol" w:hint="default"/>
      </w:rPr>
    </w:lvl>
    <w:lvl w:ilvl="7" w:tplc="0B54EAB0">
      <w:start w:val="1"/>
      <w:numFmt w:val="bullet"/>
      <w:lvlText w:val="o"/>
      <w:lvlJc w:val="left"/>
      <w:pPr>
        <w:ind w:left="5400" w:hanging="360"/>
      </w:pPr>
      <w:rPr>
        <w:rFonts w:ascii="Courier New" w:hAnsi="Courier New" w:hint="default"/>
      </w:rPr>
    </w:lvl>
    <w:lvl w:ilvl="8" w:tplc="E37CB5C6">
      <w:start w:val="1"/>
      <w:numFmt w:val="bullet"/>
      <w:lvlText w:val=""/>
      <w:lvlJc w:val="left"/>
      <w:pPr>
        <w:ind w:left="6120" w:hanging="360"/>
      </w:pPr>
      <w:rPr>
        <w:rFonts w:ascii="Wingdings" w:hAnsi="Wingdings" w:hint="default"/>
      </w:rPr>
    </w:lvl>
  </w:abstractNum>
  <w:abstractNum w:abstractNumId="39" w15:restartNumberingAfterBreak="0">
    <w:nsid w:val="69F2346A"/>
    <w:multiLevelType w:val="hybridMultilevel"/>
    <w:tmpl w:val="CAC451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C75235E"/>
    <w:multiLevelType w:val="hybridMultilevel"/>
    <w:tmpl w:val="FBD6CBC8"/>
    <w:lvl w:ilvl="0" w:tplc="5A8C312C">
      <w:start w:val="1"/>
      <w:numFmt w:val="bullet"/>
      <w:lvlText w:val=""/>
      <w:lvlJc w:val="left"/>
      <w:pPr>
        <w:ind w:left="720" w:hanging="360"/>
      </w:pPr>
      <w:rPr>
        <w:rFonts w:ascii="Symbol" w:hAnsi="Symbol"/>
      </w:rPr>
    </w:lvl>
    <w:lvl w:ilvl="1" w:tplc="B75CFA12">
      <w:start w:val="1"/>
      <w:numFmt w:val="bullet"/>
      <w:lvlText w:val=""/>
      <w:lvlJc w:val="left"/>
      <w:pPr>
        <w:ind w:left="720" w:hanging="360"/>
      </w:pPr>
      <w:rPr>
        <w:rFonts w:ascii="Symbol" w:hAnsi="Symbol"/>
      </w:rPr>
    </w:lvl>
    <w:lvl w:ilvl="2" w:tplc="104C8D1A">
      <w:start w:val="1"/>
      <w:numFmt w:val="bullet"/>
      <w:lvlText w:val=""/>
      <w:lvlJc w:val="left"/>
      <w:pPr>
        <w:ind w:left="720" w:hanging="360"/>
      </w:pPr>
      <w:rPr>
        <w:rFonts w:ascii="Symbol" w:hAnsi="Symbol"/>
      </w:rPr>
    </w:lvl>
    <w:lvl w:ilvl="3" w:tplc="C7F22588">
      <w:start w:val="1"/>
      <w:numFmt w:val="bullet"/>
      <w:lvlText w:val=""/>
      <w:lvlJc w:val="left"/>
      <w:pPr>
        <w:ind w:left="720" w:hanging="360"/>
      </w:pPr>
      <w:rPr>
        <w:rFonts w:ascii="Symbol" w:hAnsi="Symbol"/>
      </w:rPr>
    </w:lvl>
    <w:lvl w:ilvl="4" w:tplc="266A1FAE">
      <w:start w:val="1"/>
      <w:numFmt w:val="bullet"/>
      <w:lvlText w:val=""/>
      <w:lvlJc w:val="left"/>
      <w:pPr>
        <w:ind w:left="720" w:hanging="360"/>
      </w:pPr>
      <w:rPr>
        <w:rFonts w:ascii="Symbol" w:hAnsi="Symbol"/>
      </w:rPr>
    </w:lvl>
    <w:lvl w:ilvl="5" w:tplc="B9DE3192">
      <w:start w:val="1"/>
      <w:numFmt w:val="bullet"/>
      <w:lvlText w:val=""/>
      <w:lvlJc w:val="left"/>
      <w:pPr>
        <w:ind w:left="720" w:hanging="360"/>
      </w:pPr>
      <w:rPr>
        <w:rFonts w:ascii="Symbol" w:hAnsi="Symbol"/>
      </w:rPr>
    </w:lvl>
    <w:lvl w:ilvl="6" w:tplc="0D7A3CB2">
      <w:start w:val="1"/>
      <w:numFmt w:val="bullet"/>
      <w:lvlText w:val=""/>
      <w:lvlJc w:val="left"/>
      <w:pPr>
        <w:ind w:left="720" w:hanging="360"/>
      </w:pPr>
      <w:rPr>
        <w:rFonts w:ascii="Symbol" w:hAnsi="Symbol"/>
      </w:rPr>
    </w:lvl>
    <w:lvl w:ilvl="7" w:tplc="054C9A3A">
      <w:start w:val="1"/>
      <w:numFmt w:val="bullet"/>
      <w:lvlText w:val=""/>
      <w:lvlJc w:val="left"/>
      <w:pPr>
        <w:ind w:left="720" w:hanging="360"/>
      </w:pPr>
      <w:rPr>
        <w:rFonts w:ascii="Symbol" w:hAnsi="Symbol"/>
      </w:rPr>
    </w:lvl>
    <w:lvl w:ilvl="8" w:tplc="2952B5EC">
      <w:start w:val="1"/>
      <w:numFmt w:val="bullet"/>
      <w:lvlText w:val=""/>
      <w:lvlJc w:val="left"/>
      <w:pPr>
        <w:ind w:left="720" w:hanging="360"/>
      </w:pPr>
      <w:rPr>
        <w:rFonts w:ascii="Symbol" w:hAnsi="Symbol"/>
      </w:rPr>
    </w:lvl>
  </w:abstractNum>
  <w:abstractNum w:abstractNumId="41" w15:restartNumberingAfterBreak="0">
    <w:nsid w:val="71DD7514"/>
    <w:multiLevelType w:val="hybridMultilevel"/>
    <w:tmpl w:val="8938B568"/>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42" w15:restartNumberingAfterBreak="0">
    <w:nsid w:val="79A80034"/>
    <w:multiLevelType w:val="hybridMultilevel"/>
    <w:tmpl w:val="02A010DC"/>
    <w:lvl w:ilvl="0" w:tplc="3E50DF1E">
      <w:start w:val="1"/>
      <w:numFmt w:val="bullet"/>
      <w:lvlText w:val=""/>
      <w:lvlJc w:val="left"/>
      <w:pPr>
        <w:ind w:left="720" w:hanging="360"/>
      </w:pPr>
      <w:rPr>
        <w:rFonts w:ascii="Symbol" w:hAnsi="Symbol" w:hint="default"/>
        <w:color w:val="auto"/>
      </w:rPr>
    </w:lvl>
    <w:lvl w:ilvl="1" w:tplc="95429514">
      <w:start w:val="1"/>
      <w:numFmt w:val="bullet"/>
      <w:lvlText w:val="o"/>
      <w:lvlJc w:val="left"/>
      <w:pPr>
        <w:ind w:left="1440" w:hanging="360"/>
      </w:pPr>
      <w:rPr>
        <w:rFonts w:ascii="Courier New" w:hAnsi="Courier New" w:hint="default"/>
      </w:rPr>
    </w:lvl>
    <w:lvl w:ilvl="2" w:tplc="A0D8EBE8">
      <w:start w:val="1"/>
      <w:numFmt w:val="bullet"/>
      <w:lvlText w:val=""/>
      <w:lvlJc w:val="left"/>
      <w:pPr>
        <w:ind w:left="2160" w:hanging="360"/>
      </w:pPr>
      <w:rPr>
        <w:rFonts w:ascii="Wingdings" w:hAnsi="Wingdings" w:hint="default"/>
      </w:rPr>
    </w:lvl>
    <w:lvl w:ilvl="3" w:tplc="BF629C96">
      <w:start w:val="1"/>
      <w:numFmt w:val="bullet"/>
      <w:lvlText w:val=""/>
      <w:lvlJc w:val="left"/>
      <w:pPr>
        <w:ind w:left="2880" w:hanging="360"/>
      </w:pPr>
      <w:rPr>
        <w:rFonts w:ascii="Symbol" w:hAnsi="Symbol" w:hint="default"/>
      </w:rPr>
    </w:lvl>
    <w:lvl w:ilvl="4" w:tplc="96A237FA">
      <w:start w:val="1"/>
      <w:numFmt w:val="bullet"/>
      <w:lvlText w:val="o"/>
      <w:lvlJc w:val="left"/>
      <w:pPr>
        <w:ind w:left="3600" w:hanging="360"/>
      </w:pPr>
      <w:rPr>
        <w:rFonts w:ascii="Courier New" w:hAnsi="Courier New" w:hint="default"/>
      </w:rPr>
    </w:lvl>
    <w:lvl w:ilvl="5" w:tplc="F07A200E">
      <w:start w:val="1"/>
      <w:numFmt w:val="bullet"/>
      <w:lvlText w:val=""/>
      <w:lvlJc w:val="left"/>
      <w:pPr>
        <w:ind w:left="4320" w:hanging="360"/>
      </w:pPr>
      <w:rPr>
        <w:rFonts w:ascii="Wingdings" w:hAnsi="Wingdings" w:hint="default"/>
      </w:rPr>
    </w:lvl>
    <w:lvl w:ilvl="6" w:tplc="1E38C992">
      <w:start w:val="1"/>
      <w:numFmt w:val="bullet"/>
      <w:lvlText w:val=""/>
      <w:lvlJc w:val="left"/>
      <w:pPr>
        <w:ind w:left="5040" w:hanging="360"/>
      </w:pPr>
      <w:rPr>
        <w:rFonts w:ascii="Symbol" w:hAnsi="Symbol" w:hint="default"/>
      </w:rPr>
    </w:lvl>
    <w:lvl w:ilvl="7" w:tplc="6704731E">
      <w:start w:val="1"/>
      <w:numFmt w:val="bullet"/>
      <w:lvlText w:val="o"/>
      <w:lvlJc w:val="left"/>
      <w:pPr>
        <w:ind w:left="5760" w:hanging="360"/>
      </w:pPr>
      <w:rPr>
        <w:rFonts w:ascii="Courier New" w:hAnsi="Courier New" w:hint="default"/>
      </w:rPr>
    </w:lvl>
    <w:lvl w:ilvl="8" w:tplc="ADF6454A">
      <w:start w:val="1"/>
      <w:numFmt w:val="bullet"/>
      <w:lvlText w:val=""/>
      <w:lvlJc w:val="left"/>
      <w:pPr>
        <w:ind w:left="6480" w:hanging="360"/>
      </w:pPr>
      <w:rPr>
        <w:rFonts w:ascii="Wingdings" w:hAnsi="Wingdings" w:hint="default"/>
      </w:rPr>
    </w:lvl>
  </w:abstractNum>
  <w:abstractNum w:abstractNumId="43" w15:restartNumberingAfterBreak="0">
    <w:nsid w:val="7D4B6757"/>
    <w:multiLevelType w:val="hybridMultilevel"/>
    <w:tmpl w:val="E9C8269C"/>
    <w:lvl w:ilvl="0" w:tplc="FFFFFFFF">
      <w:start w:val="1"/>
      <w:numFmt w:val="bullet"/>
      <w:lvlText w:val="•"/>
      <w:lvlJc w:val="left"/>
      <w:pPr>
        <w:ind w:left="1074"/>
      </w:pPr>
      <w:rPr>
        <w:rFonts w:ascii="Cambria" w:hAnsi="Cambria" w:hint="default"/>
        <w:b w:val="0"/>
        <w:i w:val="0"/>
        <w:strike w:val="0"/>
        <w:dstrike w:val="0"/>
        <w:color w:val="000000"/>
        <w:sz w:val="22"/>
        <w:szCs w:val="22"/>
        <w:u w:val="none" w:color="000000"/>
        <w:bdr w:val="none" w:sz="0" w:space="0" w:color="auto"/>
        <w:shd w:val="clear" w:color="auto" w:fill="auto"/>
        <w:vertAlign w:val="baseline"/>
      </w:rPr>
    </w:lvl>
    <w:lvl w:ilvl="1" w:tplc="6C80DDF0">
      <w:start w:val="1"/>
      <w:numFmt w:val="bullet"/>
      <w:lvlText w:val="–"/>
      <w:lvlJc w:val="left"/>
      <w:pPr>
        <w:ind w:left="15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E747760">
      <w:start w:val="1"/>
      <w:numFmt w:val="bullet"/>
      <w:lvlText w:val="▪"/>
      <w:lvlJc w:val="left"/>
      <w:pPr>
        <w:ind w:left="2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1268842">
      <w:start w:val="1"/>
      <w:numFmt w:val="bullet"/>
      <w:lvlText w:val="•"/>
      <w:lvlJc w:val="left"/>
      <w:pPr>
        <w:ind w:left="2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690232C">
      <w:start w:val="1"/>
      <w:numFmt w:val="bullet"/>
      <w:lvlText w:val="o"/>
      <w:lvlJc w:val="left"/>
      <w:pPr>
        <w:ind w:left="3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628C720">
      <w:start w:val="1"/>
      <w:numFmt w:val="bullet"/>
      <w:lvlText w:val="▪"/>
      <w:lvlJc w:val="left"/>
      <w:pPr>
        <w:ind w:left="43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122EC3E">
      <w:start w:val="1"/>
      <w:numFmt w:val="bullet"/>
      <w:lvlText w:val="•"/>
      <w:lvlJc w:val="left"/>
      <w:pPr>
        <w:ind w:left="51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A389FF2">
      <w:start w:val="1"/>
      <w:numFmt w:val="bullet"/>
      <w:lvlText w:val="o"/>
      <w:lvlJc w:val="left"/>
      <w:pPr>
        <w:ind w:left="58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3421DEC">
      <w:start w:val="1"/>
      <w:numFmt w:val="bullet"/>
      <w:lvlText w:val="▪"/>
      <w:lvlJc w:val="left"/>
      <w:pPr>
        <w:ind w:left="6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362942254">
    <w:abstractNumId w:val="11"/>
  </w:num>
  <w:num w:numId="2" w16cid:durableId="1804887789">
    <w:abstractNumId w:val="15"/>
  </w:num>
  <w:num w:numId="3" w16cid:durableId="2114395464">
    <w:abstractNumId w:val="5"/>
  </w:num>
  <w:num w:numId="4" w16cid:durableId="1818568179">
    <w:abstractNumId w:val="38"/>
  </w:num>
  <w:num w:numId="5" w16cid:durableId="886527527">
    <w:abstractNumId w:val="42"/>
  </w:num>
  <w:num w:numId="6" w16cid:durableId="2091733576">
    <w:abstractNumId w:val="22"/>
  </w:num>
  <w:num w:numId="7" w16cid:durableId="1607155856">
    <w:abstractNumId w:val="8"/>
  </w:num>
  <w:num w:numId="8" w16cid:durableId="474689513">
    <w:abstractNumId w:val="4"/>
  </w:num>
  <w:num w:numId="9" w16cid:durableId="978998363">
    <w:abstractNumId w:val="7"/>
  </w:num>
  <w:num w:numId="10" w16cid:durableId="1685132348">
    <w:abstractNumId w:val="29"/>
  </w:num>
  <w:num w:numId="11" w16cid:durableId="1898467585">
    <w:abstractNumId w:val="12"/>
  </w:num>
  <w:num w:numId="12" w16cid:durableId="1505588908">
    <w:abstractNumId w:val="27"/>
  </w:num>
  <w:num w:numId="13" w16cid:durableId="51735349">
    <w:abstractNumId w:val="43"/>
  </w:num>
  <w:num w:numId="14" w16cid:durableId="343703053">
    <w:abstractNumId w:val="10"/>
  </w:num>
  <w:num w:numId="15" w16cid:durableId="22217755">
    <w:abstractNumId w:val="17"/>
  </w:num>
  <w:num w:numId="16" w16cid:durableId="548229327">
    <w:abstractNumId w:val="36"/>
  </w:num>
  <w:num w:numId="17" w16cid:durableId="1411270033">
    <w:abstractNumId w:val="31"/>
  </w:num>
  <w:num w:numId="18" w16cid:durableId="495390256">
    <w:abstractNumId w:val="14"/>
  </w:num>
  <w:num w:numId="19" w16cid:durableId="2138643654">
    <w:abstractNumId w:val="33"/>
  </w:num>
  <w:num w:numId="20" w16cid:durableId="421031128">
    <w:abstractNumId w:val="25"/>
  </w:num>
  <w:num w:numId="21" w16cid:durableId="1511487981">
    <w:abstractNumId w:val="35"/>
  </w:num>
  <w:num w:numId="22" w16cid:durableId="1278945659">
    <w:abstractNumId w:val="16"/>
  </w:num>
  <w:num w:numId="23" w16cid:durableId="134106678">
    <w:abstractNumId w:val="26"/>
  </w:num>
  <w:num w:numId="24" w16cid:durableId="1031805401">
    <w:abstractNumId w:val="28"/>
  </w:num>
  <w:num w:numId="25" w16cid:durableId="916785203">
    <w:abstractNumId w:val="18"/>
  </w:num>
  <w:num w:numId="26" w16cid:durableId="703217545">
    <w:abstractNumId w:val="37"/>
  </w:num>
  <w:num w:numId="27" w16cid:durableId="703021104">
    <w:abstractNumId w:val="34"/>
  </w:num>
  <w:num w:numId="28" w16cid:durableId="686949195">
    <w:abstractNumId w:val="1"/>
  </w:num>
  <w:num w:numId="29" w16cid:durableId="178275386">
    <w:abstractNumId w:val="32"/>
  </w:num>
  <w:num w:numId="30" w16cid:durableId="1360549643">
    <w:abstractNumId w:val="9"/>
  </w:num>
  <w:num w:numId="31" w16cid:durableId="849759720">
    <w:abstractNumId w:val="3"/>
  </w:num>
  <w:num w:numId="32" w16cid:durableId="1209798103">
    <w:abstractNumId w:val="39"/>
  </w:num>
  <w:num w:numId="33" w16cid:durableId="252325381">
    <w:abstractNumId w:val="20"/>
  </w:num>
  <w:num w:numId="34" w16cid:durableId="149449071">
    <w:abstractNumId w:val="19"/>
  </w:num>
  <w:num w:numId="35" w16cid:durableId="1705521291">
    <w:abstractNumId w:val="23"/>
  </w:num>
  <w:num w:numId="36" w16cid:durableId="965429732">
    <w:abstractNumId w:val="41"/>
  </w:num>
  <w:num w:numId="37" w16cid:durableId="237129803">
    <w:abstractNumId w:val="6"/>
  </w:num>
  <w:num w:numId="38" w16cid:durableId="217086913">
    <w:abstractNumId w:val="24"/>
  </w:num>
  <w:num w:numId="39" w16cid:durableId="318121202">
    <w:abstractNumId w:val="0"/>
  </w:num>
  <w:num w:numId="40" w16cid:durableId="465393066">
    <w:abstractNumId w:val="13"/>
  </w:num>
  <w:num w:numId="41" w16cid:durableId="551116123">
    <w:abstractNumId w:val="40"/>
  </w:num>
  <w:num w:numId="42" w16cid:durableId="749544701">
    <w:abstractNumId w:val="30"/>
  </w:num>
  <w:num w:numId="43" w16cid:durableId="1383289729">
    <w:abstractNumId w:val="21"/>
  </w:num>
  <w:num w:numId="44" w16cid:durableId="7471214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E00"/>
    <w:rsid w:val="00000FB8"/>
    <w:rsid w:val="0000397E"/>
    <w:rsid w:val="00003CCB"/>
    <w:rsid w:val="00005F34"/>
    <w:rsid w:val="00010748"/>
    <w:rsid w:val="00010FF8"/>
    <w:rsid w:val="00012092"/>
    <w:rsid w:val="00014AE0"/>
    <w:rsid w:val="00016635"/>
    <w:rsid w:val="000166DF"/>
    <w:rsid w:val="00021475"/>
    <w:rsid w:val="000223EE"/>
    <w:rsid w:val="00024D23"/>
    <w:rsid w:val="000257FD"/>
    <w:rsid w:val="0002679C"/>
    <w:rsid w:val="00027BF6"/>
    <w:rsid w:val="00032803"/>
    <w:rsid w:val="0003500F"/>
    <w:rsid w:val="00035497"/>
    <w:rsid w:val="000361EF"/>
    <w:rsid w:val="00037CFD"/>
    <w:rsid w:val="00041C43"/>
    <w:rsid w:val="000464C1"/>
    <w:rsid w:val="00050697"/>
    <w:rsid w:val="000513E8"/>
    <w:rsid w:val="0005166D"/>
    <w:rsid w:val="00052EA6"/>
    <w:rsid w:val="000568E5"/>
    <w:rsid w:val="00056A72"/>
    <w:rsid w:val="0006124B"/>
    <w:rsid w:val="00062A3C"/>
    <w:rsid w:val="00062CBE"/>
    <w:rsid w:val="00064D38"/>
    <w:rsid w:val="000665C1"/>
    <w:rsid w:val="0006687E"/>
    <w:rsid w:val="000700F4"/>
    <w:rsid w:val="00070CD2"/>
    <w:rsid w:val="00071AF7"/>
    <w:rsid w:val="00071B15"/>
    <w:rsid w:val="000777C8"/>
    <w:rsid w:val="000801F0"/>
    <w:rsid w:val="00080663"/>
    <w:rsid w:val="00080943"/>
    <w:rsid w:val="00080A07"/>
    <w:rsid w:val="00080A57"/>
    <w:rsid w:val="00080C42"/>
    <w:rsid w:val="00081395"/>
    <w:rsid w:val="00081E53"/>
    <w:rsid w:val="000835CD"/>
    <w:rsid w:val="00083E51"/>
    <w:rsid w:val="00085A81"/>
    <w:rsid w:val="000865B5"/>
    <w:rsid w:val="000908EC"/>
    <w:rsid w:val="00090AD3"/>
    <w:rsid w:val="00091569"/>
    <w:rsid w:val="00092150"/>
    <w:rsid w:val="00092FCA"/>
    <w:rsid w:val="000931E1"/>
    <w:rsid w:val="0009406A"/>
    <w:rsid w:val="00094B81"/>
    <w:rsid w:val="000950BB"/>
    <w:rsid w:val="00095AC3"/>
    <w:rsid w:val="00095F91"/>
    <w:rsid w:val="00097CE4"/>
    <w:rsid w:val="000A0EAB"/>
    <w:rsid w:val="000A5105"/>
    <w:rsid w:val="000A522D"/>
    <w:rsid w:val="000A5340"/>
    <w:rsid w:val="000A7FAD"/>
    <w:rsid w:val="000B1778"/>
    <w:rsid w:val="000B2C90"/>
    <w:rsid w:val="000B3F58"/>
    <w:rsid w:val="000C071A"/>
    <w:rsid w:val="000C4E8E"/>
    <w:rsid w:val="000C5303"/>
    <w:rsid w:val="000C65D6"/>
    <w:rsid w:val="000D11C8"/>
    <w:rsid w:val="000D5224"/>
    <w:rsid w:val="000D78AB"/>
    <w:rsid w:val="000D78F4"/>
    <w:rsid w:val="000E112B"/>
    <w:rsid w:val="000E21BE"/>
    <w:rsid w:val="000E57DE"/>
    <w:rsid w:val="000E6E05"/>
    <w:rsid w:val="000E7ECD"/>
    <w:rsid w:val="000F0809"/>
    <w:rsid w:val="000F1024"/>
    <w:rsid w:val="000F1E23"/>
    <w:rsid w:val="000F1F14"/>
    <w:rsid w:val="000F238E"/>
    <w:rsid w:val="000F3B31"/>
    <w:rsid w:val="000F48AD"/>
    <w:rsid w:val="000F4BBD"/>
    <w:rsid w:val="000F540C"/>
    <w:rsid w:val="000F5BC6"/>
    <w:rsid w:val="000F63C3"/>
    <w:rsid w:val="00100B2A"/>
    <w:rsid w:val="00100C5C"/>
    <w:rsid w:val="00101B49"/>
    <w:rsid w:val="001047F9"/>
    <w:rsid w:val="00104E20"/>
    <w:rsid w:val="001051FC"/>
    <w:rsid w:val="00105783"/>
    <w:rsid w:val="00107F52"/>
    <w:rsid w:val="00110013"/>
    <w:rsid w:val="00113963"/>
    <w:rsid w:val="001202F9"/>
    <w:rsid w:val="0012473C"/>
    <w:rsid w:val="00126671"/>
    <w:rsid w:val="00126C3E"/>
    <w:rsid w:val="00127056"/>
    <w:rsid w:val="001304A5"/>
    <w:rsid w:val="00130A9A"/>
    <w:rsid w:val="0013176D"/>
    <w:rsid w:val="00131848"/>
    <w:rsid w:val="0013196F"/>
    <w:rsid w:val="00134900"/>
    <w:rsid w:val="00134ACB"/>
    <w:rsid w:val="00134E0E"/>
    <w:rsid w:val="00134EA8"/>
    <w:rsid w:val="00135CD6"/>
    <w:rsid w:val="0014076C"/>
    <w:rsid w:val="00140CD5"/>
    <w:rsid w:val="00146174"/>
    <w:rsid w:val="00146AF2"/>
    <w:rsid w:val="00147376"/>
    <w:rsid w:val="00147C1A"/>
    <w:rsid w:val="00147DC5"/>
    <w:rsid w:val="00154331"/>
    <w:rsid w:val="00156392"/>
    <w:rsid w:val="0015684A"/>
    <w:rsid w:val="001579EC"/>
    <w:rsid w:val="00161955"/>
    <w:rsid w:val="00162393"/>
    <w:rsid w:val="00162D35"/>
    <w:rsid w:val="001664E2"/>
    <w:rsid w:val="001666A1"/>
    <w:rsid w:val="00170C33"/>
    <w:rsid w:val="00171B21"/>
    <w:rsid w:val="00172E8E"/>
    <w:rsid w:val="001733A8"/>
    <w:rsid w:val="00173A05"/>
    <w:rsid w:val="00175CD8"/>
    <w:rsid w:val="00177A2A"/>
    <w:rsid w:val="00177ACB"/>
    <w:rsid w:val="0017E119"/>
    <w:rsid w:val="001812A9"/>
    <w:rsid w:val="001841EE"/>
    <w:rsid w:val="0018678F"/>
    <w:rsid w:val="00186F12"/>
    <w:rsid w:val="0018D28F"/>
    <w:rsid w:val="001920EB"/>
    <w:rsid w:val="00194A40"/>
    <w:rsid w:val="001A01B7"/>
    <w:rsid w:val="001A16EB"/>
    <w:rsid w:val="001A27A5"/>
    <w:rsid w:val="001A3B5A"/>
    <w:rsid w:val="001A409C"/>
    <w:rsid w:val="001A478A"/>
    <w:rsid w:val="001A4D0F"/>
    <w:rsid w:val="001A681D"/>
    <w:rsid w:val="001A6F47"/>
    <w:rsid w:val="001B1AD9"/>
    <w:rsid w:val="001B25D2"/>
    <w:rsid w:val="001B2D45"/>
    <w:rsid w:val="001B2E61"/>
    <w:rsid w:val="001B4383"/>
    <w:rsid w:val="001B7134"/>
    <w:rsid w:val="001C083C"/>
    <w:rsid w:val="001C256F"/>
    <w:rsid w:val="001D359F"/>
    <w:rsid w:val="001D3F06"/>
    <w:rsid w:val="001D7142"/>
    <w:rsid w:val="001E07D1"/>
    <w:rsid w:val="001E353A"/>
    <w:rsid w:val="001E56BD"/>
    <w:rsid w:val="001E5C51"/>
    <w:rsid w:val="001E5DB0"/>
    <w:rsid w:val="001E79E8"/>
    <w:rsid w:val="001E7AC8"/>
    <w:rsid w:val="001E84D4"/>
    <w:rsid w:val="001F104B"/>
    <w:rsid w:val="001F23E4"/>
    <w:rsid w:val="001F2F04"/>
    <w:rsid w:val="001F3312"/>
    <w:rsid w:val="001F5753"/>
    <w:rsid w:val="001F7329"/>
    <w:rsid w:val="00201E13"/>
    <w:rsid w:val="002107A0"/>
    <w:rsid w:val="00210A58"/>
    <w:rsid w:val="00214028"/>
    <w:rsid w:val="002157D7"/>
    <w:rsid w:val="00221353"/>
    <w:rsid w:val="002216B3"/>
    <w:rsid w:val="00221CA2"/>
    <w:rsid w:val="00223FFD"/>
    <w:rsid w:val="00224199"/>
    <w:rsid w:val="00226422"/>
    <w:rsid w:val="002268A2"/>
    <w:rsid w:val="00226C63"/>
    <w:rsid w:val="00233A10"/>
    <w:rsid w:val="0023569F"/>
    <w:rsid w:val="00236F0E"/>
    <w:rsid w:val="00237AB6"/>
    <w:rsid w:val="0023EB06"/>
    <w:rsid w:val="00242CE3"/>
    <w:rsid w:val="00244426"/>
    <w:rsid w:val="00247C15"/>
    <w:rsid w:val="00251C8E"/>
    <w:rsid w:val="00254DCA"/>
    <w:rsid w:val="00257AE9"/>
    <w:rsid w:val="002655B5"/>
    <w:rsid w:val="00265A53"/>
    <w:rsid w:val="00270693"/>
    <w:rsid w:val="002726E6"/>
    <w:rsid w:val="00272CCD"/>
    <w:rsid w:val="00275AFB"/>
    <w:rsid w:val="002765F4"/>
    <w:rsid w:val="002802C3"/>
    <w:rsid w:val="002812CF"/>
    <w:rsid w:val="00281446"/>
    <w:rsid w:val="00282B5F"/>
    <w:rsid w:val="00285875"/>
    <w:rsid w:val="002908C2"/>
    <w:rsid w:val="00292CC9"/>
    <w:rsid w:val="002A00BC"/>
    <w:rsid w:val="002A0D7A"/>
    <w:rsid w:val="002A2167"/>
    <w:rsid w:val="002A58AE"/>
    <w:rsid w:val="002A5ECC"/>
    <w:rsid w:val="002A65F5"/>
    <w:rsid w:val="002A787D"/>
    <w:rsid w:val="002B20EF"/>
    <w:rsid w:val="002B3539"/>
    <w:rsid w:val="002B371D"/>
    <w:rsid w:val="002B39C4"/>
    <w:rsid w:val="002B3BF7"/>
    <w:rsid w:val="002B5B5B"/>
    <w:rsid w:val="002C1959"/>
    <w:rsid w:val="002C3F09"/>
    <w:rsid w:val="002C6447"/>
    <w:rsid w:val="002C64C7"/>
    <w:rsid w:val="002C6C65"/>
    <w:rsid w:val="002C6D83"/>
    <w:rsid w:val="002C791B"/>
    <w:rsid w:val="002D4510"/>
    <w:rsid w:val="002D51C3"/>
    <w:rsid w:val="002DE453"/>
    <w:rsid w:val="002E015D"/>
    <w:rsid w:val="002E06E8"/>
    <w:rsid w:val="002E080C"/>
    <w:rsid w:val="002E5676"/>
    <w:rsid w:val="002E6393"/>
    <w:rsid w:val="002F41BE"/>
    <w:rsid w:val="002F4AC3"/>
    <w:rsid w:val="002F565B"/>
    <w:rsid w:val="002F5CF0"/>
    <w:rsid w:val="00300873"/>
    <w:rsid w:val="003008D8"/>
    <w:rsid w:val="00302431"/>
    <w:rsid w:val="00306221"/>
    <w:rsid w:val="0031516D"/>
    <w:rsid w:val="00315BD3"/>
    <w:rsid w:val="00320152"/>
    <w:rsid w:val="003220A6"/>
    <w:rsid w:val="00322FB5"/>
    <w:rsid w:val="003249FF"/>
    <w:rsid w:val="00325C40"/>
    <w:rsid w:val="003265EA"/>
    <w:rsid w:val="00327394"/>
    <w:rsid w:val="0033204C"/>
    <w:rsid w:val="0033277B"/>
    <w:rsid w:val="00335894"/>
    <w:rsid w:val="00335A05"/>
    <w:rsid w:val="003362D9"/>
    <w:rsid w:val="00340265"/>
    <w:rsid w:val="003403F6"/>
    <w:rsid w:val="003457F4"/>
    <w:rsid w:val="00346012"/>
    <w:rsid w:val="00346BA3"/>
    <w:rsid w:val="00351A1B"/>
    <w:rsid w:val="0035444D"/>
    <w:rsid w:val="00355218"/>
    <w:rsid w:val="0036340E"/>
    <w:rsid w:val="0036526F"/>
    <w:rsid w:val="00365D28"/>
    <w:rsid w:val="003668CA"/>
    <w:rsid w:val="0036E537"/>
    <w:rsid w:val="00374EF0"/>
    <w:rsid w:val="00377ED6"/>
    <w:rsid w:val="00380956"/>
    <w:rsid w:val="00381D17"/>
    <w:rsid w:val="0038315D"/>
    <w:rsid w:val="00385702"/>
    <w:rsid w:val="00386B1F"/>
    <w:rsid w:val="00387242"/>
    <w:rsid w:val="003901E6"/>
    <w:rsid w:val="0039175A"/>
    <w:rsid w:val="00392283"/>
    <w:rsid w:val="0039255F"/>
    <w:rsid w:val="003940C9"/>
    <w:rsid w:val="00396AD8"/>
    <w:rsid w:val="003A0C05"/>
    <w:rsid w:val="003A16FC"/>
    <w:rsid w:val="003A2B06"/>
    <w:rsid w:val="003A32F9"/>
    <w:rsid w:val="003A464F"/>
    <w:rsid w:val="003B0D6D"/>
    <w:rsid w:val="003B2995"/>
    <w:rsid w:val="003B488E"/>
    <w:rsid w:val="003B4B85"/>
    <w:rsid w:val="003B50EA"/>
    <w:rsid w:val="003B532F"/>
    <w:rsid w:val="003C0C43"/>
    <w:rsid w:val="003C0EB7"/>
    <w:rsid w:val="003C2A79"/>
    <w:rsid w:val="003C2AFE"/>
    <w:rsid w:val="003C2E4E"/>
    <w:rsid w:val="003C447A"/>
    <w:rsid w:val="003C57F4"/>
    <w:rsid w:val="003C6A52"/>
    <w:rsid w:val="003D0492"/>
    <w:rsid w:val="003D1871"/>
    <w:rsid w:val="003D5FE7"/>
    <w:rsid w:val="003D7557"/>
    <w:rsid w:val="003E0F63"/>
    <w:rsid w:val="003E6144"/>
    <w:rsid w:val="003E6A39"/>
    <w:rsid w:val="003E6C5B"/>
    <w:rsid w:val="003F10DE"/>
    <w:rsid w:val="003F2371"/>
    <w:rsid w:val="003F2D0A"/>
    <w:rsid w:val="003F305E"/>
    <w:rsid w:val="003F366F"/>
    <w:rsid w:val="003F7105"/>
    <w:rsid w:val="00402A85"/>
    <w:rsid w:val="00402BB4"/>
    <w:rsid w:val="0040393A"/>
    <w:rsid w:val="00404FC7"/>
    <w:rsid w:val="00405812"/>
    <w:rsid w:val="004067E6"/>
    <w:rsid w:val="004078A5"/>
    <w:rsid w:val="0041088B"/>
    <w:rsid w:val="00412CDA"/>
    <w:rsid w:val="0041305D"/>
    <w:rsid w:val="0042170D"/>
    <w:rsid w:val="00423C2E"/>
    <w:rsid w:val="004246B8"/>
    <w:rsid w:val="00426689"/>
    <w:rsid w:val="00433115"/>
    <w:rsid w:val="00436450"/>
    <w:rsid w:val="00436FE7"/>
    <w:rsid w:val="00437F45"/>
    <w:rsid w:val="004406C7"/>
    <w:rsid w:val="0044420E"/>
    <w:rsid w:val="004460AB"/>
    <w:rsid w:val="0044F1BA"/>
    <w:rsid w:val="004505F2"/>
    <w:rsid w:val="00453DB3"/>
    <w:rsid w:val="0045605A"/>
    <w:rsid w:val="00456561"/>
    <w:rsid w:val="00461ED4"/>
    <w:rsid w:val="00462E60"/>
    <w:rsid w:val="00463BA9"/>
    <w:rsid w:val="00470871"/>
    <w:rsid w:val="00470894"/>
    <w:rsid w:val="0047179D"/>
    <w:rsid w:val="00472692"/>
    <w:rsid w:val="00480BF8"/>
    <w:rsid w:val="004843F9"/>
    <w:rsid w:val="004858D9"/>
    <w:rsid w:val="004868DD"/>
    <w:rsid w:val="0049287A"/>
    <w:rsid w:val="00493522"/>
    <w:rsid w:val="004956E1"/>
    <w:rsid w:val="0049645C"/>
    <w:rsid w:val="004965B0"/>
    <w:rsid w:val="004A46F4"/>
    <w:rsid w:val="004A4708"/>
    <w:rsid w:val="004B0FC8"/>
    <w:rsid w:val="004B2FDB"/>
    <w:rsid w:val="004B7549"/>
    <w:rsid w:val="004C1426"/>
    <w:rsid w:val="004C16F2"/>
    <w:rsid w:val="004C38CD"/>
    <w:rsid w:val="004C4DFE"/>
    <w:rsid w:val="004C5688"/>
    <w:rsid w:val="004D0508"/>
    <w:rsid w:val="004D1771"/>
    <w:rsid w:val="004D1DC1"/>
    <w:rsid w:val="004D481B"/>
    <w:rsid w:val="004D6639"/>
    <w:rsid w:val="004D6D06"/>
    <w:rsid w:val="004E03B6"/>
    <w:rsid w:val="004E20DD"/>
    <w:rsid w:val="004E238E"/>
    <w:rsid w:val="004E31E8"/>
    <w:rsid w:val="004E44F1"/>
    <w:rsid w:val="004E5214"/>
    <w:rsid w:val="004E52C5"/>
    <w:rsid w:val="004E549E"/>
    <w:rsid w:val="004E5747"/>
    <w:rsid w:val="004E590B"/>
    <w:rsid w:val="004E75A1"/>
    <w:rsid w:val="004EBFD9"/>
    <w:rsid w:val="004F16D8"/>
    <w:rsid w:val="0050082A"/>
    <w:rsid w:val="00501D66"/>
    <w:rsid w:val="00502DC4"/>
    <w:rsid w:val="00505109"/>
    <w:rsid w:val="005102CD"/>
    <w:rsid w:val="005144F9"/>
    <w:rsid w:val="005226BF"/>
    <w:rsid w:val="005229BC"/>
    <w:rsid w:val="0052387F"/>
    <w:rsid w:val="00524870"/>
    <w:rsid w:val="00526CDE"/>
    <w:rsid w:val="005321C1"/>
    <w:rsid w:val="00534194"/>
    <w:rsid w:val="0053470C"/>
    <w:rsid w:val="005367F6"/>
    <w:rsid w:val="00537FE1"/>
    <w:rsid w:val="00541517"/>
    <w:rsid w:val="00542E26"/>
    <w:rsid w:val="00545377"/>
    <w:rsid w:val="0054AA52"/>
    <w:rsid w:val="005547E4"/>
    <w:rsid w:val="005578F3"/>
    <w:rsid w:val="00557C09"/>
    <w:rsid w:val="0055F772"/>
    <w:rsid w:val="00560CFD"/>
    <w:rsid w:val="00560DF6"/>
    <w:rsid w:val="00561927"/>
    <w:rsid w:val="00562AE4"/>
    <w:rsid w:val="00562D36"/>
    <w:rsid w:val="0056506E"/>
    <w:rsid w:val="005678BB"/>
    <w:rsid w:val="00570647"/>
    <w:rsid w:val="00571090"/>
    <w:rsid w:val="00573A15"/>
    <w:rsid w:val="00574137"/>
    <w:rsid w:val="00574784"/>
    <w:rsid w:val="00574A6C"/>
    <w:rsid w:val="0057855A"/>
    <w:rsid w:val="0057E7C9"/>
    <w:rsid w:val="00582B8A"/>
    <w:rsid w:val="0058425D"/>
    <w:rsid w:val="0058575E"/>
    <w:rsid w:val="00585E42"/>
    <w:rsid w:val="005916BF"/>
    <w:rsid w:val="00591F21"/>
    <w:rsid w:val="00594229"/>
    <w:rsid w:val="005945A2"/>
    <w:rsid w:val="005A150C"/>
    <w:rsid w:val="005A3E29"/>
    <w:rsid w:val="005A47AC"/>
    <w:rsid w:val="005A49E1"/>
    <w:rsid w:val="005A7758"/>
    <w:rsid w:val="005B2072"/>
    <w:rsid w:val="005B6383"/>
    <w:rsid w:val="005B6FD2"/>
    <w:rsid w:val="005C0AB6"/>
    <w:rsid w:val="005C442E"/>
    <w:rsid w:val="005D0B2B"/>
    <w:rsid w:val="005D0B6F"/>
    <w:rsid w:val="005D1C5B"/>
    <w:rsid w:val="005D7AB1"/>
    <w:rsid w:val="005E4032"/>
    <w:rsid w:val="005E6783"/>
    <w:rsid w:val="005F3FAF"/>
    <w:rsid w:val="005F3FD0"/>
    <w:rsid w:val="005F512D"/>
    <w:rsid w:val="00601A29"/>
    <w:rsid w:val="00602216"/>
    <w:rsid w:val="00603EDA"/>
    <w:rsid w:val="00605639"/>
    <w:rsid w:val="00606217"/>
    <w:rsid w:val="00606E73"/>
    <w:rsid w:val="006073A5"/>
    <w:rsid w:val="00613083"/>
    <w:rsid w:val="0061506C"/>
    <w:rsid w:val="006175EB"/>
    <w:rsid w:val="00621032"/>
    <w:rsid w:val="0062339E"/>
    <w:rsid w:val="0062356D"/>
    <w:rsid w:val="006246E2"/>
    <w:rsid w:val="0062591A"/>
    <w:rsid w:val="00626144"/>
    <w:rsid w:val="00626C07"/>
    <w:rsid w:val="00630744"/>
    <w:rsid w:val="006311DC"/>
    <w:rsid w:val="00633251"/>
    <w:rsid w:val="00634115"/>
    <w:rsid w:val="0063443C"/>
    <w:rsid w:val="00634588"/>
    <w:rsid w:val="006462A7"/>
    <w:rsid w:val="00646B81"/>
    <w:rsid w:val="00650F25"/>
    <w:rsid w:val="006538AE"/>
    <w:rsid w:val="00657D4A"/>
    <w:rsid w:val="00661CC8"/>
    <w:rsid w:val="00662566"/>
    <w:rsid w:val="00664840"/>
    <w:rsid w:val="00664C0B"/>
    <w:rsid w:val="00667612"/>
    <w:rsid w:val="00670A4F"/>
    <w:rsid w:val="00670C19"/>
    <w:rsid w:val="00670C5B"/>
    <w:rsid w:val="00670FA5"/>
    <w:rsid w:val="00671582"/>
    <w:rsid w:val="00675BC2"/>
    <w:rsid w:val="00677D31"/>
    <w:rsid w:val="00682573"/>
    <w:rsid w:val="00682BEF"/>
    <w:rsid w:val="00684D95"/>
    <w:rsid w:val="00684DEB"/>
    <w:rsid w:val="006853B0"/>
    <w:rsid w:val="006860D7"/>
    <w:rsid w:val="00691FCB"/>
    <w:rsid w:val="006933C4"/>
    <w:rsid w:val="006934DB"/>
    <w:rsid w:val="00693B6E"/>
    <w:rsid w:val="006A1F0B"/>
    <w:rsid w:val="006A3225"/>
    <w:rsid w:val="006A3C9B"/>
    <w:rsid w:val="006A4564"/>
    <w:rsid w:val="006B3A83"/>
    <w:rsid w:val="006B619E"/>
    <w:rsid w:val="006B7D8D"/>
    <w:rsid w:val="006C0F2E"/>
    <w:rsid w:val="006C19E7"/>
    <w:rsid w:val="006C57C9"/>
    <w:rsid w:val="006D0F2B"/>
    <w:rsid w:val="006D2CA1"/>
    <w:rsid w:val="006D2E4C"/>
    <w:rsid w:val="006D4446"/>
    <w:rsid w:val="006D647A"/>
    <w:rsid w:val="006E510D"/>
    <w:rsid w:val="006E5793"/>
    <w:rsid w:val="006E5DF1"/>
    <w:rsid w:val="006E7B0C"/>
    <w:rsid w:val="006F28AF"/>
    <w:rsid w:val="006F389D"/>
    <w:rsid w:val="006F4271"/>
    <w:rsid w:val="006F5073"/>
    <w:rsid w:val="006F689F"/>
    <w:rsid w:val="006F7516"/>
    <w:rsid w:val="006F7919"/>
    <w:rsid w:val="0070004D"/>
    <w:rsid w:val="00700FE8"/>
    <w:rsid w:val="00703CAB"/>
    <w:rsid w:val="00705C31"/>
    <w:rsid w:val="00705EFC"/>
    <w:rsid w:val="00706899"/>
    <w:rsid w:val="00706AD2"/>
    <w:rsid w:val="00711A9B"/>
    <w:rsid w:val="00712664"/>
    <w:rsid w:val="00714015"/>
    <w:rsid w:val="00715E60"/>
    <w:rsid w:val="00721A0C"/>
    <w:rsid w:val="00721B93"/>
    <w:rsid w:val="0072224C"/>
    <w:rsid w:val="00726025"/>
    <w:rsid w:val="0072614C"/>
    <w:rsid w:val="0073074D"/>
    <w:rsid w:val="0073110C"/>
    <w:rsid w:val="0073512A"/>
    <w:rsid w:val="00736739"/>
    <w:rsid w:val="00742D9D"/>
    <w:rsid w:val="007453F8"/>
    <w:rsid w:val="00745A4A"/>
    <w:rsid w:val="00745F7F"/>
    <w:rsid w:val="00746990"/>
    <w:rsid w:val="007476C2"/>
    <w:rsid w:val="00747C45"/>
    <w:rsid w:val="00747F97"/>
    <w:rsid w:val="00752426"/>
    <w:rsid w:val="00754BF4"/>
    <w:rsid w:val="00754E93"/>
    <w:rsid w:val="00757888"/>
    <w:rsid w:val="0076275C"/>
    <w:rsid w:val="007633AA"/>
    <w:rsid w:val="00763777"/>
    <w:rsid w:val="00763DB1"/>
    <w:rsid w:val="00764241"/>
    <w:rsid w:val="00764F3A"/>
    <w:rsid w:val="007676CB"/>
    <w:rsid w:val="00770712"/>
    <w:rsid w:val="00772851"/>
    <w:rsid w:val="00774F3E"/>
    <w:rsid w:val="00775A35"/>
    <w:rsid w:val="00776AA7"/>
    <w:rsid w:val="00786238"/>
    <w:rsid w:val="00787620"/>
    <w:rsid w:val="007904E0"/>
    <w:rsid w:val="00791948"/>
    <w:rsid w:val="00794683"/>
    <w:rsid w:val="007953AA"/>
    <w:rsid w:val="007963F9"/>
    <w:rsid w:val="007A32C2"/>
    <w:rsid w:val="007A33FE"/>
    <w:rsid w:val="007A3AED"/>
    <w:rsid w:val="007A582F"/>
    <w:rsid w:val="007A6BCE"/>
    <w:rsid w:val="007B063D"/>
    <w:rsid w:val="007B31FB"/>
    <w:rsid w:val="007B36E2"/>
    <w:rsid w:val="007B4E5A"/>
    <w:rsid w:val="007C018D"/>
    <w:rsid w:val="007C539E"/>
    <w:rsid w:val="007C5FDE"/>
    <w:rsid w:val="007D0342"/>
    <w:rsid w:val="007D29E8"/>
    <w:rsid w:val="007D2F56"/>
    <w:rsid w:val="007D30A2"/>
    <w:rsid w:val="007D313D"/>
    <w:rsid w:val="007D3B72"/>
    <w:rsid w:val="007E0D5D"/>
    <w:rsid w:val="007E2288"/>
    <w:rsid w:val="007E3B41"/>
    <w:rsid w:val="007E4437"/>
    <w:rsid w:val="007E53D5"/>
    <w:rsid w:val="007E54D2"/>
    <w:rsid w:val="007E5F57"/>
    <w:rsid w:val="007F0A77"/>
    <w:rsid w:val="007F1285"/>
    <w:rsid w:val="007F382C"/>
    <w:rsid w:val="007F6441"/>
    <w:rsid w:val="007F6741"/>
    <w:rsid w:val="007F7589"/>
    <w:rsid w:val="007F7E27"/>
    <w:rsid w:val="00800E35"/>
    <w:rsid w:val="00801CDA"/>
    <w:rsid w:val="00802CD0"/>
    <w:rsid w:val="00802EE9"/>
    <w:rsid w:val="00804473"/>
    <w:rsid w:val="0080467E"/>
    <w:rsid w:val="0080522D"/>
    <w:rsid w:val="008058E3"/>
    <w:rsid w:val="008127D6"/>
    <w:rsid w:val="00812F35"/>
    <w:rsid w:val="008130CC"/>
    <w:rsid w:val="008142DF"/>
    <w:rsid w:val="00816211"/>
    <w:rsid w:val="008163A0"/>
    <w:rsid w:val="0082087C"/>
    <w:rsid w:val="00821B1D"/>
    <w:rsid w:val="00822286"/>
    <w:rsid w:val="00823AF6"/>
    <w:rsid w:val="0082B217"/>
    <w:rsid w:val="0083138F"/>
    <w:rsid w:val="00832469"/>
    <w:rsid w:val="008329DB"/>
    <w:rsid w:val="00835058"/>
    <w:rsid w:val="0083510D"/>
    <w:rsid w:val="00835130"/>
    <w:rsid w:val="00835515"/>
    <w:rsid w:val="00835655"/>
    <w:rsid w:val="00836166"/>
    <w:rsid w:val="008378AF"/>
    <w:rsid w:val="0085028D"/>
    <w:rsid w:val="008529EC"/>
    <w:rsid w:val="00855156"/>
    <w:rsid w:val="0085647D"/>
    <w:rsid w:val="008572A9"/>
    <w:rsid w:val="00861C03"/>
    <w:rsid w:val="0086593E"/>
    <w:rsid w:val="008667D5"/>
    <w:rsid w:val="00866D40"/>
    <w:rsid w:val="008729CD"/>
    <w:rsid w:val="00873373"/>
    <w:rsid w:val="00874DEA"/>
    <w:rsid w:val="008766E7"/>
    <w:rsid w:val="0088162E"/>
    <w:rsid w:val="00883BEC"/>
    <w:rsid w:val="008844F6"/>
    <w:rsid w:val="00886CA6"/>
    <w:rsid w:val="00887567"/>
    <w:rsid w:val="00887F18"/>
    <w:rsid w:val="00890C64"/>
    <w:rsid w:val="00895088"/>
    <w:rsid w:val="008959C8"/>
    <w:rsid w:val="008978A3"/>
    <w:rsid w:val="008A1386"/>
    <w:rsid w:val="008A1F2A"/>
    <w:rsid w:val="008A2C65"/>
    <w:rsid w:val="008A48AB"/>
    <w:rsid w:val="008A4FAD"/>
    <w:rsid w:val="008B19F3"/>
    <w:rsid w:val="008B1E26"/>
    <w:rsid w:val="008B1F6A"/>
    <w:rsid w:val="008B2445"/>
    <w:rsid w:val="008B450D"/>
    <w:rsid w:val="008B5510"/>
    <w:rsid w:val="008B5B4A"/>
    <w:rsid w:val="008B5D18"/>
    <w:rsid w:val="008B71C8"/>
    <w:rsid w:val="008B7DE0"/>
    <w:rsid w:val="008C2143"/>
    <w:rsid w:val="008C3D4E"/>
    <w:rsid w:val="008C46B9"/>
    <w:rsid w:val="008C6271"/>
    <w:rsid w:val="008C6910"/>
    <w:rsid w:val="008D0F53"/>
    <w:rsid w:val="008D14F2"/>
    <w:rsid w:val="008D1FF9"/>
    <w:rsid w:val="008D2EFD"/>
    <w:rsid w:val="008D4F5B"/>
    <w:rsid w:val="008D692B"/>
    <w:rsid w:val="008D771C"/>
    <w:rsid w:val="008E1E32"/>
    <w:rsid w:val="008E2BAF"/>
    <w:rsid w:val="008E5BB8"/>
    <w:rsid w:val="008EED62"/>
    <w:rsid w:val="0090284D"/>
    <w:rsid w:val="0090582A"/>
    <w:rsid w:val="00905D64"/>
    <w:rsid w:val="00905E6B"/>
    <w:rsid w:val="009118B0"/>
    <w:rsid w:val="00911B13"/>
    <w:rsid w:val="00912877"/>
    <w:rsid w:val="00913D96"/>
    <w:rsid w:val="00916F9D"/>
    <w:rsid w:val="0091753B"/>
    <w:rsid w:val="009183C0"/>
    <w:rsid w:val="00922337"/>
    <w:rsid w:val="00923E07"/>
    <w:rsid w:val="00925223"/>
    <w:rsid w:val="009258D9"/>
    <w:rsid w:val="00930D58"/>
    <w:rsid w:val="0093219E"/>
    <w:rsid w:val="009350B1"/>
    <w:rsid w:val="009374F9"/>
    <w:rsid w:val="0093782B"/>
    <w:rsid w:val="00940DD1"/>
    <w:rsid w:val="00942515"/>
    <w:rsid w:val="009479E9"/>
    <w:rsid w:val="00950E62"/>
    <w:rsid w:val="00951162"/>
    <w:rsid w:val="00954969"/>
    <w:rsid w:val="00955E34"/>
    <w:rsid w:val="00956715"/>
    <w:rsid w:val="0096008F"/>
    <w:rsid w:val="009605B1"/>
    <w:rsid w:val="00960D08"/>
    <w:rsid w:val="00962414"/>
    <w:rsid w:val="009641A0"/>
    <w:rsid w:val="0096443E"/>
    <w:rsid w:val="009704D5"/>
    <w:rsid w:val="00970DF0"/>
    <w:rsid w:val="00971104"/>
    <w:rsid w:val="00974CDE"/>
    <w:rsid w:val="00976113"/>
    <w:rsid w:val="00977E53"/>
    <w:rsid w:val="00981468"/>
    <w:rsid w:val="009826FA"/>
    <w:rsid w:val="00984208"/>
    <w:rsid w:val="00985AF5"/>
    <w:rsid w:val="00986A6E"/>
    <w:rsid w:val="00987069"/>
    <w:rsid w:val="0098795C"/>
    <w:rsid w:val="00987E37"/>
    <w:rsid w:val="009905EE"/>
    <w:rsid w:val="009925DE"/>
    <w:rsid w:val="00993664"/>
    <w:rsid w:val="00997DA3"/>
    <w:rsid w:val="009A198D"/>
    <w:rsid w:val="009A4E32"/>
    <w:rsid w:val="009A5A54"/>
    <w:rsid w:val="009A699B"/>
    <w:rsid w:val="009AB2C7"/>
    <w:rsid w:val="009B2DF6"/>
    <w:rsid w:val="009B589C"/>
    <w:rsid w:val="009B6049"/>
    <w:rsid w:val="009C1CC7"/>
    <w:rsid w:val="009C4779"/>
    <w:rsid w:val="009C77AA"/>
    <w:rsid w:val="009C7F2F"/>
    <w:rsid w:val="009D393F"/>
    <w:rsid w:val="009D507B"/>
    <w:rsid w:val="009D6698"/>
    <w:rsid w:val="009D764D"/>
    <w:rsid w:val="009E03C1"/>
    <w:rsid w:val="009E0721"/>
    <w:rsid w:val="009E177C"/>
    <w:rsid w:val="009E24BE"/>
    <w:rsid w:val="009E442C"/>
    <w:rsid w:val="009E55F2"/>
    <w:rsid w:val="009E735D"/>
    <w:rsid w:val="009E7672"/>
    <w:rsid w:val="009E7B0B"/>
    <w:rsid w:val="009F043A"/>
    <w:rsid w:val="009F1584"/>
    <w:rsid w:val="009F18E3"/>
    <w:rsid w:val="009F4698"/>
    <w:rsid w:val="009F6A72"/>
    <w:rsid w:val="009F6BAD"/>
    <w:rsid w:val="009F792C"/>
    <w:rsid w:val="009F7D6C"/>
    <w:rsid w:val="00A00731"/>
    <w:rsid w:val="00A03FD6"/>
    <w:rsid w:val="00A09939"/>
    <w:rsid w:val="00A10C28"/>
    <w:rsid w:val="00A1110A"/>
    <w:rsid w:val="00A11251"/>
    <w:rsid w:val="00A124A0"/>
    <w:rsid w:val="00A1711B"/>
    <w:rsid w:val="00A20BC0"/>
    <w:rsid w:val="00A21EB6"/>
    <w:rsid w:val="00A23229"/>
    <w:rsid w:val="00A2386C"/>
    <w:rsid w:val="00A319E6"/>
    <w:rsid w:val="00A31BFF"/>
    <w:rsid w:val="00A32FF7"/>
    <w:rsid w:val="00A33E6F"/>
    <w:rsid w:val="00A354A7"/>
    <w:rsid w:val="00A369CE"/>
    <w:rsid w:val="00A42AEC"/>
    <w:rsid w:val="00A43276"/>
    <w:rsid w:val="00A44EA2"/>
    <w:rsid w:val="00A460F1"/>
    <w:rsid w:val="00A47DEA"/>
    <w:rsid w:val="00A48B6C"/>
    <w:rsid w:val="00A50F05"/>
    <w:rsid w:val="00A51DF5"/>
    <w:rsid w:val="00A535BE"/>
    <w:rsid w:val="00A55C5E"/>
    <w:rsid w:val="00A62EC6"/>
    <w:rsid w:val="00A64156"/>
    <w:rsid w:val="00A64B0D"/>
    <w:rsid w:val="00A70195"/>
    <w:rsid w:val="00A70BFC"/>
    <w:rsid w:val="00A70EEF"/>
    <w:rsid w:val="00A71CD3"/>
    <w:rsid w:val="00A738F6"/>
    <w:rsid w:val="00A73A2B"/>
    <w:rsid w:val="00A749D8"/>
    <w:rsid w:val="00A76A78"/>
    <w:rsid w:val="00A776AF"/>
    <w:rsid w:val="00A80100"/>
    <w:rsid w:val="00A80E89"/>
    <w:rsid w:val="00A82021"/>
    <w:rsid w:val="00A82BB7"/>
    <w:rsid w:val="00A83995"/>
    <w:rsid w:val="00A853F6"/>
    <w:rsid w:val="00A9123C"/>
    <w:rsid w:val="00A91C46"/>
    <w:rsid w:val="00A94998"/>
    <w:rsid w:val="00A9632F"/>
    <w:rsid w:val="00A96521"/>
    <w:rsid w:val="00A9725F"/>
    <w:rsid w:val="00AA236F"/>
    <w:rsid w:val="00AA3CA4"/>
    <w:rsid w:val="00AA438F"/>
    <w:rsid w:val="00AA6A3B"/>
    <w:rsid w:val="00AA7E0B"/>
    <w:rsid w:val="00AB07CE"/>
    <w:rsid w:val="00AB1756"/>
    <w:rsid w:val="00AB183B"/>
    <w:rsid w:val="00AB6CC8"/>
    <w:rsid w:val="00AB7CBF"/>
    <w:rsid w:val="00AC0A05"/>
    <w:rsid w:val="00AC1BD7"/>
    <w:rsid w:val="00AC39DF"/>
    <w:rsid w:val="00AC3EED"/>
    <w:rsid w:val="00AC45FD"/>
    <w:rsid w:val="00AC4E6D"/>
    <w:rsid w:val="00AE12CB"/>
    <w:rsid w:val="00AE6F1D"/>
    <w:rsid w:val="00AF3E2B"/>
    <w:rsid w:val="00AF530B"/>
    <w:rsid w:val="00AF61EA"/>
    <w:rsid w:val="00AF6B0F"/>
    <w:rsid w:val="00B053F3"/>
    <w:rsid w:val="00B05D01"/>
    <w:rsid w:val="00B05F4B"/>
    <w:rsid w:val="00B06F73"/>
    <w:rsid w:val="00B07244"/>
    <w:rsid w:val="00B0790A"/>
    <w:rsid w:val="00B1015C"/>
    <w:rsid w:val="00B10709"/>
    <w:rsid w:val="00B1266D"/>
    <w:rsid w:val="00B1608E"/>
    <w:rsid w:val="00B17CC5"/>
    <w:rsid w:val="00B21818"/>
    <w:rsid w:val="00B23385"/>
    <w:rsid w:val="00B24EF9"/>
    <w:rsid w:val="00B270CC"/>
    <w:rsid w:val="00B325B4"/>
    <w:rsid w:val="00B32C79"/>
    <w:rsid w:val="00B3334F"/>
    <w:rsid w:val="00B3345D"/>
    <w:rsid w:val="00B33798"/>
    <w:rsid w:val="00B34E34"/>
    <w:rsid w:val="00B35B7A"/>
    <w:rsid w:val="00B374E2"/>
    <w:rsid w:val="00B37710"/>
    <w:rsid w:val="00B41A2F"/>
    <w:rsid w:val="00B43810"/>
    <w:rsid w:val="00B43DEB"/>
    <w:rsid w:val="00B45FD5"/>
    <w:rsid w:val="00B46BC0"/>
    <w:rsid w:val="00B50285"/>
    <w:rsid w:val="00B51196"/>
    <w:rsid w:val="00B54246"/>
    <w:rsid w:val="00B54C7C"/>
    <w:rsid w:val="00B5620E"/>
    <w:rsid w:val="00B60DC7"/>
    <w:rsid w:val="00B61E36"/>
    <w:rsid w:val="00B63DE4"/>
    <w:rsid w:val="00B6653C"/>
    <w:rsid w:val="00B71D4D"/>
    <w:rsid w:val="00B73478"/>
    <w:rsid w:val="00B7437F"/>
    <w:rsid w:val="00B75250"/>
    <w:rsid w:val="00B818CC"/>
    <w:rsid w:val="00B81B82"/>
    <w:rsid w:val="00B82719"/>
    <w:rsid w:val="00B840DF"/>
    <w:rsid w:val="00B84F64"/>
    <w:rsid w:val="00B92243"/>
    <w:rsid w:val="00B927F2"/>
    <w:rsid w:val="00B97C60"/>
    <w:rsid w:val="00BA007F"/>
    <w:rsid w:val="00BA1CBD"/>
    <w:rsid w:val="00BA3896"/>
    <w:rsid w:val="00BA63A5"/>
    <w:rsid w:val="00BA6CD0"/>
    <w:rsid w:val="00BB64A4"/>
    <w:rsid w:val="00BC0AE0"/>
    <w:rsid w:val="00BC288B"/>
    <w:rsid w:val="00BC4EBC"/>
    <w:rsid w:val="00BC6425"/>
    <w:rsid w:val="00BD5FE8"/>
    <w:rsid w:val="00BE1DCF"/>
    <w:rsid w:val="00BE42C5"/>
    <w:rsid w:val="00BE650E"/>
    <w:rsid w:val="00BE6A01"/>
    <w:rsid w:val="00BF007E"/>
    <w:rsid w:val="00BF0670"/>
    <w:rsid w:val="00BF103E"/>
    <w:rsid w:val="00BF2509"/>
    <w:rsid w:val="00BF641B"/>
    <w:rsid w:val="00BF6F1F"/>
    <w:rsid w:val="00C00EF1"/>
    <w:rsid w:val="00C04235"/>
    <w:rsid w:val="00C05657"/>
    <w:rsid w:val="00C113CB"/>
    <w:rsid w:val="00C13224"/>
    <w:rsid w:val="00C1451E"/>
    <w:rsid w:val="00C16304"/>
    <w:rsid w:val="00C313FA"/>
    <w:rsid w:val="00C31816"/>
    <w:rsid w:val="00C32BEB"/>
    <w:rsid w:val="00C34DF3"/>
    <w:rsid w:val="00C36605"/>
    <w:rsid w:val="00C41939"/>
    <w:rsid w:val="00C45043"/>
    <w:rsid w:val="00C45885"/>
    <w:rsid w:val="00C47011"/>
    <w:rsid w:val="00C504D2"/>
    <w:rsid w:val="00C51DA3"/>
    <w:rsid w:val="00C543AC"/>
    <w:rsid w:val="00C54B6B"/>
    <w:rsid w:val="00C54EB2"/>
    <w:rsid w:val="00C56A41"/>
    <w:rsid w:val="00C62405"/>
    <w:rsid w:val="00C629B4"/>
    <w:rsid w:val="00C6516A"/>
    <w:rsid w:val="00C65D2D"/>
    <w:rsid w:val="00C66B99"/>
    <w:rsid w:val="00C73D47"/>
    <w:rsid w:val="00C76DE5"/>
    <w:rsid w:val="00C77BB5"/>
    <w:rsid w:val="00C77FBA"/>
    <w:rsid w:val="00C81EA2"/>
    <w:rsid w:val="00C84B84"/>
    <w:rsid w:val="00C8608E"/>
    <w:rsid w:val="00C87014"/>
    <w:rsid w:val="00C87AD3"/>
    <w:rsid w:val="00C90217"/>
    <w:rsid w:val="00C914C2"/>
    <w:rsid w:val="00C96F9A"/>
    <w:rsid w:val="00CA0088"/>
    <w:rsid w:val="00CB0550"/>
    <w:rsid w:val="00CB0A3D"/>
    <w:rsid w:val="00CB2032"/>
    <w:rsid w:val="00CB6987"/>
    <w:rsid w:val="00CB7074"/>
    <w:rsid w:val="00CC13CD"/>
    <w:rsid w:val="00CC5899"/>
    <w:rsid w:val="00CC5B6E"/>
    <w:rsid w:val="00CC71EE"/>
    <w:rsid w:val="00CD1069"/>
    <w:rsid w:val="00CD16D9"/>
    <w:rsid w:val="00CD1FC0"/>
    <w:rsid w:val="00CD27D6"/>
    <w:rsid w:val="00CD2BE2"/>
    <w:rsid w:val="00CD3419"/>
    <w:rsid w:val="00CD47CB"/>
    <w:rsid w:val="00CD50C3"/>
    <w:rsid w:val="00CE305A"/>
    <w:rsid w:val="00CE3D5C"/>
    <w:rsid w:val="00CE70A0"/>
    <w:rsid w:val="00CF00EA"/>
    <w:rsid w:val="00CF1E26"/>
    <w:rsid w:val="00CF2218"/>
    <w:rsid w:val="00CF251A"/>
    <w:rsid w:val="00CF3433"/>
    <w:rsid w:val="00CF7F2B"/>
    <w:rsid w:val="00CF7F39"/>
    <w:rsid w:val="00D0080B"/>
    <w:rsid w:val="00D008E5"/>
    <w:rsid w:val="00D0256C"/>
    <w:rsid w:val="00D02A2E"/>
    <w:rsid w:val="00D03E4E"/>
    <w:rsid w:val="00D03F01"/>
    <w:rsid w:val="00D04D9F"/>
    <w:rsid w:val="00D057CF"/>
    <w:rsid w:val="00D078BE"/>
    <w:rsid w:val="00D07DBC"/>
    <w:rsid w:val="00D0FD32"/>
    <w:rsid w:val="00D1084F"/>
    <w:rsid w:val="00D1368F"/>
    <w:rsid w:val="00D13EFD"/>
    <w:rsid w:val="00D13F8A"/>
    <w:rsid w:val="00D157BA"/>
    <w:rsid w:val="00D179F5"/>
    <w:rsid w:val="00D21C92"/>
    <w:rsid w:val="00D266D6"/>
    <w:rsid w:val="00D31ED4"/>
    <w:rsid w:val="00D332A6"/>
    <w:rsid w:val="00D33732"/>
    <w:rsid w:val="00D37213"/>
    <w:rsid w:val="00D41B60"/>
    <w:rsid w:val="00D425A0"/>
    <w:rsid w:val="00D447CD"/>
    <w:rsid w:val="00D4705F"/>
    <w:rsid w:val="00D4756D"/>
    <w:rsid w:val="00D52F1E"/>
    <w:rsid w:val="00D53014"/>
    <w:rsid w:val="00D533D1"/>
    <w:rsid w:val="00D550A6"/>
    <w:rsid w:val="00D55187"/>
    <w:rsid w:val="00D55709"/>
    <w:rsid w:val="00D6000C"/>
    <w:rsid w:val="00D604CA"/>
    <w:rsid w:val="00D607E1"/>
    <w:rsid w:val="00D62D8C"/>
    <w:rsid w:val="00D64991"/>
    <w:rsid w:val="00D64D34"/>
    <w:rsid w:val="00D6667C"/>
    <w:rsid w:val="00D73902"/>
    <w:rsid w:val="00D754FA"/>
    <w:rsid w:val="00D8097F"/>
    <w:rsid w:val="00D80E95"/>
    <w:rsid w:val="00D8138C"/>
    <w:rsid w:val="00D835E8"/>
    <w:rsid w:val="00D838E9"/>
    <w:rsid w:val="00D83B42"/>
    <w:rsid w:val="00D84EB9"/>
    <w:rsid w:val="00D910B7"/>
    <w:rsid w:val="00D918D5"/>
    <w:rsid w:val="00D9316E"/>
    <w:rsid w:val="00D93A28"/>
    <w:rsid w:val="00D9515F"/>
    <w:rsid w:val="00D97EC2"/>
    <w:rsid w:val="00DA0961"/>
    <w:rsid w:val="00DA3761"/>
    <w:rsid w:val="00DA47FC"/>
    <w:rsid w:val="00DA4D69"/>
    <w:rsid w:val="00DB0296"/>
    <w:rsid w:val="00DB0848"/>
    <w:rsid w:val="00DB44EC"/>
    <w:rsid w:val="00DB5302"/>
    <w:rsid w:val="00DB70F1"/>
    <w:rsid w:val="00DC0CFE"/>
    <w:rsid w:val="00DC24CB"/>
    <w:rsid w:val="00DC2BFB"/>
    <w:rsid w:val="00DC2D29"/>
    <w:rsid w:val="00DC42D0"/>
    <w:rsid w:val="00DC7107"/>
    <w:rsid w:val="00DC7C26"/>
    <w:rsid w:val="00DD1D37"/>
    <w:rsid w:val="00DD330C"/>
    <w:rsid w:val="00DD6EA9"/>
    <w:rsid w:val="00DE01B9"/>
    <w:rsid w:val="00DE0CAE"/>
    <w:rsid w:val="00DE1BB5"/>
    <w:rsid w:val="00DE34EC"/>
    <w:rsid w:val="00DE393D"/>
    <w:rsid w:val="00DE5C7A"/>
    <w:rsid w:val="00DE7584"/>
    <w:rsid w:val="00DF0226"/>
    <w:rsid w:val="00DF5C74"/>
    <w:rsid w:val="00E0329B"/>
    <w:rsid w:val="00E04133"/>
    <w:rsid w:val="00E050C3"/>
    <w:rsid w:val="00E052E2"/>
    <w:rsid w:val="00E05AAD"/>
    <w:rsid w:val="00E066D2"/>
    <w:rsid w:val="00E06B42"/>
    <w:rsid w:val="00E07F8B"/>
    <w:rsid w:val="00E11E22"/>
    <w:rsid w:val="00E17AC9"/>
    <w:rsid w:val="00E210F9"/>
    <w:rsid w:val="00E2339F"/>
    <w:rsid w:val="00E24641"/>
    <w:rsid w:val="00E257DF"/>
    <w:rsid w:val="00E31343"/>
    <w:rsid w:val="00E3165A"/>
    <w:rsid w:val="00E32F4D"/>
    <w:rsid w:val="00E34154"/>
    <w:rsid w:val="00E35A82"/>
    <w:rsid w:val="00E374C2"/>
    <w:rsid w:val="00E409AA"/>
    <w:rsid w:val="00E4193E"/>
    <w:rsid w:val="00E41F8B"/>
    <w:rsid w:val="00E421BF"/>
    <w:rsid w:val="00E43232"/>
    <w:rsid w:val="00E45AA7"/>
    <w:rsid w:val="00E46C58"/>
    <w:rsid w:val="00E4FF2E"/>
    <w:rsid w:val="00E51B10"/>
    <w:rsid w:val="00E51F8B"/>
    <w:rsid w:val="00E53D3F"/>
    <w:rsid w:val="00E5721B"/>
    <w:rsid w:val="00E60783"/>
    <w:rsid w:val="00E63546"/>
    <w:rsid w:val="00E6460B"/>
    <w:rsid w:val="00E65449"/>
    <w:rsid w:val="00E7043F"/>
    <w:rsid w:val="00E72A48"/>
    <w:rsid w:val="00E749F2"/>
    <w:rsid w:val="00E7550B"/>
    <w:rsid w:val="00E7655D"/>
    <w:rsid w:val="00E76DBD"/>
    <w:rsid w:val="00E8376A"/>
    <w:rsid w:val="00E84035"/>
    <w:rsid w:val="00E86BA7"/>
    <w:rsid w:val="00E87B7A"/>
    <w:rsid w:val="00E901C7"/>
    <w:rsid w:val="00E91256"/>
    <w:rsid w:val="00E9251F"/>
    <w:rsid w:val="00E94599"/>
    <w:rsid w:val="00E94D5B"/>
    <w:rsid w:val="00E954A5"/>
    <w:rsid w:val="00E97399"/>
    <w:rsid w:val="00EA264A"/>
    <w:rsid w:val="00EA31A3"/>
    <w:rsid w:val="00EA4687"/>
    <w:rsid w:val="00EA51B6"/>
    <w:rsid w:val="00EA5360"/>
    <w:rsid w:val="00EA5EAE"/>
    <w:rsid w:val="00EA6B37"/>
    <w:rsid w:val="00EA74E3"/>
    <w:rsid w:val="00EB1EAF"/>
    <w:rsid w:val="00EB30A8"/>
    <w:rsid w:val="00EC501A"/>
    <w:rsid w:val="00EC542B"/>
    <w:rsid w:val="00ED0619"/>
    <w:rsid w:val="00ED08C2"/>
    <w:rsid w:val="00ED21A5"/>
    <w:rsid w:val="00ED4175"/>
    <w:rsid w:val="00ED4904"/>
    <w:rsid w:val="00ED6C46"/>
    <w:rsid w:val="00EE02ED"/>
    <w:rsid w:val="00EE0CCA"/>
    <w:rsid w:val="00EE1AEA"/>
    <w:rsid w:val="00EE5F40"/>
    <w:rsid w:val="00EF005D"/>
    <w:rsid w:val="00EF18E7"/>
    <w:rsid w:val="00EF4CD9"/>
    <w:rsid w:val="00EF4D05"/>
    <w:rsid w:val="00F001FE"/>
    <w:rsid w:val="00F00C01"/>
    <w:rsid w:val="00F0136F"/>
    <w:rsid w:val="00F019D5"/>
    <w:rsid w:val="00F02AEC"/>
    <w:rsid w:val="00F035A5"/>
    <w:rsid w:val="00F03A02"/>
    <w:rsid w:val="00F05002"/>
    <w:rsid w:val="00F05EDC"/>
    <w:rsid w:val="00F07930"/>
    <w:rsid w:val="00F1083F"/>
    <w:rsid w:val="00F143B8"/>
    <w:rsid w:val="00F14CC5"/>
    <w:rsid w:val="00F206C2"/>
    <w:rsid w:val="00F21B00"/>
    <w:rsid w:val="00F21D6F"/>
    <w:rsid w:val="00F223DF"/>
    <w:rsid w:val="00F22707"/>
    <w:rsid w:val="00F236C0"/>
    <w:rsid w:val="00F23B51"/>
    <w:rsid w:val="00F27048"/>
    <w:rsid w:val="00F27642"/>
    <w:rsid w:val="00F31F2C"/>
    <w:rsid w:val="00F33B5F"/>
    <w:rsid w:val="00F40E35"/>
    <w:rsid w:val="00F44019"/>
    <w:rsid w:val="00F442B3"/>
    <w:rsid w:val="00F45181"/>
    <w:rsid w:val="00F52F1C"/>
    <w:rsid w:val="00F56391"/>
    <w:rsid w:val="00F603D0"/>
    <w:rsid w:val="00F61586"/>
    <w:rsid w:val="00F6254D"/>
    <w:rsid w:val="00F64152"/>
    <w:rsid w:val="00F65521"/>
    <w:rsid w:val="00F65BCB"/>
    <w:rsid w:val="00F675A4"/>
    <w:rsid w:val="00F70C98"/>
    <w:rsid w:val="00F747B2"/>
    <w:rsid w:val="00F75B21"/>
    <w:rsid w:val="00F76E26"/>
    <w:rsid w:val="00F772A3"/>
    <w:rsid w:val="00F77A6C"/>
    <w:rsid w:val="00F810AC"/>
    <w:rsid w:val="00F817A1"/>
    <w:rsid w:val="00F8186C"/>
    <w:rsid w:val="00F83203"/>
    <w:rsid w:val="00F85874"/>
    <w:rsid w:val="00F862AC"/>
    <w:rsid w:val="00F87194"/>
    <w:rsid w:val="00F877EB"/>
    <w:rsid w:val="00F8795E"/>
    <w:rsid w:val="00F9219C"/>
    <w:rsid w:val="00F95604"/>
    <w:rsid w:val="00F978B6"/>
    <w:rsid w:val="00FA0D19"/>
    <w:rsid w:val="00FA274E"/>
    <w:rsid w:val="00FA2939"/>
    <w:rsid w:val="00FA4273"/>
    <w:rsid w:val="00FA49C3"/>
    <w:rsid w:val="00FA5FCE"/>
    <w:rsid w:val="00FB144C"/>
    <w:rsid w:val="00FB3438"/>
    <w:rsid w:val="00FB367A"/>
    <w:rsid w:val="00FB5E1A"/>
    <w:rsid w:val="00FB71E3"/>
    <w:rsid w:val="00FB783C"/>
    <w:rsid w:val="00FC25DF"/>
    <w:rsid w:val="00FC2C2C"/>
    <w:rsid w:val="00FC449C"/>
    <w:rsid w:val="00FC562E"/>
    <w:rsid w:val="00FC6980"/>
    <w:rsid w:val="00FC6A7E"/>
    <w:rsid w:val="00FC7AFA"/>
    <w:rsid w:val="00FD09A4"/>
    <w:rsid w:val="00FD123E"/>
    <w:rsid w:val="00FD1ABF"/>
    <w:rsid w:val="00FD26D4"/>
    <w:rsid w:val="00FD3E8F"/>
    <w:rsid w:val="00FD756F"/>
    <w:rsid w:val="00FE0711"/>
    <w:rsid w:val="00FE24CB"/>
    <w:rsid w:val="00FE2B9C"/>
    <w:rsid w:val="00FE2E00"/>
    <w:rsid w:val="00FE4CFC"/>
    <w:rsid w:val="00FE55E9"/>
    <w:rsid w:val="00FE60AE"/>
    <w:rsid w:val="00FE6245"/>
    <w:rsid w:val="00FF0926"/>
    <w:rsid w:val="00FF1349"/>
    <w:rsid w:val="00FF33FB"/>
    <w:rsid w:val="00FF5AB5"/>
    <w:rsid w:val="010294F4"/>
    <w:rsid w:val="0107769D"/>
    <w:rsid w:val="011081D3"/>
    <w:rsid w:val="0114E215"/>
    <w:rsid w:val="011BBD51"/>
    <w:rsid w:val="01238AB0"/>
    <w:rsid w:val="013E1225"/>
    <w:rsid w:val="01401A54"/>
    <w:rsid w:val="01418016"/>
    <w:rsid w:val="014B4A59"/>
    <w:rsid w:val="014C397D"/>
    <w:rsid w:val="014C4C9D"/>
    <w:rsid w:val="0152E31D"/>
    <w:rsid w:val="0157F6D4"/>
    <w:rsid w:val="0160BABB"/>
    <w:rsid w:val="0160F246"/>
    <w:rsid w:val="017BA95C"/>
    <w:rsid w:val="0197B615"/>
    <w:rsid w:val="019898E6"/>
    <w:rsid w:val="0198B3AF"/>
    <w:rsid w:val="019B06B5"/>
    <w:rsid w:val="01A1C84F"/>
    <w:rsid w:val="01A6B30B"/>
    <w:rsid w:val="01B31419"/>
    <w:rsid w:val="01B543CB"/>
    <w:rsid w:val="01BD63EE"/>
    <w:rsid w:val="01C72EA7"/>
    <w:rsid w:val="01CA98B0"/>
    <w:rsid w:val="01D59AF3"/>
    <w:rsid w:val="01D783E2"/>
    <w:rsid w:val="01D8BF67"/>
    <w:rsid w:val="01DB7610"/>
    <w:rsid w:val="01E1D93C"/>
    <w:rsid w:val="01EF7CAB"/>
    <w:rsid w:val="01F3BCDE"/>
    <w:rsid w:val="01FB122B"/>
    <w:rsid w:val="02022BD6"/>
    <w:rsid w:val="0204FE2F"/>
    <w:rsid w:val="020CC504"/>
    <w:rsid w:val="0219D3B3"/>
    <w:rsid w:val="021E2759"/>
    <w:rsid w:val="022A0D9F"/>
    <w:rsid w:val="022F687E"/>
    <w:rsid w:val="023434A9"/>
    <w:rsid w:val="02389403"/>
    <w:rsid w:val="0239D5F2"/>
    <w:rsid w:val="02454474"/>
    <w:rsid w:val="024DB5D5"/>
    <w:rsid w:val="02582348"/>
    <w:rsid w:val="0265F346"/>
    <w:rsid w:val="0268C839"/>
    <w:rsid w:val="026FC45E"/>
    <w:rsid w:val="027E6B0C"/>
    <w:rsid w:val="0290EEBA"/>
    <w:rsid w:val="029CA3CA"/>
    <w:rsid w:val="02A1469C"/>
    <w:rsid w:val="02A30F07"/>
    <w:rsid w:val="02B33483"/>
    <w:rsid w:val="02B78DB2"/>
    <w:rsid w:val="02B8AAA9"/>
    <w:rsid w:val="02BAD523"/>
    <w:rsid w:val="02BB1051"/>
    <w:rsid w:val="02C09257"/>
    <w:rsid w:val="02C9DAD3"/>
    <w:rsid w:val="02CAC092"/>
    <w:rsid w:val="02CB2485"/>
    <w:rsid w:val="02CF2221"/>
    <w:rsid w:val="02D19838"/>
    <w:rsid w:val="02D4A9B7"/>
    <w:rsid w:val="02D6E0AD"/>
    <w:rsid w:val="02E47ED5"/>
    <w:rsid w:val="02F05778"/>
    <w:rsid w:val="03018775"/>
    <w:rsid w:val="0306B1A2"/>
    <w:rsid w:val="0308E9F6"/>
    <w:rsid w:val="030C740C"/>
    <w:rsid w:val="030D42CA"/>
    <w:rsid w:val="030D8086"/>
    <w:rsid w:val="03102AED"/>
    <w:rsid w:val="0316997E"/>
    <w:rsid w:val="031A24CD"/>
    <w:rsid w:val="033998A2"/>
    <w:rsid w:val="0339B8DD"/>
    <w:rsid w:val="033CFD39"/>
    <w:rsid w:val="033D7FC1"/>
    <w:rsid w:val="03426097"/>
    <w:rsid w:val="03434282"/>
    <w:rsid w:val="035001B4"/>
    <w:rsid w:val="03597FBF"/>
    <w:rsid w:val="035BE837"/>
    <w:rsid w:val="036DCF24"/>
    <w:rsid w:val="037D0A7D"/>
    <w:rsid w:val="0388D35D"/>
    <w:rsid w:val="038E1EB7"/>
    <w:rsid w:val="0392F465"/>
    <w:rsid w:val="03A2A5D0"/>
    <w:rsid w:val="03C156B1"/>
    <w:rsid w:val="03CD2DFA"/>
    <w:rsid w:val="03D7D3AF"/>
    <w:rsid w:val="03E23B06"/>
    <w:rsid w:val="03EC2080"/>
    <w:rsid w:val="03F86CCD"/>
    <w:rsid w:val="03FF7693"/>
    <w:rsid w:val="0401A4B7"/>
    <w:rsid w:val="0411B9AD"/>
    <w:rsid w:val="042F9FF2"/>
    <w:rsid w:val="0431B347"/>
    <w:rsid w:val="0433620F"/>
    <w:rsid w:val="04379727"/>
    <w:rsid w:val="044F04E4"/>
    <w:rsid w:val="045242DF"/>
    <w:rsid w:val="04580D4C"/>
    <w:rsid w:val="046181C3"/>
    <w:rsid w:val="046DCC39"/>
    <w:rsid w:val="0471F349"/>
    <w:rsid w:val="0486D9AC"/>
    <w:rsid w:val="04917EEC"/>
    <w:rsid w:val="0498595B"/>
    <w:rsid w:val="04A4BA57"/>
    <w:rsid w:val="04AB85FC"/>
    <w:rsid w:val="04ABF6B7"/>
    <w:rsid w:val="04B716EF"/>
    <w:rsid w:val="04B8F6DF"/>
    <w:rsid w:val="04C28BF6"/>
    <w:rsid w:val="04D0D6A1"/>
    <w:rsid w:val="04D49D69"/>
    <w:rsid w:val="04EED136"/>
    <w:rsid w:val="04FAE3FC"/>
    <w:rsid w:val="05002A45"/>
    <w:rsid w:val="050030E2"/>
    <w:rsid w:val="0507313D"/>
    <w:rsid w:val="050A4CC9"/>
    <w:rsid w:val="0517E1C0"/>
    <w:rsid w:val="052F485C"/>
    <w:rsid w:val="05312017"/>
    <w:rsid w:val="053D71F0"/>
    <w:rsid w:val="053EB007"/>
    <w:rsid w:val="05582317"/>
    <w:rsid w:val="056D3B1A"/>
    <w:rsid w:val="057D8144"/>
    <w:rsid w:val="057FA58A"/>
    <w:rsid w:val="05839840"/>
    <w:rsid w:val="0586501C"/>
    <w:rsid w:val="0587ED52"/>
    <w:rsid w:val="058AF3C7"/>
    <w:rsid w:val="0591E2D1"/>
    <w:rsid w:val="05926D67"/>
    <w:rsid w:val="05982BEA"/>
    <w:rsid w:val="059BB119"/>
    <w:rsid w:val="05B26F6A"/>
    <w:rsid w:val="05C3BFDC"/>
    <w:rsid w:val="05C7325F"/>
    <w:rsid w:val="05CEA0F4"/>
    <w:rsid w:val="05E0D077"/>
    <w:rsid w:val="05E3C8CC"/>
    <w:rsid w:val="05E519ED"/>
    <w:rsid w:val="05FEF45C"/>
    <w:rsid w:val="060DE3A1"/>
    <w:rsid w:val="0613536B"/>
    <w:rsid w:val="062243BA"/>
    <w:rsid w:val="063D46D3"/>
    <w:rsid w:val="0641BC8B"/>
    <w:rsid w:val="064FB49C"/>
    <w:rsid w:val="0657DDA6"/>
    <w:rsid w:val="065DDE9C"/>
    <w:rsid w:val="06752083"/>
    <w:rsid w:val="06773660"/>
    <w:rsid w:val="0677DC25"/>
    <w:rsid w:val="067AAE6B"/>
    <w:rsid w:val="06828F3E"/>
    <w:rsid w:val="06905EE1"/>
    <w:rsid w:val="069D25D7"/>
    <w:rsid w:val="06A01A17"/>
    <w:rsid w:val="06AAE8D9"/>
    <w:rsid w:val="06AEA26A"/>
    <w:rsid w:val="06BC38DF"/>
    <w:rsid w:val="06CA3660"/>
    <w:rsid w:val="06D1AB03"/>
    <w:rsid w:val="06DA54AB"/>
    <w:rsid w:val="06E863D6"/>
    <w:rsid w:val="06EC7174"/>
    <w:rsid w:val="06F0DC6A"/>
    <w:rsid w:val="06F11C6E"/>
    <w:rsid w:val="06F5C74C"/>
    <w:rsid w:val="06F8D173"/>
    <w:rsid w:val="0707D3BB"/>
    <w:rsid w:val="0709F44B"/>
    <w:rsid w:val="070A6F48"/>
    <w:rsid w:val="070B1AB9"/>
    <w:rsid w:val="071690A1"/>
    <w:rsid w:val="071AD3EE"/>
    <w:rsid w:val="0726C428"/>
    <w:rsid w:val="073CA192"/>
    <w:rsid w:val="07573B86"/>
    <w:rsid w:val="075913BD"/>
    <w:rsid w:val="07592092"/>
    <w:rsid w:val="075C3085"/>
    <w:rsid w:val="075E5185"/>
    <w:rsid w:val="07669220"/>
    <w:rsid w:val="07739C7C"/>
    <w:rsid w:val="07789333"/>
    <w:rsid w:val="077BB8F9"/>
    <w:rsid w:val="077F603A"/>
    <w:rsid w:val="07906BAE"/>
    <w:rsid w:val="07944F63"/>
    <w:rsid w:val="07989BF3"/>
    <w:rsid w:val="079D4BF6"/>
    <w:rsid w:val="07A30734"/>
    <w:rsid w:val="07AFCF4D"/>
    <w:rsid w:val="07B00DBB"/>
    <w:rsid w:val="07B04B5A"/>
    <w:rsid w:val="07B1E0BD"/>
    <w:rsid w:val="07B4C13C"/>
    <w:rsid w:val="07B830C7"/>
    <w:rsid w:val="07D0211F"/>
    <w:rsid w:val="07E0BD50"/>
    <w:rsid w:val="07F2F95B"/>
    <w:rsid w:val="07F55167"/>
    <w:rsid w:val="07F5DB25"/>
    <w:rsid w:val="080D63CE"/>
    <w:rsid w:val="0837A953"/>
    <w:rsid w:val="084D4F9B"/>
    <w:rsid w:val="08565A31"/>
    <w:rsid w:val="0877F2E0"/>
    <w:rsid w:val="0896B75E"/>
    <w:rsid w:val="08AC2580"/>
    <w:rsid w:val="08AC8356"/>
    <w:rsid w:val="08B6A44F"/>
    <w:rsid w:val="08B9C60B"/>
    <w:rsid w:val="08C29489"/>
    <w:rsid w:val="08CDE530"/>
    <w:rsid w:val="08D42E90"/>
    <w:rsid w:val="08E9F2E5"/>
    <w:rsid w:val="090B74E2"/>
    <w:rsid w:val="09152C6C"/>
    <w:rsid w:val="0921A6B5"/>
    <w:rsid w:val="092A4C14"/>
    <w:rsid w:val="092CB190"/>
    <w:rsid w:val="093C1D2B"/>
    <w:rsid w:val="0942196E"/>
    <w:rsid w:val="0947CAB2"/>
    <w:rsid w:val="094B9D81"/>
    <w:rsid w:val="096571C7"/>
    <w:rsid w:val="096858DF"/>
    <w:rsid w:val="096BE4CD"/>
    <w:rsid w:val="096C20AC"/>
    <w:rsid w:val="096FE979"/>
    <w:rsid w:val="097017CC"/>
    <w:rsid w:val="097CB44B"/>
    <w:rsid w:val="09809B72"/>
    <w:rsid w:val="0982D5BF"/>
    <w:rsid w:val="0988BF11"/>
    <w:rsid w:val="098BE027"/>
    <w:rsid w:val="099D8A46"/>
    <w:rsid w:val="09B0B1D6"/>
    <w:rsid w:val="09B7C499"/>
    <w:rsid w:val="09C3DC5F"/>
    <w:rsid w:val="09D0D3E7"/>
    <w:rsid w:val="09D379B4"/>
    <w:rsid w:val="09DC8A25"/>
    <w:rsid w:val="09DD9085"/>
    <w:rsid w:val="09E848E5"/>
    <w:rsid w:val="09F37877"/>
    <w:rsid w:val="09F3D758"/>
    <w:rsid w:val="09F91DE5"/>
    <w:rsid w:val="0A0114E2"/>
    <w:rsid w:val="0A01D722"/>
    <w:rsid w:val="0A02CBE4"/>
    <w:rsid w:val="0A105808"/>
    <w:rsid w:val="0A17637D"/>
    <w:rsid w:val="0A2A95B6"/>
    <w:rsid w:val="0A2AABDC"/>
    <w:rsid w:val="0A3979B5"/>
    <w:rsid w:val="0A3F6FDE"/>
    <w:rsid w:val="0A4089DD"/>
    <w:rsid w:val="0A5D8CE6"/>
    <w:rsid w:val="0A5E64EA"/>
    <w:rsid w:val="0A6BEB75"/>
    <w:rsid w:val="0A6EA375"/>
    <w:rsid w:val="0A6FFF9B"/>
    <w:rsid w:val="0A74DD47"/>
    <w:rsid w:val="0A7FC268"/>
    <w:rsid w:val="0A82DAF5"/>
    <w:rsid w:val="0A9A035A"/>
    <w:rsid w:val="0A9C3F49"/>
    <w:rsid w:val="0AA9773A"/>
    <w:rsid w:val="0AABAA03"/>
    <w:rsid w:val="0AAC96F5"/>
    <w:rsid w:val="0ABB5546"/>
    <w:rsid w:val="0AC3E522"/>
    <w:rsid w:val="0AC4AFE9"/>
    <w:rsid w:val="0AD47C7E"/>
    <w:rsid w:val="0AE6FC9A"/>
    <w:rsid w:val="0AF6E7BA"/>
    <w:rsid w:val="0AFFC219"/>
    <w:rsid w:val="0B03DFE0"/>
    <w:rsid w:val="0B05662A"/>
    <w:rsid w:val="0B0D4D89"/>
    <w:rsid w:val="0B0D8A43"/>
    <w:rsid w:val="0B2CD2D8"/>
    <w:rsid w:val="0B44AA87"/>
    <w:rsid w:val="0B44B15C"/>
    <w:rsid w:val="0B4C1F22"/>
    <w:rsid w:val="0B4E0619"/>
    <w:rsid w:val="0B515A43"/>
    <w:rsid w:val="0B515CBF"/>
    <w:rsid w:val="0B5211C8"/>
    <w:rsid w:val="0B5227DD"/>
    <w:rsid w:val="0B5562E4"/>
    <w:rsid w:val="0B55679A"/>
    <w:rsid w:val="0B5AE87F"/>
    <w:rsid w:val="0B5D2BA9"/>
    <w:rsid w:val="0B71A516"/>
    <w:rsid w:val="0B7635E1"/>
    <w:rsid w:val="0B8C59A5"/>
    <w:rsid w:val="0B90B39E"/>
    <w:rsid w:val="0B996006"/>
    <w:rsid w:val="0BA242A5"/>
    <w:rsid w:val="0BA26569"/>
    <w:rsid w:val="0BCA3271"/>
    <w:rsid w:val="0BD98B01"/>
    <w:rsid w:val="0BDCEECC"/>
    <w:rsid w:val="0BF3974E"/>
    <w:rsid w:val="0C09F058"/>
    <w:rsid w:val="0C0DA707"/>
    <w:rsid w:val="0C14A8F0"/>
    <w:rsid w:val="0C30C8F0"/>
    <w:rsid w:val="0C390AD9"/>
    <w:rsid w:val="0C411C2F"/>
    <w:rsid w:val="0C43C4B8"/>
    <w:rsid w:val="0C45D37F"/>
    <w:rsid w:val="0C59347D"/>
    <w:rsid w:val="0C5A2D6F"/>
    <w:rsid w:val="0C5D9977"/>
    <w:rsid w:val="0C5E64EE"/>
    <w:rsid w:val="0C687012"/>
    <w:rsid w:val="0C6BF7E6"/>
    <w:rsid w:val="0C6C3146"/>
    <w:rsid w:val="0C719482"/>
    <w:rsid w:val="0C78FA8D"/>
    <w:rsid w:val="0C7B1337"/>
    <w:rsid w:val="0C8646C5"/>
    <w:rsid w:val="0C8AF80F"/>
    <w:rsid w:val="0C8FCC55"/>
    <w:rsid w:val="0C956544"/>
    <w:rsid w:val="0C98CC5C"/>
    <w:rsid w:val="0C9AD340"/>
    <w:rsid w:val="0CA01D53"/>
    <w:rsid w:val="0CAE43BE"/>
    <w:rsid w:val="0CB43F41"/>
    <w:rsid w:val="0CBB3FA2"/>
    <w:rsid w:val="0CBD7BC4"/>
    <w:rsid w:val="0CBEBB22"/>
    <w:rsid w:val="0CC3F6F1"/>
    <w:rsid w:val="0CC901A8"/>
    <w:rsid w:val="0CE99C85"/>
    <w:rsid w:val="0CEE5FCF"/>
    <w:rsid w:val="0D01C8E6"/>
    <w:rsid w:val="0D026C18"/>
    <w:rsid w:val="0D02CA7D"/>
    <w:rsid w:val="0D033EB8"/>
    <w:rsid w:val="0D078FB0"/>
    <w:rsid w:val="0D23099F"/>
    <w:rsid w:val="0D43318B"/>
    <w:rsid w:val="0D47F8CA"/>
    <w:rsid w:val="0D4D7EE9"/>
    <w:rsid w:val="0D4E75B9"/>
    <w:rsid w:val="0D5FD009"/>
    <w:rsid w:val="0D800075"/>
    <w:rsid w:val="0D99FA2C"/>
    <w:rsid w:val="0DAD92D2"/>
    <w:rsid w:val="0DB586C6"/>
    <w:rsid w:val="0DB999E7"/>
    <w:rsid w:val="0DBA6613"/>
    <w:rsid w:val="0DBB156A"/>
    <w:rsid w:val="0DFFAD32"/>
    <w:rsid w:val="0E00F17E"/>
    <w:rsid w:val="0E0110B1"/>
    <w:rsid w:val="0E08BDE8"/>
    <w:rsid w:val="0E0FA3BF"/>
    <w:rsid w:val="0E104E20"/>
    <w:rsid w:val="0E196011"/>
    <w:rsid w:val="0E25A705"/>
    <w:rsid w:val="0E32F5FE"/>
    <w:rsid w:val="0E37417F"/>
    <w:rsid w:val="0E408F5F"/>
    <w:rsid w:val="0E432149"/>
    <w:rsid w:val="0E47BF0C"/>
    <w:rsid w:val="0E4989D9"/>
    <w:rsid w:val="0E579379"/>
    <w:rsid w:val="0E59D4A5"/>
    <w:rsid w:val="0E67232A"/>
    <w:rsid w:val="0E6CD269"/>
    <w:rsid w:val="0E6E653B"/>
    <w:rsid w:val="0E7075F6"/>
    <w:rsid w:val="0E725C61"/>
    <w:rsid w:val="0E73B005"/>
    <w:rsid w:val="0E76452E"/>
    <w:rsid w:val="0EB5046A"/>
    <w:rsid w:val="0EB7C99A"/>
    <w:rsid w:val="0EC66A7A"/>
    <w:rsid w:val="0EDD9D41"/>
    <w:rsid w:val="0EE79CAA"/>
    <w:rsid w:val="0EF2760B"/>
    <w:rsid w:val="0F187A65"/>
    <w:rsid w:val="0F1DA4D4"/>
    <w:rsid w:val="0F23D375"/>
    <w:rsid w:val="0F252C71"/>
    <w:rsid w:val="0F275522"/>
    <w:rsid w:val="0F29C88A"/>
    <w:rsid w:val="0F2D3DB9"/>
    <w:rsid w:val="0F2DC2A2"/>
    <w:rsid w:val="0F3498F0"/>
    <w:rsid w:val="0F39D327"/>
    <w:rsid w:val="0F3D1B99"/>
    <w:rsid w:val="0F4C4017"/>
    <w:rsid w:val="0F5CA049"/>
    <w:rsid w:val="0F6A74DE"/>
    <w:rsid w:val="0F7165A3"/>
    <w:rsid w:val="0F7CE85D"/>
    <w:rsid w:val="0F7E3BE8"/>
    <w:rsid w:val="0F9A387C"/>
    <w:rsid w:val="0FA08797"/>
    <w:rsid w:val="0FB67E05"/>
    <w:rsid w:val="0FD804ED"/>
    <w:rsid w:val="0FD8F01B"/>
    <w:rsid w:val="0FDF83B0"/>
    <w:rsid w:val="0FE955D7"/>
    <w:rsid w:val="0FF2E49A"/>
    <w:rsid w:val="0FF327DD"/>
    <w:rsid w:val="100169F6"/>
    <w:rsid w:val="1017D18E"/>
    <w:rsid w:val="1018E54B"/>
    <w:rsid w:val="10210E49"/>
    <w:rsid w:val="102234E0"/>
    <w:rsid w:val="10231006"/>
    <w:rsid w:val="103183A8"/>
    <w:rsid w:val="103613E8"/>
    <w:rsid w:val="10381A60"/>
    <w:rsid w:val="1044081D"/>
    <w:rsid w:val="104D509C"/>
    <w:rsid w:val="1056604D"/>
    <w:rsid w:val="105D67A9"/>
    <w:rsid w:val="1066EFE4"/>
    <w:rsid w:val="106D96EF"/>
    <w:rsid w:val="106ED0F1"/>
    <w:rsid w:val="107ADE76"/>
    <w:rsid w:val="1080F720"/>
    <w:rsid w:val="109D2C50"/>
    <w:rsid w:val="10A888DA"/>
    <w:rsid w:val="10B09928"/>
    <w:rsid w:val="10B252A6"/>
    <w:rsid w:val="10B91550"/>
    <w:rsid w:val="10BB6766"/>
    <w:rsid w:val="10CB5D56"/>
    <w:rsid w:val="10DB6372"/>
    <w:rsid w:val="10E185DA"/>
    <w:rsid w:val="10E493BC"/>
    <w:rsid w:val="10EE60A7"/>
    <w:rsid w:val="10F8DC3B"/>
    <w:rsid w:val="10FBF7D9"/>
    <w:rsid w:val="10FEBE4F"/>
    <w:rsid w:val="11009789"/>
    <w:rsid w:val="110C9C01"/>
    <w:rsid w:val="11108CBF"/>
    <w:rsid w:val="11217C02"/>
    <w:rsid w:val="112204EF"/>
    <w:rsid w:val="112DCBBF"/>
    <w:rsid w:val="1141138F"/>
    <w:rsid w:val="114C37B0"/>
    <w:rsid w:val="11508023"/>
    <w:rsid w:val="11632DA8"/>
    <w:rsid w:val="1163A21F"/>
    <w:rsid w:val="116F3170"/>
    <w:rsid w:val="116FCA3D"/>
    <w:rsid w:val="11770365"/>
    <w:rsid w:val="11858110"/>
    <w:rsid w:val="118EB4FB"/>
    <w:rsid w:val="11951966"/>
    <w:rsid w:val="119C145C"/>
    <w:rsid w:val="11A5E3FE"/>
    <w:rsid w:val="11B50850"/>
    <w:rsid w:val="11B8A83F"/>
    <w:rsid w:val="11C7E9A5"/>
    <w:rsid w:val="11C88DC4"/>
    <w:rsid w:val="11CAC404"/>
    <w:rsid w:val="11CD5158"/>
    <w:rsid w:val="11CE4E1A"/>
    <w:rsid w:val="11D6614E"/>
    <w:rsid w:val="11F7FD06"/>
    <w:rsid w:val="122B10E7"/>
    <w:rsid w:val="1237BAEC"/>
    <w:rsid w:val="124B0B42"/>
    <w:rsid w:val="124C8DB9"/>
    <w:rsid w:val="124D8487"/>
    <w:rsid w:val="124E2894"/>
    <w:rsid w:val="126976CF"/>
    <w:rsid w:val="1273A236"/>
    <w:rsid w:val="127AD3A6"/>
    <w:rsid w:val="1283AE75"/>
    <w:rsid w:val="12936833"/>
    <w:rsid w:val="12973ECC"/>
    <w:rsid w:val="12A90665"/>
    <w:rsid w:val="12B7EBDB"/>
    <w:rsid w:val="12BD4B29"/>
    <w:rsid w:val="12C04EDB"/>
    <w:rsid w:val="12DEAE65"/>
    <w:rsid w:val="12E2BD18"/>
    <w:rsid w:val="12EFA475"/>
    <w:rsid w:val="12F54AB3"/>
    <w:rsid w:val="1315DE1D"/>
    <w:rsid w:val="13269F62"/>
    <w:rsid w:val="132A855C"/>
    <w:rsid w:val="132FB7BD"/>
    <w:rsid w:val="13362EFB"/>
    <w:rsid w:val="13421538"/>
    <w:rsid w:val="13433A08"/>
    <w:rsid w:val="135851B4"/>
    <w:rsid w:val="13659B75"/>
    <w:rsid w:val="137B9BAA"/>
    <w:rsid w:val="1390616A"/>
    <w:rsid w:val="1393CD67"/>
    <w:rsid w:val="13950719"/>
    <w:rsid w:val="13CEA4AA"/>
    <w:rsid w:val="13D71F5C"/>
    <w:rsid w:val="13F4F008"/>
    <w:rsid w:val="13F87E01"/>
    <w:rsid w:val="13FCA7AC"/>
    <w:rsid w:val="14018479"/>
    <w:rsid w:val="140ECB33"/>
    <w:rsid w:val="14100947"/>
    <w:rsid w:val="14127F53"/>
    <w:rsid w:val="1412CDBB"/>
    <w:rsid w:val="14155E09"/>
    <w:rsid w:val="142051E7"/>
    <w:rsid w:val="142CE9B3"/>
    <w:rsid w:val="143EECFD"/>
    <w:rsid w:val="144A0B24"/>
    <w:rsid w:val="145017AD"/>
    <w:rsid w:val="145C1F3C"/>
    <w:rsid w:val="146D6869"/>
    <w:rsid w:val="14754799"/>
    <w:rsid w:val="1475A605"/>
    <w:rsid w:val="148B2B27"/>
    <w:rsid w:val="148D0B0B"/>
    <w:rsid w:val="148DDEE0"/>
    <w:rsid w:val="149055D5"/>
    <w:rsid w:val="149056EF"/>
    <w:rsid w:val="1499827B"/>
    <w:rsid w:val="14A0ACD3"/>
    <w:rsid w:val="14A81105"/>
    <w:rsid w:val="14B2DF98"/>
    <w:rsid w:val="14CE4144"/>
    <w:rsid w:val="14D2EAD5"/>
    <w:rsid w:val="14D43E56"/>
    <w:rsid w:val="14FD46DF"/>
    <w:rsid w:val="150264C6"/>
    <w:rsid w:val="1505EEDC"/>
    <w:rsid w:val="150ACFE9"/>
    <w:rsid w:val="150ADFF7"/>
    <w:rsid w:val="15126456"/>
    <w:rsid w:val="1512D6D5"/>
    <w:rsid w:val="15175742"/>
    <w:rsid w:val="1521CD1F"/>
    <w:rsid w:val="15250F3B"/>
    <w:rsid w:val="1549FFD7"/>
    <w:rsid w:val="154CD96B"/>
    <w:rsid w:val="154FD6B8"/>
    <w:rsid w:val="15511271"/>
    <w:rsid w:val="1556DE2E"/>
    <w:rsid w:val="15573F4D"/>
    <w:rsid w:val="156EF6E5"/>
    <w:rsid w:val="15752B8E"/>
    <w:rsid w:val="157F9DD8"/>
    <w:rsid w:val="158A9FB2"/>
    <w:rsid w:val="1592B85F"/>
    <w:rsid w:val="159578B7"/>
    <w:rsid w:val="15B9257F"/>
    <w:rsid w:val="15C0F0CA"/>
    <w:rsid w:val="15C94B4C"/>
    <w:rsid w:val="15CB9B5E"/>
    <w:rsid w:val="15CC245F"/>
    <w:rsid w:val="15CE2294"/>
    <w:rsid w:val="15CEC35B"/>
    <w:rsid w:val="15D37671"/>
    <w:rsid w:val="15D49D9D"/>
    <w:rsid w:val="15F4DE4D"/>
    <w:rsid w:val="16053618"/>
    <w:rsid w:val="1609E1A2"/>
    <w:rsid w:val="160D2DAF"/>
    <w:rsid w:val="160DB44D"/>
    <w:rsid w:val="1624C0CF"/>
    <w:rsid w:val="162BB344"/>
    <w:rsid w:val="16335227"/>
    <w:rsid w:val="1635377C"/>
    <w:rsid w:val="164A3DFD"/>
    <w:rsid w:val="164B3FC4"/>
    <w:rsid w:val="165FC4D9"/>
    <w:rsid w:val="16729A03"/>
    <w:rsid w:val="1684BC5F"/>
    <w:rsid w:val="168EF3E0"/>
    <w:rsid w:val="169212E1"/>
    <w:rsid w:val="1692EE3F"/>
    <w:rsid w:val="169F966A"/>
    <w:rsid w:val="16B013DB"/>
    <w:rsid w:val="16B82E48"/>
    <w:rsid w:val="16BC6931"/>
    <w:rsid w:val="16BD0BED"/>
    <w:rsid w:val="16C1C72B"/>
    <w:rsid w:val="16D425CA"/>
    <w:rsid w:val="16EABBD1"/>
    <w:rsid w:val="16F27A40"/>
    <w:rsid w:val="16FAE96A"/>
    <w:rsid w:val="1701CD32"/>
    <w:rsid w:val="1708EE81"/>
    <w:rsid w:val="172AE3C1"/>
    <w:rsid w:val="17314918"/>
    <w:rsid w:val="1745DCED"/>
    <w:rsid w:val="175B77EE"/>
    <w:rsid w:val="1772B027"/>
    <w:rsid w:val="1776AEA2"/>
    <w:rsid w:val="1781ABE6"/>
    <w:rsid w:val="17849617"/>
    <w:rsid w:val="178DF456"/>
    <w:rsid w:val="1795B3DB"/>
    <w:rsid w:val="17ACE85B"/>
    <w:rsid w:val="17AD46C7"/>
    <w:rsid w:val="17B8FC2F"/>
    <w:rsid w:val="17C4D9F3"/>
    <w:rsid w:val="17C69DEF"/>
    <w:rsid w:val="17CD7069"/>
    <w:rsid w:val="17E927AB"/>
    <w:rsid w:val="17F3C436"/>
    <w:rsid w:val="17FE2FDF"/>
    <w:rsid w:val="1802D88B"/>
    <w:rsid w:val="180ECA51"/>
    <w:rsid w:val="180F603D"/>
    <w:rsid w:val="182316A7"/>
    <w:rsid w:val="18250913"/>
    <w:rsid w:val="183702AA"/>
    <w:rsid w:val="1837652A"/>
    <w:rsid w:val="184346A2"/>
    <w:rsid w:val="1845A42F"/>
    <w:rsid w:val="184E162D"/>
    <w:rsid w:val="185A7969"/>
    <w:rsid w:val="186CCC12"/>
    <w:rsid w:val="1877CCE3"/>
    <w:rsid w:val="187A3993"/>
    <w:rsid w:val="187DDC57"/>
    <w:rsid w:val="187E666C"/>
    <w:rsid w:val="18817301"/>
    <w:rsid w:val="1881A099"/>
    <w:rsid w:val="188C61B6"/>
    <w:rsid w:val="189AE384"/>
    <w:rsid w:val="18A441BB"/>
    <w:rsid w:val="18C0DF7F"/>
    <w:rsid w:val="18C1999E"/>
    <w:rsid w:val="18D139CE"/>
    <w:rsid w:val="18D359B0"/>
    <w:rsid w:val="18FFD5A0"/>
    <w:rsid w:val="18FFD98A"/>
    <w:rsid w:val="19004D58"/>
    <w:rsid w:val="1901AF44"/>
    <w:rsid w:val="19066E49"/>
    <w:rsid w:val="190B86A0"/>
    <w:rsid w:val="192C24DA"/>
    <w:rsid w:val="195365E3"/>
    <w:rsid w:val="19547809"/>
    <w:rsid w:val="19564B18"/>
    <w:rsid w:val="195A8774"/>
    <w:rsid w:val="1961AAC5"/>
    <w:rsid w:val="196395B3"/>
    <w:rsid w:val="1963B87B"/>
    <w:rsid w:val="196D476B"/>
    <w:rsid w:val="197A1196"/>
    <w:rsid w:val="198DB284"/>
    <w:rsid w:val="198F9D63"/>
    <w:rsid w:val="198FED73"/>
    <w:rsid w:val="19B08D99"/>
    <w:rsid w:val="19BDFF65"/>
    <w:rsid w:val="19E14D85"/>
    <w:rsid w:val="19E9E68E"/>
    <w:rsid w:val="19EBBAB9"/>
    <w:rsid w:val="19ED149F"/>
    <w:rsid w:val="19F00D1E"/>
    <w:rsid w:val="19F586E9"/>
    <w:rsid w:val="1A037D17"/>
    <w:rsid w:val="1A051BD1"/>
    <w:rsid w:val="1A0521F4"/>
    <w:rsid w:val="1A0730FF"/>
    <w:rsid w:val="1A250D3B"/>
    <w:rsid w:val="1A3A184B"/>
    <w:rsid w:val="1A40121C"/>
    <w:rsid w:val="1A44EE89"/>
    <w:rsid w:val="1A4DFF4B"/>
    <w:rsid w:val="1A52006A"/>
    <w:rsid w:val="1A66C89F"/>
    <w:rsid w:val="1A7095F0"/>
    <w:rsid w:val="1A731B04"/>
    <w:rsid w:val="1A85B922"/>
    <w:rsid w:val="1A893526"/>
    <w:rsid w:val="1A95E9DA"/>
    <w:rsid w:val="1A9CBF74"/>
    <w:rsid w:val="1AA5F262"/>
    <w:rsid w:val="1AAEA246"/>
    <w:rsid w:val="1ABA0FEF"/>
    <w:rsid w:val="1AC40F3B"/>
    <w:rsid w:val="1ACB60C0"/>
    <w:rsid w:val="1ADC1F0F"/>
    <w:rsid w:val="1AE24994"/>
    <w:rsid w:val="1AED1D07"/>
    <w:rsid w:val="1B05815F"/>
    <w:rsid w:val="1B0A792F"/>
    <w:rsid w:val="1B10F748"/>
    <w:rsid w:val="1B214A68"/>
    <w:rsid w:val="1B299EE2"/>
    <w:rsid w:val="1B2E1B4C"/>
    <w:rsid w:val="1B359741"/>
    <w:rsid w:val="1B40D498"/>
    <w:rsid w:val="1B47BA4B"/>
    <w:rsid w:val="1B507733"/>
    <w:rsid w:val="1B62BBD7"/>
    <w:rsid w:val="1B634EF5"/>
    <w:rsid w:val="1B684BA7"/>
    <w:rsid w:val="1B71A64A"/>
    <w:rsid w:val="1B7806B4"/>
    <w:rsid w:val="1B794D08"/>
    <w:rsid w:val="1B7B8CC6"/>
    <w:rsid w:val="1B8694ED"/>
    <w:rsid w:val="1B90094C"/>
    <w:rsid w:val="1B935875"/>
    <w:rsid w:val="1B9B1CA5"/>
    <w:rsid w:val="1B9F1743"/>
    <w:rsid w:val="1BA21928"/>
    <w:rsid w:val="1BA483AE"/>
    <w:rsid w:val="1BA92BA0"/>
    <w:rsid w:val="1BACFF48"/>
    <w:rsid w:val="1BB1D4F5"/>
    <w:rsid w:val="1BB53CF9"/>
    <w:rsid w:val="1BBA26B4"/>
    <w:rsid w:val="1BD5BB7F"/>
    <w:rsid w:val="1BDB2712"/>
    <w:rsid w:val="1BDBE27D"/>
    <w:rsid w:val="1BF156CC"/>
    <w:rsid w:val="1BF7A528"/>
    <w:rsid w:val="1BF88041"/>
    <w:rsid w:val="1C172207"/>
    <w:rsid w:val="1C1BC062"/>
    <w:rsid w:val="1C30D685"/>
    <w:rsid w:val="1C34095E"/>
    <w:rsid w:val="1C3B65E3"/>
    <w:rsid w:val="1C3FE758"/>
    <w:rsid w:val="1C41400D"/>
    <w:rsid w:val="1C446B29"/>
    <w:rsid w:val="1C45D300"/>
    <w:rsid w:val="1C472DF7"/>
    <w:rsid w:val="1C48C21A"/>
    <w:rsid w:val="1C48F40E"/>
    <w:rsid w:val="1C58537F"/>
    <w:rsid w:val="1C5A2D99"/>
    <w:rsid w:val="1C5AE3E0"/>
    <w:rsid w:val="1C5E5856"/>
    <w:rsid w:val="1C5FA5AB"/>
    <w:rsid w:val="1C69936B"/>
    <w:rsid w:val="1C6A79DB"/>
    <w:rsid w:val="1C81442C"/>
    <w:rsid w:val="1C820E18"/>
    <w:rsid w:val="1C821B36"/>
    <w:rsid w:val="1C8E543F"/>
    <w:rsid w:val="1C911FFB"/>
    <w:rsid w:val="1CA3E3D8"/>
    <w:rsid w:val="1CA8A326"/>
    <w:rsid w:val="1CAB47EB"/>
    <w:rsid w:val="1CADE2E2"/>
    <w:rsid w:val="1CBAC221"/>
    <w:rsid w:val="1CCCD16E"/>
    <w:rsid w:val="1CCF15BA"/>
    <w:rsid w:val="1CD29ECC"/>
    <w:rsid w:val="1CD83CE9"/>
    <w:rsid w:val="1CE62F9C"/>
    <w:rsid w:val="1CF82BCE"/>
    <w:rsid w:val="1D1E9C2E"/>
    <w:rsid w:val="1D29E432"/>
    <w:rsid w:val="1D2BBEFF"/>
    <w:rsid w:val="1D2FD9F8"/>
    <w:rsid w:val="1D366B9D"/>
    <w:rsid w:val="1D373496"/>
    <w:rsid w:val="1D42FBF9"/>
    <w:rsid w:val="1D4B5431"/>
    <w:rsid w:val="1D7564A3"/>
    <w:rsid w:val="1D810AF9"/>
    <w:rsid w:val="1D8AEBA3"/>
    <w:rsid w:val="1D8D272D"/>
    <w:rsid w:val="1D9B5DE6"/>
    <w:rsid w:val="1DABB952"/>
    <w:rsid w:val="1DADFDB6"/>
    <w:rsid w:val="1DB790C3"/>
    <w:rsid w:val="1DBD694E"/>
    <w:rsid w:val="1DC7A6D1"/>
    <w:rsid w:val="1DCFD076"/>
    <w:rsid w:val="1DD73644"/>
    <w:rsid w:val="1DEA5B76"/>
    <w:rsid w:val="1DED2BB1"/>
    <w:rsid w:val="1DF11EFA"/>
    <w:rsid w:val="1DF3A692"/>
    <w:rsid w:val="1DF4D133"/>
    <w:rsid w:val="1DF84E10"/>
    <w:rsid w:val="1E25EEC7"/>
    <w:rsid w:val="1E2B1554"/>
    <w:rsid w:val="1E2C948E"/>
    <w:rsid w:val="1E48980A"/>
    <w:rsid w:val="1E571CA5"/>
    <w:rsid w:val="1E5B185E"/>
    <w:rsid w:val="1E748CEB"/>
    <w:rsid w:val="1E768DA9"/>
    <w:rsid w:val="1E775D75"/>
    <w:rsid w:val="1E9D4B06"/>
    <w:rsid w:val="1E9FEC69"/>
    <w:rsid w:val="1EA79419"/>
    <w:rsid w:val="1EA87B4A"/>
    <w:rsid w:val="1EAAEDEA"/>
    <w:rsid w:val="1EB30381"/>
    <w:rsid w:val="1EB8F963"/>
    <w:rsid w:val="1EC1947D"/>
    <w:rsid w:val="1ECBB7ED"/>
    <w:rsid w:val="1ECE1946"/>
    <w:rsid w:val="1EDE4AE4"/>
    <w:rsid w:val="1EF4B5C9"/>
    <w:rsid w:val="1F02E6A4"/>
    <w:rsid w:val="1F29388B"/>
    <w:rsid w:val="1F2D50C7"/>
    <w:rsid w:val="1F40DE04"/>
    <w:rsid w:val="1F47180D"/>
    <w:rsid w:val="1F68AB65"/>
    <w:rsid w:val="1F7C73F4"/>
    <w:rsid w:val="1F7D22D0"/>
    <w:rsid w:val="1F8062DC"/>
    <w:rsid w:val="1F92F90E"/>
    <w:rsid w:val="1F9385C0"/>
    <w:rsid w:val="1F941E71"/>
    <w:rsid w:val="1FA53685"/>
    <w:rsid w:val="1FAF68B5"/>
    <w:rsid w:val="1FB12855"/>
    <w:rsid w:val="1FB1D8A1"/>
    <w:rsid w:val="1FB84E23"/>
    <w:rsid w:val="1FB8B514"/>
    <w:rsid w:val="1FBE63E8"/>
    <w:rsid w:val="1FC408C6"/>
    <w:rsid w:val="1FCEFF34"/>
    <w:rsid w:val="1FD4DBBD"/>
    <w:rsid w:val="1FF37461"/>
    <w:rsid w:val="1FF78AB4"/>
    <w:rsid w:val="1FFBDD03"/>
    <w:rsid w:val="1FFEDAF3"/>
    <w:rsid w:val="2001E4FC"/>
    <w:rsid w:val="20095C68"/>
    <w:rsid w:val="200BC47C"/>
    <w:rsid w:val="20125D9C"/>
    <w:rsid w:val="20251C47"/>
    <w:rsid w:val="20283E9D"/>
    <w:rsid w:val="2029E4FA"/>
    <w:rsid w:val="202C77BF"/>
    <w:rsid w:val="20325075"/>
    <w:rsid w:val="2035048B"/>
    <w:rsid w:val="203E41DA"/>
    <w:rsid w:val="204653EB"/>
    <w:rsid w:val="20592812"/>
    <w:rsid w:val="205BCB4F"/>
    <w:rsid w:val="205F1E02"/>
    <w:rsid w:val="20611598"/>
    <w:rsid w:val="206AEE9D"/>
    <w:rsid w:val="2072506F"/>
    <w:rsid w:val="2078BBB1"/>
    <w:rsid w:val="2079F4F9"/>
    <w:rsid w:val="207F776D"/>
    <w:rsid w:val="20863016"/>
    <w:rsid w:val="208E987D"/>
    <w:rsid w:val="2090BB8C"/>
    <w:rsid w:val="2091CBA8"/>
    <w:rsid w:val="20A22D30"/>
    <w:rsid w:val="20A56450"/>
    <w:rsid w:val="20AB2C1D"/>
    <w:rsid w:val="20BCCFC5"/>
    <w:rsid w:val="20C04A92"/>
    <w:rsid w:val="20C52C96"/>
    <w:rsid w:val="20DA5EF0"/>
    <w:rsid w:val="20DAC91E"/>
    <w:rsid w:val="20EC5AB7"/>
    <w:rsid w:val="20EF3185"/>
    <w:rsid w:val="20F1025B"/>
    <w:rsid w:val="20F2E206"/>
    <w:rsid w:val="20F6A421"/>
    <w:rsid w:val="210344E4"/>
    <w:rsid w:val="211D650B"/>
    <w:rsid w:val="212A00D7"/>
    <w:rsid w:val="212A1E8D"/>
    <w:rsid w:val="212F3B6A"/>
    <w:rsid w:val="2132AEBC"/>
    <w:rsid w:val="21347C59"/>
    <w:rsid w:val="213E2D66"/>
    <w:rsid w:val="213F3F9C"/>
    <w:rsid w:val="214CAAF0"/>
    <w:rsid w:val="215D8F89"/>
    <w:rsid w:val="21651666"/>
    <w:rsid w:val="217031C1"/>
    <w:rsid w:val="217BD5FC"/>
    <w:rsid w:val="219341D5"/>
    <w:rsid w:val="219AAB54"/>
    <w:rsid w:val="21BE4327"/>
    <w:rsid w:val="21C4B439"/>
    <w:rsid w:val="21D1FD5B"/>
    <w:rsid w:val="21D54D4A"/>
    <w:rsid w:val="21DBA1CB"/>
    <w:rsid w:val="21E0E7CE"/>
    <w:rsid w:val="21E8C46F"/>
    <w:rsid w:val="21EBDEB8"/>
    <w:rsid w:val="21EC5F6A"/>
    <w:rsid w:val="21EC6926"/>
    <w:rsid w:val="21EC6D92"/>
    <w:rsid w:val="21F98042"/>
    <w:rsid w:val="22006C4C"/>
    <w:rsid w:val="220358AF"/>
    <w:rsid w:val="220E20D0"/>
    <w:rsid w:val="22165AED"/>
    <w:rsid w:val="221D34F8"/>
    <w:rsid w:val="22426877"/>
    <w:rsid w:val="2244F883"/>
    <w:rsid w:val="2254AE2A"/>
    <w:rsid w:val="2259395A"/>
    <w:rsid w:val="22597F6C"/>
    <w:rsid w:val="22694D7E"/>
    <w:rsid w:val="227BE433"/>
    <w:rsid w:val="227F735B"/>
    <w:rsid w:val="228B01E6"/>
    <w:rsid w:val="2299F848"/>
    <w:rsid w:val="22A6F6F8"/>
    <w:rsid w:val="22B98612"/>
    <w:rsid w:val="22B9E3C0"/>
    <w:rsid w:val="22CBF473"/>
    <w:rsid w:val="22D87C5C"/>
    <w:rsid w:val="22E40501"/>
    <w:rsid w:val="22F28CD7"/>
    <w:rsid w:val="22F6F772"/>
    <w:rsid w:val="22FE1231"/>
    <w:rsid w:val="22FE4C5B"/>
    <w:rsid w:val="23047379"/>
    <w:rsid w:val="2315539F"/>
    <w:rsid w:val="2322F354"/>
    <w:rsid w:val="232CDAD1"/>
    <w:rsid w:val="2340F13F"/>
    <w:rsid w:val="2342BC05"/>
    <w:rsid w:val="2349DE07"/>
    <w:rsid w:val="235E30A9"/>
    <w:rsid w:val="236C2225"/>
    <w:rsid w:val="236FA181"/>
    <w:rsid w:val="238E6CE5"/>
    <w:rsid w:val="2393239E"/>
    <w:rsid w:val="23AD497A"/>
    <w:rsid w:val="23B31869"/>
    <w:rsid w:val="23BD0FAD"/>
    <w:rsid w:val="23EAB1F6"/>
    <w:rsid w:val="23EBADF9"/>
    <w:rsid w:val="23EF3C0C"/>
    <w:rsid w:val="23FE4FD9"/>
    <w:rsid w:val="2403733B"/>
    <w:rsid w:val="240C0463"/>
    <w:rsid w:val="240F5727"/>
    <w:rsid w:val="2418495C"/>
    <w:rsid w:val="2431E3F7"/>
    <w:rsid w:val="24411E49"/>
    <w:rsid w:val="244B5E2A"/>
    <w:rsid w:val="245B4849"/>
    <w:rsid w:val="2462E5E5"/>
    <w:rsid w:val="246320E6"/>
    <w:rsid w:val="246DA0C7"/>
    <w:rsid w:val="24724306"/>
    <w:rsid w:val="248B607A"/>
    <w:rsid w:val="248ED81B"/>
    <w:rsid w:val="24A00671"/>
    <w:rsid w:val="24A466ED"/>
    <w:rsid w:val="24B1EE87"/>
    <w:rsid w:val="24BE6E7D"/>
    <w:rsid w:val="24C00E18"/>
    <w:rsid w:val="24C9FC79"/>
    <w:rsid w:val="24CB5938"/>
    <w:rsid w:val="24CC9438"/>
    <w:rsid w:val="24D9657D"/>
    <w:rsid w:val="24EA63BE"/>
    <w:rsid w:val="24F73BEE"/>
    <w:rsid w:val="24F88CBF"/>
    <w:rsid w:val="2508627A"/>
    <w:rsid w:val="25174F9A"/>
    <w:rsid w:val="251A6129"/>
    <w:rsid w:val="2538AB63"/>
    <w:rsid w:val="25422A2A"/>
    <w:rsid w:val="2547665E"/>
    <w:rsid w:val="254B2092"/>
    <w:rsid w:val="254C2489"/>
    <w:rsid w:val="25582DBB"/>
    <w:rsid w:val="255A9A04"/>
    <w:rsid w:val="2565C10D"/>
    <w:rsid w:val="2570C881"/>
    <w:rsid w:val="2572A2CD"/>
    <w:rsid w:val="2579F8BF"/>
    <w:rsid w:val="2595D306"/>
    <w:rsid w:val="259AB69E"/>
    <w:rsid w:val="25CFDF7C"/>
    <w:rsid w:val="25D4B240"/>
    <w:rsid w:val="25D5D593"/>
    <w:rsid w:val="25DC0465"/>
    <w:rsid w:val="25E3AA8E"/>
    <w:rsid w:val="25EEE15B"/>
    <w:rsid w:val="25FCDDB6"/>
    <w:rsid w:val="26071174"/>
    <w:rsid w:val="260837A0"/>
    <w:rsid w:val="260E1367"/>
    <w:rsid w:val="26138BBF"/>
    <w:rsid w:val="26156433"/>
    <w:rsid w:val="2617D84F"/>
    <w:rsid w:val="261A5657"/>
    <w:rsid w:val="262D68B5"/>
    <w:rsid w:val="263DE8E0"/>
    <w:rsid w:val="2651FCAB"/>
    <w:rsid w:val="26617CD8"/>
    <w:rsid w:val="266DAA6A"/>
    <w:rsid w:val="2675C6FE"/>
    <w:rsid w:val="2679C00D"/>
    <w:rsid w:val="267C40D3"/>
    <w:rsid w:val="2689BBA4"/>
    <w:rsid w:val="26A854ED"/>
    <w:rsid w:val="26B84205"/>
    <w:rsid w:val="26BE8408"/>
    <w:rsid w:val="26C5694A"/>
    <w:rsid w:val="26C86A14"/>
    <w:rsid w:val="26CF2D9F"/>
    <w:rsid w:val="26D0571C"/>
    <w:rsid w:val="26DAF6C9"/>
    <w:rsid w:val="26E8D28B"/>
    <w:rsid w:val="26ECF9F7"/>
    <w:rsid w:val="26EF49F2"/>
    <w:rsid w:val="26F4D99B"/>
    <w:rsid w:val="26F722E8"/>
    <w:rsid w:val="271E2AEC"/>
    <w:rsid w:val="272D8736"/>
    <w:rsid w:val="274A9C27"/>
    <w:rsid w:val="2750B384"/>
    <w:rsid w:val="27878660"/>
    <w:rsid w:val="27AC84C2"/>
    <w:rsid w:val="27CAB940"/>
    <w:rsid w:val="27D7A733"/>
    <w:rsid w:val="27DF1054"/>
    <w:rsid w:val="27EA2EF9"/>
    <w:rsid w:val="27FDAAEB"/>
    <w:rsid w:val="280D2FFE"/>
    <w:rsid w:val="28110E92"/>
    <w:rsid w:val="28196A57"/>
    <w:rsid w:val="281E2666"/>
    <w:rsid w:val="28359F23"/>
    <w:rsid w:val="283E26A9"/>
    <w:rsid w:val="283EB9EB"/>
    <w:rsid w:val="28412DF6"/>
    <w:rsid w:val="2841D963"/>
    <w:rsid w:val="284AFEBF"/>
    <w:rsid w:val="285D63B7"/>
    <w:rsid w:val="28681668"/>
    <w:rsid w:val="286DD63A"/>
    <w:rsid w:val="28793F59"/>
    <w:rsid w:val="287AC8F4"/>
    <w:rsid w:val="28835EB3"/>
    <w:rsid w:val="28844B3D"/>
    <w:rsid w:val="2892F349"/>
    <w:rsid w:val="289AF3CB"/>
    <w:rsid w:val="289ED6FD"/>
    <w:rsid w:val="28BB815B"/>
    <w:rsid w:val="28BCD425"/>
    <w:rsid w:val="28C6430D"/>
    <w:rsid w:val="28E5C545"/>
    <w:rsid w:val="28E5DBB5"/>
    <w:rsid w:val="28F7F0F3"/>
    <w:rsid w:val="28FC1440"/>
    <w:rsid w:val="2900F0DB"/>
    <w:rsid w:val="29068045"/>
    <w:rsid w:val="290B159B"/>
    <w:rsid w:val="2913704A"/>
    <w:rsid w:val="29159D9F"/>
    <w:rsid w:val="2919E794"/>
    <w:rsid w:val="29204C3C"/>
    <w:rsid w:val="2926BF1B"/>
    <w:rsid w:val="2939C97D"/>
    <w:rsid w:val="293E8F25"/>
    <w:rsid w:val="2961D5DD"/>
    <w:rsid w:val="2962493E"/>
    <w:rsid w:val="2965564A"/>
    <w:rsid w:val="29692E5F"/>
    <w:rsid w:val="296F4AD4"/>
    <w:rsid w:val="297B3572"/>
    <w:rsid w:val="297E2C12"/>
    <w:rsid w:val="297F3D50"/>
    <w:rsid w:val="29852D75"/>
    <w:rsid w:val="298CF06C"/>
    <w:rsid w:val="29A2F100"/>
    <w:rsid w:val="29A93573"/>
    <w:rsid w:val="29AC6B6C"/>
    <w:rsid w:val="29AC8D9D"/>
    <w:rsid w:val="29B57602"/>
    <w:rsid w:val="29BF1A3B"/>
    <w:rsid w:val="29E145D4"/>
    <w:rsid w:val="29EBB0E7"/>
    <w:rsid w:val="29F48381"/>
    <w:rsid w:val="29FA5788"/>
    <w:rsid w:val="2A00C6AB"/>
    <w:rsid w:val="2A0BC57C"/>
    <w:rsid w:val="2A0D2350"/>
    <w:rsid w:val="2A0F13B5"/>
    <w:rsid w:val="2A1756C2"/>
    <w:rsid w:val="2A1A97B1"/>
    <w:rsid w:val="2A2C2729"/>
    <w:rsid w:val="2A3FA166"/>
    <w:rsid w:val="2A4064FE"/>
    <w:rsid w:val="2A42C7EF"/>
    <w:rsid w:val="2A49249E"/>
    <w:rsid w:val="2A4AF788"/>
    <w:rsid w:val="2A4C239C"/>
    <w:rsid w:val="2A65E547"/>
    <w:rsid w:val="2A70D4FE"/>
    <w:rsid w:val="2A7AC130"/>
    <w:rsid w:val="2A84B276"/>
    <w:rsid w:val="2A93C154"/>
    <w:rsid w:val="2AB5EAEE"/>
    <w:rsid w:val="2AB66FA6"/>
    <w:rsid w:val="2AD6D118"/>
    <w:rsid w:val="2AD70658"/>
    <w:rsid w:val="2ADC08D8"/>
    <w:rsid w:val="2AF12651"/>
    <w:rsid w:val="2AF44693"/>
    <w:rsid w:val="2AF7D7E9"/>
    <w:rsid w:val="2B002ABF"/>
    <w:rsid w:val="2B1B0DB1"/>
    <w:rsid w:val="2B3AA680"/>
    <w:rsid w:val="2B4D804E"/>
    <w:rsid w:val="2B58947F"/>
    <w:rsid w:val="2B5B1DAA"/>
    <w:rsid w:val="2B5BA8CD"/>
    <w:rsid w:val="2B6EF0BA"/>
    <w:rsid w:val="2B723986"/>
    <w:rsid w:val="2B76055B"/>
    <w:rsid w:val="2B7B5942"/>
    <w:rsid w:val="2B8750CD"/>
    <w:rsid w:val="2B907CE1"/>
    <w:rsid w:val="2B98E6E2"/>
    <w:rsid w:val="2BA9D008"/>
    <w:rsid w:val="2BC7CCF8"/>
    <w:rsid w:val="2BD143BC"/>
    <w:rsid w:val="2BD50088"/>
    <w:rsid w:val="2BDF5EF4"/>
    <w:rsid w:val="2BFC0EE9"/>
    <w:rsid w:val="2C0A3848"/>
    <w:rsid w:val="2C0F681C"/>
    <w:rsid w:val="2C145A93"/>
    <w:rsid w:val="2C227A2B"/>
    <w:rsid w:val="2C234B4D"/>
    <w:rsid w:val="2C2AEF42"/>
    <w:rsid w:val="2C2BA85B"/>
    <w:rsid w:val="2C2CAD1E"/>
    <w:rsid w:val="2C3FA337"/>
    <w:rsid w:val="2C5B750A"/>
    <w:rsid w:val="2C5C9FEC"/>
    <w:rsid w:val="2C5E50C7"/>
    <w:rsid w:val="2C7BF62C"/>
    <w:rsid w:val="2C7FE8FD"/>
    <w:rsid w:val="2C864787"/>
    <w:rsid w:val="2C872723"/>
    <w:rsid w:val="2C8B6150"/>
    <w:rsid w:val="2CA04230"/>
    <w:rsid w:val="2CAF314B"/>
    <w:rsid w:val="2CC2F97D"/>
    <w:rsid w:val="2CD83EB8"/>
    <w:rsid w:val="2CD8DE92"/>
    <w:rsid w:val="2CDB7E1B"/>
    <w:rsid w:val="2CDBD9EA"/>
    <w:rsid w:val="2CECE9E0"/>
    <w:rsid w:val="2CFB2F62"/>
    <w:rsid w:val="2D01C3B8"/>
    <w:rsid w:val="2D041E59"/>
    <w:rsid w:val="2D05E063"/>
    <w:rsid w:val="2D10B2A1"/>
    <w:rsid w:val="2D125047"/>
    <w:rsid w:val="2D332666"/>
    <w:rsid w:val="2D33664C"/>
    <w:rsid w:val="2D5C4AB4"/>
    <w:rsid w:val="2D64DF39"/>
    <w:rsid w:val="2D668EE8"/>
    <w:rsid w:val="2D6B7020"/>
    <w:rsid w:val="2D70C1EC"/>
    <w:rsid w:val="2D8009A9"/>
    <w:rsid w:val="2D8C179D"/>
    <w:rsid w:val="2D8C47C5"/>
    <w:rsid w:val="2D96CE01"/>
    <w:rsid w:val="2DA57097"/>
    <w:rsid w:val="2DAB387D"/>
    <w:rsid w:val="2DB0A913"/>
    <w:rsid w:val="2DB38AB9"/>
    <w:rsid w:val="2DBF1673"/>
    <w:rsid w:val="2DC56791"/>
    <w:rsid w:val="2DDAF499"/>
    <w:rsid w:val="2DDB8B8D"/>
    <w:rsid w:val="2DDDB206"/>
    <w:rsid w:val="2DE5DEF0"/>
    <w:rsid w:val="2DF54794"/>
    <w:rsid w:val="2E08BCF5"/>
    <w:rsid w:val="2E10758A"/>
    <w:rsid w:val="2E1C9204"/>
    <w:rsid w:val="2E25784E"/>
    <w:rsid w:val="2E2C8927"/>
    <w:rsid w:val="2E2D08C2"/>
    <w:rsid w:val="2E416CEF"/>
    <w:rsid w:val="2E427728"/>
    <w:rsid w:val="2E447876"/>
    <w:rsid w:val="2E65A2D4"/>
    <w:rsid w:val="2E6E6CE4"/>
    <w:rsid w:val="2E6EA4C4"/>
    <w:rsid w:val="2E7532B4"/>
    <w:rsid w:val="2E8017F9"/>
    <w:rsid w:val="2E81626A"/>
    <w:rsid w:val="2E9A7224"/>
    <w:rsid w:val="2EAC8302"/>
    <w:rsid w:val="2EB258DD"/>
    <w:rsid w:val="2EB489F2"/>
    <w:rsid w:val="2ED7D199"/>
    <w:rsid w:val="2EE90C70"/>
    <w:rsid w:val="2EEA4078"/>
    <w:rsid w:val="2EED6565"/>
    <w:rsid w:val="2F06286D"/>
    <w:rsid w:val="2F0AE20D"/>
    <w:rsid w:val="2F0E7CE2"/>
    <w:rsid w:val="2F1054F7"/>
    <w:rsid w:val="2F42425C"/>
    <w:rsid w:val="2F4E3253"/>
    <w:rsid w:val="2F6137F2"/>
    <w:rsid w:val="2F77AE3D"/>
    <w:rsid w:val="2F7E9930"/>
    <w:rsid w:val="2F846F68"/>
    <w:rsid w:val="2F857222"/>
    <w:rsid w:val="2F868897"/>
    <w:rsid w:val="2F9C3BCB"/>
    <w:rsid w:val="2FA254A1"/>
    <w:rsid w:val="2FA57D08"/>
    <w:rsid w:val="2FA7D3B3"/>
    <w:rsid w:val="2FAC369F"/>
    <w:rsid w:val="2FAE4C81"/>
    <w:rsid w:val="2FD8047D"/>
    <w:rsid w:val="2FE3D92F"/>
    <w:rsid w:val="2FEB834E"/>
    <w:rsid w:val="2FF9B305"/>
    <w:rsid w:val="2FFE3604"/>
    <w:rsid w:val="30199AF6"/>
    <w:rsid w:val="301BE85A"/>
    <w:rsid w:val="3028DC64"/>
    <w:rsid w:val="303845E1"/>
    <w:rsid w:val="303856B6"/>
    <w:rsid w:val="303BA955"/>
    <w:rsid w:val="3040A5BD"/>
    <w:rsid w:val="304625C9"/>
    <w:rsid w:val="3049844F"/>
    <w:rsid w:val="304DDDE0"/>
    <w:rsid w:val="30725E04"/>
    <w:rsid w:val="30846DBC"/>
    <w:rsid w:val="30898BC5"/>
    <w:rsid w:val="309274C8"/>
    <w:rsid w:val="30A5091E"/>
    <w:rsid w:val="30AC2558"/>
    <w:rsid w:val="30BBB344"/>
    <w:rsid w:val="30C9B0E2"/>
    <w:rsid w:val="30D526CB"/>
    <w:rsid w:val="30D85C03"/>
    <w:rsid w:val="31097B57"/>
    <w:rsid w:val="310BE35F"/>
    <w:rsid w:val="310FAB4D"/>
    <w:rsid w:val="31114261"/>
    <w:rsid w:val="3112EF21"/>
    <w:rsid w:val="311EA9F9"/>
    <w:rsid w:val="31205EC9"/>
    <w:rsid w:val="3122D940"/>
    <w:rsid w:val="31276916"/>
    <w:rsid w:val="312F709A"/>
    <w:rsid w:val="31349689"/>
    <w:rsid w:val="3135D5CD"/>
    <w:rsid w:val="31638273"/>
    <w:rsid w:val="31659E85"/>
    <w:rsid w:val="3184C934"/>
    <w:rsid w:val="31952C43"/>
    <w:rsid w:val="31A10A0F"/>
    <w:rsid w:val="31A485C0"/>
    <w:rsid w:val="31AB976D"/>
    <w:rsid w:val="31AD98AE"/>
    <w:rsid w:val="31AEBA7D"/>
    <w:rsid w:val="31B077DB"/>
    <w:rsid w:val="31B56B57"/>
    <w:rsid w:val="31B7B8BB"/>
    <w:rsid w:val="31BE957E"/>
    <w:rsid w:val="31C53B3D"/>
    <w:rsid w:val="31CEE7DF"/>
    <w:rsid w:val="31D59C80"/>
    <w:rsid w:val="31DC9BBF"/>
    <w:rsid w:val="31E423C4"/>
    <w:rsid w:val="31E433FD"/>
    <w:rsid w:val="31EC3A8A"/>
    <w:rsid w:val="31F6BED5"/>
    <w:rsid w:val="32077254"/>
    <w:rsid w:val="320E2E65"/>
    <w:rsid w:val="3227886E"/>
    <w:rsid w:val="32289AB8"/>
    <w:rsid w:val="322C90E6"/>
    <w:rsid w:val="322E4529"/>
    <w:rsid w:val="324146FC"/>
    <w:rsid w:val="3244ECE2"/>
    <w:rsid w:val="324AF345"/>
    <w:rsid w:val="32533586"/>
    <w:rsid w:val="325C5193"/>
    <w:rsid w:val="325D2048"/>
    <w:rsid w:val="326138FD"/>
    <w:rsid w:val="326282A9"/>
    <w:rsid w:val="32641E8C"/>
    <w:rsid w:val="32658143"/>
    <w:rsid w:val="3278E1BA"/>
    <w:rsid w:val="32845793"/>
    <w:rsid w:val="3284E5E3"/>
    <w:rsid w:val="32B771DA"/>
    <w:rsid w:val="32BC5B51"/>
    <w:rsid w:val="32CAE2D9"/>
    <w:rsid w:val="32CD924B"/>
    <w:rsid w:val="32DF846D"/>
    <w:rsid w:val="32F6EB28"/>
    <w:rsid w:val="32F9CBFD"/>
    <w:rsid w:val="331C4E59"/>
    <w:rsid w:val="331E01CF"/>
    <w:rsid w:val="332CA51A"/>
    <w:rsid w:val="3331F5B9"/>
    <w:rsid w:val="3332C46F"/>
    <w:rsid w:val="333A60BF"/>
    <w:rsid w:val="333B605B"/>
    <w:rsid w:val="333DD1B8"/>
    <w:rsid w:val="33470A22"/>
    <w:rsid w:val="335B44A4"/>
    <w:rsid w:val="3379F234"/>
    <w:rsid w:val="33960EAC"/>
    <w:rsid w:val="33BDCDAA"/>
    <w:rsid w:val="33CD254C"/>
    <w:rsid w:val="33F10E4B"/>
    <w:rsid w:val="34038525"/>
    <w:rsid w:val="3409D286"/>
    <w:rsid w:val="34192FAD"/>
    <w:rsid w:val="341A7A01"/>
    <w:rsid w:val="341B8E4A"/>
    <w:rsid w:val="34276ADE"/>
    <w:rsid w:val="342AC9E0"/>
    <w:rsid w:val="342C465D"/>
    <w:rsid w:val="343DC205"/>
    <w:rsid w:val="344A2132"/>
    <w:rsid w:val="34578430"/>
    <w:rsid w:val="3468C52B"/>
    <w:rsid w:val="3471809F"/>
    <w:rsid w:val="34834C6E"/>
    <w:rsid w:val="349B1438"/>
    <w:rsid w:val="349EFB79"/>
    <w:rsid w:val="34A6B2E0"/>
    <w:rsid w:val="34A6DC2B"/>
    <w:rsid w:val="34AC8616"/>
    <w:rsid w:val="34AFDC97"/>
    <w:rsid w:val="34B23EE5"/>
    <w:rsid w:val="34D0FDDC"/>
    <w:rsid w:val="34D61992"/>
    <w:rsid w:val="34E40A2E"/>
    <w:rsid w:val="34EF0128"/>
    <w:rsid w:val="34EF484E"/>
    <w:rsid w:val="34FB8ADE"/>
    <w:rsid w:val="35008788"/>
    <w:rsid w:val="350B2995"/>
    <w:rsid w:val="351A28D7"/>
    <w:rsid w:val="3536AD27"/>
    <w:rsid w:val="3549B914"/>
    <w:rsid w:val="356037F9"/>
    <w:rsid w:val="35603B7A"/>
    <w:rsid w:val="3572E70A"/>
    <w:rsid w:val="3575BDCB"/>
    <w:rsid w:val="35994C16"/>
    <w:rsid w:val="35A2D8E9"/>
    <w:rsid w:val="35B64A62"/>
    <w:rsid w:val="35B9DB36"/>
    <w:rsid w:val="35CB1761"/>
    <w:rsid w:val="35E82B56"/>
    <w:rsid w:val="35F5CA1B"/>
    <w:rsid w:val="35FDC114"/>
    <w:rsid w:val="35FDF109"/>
    <w:rsid w:val="3616C9A2"/>
    <w:rsid w:val="3635E99F"/>
    <w:rsid w:val="363D2355"/>
    <w:rsid w:val="364C10E7"/>
    <w:rsid w:val="364DCB81"/>
    <w:rsid w:val="36577888"/>
    <w:rsid w:val="3681C4B6"/>
    <w:rsid w:val="368C7972"/>
    <w:rsid w:val="368C8846"/>
    <w:rsid w:val="36B0A462"/>
    <w:rsid w:val="36BE9338"/>
    <w:rsid w:val="36BFFEE3"/>
    <w:rsid w:val="36DC7E8D"/>
    <w:rsid w:val="36E2E37E"/>
    <w:rsid w:val="36E8F2E9"/>
    <w:rsid w:val="36E9D2DB"/>
    <w:rsid w:val="36F0FBCC"/>
    <w:rsid w:val="36FD09E3"/>
    <w:rsid w:val="3719AEBE"/>
    <w:rsid w:val="372679B5"/>
    <w:rsid w:val="373EE253"/>
    <w:rsid w:val="37409A9C"/>
    <w:rsid w:val="3742444F"/>
    <w:rsid w:val="374C52DD"/>
    <w:rsid w:val="37502A1C"/>
    <w:rsid w:val="375491C7"/>
    <w:rsid w:val="37591BFF"/>
    <w:rsid w:val="375EDAD7"/>
    <w:rsid w:val="37690848"/>
    <w:rsid w:val="376EB964"/>
    <w:rsid w:val="3777412A"/>
    <w:rsid w:val="377EECD1"/>
    <w:rsid w:val="37962CDE"/>
    <w:rsid w:val="37C226B7"/>
    <w:rsid w:val="37D048DE"/>
    <w:rsid w:val="37D59427"/>
    <w:rsid w:val="37E529CB"/>
    <w:rsid w:val="37E7E148"/>
    <w:rsid w:val="37EEC041"/>
    <w:rsid w:val="37F3299D"/>
    <w:rsid w:val="37F3B035"/>
    <w:rsid w:val="37F5AF62"/>
    <w:rsid w:val="37FEA460"/>
    <w:rsid w:val="38053904"/>
    <w:rsid w:val="380DB8A9"/>
    <w:rsid w:val="38381AD1"/>
    <w:rsid w:val="3843A2DE"/>
    <w:rsid w:val="3848BD5B"/>
    <w:rsid w:val="385D7DD1"/>
    <w:rsid w:val="385DA618"/>
    <w:rsid w:val="3869CE5D"/>
    <w:rsid w:val="386B8207"/>
    <w:rsid w:val="3874E499"/>
    <w:rsid w:val="3897CDB5"/>
    <w:rsid w:val="389C18AC"/>
    <w:rsid w:val="38AA9AE9"/>
    <w:rsid w:val="38BADFF3"/>
    <w:rsid w:val="38BFDB0A"/>
    <w:rsid w:val="38C6F11E"/>
    <w:rsid w:val="38C7593E"/>
    <w:rsid w:val="38D16F3B"/>
    <w:rsid w:val="38EAC3F6"/>
    <w:rsid w:val="392015DF"/>
    <w:rsid w:val="3924B65F"/>
    <w:rsid w:val="39280084"/>
    <w:rsid w:val="392FEA05"/>
    <w:rsid w:val="3938E55D"/>
    <w:rsid w:val="394C24C8"/>
    <w:rsid w:val="395331B1"/>
    <w:rsid w:val="39635893"/>
    <w:rsid w:val="396EFDCD"/>
    <w:rsid w:val="397FA2EA"/>
    <w:rsid w:val="39A6371B"/>
    <w:rsid w:val="39B59E86"/>
    <w:rsid w:val="39C0D931"/>
    <w:rsid w:val="39C70A3B"/>
    <w:rsid w:val="39CA100D"/>
    <w:rsid w:val="39CFFCCA"/>
    <w:rsid w:val="39DBF3F0"/>
    <w:rsid w:val="39DF733F"/>
    <w:rsid w:val="39E570F1"/>
    <w:rsid w:val="39E78803"/>
    <w:rsid w:val="39FB44A5"/>
    <w:rsid w:val="3A04E640"/>
    <w:rsid w:val="3A09CF20"/>
    <w:rsid w:val="3A17C0C2"/>
    <w:rsid w:val="3A1A8440"/>
    <w:rsid w:val="3A21739D"/>
    <w:rsid w:val="3A21A19D"/>
    <w:rsid w:val="3A22D2BE"/>
    <w:rsid w:val="3A34AAA5"/>
    <w:rsid w:val="3A3CA6DA"/>
    <w:rsid w:val="3A441F8E"/>
    <w:rsid w:val="3A4E85F0"/>
    <w:rsid w:val="3A514F80"/>
    <w:rsid w:val="3A59549F"/>
    <w:rsid w:val="3A709328"/>
    <w:rsid w:val="3A7BDB08"/>
    <w:rsid w:val="3A7D83B4"/>
    <w:rsid w:val="3A816833"/>
    <w:rsid w:val="3A89B81C"/>
    <w:rsid w:val="3AB4A543"/>
    <w:rsid w:val="3AB68D93"/>
    <w:rsid w:val="3AC665D0"/>
    <w:rsid w:val="3AD11458"/>
    <w:rsid w:val="3AD13237"/>
    <w:rsid w:val="3ADC13D7"/>
    <w:rsid w:val="3ADDCEAD"/>
    <w:rsid w:val="3AE091B6"/>
    <w:rsid w:val="3AE54945"/>
    <w:rsid w:val="3AEDB0DB"/>
    <w:rsid w:val="3AF13C5C"/>
    <w:rsid w:val="3AF5DEC7"/>
    <w:rsid w:val="3B030292"/>
    <w:rsid w:val="3B14C375"/>
    <w:rsid w:val="3B16C7BC"/>
    <w:rsid w:val="3B1A9599"/>
    <w:rsid w:val="3B1D6744"/>
    <w:rsid w:val="3B2B65BE"/>
    <w:rsid w:val="3B332092"/>
    <w:rsid w:val="3B3EE527"/>
    <w:rsid w:val="3B555953"/>
    <w:rsid w:val="3B57D4C9"/>
    <w:rsid w:val="3B5AF373"/>
    <w:rsid w:val="3B630DDB"/>
    <w:rsid w:val="3B69049D"/>
    <w:rsid w:val="3B6CBE12"/>
    <w:rsid w:val="3B73013C"/>
    <w:rsid w:val="3B86369F"/>
    <w:rsid w:val="3B8CFD80"/>
    <w:rsid w:val="3B8D60B8"/>
    <w:rsid w:val="3B99C7D2"/>
    <w:rsid w:val="3BB8FA95"/>
    <w:rsid w:val="3BC6143B"/>
    <w:rsid w:val="3BD231B5"/>
    <w:rsid w:val="3BD44E18"/>
    <w:rsid w:val="3BD70ADD"/>
    <w:rsid w:val="3BDD6108"/>
    <w:rsid w:val="3BE215B0"/>
    <w:rsid w:val="3BEE228B"/>
    <w:rsid w:val="3C1DA5BD"/>
    <w:rsid w:val="3C3419AB"/>
    <w:rsid w:val="3C38608B"/>
    <w:rsid w:val="3C453244"/>
    <w:rsid w:val="3C4A6378"/>
    <w:rsid w:val="3C503B2B"/>
    <w:rsid w:val="3C58D631"/>
    <w:rsid w:val="3C7A31F2"/>
    <w:rsid w:val="3C906292"/>
    <w:rsid w:val="3C9B0C47"/>
    <w:rsid w:val="3C9B399A"/>
    <w:rsid w:val="3C9CCF71"/>
    <w:rsid w:val="3CA22A0E"/>
    <w:rsid w:val="3CB13739"/>
    <w:rsid w:val="3CB665FA"/>
    <w:rsid w:val="3CC314E1"/>
    <w:rsid w:val="3CC605DD"/>
    <w:rsid w:val="3CC9FCC9"/>
    <w:rsid w:val="3CCC8D42"/>
    <w:rsid w:val="3CCEEA41"/>
    <w:rsid w:val="3CD2A205"/>
    <w:rsid w:val="3CDC1E37"/>
    <w:rsid w:val="3CE29EAB"/>
    <w:rsid w:val="3D055AEC"/>
    <w:rsid w:val="3D0ED19D"/>
    <w:rsid w:val="3D1646AA"/>
    <w:rsid w:val="3D1F83F6"/>
    <w:rsid w:val="3D4D714B"/>
    <w:rsid w:val="3D55BC6A"/>
    <w:rsid w:val="3D5A0ED6"/>
    <w:rsid w:val="3D8E9818"/>
    <w:rsid w:val="3DAA3884"/>
    <w:rsid w:val="3DBB9461"/>
    <w:rsid w:val="3DBF3185"/>
    <w:rsid w:val="3DC885BC"/>
    <w:rsid w:val="3DCB9469"/>
    <w:rsid w:val="3DCD07B0"/>
    <w:rsid w:val="3DDFC623"/>
    <w:rsid w:val="3DE65B33"/>
    <w:rsid w:val="3E0F619D"/>
    <w:rsid w:val="3E1936F5"/>
    <w:rsid w:val="3E1ABDB4"/>
    <w:rsid w:val="3E49DE23"/>
    <w:rsid w:val="3E4DD618"/>
    <w:rsid w:val="3E4F456E"/>
    <w:rsid w:val="3E4FCDE3"/>
    <w:rsid w:val="3E515C4F"/>
    <w:rsid w:val="3E8500EC"/>
    <w:rsid w:val="3E883CAB"/>
    <w:rsid w:val="3E90E229"/>
    <w:rsid w:val="3EA04953"/>
    <w:rsid w:val="3EA67B2A"/>
    <w:rsid w:val="3EAC097B"/>
    <w:rsid w:val="3EAF5754"/>
    <w:rsid w:val="3EB0260A"/>
    <w:rsid w:val="3EC46710"/>
    <w:rsid w:val="3EC8C8EB"/>
    <w:rsid w:val="3ECF4D53"/>
    <w:rsid w:val="3EE26F66"/>
    <w:rsid w:val="3EE41025"/>
    <w:rsid w:val="3EFDDD8D"/>
    <w:rsid w:val="3F060B76"/>
    <w:rsid w:val="3F13BE55"/>
    <w:rsid w:val="3F244869"/>
    <w:rsid w:val="3F2678C1"/>
    <w:rsid w:val="3F2E25D8"/>
    <w:rsid w:val="3F345583"/>
    <w:rsid w:val="3F37A717"/>
    <w:rsid w:val="3F4B2DC0"/>
    <w:rsid w:val="3F527841"/>
    <w:rsid w:val="3F64CE18"/>
    <w:rsid w:val="3F698146"/>
    <w:rsid w:val="3F7422C7"/>
    <w:rsid w:val="3F7C9D63"/>
    <w:rsid w:val="3F820573"/>
    <w:rsid w:val="3F83B4B6"/>
    <w:rsid w:val="3F8D0BB6"/>
    <w:rsid w:val="3F8F694E"/>
    <w:rsid w:val="3F9F3489"/>
    <w:rsid w:val="3FA3CEFC"/>
    <w:rsid w:val="3FA5C920"/>
    <w:rsid w:val="3FBA7929"/>
    <w:rsid w:val="3FCAF96B"/>
    <w:rsid w:val="3FDAA60F"/>
    <w:rsid w:val="4001ED89"/>
    <w:rsid w:val="40130AE7"/>
    <w:rsid w:val="401A8564"/>
    <w:rsid w:val="401D1150"/>
    <w:rsid w:val="401E2ACD"/>
    <w:rsid w:val="40281C0E"/>
    <w:rsid w:val="4031FF2E"/>
    <w:rsid w:val="40326006"/>
    <w:rsid w:val="40394356"/>
    <w:rsid w:val="403C386E"/>
    <w:rsid w:val="404AD94D"/>
    <w:rsid w:val="404BF54A"/>
    <w:rsid w:val="40509124"/>
    <w:rsid w:val="4056BBAF"/>
    <w:rsid w:val="40582CFE"/>
    <w:rsid w:val="40602374"/>
    <w:rsid w:val="406B1DB4"/>
    <w:rsid w:val="406D20FA"/>
    <w:rsid w:val="407A1284"/>
    <w:rsid w:val="40848228"/>
    <w:rsid w:val="4090984C"/>
    <w:rsid w:val="40A04067"/>
    <w:rsid w:val="40A191B5"/>
    <w:rsid w:val="40B1A1BF"/>
    <w:rsid w:val="40B913D5"/>
    <w:rsid w:val="40BCCF67"/>
    <w:rsid w:val="40C7AD87"/>
    <w:rsid w:val="40C93AC2"/>
    <w:rsid w:val="40CB16B4"/>
    <w:rsid w:val="40CFDB4B"/>
    <w:rsid w:val="40DCAD7E"/>
    <w:rsid w:val="40DD80CA"/>
    <w:rsid w:val="40EB4A95"/>
    <w:rsid w:val="40EF4BF0"/>
    <w:rsid w:val="40FAC084"/>
    <w:rsid w:val="41093557"/>
    <w:rsid w:val="410B4690"/>
    <w:rsid w:val="41181E74"/>
    <w:rsid w:val="412ADDF3"/>
    <w:rsid w:val="414073BB"/>
    <w:rsid w:val="414624F9"/>
    <w:rsid w:val="414B68DF"/>
    <w:rsid w:val="415C6BA6"/>
    <w:rsid w:val="417C766D"/>
    <w:rsid w:val="417EE5D1"/>
    <w:rsid w:val="4189D71D"/>
    <w:rsid w:val="41A03FAB"/>
    <w:rsid w:val="41CB69BC"/>
    <w:rsid w:val="41D7ABF4"/>
    <w:rsid w:val="41E774E5"/>
    <w:rsid w:val="41ECCD03"/>
    <w:rsid w:val="41F82450"/>
    <w:rsid w:val="420AE3A9"/>
    <w:rsid w:val="420E51F7"/>
    <w:rsid w:val="4216FBF6"/>
    <w:rsid w:val="422A45FD"/>
    <w:rsid w:val="422ABEF0"/>
    <w:rsid w:val="4236D0FC"/>
    <w:rsid w:val="42391EFC"/>
    <w:rsid w:val="423B1876"/>
    <w:rsid w:val="42579206"/>
    <w:rsid w:val="4257B71A"/>
    <w:rsid w:val="4259CBA0"/>
    <w:rsid w:val="425D9E6F"/>
    <w:rsid w:val="42644969"/>
    <w:rsid w:val="4265A0FB"/>
    <w:rsid w:val="426CBA25"/>
    <w:rsid w:val="428DDB69"/>
    <w:rsid w:val="428F087C"/>
    <w:rsid w:val="4296D6B8"/>
    <w:rsid w:val="4297C2FB"/>
    <w:rsid w:val="429D51FE"/>
    <w:rsid w:val="429DE18D"/>
    <w:rsid w:val="42A49EA4"/>
    <w:rsid w:val="42B8E522"/>
    <w:rsid w:val="42DD7F19"/>
    <w:rsid w:val="42DD8E5D"/>
    <w:rsid w:val="42F24BC8"/>
    <w:rsid w:val="42FBBE86"/>
    <w:rsid w:val="43329A83"/>
    <w:rsid w:val="433E44C0"/>
    <w:rsid w:val="433ED230"/>
    <w:rsid w:val="4346CDE9"/>
    <w:rsid w:val="43575D67"/>
    <w:rsid w:val="4364534C"/>
    <w:rsid w:val="436D49A4"/>
    <w:rsid w:val="436F44AF"/>
    <w:rsid w:val="43827A0F"/>
    <w:rsid w:val="43833571"/>
    <w:rsid w:val="4389AF62"/>
    <w:rsid w:val="438AF8E3"/>
    <w:rsid w:val="438BAC4E"/>
    <w:rsid w:val="439F8C59"/>
    <w:rsid w:val="439FA31B"/>
    <w:rsid w:val="43B34619"/>
    <w:rsid w:val="43B76EA0"/>
    <w:rsid w:val="43B80851"/>
    <w:rsid w:val="43B987C4"/>
    <w:rsid w:val="43BA5951"/>
    <w:rsid w:val="43BB6203"/>
    <w:rsid w:val="43BF0482"/>
    <w:rsid w:val="43C22EEE"/>
    <w:rsid w:val="43D1C0B1"/>
    <w:rsid w:val="43D3A6AB"/>
    <w:rsid w:val="43E130DE"/>
    <w:rsid w:val="43E64AF5"/>
    <w:rsid w:val="4406AC56"/>
    <w:rsid w:val="44128C35"/>
    <w:rsid w:val="4417E889"/>
    <w:rsid w:val="441DCBFF"/>
    <w:rsid w:val="442054A2"/>
    <w:rsid w:val="442178AD"/>
    <w:rsid w:val="4440D619"/>
    <w:rsid w:val="4445C62F"/>
    <w:rsid w:val="4469E3AF"/>
    <w:rsid w:val="4486B133"/>
    <w:rsid w:val="448AB5BE"/>
    <w:rsid w:val="449AEED2"/>
    <w:rsid w:val="44A47776"/>
    <w:rsid w:val="44BC38CD"/>
    <w:rsid w:val="44BC6CB1"/>
    <w:rsid w:val="44BF79EB"/>
    <w:rsid w:val="44CD0197"/>
    <w:rsid w:val="44D290A3"/>
    <w:rsid w:val="44D76C56"/>
    <w:rsid w:val="44DAC77A"/>
    <w:rsid w:val="44FDCED8"/>
    <w:rsid w:val="4505718A"/>
    <w:rsid w:val="451D3DEC"/>
    <w:rsid w:val="453A615D"/>
    <w:rsid w:val="45493850"/>
    <w:rsid w:val="454A2B5B"/>
    <w:rsid w:val="454B202E"/>
    <w:rsid w:val="45501D6E"/>
    <w:rsid w:val="45554778"/>
    <w:rsid w:val="4555A77F"/>
    <w:rsid w:val="45570E0B"/>
    <w:rsid w:val="456E71BE"/>
    <w:rsid w:val="457B36EF"/>
    <w:rsid w:val="458112B6"/>
    <w:rsid w:val="45830FF3"/>
    <w:rsid w:val="458BBD65"/>
    <w:rsid w:val="458F75EF"/>
    <w:rsid w:val="4595BA45"/>
    <w:rsid w:val="45ADB611"/>
    <w:rsid w:val="45B295AC"/>
    <w:rsid w:val="45BE61DD"/>
    <w:rsid w:val="45C8DE47"/>
    <w:rsid w:val="45D30915"/>
    <w:rsid w:val="45E7EA51"/>
    <w:rsid w:val="46031EA1"/>
    <w:rsid w:val="4604BAA2"/>
    <w:rsid w:val="4604BF2B"/>
    <w:rsid w:val="462231E5"/>
    <w:rsid w:val="4633568C"/>
    <w:rsid w:val="4638D804"/>
    <w:rsid w:val="464294F4"/>
    <w:rsid w:val="464E0D31"/>
    <w:rsid w:val="4653FE2A"/>
    <w:rsid w:val="4655CAF4"/>
    <w:rsid w:val="465A395A"/>
    <w:rsid w:val="4666D93A"/>
    <w:rsid w:val="466AB5D0"/>
    <w:rsid w:val="466B9A4A"/>
    <w:rsid w:val="466BAFFA"/>
    <w:rsid w:val="466BDE37"/>
    <w:rsid w:val="468C3864"/>
    <w:rsid w:val="469012D1"/>
    <w:rsid w:val="4692139B"/>
    <w:rsid w:val="46936015"/>
    <w:rsid w:val="46A8D287"/>
    <w:rsid w:val="46AF1A6B"/>
    <w:rsid w:val="46B27EAB"/>
    <w:rsid w:val="46B58A6F"/>
    <w:rsid w:val="46BECE68"/>
    <w:rsid w:val="46D3432E"/>
    <w:rsid w:val="46ECFD9F"/>
    <w:rsid w:val="46EDFF11"/>
    <w:rsid w:val="4702455E"/>
    <w:rsid w:val="4705537C"/>
    <w:rsid w:val="4707928E"/>
    <w:rsid w:val="47111D5B"/>
    <w:rsid w:val="47170A08"/>
    <w:rsid w:val="471F9A40"/>
    <w:rsid w:val="4725C71A"/>
    <w:rsid w:val="473B213D"/>
    <w:rsid w:val="4744172E"/>
    <w:rsid w:val="4754E55A"/>
    <w:rsid w:val="475C94E6"/>
    <w:rsid w:val="476D7C1B"/>
    <w:rsid w:val="476EF592"/>
    <w:rsid w:val="4773CDAB"/>
    <w:rsid w:val="477EDEA3"/>
    <w:rsid w:val="47824DD6"/>
    <w:rsid w:val="4795527A"/>
    <w:rsid w:val="47A1B332"/>
    <w:rsid w:val="47A895D1"/>
    <w:rsid w:val="47C16480"/>
    <w:rsid w:val="47CACF5F"/>
    <w:rsid w:val="47DB45EA"/>
    <w:rsid w:val="47E1025C"/>
    <w:rsid w:val="47EA420F"/>
    <w:rsid w:val="47F2F159"/>
    <w:rsid w:val="47FFB65E"/>
    <w:rsid w:val="4808B884"/>
    <w:rsid w:val="480A7AB6"/>
    <w:rsid w:val="481998FB"/>
    <w:rsid w:val="4833B1CC"/>
    <w:rsid w:val="484A6630"/>
    <w:rsid w:val="4855EB32"/>
    <w:rsid w:val="48563C92"/>
    <w:rsid w:val="48604FA0"/>
    <w:rsid w:val="48608E0B"/>
    <w:rsid w:val="486D42B9"/>
    <w:rsid w:val="4871AA00"/>
    <w:rsid w:val="487370A8"/>
    <w:rsid w:val="4873BFDD"/>
    <w:rsid w:val="488615C0"/>
    <w:rsid w:val="488CE83A"/>
    <w:rsid w:val="48A2CEFB"/>
    <w:rsid w:val="48A61280"/>
    <w:rsid w:val="48A6174A"/>
    <w:rsid w:val="48B81869"/>
    <w:rsid w:val="48C30EB3"/>
    <w:rsid w:val="48CB8630"/>
    <w:rsid w:val="48D14ABF"/>
    <w:rsid w:val="48D3B337"/>
    <w:rsid w:val="48DF0363"/>
    <w:rsid w:val="48E7BF63"/>
    <w:rsid w:val="48ED0C31"/>
    <w:rsid w:val="48F8E70F"/>
    <w:rsid w:val="491BE5B6"/>
    <w:rsid w:val="4924B2D9"/>
    <w:rsid w:val="4926DF1B"/>
    <w:rsid w:val="49279554"/>
    <w:rsid w:val="492BC9C2"/>
    <w:rsid w:val="492D4BD9"/>
    <w:rsid w:val="49370EAF"/>
    <w:rsid w:val="493E89C7"/>
    <w:rsid w:val="494236E4"/>
    <w:rsid w:val="494423A8"/>
    <w:rsid w:val="4946832B"/>
    <w:rsid w:val="49662CC7"/>
    <w:rsid w:val="497309A7"/>
    <w:rsid w:val="497D833E"/>
    <w:rsid w:val="49889A9C"/>
    <w:rsid w:val="4988A94C"/>
    <w:rsid w:val="498BF550"/>
    <w:rsid w:val="498E57A9"/>
    <w:rsid w:val="49A64809"/>
    <w:rsid w:val="49C00866"/>
    <w:rsid w:val="49D30DAE"/>
    <w:rsid w:val="49D5FE1A"/>
    <w:rsid w:val="49EA1F6D"/>
    <w:rsid w:val="49EB9A10"/>
    <w:rsid w:val="49F18F47"/>
    <w:rsid w:val="4A041FE8"/>
    <w:rsid w:val="4A057623"/>
    <w:rsid w:val="4A11BFC2"/>
    <w:rsid w:val="4A19D81B"/>
    <w:rsid w:val="4A1ADBF1"/>
    <w:rsid w:val="4A241401"/>
    <w:rsid w:val="4A4B0DE8"/>
    <w:rsid w:val="4A59D1D3"/>
    <w:rsid w:val="4A69903B"/>
    <w:rsid w:val="4A69E489"/>
    <w:rsid w:val="4A6C256E"/>
    <w:rsid w:val="4A6F8398"/>
    <w:rsid w:val="4A7786F1"/>
    <w:rsid w:val="4A838C03"/>
    <w:rsid w:val="4A85014E"/>
    <w:rsid w:val="4A90071C"/>
    <w:rsid w:val="4A92C453"/>
    <w:rsid w:val="4A940996"/>
    <w:rsid w:val="4AA6B24F"/>
    <w:rsid w:val="4AAE9407"/>
    <w:rsid w:val="4AAFB76F"/>
    <w:rsid w:val="4AC00529"/>
    <w:rsid w:val="4AC98D6A"/>
    <w:rsid w:val="4ACAC90D"/>
    <w:rsid w:val="4AD0FA45"/>
    <w:rsid w:val="4ADD429A"/>
    <w:rsid w:val="4AF3C9F8"/>
    <w:rsid w:val="4AFFFDFF"/>
    <w:rsid w:val="4B07A17E"/>
    <w:rsid w:val="4B23D717"/>
    <w:rsid w:val="4B3B8FE4"/>
    <w:rsid w:val="4B43C5FE"/>
    <w:rsid w:val="4B46214C"/>
    <w:rsid w:val="4B4B8422"/>
    <w:rsid w:val="4B561CA9"/>
    <w:rsid w:val="4B6082C7"/>
    <w:rsid w:val="4B74A79B"/>
    <w:rsid w:val="4B8641CE"/>
    <w:rsid w:val="4B8F6212"/>
    <w:rsid w:val="4B91676A"/>
    <w:rsid w:val="4B96AC09"/>
    <w:rsid w:val="4B9954F0"/>
    <w:rsid w:val="4B9FF049"/>
    <w:rsid w:val="4BA65A56"/>
    <w:rsid w:val="4BAB609F"/>
    <w:rsid w:val="4BBDFD37"/>
    <w:rsid w:val="4BC33128"/>
    <w:rsid w:val="4BCDA4B8"/>
    <w:rsid w:val="4BEA7873"/>
    <w:rsid w:val="4C01FE6C"/>
    <w:rsid w:val="4C06FCC0"/>
    <w:rsid w:val="4C08EB81"/>
    <w:rsid w:val="4C0B53F9"/>
    <w:rsid w:val="4C156935"/>
    <w:rsid w:val="4C23E0A6"/>
    <w:rsid w:val="4C302BBD"/>
    <w:rsid w:val="4C354C7B"/>
    <w:rsid w:val="4C3F4D5F"/>
    <w:rsid w:val="4C4F5961"/>
    <w:rsid w:val="4C503257"/>
    <w:rsid w:val="4C5FA6C1"/>
    <w:rsid w:val="4C655DCB"/>
    <w:rsid w:val="4C76509D"/>
    <w:rsid w:val="4C78B6DF"/>
    <w:rsid w:val="4C79147A"/>
    <w:rsid w:val="4C88C849"/>
    <w:rsid w:val="4C8D2434"/>
    <w:rsid w:val="4C8FA900"/>
    <w:rsid w:val="4CBF2914"/>
    <w:rsid w:val="4CC0E15B"/>
    <w:rsid w:val="4CC13966"/>
    <w:rsid w:val="4CC50C78"/>
    <w:rsid w:val="4CCC1F12"/>
    <w:rsid w:val="4CDE34D5"/>
    <w:rsid w:val="4CF04636"/>
    <w:rsid w:val="4CF780AB"/>
    <w:rsid w:val="4CFF16EC"/>
    <w:rsid w:val="4D108260"/>
    <w:rsid w:val="4D23A23D"/>
    <w:rsid w:val="4D30DB30"/>
    <w:rsid w:val="4D3439EE"/>
    <w:rsid w:val="4D392395"/>
    <w:rsid w:val="4D40B3DC"/>
    <w:rsid w:val="4D41F0A4"/>
    <w:rsid w:val="4D451B23"/>
    <w:rsid w:val="4D5CE1E6"/>
    <w:rsid w:val="4D624BAE"/>
    <w:rsid w:val="4D71F649"/>
    <w:rsid w:val="4D7B120E"/>
    <w:rsid w:val="4D8725D6"/>
    <w:rsid w:val="4DA70192"/>
    <w:rsid w:val="4DA70E2F"/>
    <w:rsid w:val="4DA858E1"/>
    <w:rsid w:val="4DAB7C5E"/>
    <w:rsid w:val="4DBEA3C0"/>
    <w:rsid w:val="4DC11069"/>
    <w:rsid w:val="4DC228D4"/>
    <w:rsid w:val="4DC3DCB5"/>
    <w:rsid w:val="4DD050CD"/>
    <w:rsid w:val="4DF89308"/>
    <w:rsid w:val="4E2AED04"/>
    <w:rsid w:val="4E47EE58"/>
    <w:rsid w:val="4E4D9D05"/>
    <w:rsid w:val="4E50C049"/>
    <w:rsid w:val="4E5AF975"/>
    <w:rsid w:val="4E686DEA"/>
    <w:rsid w:val="4E725ABE"/>
    <w:rsid w:val="4E730646"/>
    <w:rsid w:val="4E7EB906"/>
    <w:rsid w:val="4E94854E"/>
    <w:rsid w:val="4E997CD6"/>
    <w:rsid w:val="4E9B29AF"/>
    <w:rsid w:val="4EB03675"/>
    <w:rsid w:val="4EBA15CC"/>
    <w:rsid w:val="4EC52CB6"/>
    <w:rsid w:val="4ECFB37B"/>
    <w:rsid w:val="4ED1EA32"/>
    <w:rsid w:val="4EE9559E"/>
    <w:rsid w:val="4EF886B3"/>
    <w:rsid w:val="4EFF039D"/>
    <w:rsid w:val="4F09655F"/>
    <w:rsid w:val="4F0985F5"/>
    <w:rsid w:val="4F17D520"/>
    <w:rsid w:val="4F485662"/>
    <w:rsid w:val="4F4D50FC"/>
    <w:rsid w:val="4F569CB3"/>
    <w:rsid w:val="4F621759"/>
    <w:rsid w:val="4F654C8A"/>
    <w:rsid w:val="4F78462F"/>
    <w:rsid w:val="4F81733F"/>
    <w:rsid w:val="4F8679FB"/>
    <w:rsid w:val="4FB862E6"/>
    <w:rsid w:val="4FBBDE78"/>
    <w:rsid w:val="4FC250E7"/>
    <w:rsid w:val="4FC922CE"/>
    <w:rsid w:val="4FE828E0"/>
    <w:rsid w:val="4FE96981"/>
    <w:rsid w:val="4FEAC960"/>
    <w:rsid w:val="4FF6C9D6"/>
    <w:rsid w:val="5000BE31"/>
    <w:rsid w:val="501397E8"/>
    <w:rsid w:val="5016C09B"/>
    <w:rsid w:val="502ECA28"/>
    <w:rsid w:val="50386301"/>
    <w:rsid w:val="504C2632"/>
    <w:rsid w:val="50615750"/>
    <w:rsid w:val="507C3E48"/>
    <w:rsid w:val="50826092"/>
    <w:rsid w:val="50892F04"/>
    <w:rsid w:val="5098B15B"/>
    <w:rsid w:val="50B29A9E"/>
    <w:rsid w:val="50B2F9CF"/>
    <w:rsid w:val="50BA82A4"/>
    <w:rsid w:val="50C9C631"/>
    <w:rsid w:val="50CB3F8F"/>
    <w:rsid w:val="50DC5CA4"/>
    <w:rsid w:val="50E49F45"/>
    <w:rsid w:val="50F1F45B"/>
    <w:rsid w:val="5106F5E6"/>
    <w:rsid w:val="51132147"/>
    <w:rsid w:val="511EAAF6"/>
    <w:rsid w:val="5123A61A"/>
    <w:rsid w:val="51265224"/>
    <w:rsid w:val="5154C191"/>
    <w:rsid w:val="515A605C"/>
    <w:rsid w:val="515C5A26"/>
    <w:rsid w:val="516AC611"/>
    <w:rsid w:val="51759D09"/>
    <w:rsid w:val="5182B1B4"/>
    <w:rsid w:val="5187177D"/>
    <w:rsid w:val="518D0E91"/>
    <w:rsid w:val="518D2FB4"/>
    <w:rsid w:val="518D9761"/>
    <w:rsid w:val="519C8241"/>
    <w:rsid w:val="51B12F6D"/>
    <w:rsid w:val="51BDC5ED"/>
    <w:rsid w:val="51BEAEE1"/>
    <w:rsid w:val="51BF9AFC"/>
    <w:rsid w:val="51C13DEA"/>
    <w:rsid w:val="51C435D8"/>
    <w:rsid w:val="51CA4C89"/>
    <w:rsid w:val="51CB38B2"/>
    <w:rsid w:val="51DD8DAD"/>
    <w:rsid w:val="51E3F383"/>
    <w:rsid w:val="51E3F67B"/>
    <w:rsid w:val="51F53152"/>
    <w:rsid w:val="51F785BC"/>
    <w:rsid w:val="51F99389"/>
    <w:rsid w:val="51F99F49"/>
    <w:rsid w:val="51FE0323"/>
    <w:rsid w:val="520ACE60"/>
    <w:rsid w:val="522ACEAF"/>
    <w:rsid w:val="52304807"/>
    <w:rsid w:val="52327C3F"/>
    <w:rsid w:val="5237F457"/>
    <w:rsid w:val="52501D19"/>
    <w:rsid w:val="5255178C"/>
    <w:rsid w:val="5263C21D"/>
    <w:rsid w:val="5264BC98"/>
    <w:rsid w:val="526D6976"/>
    <w:rsid w:val="5276D2C4"/>
    <w:rsid w:val="528460D5"/>
    <w:rsid w:val="528864FF"/>
    <w:rsid w:val="5288AEAB"/>
    <w:rsid w:val="52912D58"/>
    <w:rsid w:val="52926A49"/>
    <w:rsid w:val="52A06C96"/>
    <w:rsid w:val="52A48DFF"/>
    <w:rsid w:val="52AD26DB"/>
    <w:rsid w:val="52BB8441"/>
    <w:rsid w:val="52BC7DDB"/>
    <w:rsid w:val="52C20F0A"/>
    <w:rsid w:val="52C53A14"/>
    <w:rsid w:val="52C573C3"/>
    <w:rsid w:val="52C6886B"/>
    <w:rsid w:val="52C98593"/>
    <w:rsid w:val="52D133CD"/>
    <w:rsid w:val="52DEBFF4"/>
    <w:rsid w:val="52EADD1E"/>
    <w:rsid w:val="52EEFED3"/>
    <w:rsid w:val="52F8F146"/>
    <w:rsid w:val="5307E7F2"/>
    <w:rsid w:val="53083F9B"/>
    <w:rsid w:val="530AB83B"/>
    <w:rsid w:val="530D3055"/>
    <w:rsid w:val="53207726"/>
    <w:rsid w:val="5322E7DE"/>
    <w:rsid w:val="5328FD04"/>
    <w:rsid w:val="532F097C"/>
    <w:rsid w:val="53344DFC"/>
    <w:rsid w:val="5334F3C5"/>
    <w:rsid w:val="53369980"/>
    <w:rsid w:val="533AD686"/>
    <w:rsid w:val="53665993"/>
    <w:rsid w:val="538081F4"/>
    <w:rsid w:val="538C99B8"/>
    <w:rsid w:val="538CB53F"/>
    <w:rsid w:val="539101B3"/>
    <w:rsid w:val="53989DD9"/>
    <w:rsid w:val="53995705"/>
    <w:rsid w:val="53A0401E"/>
    <w:rsid w:val="53A44F2E"/>
    <w:rsid w:val="53A53A1C"/>
    <w:rsid w:val="53CB57DA"/>
    <w:rsid w:val="53D2C51D"/>
    <w:rsid w:val="53DE617F"/>
    <w:rsid w:val="53F09161"/>
    <w:rsid w:val="53F178AD"/>
    <w:rsid w:val="5401D053"/>
    <w:rsid w:val="5403AF22"/>
    <w:rsid w:val="54273130"/>
    <w:rsid w:val="54405989"/>
    <w:rsid w:val="545931AD"/>
    <w:rsid w:val="54631F87"/>
    <w:rsid w:val="54746AF8"/>
    <w:rsid w:val="547B38E8"/>
    <w:rsid w:val="54868CAB"/>
    <w:rsid w:val="54898265"/>
    <w:rsid w:val="548C3264"/>
    <w:rsid w:val="5493E6D4"/>
    <w:rsid w:val="54BC657A"/>
    <w:rsid w:val="54BC7698"/>
    <w:rsid w:val="54C35FBD"/>
    <w:rsid w:val="54CDEC39"/>
    <w:rsid w:val="54F0A38B"/>
    <w:rsid w:val="552262E2"/>
    <w:rsid w:val="552885A0"/>
    <w:rsid w:val="552E18D8"/>
    <w:rsid w:val="5534BF9A"/>
    <w:rsid w:val="55388E0B"/>
    <w:rsid w:val="553F7FA0"/>
    <w:rsid w:val="554BC5C1"/>
    <w:rsid w:val="5557C52B"/>
    <w:rsid w:val="555D6406"/>
    <w:rsid w:val="555EF8AC"/>
    <w:rsid w:val="5567C1E1"/>
    <w:rsid w:val="556BFEB0"/>
    <w:rsid w:val="5578325C"/>
    <w:rsid w:val="557FD055"/>
    <w:rsid w:val="5581569C"/>
    <w:rsid w:val="5587BDDB"/>
    <w:rsid w:val="55902B7F"/>
    <w:rsid w:val="5595DDC0"/>
    <w:rsid w:val="55973680"/>
    <w:rsid w:val="55A93DA0"/>
    <w:rsid w:val="55AC2D0E"/>
    <w:rsid w:val="55AFCDC7"/>
    <w:rsid w:val="55DD99E5"/>
    <w:rsid w:val="55DFA02C"/>
    <w:rsid w:val="55EFB0E6"/>
    <w:rsid w:val="5606F560"/>
    <w:rsid w:val="560D62E5"/>
    <w:rsid w:val="56200C0C"/>
    <w:rsid w:val="56377667"/>
    <w:rsid w:val="563C419D"/>
    <w:rsid w:val="56422801"/>
    <w:rsid w:val="564EF34F"/>
    <w:rsid w:val="5651C4A6"/>
    <w:rsid w:val="5658414F"/>
    <w:rsid w:val="56661FC5"/>
    <w:rsid w:val="56755899"/>
    <w:rsid w:val="56925165"/>
    <w:rsid w:val="5695B8BD"/>
    <w:rsid w:val="56A5EB57"/>
    <w:rsid w:val="56BABD71"/>
    <w:rsid w:val="56C8A275"/>
    <w:rsid w:val="56D03E9B"/>
    <w:rsid w:val="56D24096"/>
    <w:rsid w:val="56D41A11"/>
    <w:rsid w:val="56DEAFF3"/>
    <w:rsid w:val="56E95A28"/>
    <w:rsid w:val="56EBF833"/>
    <w:rsid w:val="56EC57D5"/>
    <w:rsid w:val="56FF4FF2"/>
    <w:rsid w:val="570FC49C"/>
    <w:rsid w:val="57193102"/>
    <w:rsid w:val="57294FCE"/>
    <w:rsid w:val="573A49D5"/>
    <w:rsid w:val="5741338E"/>
    <w:rsid w:val="57537B43"/>
    <w:rsid w:val="57538BAE"/>
    <w:rsid w:val="575B8C30"/>
    <w:rsid w:val="5773FE58"/>
    <w:rsid w:val="577401E9"/>
    <w:rsid w:val="5791E4E5"/>
    <w:rsid w:val="5792CEE9"/>
    <w:rsid w:val="57A26905"/>
    <w:rsid w:val="57A4A163"/>
    <w:rsid w:val="57BC4799"/>
    <w:rsid w:val="57CFF0A3"/>
    <w:rsid w:val="57E38552"/>
    <w:rsid w:val="57E7790A"/>
    <w:rsid w:val="57ED5D10"/>
    <w:rsid w:val="57F65901"/>
    <w:rsid w:val="57FBF3DE"/>
    <w:rsid w:val="57FD601F"/>
    <w:rsid w:val="5817D448"/>
    <w:rsid w:val="582638BE"/>
    <w:rsid w:val="583ECC5F"/>
    <w:rsid w:val="58404BFA"/>
    <w:rsid w:val="5841BBB8"/>
    <w:rsid w:val="5850AC69"/>
    <w:rsid w:val="585580F1"/>
    <w:rsid w:val="5874AD1E"/>
    <w:rsid w:val="58790942"/>
    <w:rsid w:val="587A2077"/>
    <w:rsid w:val="5886B07E"/>
    <w:rsid w:val="5886D916"/>
    <w:rsid w:val="5890186E"/>
    <w:rsid w:val="589CB573"/>
    <w:rsid w:val="58A3CDC8"/>
    <w:rsid w:val="58B74388"/>
    <w:rsid w:val="58BDC63A"/>
    <w:rsid w:val="58D2772C"/>
    <w:rsid w:val="58D6F037"/>
    <w:rsid w:val="58D89C2A"/>
    <w:rsid w:val="58DF9DBF"/>
    <w:rsid w:val="58E3599A"/>
    <w:rsid w:val="58E9D701"/>
    <w:rsid w:val="58F67958"/>
    <w:rsid w:val="58FD83C5"/>
    <w:rsid w:val="5908E640"/>
    <w:rsid w:val="59171BC3"/>
    <w:rsid w:val="593063E9"/>
    <w:rsid w:val="5930AC05"/>
    <w:rsid w:val="5939F2BE"/>
    <w:rsid w:val="5944C8EA"/>
    <w:rsid w:val="594AD793"/>
    <w:rsid w:val="595A7C7F"/>
    <w:rsid w:val="595BE202"/>
    <w:rsid w:val="597B171C"/>
    <w:rsid w:val="598197D7"/>
    <w:rsid w:val="5987DB4E"/>
    <w:rsid w:val="599D9E62"/>
    <w:rsid w:val="599FBC6E"/>
    <w:rsid w:val="59BE1967"/>
    <w:rsid w:val="59C067E2"/>
    <w:rsid w:val="59CB1503"/>
    <w:rsid w:val="59DDA98B"/>
    <w:rsid w:val="5A056855"/>
    <w:rsid w:val="5A155000"/>
    <w:rsid w:val="5A17ACC1"/>
    <w:rsid w:val="5A1ADA9C"/>
    <w:rsid w:val="5A2361BB"/>
    <w:rsid w:val="5A33E511"/>
    <w:rsid w:val="5A3933F1"/>
    <w:rsid w:val="5A4206A1"/>
    <w:rsid w:val="5A5854B5"/>
    <w:rsid w:val="5A63B1C2"/>
    <w:rsid w:val="5A69F189"/>
    <w:rsid w:val="5A6E145B"/>
    <w:rsid w:val="5A7B6E20"/>
    <w:rsid w:val="5A7F42B1"/>
    <w:rsid w:val="5A813C09"/>
    <w:rsid w:val="5A98AAAA"/>
    <w:rsid w:val="5AA52CE9"/>
    <w:rsid w:val="5AB594B1"/>
    <w:rsid w:val="5ABE16B4"/>
    <w:rsid w:val="5AD78F4F"/>
    <w:rsid w:val="5ADF4004"/>
    <w:rsid w:val="5AF6A57C"/>
    <w:rsid w:val="5AF94CB0"/>
    <w:rsid w:val="5B02BF55"/>
    <w:rsid w:val="5B079165"/>
    <w:rsid w:val="5B22017C"/>
    <w:rsid w:val="5B2D0C4F"/>
    <w:rsid w:val="5B3006F3"/>
    <w:rsid w:val="5B4D8857"/>
    <w:rsid w:val="5B5B131D"/>
    <w:rsid w:val="5B6B4E96"/>
    <w:rsid w:val="5B73AB37"/>
    <w:rsid w:val="5B795C7A"/>
    <w:rsid w:val="5B8C9B45"/>
    <w:rsid w:val="5B8FAA62"/>
    <w:rsid w:val="5B96BCB9"/>
    <w:rsid w:val="5BA3AFBE"/>
    <w:rsid w:val="5BB77FA6"/>
    <w:rsid w:val="5BBE8DE5"/>
    <w:rsid w:val="5BD1BA79"/>
    <w:rsid w:val="5BD4F354"/>
    <w:rsid w:val="5BE022D6"/>
    <w:rsid w:val="5BE15F88"/>
    <w:rsid w:val="5BE773E0"/>
    <w:rsid w:val="5BF6FF5F"/>
    <w:rsid w:val="5C04339C"/>
    <w:rsid w:val="5C1379D9"/>
    <w:rsid w:val="5C141713"/>
    <w:rsid w:val="5C173E81"/>
    <w:rsid w:val="5C283994"/>
    <w:rsid w:val="5C284D37"/>
    <w:rsid w:val="5C2B0B20"/>
    <w:rsid w:val="5C3247E8"/>
    <w:rsid w:val="5C45091A"/>
    <w:rsid w:val="5C45951D"/>
    <w:rsid w:val="5C4DAB4A"/>
    <w:rsid w:val="5C4E5846"/>
    <w:rsid w:val="5C5A88AC"/>
    <w:rsid w:val="5C657D27"/>
    <w:rsid w:val="5C7E2BBC"/>
    <w:rsid w:val="5C80A1A4"/>
    <w:rsid w:val="5C89361A"/>
    <w:rsid w:val="5C89BE9A"/>
    <w:rsid w:val="5C9D97CE"/>
    <w:rsid w:val="5CA1DE48"/>
    <w:rsid w:val="5CBA727A"/>
    <w:rsid w:val="5CCB4E40"/>
    <w:rsid w:val="5CD3494D"/>
    <w:rsid w:val="5CE242DC"/>
    <w:rsid w:val="5CED1161"/>
    <w:rsid w:val="5CF5D91C"/>
    <w:rsid w:val="5CF808A4"/>
    <w:rsid w:val="5D0761BC"/>
    <w:rsid w:val="5D10F0B3"/>
    <w:rsid w:val="5D129085"/>
    <w:rsid w:val="5D16D687"/>
    <w:rsid w:val="5D18DB6A"/>
    <w:rsid w:val="5D211E1E"/>
    <w:rsid w:val="5D2E93B0"/>
    <w:rsid w:val="5D447E4E"/>
    <w:rsid w:val="5D471E9B"/>
    <w:rsid w:val="5D535007"/>
    <w:rsid w:val="5D66A964"/>
    <w:rsid w:val="5D6C52B8"/>
    <w:rsid w:val="5D701427"/>
    <w:rsid w:val="5D718E4C"/>
    <w:rsid w:val="5D74B6BF"/>
    <w:rsid w:val="5D769757"/>
    <w:rsid w:val="5D7F98A2"/>
    <w:rsid w:val="5D8EFEE2"/>
    <w:rsid w:val="5D99BD70"/>
    <w:rsid w:val="5DB51550"/>
    <w:rsid w:val="5DB5CAD8"/>
    <w:rsid w:val="5DB5DAEC"/>
    <w:rsid w:val="5DB720DC"/>
    <w:rsid w:val="5DB9F80C"/>
    <w:rsid w:val="5DC1E619"/>
    <w:rsid w:val="5DD605CF"/>
    <w:rsid w:val="5DE57117"/>
    <w:rsid w:val="5DE7A507"/>
    <w:rsid w:val="5DE984DC"/>
    <w:rsid w:val="5DE9CB42"/>
    <w:rsid w:val="5E147056"/>
    <w:rsid w:val="5E3DC9D7"/>
    <w:rsid w:val="5E3ED868"/>
    <w:rsid w:val="5E4F01E0"/>
    <w:rsid w:val="5E5CEB98"/>
    <w:rsid w:val="5E6C7C97"/>
    <w:rsid w:val="5E73F9C8"/>
    <w:rsid w:val="5E78161F"/>
    <w:rsid w:val="5E7BEC9F"/>
    <w:rsid w:val="5E836A60"/>
    <w:rsid w:val="5E86D9CD"/>
    <w:rsid w:val="5E8721A9"/>
    <w:rsid w:val="5E8900F2"/>
    <w:rsid w:val="5E907998"/>
    <w:rsid w:val="5E98202B"/>
    <w:rsid w:val="5EA0153E"/>
    <w:rsid w:val="5EA023E7"/>
    <w:rsid w:val="5EAB882A"/>
    <w:rsid w:val="5EAF1614"/>
    <w:rsid w:val="5EB742CD"/>
    <w:rsid w:val="5ECA8B49"/>
    <w:rsid w:val="5ECD23C8"/>
    <w:rsid w:val="5ECDF11F"/>
    <w:rsid w:val="5ECF030E"/>
    <w:rsid w:val="5ED4147B"/>
    <w:rsid w:val="5ED72F59"/>
    <w:rsid w:val="5EF266E5"/>
    <w:rsid w:val="5EF85EF8"/>
    <w:rsid w:val="5EF96792"/>
    <w:rsid w:val="5EFFA93C"/>
    <w:rsid w:val="5F0A0349"/>
    <w:rsid w:val="5F1BB113"/>
    <w:rsid w:val="5F2D5A19"/>
    <w:rsid w:val="5F33C8EC"/>
    <w:rsid w:val="5F3B60AD"/>
    <w:rsid w:val="5F3D21A6"/>
    <w:rsid w:val="5F411755"/>
    <w:rsid w:val="5F4664B8"/>
    <w:rsid w:val="5F4BB7D5"/>
    <w:rsid w:val="5F5E9D93"/>
    <w:rsid w:val="5F5F390C"/>
    <w:rsid w:val="5F7E26A5"/>
    <w:rsid w:val="5F8871B3"/>
    <w:rsid w:val="5F9B8DDA"/>
    <w:rsid w:val="5FA46F93"/>
    <w:rsid w:val="5FAF6165"/>
    <w:rsid w:val="5FB9469A"/>
    <w:rsid w:val="5FBDD89C"/>
    <w:rsid w:val="5FC9C8D6"/>
    <w:rsid w:val="5FD1A9E4"/>
    <w:rsid w:val="5FDB0288"/>
    <w:rsid w:val="5FE01455"/>
    <w:rsid w:val="5FE709B3"/>
    <w:rsid w:val="5FF00602"/>
    <w:rsid w:val="5FF1B495"/>
    <w:rsid w:val="5FF4D78D"/>
    <w:rsid w:val="6007EBDF"/>
    <w:rsid w:val="600AD43F"/>
    <w:rsid w:val="600EFDF2"/>
    <w:rsid w:val="6019A2EB"/>
    <w:rsid w:val="601A758E"/>
    <w:rsid w:val="6027C3E9"/>
    <w:rsid w:val="602D5AEB"/>
    <w:rsid w:val="6036B6E0"/>
    <w:rsid w:val="6049A92D"/>
    <w:rsid w:val="6051225F"/>
    <w:rsid w:val="60533951"/>
    <w:rsid w:val="6057236B"/>
    <w:rsid w:val="6068F429"/>
    <w:rsid w:val="606A941C"/>
    <w:rsid w:val="6072FD94"/>
    <w:rsid w:val="607720E1"/>
    <w:rsid w:val="60777241"/>
    <w:rsid w:val="60843BA6"/>
    <w:rsid w:val="60854548"/>
    <w:rsid w:val="60882583"/>
    <w:rsid w:val="608D8BBE"/>
    <w:rsid w:val="60B7094F"/>
    <w:rsid w:val="60CFF91C"/>
    <w:rsid w:val="60E15A79"/>
    <w:rsid w:val="60E5ADD7"/>
    <w:rsid w:val="60EA3019"/>
    <w:rsid w:val="610647ED"/>
    <w:rsid w:val="61080732"/>
    <w:rsid w:val="610E3FE8"/>
    <w:rsid w:val="611B7892"/>
    <w:rsid w:val="6122A993"/>
    <w:rsid w:val="6143B30C"/>
    <w:rsid w:val="6159A8FD"/>
    <w:rsid w:val="6170E934"/>
    <w:rsid w:val="61846519"/>
    <w:rsid w:val="618A413C"/>
    <w:rsid w:val="618D169F"/>
    <w:rsid w:val="618E224E"/>
    <w:rsid w:val="618F5CD6"/>
    <w:rsid w:val="61989574"/>
    <w:rsid w:val="6198E1D5"/>
    <w:rsid w:val="619B6E62"/>
    <w:rsid w:val="619BA3B4"/>
    <w:rsid w:val="619CD957"/>
    <w:rsid w:val="61A26FA5"/>
    <w:rsid w:val="61B23723"/>
    <w:rsid w:val="61B57F9A"/>
    <w:rsid w:val="61C153D4"/>
    <w:rsid w:val="61C17192"/>
    <w:rsid w:val="61C32DE8"/>
    <w:rsid w:val="61C7E8B1"/>
    <w:rsid w:val="61CEEEFB"/>
    <w:rsid w:val="61D153FA"/>
    <w:rsid w:val="61E03FEE"/>
    <w:rsid w:val="61E64361"/>
    <w:rsid w:val="61F19EF1"/>
    <w:rsid w:val="61F8DFBF"/>
    <w:rsid w:val="620E8C70"/>
    <w:rsid w:val="620EEC0E"/>
    <w:rsid w:val="62112CB2"/>
    <w:rsid w:val="6261F475"/>
    <w:rsid w:val="62774F8D"/>
    <w:rsid w:val="6279C9E9"/>
    <w:rsid w:val="627F7E70"/>
    <w:rsid w:val="62811A41"/>
    <w:rsid w:val="6285395B"/>
    <w:rsid w:val="62858E12"/>
    <w:rsid w:val="628A91FF"/>
    <w:rsid w:val="6290B18A"/>
    <w:rsid w:val="629A0E20"/>
    <w:rsid w:val="629DD041"/>
    <w:rsid w:val="62C22CDF"/>
    <w:rsid w:val="62D443B3"/>
    <w:rsid w:val="62D7CE03"/>
    <w:rsid w:val="62D85C26"/>
    <w:rsid w:val="62F07AF8"/>
    <w:rsid w:val="62F3DB59"/>
    <w:rsid w:val="6304D828"/>
    <w:rsid w:val="631E5087"/>
    <w:rsid w:val="6331792C"/>
    <w:rsid w:val="6332C06A"/>
    <w:rsid w:val="6335C58C"/>
    <w:rsid w:val="633EA134"/>
    <w:rsid w:val="63449A57"/>
    <w:rsid w:val="634507FB"/>
    <w:rsid w:val="6345A0AC"/>
    <w:rsid w:val="634C448D"/>
    <w:rsid w:val="6350541E"/>
    <w:rsid w:val="6357E3C8"/>
    <w:rsid w:val="63629CDF"/>
    <w:rsid w:val="6364FBAD"/>
    <w:rsid w:val="636CE933"/>
    <w:rsid w:val="63800208"/>
    <w:rsid w:val="638CC360"/>
    <w:rsid w:val="6393E320"/>
    <w:rsid w:val="63991FDE"/>
    <w:rsid w:val="6399A42E"/>
    <w:rsid w:val="63A0E54A"/>
    <w:rsid w:val="63BA8A9F"/>
    <w:rsid w:val="63E5D881"/>
    <w:rsid w:val="63E7E9E5"/>
    <w:rsid w:val="63EC7040"/>
    <w:rsid w:val="63EFA9BE"/>
    <w:rsid w:val="63F45B50"/>
    <w:rsid w:val="640BBDF5"/>
    <w:rsid w:val="640DB108"/>
    <w:rsid w:val="6414F6A1"/>
    <w:rsid w:val="6427167E"/>
    <w:rsid w:val="642A9342"/>
    <w:rsid w:val="64320EB6"/>
    <w:rsid w:val="64370A67"/>
    <w:rsid w:val="6447BE4B"/>
    <w:rsid w:val="64481FBB"/>
    <w:rsid w:val="6458C5A4"/>
    <w:rsid w:val="645F5439"/>
    <w:rsid w:val="64661865"/>
    <w:rsid w:val="646AEFA0"/>
    <w:rsid w:val="6470056C"/>
    <w:rsid w:val="6471C9E7"/>
    <w:rsid w:val="64792009"/>
    <w:rsid w:val="6484D835"/>
    <w:rsid w:val="64883FD5"/>
    <w:rsid w:val="64894F0E"/>
    <w:rsid w:val="64895C39"/>
    <w:rsid w:val="649E5DB6"/>
    <w:rsid w:val="64BF27BC"/>
    <w:rsid w:val="64C575F0"/>
    <w:rsid w:val="64C848B0"/>
    <w:rsid w:val="64D52D2A"/>
    <w:rsid w:val="64D5748C"/>
    <w:rsid w:val="64EA33E2"/>
    <w:rsid w:val="64EAF53C"/>
    <w:rsid w:val="64F5E967"/>
    <w:rsid w:val="64F682EB"/>
    <w:rsid w:val="6500CC0E"/>
    <w:rsid w:val="6503A49A"/>
    <w:rsid w:val="65054CDC"/>
    <w:rsid w:val="651BC7E2"/>
    <w:rsid w:val="6531FB1B"/>
    <w:rsid w:val="657145DD"/>
    <w:rsid w:val="6580F328"/>
    <w:rsid w:val="659A10C7"/>
    <w:rsid w:val="65A9BEED"/>
    <w:rsid w:val="65B3856C"/>
    <w:rsid w:val="65B6A02A"/>
    <w:rsid w:val="65BB788B"/>
    <w:rsid w:val="65CA8A14"/>
    <w:rsid w:val="65CDBB14"/>
    <w:rsid w:val="65E3EA6A"/>
    <w:rsid w:val="65EF5797"/>
    <w:rsid w:val="65FE1BDE"/>
    <w:rsid w:val="66193F09"/>
    <w:rsid w:val="662D1A20"/>
    <w:rsid w:val="6635E12D"/>
    <w:rsid w:val="66377198"/>
    <w:rsid w:val="6651D604"/>
    <w:rsid w:val="6651FAD7"/>
    <w:rsid w:val="66607181"/>
    <w:rsid w:val="6660FF3C"/>
    <w:rsid w:val="66641911"/>
    <w:rsid w:val="666C0697"/>
    <w:rsid w:val="66797721"/>
    <w:rsid w:val="66938060"/>
    <w:rsid w:val="669E832A"/>
    <w:rsid w:val="669E9F7C"/>
    <w:rsid w:val="66A11D3D"/>
    <w:rsid w:val="66A93DC0"/>
    <w:rsid w:val="66AE56E7"/>
    <w:rsid w:val="66AF9C14"/>
    <w:rsid w:val="66B20B46"/>
    <w:rsid w:val="66C623DC"/>
    <w:rsid w:val="66D08522"/>
    <w:rsid w:val="66E36565"/>
    <w:rsid w:val="66E9F1D7"/>
    <w:rsid w:val="66EEBBE7"/>
    <w:rsid w:val="66F1858F"/>
    <w:rsid w:val="670BCF66"/>
    <w:rsid w:val="671C0AA3"/>
    <w:rsid w:val="672B25C2"/>
    <w:rsid w:val="673C0881"/>
    <w:rsid w:val="6744773A"/>
    <w:rsid w:val="6751769D"/>
    <w:rsid w:val="67585EC2"/>
    <w:rsid w:val="675FA8CA"/>
    <w:rsid w:val="6764C27E"/>
    <w:rsid w:val="6778D49F"/>
    <w:rsid w:val="677FDECE"/>
    <w:rsid w:val="67916F3B"/>
    <w:rsid w:val="6793236A"/>
    <w:rsid w:val="679CDF19"/>
    <w:rsid w:val="67B82045"/>
    <w:rsid w:val="67B8E793"/>
    <w:rsid w:val="67CB1E8A"/>
    <w:rsid w:val="67CB7640"/>
    <w:rsid w:val="67DBAC39"/>
    <w:rsid w:val="67E418FC"/>
    <w:rsid w:val="67F28DDF"/>
    <w:rsid w:val="680204C6"/>
    <w:rsid w:val="6813A656"/>
    <w:rsid w:val="681A0193"/>
    <w:rsid w:val="68205060"/>
    <w:rsid w:val="68274D18"/>
    <w:rsid w:val="6830B60D"/>
    <w:rsid w:val="6839BA74"/>
    <w:rsid w:val="6839F727"/>
    <w:rsid w:val="683E8241"/>
    <w:rsid w:val="6843991D"/>
    <w:rsid w:val="685CFD24"/>
    <w:rsid w:val="685EAF2E"/>
    <w:rsid w:val="685F444F"/>
    <w:rsid w:val="687E0F79"/>
    <w:rsid w:val="68835C44"/>
    <w:rsid w:val="688399FD"/>
    <w:rsid w:val="688463BC"/>
    <w:rsid w:val="688AB7EE"/>
    <w:rsid w:val="6894D455"/>
    <w:rsid w:val="68A33AA5"/>
    <w:rsid w:val="68BC4F6C"/>
    <w:rsid w:val="68BF49AD"/>
    <w:rsid w:val="68C35D49"/>
    <w:rsid w:val="68C36B56"/>
    <w:rsid w:val="68CA1E12"/>
    <w:rsid w:val="68D07B34"/>
    <w:rsid w:val="68E2618F"/>
    <w:rsid w:val="68F3194D"/>
    <w:rsid w:val="68F87D7F"/>
    <w:rsid w:val="690CCA9A"/>
    <w:rsid w:val="690F35B7"/>
    <w:rsid w:val="6928BCFB"/>
    <w:rsid w:val="6936CCCB"/>
    <w:rsid w:val="693CCE44"/>
    <w:rsid w:val="6950E4C2"/>
    <w:rsid w:val="6953A8C5"/>
    <w:rsid w:val="6953B6BC"/>
    <w:rsid w:val="695BB1E6"/>
    <w:rsid w:val="69628161"/>
    <w:rsid w:val="6965B652"/>
    <w:rsid w:val="69684D72"/>
    <w:rsid w:val="69A07AD2"/>
    <w:rsid w:val="69A2950F"/>
    <w:rsid w:val="69B03AB2"/>
    <w:rsid w:val="69B87F8F"/>
    <w:rsid w:val="69DB1E53"/>
    <w:rsid w:val="69E18031"/>
    <w:rsid w:val="69E7CF5B"/>
    <w:rsid w:val="69E9E874"/>
    <w:rsid w:val="69EB6EA2"/>
    <w:rsid w:val="69FEBDE2"/>
    <w:rsid w:val="6A17934B"/>
    <w:rsid w:val="6A18914C"/>
    <w:rsid w:val="6A19DFDA"/>
    <w:rsid w:val="6A28E9D8"/>
    <w:rsid w:val="6A483A6D"/>
    <w:rsid w:val="6A4ADD02"/>
    <w:rsid w:val="6A53474D"/>
    <w:rsid w:val="6A56F0B9"/>
    <w:rsid w:val="6A5AE552"/>
    <w:rsid w:val="6A65EE73"/>
    <w:rsid w:val="6A66B1B9"/>
    <w:rsid w:val="6A6CD8DC"/>
    <w:rsid w:val="6A777A36"/>
    <w:rsid w:val="6A79EBD1"/>
    <w:rsid w:val="6A93BCF9"/>
    <w:rsid w:val="6A9A2FB6"/>
    <w:rsid w:val="6A9B607A"/>
    <w:rsid w:val="6AAEF561"/>
    <w:rsid w:val="6AB7EE56"/>
    <w:rsid w:val="6ABF293E"/>
    <w:rsid w:val="6AD39402"/>
    <w:rsid w:val="6AD637BF"/>
    <w:rsid w:val="6ADB4E78"/>
    <w:rsid w:val="6AE66EE6"/>
    <w:rsid w:val="6AEBE04C"/>
    <w:rsid w:val="6AEC8691"/>
    <w:rsid w:val="6B0AD228"/>
    <w:rsid w:val="6B0C87BE"/>
    <w:rsid w:val="6B20CFAA"/>
    <w:rsid w:val="6B291758"/>
    <w:rsid w:val="6B30298E"/>
    <w:rsid w:val="6B34BF62"/>
    <w:rsid w:val="6B362355"/>
    <w:rsid w:val="6B39B671"/>
    <w:rsid w:val="6B3CF6FC"/>
    <w:rsid w:val="6B42E140"/>
    <w:rsid w:val="6B509145"/>
    <w:rsid w:val="6B52234A"/>
    <w:rsid w:val="6B54BA15"/>
    <w:rsid w:val="6B652AEB"/>
    <w:rsid w:val="6B661C85"/>
    <w:rsid w:val="6B805310"/>
    <w:rsid w:val="6B9FCB22"/>
    <w:rsid w:val="6BA3EAEF"/>
    <w:rsid w:val="6BCB2F76"/>
    <w:rsid w:val="6BCBB84D"/>
    <w:rsid w:val="6BD0D6A8"/>
    <w:rsid w:val="6BDD25B7"/>
    <w:rsid w:val="6BE2F86C"/>
    <w:rsid w:val="6BE55E2C"/>
    <w:rsid w:val="6BF625B1"/>
    <w:rsid w:val="6BF97FDA"/>
    <w:rsid w:val="6BFD8066"/>
    <w:rsid w:val="6BFDECE7"/>
    <w:rsid w:val="6C02EBCD"/>
    <w:rsid w:val="6C117822"/>
    <w:rsid w:val="6C1DA9B8"/>
    <w:rsid w:val="6C264A8B"/>
    <w:rsid w:val="6C36CA52"/>
    <w:rsid w:val="6C39EDB0"/>
    <w:rsid w:val="6C3E5C37"/>
    <w:rsid w:val="6C4DDE61"/>
    <w:rsid w:val="6C77CF64"/>
    <w:rsid w:val="6C7FB61F"/>
    <w:rsid w:val="6C83BF09"/>
    <w:rsid w:val="6C870EBD"/>
    <w:rsid w:val="6C91E4F7"/>
    <w:rsid w:val="6C937E08"/>
    <w:rsid w:val="6C9A2951"/>
    <w:rsid w:val="6CAF48A7"/>
    <w:rsid w:val="6CB27745"/>
    <w:rsid w:val="6CB4D606"/>
    <w:rsid w:val="6CCA112A"/>
    <w:rsid w:val="6CDB4F90"/>
    <w:rsid w:val="6CE16E28"/>
    <w:rsid w:val="6CE2F6BB"/>
    <w:rsid w:val="6CE3761B"/>
    <w:rsid w:val="6CF20039"/>
    <w:rsid w:val="6CF750C6"/>
    <w:rsid w:val="6D02D85A"/>
    <w:rsid w:val="6D1AA0FC"/>
    <w:rsid w:val="6D1B965C"/>
    <w:rsid w:val="6D1D18F1"/>
    <w:rsid w:val="6D4500B4"/>
    <w:rsid w:val="6D51091E"/>
    <w:rsid w:val="6D732A0B"/>
    <w:rsid w:val="6D783B8A"/>
    <w:rsid w:val="6D8032BB"/>
    <w:rsid w:val="6D819962"/>
    <w:rsid w:val="6D8FCB2D"/>
    <w:rsid w:val="6D97B8B3"/>
    <w:rsid w:val="6DADEDFD"/>
    <w:rsid w:val="6DAEC50B"/>
    <w:rsid w:val="6DB5AEA7"/>
    <w:rsid w:val="6DCDF8C4"/>
    <w:rsid w:val="6DD10B35"/>
    <w:rsid w:val="6DD3013C"/>
    <w:rsid w:val="6DD34343"/>
    <w:rsid w:val="6DD3DC28"/>
    <w:rsid w:val="6DE91F50"/>
    <w:rsid w:val="6DEDD841"/>
    <w:rsid w:val="6DF7A6DF"/>
    <w:rsid w:val="6E03E91B"/>
    <w:rsid w:val="6E05EB3B"/>
    <w:rsid w:val="6E0A6512"/>
    <w:rsid w:val="6E0AEFB2"/>
    <w:rsid w:val="6E11EF69"/>
    <w:rsid w:val="6E27D447"/>
    <w:rsid w:val="6E43898C"/>
    <w:rsid w:val="6E488682"/>
    <w:rsid w:val="6E49265A"/>
    <w:rsid w:val="6E4D3E1C"/>
    <w:rsid w:val="6E64A322"/>
    <w:rsid w:val="6E69C923"/>
    <w:rsid w:val="6E6EBBE1"/>
    <w:rsid w:val="6E7F8694"/>
    <w:rsid w:val="6E84025B"/>
    <w:rsid w:val="6E885353"/>
    <w:rsid w:val="6E8FEAE0"/>
    <w:rsid w:val="6EB38595"/>
    <w:rsid w:val="6EB57502"/>
    <w:rsid w:val="6EB5F40A"/>
    <w:rsid w:val="6EC0F47B"/>
    <w:rsid w:val="6ECF0E8C"/>
    <w:rsid w:val="6ED05351"/>
    <w:rsid w:val="6ED1616F"/>
    <w:rsid w:val="6EE087DB"/>
    <w:rsid w:val="6EE0D115"/>
    <w:rsid w:val="6EF24DCB"/>
    <w:rsid w:val="6EF57BBF"/>
    <w:rsid w:val="6EFB4E06"/>
    <w:rsid w:val="6F11397F"/>
    <w:rsid w:val="6F17367B"/>
    <w:rsid w:val="6F1C351A"/>
    <w:rsid w:val="6F2A61DC"/>
    <w:rsid w:val="6F2B9B8E"/>
    <w:rsid w:val="6F352CAD"/>
    <w:rsid w:val="6F41FF1C"/>
    <w:rsid w:val="6F46B661"/>
    <w:rsid w:val="6F554A7A"/>
    <w:rsid w:val="6F6422EF"/>
    <w:rsid w:val="6F67BF03"/>
    <w:rsid w:val="6F67EEC6"/>
    <w:rsid w:val="6F6B0AD7"/>
    <w:rsid w:val="6F6B74C7"/>
    <w:rsid w:val="6F6ED19D"/>
    <w:rsid w:val="6F763068"/>
    <w:rsid w:val="6F7784E9"/>
    <w:rsid w:val="6F841512"/>
    <w:rsid w:val="6F858F33"/>
    <w:rsid w:val="6F90DE69"/>
    <w:rsid w:val="6F983849"/>
    <w:rsid w:val="6F9A6B6D"/>
    <w:rsid w:val="6F9B6095"/>
    <w:rsid w:val="6FA8A93A"/>
    <w:rsid w:val="6FC543FA"/>
    <w:rsid w:val="6FD3FC66"/>
    <w:rsid w:val="6FE8A33A"/>
    <w:rsid w:val="6FEA372B"/>
    <w:rsid w:val="6FEF851D"/>
    <w:rsid w:val="6FFC2F1F"/>
    <w:rsid w:val="70036071"/>
    <w:rsid w:val="7003CF5A"/>
    <w:rsid w:val="70063624"/>
    <w:rsid w:val="700A62A6"/>
    <w:rsid w:val="700FA4C0"/>
    <w:rsid w:val="700FC9A9"/>
    <w:rsid w:val="70127836"/>
    <w:rsid w:val="7035DEF9"/>
    <w:rsid w:val="70437234"/>
    <w:rsid w:val="7045507E"/>
    <w:rsid w:val="7049761C"/>
    <w:rsid w:val="704F6AA9"/>
    <w:rsid w:val="70638995"/>
    <w:rsid w:val="7070A024"/>
    <w:rsid w:val="707C583C"/>
    <w:rsid w:val="7084EB6D"/>
    <w:rsid w:val="7085C77D"/>
    <w:rsid w:val="70A92D5B"/>
    <w:rsid w:val="70B96913"/>
    <w:rsid w:val="70C1A217"/>
    <w:rsid w:val="70CCEFBC"/>
    <w:rsid w:val="70CD38D4"/>
    <w:rsid w:val="70CF5975"/>
    <w:rsid w:val="70E3635A"/>
    <w:rsid w:val="70E37B4F"/>
    <w:rsid w:val="70EF3300"/>
    <w:rsid w:val="70F11ADB"/>
    <w:rsid w:val="70F843FD"/>
    <w:rsid w:val="70F9D1D9"/>
    <w:rsid w:val="70FEF998"/>
    <w:rsid w:val="7107516D"/>
    <w:rsid w:val="710A9068"/>
    <w:rsid w:val="710B7CEA"/>
    <w:rsid w:val="710CED47"/>
    <w:rsid w:val="711C3BA7"/>
    <w:rsid w:val="711C8ED9"/>
    <w:rsid w:val="7121621A"/>
    <w:rsid w:val="71239E7C"/>
    <w:rsid w:val="71241A47"/>
    <w:rsid w:val="712EE4BF"/>
    <w:rsid w:val="71360706"/>
    <w:rsid w:val="7140346E"/>
    <w:rsid w:val="7155FAFD"/>
    <w:rsid w:val="716830A1"/>
    <w:rsid w:val="716BC511"/>
    <w:rsid w:val="7171E604"/>
    <w:rsid w:val="717D60E2"/>
    <w:rsid w:val="7184699E"/>
    <w:rsid w:val="71899A91"/>
    <w:rsid w:val="7194E439"/>
    <w:rsid w:val="71AB93F9"/>
    <w:rsid w:val="71D25AFC"/>
    <w:rsid w:val="71D54E38"/>
    <w:rsid w:val="720BF19B"/>
    <w:rsid w:val="720BF1E8"/>
    <w:rsid w:val="7212D432"/>
    <w:rsid w:val="7218289D"/>
    <w:rsid w:val="721BB5AB"/>
    <w:rsid w:val="7223A331"/>
    <w:rsid w:val="7229EE8D"/>
    <w:rsid w:val="722EEA48"/>
    <w:rsid w:val="722FA5FA"/>
    <w:rsid w:val="7238E488"/>
    <w:rsid w:val="724F763C"/>
    <w:rsid w:val="7255C93E"/>
    <w:rsid w:val="725DDC8F"/>
    <w:rsid w:val="726267F7"/>
    <w:rsid w:val="726C05BA"/>
    <w:rsid w:val="727C5FE5"/>
    <w:rsid w:val="728C4AAD"/>
    <w:rsid w:val="729C8D0A"/>
    <w:rsid w:val="72A169E7"/>
    <w:rsid w:val="72A939C2"/>
    <w:rsid w:val="72B05823"/>
    <w:rsid w:val="72B41789"/>
    <w:rsid w:val="72CC500F"/>
    <w:rsid w:val="72CECF19"/>
    <w:rsid w:val="72CF80BF"/>
    <w:rsid w:val="72D88C89"/>
    <w:rsid w:val="72DE91F8"/>
    <w:rsid w:val="72E465C2"/>
    <w:rsid w:val="72E6891A"/>
    <w:rsid w:val="72EAD8A5"/>
    <w:rsid w:val="72EC82D7"/>
    <w:rsid w:val="72EE631A"/>
    <w:rsid w:val="72F2F313"/>
    <w:rsid w:val="72F3B087"/>
    <w:rsid w:val="73045166"/>
    <w:rsid w:val="730A73AA"/>
    <w:rsid w:val="7321B031"/>
    <w:rsid w:val="73237140"/>
    <w:rsid w:val="732408E6"/>
    <w:rsid w:val="733A0107"/>
    <w:rsid w:val="735E45E1"/>
    <w:rsid w:val="73609F0D"/>
    <w:rsid w:val="7363366F"/>
    <w:rsid w:val="7385A729"/>
    <w:rsid w:val="739B2A57"/>
    <w:rsid w:val="739C89EF"/>
    <w:rsid w:val="73A67BD2"/>
    <w:rsid w:val="73A7EDEB"/>
    <w:rsid w:val="73B7860C"/>
    <w:rsid w:val="73C91A64"/>
    <w:rsid w:val="73C9F932"/>
    <w:rsid w:val="73D9C06F"/>
    <w:rsid w:val="73DA70F0"/>
    <w:rsid w:val="73DAE05F"/>
    <w:rsid w:val="73DBCD84"/>
    <w:rsid w:val="73ED53F4"/>
    <w:rsid w:val="73F1C76F"/>
    <w:rsid w:val="73F227F8"/>
    <w:rsid w:val="74020993"/>
    <w:rsid w:val="741AC562"/>
    <w:rsid w:val="741B609F"/>
    <w:rsid w:val="741B68C3"/>
    <w:rsid w:val="742411EB"/>
    <w:rsid w:val="742A45E7"/>
    <w:rsid w:val="742E0F8F"/>
    <w:rsid w:val="74338012"/>
    <w:rsid w:val="7434E3B2"/>
    <w:rsid w:val="744A0BAD"/>
    <w:rsid w:val="74551C8E"/>
    <w:rsid w:val="746C5242"/>
    <w:rsid w:val="748AB3A3"/>
    <w:rsid w:val="748C56AA"/>
    <w:rsid w:val="74902F51"/>
    <w:rsid w:val="7494540A"/>
    <w:rsid w:val="74A1644D"/>
    <w:rsid w:val="74A398BD"/>
    <w:rsid w:val="74A76D89"/>
    <w:rsid w:val="74B10F77"/>
    <w:rsid w:val="74B469FD"/>
    <w:rsid w:val="74B9D1DE"/>
    <w:rsid w:val="74C2EB6A"/>
    <w:rsid w:val="74D7E001"/>
    <w:rsid w:val="74D9128F"/>
    <w:rsid w:val="74E5D226"/>
    <w:rsid w:val="74F71C0C"/>
    <w:rsid w:val="750A35CF"/>
    <w:rsid w:val="7522132D"/>
    <w:rsid w:val="752AE2C4"/>
    <w:rsid w:val="752D4697"/>
    <w:rsid w:val="754928FC"/>
    <w:rsid w:val="75531FD6"/>
    <w:rsid w:val="7558BCB9"/>
    <w:rsid w:val="755B43F3"/>
    <w:rsid w:val="75651C1F"/>
    <w:rsid w:val="7568F170"/>
    <w:rsid w:val="756D140E"/>
    <w:rsid w:val="7574D23D"/>
    <w:rsid w:val="7575B303"/>
    <w:rsid w:val="7576F7A3"/>
    <w:rsid w:val="7581030E"/>
    <w:rsid w:val="7588BC47"/>
    <w:rsid w:val="75A96DD2"/>
    <w:rsid w:val="75B39644"/>
    <w:rsid w:val="75BFE24C"/>
    <w:rsid w:val="75C4A7BA"/>
    <w:rsid w:val="75CBF48F"/>
    <w:rsid w:val="75D358CF"/>
    <w:rsid w:val="75D3A75D"/>
    <w:rsid w:val="75D6DC3A"/>
    <w:rsid w:val="75DEEE0D"/>
    <w:rsid w:val="75DF0719"/>
    <w:rsid w:val="75E1EB58"/>
    <w:rsid w:val="75F04B42"/>
    <w:rsid w:val="760AC525"/>
    <w:rsid w:val="762037F5"/>
    <w:rsid w:val="76227967"/>
    <w:rsid w:val="762A114B"/>
    <w:rsid w:val="763BA1C4"/>
    <w:rsid w:val="7640312E"/>
    <w:rsid w:val="76480433"/>
    <w:rsid w:val="765D8907"/>
    <w:rsid w:val="766C8CDD"/>
    <w:rsid w:val="7677A28D"/>
    <w:rsid w:val="767DAE6F"/>
    <w:rsid w:val="767F1486"/>
    <w:rsid w:val="76807FEC"/>
    <w:rsid w:val="76B2429E"/>
    <w:rsid w:val="76B93380"/>
    <w:rsid w:val="76C0FB5A"/>
    <w:rsid w:val="76C6002D"/>
    <w:rsid w:val="76D42C01"/>
    <w:rsid w:val="76E9CC1C"/>
    <w:rsid w:val="76EA8FC0"/>
    <w:rsid w:val="76F86D16"/>
    <w:rsid w:val="76F94C40"/>
    <w:rsid w:val="770995D4"/>
    <w:rsid w:val="770A0260"/>
    <w:rsid w:val="7717B876"/>
    <w:rsid w:val="771C4B64"/>
    <w:rsid w:val="771CFFDF"/>
    <w:rsid w:val="771E2830"/>
    <w:rsid w:val="7736AD73"/>
    <w:rsid w:val="773EBEF7"/>
    <w:rsid w:val="775BA213"/>
    <w:rsid w:val="775F616E"/>
    <w:rsid w:val="77619611"/>
    <w:rsid w:val="776CED84"/>
    <w:rsid w:val="777ABE6E"/>
    <w:rsid w:val="7794DFCA"/>
    <w:rsid w:val="7797B650"/>
    <w:rsid w:val="77A33CF7"/>
    <w:rsid w:val="77A51E84"/>
    <w:rsid w:val="77B1F0E3"/>
    <w:rsid w:val="77B52842"/>
    <w:rsid w:val="77C72FFC"/>
    <w:rsid w:val="77CC320D"/>
    <w:rsid w:val="77D2C108"/>
    <w:rsid w:val="77D720C5"/>
    <w:rsid w:val="77DDF5C4"/>
    <w:rsid w:val="77DF0E4B"/>
    <w:rsid w:val="77EAF0AD"/>
    <w:rsid w:val="77F8C004"/>
    <w:rsid w:val="78086BD2"/>
    <w:rsid w:val="780C554D"/>
    <w:rsid w:val="78107957"/>
    <w:rsid w:val="7818CEE6"/>
    <w:rsid w:val="782F3599"/>
    <w:rsid w:val="7830D029"/>
    <w:rsid w:val="7842509A"/>
    <w:rsid w:val="78512879"/>
    <w:rsid w:val="78559D24"/>
    <w:rsid w:val="7858D899"/>
    <w:rsid w:val="785C62A2"/>
    <w:rsid w:val="7861B578"/>
    <w:rsid w:val="7866EB8C"/>
    <w:rsid w:val="786B05A4"/>
    <w:rsid w:val="78AEB451"/>
    <w:rsid w:val="78B26122"/>
    <w:rsid w:val="78CA46B4"/>
    <w:rsid w:val="78D60214"/>
    <w:rsid w:val="78D69A7C"/>
    <w:rsid w:val="78DEF34E"/>
    <w:rsid w:val="78F89558"/>
    <w:rsid w:val="790472B8"/>
    <w:rsid w:val="7908B3DE"/>
    <w:rsid w:val="790C72EA"/>
    <w:rsid w:val="790E241D"/>
    <w:rsid w:val="79135825"/>
    <w:rsid w:val="79168ECF"/>
    <w:rsid w:val="7926E23E"/>
    <w:rsid w:val="792D9ED8"/>
    <w:rsid w:val="792DD366"/>
    <w:rsid w:val="794BE8DD"/>
    <w:rsid w:val="794FF550"/>
    <w:rsid w:val="79657A1E"/>
    <w:rsid w:val="7970057F"/>
    <w:rsid w:val="79718E3E"/>
    <w:rsid w:val="79720FAA"/>
    <w:rsid w:val="797F646C"/>
    <w:rsid w:val="7980B28F"/>
    <w:rsid w:val="7986C10E"/>
    <w:rsid w:val="79969D7A"/>
    <w:rsid w:val="799BF7F4"/>
    <w:rsid w:val="79ADEB97"/>
    <w:rsid w:val="79AF434F"/>
    <w:rsid w:val="79B0133E"/>
    <w:rsid w:val="79BF37EB"/>
    <w:rsid w:val="79C17C1D"/>
    <w:rsid w:val="79CC8E20"/>
    <w:rsid w:val="79D1B6C0"/>
    <w:rsid w:val="79D3B5DF"/>
    <w:rsid w:val="79D772BE"/>
    <w:rsid w:val="79E6F1F7"/>
    <w:rsid w:val="7A052190"/>
    <w:rsid w:val="7A074DBA"/>
    <w:rsid w:val="7A11BAE6"/>
    <w:rsid w:val="7A1A2DC9"/>
    <w:rsid w:val="7A2485FC"/>
    <w:rsid w:val="7A3E0A81"/>
    <w:rsid w:val="7A4AA81F"/>
    <w:rsid w:val="7A4DCE90"/>
    <w:rsid w:val="7A4DDA24"/>
    <w:rsid w:val="7A5562F0"/>
    <w:rsid w:val="7A581148"/>
    <w:rsid w:val="7A589AFE"/>
    <w:rsid w:val="7A61F35C"/>
    <w:rsid w:val="7A670281"/>
    <w:rsid w:val="7A726ADD"/>
    <w:rsid w:val="7A763BBB"/>
    <w:rsid w:val="7A8AEB92"/>
    <w:rsid w:val="7A91E4FB"/>
    <w:rsid w:val="7AAA9DF1"/>
    <w:rsid w:val="7AC0A0A3"/>
    <w:rsid w:val="7AD3A81E"/>
    <w:rsid w:val="7AD7706B"/>
    <w:rsid w:val="7ADE1062"/>
    <w:rsid w:val="7AF1E482"/>
    <w:rsid w:val="7B004561"/>
    <w:rsid w:val="7B03C859"/>
    <w:rsid w:val="7B04DC0F"/>
    <w:rsid w:val="7B05E21C"/>
    <w:rsid w:val="7B0F12E7"/>
    <w:rsid w:val="7B2135D2"/>
    <w:rsid w:val="7B222F23"/>
    <w:rsid w:val="7B2A8588"/>
    <w:rsid w:val="7B3483B8"/>
    <w:rsid w:val="7B4262F7"/>
    <w:rsid w:val="7B5D4C7E"/>
    <w:rsid w:val="7B66D65B"/>
    <w:rsid w:val="7B6EF921"/>
    <w:rsid w:val="7B7CE40B"/>
    <w:rsid w:val="7B815D5F"/>
    <w:rsid w:val="7B8C1EDA"/>
    <w:rsid w:val="7BA8814C"/>
    <w:rsid w:val="7BC2A887"/>
    <w:rsid w:val="7BC741A3"/>
    <w:rsid w:val="7BCA8577"/>
    <w:rsid w:val="7BD5D699"/>
    <w:rsid w:val="7BDA8F3F"/>
    <w:rsid w:val="7BE3DE77"/>
    <w:rsid w:val="7BE586B7"/>
    <w:rsid w:val="7BF89C02"/>
    <w:rsid w:val="7BFD8F23"/>
    <w:rsid w:val="7C051AEB"/>
    <w:rsid w:val="7C0E3B3E"/>
    <w:rsid w:val="7C111A6D"/>
    <w:rsid w:val="7C12F5CD"/>
    <w:rsid w:val="7C22F448"/>
    <w:rsid w:val="7C2944C9"/>
    <w:rsid w:val="7C2B5367"/>
    <w:rsid w:val="7C36309D"/>
    <w:rsid w:val="7C372577"/>
    <w:rsid w:val="7C44BD70"/>
    <w:rsid w:val="7C509E8D"/>
    <w:rsid w:val="7C55740F"/>
    <w:rsid w:val="7C5B9697"/>
    <w:rsid w:val="7C5EC161"/>
    <w:rsid w:val="7C5EED7B"/>
    <w:rsid w:val="7C7F47E0"/>
    <w:rsid w:val="7C8BBBD2"/>
    <w:rsid w:val="7C97EF07"/>
    <w:rsid w:val="7CAEF781"/>
    <w:rsid w:val="7CB98672"/>
    <w:rsid w:val="7CC4E3C3"/>
    <w:rsid w:val="7CCE3E3C"/>
    <w:rsid w:val="7CD98BA5"/>
    <w:rsid w:val="7CE4B92C"/>
    <w:rsid w:val="7CEA0B3F"/>
    <w:rsid w:val="7CEA294B"/>
    <w:rsid w:val="7CEB08FB"/>
    <w:rsid w:val="7CFA10AB"/>
    <w:rsid w:val="7D138CAA"/>
    <w:rsid w:val="7D15A620"/>
    <w:rsid w:val="7D171F16"/>
    <w:rsid w:val="7D1B4239"/>
    <w:rsid w:val="7D24F089"/>
    <w:rsid w:val="7D3810AD"/>
    <w:rsid w:val="7D6F0A47"/>
    <w:rsid w:val="7D747B5B"/>
    <w:rsid w:val="7D878F87"/>
    <w:rsid w:val="7D88428F"/>
    <w:rsid w:val="7D975A01"/>
    <w:rsid w:val="7DCA660A"/>
    <w:rsid w:val="7DD52B6B"/>
    <w:rsid w:val="7DDADC53"/>
    <w:rsid w:val="7DDEB20B"/>
    <w:rsid w:val="7DF4AC02"/>
    <w:rsid w:val="7DF62C70"/>
    <w:rsid w:val="7E03C82B"/>
    <w:rsid w:val="7E07912D"/>
    <w:rsid w:val="7E0911CD"/>
    <w:rsid w:val="7E1D73A3"/>
    <w:rsid w:val="7E24AF05"/>
    <w:rsid w:val="7E29F32A"/>
    <w:rsid w:val="7E4E4FCF"/>
    <w:rsid w:val="7E4E7B35"/>
    <w:rsid w:val="7E4F6B98"/>
    <w:rsid w:val="7E5957E1"/>
    <w:rsid w:val="7E7A21E6"/>
    <w:rsid w:val="7E7DA308"/>
    <w:rsid w:val="7E8D3C46"/>
    <w:rsid w:val="7E92A90E"/>
    <w:rsid w:val="7E92B892"/>
    <w:rsid w:val="7E93E488"/>
    <w:rsid w:val="7EA407B2"/>
    <w:rsid w:val="7EA74E09"/>
    <w:rsid w:val="7EACC5AC"/>
    <w:rsid w:val="7EB086FF"/>
    <w:rsid w:val="7EB2ACB8"/>
    <w:rsid w:val="7EB40B5B"/>
    <w:rsid w:val="7EB7DBE8"/>
    <w:rsid w:val="7EC5F019"/>
    <w:rsid w:val="7ECFE005"/>
    <w:rsid w:val="7EE84190"/>
    <w:rsid w:val="7EEEB1F2"/>
    <w:rsid w:val="7EEED72C"/>
    <w:rsid w:val="7EF2ADC1"/>
    <w:rsid w:val="7EF2D608"/>
    <w:rsid w:val="7F056697"/>
    <w:rsid w:val="7F09E4EF"/>
    <w:rsid w:val="7F21F542"/>
    <w:rsid w:val="7F28B1D5"/>
    <w:rsid w:val="7F3A799E"/>
    <w:rsid w:val="7F4558BD"/>
    <w:rsid w:val="7F4DC43C"/>
    <w:rsid w:val="7F53B2D7"/>
    <w:rsid w:val="7F6DD6B2"/>
    <w:rsid w:val="7F6EC639"/>
    <w:rsid w:val="7F74E2AC"/>
    <w:rsid w:val="7F7D3B32"/>
    <w:rsid w:val="7F9F988C"/>
    <w:rsid w:val="7FA24412"/>
    <w:rsid w:val="7FA4AE6F"/>
    <w:rsid w:val="7FA4AEEA"/>
    <w:rsid w:val="7FA8282C"/>
    <w:rsid w:val="7FB48656"/>
    <w:rsid w:val="7FB7A538"/>
    <w:rsid w:val="7FC0BC6A"/>
    <w:rsid w:val="7FC17698"/>
    <w:rsid w:val="7FC572D1"/>
    <w:rsid w:val="7FDE0F5D"/>
    <w:rsid w:val="7FE84F5A"/>
    <w:rsid w:val="7FFD7BE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505DCE"/>
  <w15:chartTrackingRefBased/>
  <w15:docId w15:val="{2DA760C7-408A-497D-A4B9-FDC29E2F2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AU"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1EF"/>
    <w:rPr>
      <w:rFonts w:ascii="Arial" w:hAnsi="Arial"/>
    </w:rPr>
  </w:style>
  <w:style w:type="paragraph" w:styleId="Heading1">
    <w:name w:val="heading 1"/>
    <w:basedOn w:val="Normal"/>
    <w:next w:val="Normal"/>
    <w:link w:val="Heading1Char"/>
    <w:uiPriority w:val="9"/>
    <w:qFormat/>
    <w:rsid w:val="00FE2E0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F02AEC"/>
    <w:pPr>
      <w:keepNext/>
      <w:keepLines/>
      <w:spacing w:before="480" w:line="240" w:lineRule="atLeast"/>
      <w:outlineLvl w:val="1"/>
    </w:pPr>
    <w:rPr>
      <w:rFonts w:eastAsia="Times New Roman" w:cs="Times New Roman"/>
      <w:b/>
      <w:bCs/>
      <w:color w:val="001871"/>
      <w:sz w:val="38"/>
      <w:szCs w:val="38"/>
    </w:rPr>
  </w:style>
  <w:style w:type="paragraph" w:styleId="Heading3">
    <w:name w:val="heading 3"/>
    <w:basedOn w:val="Normal"/>
    <w:next w:val="Normal"/>
    <w:link w:val="Heading3Char"/>
    <w:qFormat/>
    <w:rsid w:val="00F02AEC"/>
    <w:pPr>
      <w:keepNext/>
      <w:keepLines/>
      <w:spacing w:before="480" w:line="240" w:lineRule="atLeast"/>
      <w:outlineLvl w:val="2"/>
    </w:pPr>
    <w:rPr>
      <w:rFonts w:eastAsia="Times New Roman" w:cs="Times New Roman"/>
      <w:b/>
      <w:bCs/>
      <w:color w:val="001871"/>
      <w:sz w:val="32"/>
      <w:szCs w:val="32"/>
    </w:rPr>
  </w:style>
  <w:style w:type="paragraph" w:styleId="Heading4">
    <w:name w:val="heading 4"/>
    <w:basedOn w:val="Normal"/>
    <w:next w:val="Normal"/>
    <w:link w:val="Heading4Char"/>
    <w:qFormat/>
    <w:rsid w:val="00F02AEC"/>
    <w:pPr>
      <w:keepNext/>
      <w:keepLines/>
      <w:spacing w:before="360" w:line="240" w:lineRule="atLeast"/>
      <w:outlineLvl w:val="3"/>
    </w:pPr>
    <w:rPr>
      <w:rFonts w:eastAsia="Cambria" w:cs="Times New Roman"/>
      <w:b/>
      <w:bCs/>
      <w:color w:val="001871"/>
      <w:sz w:val="28"/>
      <w:szCs w:val="26"/>
    </w:rPr>
  </w:style>
  <w:style w:type="paragraph" w:styleId="Heading5">
    <w:name w:val="heading 5"/>
    <w:basedOn w:val="Normal"/>
    <w:next w:val="Normal"/>
    <w:link w:val="Heading5Char"/>
    <w:uiPriority w:val="9"/>
    <w:rsid w:val="00F02AEC"/>
    <w:pPr>
      <w:keepNext/>
      <w:keepLines/>
      <w:spacing w:before="240" w:line="240" w:lineRule="atLeast"/>
      <w:outlineLvl w:val="4"/>
    </w:pPr>
    <w:rPr>
      <w:rFonts w:eastAsia="Times New Roman" w:cs="Times New Roman"/>
      <w:b/>
      <w:bCs/>
      <w:i/>
      <w:color w:val="001871"/>
      <w:sz w:val="26"/>
      <w:szCs w:val="26"/>
    </w:rPr>
  </w:style>
  <w:style w:type="paragraph" w:styleId="Heading6">
    <w:name w:val="heading 6"/>
    <w:basedOn w:val="Normal"/>
    <w:next w:val="Normal"/>
    <w:link w:val="Heading6Char"/>
    <w:uiPriority w:val="9"/>
    <w:rsid w:val="00F02AEC"/>
    <w:pPr>
      <w:keepNext/>
      <w:keepLines/>
      <w:spacing w:before="240" w:line="240" w:lineRule="atLeast"/>
      <w:outlineLvl w:val="5"/>
    </w:pPr>
    <w:rPr>
      <w:rFonts w:eastAsia="Times New Roman" w:cs="Times New Roman"/>
      <w:b/>
      <w:bCs/>
      <w:i/>
      <w:color w:val="001871"/>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TGAblue2023">
    <w:name w:val="Table TGA blue 2023"/>
    <w:basedOn w:val="TableNormal"/>
    <w:uiPriority w:val="99"/>
    <w:qFormat/>
    <w:rsid w:val="008329DB"/>
    <w:pPr>
      <w:spacing w:before="80" w:after="40" w:line="264" w:lineRule="auto"/>
      <w:ind w:left="113"/>
    </w:pPr>
    <w:rPr>
      <w:rFonts w:ascii="Arial" w:eastAsia="Cambria" w:hAnsi="Arial" w:cs="Times New Roman"/>
      <w:color w:val="000000"/>
      <w:sz w:val="18"/>
      <w:szCs w:val="21"/>
      <w:lang w:eastAsia="en-AU"/>
    </w:rPr>
    <w:tblP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Pr>
    <w:trPr>
      <w:cantSplit/>
    </w:trPr>
    <w:tcPr>
      <w:shd w:val="clear" w:color="auto" w:fill="FFFFFF" w:themeFill="background1"/>
    </w:tcPr>
    <w:tblStylePr w:type="firstRow">
      <w:pPr>
        <w:keepNext/>
        <w:wordWrap/>
      </w:pPr>
      <w:rPr>
        <w:rFonts w:ascii="Arial" w:hAnsi="Arial"/>
        <w:b/>
        <w:color w:val="263287"/>
        <w:sz w:val="22"/>
      </w:rPr>
      <w:tblPr/>
      <w:trPr>
        <w:tblHeader/>
      </w:trPr>
      <w:tcPr>
        <w:shd w:val="clear" w:color="auto" w:fill="DEEAF6" w:themeFill="accent5" w:themeFillTint="33"/>
      </w:tcPr>
    </w:tblStylePr>
    <w:tblStylePr w:type="firstCol">
      <w:pPr>
        <w:keepNext w:val="0"/>
        <w:wordWrap/>
      </w:pPr>
    </w:tblStylePr>
  </w:style>
  <w:style w:type="character" w:customStyle="1" w:styleId="Heading2Char">
    <w:name w:val="Heading 2 Char"/>
    <w:basedOn w:val="DefaultParagraphFont"/>
    <w:link w:val="Heading2"/>
    <w:rsid w:val="00F02AEC"/>
    <w:rPr>
      <w:rFonts w:ascii="Arial" w:eastAsia="Times New Roman" w:hAnsi="Arial" w:cs="Times New Roman"/>
      <w:b/>
      <w:bCs/>
      <w:color w:val="001871"/>
      <w:sz w:val="38"/>
      <w:szCs w:val="38"/>
    </w:rPr>
  </w:style>
  <w:style w:type="character" w:customStyle="1" w:styleId="Heading3Char">
    <w:name w:val="Heading 3 Char"/>
    <w:basedOn w:val="DefaultParagraphFont"/>
    <w:link w:val="Heading3"/>
    <w:rsid w:val="00F02AEC"/>
    <w:rPr>
      <w:rFonts w:ascii="Arial" w:eastAsia="Times New Roman" w:hAnsi="Arial" w:cs="Times New Roman"/>
      <w:b/>
      <w:bCs/>
      <w:color w:val="001871"/>
      <w:sz w:val="32"/>
      <w:szCs w:val="32"/>
    </w:rPr>
  </w:style>
  <w:style w:type="character" w:customStyle="1" w:styleId="Heading4Char">
    <w:name w:val="Heading 4 Char"/>
    <w:basedOn w:val="DefaultParagraphFont"/>
    <w:link w:val="Heading4"/>
    <w:rsid w:val="00F02AEC"/>
    <w:rPr>
      <w:rFonts w:ascii="Arial" w:eastAsia="Cambria" w:hAnsi="Arial" w:cs="Times New Roman"/>
      <w:b/>
      <w:bCs/>
      <w:color w:val="001871"/>
      <w:sz w:val="28"/>
      <w:szCs w:val="26"/>
    </w:rPr>
  </w:style>
  <w:style w:type="character" w:customStyle="1" w:styleId="Heading5Char">
    <w:name w:val="Heading 5 Char"/>
    <w:basedOn w:val="DefaultParagraphFont"/>
    <w:link w:val="Heading5"/>
    <w:uiPriority w:val="9"/>
    <w:rsid w:val="00F02AEC"/>
    <w:rPr>
      <w:rFonts w:ascii="Arial" w:eastAsia="Times New Roman" w:hAnsi="Arial" w:cs="Times New Roman"/>
      <w:b/>
      <w:bCs/>
      <w:i/>
      <w:color w:val="001871"/>
      <w:sz w:val="26"/>
      <w:szCs w:val="26"/>
    </w:rPr>
  </w:style>
  <w:style w:type="character" w:customStyle="1" w:styleId="Heading6Char">
    <w:name w:val="Heading 6 Char"/>
    <w:basedOn w:val="DefaultParagraphFont"/>
    <w:link w:val="Heading6"/>
    <w:uiPriority w:val="9"/>
    <w:rsid w:val="00F02AEC"/>
    <w:rPr>
      <w:rFonts w:ascii="Arial" w:eastAsia="Times New Roman" w:hAnsi="Arial" w:cs="Times New Roman"/>
      <w:b/>
      <w:bCs/>
      <w:i/>
      <w:color w:val="001871"/>
      <w:sz w:val="24"/>
      <w:szCs w:val="21"/>
    </w:rPr>
  </w:style>
  <w:style w:type="paragraph" w:styleId="Date">
    <w:name w:val="Date"/>
    <w:basedOn w:val="Normal"/>
    <w:next w:val="Normal"/>
    <w:link w:val="DateChar"/>
    <w:uiPriority w:val="99"/>
    <w:rsid w:val="00F02AEC"/>
    <w:pPr>
      <w:spacing w:before="120" w:after="0" w:line="240" w:lineRule="atLeast"/>
    </w:pPr>
    <w:rPr>
      <w:rFonts w:eastAsia="Cambria" w:cs="Times New Roman"/>
      <w:color w:val="333F4A"/>
      <w:sz w:val="28"/>
    </w:rPr>
  </w:style>
  <w:style w:type="character" w:customStyle="1" w:styleId="DateChar">
    <w:name w:val="Date Char"/>
    <w:basedOn w:val="DefaultParagraphFont"/>
    <w:link w:val="Date"/>
    <w:uiPriority w:val="99"/>
    <w:rsid w:val="00F02AEC"/>
    <w:rPr>
      <w:rFonts w:ascii="Arial" w:eastAsia="Cambria" w:hAnsi="Arial" w:cs="Times New Roman"/>
      <w:color w:val="333F4A"/>
      <w:sz w:val="28"/>
      <w:szCs w:val="20"/>
    </w:rPr>
  </w:style>
  <w:style w:type="paragraph" w:styleId="Footer">
    <w:name w:val="footer"/>
    <w:basedOn w:val="Normal"/>
    <w:link w:val="FooterChar"/>
    <w:uiPriority w:val="99"/>
    <w:rsid w:val="00F02AEC"/>
    <w:pPr>
      <w:tabs>
        <w:tab w:val="center" w:pos="4513"/>
        <w:tab w:val="right" w:pos="9026"/>
      </w:tabs>
      <w:spacing w:after="0" w:line="240" w:lineRule="auto"/>
    </w:pPr>
    <w:rPr>
      <w:rFonts w:eastAsia="Cambria" w:cs="Times New Roman"/>
      <w:color w:val="333F4A"/>
      <w:sz w:val="17"/>
    </w:rPr>
  </w:style>
  <w:style w:type="character" w:customStyle="1" w:styleId="FooterChar">
    <w:name w:val="Footer Char"/>
    <w:basedOn w:val="DefaultParagraphFont"/>
    <w:link w:val="Footer"/>
    <w:uiPriority w:val="99"/>
    <w:rsid w:val="00F02AEC"/>
    <w:rPr>
      <w:rFonts w:ascii="Arial" w:eastAsia="Cambria" w:hAnsi="Arial" w:cs="Times New Roman"/>
      <w:color w:val="333F4A"/>
      <w:sz w:val="17"/>
      <w:szCs w:val="20"/>
    </w:rPr>
  </w:style>
  <w:style w:type="paragraph" w:styleId="Header">
    <w:name w:val="header"/>
    <w:basedOn w:val="Normal"/>
    <w:link w:val="HeaderChar"/>
    <w:uiPriority w:val="99"/>
    <w:rsid w:val="00F02AEC"/>
    <w:pPr>
      <w:pBdr>
        <w:bottom w:val="single" w:sz="4" w:space="3" w:color="auto"/>
      </w:pBdr>
      <w:tabs>
        <w:tab w:val="center" w:pos="4513"/>
        <w:tab w:val="right" w:pos="9026"/>
      </w:tabs>
      <w:spacing w:after="0" w:line="240" w:lineRule="auto"/>
      <w:jc w:val="right"/>
    </w:pPr>
    <w:rPr>
      <w:rFonts w:eastAsia="Cambria" w:cs="Times New Roman"/>
      <w:color w:val="333F4A"/>
      <w:sz w:val="17"/>
    </w:rPr>
  </w:style>
  <w:style w:type="character" w:customStyle="1" w:styleId="HeaderChar">
    <w:name w:val="Header Char"/>
    <w:basedOn w:val="DefaultParagraphFont"/>
    <w:link w:val="Header"/>
    <w:uiPriority w:val="99"/>
    <w:rsid w:val="00F02AEC"/>
    <w:rPr>
      <w:rFonts w:ascii="Arial" w:eastAsia="Cambria" w:hAnsi="Arial" w:cs="Times New Roman"/>
      <w:color w:val="333F4A"/>
      <w:sz w:val="17"/>
      <w:szCs w:val="20"/>
    </w:rPr>
  </w:style>
  <w:style w:type="character" w:styleId="Hyperlink">
    <w:name w:val="Hyperlink"/>
    <w:basedOn w:val="DefaultParagraphFont"/>
    <w:uiPriority w:val="99"/>
    <w:unhideWhenUsed/>
    <w:rsid w:val="00F02AEC"/>
    <w:rPr>
      <w:rFonts w:ascii="Arial" w:hAnsi="Arial"/>
      <w:color w:val="0000FF"/>
      <w:u w:val="single"/>
    </w:rPr>
  </w:style>
  <w:style w:type="paragraph" w:customStyle="1" w:styleId="LegalCopy">
    <w:name w:val="Legal Copy"/>
    <w:basedOn w:val="Footer"/>
    <w:rsid w:val="00F02AEC"/>
  </w:style>
  <w:style w:type="paragraph" w:customStyle="1" w:styleId="LegalSubheading">
    <w:name w:val="Legal Subheading"/>
    <w:basedOn w:val="Footer"/>
    <w:rsid w:val="00F02AEC"/>
    <w:pPr>
      <w:outlineLvl w:val="1"/>
    </w:pPr>
    <w:rPr>
      <w:b/>
    </w:rPr>
  </w:style>
  <w:style w:type="paragraph" w:styleId="ListBullet">
    <w:name w:val="List Bullet"/>
    <w:basedOn w:val="Normal"/>
    <w:uiPriority w:val="2"/>
    <w:qFormat/>
    <w:rsid w:val="00F02AEC"/>
    <w:pPr>
      <w:numPr>
        <w:numId w:val="7"/>
      </w:numPr>
      <w:spacing w:before="120" w:after="180" w:line="240" w:lineRule="atLeast"/>
    </w:pPr>
    <w:rPr>
      <w:rFonts w:eastAsia="Cambria" w:cs="Times New Roman"/>
      <w:color w:val="333F48"/>
    </w:rPr>
  </w:style>
  <w:style w:type="paragraph" w:styleId="ListBullet2">
    <w:name w:val="List Bullet 2"/>
    <w:basedOn w:val="Normal"/>
    <w:uiPriority w:val="2"/>
    <w:qFormat/>
    <w:rsid w:val="00F02AEC"/>
    <w:pPr>
      <w:numPr>
        <w:ilvl w:val="1"/>
        <w:numId w:val="7"/>
      </w:numPr>
      <w:spacing w:before="120" w:after="180" w:line="240" w:lineRule="atLeast"/>
      <w:ind w:left="850" w:hanging="425"/>
    </w:pPr>
    <w:rPr>
      <w:rFonts w:eastAsia="Cambria" w:cs="Times New Roman"/>
      <w:color w:val="333F48"/>
    </w:rPr>
  </w:style>
  <w:style w:type="paragraph" w:styleId="ListBullet3">
    <w:name w:val="List Bullet 3"/>
    <w:basedOn w:val="Normal"/>
    <w:uiPriority w:val="2"/>
    <w:qFormat/>
    <w:rsid w:val="00F02AEC"/>
    <w:pPr>
      <w:numPr>
        <w:numId w:val="9"/>
      </w:numPr>
      <w:spacing w:before="120" w:after="180" w:line="240" w:lineRule="atLeast"/>
      <w:ind w:left="1276" w:hanging="425"/>
    </w:pPr>
    <w:rPr>
      <w:rFonts w:eastAsia="Cambria" w:cs="Times New Roman"/>
      <w:color w:val="333F48"/>
    </w:rPr>
  </w:style>
  <w:style w:type="numbering" w:customStyle="1" w:styleId="ListBullets">
    <w:name w:val="ListBullets"/>
    <w:uiPriority w:val="99"/>
    <w:locked/>
    <w:rsid w:val="00F02AEC"/>
    <w:pPr>
      <w:numPr>
        <w:numId w:val="7"/>
      </w:numPr>
    </w:pPr>
  </w:style>
  <w:style w:type="paragraph" w:customStyle="1" w:styleId="Numberbullet0">
    <w:name w:val="Number bullet"/>
    <w:basedOn w:val="ListBullet"/>
    <w:uiPriority w:val="3"/>
    <w:qFormat/>
    <w:rsid w:val="00B46BC0"/>
    <w:pPr>
      <w:numPr>
        <w:numId w:val="8"/>
      </w:numPr>
    </w:pPr>
  </w:style>
  <w:style w:type="paragraph" w:customStyle="1" w:styleId="Numberbullet2">
    <w:name w:val="Number bullet 2"/>
    <w:basedOn w:val="ListBullet2"/>
    <w:uiPriority w:val="3"/>
    <w:qFormat/>
    <w:rsid w:val="00F02AEC"/>
    <w:pPr>
      <w:numPr>
        <w:numId w:val="8"/>
      </w:numPr>
      <w:ind w:left="850" w:hanging="425"/>
    </w:pPr>
  </w:style>
  <w:style w:type="paragraph" w:customStyle="1" w:styleId="Numberbullet3">
    <w:name w:val="Number bullet 3"/>
    <w:basedOn w:val="Normal"/>
    <w:uiPriority w:val="3"/>
    <w:qFormat/>
    <w:rsid w:val="00F02AEC"/>
    <w:pPr>
      <w:numPr>
        <w:numId w:val="10"/>
      </w:numPr>
      <w:spacing w:before="120" w:after="180" w:line="240" w:lineRule="atLeast"/>
      <w:ind w:left="1361" w:hanging="397"/>
    </w:pPr>
    <w:rPr>
      <w:rFonts w:eastAsia="Cambria" w:cs="Times New Roman"/>
      <w:color w:val="333F48"/>
    </w:rPr>
  </w:style>
  <w:style w:type="numbering" w:customStyle="1" w:styleId="NumberBullet">
    <w:name w:val="NumberBullet"/>
    <w:uiPriority w:val="99"/>
    <w:locked/>
    <w:rsid w:val="00F02AEC"/>
    <w:pPr>
      <w:numPr>
        <w:numId w:val="8"/>
      </w:numPr>
    </w:pPr>
  </w:style>
  <w:style w:type="paragraph" w:styleId="Subtitle">
    <w:name w:val="Subtitle"/>
    <w:basedOn w:val="Normal"/>
    <w:link w:val="SubtitleChar"/>
    <w:uiPriority w:val="11"/>
    <w:rsid w:val="00F02AEC"/>
    <w:pPr>
      <w:numPr>
        <w:ilvl w:val="1"/>
      </w:numPr>
      <w:spacing w:after="0" w:line="240" w:lineRule="atLeast"/>
      <w:ind w:left="170"/>
    </w:pPr>
    <w:rPr>
      <w:rFonts w:eastAsia="Times New Roman" w:cs="Times New Roman"/>
      <w:bCs/>
      <w:iCs/>
      <w:color w:val="006BA6"/>
      <w:sz w:val="40"/>
      <w:szCs w:val="24"/>
    </w:rPr>
  </w:style>
  <w:style w:type="character" w:customStyle="1" w:styleId="SubtitleChar">
    <w:name w:val="Subtitle Char"/>
    <w:basedOn w:val="DefaultParagraphFont"/>
    <w:link w:val="Subtitle"/>
    <w:uiPriority w:val="11"/>
    <w:rsid w:val="00F02AEC"/>
    <w:rPr>
      <w:rFonts w:ascii="Arial" w:eastAsia="Times New Roman" w:hAnsi="Arial" w:cs="Times New Roman"/>
      <w:bCs/>
      <w:iCs/>
      <w:color w:val="006BA6"/>
      <w:sz w:val="40"/>
      <w:szCs w:val="24"/>
    </w:rPr>
  </w:style>
  <w:style w:type="table" w:styleId="TableGrid">
    <w:name w:val="Table Grid"/>
    <w:basedOn w:val="TableNormal"/>
    <w:uiPriority w:val="59"/>
    <w:rsid w:val="00F02AEC"/>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GASignoff">
    <w:name w:val="TGA Signoff"/>
    <w:basedOn w:val="Normal"/>
    <w:rsid w:val="00F02AEC"/>
    <w:pPr>
      <w:spacing w:before="120" w:after="360" w:line="240" w:lineRule="atLeast"/>
      <w:jc w:val="center"/>
    </w:pPr>
    <w:rPr>
      <w:rFonts w:eastAsia="Cambria" w:cs="Times New Roman"/>
      <w:b/>
      <w:color w:val="333F48"/>
      <w:sz w:val="28"/>
    </w:rPr>
  </w:style>
  <w:style w:type="paragraph" w:styleId="Title">
    <w:name w:val="Title"/>
    <w:link w:val="TitleChar"/>
    <w:uiPriority w:val="10"/>
    <w:qFormat/>
    <w:rsid w:val="00F02AEC"/>
    <w:pPr>
      <w:spacing w:line="240" w:lineRule="auto"/>
      <w:contextualSpacing/>
      <w:outlineLvl w:val="0"/>
    </w:pPr>
    <w:rPr>
      <w:rFonts w:ascii="Arial" w:eastAsia="Times New Roman" w:hAnsi="Arial" w:cs="Times New Roman"/>
      <w:color w:val="001871"/>
      <w:spacing w:val="5"/>
      <w:kern w:val="28"/>
      <w:sz w:val="52"/>
      <w:szCs w:val="52"/>
    </w:rPr>
  </w:style>
  <w:style w:type="character" w:customStyle="1" w:styleId="TitleChar">
    <w:name w:val="Title Char"/>
    <w:basedOn w:val="DefaultParagraphFont"/>
    <w:link w:val="Title"/>
    <w:uiPriority w:val="10"/>
    <w:rsid w:val="00F02AEC"/>
    <w:rPr>
      <w:rFonts w:ascii="Arial" w:eastAsia="Times New Roman" w:hAnsi="Arial" w:cs="Times New Roman"/>
      <w:color w:val="001871"/>
      <w:spacing w:val="5"/>
      <w:kern w:val="28"/>
      <w:sz w:val="52"/>
      <w:szCs w:val="52"/>
    </w:rPr>
  </w:style>
  <w:style w:type="paragraph" w:styleId="TOC1">
    <w:name w:val="toc 1"/>
    <w:basedOn w:val="Normal"/>
    <w:next w:val="Normal"/>
    <w:uiPriority w:val="39"/>
    <w:unhideWhenUsed/>
    <w:rsid w:val="00F02AEC"/>
    <w:pPr>
      <w:keepNext/>
      <w:keepLines/>
      <w:tabs>
        <w:tab w:val="right" w:leader="underscore" w:pos="8505"/>
      </w:tabs>
      <w:spacing w:before="120" w:after="200" w:line="240" w:lineRule="atLeast"/>
    </w:pPr>
    <w:rPr>
      <w:rFonts w:eastAsia="Cambria" w:cs="Times New Roman"/>
      <w:b/>
      <w:color w:val="333F48"/>
      <w:sz w:val="32"/>
    </w:rPr>
  </w:style>
  <w:style w:type="paragraph" w:styleId="TOC2">
    <w:name w:val="toc 2"/>
    <w:basedOn w:val="Normal"/>
    <w:next w:val="Normal"/>
    <w:uiPriority w:val="39"/>
    <w:unhideWhenUsed/>
    <w:rsid w:val="00F02AEC"/>
    <w:pPr>
      <w:keepNext/>
      <w:keepLines/>
      <w:tabs>
        <w:tab w:val="right" w:leader="underscore" w:pos="8505"/>
      </w:tabs>
      <w:spacing w:before="120" w:after="100" w:line="240" w:lineRule="atLeast"/>
      <w:ind w:left="425"/>
    </w:pPr>
    <w:rPr>
      <w:rFonts w:eastAsia="Cambria" w:cs="Times New Roman"/>
      <w:b/>
      <w:color w:val="333F48"/>
      <w:sz w:val="25"/>
    </w:rPr>
  </w:style>
  <w:style w:type="paragraph" w:styleId="TOC3">
    <w:name w:val="toc 3"/>
    <w:basedOn w:val="Normal"/>
    <w:next w:val="Normal"/>
    <w:uiPriority w:val="39"/>
    <w:unhideWhenUsed/>
    <w:rsid w:val="00F02AEC"/>
    <w:pPr>
      <w:keepNext/>
      <w:keepLines/>
      <w:tabs>
        <w:tab w:val="right" w:leader="hyphen" w:pos="8505"/>
      </w:tabs>
      <w:spacing w:before="120" w:after="100" w:line="240" w:lineRule="atLeast"/>
      <w:ind w:left="851"/>
    </w:pPr>
    <w:rPr>
      <w:rFonts w:eastAsia="Cambria" w:cs="Times New Roman"/>
      <w:b/>
      <w:color w:val="333F48"/>
    </w:rPr>
  </w:style>
  <w:style w:type="paragraph" w:styleId="FootnoteText">
    <w:name w:val="footnote text"/>
    <w:basedOn w:val="Normal"/>
    <w:link w:val="FootnoteTextChar"/>
    <w:rsid w:val="00F02AEC"/>
    <w:pPr>
      <w:keepLines/>
      <w:spacing w:after="0" w:line="240" w:lineRule="atLeast"/>
    </w:pPr>
    <w:rPr>
      <w:rFonts w:eastAsia="Cambria" w:cs="Times New Roman"/>
      <w:color w:val="333F48"/>
    </w:rPr>
  </w:style>
  <w:style w:type="character" w:customStyle="1" w:styleId="FootnoteTextChar">
    <w:name w:val="Footnote Text Char"/>
    <w:basedOn w:val="DefaultParagraphFont"/>
    <w:link w:val="FootnoteText"/>
    <w:rsid w:val="00F02AEC"/>
    <w:rPr>
      <w:rFonts w:ascii="Arial" w:eastAsia="Cambria" w:hAnsi="Arial" w:cs="Times New Roman"/>
      <w:color w:val="333F48"/>
      <w:sz w:val="20"/>
      <w:szCs w:val="20"/>
    </w:rPr>
  </w:style>
  <w:style w:type="character" w:styleId="FootnoteReference">
    <w:name w:val="footnote reference"/>
    <w:basedOn w:val="DefaultParagraphFont"/>
    <w:uiPriority w:val="99"/>
    <w:semiHidden/>
    <w:unhideWhenUsed/>
    <w:rsid w:val="00F02AEC"/>
    <w:rPr>
      <w:vertAlign w:val="superscript"/>
    </w:rPr>
  </w:style>
  <w:style w:type="paragraph" w:customStyle="1" w:styleId="NonTOCheading2">
    <w:name w:val="Non TOC heading 2"/>
    <w:basedOn w:val="Normal"/>
    <w:next w:val="Normal"/>
    <w:rsid w:val="00F02AEC"/>
    <w:pPr>
      <w:keepNext/>
      <w:keepLines/>
      <w:pageBreakBefore/>
      <w:spacing w:after="180" w:line="240" w:lineRule="atLeast"/>
      <w:outlineLvl w:val="1"/>
    </w:pPr>
    <w:rPr>
      <w:rFonts w:eastAsia="Cambria" w:cs="Times New Roman"/>
      <w:b/>
      <w:color w:val="001871"/>
      <w:sz w:val="38"/>
    </w:rPr>
  </w:style>
  <w:style w:type="paragraph" w:customStyle="1" w:styleId="Headernoline">
    <w:name w:val="Header no line"/>
    <w:basedOn w:val="Header"/>
    <w:rsid w:val="00F02AEC"/>
    <w:pPr>
      <w:pBdr>
        <w:bottom w:val="none" w:sz="0" w:space="0" w:color="auto"/>
      </w:pBdr>
      <w:spacing w:line="240" w:lineRule="atLeast"/>
    </w:pPr>
  </w:style>
  <w:style w:type="paragraph" w:customStyle="1" w:styleId="Tabledescription">
    <w:name w:val="Table description"/>
    <w:basedOn w:val="Normal"/>
    <w:next w:val="Normal"/>
    <w:rsid w:val="00F02AEC"/>
    <w:pPr>
      <w:spacing w:before="120" w:after="240" w:line="180" w:lineRule="atLeast"/>
    </w:pPr>
    <w:rPr>
      <w:rFonts w:eastAsia="Cambria" w:cs="Times New Roman"/>
      <w:color w:val="333F48"/>
      <w:sz w:val="18"/>
    </w:rPr>
  </w:style>
  <w:style w:type="paragraph" w:customStyle="1" w:styleId="Tabletitle">
    <w:name w:val="Table title"/>
    <w:basedOn w:val="Normal"/>
    <w:next w:val="Normal"/>
    <w:rsid w:val="00F02AEC"/>
    <w:pPr>
      <w:keepNext/>
      <w:spacing w:before="120" w:after="180" w:line="240" w:lineRule="atLeast"/>
    </w:pPr>
    <w:rPr>
      <w:rFonts w:eastAsia="Cambria" w:cs="Times New Roman"/>
      <w:b/>
      <w:color w:val="333F48"/>
    </w:rPr>
  </w:style>
  <w:style w:type="paragraph" w:customStyle="1" w:styleId="Address">
    <w:name w:val="Address"/>
    <w:basedOn w:val="Normal"/>
    <w:rsid w:val="00F02AEC"/>
    <w:pPr>
      <w:spacing w:after="0" w:line="240" w:lineRule="auto"/>
    </w:pPr>
    <w:rPr>
      <w:rFonts w:eastAsia="Cambria" w:cs="Times New Roman"/>
      <w:color w:val="333F48"/>
      <w:sz w:val="21"/>
    </w:rPr>
  </w:style>
  <w:style w:type="paragraph" w:customStyle="1" w:styleId="ListBullet-dotick">
    <w:name w:val="List Bullet - do (tick)"/>
    <w:basedOn w:val="ListBullet"/>
    <w:autoRedefine/>
    <w:uiPriority w:val="1"/>
    <w:qFormat/>
    <w:rsid w:val="00F02AEC"/>
    <w:pPr>
      <w:numPr>
        <w:numId w:val="11"/>
      </w:numPr>
      <w:tabs>
        <w:tab w:val="left" w:pos="425"/>
      </w:tabs>
    </w:pPr>
  </w:style>
  <w:style w:type="paragraph" w:customStyle="1" w:styleId="ListBullet-donotcross">
    <w:name w:val="List Bullet - do not (cross)"/>
    <w:basedOn w:val="ListBullet"/>
    <w:autoRedefine/>
    <w:uiPriority w:val="1"/>
    <w:qFormat/>
    <w:rsid w:val="00F02AEC"/>
    <w:pPr>
      <w:numPr>
        <w:numId w:val="12"/>
      </w:numPr>
      <w:ind w:left="357" w:hanging="357"/>
    </w:pPr>
    <w:rPr>
      <w:rFonts w:eastAsiaTheme="minorHAnsi" w:cstheme="minorBidi"/>
      <w:szCs w:val="22"/>
    </w:rPr>
  </w:style>
  <w:style w:type="table" w:customStyle="1" w:styleId="TGABlack2023">
    <w:name w:val="TGA Black 2023"/>
    <w:basedOn w:val="TableTGAblue2023"/>
    <w:uiPriority w:val="99"/>
    <w:rsid w:val="00FA49C3"/>
    <w:pPr>
      <w:spacing w:line="240" w:lineRule="auto"/>
    </w:pPr>
    <w:tblPr>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Pr>
    <w:tcPr>
      <w:shd w:val="clear" w:color="auto" w:fill="FFFFFF" w:themeFill="background1"/>
    </w:tcPr>
    <w:tblStylePr w:type="firstRow">
      <w:pPr>
        <w:keepNext/>
        <w:wordWrap/>
      </w:pPr>
      <w:rPr>
        <w:rFonts w:ascii="Arial" w:hAnsi="Arial"/>
        <w:b/>
        <w:color w:val="FFFFFF" w:themeColor="background1"/>
        <w:sz w:val="22"/>
      </w:rPr>
      <w:tblPr/>
      <w:trPr>
        <w:tblHeader/>
      </w:trPr>
      <w:tcPr>
        <w:shd w:val="clear" w:color="auto" w:fill="171717" w:themeFill="background2" w:themeFillShade="1A"/>
      </w:tcPr>
    </w:tblStylePr>
    <w:tblStylePr w:type="firstCol">
      <w:pPr>
        <w:keepNext w:val="0"/>
        <w:wordWrap/>
      </w:pPr>
    </w:tblStylePr>
  </w:style>
  <w:style w:type="character" w:customStyle="1" w:styleId="Heading1Char">
    <w:name w:val="Heading 1 Char"/>
    <w:basedOn w:val="DefaultParagraphFont"/>
    <w:link w:val="Heading1"/>
    <w:uiPriority w:val="9"/>
    <w:rsid w:val="00FE2E00"/>
    <w:rPr>
      <w:rFonts w:asciiTheme="majorHAnsi" w:eastAsiaTheme="majorEastAsia" w:hAnsiTheme="majorHAnsi" w:cstheme="majorBidi"/>
      <w:color w:val="2F5496" w:themeColor="accent1" w:themeShade="BF"/>
      <w:sz w:val="32"/>
      <w:szCs w:val="32"/>
    </w:rPr>
  </w:style>
  <w:style w:type="paragraph" w:customStyle="1" w:styleId="footnotedescription">
    <w:name w:val="footnote description"/>
    <w:next w:val="Normal"/>
    <w:link w:val="footnotedescriptionChar"/>
    <w:hidden/>
    <w:rsid w:val="00FE2E00"/>
    <w:pPr>
      <w:spacing w:after="0"/>
      <w:ind w:left="1"/>
    </w:pPr>
    <w:rPr>
      <w:rFonts w:ascii="Cambria" w:eastAsia="Cambria" w:hAnsi="Cambria" w:cs="Cambria"/>
      <w:color w:val="000000"/>
      <w:szCs w:val="22"/>
      <w:lang w:eastAsia="en-AU"/>
    </w:rPr>
  </w:style>
  <w:style w:type="character" w:customStyle="1" w:styleId="footnotedescriptionChar">
    <w:name w:val="footnote description Char"/>
    <w:link w:val="footnotedescription"/>
    <w:rsid w:val="00FE2E00"/>
    <w:rPr>
      <w:rFonts w:ascii="Cambria" w:eastAsia="Cambria" w:hAnsi="Cambria" w:cs="Cambria"/>
      <w:color w:val="000000"/>
      <w:szCs w:val="22"/>
      <w:lang w:eastAsia="en-AU"/>
    </w:rPr>
  </w:style>
  <w:style w:type="character" w:customStyle="1" w:styleId="footnotemark">
    <w:name w:val="footnote mark"/>
    <w:hidden/>
    <w:rsid w:val="00FE2E00"/>
    <w:rPr>
      <w:rFonts w:ascii="Cambria" w:eastAsia="Cambria" w:hAnsi="Cambria" w:cs="Cambria"/>
      <w:color w:val="000000"/>
      <w:sz w:val="20"/>
      <w:vertAlign w:val="superscript"/>
    </w:rPr>
  </w:style>
  <w:style w:type="character" w:styleId="CommentReference">
    <w:name w:val="annotation reference"/>
    <w:basedOn w:val="DefaultParagraphFont"/>
    <w:uiPriority w:val="99"/>
    <w:semiHidden/>
    <w:unhideWhenUsed/>
    <w:rsid w:val="00FE2E00"/>
    <w:rPr>
      <w:sz w:val="16"/>
      <w:szCs w:val="16"/>
    </w:rPr>
  </w:style>
  <w:style w:type="paragraph" w:styleId="CommentText">
    <w:name w:val="annotation text"/>
    <w:basedOn w:val="Normal"/>
    <w:link w:val="CommentTextChar"/>
    <w:uiPriority w:val="99"/>
    <w:unhideWhenUsed/>
    <w:rsid w:val="00FE2E00"/>
    <w:pPr>
      <w:spacing w:after="160" w:line="240" w:lineRule="auto"/>
    </w:pPr>
  </w:style>
  <w:style w:type="character" w:customStyle="1" w:styleId="CommentTextChar">
    <w:name w:val="Comment Text Char"/>
    <w:basedOn w:val="DefaultParagraphFont"/>
    <w:link w:val="CommentText"/>
    <w:uiPriority w:val="99"/>
    <w:rsid w:val="00FE2E00"/>
  </w:style>
  <w:style w:type="paragraph" w:styleId="ListParagraph">
    <w:name w:val="List Paragraph"/>
    <w:basedOn w:val="Normal"/>
    <w:uiPriority w:val="34"/>
    <w:qFormat/>
    <w:rsid w:val="00FE2E00"/>
    <w:pPr>
      <w:spacing w:after="226" w:line="248" w:lineRule="auto"/>
      <w:ind w:left="720" w:right="177" w:hanging="9"/>
      <w:contextualSpacing/>
    </w:pPr>
    <w:rPr>
      <w:rFonts w:ascii="Cambria" w:eastAsia="Cambria" w:hAnsi="Cambria" w:cs="Cambria"/>
      <w:color w:val="000000"/>
      <w:sz w:val="22"/>
      <w:szCs w:val="22"/>
      <w:lang w:eastAsia="en-AU"/>
    </w:rPr>
  </w:style>
  <w:style w:type="paragraph" w:styleId="CommentSubject">
    <w:name w:val="annotation subject"/>
    <w:basedOn w:val="CommentText"/>
    <w:next w:val="CommentText"/>
    <w:link w:val="CommentSubjectChar"/>
    <w:uiPriority w:val="99"/>
    <w:semiHidden/>
    <w:unhideWhenUsed/>
    <w:rsid w:val="00C04235"/>
    <w:pPr>
      <w:spacing w:after="120"/>
    </w:pPr>
    <w:rPr>
      <w:b/>
      <w:bCs/>
    </w:rPr>
  </w:style>
  <w:style w:type="character" w:customStyle="1" w:styleId="CommentSubjectChar">
    <w:name w:val="Comment Subject Char"/>
    <w:basedOn w:val="CommentTextChar"/>
    <w:link w:val="CommentSubject"/>
    <w:uiPriority w:val="99"/>
    <w:semiHidden/>
    <w:rsid w:val="00C04235"/>
    <w:rPr>
      <w:b/>
      <w:bCs/>
    </w:rPr>
  </w:style>
  <w:style w:type="character" w:styleId="FollowedHyperlink">
    <w:name w:val="FollowedHyperlink"/>
    <w:basedOn w:val="DefaultParagraphFont"/>
    <w:uiPriority w:val="99"/>
    <w:semiHidden/>
    <w:unhideWhenUsed/>
    <w:rsid w:val="000865B5"/>
    <w:rPr>
      <w:color w:val="954F72" w:themeColor="followedHyperlink"/>
      <w:u w:val="single"/>
    </w:rPr>
  </w:style>
  <w:style w:type="paragraph" w:styleId="Revision">
    <w:name w:val="Revision"/>
    <w:hidden/>
    <w:uiPriority w:val="99"/>
    <w:semiHidden/>
    <w:rsid w:val="00E7550B"/>
    <w:pPr>
      <w:spacing w:after="0" w:line="240" w:lineRule="auto"/>
    </w:pPr>
  </w:style>
  <w:style w:type="character" w:styleId="UnresolvedMention">
    <w:name w:val="Unresolved Mention"/>
    <w:basedOn w:val="DefaultParagraphFont"/>
    <w:uiPriority w:val="99"/>
    <w:semiHidden/>
    <w:unhideWhenUsed/>
    <w:rsid w:val="00CD47CB"/>
    <w:rPr>
      <w:color w:val="605E5C"/>
      <w:shd w:val="clear" w:color="auto" w:fill="E1DFDD"/>
    </w:rPr>
  </w:style>
  <w:style w:type="paragraph" w:styleId="NormalWeb">
    <w:name w:val="Normal (Web)"/>
    <w:basedOn w:val="Normal"/>
    <w:uiPriority w:val="99"/>
    <w:unhideWhenUsed/>
    <w:rsid w:val="00B818CC"/>
    <w:pPr>
      <w:spacing w:before="100" w:beforeAutospacing="1" w:after="100" w:afterAutospacing="1" w:line="240" w:lineRule="auto"/>
    </w:pPr>
    <w:rPr>
      <w:rFonts w:ascii="Times New Roman" w:eastAsia="Times New Roman" w:hAnsi="Times New Roman" w:cs="Times New Roman"/>
      <w:sz w:val="24"/>
      <w:szCs w:val="24"/>
      <w:lang w:eastAsia="en-AU"/>
    </w:rPr>
  </w:style>
  <w:style w:type="table" w:styleId="ListTable2-Accent4">
    <w:name w:val="List Table 2 Accent 4"/>
    <w:basedOn w:val="TableNormal"/>
    <w:uiPriority w:val="47"/>
    <w:rsid w:val="00977E53"/>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7Colorful-Accent5">
    <w:name w:val="List Table 7 Colorful Accent 5"/>
    <w:basedOn w:val="TableNormal"/>
    <w:uiPriority w:val="52"/>
    <w:rsid w:val="00977E53"/>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6Colorful-Accent5">
    <w:name w:val="List Table 6 Colorful Accent 5"/>
    <w:basedOn w:val="TableNormal"/>
    <w:uiPriority w:val="51"/>
    <w:rsid w:val="00DA3761"/>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NoSpacing">
    <w:name w:val="No Spacing"/>
    <w:uiPriority w:val="1"/>
    <w:qFormat/>
    <w:rsid w:val="00D9316E"/>
    <w:pPr>
      <w:spacing w:after="0" w:line="240" w:lineRule="auto"/>
    </w:pPr>
  </w:style>
  <w:style w:type="table" w:styleId="GridTable2-Accent5">
    <w:name w:val="Grid Table 2 Accent 5"/>
    <w:basedOn w:val="TableNormal"/>
    <w:uiPriority w:val="47"/>
    <w:rsid w:val="00D9316E"/>
    <w:pPr>
      <w:spacing w:after="0" w:line="240" w:lineRule="auto"/>
    </w:pPr>
    <w:rPr>
      <w:sz w:val="22"/>
      <w:szCs w:val="22"/>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TOCHeading">
    <w:name w:val="TOC Heading"/>
    <w:basedOn w:val="Heading1"/>
    <w:next w:val="Normal"/>
    <w:uiPriority w:val="39"/>
    <w:unhideWhenUsed/>
    <w:qFormat/>
    <w:rsid w:val="00335894"/>
    <w:pPr>
      <w:outlineLvl w:val="9"/>
    </w:pPr>
    <w:rPr>
      <w:lang w:val="en-US"/>
    </w:rPr>
  </w:style>
  <w:style w:type="paragraph" w:styleId="Caption">
    <w:name w:val="caption"/>
    <w:basedOn w:val="Normal"/>
    <w:next w:val="Normal"/>
    <w:uiPriority w:val="35"/>
    <w:unhideWhenUsed/>
    <w:qFormat/>
    <w:rsid w:val="00C41939"/>
    <w:pPr>
      <w:spacing w:after="200" w:line="240" w:lineRule="auto"/>
    </w:pPr>
    <w:rPr>
      <w:i/>
      <w:iCs/>
      <w:color w:val="44546A" w:themeColor="text2"/>
      <w:sz w:val="18"/>
      <w:szCs w:val="18"/>
    </w:rPr>
  </w:style>
  <w:style w:type="character" w:customStyle="1" w:styleId="normaltextrun">
    <w:name w:val="normaltextrun"/>
    <w:basedOn w:val="DefaultParagraphFont"/>
    <w:rsid w:val="00561927"/>
  </w:style>
  <w:style w:type="character" w:customStyle="1" w:styleId="cf01">
    <w:name w:val="cf01"/>
    <w:basedOn w:val="DefaultParagraphFont"/>
    <w:rsid w:val="00585E4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454712">
      <w:bodyDiv w:val="1"/>
      <w:marLeft w:val="0"/>
      <w:marRight w:val="0"/>
      <w:marTop w:val="0"/>
      <w:marBottom w:val="0"/>
      <w:divBdr>
        <w:top w:val="none" w:sz="0" w:space="0" w:color="auto"/>
        <w:left w:val="none" w:sz="0" w:space="0" w:color="auto"/>
        <w:bottom w:val="none" w:sz="0" w:space="0" w:color="auto"/>
        <w:right w:val="none" w:sz="0" w:space="0" w:color="auto"/>
      </w:divBdr>
    </w:div>
    <w:div w:id="567807595">
      <w:bodyDiv w:val="1"/>
      <w:marLeft w:val="0"/>
      <w:marRight w:val="0"/>
      <w:marTop w:val="0"/>
      <w:marBottom w:val="0"/>
      <w:divBdr>
        <w:top w:val="none" w:sz="0" w:space="0" w:color="auto"/>
        <w:left w:val="none" w:sz="0" w:space="0" w:color="auto"/>
        <w:bottom w:val="none" w:sz="0" w:space="0" w:color="auto"/>
        <w:right w:val="none" w:sz="0" w:space="0" w:color="auto"/>
      </w:divBdr>
    </w:div>
    <w:div w:id="602879306">
      <w:bodyDiv w:val="1"/>
      <w:marLeft w:val="0"/>
      <w:marRight w:val="0"/>
      <w:marTop w:val="0"/>
      <w:marBottom w:val="0"/>
      <w:divBdr>
        <w:top w:val="none" w:sz="0" w:space="0" w:color="auto"/>
        <w:left w:val="none" w:sz="0" w:space="0" w:color="auto"/>
        <w:bottom w:val="none" w:sz="0" w:space="0" w:color="auto"/>
        <w:right w:val="none" w:sz="0" w:space="0" w:color="auto"/>
      </w:divBdr>
    </w:div>
    <w:div w:id="749697822">
      <w:bodyDiv w:val="1"/>
      <w:marLeft w:val="0"/>
      <w:marRight w:val="0"/>
      <w:marTop w:val="0"/>
      <w:marBottom w:val="0"/>
      <w:divBdr>
        <w:top w:val="none" w:sz="0" w:space="0" w:color="auto"/>
        <w:left w:val="none" w:sz="0" w:space="0" w:color="auto"/>
        <w:bottom w:val="none" w:sz="0" w:space="0" w:color="auto"/>
        <w:right w:val="none" w:sz="0" w:space="0" w:color="auto"/>
      </w:divBdr>
    </w:div>
    <w:div w:id="975528507">
      <w:bodyDiv w:val="1"/>
      <w:marLeft w:val="0"/>
      <w:marRight w:val="0"/>
      <w:marTop w:val="0"/>
      <w:marBottom w:val="0"/>
      <w:divBdr>
        <w:top w:val="none" w:sz="0" w:space="0" w:color="auto"/>
        <w:left w:val="none" w:sz="0" w:space="0" w:color="auto"/>
        <w:bottom w:val="none" w:sz="0" w:space="0" w:color="auto"/>
        <w:right w:val="none" w:sz="0" w:space="0" w:color="auto"/>
      </w:divBdr>
    </w:div>
    <w:div w:id="1635209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4.png"/><Relationship Id="rId26" Type="http://schemas.openxmlformats.org/officeDocument/2006/relationships/hyperlink" Target="https://www.tga.gov.au/products/medical-devices/specific-types-medical-devices/tga-companion-diagnostics-cdx-list" TargetMode="External"/><Relationship Id="rId39" Type="http://schemas.openxmlformats.org/officeDocument/2006/relationships/hyperlink" Target="https://www.tga.gov.au/sites/default/files/2022-10/varying-entries-in-the-artg.pdf" TargetMode="External"/><Relationship Id="rId21" Type="http://schemas.openxmlformats.org/officeDocument/2006/relationships/hyperlink" Target="https://www.tga.gov.au/sites/default/files/ivd-application-audit.pdf" TargetMode="External"/><Relationship Id="rId34" Type="http://schemas.openxmlformats.org/officeDocument/2006/relationships/image" Target="media/image5.png"/><Relationship Id="rId42" Type="http://schemas.openxmlformats.org/officeDocument/2006/relationships/hyperlink" Target="https://www.tga.gov.au/resources/resource/guidance/regulatory-requirements-house-ivds/what-house-ivd" TargetMode="External"/><Relationship Id="rId47" Type="http://schemas.openxmlformats.org/officeDocument/2006/relationships/hyperlink" Target="https://www1.health.gov.au/internet/main/publishing.nsf/Content/health-npaac-dhaivd-2018" TargetMode="External"/><Relationship Id="rId50" Type="http://schemas.openxmlformats.org/officeDocument/2006/relationships/header" Target="header3.xml"/><Relationship Id="rId55"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legislation.gov.au/Series/F2002B00237" TargetMode="External"/><Relationship Id="rId25" Type="http://schemas.openxmlformats.org/officeDocument/2006/relationships/hyperlink" Target="https://eur-lex.europa.eu/legal-content/EN/TXT/?uri=CELEX:32017R0746" TargetMode="External"/><Relationship Id="rId33" Type="http://schemas.openxmlformats.org/officeDocument/2006/relationships/hyperlink" Target="https://www.tga.gov.au/resources/resource/guidance/what-manufacturer-needs-know-about-conformity-assessment-and-declarations-conformity-ivds/depth-information-be-provided" TargetMode="External"/><Relationship Id="rId38" Type="http://schemas.openxmlformats.org/officeDocument/2006/relationships/hyperlink" Target="https://www.tga.gov.au/resources/resource/guidance/including-ivd-medical-devices-artg" TargetMode="External"/><Relationship Id="rId46" Type="http://schemas.openxmlformats.org/officeDocument/2006/relationships/hyperlink" Target="https://www1.health.gov.au/internet/main/publishing.nsf/Content/health-npaac-dhaivd-2018" TargetMode="External"/><Relationship Id="rId2" Type="http://schemas.openxmlformats.org/officeDocument/2006/relationships/customXml" Target="../customXml/item2.xml"/><Relationship Id="rId16" Type="http://schemas.openxmlformats.org/officeDocument/2006/relationships/hyperlink" Target="https://www.tga.gov.au/resources/resource/guidance/ivd-medical-devices-definitions-links" TargetMode="External"/><Relationship Id="rId20" Type="http://schemas.openxmlformats.org/officeDocument/2006/relationships/hyperlink" Target="https://eur-lex.europa.eu/legal-content/EN/TXT/?uri=CELEX:32017R0746" TargetMode="External"/><Relationship Id="rId29" Type="http://schemas.openxmlformats.org/officeDocument/2006/relationships/hyperlink" Target="https://www.tga.gov.au/how-we-regulate/supply-therapeutic-good/supply-medical-device/medical-device-inclusion-process" TargetMode="External"/><Relationship Id="rId41" Type="http://schemas.openxmlformats.org/officeDocument/2006/relationships/hyperlink" Target="https://www.legislation.gov.au/Details/F2022L01300" TargetMode="External"/><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eur-lex.europa.eu/legal-content/EN/TXT/?uri=CELEX:32017R0746" TargetMode="External"/><Relationship Id="rId32" Type="http://schemas.openxmlformats.org/officeDocument/2006/relationships/hyperlink" Target="https://www.tga.gov.au/resources/publication/publications/clinical-evidence-guidelines-supplement-vitro-diagnostic-ivd-medical-devices" TargetMode="External"/><Relationship Id="rId37" Type="http://schemas.openxmlformats.org/officeDocument/2006/relationships/image" Target="media/image8.png"/><Relationship Id="rId40" Type="http://schemas.openxmlformats.org/officeDocument/2006/relationships/hyperlink" Target="mailto:ivds@tga.com.au" TargetMode="External"/><Relationship Id="rId45" Type="http://schemas.openxmlformats.org/officeDocument/2006/relationships/hyperlink" Target="https://www1.health.gov.au/internet/main/publishing.nsf/Content/health-npaac-dhaivd-2018" TargetMode="External"/><Relationship Id="rId53"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mailto:tga.copyright@tga.gov.au" TargetMode="External"/><Relationship Id="rId23" Type="http://schemas.openxmlformats.org/officeDocument/2006/relationships/hyperlink" Target="https://www.tga.gov.au/how-we-regulate/manufacturing/medical-devices/conformity-assessment/conformity-assessment-bodies/tga-conformity-assessment-certification/reduction-assessment-fees-medical-devices" TargetMode="External"/><Relationship Id="rId28" Type="http://schemas.openxmlformats.org/officeDocument/2006/relationships/hyperlink" Target="https://www.tga.gov.au/resources/resource/forms/prescription-medicine-registration-form" TargetMode="External"/><Relationship Id="rId36" Type="http://schemas.openxmlformats.org/officeDocument/2006/relationships/image" Target="media/image7.png"/><Relationship Id="rId49" Type="http://schemas.openxmlformats.org/officeDocument/2006/relationships/hyperlink" Target="https://www.tga.gov.au/resources/resource/guidance/regulatory-requirements-house-ivds" TargetMode="External"/><Relationship Id="rId57"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https://www.legislation.gov.au/Details/F2022L01300" TargetMode="External"/><Relationship Id="rId31" Type="http://schemas.openxmlformats.org/officeDocument/2006/relationships/hyperlink" Target="https://www.tga.gov.au/products/medical-devices/specific-types-medical-devices/tga-companion-diagnostics-cdx-list" TargetMode="External"/><Relationship Id="rId44" Type="http://schemas.openxmlformats.org/officeDocument/2006/relationships/hyperlink" Target="https://www1.health.gov.au/internet/main/publishing.nsf/Content/health-npaac-dhaivd-2018" TargetMode="External"/><Relationship Id="rId52" Type="http://schemas.openxmlformats.org/officeDocument/2006/relationships/hyperlink" Target="https://www.tga.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tga.gov.au/resources/resource/guidance/use-market-authorisation-evidence-comparable-overseas-regulators-assessment-bodies-medical-devices-including-ivds" TargetMode="External"/><Relationship Id="rId27" Type="http://schemas.openxmlformats.org/officeDocument/2006/relationships/hyperlink" Target="https://www.tga.gov.au/resources/resource/guidance/pre-submission-meetings-tga" TargetMode="External"/><Relationship Id="rId30" Type="http://schemas.openxmlformats.org/officeDocument/2006/relationships/hyperlink" Target="https://www.tga.gov.au/resources/resource/forms/essential-principles-checklist-medical-devices" TargetMode="External"/><Relationship Id="rId35" Type="http://schemas.openxmlformats.org/officeDocument/2006/relationships/image" Target="media/image6.png"/><Relationship Id="rId43" Type="http://schemas.openxmlformats.org/officeDocument/2006/relationships/hyperlink" Target="https://nata.com.au/accreditation/" TargetMode="External"/><Relationship Id="rId48" Type="http://schemas.openxmlformats.org/officeDocument/2006/relationships/hyperlink" Target="https://www.tga.gov.au/resources/publication/publications/tga-nata-mou-relating-regulation-house-ivds"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mailto:info@tga.gov.au" TargetMode="Externa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EN/TXT/PDF/?uri=CELEX:32017R0746" TargetMode="External"/><Relationship Id="rId1" Type="http://schemas.openxmlformats.org/officeDocument/2006/relationships/hyperlink" Target="https://www.fda.gov/medical-devices/vitro-diagnostics/companion-diagnostics"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4ffb5e5-f1fa-4116-807d-d70457ae6bd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48235DEAE70D845A18F08FFF3AB99F2" ma:contentTypeVersion="12" ma:contentTypeDescription="Create a new document." ma:contentTypeScope="" ma:versionID="1d3439dcda8f3f03dd8dee603ad73c10">
  <xsd:schema xmlns:xsd="http://www.w3.org/2001/XMLSchema" xmlns:xs="http://www.w3.org/2001/XMLSchema" xmlns:p="http://schemas.microsoft.com/office/2006/metadata/properties" xmlns:ns3="54ffb5e5-f1fa-4116-807d-d70457ae6bd0" xmlns:ns4="1250a2e6-388f-46ce-9b22-fa9fb661c6cf" targetNamespace="http://schemas.microsoft.com/office/2006/metadata/properties" ma:root="true" ma:fieldsID="25ae9f21cbc3bb900b11fb7e6b6941f0" ns3:_="" ns4:_="">
    <xsd:import namespace="54ffb5e5-f1fa-4116-807d-d70457ae6bd0"/>
    <xsd:import namespace="1250a2e6-388f-46ce-9b22-fa9fb661c6cf"/>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ffb5e5-f1fa-4116-807d-d70457ae6b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50a2e6-388f-46ce-9b22-fa9fb661c6c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DB1F20-95A0-4965-9D2B-2737BED19A6A}">
  <ds:schemaRefs>
    <ds:schemaRef ds:uri="http://schemas.microsoft.com/office/2006/metadata/properties"/>
    <ds:schemaRef ds:uri="http://schemas.microsoft.com/office/infopath/2007/PartnerControls"/>
    <ds:schemaRef ds:uri="54ffb5e5-f1fa-4116-807d-d70457ae6bd0"/>
  </ds:schemaRefs>
</ds:datastoreItem>
</file>

<file path=customXml/itemProps2.xml><?xml version="1.0" encoding="utf-8"?>
<ds:datastoreItem xmlns:ds="http://schemas.openxmlformats.org/officeDocument/2006/customXml" ds:itemID="{66560C78-51E3-45D4-BEC6-DE2234BA1B6B}">
  <ds:schemaRefs>
    <ds:schemaRef ds:uri="http://schemas.microsoft.com/sharepoint/v3/contenttype/forms"/>
  </ds:schemaRefs>
</ds:datastoreItem>
</file>

<file path=customXml/itemProps3.xml><?xml version="1.0" encoding="utf-8"?>
<ds:datastoreItem xmlns:ds="http://schemas.openxmlformats.org/officeDocument/2006/customXml" ds:itemID="{4F80E9DC-C05F-4037-9E28-E2B1AEE91729}">
  <ds:schemaRefs>
    <ds:schemaRef ds:uri="http://schemas.openxmlformats.org/officeDocument/2006/bibliography"/>
  </ds:schemaRefs>
</ds:datastoreItem>
</file>

<file path=customXml/itemProps4.xml><?xml version="1.0" encoding="utf-8"?>
<ds:datastoreItem xmlns:ds="http://schemas.openxmlformats.org/officeDocument/2006/customXml" ds:itemID="{A7D73741-850A-4060-9D8A-6CB7C9BE37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ffb5e5-f1fa-4116-807d-d70457ae6bd0"/>
    <ds:schemaRef ds:uri="1250a2e6-388f-46ce-9b22-fa9fb661c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7742</Words>
  <Characters>44132</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 Amina</dc:creator>
  <cp:keywords/>
  <dc:description/>
  <cp:lastModifiedBy>AHMAD, Amina</cp:lastModifiedBy>
  <cp:revision>2</cp:revision>
  <cp:lastPrinted>2023-11-10T04:06:00Z</cp:lastPrinted>
  <dcterms:created xsi:type="dcterms:W3CDTF">2024-03-14T22:58:00Z</dcterms:created>
  <dcterms:modified xsi:type="dcterms:W3CDTF">2024-03-14T22:58:00Z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850223-87a8-40c3-9eb2-432606efca2a_Enabled">
    <vt:lpwstr>true</vt:lpwstr>
  </property>
  <property fmtid="{D5CDD505-2E9C-101B-9397-08002B2CF9AE}" pid="3" name="MSIP_Label_7f850223-87a8-40c3-9eb2-432606efca2a_SetDate">
    <vt:lpwstr>2023-12-06T14:11:21Z</vt:lpwstr>
  </property>
  <property fmtid="{D5CDD505-2E9C-101B-9397-08002B2CF9AE}" pid="4" name="MSIP_Label_7f850223-87a8-40c3-9eb2-432606efca2a_Method">
    <vt:lpwstr>Standard</vt:lpwstr>
  </property>
  <property fmtid="{D5CDD505-2E9C-101B-9397-08002B2CF9AE}" pid="5" name="MSIP_Label_7f850223-87a8-40c3-9eb2-432606efca2a_Name">
    <vt:lpwstr>7f850223-87a8-40c3-9eb2-432606efca2a</vt:lpwstr>
  </property>
  <property fmtid="{D5CDD505-2E9C-101B-9397-08002B2CF9AE}" pid="6" name="MSIP_Label_7f850223-87a8-40c3-9eb2-432606efca2a_SiteId">
    <vt:lpwstr>fcb2b37b-5da0-466b-9b83-0014b67a7c78</vt:lpwstr>
  </property>
  <property fmtid="{D5CDD505-2E9C-101B-9397-08002B2CF9AE}" pid="7" name="MSIP_Label_7f850223-87a8-40c3-9eb2-432606efca2a_ActionId">
    <vt:lpwstr>64d32a73-7304-401a-a8ed-4c546f43643e</vt:lpwstr>
  </property>
  <property fmtid="{D5CDD505-2E9C-101B-9397-08002B2CF9AE}" pid="8" name="MSIP_Label_7f850223-87a8-40c3-9eb2-432606efca2a_ContentBits">
    <vt:lpwstr>0</vt:lpwstr>
  </property>
  <property fmtid="{D5CDD505-2E9C-101B-9397-08002B2CF9AE}" pid="9" name="ContentTypeId">
    <vt:lpwstr>0x010100448235DEAE70D845A18F08FFF3AB99F2</vt:lpwstr>
  </property>
</Properties>
</file>