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E43CB" w:rsidRPr="00FE7659" w14:paraId="6A73E00F" w14:textId="77777777" w:rsidTr="000E43CB">
        <w:tc>
          <w:tcPr>
            <w:tcW w:w="8504" w:type="dxa"/>
          </w:tcPr>
          <w:p w14:paraId="1F1457AA" w14:textId="565EEE46" w:rsidR="000E43CB" w:rsidRPr="00FE7659" w:rsidRDefault="00936247" w:rsidP="00ED0C8B">
            <w:pPr>
              <w:pStyle w:val="Title"/>
              <w:rPr>
                <w:rFonts w:cs="Arial"/>
              </w:rPr>
            </w:pPr>
            <w:r w:rsidRPr="00FE7659">
              <w:rPr>
                <w:rFonts w:cs="Arial"/>
                <w:sz w:val="48"/>
                <w:szCs w:val="48"/>
              </w:rPr>
              <w:t xml:space="preserve">Boundary and </w:t>
            </w:r>
            <w:r w:rsidR="00D8113C">
              <w:rPr>
                <w:rFonts w:cs="Arial"/>
                <w:sz w:val="48"/>
                <w:szCs w:val="48"/>
              </w:rPr>
              <w:t>c</w:t>
            </w:r>
            <w:r w:rsidRPr="00FE7659">
              <w:rPr>
                <w:rFonts w:cs="Arial"/>
                <w:sz w:val="48"/>
                <w:szCs w:val="48"/>
              </w:rPr>
              <w:t xml:space="preserve">ombination </w:t>
            </w:r>
            <w:r w:rsidR="00D8113C">
              <w:rPr>
                <w:rFonts w:cs="Arial"/>
                <w:sz w:val="48"/>
                <w:szCs w:val="48"/>
              </w:rPr>
              <w:t>p</w:t>
            </w:r>
            <w:r w:rsidRPr="00FE7659">
              <w:rPr>
                <w:rFonts w:cs="Arial"/>
                <w:sz w:val="48"/>
                <w:szCs w:val="48"/>
              </w:rPr>
              <w:t>roducts</w:t>
            </w:r>
          </w:p>
        </w:tc>
      </w:tr>
      <w:tr w:rsidR="000E43CB" w:rsidRPr="00FE7659" w14:paraId="1FB952F9" w14:textId="77777777" w:rsidTr="000E43CB">
        <w:trPr>
          <w:trHeight w:val="1387"/>
        </w:trPr>
        <w:tc>
          <w:tcPr>
            <w:tcW w:w="8504" w:type="dxa"/>
          </w:tcPr>
          <w:p w14:paraId="10AD7F37" w14:textId="08DDE6E8" w:rsidR="00936247" w:rsidRPr="00FE7659" w:rsidRDefault="00936247" w:rsidP="00936247">
            <w:pPr>
              <w:pStyle w:val="Subtitle"/>
              <w:ind w:left="0"/>
              <w:rPr>
                <w:rFonts w:cs="Arial"/>
              </w:rPr>
            </w:pPr>
            <w:r w:rsidRPr="00FE7659">
              <w:rPr>
                <w:rFonts w:cs="Arial"/>
              </w:rPr>
              <w:t xml:space="preserve">Consultation on </w:t>
            </w:r>
            <w:r w:rsidR="00E9215C">
              <w:rPr>
                <w:rFonts w:cs="Arial"/>
              </w:rPr>
              <w:t>legislating regulatory categories</w:t>
            </w:r>
          </w:p>
          <w:p w14:paraId="71CC9936" w14:textId="6AF62A8F" w:rsidR="000E43CB" w:rsidRPr="00FE7659" w:rsidRDefault="000E43CB" w:rsidP="00ED0C8B">
            <w:pPr>
              <w:pStyle w:val="Subtitle"/>
              <w:ind w:left="0"/>
              <w:rPr>
                <w:rFonts w:cs="Arial"/>
              </w:rPr>
            </w:pPr>
          </w:p>
          <w:p w14:paraId="511EA553" w14:textId="3D7439CA" w:rsidR="000E43CB" w:rsidRPr="00FE7659" w:rsidRDefault="000E43CB" w:rsidP="000E43CB">
            <w:pPr>
              <w:rPr>
                <w:rFonts w:cs="Arial"/>
              </w:rPr>
            </w:pPr>
            <w:r w:rsidRPr="00FE7659">
              <w:rPr>
                <w:rFonts w:cs="Arial"/>
              </w:rPr>
              <w:t>Version 1.0,</w:t>
            </w:r>
            <w:r w:rsidR="00F45F9A">
              <w:rPr>
                <w:rFonts w:cs="Arial"/>
              </w:rPr>
              <w:t xml:space="preserve"> June</w:t>
            </w:r>
            <w:r w:rsidR="00936247" w:rsidRPr="00FE7659">
              <w:rPr>
                <w:rFonts w:cs="Arial"/>
              </w:rPr>
              <w:t xml:space="preserve"> 2024</w:t>
            </w:r>
          </w:p>
        </w:tc>
      </w:tr>
    </w:tbl>
    <w:p w14:paraId="23B0CA90" w14:textId="77777777" w:rsidR="000E43CB" w:rsidRPr="00FE7659" w:rsidRDefault="000E43CB" w:rsidP="0054583D">
      <w:pPr>
        <w:rPr>
          <w:rFonts w:cs="Arial"/>
          <w:lang w:eastAsia="en-AU"/>
        </w:rPr>
        <w:sectPr w:rsidR="000E43CB" w:rsidRPr="00FE7659" w:rsidSect="00F333F0">
          <w:headerReference w:type="even" r:id="rId7"/>
          <w:headerReference w:type="default" r:id="rId8"/>
          <w:footerReference w:type="even" r:id="rId9"/>
          <w:footerReference w:type="default" r:id="rId10"/>
          <w:headerReference w:type="first" r:id="rId11"/>
          <w:footerReference w:type="first" r:id="rId12"/>
          <w:pgSz w:w="11906" w:h="16838" w:code="9"/>
          <w:pgMar w:top="13571" w:right="1701" w:bottom="567" w:left="1701" w:header="1134" w:footer="788" w:gutter="0"/>
          <w:cols w:space="708"/>
          <w:titlePg/>
          <w:docGrid w:linePitch="360"/>
        </w:sectPr>
      </w:pPr>
    </w:p>
    <w:p w14:paraId="5057C151" w14:textId="77777777" w:rsidR="000E43CB" w:rsidRPr="00FE7659" w:rsidRDefault="000E43CB" w:rsidP="00FE1941">
      <w:pPr>
        <w:pStyle w:val="LegalSubheading"/>
        <w:pageBreakBefore/>
        <w:rPr>
          <w:rFonts w:cs="Arial"/>
        </w:rPr>
      </w:pPr>
      <w:r w:rsidRPr="00FE7659">
        <w:rPr>
          <w:rFonts w:cs="Arial"/>
        </w:rPr>
        <w:lastRenderedPageBreak/>
        <w:t>Copyright</w:t>
      </w:r>
    </w:p>
    <w:p w14:paraId="51A01372" w14:textId="65010385" w:rsidR="000E43CB" w:rsidRPr="00FE7659" w:rsidRDefault="000E43CB" w:rsidP="00FE1941">
      <w:pPr>
        <w:pStyle w:val="LegalCopy"/>
        <w:rPr>
          <w:rFonts w:cs="Arial"/>
        </w:rPr>
      </w:pPr>
      <w:r w:rsidRPr="00FE7659">
        <w:rPr>
          <w:rFonts w:cs="Arial"/>
        </w:rPr>
        <w:t xml:space="preserve">© Commonwealth of Australia </w:t>
      </w:r>
      <w:r w:rsidR="00152357" w:rsidRPr="00FE7659">
        <w:rPr>
          <w:rFonts w:cs="Arial"/>
        </w:rPr>
        <w:t>202</w:t>
      </w:r>
      <w:r w:rsidR="00152357">
        <w:rPr>
          <w:rFonts w:cs="Arial"/>
        </w:rPr>
        <w:t>4</w:t>
      </w:r>
      <w:r w:rsidRPr="00FE7659">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E7659">
        <w:rPr>
          <w:rFonts w:cs="Arial"/>
          <w:i/>
        </w:rPr>
        <w:t>Copyright Act 1968</w:t>
      </w:r>
      <w:r w:rsidRPr="00FE7659">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FE7659">
          <w:rPr>
            <w:rStyle w:val="Hyperlink"/>
            <w:rFonts w:cs="Arial"/>
          </w:rPr>
          <w:t>tga.copyright@tga.gov.au</w:t>
        </w:r>
      </w:hyperlink>
      <w:r w:rsidRPr="00FE7659">
        <w:rPr>
          <w:rFonts w:cs="Arial"/>
        </w:rPr>
        <w:t>&gt;.</w:t>
      </w:r>
    </w:p>
    <w:p w14:paraId="3FA2E90B" w14:textId="77777777" w:rsidR="00D97D6C" w:rsidRDefault="00D97D6C" w:rsidP="00611B57">
      <w:pPr>
        <w:pStyle w:val="LegalSubheading"/>
        <w:rPr>
          <w:rFonts w:cs="Arial"/>
        </w:rPr>
      </w:pPr>
    </w:p>
    <w:p w14:paraId="0516E026" w14:textId="5F4D9D93" w:rsidR="000E43CB" w:rsidRPr="00FE7659" w:rsidRDefault="000E43CB" w:rsidP="00611B57">
      <w:pPr>
        <w:pStyle w:val="LegalSubheading"/>
        <w:rPr>
          <w:rFonts w:cs="Arial"/>
        </w:rPr>
      </w:pPr>
      <w:r w:rsidRPr="00FE7659">
        <w:rPr>
          <w:rFonts w:cs="Arial"/>
        </w:rPr>
        <w:t>Confidentiality</w:t>
      </w:r>
    </w:p>
    <w:p w14:paraId="59A1BC36" w14:textId="77777777" w:rsidR="000E43CB" w:rsidRPr="00FE7659" w:rsidRDefault="000E43CB" w:rsidP="003204DD">
      <w:pPr>
        <w:pStyle w:val="LegalCopy"/>
        <w:rPr>
          <w:rFonts w:cs="Arial"/>
        </w:rPr>
      </w:pPr>
      <w:r w:rsidRPr="00FE7659">
        <w:rPr>
          <w:rFonts w:cs="Arial"/>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0" w:name="_Toc323738670"/>
    </w:p>
    <w:sdt>
      <w:sdtPr>
        <w:rPr>
          <w:rFonts w:eastAsiaTheme="minorHAnsi" w:cs="Arial"/>
          <w:b w:val="0"/>
          <w:color w:val="auto"/>
          <w:sz w:val="22"/>
        </w:rPr>
        <w:id w:val="3701955"/>
        <w:docPartObj>
          <w:docPartGallery w:val="Table of Contents"/>
          <w:docPartUnique/>
        </w:docPartObj>
      </w:sdtPr>
      <w:sdtEndPr>
        <w:rPr>
          <w:sz w:val="20"/>
        </w:rPr>
      </w:sdtEndPr>
      <w:sdtContent>
        <w:p w14:paraId="2CBE5C7A" w14:textId="77777777" w:rsidR="000E43CB" w:rsidRPr="00C00A7E" w:rsidRDefault="000E43CB" w:rsidP="00B92C72">
          <w:pPr>
            <w:pStyle w:val="NonTOCheading2"/>
            <w:rPr>
              <w:rFonts w:cs="Arial"/>
            </w:rPr>
          </w:pPr>
          <w:r w:rsidRPr="00FE7659">
            <w:rPr>
              <w:rFonts w:cs="Arial"/>
            </w:rPr>
            <w:t>Contents</w:t>
          </w:r>
        </w:p>
        <w:p w14:paraId="5FCD92EC" w14:textId="5C6DE062" w:rsidR="00A33B2B" w:rsidRDefault="000E43CB">
          <w:pPr>
            <w:pStyle w:val="TOC1"/>
            <w:rPr>
              <w:rFonts w:asciiTheme="minorHAnsi" w:eastAsiaTheme="minorEastAsia" w:hAnsiTheme="minorHAnsi" w:cstheme="minorBidi"/>
              <w:b w:val="0"/>
              <w:noProof/>
              <w:color w:val="auto"/>
              <w:kern w:val="2"/>
              <w:sz w:val="22"/>
              <w:szCs w:val="22"/>
              <w:lang w:eastAsia="en-AU"/>
              <w14:ligatures w14:val="standardContextual"/>
            </w:rPr>
          </w:pPr>
          <w:r w:rsidRPr="00FE7659">
            <w:rPr>
              <w:rFonts w:cs="Arial"/>
            </w:rPr>
            <w:fldChar w:fldCharType="begin"/>
          </w:r>
          <w:r w:rsidRPr="00FE7659">
            <w:rPr>
              <w:rFonts w:cs="Arial"/>
            </w:rPr>
            <w:instrText xml:space="preserve"> TOC \h \z \u \t "Heading 2,1,Heading 3,2,Heading 4,3" </w:instrText>
          </w:r>
          <w:r w:rsidRPr="00FE7659">
            <w:rPr>
              <w:rFonts w:cs="Arial"/>
            </w:rPr>
            <w:fldChar w:fldCharType="separate"/>
          </w:r>
          <w:hyperlink w:anchor="_Toc169171052" w:history="1">
            <w:r w:rsidR="00A33B2B" w:rsidRPr="00A41C16">
              <w:rPr>
                <w:rStyle w:val="Hyperlink"/>
                <w:rFonts w:cs="Arial"/>
                <w:noProof/>
              </w:rPr>
              <w:t>About</w:t>
            </w:r>
            <w:r w:rsidR="00A33B2B">
              <w:rPr>
                <w:noProof/>
                <w:webHidden/>
              </w:rPr>
              <w:tab/>
            </w:r>
            <w:r w:rsidR="00A33B2B">
              <w:rPr>
                <w:noProof/>
                <w:webHidden/>
              </w:rPr>
              <w:fldChar w:fldCharType="begin"/>
            </w:r>
            <w:r w:rsidR="00A33B2B">
              <w:rPr>
                <w:noProof/>
                <w:webHidden/>
              </w:rPr>
              <w:instrText xml:space="preserve"> PAGEREF _Toc169171052 \h </w:instrText>
            </w:r>
            <w:r w:rsidR="00A33B2B">
              <w:rPr>
                <w:noProof/>
                <w:webHidden/>
              </w:rPr>
            </w:r>
            <w:r w:rsidR="00A33B2B">
              <w:rPr>
                <w:noProof/>
                <w:webHidden/>
              </w:rPr>
              <w:fldChar w:fldCharType="separate"/>
            </w:r>
            <w:r w:rsidR="00A33B2B">
              <w:rPr>
                <w:noProof/>
                <w:webHidden/>
              </w:rPr>
              <w:t>4</w:t>
            </w:r>
            <w:r w:rsidR="00A33B2B">
              <w:rPr>
                <w:noProof/>
                <w:webHidden/>
              </w:rPr>
              <w:fldChar w:fldCharType="end"/>
            </w:r>
          </w:hyperlink>
        </w:p>
        <w:p w14:paraId="6C8A63D0" w14:textId="67F20004" w:rsidR="00A33B2B" w:rsidRDefault="0098185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171053" w:history="1">
            <w:r w:rsidR="00A33B2B" w:rsidRPr="00A41C16">
              <w:rPr>
                <w:rStyle w:val="Hyperlink"/>
                <w:noProof/>
              </w:rPr>
              <w:t>Background</w:t>
            </w:r>
            <w:r w:rsidR="00A33B2B">
              <w:rPr>
                <w:noProof/>
                <w:webHidden/>
              </w:rPr>
              <w:tab/>
            </w:r>
            <w:r w:rsidR="00A33B2B">
              <w:rPr>
                <w:noProof/>
                <w:webHidden/>
              </w:rPr>
              <w:fldChar w:fldCharType="begin"/>
            </w:r>
            <w:r w:rsidR="00A33B2B">
              <w:rPr>
                <w:noProof/>
                <w:webHidden/>
              </w:rPr>
              <w:instrText xml:space="preserve"> PAGEREF _Toc169171053 \h </w:instrText>
            </w:r>
            <w:r w:rsidR="00A33B2B">
              <w:rPr>
                <w:noProof/>
                <w:webHidden/>
              </w:rPr>
            </w:r>
            <w:r w:rsidR="00A33B2B">
              <w:rPr>
                <w:noProof/>
                <w:webHidden/>
              </w:rPr>
              <w:fldChar w:fldCharType="separate"/>
            </w:r>
            <w:r w:rsidR="00A33B2B">
              <w:rPr>
                <w:noProof/>
                <w:webHidden/>
              </w:rPr>
              <w:t>4</w:t>
            </w:r>
            <w:r w:rsidR="00A33B2B">
              <w:rPr>
                <w:noProof/>
                <w:webHidden/>
              </w:rPr>
              <w:fldChar w:fldCharType="end"/>
            </w:r>
          </w:hyperlink>
        </w:p>
        <w:p w14:paraId="14241AFA" w14:textId="57ECAAC0" w:rsidR="00A33B2B" w:rsidRDefault="00981854">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9171054" w:history="1">
            <w:r w:rsidR="00A33B2B" w:rsidRPr="00A41C16">
              <w:rPr>
                <w:rStyle w:val="Hyperlink"/>
                <w:rFonts w:cs="Arial"/>
                <w:noProof/>
              </w:rPr>
              <w:t>Previous consultation and outcomes</w:t>
            </w:r>
            <w:r w:rsidR="00A33B2B">
              <w:rPr>
                <w:noProof/>
                <w:webHidden/>
              </w:rPr>
              <w:tab/>
            </w:r>
            <w:r w:rsidR="00A33B2B">
              <w:rPr>
                <w:noProof/>
                <w:webHidden/>
              </w:rPr>
              <w:fldChar w:fldCharType="begin"/>
            </w:r>
            <w:r w:rsidR="00A33B2B">
              <w:rPr>
                <w:noProof/>
                <w:webHidden/>
              </w:rPr>
              <w:instrText xml:space="preserve"> PAGEREF _Toc169171054 \h </w:instrText>
            </w:r>
            <w:r w:rsidR="00A33B2B">
              <w:rPr>
                <w:noProof/>
                <w:webHidden/>
              </w:rPr>
            </w:r>
            <w:r w:rsidR="00A33B2B">
              <w:rPr>
                <w:noProof/>
                <w:webHidden/>
              </w:rPr>
              <w:fldChar w:fldCharType="separate"/>
            </w:r>
            <w:r w:rsidR="00A33B2B">
              <w:rPr>
                <w:noProof/>
                <w:webHidden/>
              </w:rPr>
              <w:t>4</w:t>
            </w:r>
            <w:r w:rsidR="00A33B2B">
              <w:rPr>
                <w:noProof/>
                <w:webHidden/>
              </w:rPr>
              <w:fldChar w:fldCharType="end"/>
            </w:r>
          </w:hyperlink>
        </w:p>
        <w:p w14:paraId="482B9866" w14:textId="1F9FDF4F" w:rsidR="00A33B2B" w:rsidRDefault="00981854">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9171055" w:history="1">
            <w:r w:rsidR="00A33B2B" w:rsidRPr="00A41C16">
              <w:rPr>
                <w:rStyle w:val="Hyperlink"/>
                <w:rFonts w:cs="Arial"/>
                <w:noProof/>
              </w:rPr>
              <w:t>Consultation</w:t>
            </w:r>
            <w:r w:rsidR="00A33B2B">
              <w:rPr>
                <w:noProof/>
                <w:webHidden/>
              </w:rPr>
              <w:tab/>
            </w:r>
            <w:r w:rsidR="00A33B2B">
              <w:rPr>
                <w:noProof/>
                <w:webHidden/>
              </w:rPr>
              <w:fldChar w:fldCharType="begin"/>
            </w:r>
            <w:r w:rsidR="00A33B2B">
              <w:rPr>
                <w:noProof/>
                <w:webHidden/>
              </w:rPr>
              <w:instrText xml:space="preserve"> PAGEREF _Toc169171055 \h </w:instrText>
            </w:r>
            <w:r w:rsidR="00A33B2B">
              <w:rPr>
                <w:noProof/>
                <w:webHidden/>
              </w:rPr>
            </w:r>
            <w:r w:rsidR="00A33B2B">
              <w:rPr>
                <w:noProof/>
                <w:webHidden/>
              </w:rPr>
              <w:fldChar w:fldCharType="separate"/>
            </w:r>
            <w:r w:rsidR="00A33B2B">
              <w:rPr>
                <w:noProof/>
                <w:webHidden/>
              </w:rPr>
              <w:t>5</w:t>
            </w:r>
            <w:r w:rsidR="00A33B2B">
              <w:rPr>
                <w:noProof/>
                <w:webHidden/>
              </w:rPr>
              <w:fldChar w:fldCharType="end"/>
            </w:r>
          </w:hyperlink>
        </w:p>
        <w:p w14:paraId="4B826801" w14:textId="39336089" w:rsidR="00A33B2B" w:rsidRDefault="0098185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71056" w:history="1">
            <w:r w:rsidR="00A33B2B" w:rsidRPr="00A41C16">
              <w:rPr>
                <w:rStyle w:val="Hyperlink"/>
                <w:rFonts w:cs="Arial"/>
                <w:noProof/>
              </w:rPr>
              <w:t>Proposal 1: Legislating regulatory categories</w:t>
            </w:r>
            <w:r w:rsidR="00A33B2B">
              <w:rPr>
                <w:noProof/>
                <w:webHidden/>
              </w:rPr>
              <w:tab/>
            </w:r>
            <w:r w:rsidR="00A33B2B">
              <w:rPr>
                <w:noProof/>
                <w:webHidden/>
              </w:rPr>
              <w:fldChar w:fldCharType="begin"/>
            </w:r>
            <w:r w:rsidR="00A33B2B">
              <w:rPr>
                <w:noProof/>
                <w:webHidden/>
              </w:rPr>
              <w:instrText xml:space="preserve"> PAGEREF _Toc169171056 \h </w:instrText>
            </w:r>
            <w:r w:rsidR="00A33B2B">
              <w:rPr>
                <w:noProof/>
                <w:webHidden/>
              </w:rPr>
            </w:r>
            <w:r w:rsidR="00A33B2B">
              <w:rPr>
                <w:noProof/>
                <w:webHidden/>
              </w:rPr>
              <w:fldChar w:fldCharType="separate"/>
            </w:r>
            <w:r w:rsidR="00A33B2B">
              <w:rPr>
                <w:noProof/>
                <w:webHidden/>
              </w:rPr>
              <w:t>5</w:t>
            </w:r>
            <w:r w:rsidR="00A33B2B">
              <w:rPr>
                <w:noProof/>
                <w:webHidden/>
              </w:rPr>
              <w:fldChar w:fldCharType="end"/>
            </w:r>
          </w:hyperlink>
        </w:p>
        <w:p w14:paraId="64DCDE3B" w14:textId="4DBCEAF3" w:rsidR="00A33B2B" w:rsidRDefault="0098185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9171057" w:history="1">
            <w:r w:rsidR="00A33B2B" w:rsidRPr="00A41C16">
              <w:rPr>
                <w:rStyle w:val="Hyperlink"/>
                <w:rFonts w:cs="Arial"/>
                <w:noProof/>
              </w:rPr>
              <w:t>Proposal 2: Other products</w:t>
            </w:r>
            <w:r w:rsidR="00A33B2B">
              <w:rPr>
                <w:noProof/>
                <w:webHidden/>
              </w:rPr>
              <w:tab/>
            </w:r>
            <w:r w:rsidR="00A33B2B">
              <w:rPr>
                <w:noProof/>
                <w:webHidden/>
              </w:rPr>
              <w:fldChar w:fldCharType="begin"/>
            </w:r>
            <w:r w:rsidR="00A33B2B">
              <w:rPr>
                <w:noProof/>
                <w:webHidden/>
              </w:rPr>
              <w:instrText xml:space="preserve"> PAGEREF _Toc169171057 \h </w:instrText>
            </w:r>
            <w:r w:rsidR="00A33B2B">
              <w:rPr>
                <w:noProof/>
                <w:webHidden/>
              </w:rPr>
            </w:r>
            <w:r w:rsidR="00A33B2B">
              <w:rPr>
                <w:noProof/>
                <w:webHidden/>
              </w:rPr>
              <w:fldChar w:fldCharType="separate"/>
            </w:r>
            <w:r w:rsidR="00A33B2B">
              <w:rPr>
                <w:noProof/>
                <w:webHidden/>
              </w:rPr>
              <w:t>9</w:t>
            </w:r>
            <w:r w:rsidR="00A33B2B">
              <w:rPr>
                <w:noProof/>
                <w:webHidden/>
              </w:rPr>
              <w:fldChar w:fldCharType="end"/>
            </w:r>
          </w:hyperlink>
        </w:p>
        <w:p w14:paraId="51ADD89E" w14:textId="08465E8B" w:rsidR="000E43CB" w:rsidRPr="00FE7659" w:rsidRDefault="000E43CB" w:rsidP="0023397F">
          <w:pPr>
            <w:rPr>
              <w:rFonts w:cs="Arial"/>
            </w:rPr>
          </w:pPr>
          <w:r w:rsidRPr="00FE7659">
            <w:rPr>
              <w:rFonts w:cs="Arial"/>
            </w:rPr>
            <w:fldChar w:fldCharType="end"/>
          </w:r>
        </w:p>
      </w:sdtContent>
    </w:sdt>
    <w:p w14:paraId="155BF92C" w14:textId="77777777" w:rsidR="000E43CB" w:rsidRPr="00FE7659" w:rsidRDefault="000E43CB" w:rsidP="008A07FF">
      <w:pPr>
        <w:rPr>
          <w:rFonts w:cs="Arial"/>
        </w:rPr>
      </w:pPr>
      <w:r w:rsidRPr="00FE7659">
        <w:rPr>
          <w:rFonts w:cs="Arial"/>
        </w:rPr>
        <w:br w:type="page"/>
      </w:r>
    </w:p>
    <w:p w14:paraId="0551EC84" w14:textId="3A4AF675" w:rsidR="00936247" w:rsidRPr="00FE7659" w:rsidRDefault="008763AA" w:rsidP="00936247">
      <w:pPr>
        <w:pStyle w:val="Heading2"/>
        <w:rPr>
          <w:rFonts w:cs="Arial"/>
        </w:rPr>
      </w:pPr>
      <w:bookmarkStart w:id="1" w:name="_Toc169171052"/>
      <w:bookmarkEnd w:id="0"/>
      <w:r>
        <w:rPr>
          <w:rFonts w:cs="Arial"/>
        </w:rPr>
        <w:lastRenderedPageBreak/>
        <w:t>About</w:t>
      </w:r>
      <w:bookmarkEnd w:id="1"/>
    </w:p>
    <w:p w14:paraId="3EC353D3" w14:textId="6775F4CF" w:rsidR="008763AA" w:rsidRDefault="00936247" w:rsidP="00936247">
      <w:pPr>
        <w:rPr>
          <w:rFonts w:cs="Arial"/>
        </w:rPr>
      </w:pPr>
      <w:r w:rsidRPr="00B35ECC">
        <w:rPr>
          <w:rFonts w:cs="Arial"/>
        </w:rPr>
        <w:t xml:space="preserve">The Australian Government is undertaking significant reforms to </w:t>
      </w:r>
      <w:r w:rsidR="00E96F35" w:rsidRPr="00B35ECC">
        <w:rPr>
          <w:rFonts w:cs="Arial"/>
        </w:rPr>
        <w:t>improve</w:t>
      </w:r>
      <w:r w:rsidRPr="00B35ECC">
        <w:rPr>
          <w:rFonts w:cs="Arial"/>
        </w:rPr>
        <w:t xml:space="preserve"> </w:t>
      </w:r>
      <w:r w:rsidR="00C80667">
        <w:rPr>
          <w:rFonts w:cs="Arial"/>
        </w:rPr>
        <w:t xml:space="preserve">the </w:t>
      </w:r>
      <w:r w:rsidRPr="00B35ECC">
        <w:rPr>
          <w:rFonts w:cs="Arial"/>
        </w:rPr>
        <w:t xml:space="preserve">regulation of therapeutic goods in Australia. </w:t>
      </w:r>
    </w:p>
    <w:p w14:paraId="32EB36AE" w14:textId="3C11E6AB" w:rsidR="00936247" w:rsidRPr="00B35ECC" w:rsidRDefault="00936247" w:rsidP="00936247">
      <w:pPr>
        <w:rPr>
          <w:rFonts w:cs="Arial"/>
        </w:rPr>
      </w:pPr>
      <w:r w:rsidRPr="00B35ECC">
        <w:rPr>
          <w:rFonts w:cs="Arial"/>
        </w:rPr>
        <w:t xml:space="preserve">The Therapeutic Goods Administration (TGA) is the government authority responsible for evaluating, </w:t>
      </w:r>
      <w:r w:rsidR="005077E6" w:rsidRPr="00B35ECC">
        <w:rPr>
          <w:rFonts w:cs="Arial"/>
        </w:rPr>
        <w:t>assessing,</w:t>
      </w:r>
      <w:r w:rsidRPr="00B35ECC">
        <w:rPr>
          <w:rFonts w:cs="Arial"/>
        </w:rPr>
        <w:t xml:space="preserve"> and monitoring products that are defined as therapeutic goods including medicines, medical </w:t>
      </w:r>
      <w:r w:rsidR="006C77AE" w:rsidRPr="00B35ECC">
        <w:rPr>
          <w:rFonts w:cs="Arial"/>
        </w:rPr>
        <w:t>devices,</w:t>
      </w:r>
      <w:r w:rsidRPr="00B35ECC">
        <w:rPr>
          <w:rFonts w:cs="Arial"/>
        </w:rPr>
        <w:t xml:space="preserve"> and biologicals.</w:t>
      </w:r>
    </w:p>
    <w:p w14:paraId="049D89EE" w14:textId="75A26ED1" w:rsidR="00936247" w:rsidRPr="00B35ECC" w:rsidRDefault="00E9215C" w:rsidP="00936247">
      <w:pPr>
        <w:rPr>
          <w:rFonts w:cs="Arial"/>
        </w:rPr>
      </w:pPr>
      <w:r w:rsidRPr="00E9215C">
        <w:rPr>
          <w:rFonts w:cs="Arial"/>
        </w:rPr>
        <w:t>This consultation seeks feedback on legislating some of the boundary and combination products to provide further clarity</w:t>
      </w:r>
      <w:r>
        <w:rPr>
          <w:rFonts w:cs="Arial"/>
        </w:rPr>
        <w:t xml:space="preserve"> on regulatory pathway</w:t>
      </w:r>
      <w:r w:rsidR="00E14483">
        <w:rPr>
          <w:rFonts w:cs="Arial"/>
        </w:rPr>
        <w:t xml:space="preserve">, </w:t>
      </w:r>
      <w:r w:rsidR="00936247" w:rsidRPr="00B35ECC">
        <w:rPr>
          <w:rFonts w:cs="Arial"/>
        </w:rPr>
        <w:t xml:space="preserve">and </w:t>
      </w:r>
      <w:r w:rsidR="00C80667">
        <w:rPr>
          <w:rFonts w:cs="Arial"/>
        </w:rPr>
        <w:t xml:space="preserve">the </w:t>
      </w:r>
      <w:r w:rsidR="00936247" w:rsidRPr="00B35ECC">
        <w:rPr>
          <w:rFonts w:cs="Arial"/>
        </w:rPr>
        <w:t xml:space="preserve">transitional arrangements required for </w:t>
      </w:r>
      <w:r>
        <w:rPr>
          <w:rFonts w:cs="Arial"/>
        </w:rPr>
        <w:t>the affected products to comply with the changes</w:t>
      </w:r>
      <w:r w:rsidR="00936247" w:rsidRPr="00B35ECC">
        <w:rPr>
          <w:rFonts w:cs="Arial"/>
        </w:rPr>
        <w:t xml:space="preserve">. </w:t>
      </w:r>
    </w:p>
    <w:p w14:paraId="2AC12556" w14:textId="77777777" w:rsidR="00936247" w:rsidRPr="00FE7659" w:rsidRDefault="00936247" w:rsidP="00B35ECC">
      <w:pPr>
        <w:pStyle w:val="Heading2"/>
      </w:pPr>
      <w:bookmarkStart w:id="2" w:name="_Toc165468939"/>
      <w:bookmarkStart w:id="3" w:name="_Toc169171053"/>
      <w:r w:rsidRPr="00FE7659">
        <w:t>Background</w:t>
      </w:r>
      <w:bookmarkEnd w:id="2"/>
      <w:bookmarkEnd w:id="3"/>
    </w:p>
    <w:p w14:paraId="4EC21EB8" w14:textId="46A6C0C2" w:rsidR="00936247" w:rsidRPr="00FE7659" w:rsidRDefault="00936247" w:rsidP="00936247">
      <w:pPr>
        <w:rPr>
          <w:rFonts w:cs="Arial"/>
        </w:rPr>
      </w:pPr>
      <w:r w:rsidRPr="00FE7659">
        <w:rPr>
          <w:rFonts w:cs="Arial"/>
        </w:rPr>
        <w:t xml:space="preserve">Products that meet the legislative definition of a therapeutic good under the </w:t>
      </w:r>
      <w:hyperlink r:id="rId14" w:history="1">
        <w:r w:rsidRPr="00FE7659">
          <w:rPr>
            <w:rStyle w:val="Hyperlink"/>
            <w:rFonts w:cs="Arial"/>
            <w:i/>
            <w:iCs/>
          </w:rPr>
          <w:t>Therapeutic Goods Act 1989</w:t>
        </w:r>
      </w:hyperlink>
      <w:r w:rsidRPr="00FE7659">
        <w:rPr>
          <w:rFonts w:cs="Arial"/>
        </w:rPr>
        <w:t xml:space="preserve"> (the Act) are regulated by the TGA and need to be included in the </w:t>
      </w:r>
      <w:hyperlink r:id="rId15" w:history="1">
        <w:r w:rsidRPr="00FE7659">
          <w:rPr>
            <w:rStyle w:val="Hyperlink"/>
            <w:rFonts w:cs="Arial"/>
          </w:rPr>
          <w:t>Australian Register of Therapeutic Goods</w:t>
        </w:r>
      </w:hyperlink>
      <w:r w:rsidRPr="00FE7659">
        <w:rPr>
          <w:rFonts w:cs="Arial"/>
        </w:rPr>
        <w:t xml:space="preserve"> (ARTG) before they can be imported, exported or supplied.</w:t>
      </w:r>
    </w:p>
    <w:p w14:paraId="082167D1" w14:textId="6CAF92F7" w:rsidR="00936247" w:rsidRPr="00FE7659" w:rsidRDefault="00936247" w:rsidP="00936247">
      <w:pPr>
        <w:spacing w:line="240" w:lineRule="auto"/>
        <w:rPr>
          <w:rFonts w:cs="Arial"/>
        </w:rPr>
      </w:pPr>
      <w:r w:rsidRPr="00FE7659">
        <w:rPr>
          <w:rFonts w:cs="Arial"/>
        </w:rPr>
        <w:t xml:space="preserve">Therapeutic goods are regulated as one of the following categories: </w:t>
      </w:r>
    </w:p>
    <w:p w14:paraId="049870C8" w14:textId="77777777" w:rsidR="00936247" w:rsidRPr="00FE7659" w:rsidRDefault="00936247" w:rsidP="00936247">
      <w:pPr>
        <w:pStyle w:val="ListBullet"/>
        <w:rPr>
          <w:rFonts w:cs="Arial"/>
          <w:color w:val="auto"/>
        </w:rPr>
      </w:pPr>
      <w:r w:rsidRPr="00FE7659">
        <w:rPr>
          <w:rFonts w:cs="Arial"/>
          <w:color w:val="auto"/>
        </w:rPr>
        <w:t>Medicines as defined under Section 3 of the Act,</w:t>
      </w:r>
    </w:p>
    <w:p w14:paraId="672B5071" w14:textId="77777777" w:rsidR="00936247" w:rsidRPr="00FE7659" w:rsidRDefault="00936247" w:rsidP="00936247">
      <w:pPr>
        <w:pStyle w:val="ListBullet"/>
        <w:rPr>
          <w:rFonts w:cs="Arial"/>
          <w:color w:val="auto"/>
        </w:rPr>
      </w:pPr>
      <w:r w:rsidRPr="00FE7659">
        <w:rPr>
          <w:rFonts w:cs="Arial"/>
          <w:color w:val="auto"/>
        </w:rPr>
        <w:t>Biologicals as defined under Section 32A of the Act,</w:t>
      </w:r>
    </w:p>
    <w:p w14:paraId="03B9EA34" w14:textId="77777777" w:rsidR="00936247" w:rsidRPr="00FE7659" w:rsidRDefault="00936247" w:rsidP="00936247">
      <w:pPr>
        <w:pStyle w:val="ListBullet"/>
        <w:rPr>
          <w:rFonts w:cs="Arial"/>
          <w:color w:val="auto"/>
        </w:rPr>
      </w:pPr>
      <w:r w:rsidRPr="00FE7659">
        <w:rPr>
          <w:rFonts w:cs="Arial"/>
          <w:color w:val="auto"/>
        </w:rPr>
        <w:t>Medical devices as defined under Section 41BD of the Act, and</w:t>
      </w:r>
    </w:p>
    <w:p w14:paraId="0E5A76A1" w14:textId="77777777" w:rsidR="00936247" w:rsidRPr="00FE7659" w:rsidRDefault="00936247" w:rsidP="00936247">
      <w:pPr>
        <w:pStyle w:val="ListBullet"/>
        <w:rPr>
          <w:rFonts w:cs="Arial"/>
          <w:color w:val="auto"/>
        </w:rPr>
      </w:pPr>
      <w:r w:rsidRPr="00FE7659">
        <w:rPr>
          <w:rFonts w:cs="Arial"/>
          <w:color w:val="auto"/>
        </w:rPr>
        <w:t>Other therapeutic goods (OTGs) which include goods like tampons and disinfectants.</w:t>
      </w:r>
    </w:p>
    <w:p w14:paraId="3F85B8A2" w14:textId="77777777" w:rsidR="00936247" w:rsidRPr="00FE7659" w:rsidRDefault="00936247" w:rsidP="00936247">
      <w:pPr>
        <w:spacing w:line="276" w:lineRule="auto"/>
        <w:rPr>
          <w:rFonts w:cs="Arial"/>
        </w:rPr>
      </w:pPr>
      <w:r w:rsidRPr="00FE7659">
        <w:rPr>
          <w:rFonts w:cs="Arial"/>
        </w:rPr>
        <w:t xml:space="preserve">Products that fall under these categories have different regulatory pathways and requirements. </w:t>
      </w:r>
    </w:p>
    <w:p w14:paraId="0808F6E5" w14:textId="2444999E" w:rsidR="00936247" w:rsidRPr="00FE7659" w:rsidRDefault="00936247" w:rsidP="00936247">
      <w:pPr>
        <w:rPr>
          <w:rFonts w:cs="Arial"/>
        </w:rPr>
      </w:pPr>
      <w:r w:rsidRPr="00FE7659">
        <w:rPr>
          <w:rFonts w:cs="Arial"/>
        </w:rPr>
        <w:t xml:space="preserve">Some products may have attributes of two or more categories and the appropriate regulatory pathway is not immediately obvious. These are referred to as </w:t>
      </w:r>
      <w:r w:rsidRPr="00FE7659">
        <w:rPr>
          <w:rFonts w:cs="Arial"/>
          <w:b/>
          <w:bCs/>
        </w:rPr>
        <w:t>‘boundary products’</w:t>
      </w:r>
      <w:r w:rsidRPr="00FE7659">
        <w:rPr>
          <w:rFonts w:cs="Arial"/>
        </w:rPr>
        <w:t xml:space="preserve">.  </w:t>
      </w:r>
    </w:p>
    <w:p w14:paraId="5AF47313" w14:textId="64688491" w:rsidR="00936247" w:rsidRPr="00FE7659" w:rsidRDefault="00936247" w:rsidP="00936247">
      <w:pPr>
        <w:rPr>
          <w:rFonts w:cs="Arial"/>
        </w:rPr>
      </w:pPr>
      <w:r w:rsidRPr="00FE7659">
        <w:rPr>
          <w:rFonts w:cs="Arial"/>
        </w:rPr>
        <w:t xml:space="preserve">Some products contain more than one type of therapeutic good with more than one therapeutic action or effect. These are referred to as </w:t>
      </w:r>
      <w:r w:rsidRPr="00FE7659">
        <w:rPr>
          <w:rFonts w:cs="Arial"/>
          <w:b/>
          <w:bCs/>
        </w:rPr>
        <w:t>‘combination products’.</w:t>
      </w:r>
      <w:r w:rsidRPr="00FE7659">
        <w:rPr>
          <w:rFonts w:cs="Arial"/>
        </w:rPr>
        <w:t xml:space="preserve"> </w:t>
      </w:r>
    </w:p>
    <w:p w14:paraId="6EEF8F78" w14:textId="4C8C3B3A" w:rsidR="00936247" w:rsidRPr="00FE7659" w:rsidRDefault="00936247" w:rsidP="00936247">
      <w:pPr>
        <w:rPr>
          <w:rFonts w:cs="Arial"/>
        </w:rPr>
      </w:pPr>
      <w:r w:rsidRPr="00FE7659">
        <w:rPr>
          <w:rFonts w:cs="Arial"/>
        </w:rPr>
        <w:t>The regulatory category of these products is determined by</w:t>
      </w:r>
      <w:r w:rsidR="002276B9">
        <w:rPr>
          <w:rFonts w:cs="Arial"/>
        </w:rPr>
        <w:t xml:space="preserve"> </w:t>
      </w:r>
      <w:r w:rsidR="00A76DE7">
        <w:rPr>
          <w:rFonts w:cs="Arial"/>
        </w:rPr>
        <w:t>a few</w:t>
      </w:r>
      <w:r w:rsidR="002276B9">
        <w:rPr>
          <w:rFonts w:cs="Arial"/>
        </w:rPr>
        <w:t xml:space="preserve"> factors, including</w:t>
      </w:r>
      <w:r w:rsidRPr="00FE7659">
        <w:rPr>
          <w:rFonts w:cs="Arial"/>
        </w:rPr>
        <w:t xml:space="preserve"> the principal therapeutic effect of the product</w:t>
      </w:r>
      <w:r w:rsidR="002276B9">
        <w:rPr>
          <w:rFonts w:cs="Arial"/>
        </w:rPr>
        <w:t xml:space="preserve">, </w:t>
      </w:r>
      <w:r w:rsidRPr="00FE7659">
        <w:rPr>
          <w:rFonts w:cs="Arial"/>
        </w:rPr>
        <w:t xml:space="preserve">therapeutic claims and intended use. </w:t>
      </w:r>
    </w:p>
    <w:p w14:paraId="775FDA30" w14:textId="38913D79" w:rsidR="00936247" w:rsidRPr="00FE7659" w:rsidRDefault="008763AA" w:rsidP="00936247">
      <w:pPr>
        <w:rPr>
          <w:rFonts w:cs="Arial"/>
        </w:rPr>
      </w:pPr>
      <w:r>
        <w:rPr>
          <w:rFonts w:cs="Arial"/>
        </w:rPr>
        <w:t>S</w:t>
      </w:r>
      <w:r w:rsidR="00936247" w:rsidRPr="00FE7659">
        <w:rPr>
          <w:rFonts w:cs="Arial"/>
        </w:rPr>
        <w:t xml:space="preserve">ee </w:t>
      </w:r>
      <w:hyperlink r:id="rId16" w:history="1">
        <w:r w:rsidR="00936247" w:rsidRPr="00FE7659">
          <w:rPr>
            <w:rStyle w:val="Hyperlink"/>
            <w:rFonts w:cs="Arial"/>
          </w:rPr>
          <w:t>Guidance on Boundary and Combination Products</w:t>
        </w:r>
      </w:hyperlink>
      <w:r w:rsidR="00936247" w:rsidRPr="00FE7659">
        <w:rPr>
          <w:rFonts w:cs="Arial"/>
        </w:rPr>
        <w:t>.</w:t>
      </w:r>
    </w:p>
    <w:p w14:paraId="33425D59" w14:textId="77777777" w:rsidR="00936247" w:rsidRPr="00FE7659" w:rsidRDefault="00936247" w:rsidP="00936247">
      <w:pPr>
        <w:pStyle w:val="Heading4"/>
        <w:rPr>
          <w:rFonts w:cs="Arial"/>
        </w:rPr>
      </w:pPr>
      <w:bookmarkStart w:id="4" w:name="_Toc165468940"/>
      <w:bookmarkStart w:id="5" w:name="_Toc169171054"/>
      <w:r w:rsidRPr="00FE7659">
        <w:rPr>
          <w:rFonts w:cs="Arial"/>
        </w:rPr>
        <w:t>Previous consultation and outcomes</w:t>
      </w:r>
      <w:bookmarkEnd w:id="4"/>
      <w:bookmarkEnd w:id="5"/>
    </w:p>
    <w:p w14:paraId="763B621A" w14:textId="73106B58" w:rsidR="009D36A9" w:rsidRDefault="00936247" w:rsidP="00936247">
      <w:pPr>
        <w:rPr>
          <w:rFonts w:cs="Arial"/>
        </w:rPr>
      </w:pPr>
      <w:r w:rsidRPr="001C54D0">
        <w:rPr>
          <w:rFonts w:cs="Arial"/>
        </w:rPr>
        <w:t>In October 2022,</w:t>
      </w:r>
      <w:r w:rsidR="006D3614">
        <w:rPr>
          <w:rFonts w:cs="Arial"/>
        </w:rPr>
        <w:t xml:space="preserve"> we</w:t>
      </w:r>
      <w:r w:rsidRPr="001C54D0">
        <w:rPr>
          <w:rFonts w:cs="Arial"/>
        </w:rPr>
        <w:t xml:space="preserve"> undertook a public consultation on the draft guidance for ‘Boundary and combination products - medicines, medical devices, and biologicals.’ </w:t>
      </w:r>
    </w:p>
    <w:p w14:paraId="1403E731" w14:textId="401B6696" w:rsidR="00936247" w:rsidRPr="001C54D0" w:rsidRDefault="00936247" w:rsidP="00936247">
      <w:pPr>
        <w:rPr>
          <w:rFonts w:cs="Arial"/>
        </w:rPr>
      </w:pPr>
      <w:r w:rsidRPr="001C54D0">
        <w:rPr>
          <w:rFonts w:cs="Arial"/>
        </w:rPr>
        <w:t xml:space="preserve">The draft guidance also included an example list of boundary and combination products (the List) along with their regulatory category. </w:t>
      </w:r>
    </w:p>
    <w:p w14:paraId="2B0400DC" w14:textId="77777777" w:rsidR="00A26E2B" w:rsidRDefault="00936247" w:rsidP="00936247">
      <w:pPr>
        <w:rPr>
          <w:rFonts w:cs="Arial"/>
        </w:rPr>
      </w:pPr>
      <w:r w:rsidRPr="001C54D0">
        <w:rPr>
          <w:rFonts w:cs="Arial"/>
        </w:rPr>
        <w:t>From this consultation, several respondents noted that further clarification of the product category</w:t>
      </w:r>
      <w:r w:rsidR="00EA1FD5" w:rsidRPr="001C54D0">
        <w:rPr>
          <w:rFonts w:cs="Arial"/>
        </w:rPr>
        <w:t>,</w:t>
      </w:r>
      <w:r w:rsidRPr="001C54D0">
        <w:rPr>
          <w:rFonts w:cs="Arial"/>
        </w:rPr>
        <w:t xml:space="preserve"> mode of action</w:t>
      </w:r>
      <w:r w:rsidR="00EA1FD5" w:rsidRPr="001C54D0">
        <w:rPr>
          <w:rFonts w:cs="Arial"/>
        </w:rPr>
        <w:t>, and rationale for the product category designation</w:t>
      </w:r>
      <w:r w:rsidRPr="001C54D0">
        <w:rPr>
          <w:rFonts w:cs="Arial"/>
        </w:rPr>
        <w:t xml:space="preserve"> </w:t>
      </w:r>
      <w:r w:rsidR="00C80667">
        <w:rPr>
          <w:rFonts w:cs="Arial"/>
        </w:rPr>
        <w:t>are</w:t>
      </w:r>
      <w:r w:rsidRPr="001C54D0">
        <w:rPr>
          <w:rFonts w:cs="Arial"/>
        </w:rPr>
        <w:t xml:space="preserve"> needed</w:t>
      </w:r>
      <w:r w:rsidR="00EA1FD5" w:rsidRPr="001C54D0">
        <w:rPr>
          <w:rFonts w:cs="Arial"/>
        </w:rPr>
        <w:t xml:space="preserve">. </w:t>
      </w:r>
    </w:p>
    <w:p w14:paraId="74C8FDB1" w14:textId="3493F3FD" w:rsidR="00936247" w:rsidRPr="001C54D0" w:rsidRDefault="00936247" w:rsidP="00936247">
      <w:pPr>
        <w:rPr>
          <w:rFonts w:cs="Arial"/>
        </w:rPr>
      </w:pPr>
      <w:r w:rsidRPr="001C54D0">
        <w:rPr>
          <w:rFonts w:cs="Arial"/>
        </w:rPr>
        <w:t xml:space="preserve">Several responses also noted that there were products </w:t>
      </w:r>
      <w:r w:rsidR="00EA1FD5" w:rsidRPr="001C54D0">
        <w:rPr>
          <w:rFonts w:cs="Arial"/>
        </w:rPr>
        <w:t>supplied in Australia</w:t>
      </w:r>
      <w:r w:rsidRPr="001C54D0">
        <w:rPr>
          <w:rFonts w:cs="Arial"/>
        </w:rPr>
        <w:t xml:space="preserve"> that were not aligned with the definition and product category mentioned, including products for lice on the head and body, oral care toothpastes, and compounded and uncompounded emollient </w:t>
      </w:r>
      <w:r w:rsidR="00EA1FD5" w:rsidRPr="001C54D0">
        <w:rPr>
          <w:rFonts w:cs="Arial"/>
        </w:rPr>
        <w:t xml:space="preserve">and </w:t>
      </w:r>
      <w:r w:rsidRPr="001C54D0">
        <w:rPr>
          <w:rFonts w:cs="Arial"/>
        </w:rPr>
        <w:t>moisturising preparations for therapeutic use.</w:t>
      </w:r>
    </w:p>
    <w:p w14:paraId="0D2D4891" w14:textId="2E751A4A" w:rsidR="00D161F2" w:rsidRDefault="00936247" w:rsidP="00936247">
      <w:pPr>
        <w:rPr>
          <w:rFonts w:cs="Arial"/>
        </w:rPr>
      </w:pPr>
      <w:r w:rsidRPr="001C54D0">
        <w:rPr>
          <w:rFonts w:cs="Arial"/>
        </w:rPr>
        <w:t>Suggestions for improvement included</w:t>
      </w:r>
      <w:r w:rsidR="00C34613">
        <w:rPr>
          <w:rFonts w:cs="Arial"/>
        </w:rPr>
        <w:t xml:space="preserve"> the need for greater clarification </w:t>
      </w:r>
      <w:r w:rsidR="00962D76" w:rsidRPr="001C54D0">
        <w:rPr>
          <w:rFonts w:cs="Arial"/>
        </w:rPr>
        <w:t>on</w:t>
      </w:r>
      <w:r w:rsidRPr="001C54D0">
        <w:rPr>
          <w:rFonts w:cs="Arial"/>
        </w:rPr>
        <w:t xml:space="preserve"> how </w:t>
      </w:r>
      <w:r w:rsidR="00D04D1B">
        <w:rPr>
          <w:rFonts w:cs="Arial"/>
        </w:rPr>
        <w:t>we</w:t>
      </w:r>
      <w:r w:rsidRPr="001C54D0">
        <w:rPr>
          <w:rFonts w:cs="Arial"/>
        </w:rPr>
        <w:t xml:space="preserve"> regulate and categorise boundary and combination products</w:t>
      </w:r>
      <w:r w:rsidR="0022691B">
        <w:rPr>
          <w:rFonts w:cs="Arial"/>
        </w:rPr>
        <w:t xml:space="preserve">. </w:t>
      </w:r>
    </w:p>
    <w:p w14:paraId="5DB966A9" w14:textId="530BF7C6" w:rsidR="00936247" w:rsidRPr="001C54D0" w:rsidRDefault="0022691B" w:rsidP="00936247">
      <w:pPr>
        <w:rPr>
          <w:rFonts w:cs="Arial"/>
        </w:rPr>
      </w:pPr>
      <w:r>
        <w:rPr>
          <w:rFonts w:cs="Arial"/>
        </w:rPr>
        <w:lastRenderedPageBreak/>
        <w:t xml:space="preserve">Further </w:t>
      </w:r>
      <w:r w:rsidR="00936247" w:rsidRPr="001C54D0">
        <w:rPr>
          <w:rFonts w:cs="Arial"/>
        </w:rPr>
        <w:t>changes to the list</w:t>
      </w:r>
      <w:r>
        <w:rPr>
          <w:rFonts w:cs="Arial"/>
        </w:rPr>
        <w:t xml:space="preserve"> such as </w:t>
      </w:r>
      <w:r w:rsidR="00936247" w:rsidRPr="001C54D0">
        <w:rPr>
          <w:rFonts w:cs="Arial"/>
        </w:rPr>
        <w:t xml:space="preserve">clarifying or adding products and their categories, adding an additional column to the list that explains the rationale for why products are categorised as a medicine, medical device, biological or </w:t>
      </w:r>
      <w:r>
        <w:rPr>
          <w:rFonts w:cs="Arial"/>
        </w:rPr>
        <w:t>other therapeutic good</w:t>
      </w:r>
      <w:r w:rsidR="00936247" w:rsidRPr="001C54D0">
        <w:rPr>
          <w:rFonts w:cs="Arial"/>
        </w:rPr>
        <w:t xml:space="preserve">, and clarifying boundary and combination products </w:t>
      </w:r>
      <w:r w:rsidR="00952020">
        <w:rPr>
          <w:rFonts w:cs="Arial"/>
        </w:rPr>
        <w:t>through legislation</w:t>
      </w:r>
      <w:r>
        <w:rPr>
          <w:rFonts w:cs="Arial"/>
        </w:rPr>
        <w:t xml:space="preserve"> were </w:t>
      </w:r>
      <w:r w:rsidR="00952020">
        <w:rPr>
          <w:rFonts w:cs="Arial"/>
        </w:rPr>
        <w:t xml:space="preserve">also </w:t>
      </w:r>
      <w:r>
        <w:rPr>
          <w:rFonts w:cs="Arial"/>
        </w:rPr>
        <w:t>suggested</w:t>
      </w:r>
      <w:r w:rsidR="00936247" w:rsidRPr="001C54D0">
        <w:rPr>
          <w:rFonts w:cs="Arial"/>
        </w:rPr>
        <w:t>.</w:t>
      </w:r>
    </w:p>
    <w:p w14:paraId="2CA448DF" w14:textId="6F9C4225" w:rsidR="00936247" w:rsidRPr="001C54D0" w:rsidRDefault="00936247" w:rsidP="00936247">
      <w:pPr>
        <w:rPr>
          <w:rFonts w:cs="Arial"/>
        </w:rPr>
      </w:pPr>
      <w:r w:rsidRPr="001C54D0">
        <w:rPr>
          <w:rFonts w:cs="Arial"/>
        </w:rPr>
        <w:t xml:space="preserve">In response to the feedback provided, </w:t>
      </w:r>
      <w:r w:rsidR="00106A51">
        <w:rPr>
          <w:rFonts w:cs="Arial"/>
        </w:rPr>
        <w:t>we</w:t>
      </w:r>
      <w:r w:rsidRPr="001C54D0">
        <w:rPr>
          <w:rFonts w:cs="Arial"/>
        </w:rPr>
        <w:t xml:space="preserve"> updated the guidance and the List on </w:t>
      </w:r>
      <w:hyperlink r:id="rId17" w:history="1">
        <w:r w:rsidRPr="006C77AE">
          <w:rPr>
            <w:rStyle w:val="Hyperlink"/>
            <w:rFonts w:cs="Arial"/>
          </w:rPr>
          <w:t>boundary and combination products</w:t>
        </w:r>
      </w:hyperlink>
      <w:r w:rsidR="006C77AE">
        <w:rPr>
          <w:rFonts w:cs="Arial"/>
        </w:rPr>
        <w:t>.</w:t>
      </w:r>
      <w:r w:rsidRPr="001C54D0">
        <w:rPr>
          <w:rFonts w:cs="Arial"/>
        </w:rPr>
        <w:t xml:space="preserve"> </w:t>
      </w:r>
    </w:p>
    <w:p w14:paraId="358C66EF" w14:textId="0EDEB585" w:rsidR="00936247" w:rsidRPr="00FE7659" w:rsidRDefault="009D36A9" w:rsidP="00936247">
      <w:pPr>
        <w:pStyle w:val="Heading4"/>
        <w:rPr>
          <w:rFonts w:cs="Arial"/>
        </w:rPr>
      </w:pPr>
      <w:bookmarkStart w:id="6" w:name="_Toc165468941"/>
      <w:bookmarkStart w:id="7" w:name="_Toc169171055"/>
      <w:r>
        <w:rPr>
          <w:rFonts w:cs="Arial"/>
        </w:rPr>
        <w:t>C</w:t>
      </w:r>
      <w:r w:rsidR="00936247" w:rsidRPr="00FE7659">
        <w:rPr>
          <w:rFonts w:cs="Arial"/>
        </w:rPr>
        <w:t>onsultation</w:t>
      </w:r>
      <w:bookmarkEnd w:id="6"/>
      <w:bookmarkEnd w:id="7"/>
    </w:p>
    <w:p w14:paraId="6655A315" w14:textId="411328D6" w:rsidR="00936247" w:rsidRPr="001F7B68" w:rsidRDefault="00A600C2" w:rsidP="00936247">
      <w:pPr>
        <w:rPr>
          <w:rFonts w:cs="Arial"/>
        </w:rPr>
      </w:pPr>
      <w:r w:rsidRPr="001F7B68">
        <w:rPr>
          <w:rFonts w:cs="Arial"/>
        </w:rPr>
        <w:t>Feedback received</w:t>
      </w:r>
      <w:r w:rsidR="00936247" w:rsidRPr="001F7B68">
        <w:rPr>
          <w:rFonts w:cs="Arial"/>
        </w:rPr>
        <w:t xml:space="preserve"> in </w:t>
      </w:r>
      <w:r w:rsidRPr="001F7B68">
        <w:rPr>
          <w:rFonts w:cs="Arial"/>
        </w:rPr>
        <w:t xml:space="preserve">the </w:t>
      </w:r>
      <w:r w:rsidR="00936247" w:rsidRPr="001F7B68">
        <w:rPr>
          <w:rFonts w:cs="Arial"/>
        </w:rPr>
        <w:t>previous consultation</w:t>
      </w:r>
      <w:r w:rsidRPr="001F7B68">
        <w:rPr>
          <w:rFonts w:cs="Arial"/>
        </w:rPr>
        <w:t xml:space="preserve"> indicated the need for </w:t>
      </w:r>
      <w:r w:rsidR="00936247" w:rsidRPr="001F7B68">
        <w:rPr>
          <w:rFonts w:cs="Arial"/>
        </w:rPr>
        <w:t xml:space="preserve">additional clarity and transparency on </w:t>
      </w:r>
      <w:r w:rsidR="00E22C73" w:rsidRPr="001F7B68">
        <w:rPr>
          <w:rFonts w:cs="Arial"/>
        </w:rPr>
        <w:t xml:space="preserve">the </w:t>
      </w:r>
      <w:r w:rsidR="00936247" w:rsidRPr="001F7B68">
        <w:rPr>
          <w:rFonts w:cs="Arial"/>
        </w:rPr>
        <w:t>appropriate regulatory pathway</w:t>
      </w:r>
      <w:r w:rsidRPr="001F7B68">
        <w:rPr>
          <w:rFonts w:cs="Arial"/>
        </w:rPr>
        <w:t>s</w:t>
      </w:r>
      <w:r w:rsidR="00936247" w:rsidRPr="001F7B68">
        <w:rPr>
          <w:rFonts w:cs="Arial"/>
        </w:rPr>
        <w:t xml:space="preserve"> for some boundary and combination products. </w:t>
      </w:r>
    </w:p>
    <w:p w14:paraId="7E5E48AC" w14:textId="70AAE57B" w:rsidR="00936247" w:rsidRPr="001F7B68" w:rsidRDefault="00262E74" w:rsidP="00936247">
      <w:pPr>
        <w:rPr>
          <w:rFonts w:cs="Arial"/>
        </w:rPr>
      </w:pPr>
      <w:r>
        <w:rPr>
          <w:rFonts w:cs="Arial"/>
        </w:rPr>
        <w:t>I</w:t>
      </w:r>
      <w:r w:rsidR="00936247" w:rsidRPr="001F7B68">
        <w:rPr>
          <w:rFonts w:cs="Arial"/>
        </w:rPr>
        <w:t>n this consultation, we are seeking feedback on</w:t>
      </w:r>
      <w:r w:rsidR="00E96F35">
        <w:rPr>
          <w:rFonts w:cs="Arial"/>
        </w:rPr>
        <w:t xml:space="preserve"> whether</w:t>
      </w:r>
      <w:r w:rsidR="00936247" w:rsidRPr="001F7B68">
        <w:rPr>
          <w:rFonts w:cs="Arial"/>
        </w:rPr>
        <w:t>:</w:t>
      </w:r>
    </w:p>
    <w:p w14:paraId="162C1017" w14:textId="29F7EBDE" w:rsidR="00E22C73" w:rsidRPr="00397659" w:rsidRDefault="00E22C73" w:rsidP="003B58F5">
      <w:pPr>
        <w:pStyle w:val="ListParagraph"/>
        <w:rPr>
          <w:rFonts w:ascii="Arial" w:hAnsi="Arial" w:cs="Arial"/>
          <w:sz w:val="20"/>
          <w:szCs w:val="20"/>
        </w:rPr>
      </w:pPr>
      <w:bookmarkStart w:id="8" w:name="_Hlk166062788"/>
      <w:r w:rsidRPr="00397659">
        <w:rPr>
          <w:rFonts w:ascii="Arial" w:hAnsi="Arial" w:cs="Arial"/>
          <w:sz w:val="20"/>
          <w:szCs w:val="20"/>
        </w:rPr>
        <w:t xml:space="preserve">legislating </w:t>
      </w:r>
      <w:r w:rsidR="00C80667" w:rsidRPr="00397659">
        <w:rPr>
          <w:rFonts w:ascii="Arial" w:hAnsi="Arial" w:cs="Arial"/>
          <w:sz w:val="20"/>
          <w:szCs w:val="20"/>
        </w:rPr>
        <w:t>some</w:t>
      </w:r>
      <w:r w:rsidR="002C5770" w:rsidRPr="00397659">
        <w:rPr>
          <w:rFonts w:ascii="Arial" w:hAnsi="Arial" w:cs="Arial"/>
          <w:sz w:val="20"/>
          <w:szCs w:val="20"/>
        </w:rPr>
        <w:t xml:space="preserve"> products</w:t>
      </w:r>
      <w:r w:rsidR="001F7B68" w:rsidRPr="00397659">
        <w:rPr>
          <w:rFonts w:ascii="Arial" w:hAnsi="Arial" w:cs="Arial"/>
          <w:sz w:val="20"/>
          <w:szCs w:val="20"/>
        </w:rPr>
        <w:t xml:space="preserve"> where possible</w:t>
      </w:r>
      <w:r w:rsidR="00ED635A" w:rsidRPr="00397659">
        <w:rPr>
          <w:rFonts w:ascii="Arial" w:hAnsi="Arial" w:cs="Arial"/>
          <w:sz w:val="20"/>
          <w:szCs w:val="20"/>
        </w:rPr>
        <w:t xml:space="preserve"> </w:t>
      </w:r>
      <w:r w:rsidRPr="00397659">
        <w:rPr>
          <w:rFonts w:ascii="Arial" w:hAnsi="Arial" w:cs="Arial"/>
          <w:sz w:val="20"/>
          <w:szCs w:val="20"/>
        </w:rPr>
        <w:t xml:space="preserve">to </w:t>
      </w:r>
      <w:r w:rsidR="00ED635A" w:rsidRPr="00397659">
        <w:rPr>
          <w:rFonts w:ascii="Arial" w:hAnsi="Arial" w:cs="Arial"/>
          <w:sz w:val="20"/>
          <w:szCs w:val="20"/>
        </w:rPr>
        <w:t xml:space="preserve">formally </w:t>
      </w:r>
      <w:r w:rsidRPr="00397659">
        <w:rPr>
          <w:rFonts w:ascii="Arial" w:hAnsi="Arial" w:cs="Arial"/>
          <w:sz w:val="20"/>
          <w:szCs w:val="20"/>
        </w:rPr>
        <w:t xml:space="preserve">declare </w:t>
      </w:r>
      <w:r w:rsidR="005B2D35" w:rsidRPr="00397659">
        <w:rPr>
          <w:rFonts w:ascii="Arial" w:hAnsi="Arial" w:cs="Arial"/>
          <w:sz w:val="20"/>
          <w:szCs w:val="20"/>
        </w:rPr>
        <w:t>their regulatory</w:t>
      </w:r>
      <w:r w:rsidR="00267C8D" w:rsidRPr="00397659">
        <w:rPr>
          <w:rFonts w:ascii="Arial" w:hAnsi="Arial" w:cs="Arial"/>
          <w:sz w:val="20"/>
          <w:szCs w:val="20"/>
        </w:rPr>
        <w:t xml:space="preserve"> category (e.g., medical device, </w:t>
      </w:r>
      <w:r w:rsidR="001F7B68" w:rsidRPr="00397659">
        <w:rPr>
          <w:rFonts w:ascii="Arial" w:hAnsi="Arial" w:cs="Arial"/>
          <w:sz w:val="20"/>
          <w:szCs w:val="20"/>
        </w:rPr>
        <w:t>not a medical device</w:t>
      </w:r>
      <w:r w:rsidR="00267C8D" w:rsidRPr="00397659">
        <w:rPr>
          <w:rFonts w:ascii="Arial" w:hAnsi="Arial" w:cs="Arial"/>
          <w:sz w:val="20"/>
          <w:szCs w:val="20"/>
        </w:rPr>
        <w:t xml:space="preserve"> or OTG</w:t>
      </w:r>
      <w:r w:rsidR="002C5770" w:rsidRPr="00397659">
        <w:rPr>
          <w:rFonts w:ascii="Arial" w:hAnsi="Arial" w:cs="Arial"/>
          <w:sz w:val="20"/>
          <w:szCs w:val="20"/>
        </w:rPr>
        <w:t>)</w:t>
      </w:r>
      <w:r w:rsidRPr="00397659">
        <w:rPr>
          <w:rFonts w:ascii="Arial" w:hAnsi="Arial" w:cs="Arial"/>
          <w:sz w:val="20"/>
          <w:szCs w:val="20"/>
        </w:rPr>
        <w:t>, will provide additional clarity</w:t>
      </w:r>
      <w:r w:rsidR="00650252" w:rsidRPr="00397659">
        <w:rPr>
          <w:rFonts w:ascii="Arial" w:hAnsi="Arial" w:cs="Arial"/>
          <w:sz w:val="20"/>
          <w:szCs w:val="20"/>
        </w:rPr>
        <w:t xml:space="preserve"> for stakeholders.</w:t>
      </w:r>
    </w:p>
    <w:p w14:paraId="710522FC" w14:textId="0BF08B3D" w:rsidR="00ED635A" w:rsidRPr="00A86626" w:rsidRDefault="00ED635A" w:rsidP="00ED635A">
      <w:pPr>
        <w:pStyle w:val="ListParagraph"/>
        <w:rPr>
          <w:rFonts w:ascii="Arial" w:hAnsi="Arial" w:cs="Arial"/>
          <w:sz w:val="20"/>
          <w:szCs w:val="20"/>
        </w:rPr>
      </w:pPr>
      <w:r w:rsidRPr="00397659">
        <w:rPr>
          <w:rFonts w:ascii="Arial" w:hAnsi="Arial" w:cs="Arial"/>
          <w:sz w:val="20"/>
          <w:szCs w:val="20"/>
        </w:rPr>
        <w:t xml:space="preserve">a </w:t>
      </w:r>
      <w:r w:rsidR="00936247" w:rsidRPr="00397659">
        <w:rPr>
          <w:rFonts w:ascii="Arial" w:hAnsi="Arial" w:cs="Arial"/>
          <w:sz w:val="20"/>
          <w:szCs w:val="20"/>
        </w:rPr>
        <w:t xml:space="preserve">transitional </w:t>
      </w:r>
      <w:r w:rsidR="00DC232C" w:rsidRPr="00397659">
        <w:rPr>
          <w:rFonts w:ascii="Arial" w:hAnsi="Arial" w:cs="Arial"/>
          <w:sz w:val="20"/>
          <w:szCs w:val="20"/>
        </w:rPr>
        <w:t xml:space="preserve">period </w:t>
      </w:r>
      <w:r w:rsidRPr="00397659">
        <w:rPr>
          <w:rFonts w:ascii="Arial" w:hAnsi="Arial" w:cs="Arial"/>
          <w:sz w:val="20"/>
          <w:szCs w:val="20"/>
        </w:rPr>
        <w:t xml:space="preserve">of five years </w:t>
      </w:r>
      <w:r w:rsidR="00DC232C" w:rsidRPr="00397659">
        <w:rPr>
          <w:rFonts w:ascii="Arial" w:hAnsi="Arial" w:cs="Arial"/>
          <w:sz w:val="20"/>
          <w:szCs w:val="20"/>
        </w:rPr>
        <w:t>is sufficient</w:t>
      </w:r>
      <w:r w:rsidR="00936247" w:rsidRPr="00397659">
        <w:rPr>
          <w:rFonts w:ascii="Arial" w:hAnsi="Arial" w:cs="Arial"/>
          <w:sz w:val="20"/>
          <w:szCs w:val="20"/>
        </w:rPr>
        <w:t xml:space="preserve"> for</w:t>
      </w:r>
      <w:r w:rsidR="00A600C2" w:rsidRPr="00397659">
        <w:rPr>
          <w:rFonts w:ascii="Arial" w:hAnsi="Arial" w:cs="Arial"/>
          <w:sz w:val="20"/>
          <w:szCs w:val="20"/>
        </w:rPr>
        <w:t xml:space="preserve"> </w:t>
      </w:r>
      <w:r w:rsidR="00650252" w:rsidRPr="00397659">
        <w:rPr>
          <w:rFonts w:ascii="Arial" w:hAnsi="Arial" w:cs="Arial"/>
          <w:sz w:val="20"/>
          <w:szCs w:val="20"/>
        </w:rPr>
        <w:t xml:space="preserve">sponsors of </w:t>
      </w:r>
      <w:r w:rsidR="005C10CD" w:rsidRPr="00397659">
        <w:rPr>
          <w:rFonts w:ascii="Arial" w:hAnsi="Arial" w:cs="Arial"/>
          <w:sz w:val="20"/>
          <w:szCs w:val="20"/>
        </w:rPr>
        <w:t>affected ARTG entries</w:t>
      </w:r>
      <w:r w:rsidR="00936247" w:rsidRPr="00397659">
        <w:rPr>
          <w:rFonts w:ascii="Arial" w:hAnsi="Arial" w:cs="Arial"/>
          <w:sz w:val="20"/>
          <w:szCs w:val="20"/>
        </w:rPr>
        <w:t xml:space="preserve">. </w:t>
      </w:r>
      <w:r w:rsidR="00A86626">
        <w:rPr>
          <w:rFonts w:ascii="Arial" w:hAnsi="Arial" w:cs="Arial"/>
          <w:sz w:val="20"/>
          <w:szCs w:val="20"/>
        </w:rPr>
        <w:br/>
      </w:r>
    </w:p>
    <w:bookmarkEnd w:id="8"/>
    <w:p w14:paraId="1564134E" w14:textId="63B99DA7" w:rsidR="00936247" w:rsidRPr="001F7B68" w:rsidRDefault="00936247" w:rsidP="00936247">
      <w:pPr>
        <w:rPr>
          <w:rFonts w:cs="Arial"/>
        </w:rPr>
      </w:pPr>
      <w:r w:rsidRPr="001F7B68">
        <w:rPr>
          <w:rFonts w:cs="Arial"/>
        </w:rPr>
        <w:t xml:space="preserve">The consultation is being hosted on the TGA Consultation Hub and is </w:t>
      </w:r>
      <w:r w:rsidR="003B58F5">
        <w:rPr>
          <w:rFonts w:cs="Arial"/>
        </w:rPr>
        <w:t>open</w:t>
      </w:r>
      <w:r w:rsidR="003B58F5" w:rsidRPr="001F7B68">
        <w:rPr>
          <w:rFonts w:cs="Arial"/>
        </w:rPr>
        <w:t xml:space="preserve"> </w:t>
      </w:r>
      <w:r w:rsidRPr="001F7B68">
        <w:rPr>
          <w:rFonts w:cs="Arial"/>
        </w:rPr>
        <w:t xml:space="preserve">for feedback from </w:t>
      </w:r>
      <w:r w:rsidR="00837329">
        <w:rPr>
          <w:rFonts w:cs="Arial"/>
        </w:rPr>
        <w:t>24</w:t>
      </w:r>
      <w:r w:rsidR="003B58F5">
        <w:rPr>
          <w:rFonts w:cs="Arial"/>
        </w:rPr>
        <w:t xml:space="preserve"> June</w:t>
      </w:r>
      <w:r w:rsidR="00612FEA" w:rsidRPr="00612FEA">
        <w:rPr>
          <w:rFonts w:cs="Arial"/>
        </w:rPr>
        <w:t xml:space="preserve"> </w:t>
      </w:r>
      <w:r w:rsidRPr="00612FEA">
        <w:rPr>
          <w:rFonts w:cs="Arial"/>
        </w:rPr>
        <w:t xml:space="preserve">to </w:t>
      </w:r>
      <w:r w:rsidR="00981854">
        <w:rPr>
          <w:rFonts w:cs="Arial"/>
        </w:rPr>
        <w:t>06 August</w:t>
      </w:r>
      <w:r w:rsidR="003B58F5">
        <w:rPr>
          <w:rFonts w:cs="Arial"/>
        </w:rPr>
        <w:t xml:space="preserve"> 2024</w:t>
      </w:r>
      <w:r w:rsidRPr="00612FEA">
        <w:rPr>
          <w:rFonts w:cs="Arial"/>
        </w:rPr>
        <w:t>.</w:t>
      </w:r>
      <w:r w:rsidRPr="001F7B68">
        <w:rPr>
          <w:rFonts w:cs="Arial"/>
        </w:rPr>
        <w:t xml:space="preserve"> </w:t>
      </w:r>
    </w:p>
    <w:p w14:paraId="63BE19A4" w14:textId="2044389B" w:rsidR="00936247" w:rsidRPr="00FE7659" w:rsidRDefault="00936247" w:rsidP="00936247">
      <w:pPr>
        <w:pStyle w:val="Heading3"/>
        <w:rPr>
          <w:rFonts w:cs="Arial"/>
        </w:rPr>
      </w:pPr>
      <w:bookmarkStart w:id="9" w:name="_Toc165468942"/>
      <w:bookmarkStart w:id="10" w:name="_Toc169171056"/>
      <w:bookmarkStart w:id="11" w:name="_Hlk166062910"/>
      <w:r w:rsidRPr="00FE7659">
        <w:rPr>
          <w:rFonts w:cs="Arial"/>
        </w:rPr>
        <w:t xml:space="preserve">Proposal 1: </w:t>
      </w:r>
      <w:bookmarkEnd w:id="9"/>
      <w:r w:rsidR="00D94A64" w:rsidRPr="00FE7659">
        <w:rPr>
          <w:rFonts w:cs="Arial"/>
        </w:rPr>
        <w:t>Legislating regulatory categor</w:t>
      </w:r>
      <w:r w:rsidR="00973990" w:rsidRPr="00FE7659">
        <w:rPr>
          <w:rFonts w:cs="Arial"/>
        </w:rPr>
        <w:t>ies</w:t>
      </w:r>
      <w:bookmarkEnd w:id="10"/>
    </w:p>
    <w:bookmarkEnd w:id="11"/>
    <w:p w14:paraId="407BDF07" w14:textId="77777777" w:rsidR="00A86626" w:rsidRDefault="00D94A64" w:rsidP="00D94A64">
      <w:pPr>
        <w:rPr>
          <w:rFonts w:cs="Arial"/>
        </w:rPr>
      </w:pPr>
      <w:r w:rsidRPr="00FE7659">
        <w:rPr>
          <w:rFonts w:cs="Arial"/>
        </w:rPr>
        <w:t xml:space="preserve">Tabled below are the </w:t>
      </w:r>
      <w:r w:rsidR="00973990" w:rsidRPr="00FE7659">
        <w:rPr>
          <w:rFonts w:cs="Arial"/>
        </w:rPr>
        <w:t xml:space="preserve">regulatory </w:t>
      </w:r>
      <w:r w:rsidRPr="00FE7659">
        <w:rPr>
          <w:rFonts w:cs="Arial"/>
        </w:rPr>
        <w:t xml:space="preserve">categories for some of the products. </w:t>
      </w:r>
    </w:p>
    <w:p w14:paraId="6C455162" w14:textId="77777777" w:rsidR="00C13676" w:rsidRDefault="00D067AE" w:rsidP="00C13676">
      <w:pPr>
        <w:pStyle w:val="Numberbullet0"/>
      </w:pPr>
      <w:r>
        <w:t>R</w:t>
      </w:r>
      <w:r w:rsidR="00152357" w:rsidRPr="00FE7659">
        <w:t xml:space="preserve">eview </w:t>
      </w:r>
      <w:r w:rsidR="00D94A64" w:rsidRPr="00FE7659">
        <w:t>the information</w:t>
      </w:r>
    </w:p>
    <w:p w14:paraId="4125455A" w14:textId="2E038172" w:rsidR="00D94A64" w:rsidRDefault="00C13676" w:rsidP="00C13676">
      <w:pPr>
        <w:pStyle w:val="Numberbullet0"/>
      </w:pPr>
      <w:r>
        <w:t>R</w:t>
      </w:r>
      <w:r w:rsidR="00D94A64" w:rsidRPr="00FE7659">
        <w:t>espond to proposal questions related to these products.</w:t>
      </w:r>
    </w:p>
    <w:tbl>
      <w:tblPr>
        <w:tblStyle w:val="TableTGAblue2023"/>
        <w:tblW w:w="0" w:type="auto"/>
        <w:tblLook w:val="04A0" w:firstRow="1" w:lastRow="0" w:firstColumn="1" w:lastColumn="0" w:noHBand="0" w:noVBand="1"/>
      </w:tblPr>
      <w:tblGrid>
        <w:gridCol w:w="2122"/>
        <w:gridCol w:w="4394"/>
        <w:gridCol w:w="2268"/>
      </w:tblGrid>
      <w:tr w:rsidR="00650252" w:rsidRPr="001C54D0" w14:paraId="368418F2" w14:textId="77777777" w:rsidTr="0065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5FD8895" w14:textId="77777777" w:rsidR="00650252" w:rsidRPr="001C54D0" w:rsidRDefault="00650252" w:rsidP="00650252">
            <w:pPr>
              <w:rPr>
                <w:rFonts w:cs="Arial"/>
              </w:rPr>
            </w:pPr>
            <w:r w:rsidRPr="001C54D0">
              <w:rPr>
                <w:rFonts w:cs="Arial"/>
              </w:rPr>
              <w:t>Product</w:t>
            </w:r>
          </w:p>
        </w:tc>
        <w:tc>
          <w:tcPr>
            <w:tcW w:w="4394" w:type="dxa"/>
          </w:tcPr>
          <w:p w14:paraId="43DEFD6E" w14:textId="40E96EBA" w:rsidR="00650252" w:rsidRPr="001C54D0" w:rsidRDefault="00650252" w:rsidP="00650252">
            <w:pPr>
              <w:cnfStyle w:val="100000000000" w:firstRow="1" w:lastRow="0" w:firstColumn="0" w:lastColumn="0" w:oddVBand="0" w:evenVBand="0" w:oddHBand="0" w:evenHBand="0" w:firstRowFirstColumn="0" w:firstRowLastColumn="0" w:lastRowFirstColumn="0" w:lastRowLastColumn="0"/>
              <w:rPr>
                <w:rFonts w:cs="Arial"/>
              </w:rPr>
            </w:pPr>
            <w:r>
              <w:rPr>
                <w:rFonts w:cs="Arial"/>
              </w:rPr>
              <w:t>Mode of action</w:t>
            </w:r>
          </w:p>
        </w:tc>
        <w:tc>
          <w:tcPr>
            <w:tcW w:w="2268" w:type="dxa"/>
          </w:tcPr>
          <w:p w14:paraId="7A6DAFD1" w14:textId="01375C5D" w:rsidR="00650252" w:rsidRPr="001C54D0" w:rsidRDefault="00650252" w:rsidP="00650252">
            <w:pPr>
              <w:cnfStyle w:val="100000000000" w:firstRow="1" w:lastRow="0" w:firstColumn="0" w:lastColumn="0" w:oddVBand="0" w:evenVBand="0" w:oddHBand="0" w:evenHBand="0" w:firstRowFirstColumn="0" w:firstRowLastColumn="0" w:lastRowFirstColumn="0" w:lastRowLastColumn="0"/>
              <w:rPr>
                <w:rFonts w:cs="Arial"/>
              </w:rPr>
            </w:pPr>
            <w:r w:rsidRPr="001C54D0">
              <w:rPr>
                <w:rFonts w:cs="Arial"/>
              </w:rPr>
              <w:t>Regulatory category</w:t>
            </w:r>
          </w:p>
        </w:tc>
      </w:tr>
      <w:tr w:rsidR="00650252" w:rsidRPr="001C54D0" w14:paraId="19CFFA20"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val="restart"/>
          </w:tcPr>
          <w:p w14:paraId="04BDDF46" w14:textId="77777777" w:rsidR="00650252" w:rsidRPr="00EE1E26" w:rsidRDefault="00650252" w:rsidP="00650252">
            <w:pPr>
              <w:rPr>
                <w:rFonts w:cs="Arial"/>
                <w:sz w:val="20"/>
                <w:szCs w:val="20"/>
              </w:rPr>
            </w:pPr>
            <w:r w:rsidRPr="00EE1E26">
              <w:rPr>
                <w:rFonts w:cs="Arial"/>
                <w:sz w:val="20"/>
                <w:szCs w:val="20"/>
              </w:rPr>
              <w:t>Head and body lice products for humans</w:t>
            </w:r>
          </w:p>
        </w:tc>
        <w:tc>
          <w:tcPr>
            <w:tcW w:w="4394" w:type="dxa"/>
          </w:tcPr>
          <w:p w14:paraId="7AC298F6" w14:textId="6043088F"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achieve the principal intended action primarily through pharmacological or chemical means such as products causing neurotoxicity to the lice.</w:t>
            </w:r>
          </w:p>
        </w:tc>
        <w:tc>
          <w:tcPr>
            <w:tcW w:w="2268" w:type="dxa"/>
          </w:tcPr>
          <w:p w14:paraId="032B2E5D" w14:textId="5CAD2DCA"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Medicine</w:t>
            </w:r>
          </w:p>
        </w:tc>
      </w:tr>
      <w:tr w:rsidR="00650252" w:rsidRPr="001C54D0" w14:paraId="4D443CB9"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5ABB6721" w14:textId="77777777" w:rsidR="00650252" w:rsidRPr="00EE1E26" w:rsidRDefault="00650252" w:rsidP="00650252">
            <w:pPr>
              <w:rPr>
                <w:rFonts w:cs="Arial"/>
                <w:sz w:val="20"/>
                <w:szCs w:val="20"/>
              </w:rPr>
            </w:pPr>
          </w:p>
        </w:tc>
        <w:tc>
          <w:tcPr>
            <w:tcW w:w="4394" w:type="dxa"/>
          </w:tcPr>
          <w:p w14:paraId="5900C8EC" w14:textId="016CE671"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 xml:space="preserve">Products that achieve the principal intended action primarily through physical means such lice combs, </w:t>
            </w:r>
            <w:r w:rsidR="00C77BB3" w:rsidRPr="00EE1E26">
              <w:rPr>
                <w:rFonts w:cs="Arial"/>
                <w:sz w:val="20"/>
                <w:szCs w:val="20"/>
              </w:rPr>
              <w:t>lubricants,</w:t>
            </w:r>
            <w:r w:rsidRPr="00EE1E26">
              <w:rPr>
                <w:rFonts w:cs="Arial"/>
                <w:sz w:val="20"/>
                <w:szCs w:val="20"/>
              </w:rPr>
              <w:t xml:space="preserve"> and electrocution of the lice.</w:t>
            </w:r>
          </w:p>
        </w:tc>
        <w:tc>
          <w:tcPr>
            <w:tcW w:w="2268" w:type="dxa"/>
          </w:tcPr>
          <w:p w14:paraId="62703E18" w14:textId="16731BDE"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Medical Device (Exempt)</w:t>
            </w:r>
          </w:p>
        </w:tc>
      </w:tr>
      <w:tr w:rsidR="00650252" w:rsidRPr="001C54D0" w14:paraId="045571EF"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4DDA5169" w14:textId="77777777" w:rsidR="00650252" w:rsidRPr="00EE1E26" w:rsidRDefault="00650252" w:rsidP="00650252">
            <w:pPr>
              <w:rPr>
                <w:rFonts w:cs="Arial"/>
                <w:sz w:val="20"/>
                <w:szCs w:val="20"/>
              </w:rPr>
            </w:pPr>
          </w:p>
        </w:tc>
        <w:tc>
          <w:tcPr>
            <w:tcW w:w="4394" w:type="dxa"/>
          </w:tcPr>
          <w:p w14:paraId="51ED7260" w14:textId="42EE2285"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achieve the principal intended action through both pharmacological or chemical</w:t>
            </w:r>
            <w:r w:rsidR="00B10B0C">
              <w:rPr>
                <w:rFonts w:cs="Arial"/>
                <w:sz w:val="20"/>
                <w:szCs w:val="20"/>
              </w:rPr>
              <w:t>,</w:t>
            </w:r>
            <w:r w:rsidRPr="00EE1E26">
              <w:rPr>
                <w:rFonts w:cs="Arial"/>
                <w:sz w:val="20"/>
                <w:szCs w:val="20"/>
              </w:rPr>
              <w:t xml:space="preserve"> and physical means. The action through physical means is considered ancillary.</w:t>
            </w:r>
          </w:p>
        </w:tc>
        <w:tc>
          <w:tcPr>
            <w:tcW w:w="2268" w:type="dxa"/>
          </w:tcPr>
          <w:p w14:paraId="4B71F891" w14:textId="0E28E532"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Medicine</w:t>
            </w:r>
          </w:p>
        </w:tc>
      </w:tr>
      <w:tr w:rsidR="00650252" w:rsidRPr="001C54D0" w14:paraId="3BA25DDE"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val="restart"/>
          </w:tcPr>
          <w:p w14:paraId="5D009E7C" w14:textId="77777777" w:rsidR="00650252" w:rsidRPr="00EE1E26" w:rsidRDefault="00650252" w:rsidP="00650252">
            <w:pPr>
              <w:rPr>
                <w:rFonts w:cs="Arial"/>
                <w:sz w:val="20"/>
                <w:szCs w:val="20"/>
              </w:rPr>
            </w:pPr>
            <w:r w:rsidRPr="00EE1E26">
              <w:rPr>
                <w:rFonts w:cs="Arial"/>
                <w:sz w:val="20"/>
                <w:szCs w:val="20"/>
              </w:rPr>
              <w:t>Moisturisers and emollients</w:t>
            </w:r>
          </w:p>
        </w:tc>
        <w:tc>
          <w:tcPr>
            <w:tcW w:w="4394" w:type="dxa"/>
          </w:tcPr>
          <w:p w14:paraId="2D28F0AE" w14:textId="088BC7FC"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incorporate active ingredient(s) and the principal intended action is primarily achieved through pharmacological or metabolic means.</w:t>
            </w:r>
          </w:p>
        </w:tc>
        <w:tc>
          <w:tcPr>
            <w:tcW w:w="2268" w:type="dxa"/>
          </w:tcPr>
          <w:p w14:paraId="7BCCF1E1" w14:textId="1D49A418"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Medicine</w:t>
            </w:r>
          </w:p>
        </w:tc>
      </w:tr>
      <w:tr w:rsidR="00650252" w:rsidRPr="001C54D0" w14:paraId="798A0090"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5EF7DA60" w14:textId="77777777" w:rsidR="00650252" w:rsidRPr="00EE1E26" w:rsidRDefault="00650252" w:rsidP="00650252">
            <w:pPr>
              <w:rPr>
                <w:rFonts w:cs="Arial"/>
                <w:sz w:val="20"/>
                <w:szCs w:val="20"/>
              </w:rPr>
            </w:pPr>
          </w:p>
        </w:tc>
        <w:tc>
          <w:tcPr>
            <w:tcW w:w="4394" w:type="dxa"/>
          </w:tcPr>
          <w:p w14:paraId="7C427E13" w14:textId="7583CC6F"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achieve the principal intended action primarily through physical means such as creating a barrier to retain moisture.</w:t>
            </w:r>
          </w:p>
        </w:tc>
        <w:tc>
          <w:tcPr>
            <w:tcW w:w="2268" w:type="dxa"/>
          </w:tcPr>
          <w:p w14:paraId="65817D19" w14:textId="16A61363"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Medical Device (Exempt)</w:t>
            </w:r>
          </w:p>
        </w:tc>
      </w:tr>
      <w:tr w:rsidR="00650252" w:rsidRPr="001C54D0" w14:paraId="680EA5C5"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3E44841B" w14:textId="77777777" w:rsidR="00650252" w:rsidRPr="00EE1E26" w:rsidRDefault="00650252" w:rsidP="00650252">
            <w:pPr>
              <w:rPr>
                <w:rFonts w:cs="Arial"/>
                <w:sz w:val="20"/>
                <w:szCs w:val="20"/>
              </w:rPr>
            </w:pPr>
          </w:p>
        </w:tc>
        <w:tc>
          <w:tcPr>
            <w:tcW w:w="4394" w:type="dxa"/>
          </w:tcPr>
          <w:p w14:paraId="72608AB2" w14:textId="0F3F58E0"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achieve the principal intended action through both pharmacological or metabolic</w:t>
            </w:r>
            <w:r w:rsidR="00B10B0C">
              <w:rPr>
                <w:rFonts w:cs="Arial"/>
                <w:sz w:val="20"/>
                <w:szCs w:val="20"/>
              </w:rPr>
              <w:t>,</w:t>
            </w:r>
            <w:r w:rsidRPr="00EE1E26">
              <w:rPr>
                <w:rFonts w:cs="Arial"/>
                <w:sz w:val="20"/>
                <w:szCs w:val="20"/>
              </w:rPr>
              <w:t xml:space="preserve"> and physical means, noting that the purpose of creating a barrier through physical means is considered ancillary.</w:t>
            </w:r>
          </w:p>
        </w:tc>
        <w:tc>
          <w:tcPr>
            <w:tcW w:w="2268" w:type="dxa"/>
          </w:tcPr>
          <w:p w14:paraId="658CD9F2" w14:textId="1DEB9930"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Medicine</w:t>
            </w:r>
          </w:p>
        </w:tc>
      </w:tr>
      <w:tr w:rsidR="00650252" w:rsidRPr="001C54D0" w14:paraId="4EFC2A13"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val="restart"/>
          </w:tcPr>
          <w:p w14:paraId="14FA6CA8" w14:textId="77777777" w:rsidR="00650252" w:rsidRPr="00EE1E26" w:rsidRDefault="00650252" w:rsidP="00650252">
            <w:pPr>
              <w:rPr>
                <w:rFonts w:cs="Arial"/>
                <w:sz w:val="20"/>
                <w:szCs w:val="20"/>
              </w:rPr>
            </w:pPr>
            <w:r w:rsidRPr="00EE1E26">
              <w:rPr>
                <w:rFonts w:cs="Arial"/>
                <w:sz w:val="20"/>
                <w:szCs w:val="20"/>
              </w:rPr>
              <w:t>Toothpastes (dentifrices)</w:t>
            </w:r>
          </w:p>
        </w:tc>
        <w:tc>
          <w:tcPr>
            <w:tcW w:w="4394" w:type="dxa"/>
          </w:tcPr>
          <w:p w14:paraId="62C8AF42" w14:textId="394F3074"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EE1E26">
              <w:rPr>
                <w:rFonts w:cs="Arial"/>
                <w:sz w:val="20"/>
                <w:szCs w:val="20"/>
              </w:rPr>
              <w:t>Products that incorporate active ingredient</w:t>
            </w:r>
            <w:r w:rsidR="009B3CBD">
              <w:rPr>
                <w:rFonts w:cs="Arial"/>
                <w:sz w:val="20"/>
                <w:szCs w:val="20"/>
              </w:rPr>
              <w:t>(s)</w:t>
            </w:r>
            <w:r w:rsidR="00E9215C">
              <w:rPr>
                <w:rFonts w:cs="Arial"/>
                <w:sz w:val="20"/>
                <w:szCs w:val="20"/>
              </w:rPr>
              <w:t>, and</w:t>
            </w:r>
            <w:r w:rsidR="009B3CBD">
              <w:rPr>
                <w:rFonts w:cs="Arial"/>
                <w:sz w:val="20"/>
                <w:szCs w:val="20"/>
              </w:rPr>
              <w:t xml:space="preserve"> the principal intended action is primarily achieved through pharmacological or chemical means</w:t>
            </w:r>
            <w:r w:rsidRPr="00EE1E26">
              <w:rPr>
                <w:rFonts w:cs="Arial"/>
                <w:sz w:val="20"/>
                <w:szCs w:val="20"/>
              </w:rPr>
              <w:t>.</w:t>
            </w:r>
          </w:p>
        </w:tc>
        <w:tc>
          <w:tcPr>
            <w:tcW w:w="2268" w:type="dxa"/>
          </w:tcPr>
          <w:p w14:paraId="662726B2" w14:textId="7CB5BAB5" w:rsidR="00650252" w:rsidRPr="00EE1E26"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EE1E26">
              <w:rPr>
                <w:rFonts w:cs="Arial"/>
                <w:sz w:val="20"/>
                <w:szCs w:val="20"/>
              </w:rPr>
              <w:t>Medicine</w:t>
            </w:r>
          </w:p>
        </w:tc>
      </w:tr>
      <w:tr w:rsidR="00650252" w:rsidRPr="001C54D0" w14:paraId="375E85F3"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3AE6F5B7" w14:textId="77777777" w:rsidR="00650252" w:rsidRPr="001C54D0" w:rsidRDefault="00650252" w:rsidP="00650252">
            <w:pPr>
              <w:rPr>
                <w:rFonts w:cs="Arial"/>
              </w:rPr>
            </w:pPr>
          </w:p>
        </w:tc>
        <w:tc>
          <w:tcPr>
            <w:tcW w:w="4394" w:type="dxa"/>
          </w:tcPr>
          <w:p w14:paraId="1DB1230C" w14:textId="0EB921C7"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 xml:space="preserve">Products that achieve the principal intended action primarily through physical means such as providing </w:t>
            </w:r>
            <w:r>
              <w:rPr>
                <w:rFonts w:cs="Arial"/>
                <w:sz w:val="20"/>
                <w:szCs w:val="20"/>
              </w:rPr>
              <w:t xml:space="preserve">a </w:t>
            </w:r>
            <w:r w:rsidRPr="001C54D0">
              <w:rPr>
                <w:rFonts w:cs="Arial"/>
                <w:sz w:val="20"/>
                <w:szCs w:val="20"/>
              </w:rPr>
              <w:t>protective barrier and blocking dentine pore.</w:t>
            </w:r>
          </w:p>
        </w:tc>
        <w:tc>
          <w:tcPr>
            <w:tcW w:w="2268" w:type="dxa"/>
          </w:tcPr>
          <w:p w14:paraId="496D4D04" w14:textId="47F85A68"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Medical Device (Exempt)</w:t>
            </w:r>
          </w:p>
        </w:tc>
      </w:tr>
      <w:tr w:rsidR="00650252" w:rsidRPr="001C54D0" w14:paraId="7949F443"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40457F9D" w14:textId="77777777" w:rsidR="00650252" w:rsidRPr="001C54D0" w:rsidRDefault="00650252" w:rsidP="00650252">
            <w:pPr>
              <w:rPr>
                <w:rFonts w:cs="Arial"/>
              </w:rPr>
            </w:pPr>
          </w:p>
        </w:tc>
        <w:tc>
          <w:tcPr>
            <w:tcW w:w="4394" w:type="dxa"/>
          </w:tcPr>
          <w:p w14:paraId="4B9531A3" w14:textId="4E0CD662"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Products that achieve</w:t>
            </w:r>
            <w:r w:rsidR="00B10B0C">
              <w:rPr>
                <w:rFonts w:cs="Arial"/>
                <w:sz w:val="20"/>
                <w:szCs w:val="20"/>
              </w:rPr>
              <w:t xml:space="preserve"> the</w:t>
            </w:r>
            <w:r w:rsidRPr="001C54D0">
              <w:rPr>
                <w:rFonts w:cs="Arial"/>
                <w:sz w:val="20"/>
                <w:szCs w:val="20"/>
              </w:rPr>
              <w:t xml:space="preserve"> principal intended action through both the </w:t>
            </w:r>
            <w:r>
              <w:rPr>
                <w:rFonts w:cs="Arial"/>
                <w:sz w:val="20"/>
                <w:szCs w:val="20"/>
              </w:rPr>
              <w:t>incorporated active ingredient and physical means, noting that the purpose of c</w:t>
            </w:r>
            <w:r w:rsidRPr="001C54D0">
              <w:rPr>
                <w:rFonts w:cs="Arial"/>
                <w:sz w:val="20"/>
                <w:szCs w:val="20"/>
              </w:rPr>
              <w:t xml:space="preserve">reating a barrier through physical means is </w:t>
            </w:r>
            <w:r>
              <w:rPr>
                <w:rFonts w:cs="Arial"/>
                <w:sz w:val="20"/>
                <w:szCs w:val="20"/>
              </w:rPr>
              <w:t xml:space="preserve">considered </w:t>
            </w:r>
            <w:r w:rsidRPr="001C54D0">
              <w:rPr>
                <w:rFonts w:cs="Arial"/>
                <w:sz w:val="20"/>
                <w:szCs w:val="20"/>
              </w:rPr>
              <w:t>ancillary.</w:t>
            </w:r>
          </w:p>
        </w:tc>
        <w:tc>
          <w:tcPr>
            <w:tcW w:w="2268" w:type="dxa"/>
          </w:tcPr>
          <w:p w14:paraId="453D8227" w14:textId="2F9A3FFA"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Medicine</w:t>
            </w:r>
          </w:p>
        </w:tc>
      </w:tr>
      <w:tr w:rsidR="00650252" w:rsidRPr="001C54D0" w14:paraId="3027E652"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val="restart"/>
          </w:tcPr>
          <w:p w14:paraId="252C9A50" w14:textId="77777777" w:rsidR="00650252" w:rsidRPr="001C54D0" w:rsidRDefault="00650252" w:rsidP="00650252">
            <w:pPr>
              <w:rPr>
                <w:rFonts w:cs="Arial"/>
                <w:sz w:val="20"/>
                <w:szCs w:val="20"/>
              </w:rPr>
            </w:pPr>
            <w:r w:rsidRPr="001C54D0">
              <w:rPr>
                <w:rFonts w:cs="Arial"/>
                <w:sz w:val="20"/>
                <w:szCs w:val="20"/>
              </w:rPr>
              <w:t>Products generated by ozone generators</w:t>
            </w:r>
          </w:p>
        </w:tc>
        <w:tc>
          <w:tcPr>
            <w:tcW w:w="4394" w:type="dxa"/>
          </w:tcPr>
          <w:p w14:paraId="23B9A0C2" w14:textId="77777777" w:rsidR="00650252" w:rsidRPr="001D7ACE"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D7ACE">
              <w:rPr>
                <w:rFonts w:cs="Arial"/>
                <w:sz w:val="20"/>
                <w:szCs w:val="20"/>
              </w:rPr>
              <w:t>Products that are used for:</w:t>
            </w:r>
          </w:p>
          <w:p w14:paraId="3BFFA629" w14:textId="77777777" w:rsidR="006778C8" w:rsidRPr="00397659"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7659">
              <w:rPr>
                <w:rFonts w:ascii="Arial" w:hAnsi="Arial" w:cs="Arial"/>
                <w:sz w:val="20"/>
                <w:szCs w:val="20"/>
              </w:rPr>
              <w:t>sanitising or disinfecting a medical device or equipment, or</w:t>
            </w:r>
          </w:p>
          <w:p w14:paraId="0BC7B685" w14:textId="2F71CE2F" w:rsidR="00650252" w:rsidRPr="001C54D0"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cs="Arial"/>
              </w:rPr>
            </w:pPr>
            <w:r w:rsidRPr="00397659">
              <w:rPr>
                <w:rFonts w:ascii="Arial" w:hAnsi="Arial" w:cs="Arial"/>
                <w:sz w:val="20"/>
                <w:szCs w:val="20"/>
              </w:rPr>
              <w:t>clinical treatment in dentistry</w:t>
            </w:r>
          </w:p>
        </w:tc>
        <w:tc>
          <w:tcPr>
            <w:tcW w:w="2268" w:type="dxa"/>
          </w:tcPr>
          <w:p w14:paraId="3B28BF29" w14:textId="6FAC7A0F"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 xml:space="preserve">Medical </w:t>
            </w:r>
            <w:r w:rsidR="004B4096">
              <w:rPr>
                <w:rFonts w:cs="Arial"/>
                <w:sz w:val="20"/>
                <w:szCs w:val="20"/>
              </w:rPr>
              <w:t>D</w:t>
            </w:r>
            <w:r w:rsidRPr="001C54D0">
              <w:rPr>
                <w:rFonts w:cs="Arial"/>
                <w:sz w:val="20"/>
                <w:szCs w:val="20"/>
              </w:rPr>
              <w:t>evice</w:t>
            </w:r>
          </w:p>
        </w:tc>
      </w:tr>
      <w:tr w:rsidR="00650252" w:rsidRPr="001C54D0" w14:paraId="18D4C67F"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05BB9D07" w14:textId="77777777" w:rsidR="00650252" w:rsidRPr="001C54D0" w:rsidRDefault="00650252" w:rsidP="00650252">
            <w:pPr>
              <w:rPr>
                <w:rFonts w:cs="Arial"/>
                <w:sz w:val="20"/>
                <w:szCs w:val="20"/>
              </w:rPr>
            </w:pPr>
          </w:p>
        </w:tc>
        <w:tc>
          <w:tcPr>
            <w:tcW w:w="4394" w:type="dxa"/>
          </w:tcPr>
          <w:p w14:paraId="41C53408" w14:textId="77777777" w:rsidR="00650252" w:rsidRPr="001D7ACE"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D7ACE">
              <w:rPr>
                <w:rFonts w:cs="Arial"/>
                <w:sz w:val="20"/>
                <w:szCs w:val="20"/>
              </w:rPr>
              <w:t xml:space="preserve">Products that are hospital grade or household/commercial grade disinfectant that </w:t>
            </w:r>
            <w:r w:rsidRPr="001D7ACE">
              <w:rPr>
                <w:rFonts w:cs="Arial"/>
                <w:sz w:val="20"/>
                <w:szCs w:val="20"/>
                <w:u w:val="single"/>
              </w:rPr>
              <w:t>do not make specific claims</w:t>
            </w:r>
            <w:r>
              <w:rPr>
                <w:rFonts w:cs="Arial"/>
                <w:sz w:val="20"/>
                <w:szCs w:val="20"/>
              </w:rPr>
              <w:t>*</w:t>
            </w:r>
            <w:r w:rsidRPr="001D7ACE">
              <w:rPr>
                <w:rFonts w:cs="Arial"/>
                <w:sz w:val="20"/>
                <w:szCs w:val="20"/>
              </w:rPr>
              <w:t xml:space="preserve">, </w:t>
            </w:r>
            <w:r>
              <w:rPr>
                <w:rFonts w:cs="Arial"/>
                <w:sz w:val="20"/>
                <w:szCs w:val="20"/>
              </w:rPr>
              <w:t xml:space="preserve">and </w:t>
            </w:r>
            <w:r w:rsidRPr="001D7ACE">
              <w:rPr>
                <w:rFonts w:cs="Arial"/>
                <w:sz w:val="20"/>
                <w:szCs w:val="20"/>
              </w:rPr>
              <w:t>are:</w:t>
            </w:r>
          </w:p>
          <w:p w14:paraId="4569F504" w14:textId="77777777" w:rsidR="00650252" w:rsidRPr="00397659"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7659">
              <w:rPr>
                <w:rFonts w:ascii="Arial" w:hAnsi="Arial" w:cs="Arial"/>
                <w:sz w:val="20"/>
                <w:szCs w:val="20"/>
                <w:u w:val="single"/>
              </w:rPr>
              <w:t>not intended</w:t>
            </w:r>
            <w:r w:rsidRPr="00397659">
              <w:rPr>
                <w:rFonts w:ascii="Arial" w:hAnsi="Arial" w:cs="Arial"/>
                <w:sz w:val="20"/>
                <w:szCs w:val="20"/>
              </w:rPr>
              <w:t xml:space="preserve"> for use internally or on skin, </w:t>
            </w:r>
          </w:p>
          <w:p w14:paraId="417DEA01" w14:textId="77777777" w:rsidR="006778C8" w:rsidRPr="00397659"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7659">
              <w:rPr>
                <w:rFonts w:ascii="Arial" w:hAnsi="Arial" w:cs="Arial"/>
                <w:sz w:val="20"/>
                <w:szCs w:val="20"/>
                <w:u w:val="single"/>
              </w:rPr>
              <w:t>not intended</w:t>
            </w:r>
            <w:r w:rsidRPr="00397659">
              <w:rPr>
                <w:rFonts w:ascii="Arial" w:hAnsi="Arial" w:cs="Arial"/>
                <w:sz w:val="20"/>
                <w:szCs w:val="20"/>
              </w:rPr>
              <w:t xml:space="preserve"> for use on medical device, and </w:t>
            </w:r>
          </w:p>
          <w:p w14:paraId="4B95C3B5" w14:textId="73027CE2" w:rsidR="00650252" w:rsidRPr="001C54D0"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cs="Arial"/>
              </w:rPr>
            </w:pPr>
            <w:r w:rsidRPr="00397659">
              <w:rPr>
                <w:rFonts w:ascii="Arial" w:hAnsi="Arial" w:cs="Arial"/>
                <w:sz w:val="20"/>
                <w:szCs w:val="20"/>
                <w:u w:val="single"/>
              </w:rPr>
              <w:t>intended</w:t>
            </w:r>
            <w:r w:rsidRPr="00397659">
              <w:rPr>
                <w:rFonts w:ascii="Arial" w:hAnsi="Arial" w:cs="Arial"/>
                <w:sz w:val="20"/>
                <w:szCs w:val="20"/>
              </w:rPr>
              <w:t xml:space="preserve"> for use on hard and soft surfaces.</w:t>
            </w:r>
          </w:p>
        </w:tc>
        <w:tc>
          <w:tcPr>
            <w:tcW w:w="2268" w:type="dxa"/>
          </w:tcPr>
          <w:p w14:paraId="0983C2BA" w14:textId="07B1D06E"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Exempt Disinfectant</w:t>
            </w:r>
          </w:p>
        </w:tc>
      </w:tr>
      <w:tr w:rsidR="00650252" w:rsidRPr="001C54D0" w14:paraId="162EFF58"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35CFACC3" w14:textId="77777777" w:rsidR="00650252" w:rsidRPr="001C54D0" w:rsidRDefault="00650252" w:rsidP="00650252">
            <w:pPr>
              <w:rPr>
                <w:rFonts w:cs="Arial"/>
                <w:sz w:val="20"/>
                <w:szCs w:val="20"/>
              </w:rPr>
            </w:pPr>
          </w:p>
        </w:tc>
        <w:tc>
          <w:tcPr>
            <w:tcW w:w="4394" w:type="dxa"/>
          </w:tcPr>
          <w:p w14:paraId="12BF02E4" w14:textId="77777777" w:rsidR="00650252" w:rsidRPr="001D7ACE"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D7ACE">
              <w:rPr>
                <w:rFonts w:cs="Arial"/>
                <w:sz w:val="20"/>
                <w:szCs w:val="20"/>
              </w:rPr>
              <w:t xml:space="preserve">Products that are hospital grade or household/commercial grade disinfectant that </w:t>
            </w:r>
            <w:r w:rsidRPr="001D7ACE">
              <w:rPr>
                <w:rFonts w:cs="Arial"/>
                <w:sz w:val="20"/>
                <w:szCs w:val="20"/>
                <w:u w:val="single"/>
              </w:rPr>
              <w:t>make specific claims</w:t>
            </w:r>
            <w:r>
              <w:rPr>
                <w:rFonts w:cs="Arial"/>
                <w:sz w:val="20"/>
                <w:szCs w:val="20"/>
              </w:rPr>
              <w:t>*</w:t>
            </w:r>
            <w:r w:rsidRPr="001D7ACE">
              <w:rPr>
                <w:rFonts w:cs="Arial"/>
                <w:sz w:val="20"/>
                <w:szCs w:val="20"/>
              </w:rPr>
              <w:t xml:space="preserve">, </w:t>
            </w:r>
            <w:r>
              <w:rPr>
                <w:rFonts w:cs="Arial"/>
                <w:sz w:val="20"/>
                <w:szCs w:val="20"/>
              </w:rPr>
              <w:t xml:space="preserve">and </w:t>
            </w:r>
            <w:r w:rsidRPr="001D7ACE">
              <w:rPr>
                <w:rFonts w:cs="Arial"/>
                <w:sz w:val="20"/>
                <w:szCs w:val="20"/>
              </w:rPr>
              <w:t>are:</w:t>
            </w:r>
          </w:p>
          <w:p w14:paraId="44DEA7BD" w14:textId="77777777" w:rsidR="00650252" w:rsidRPr="00397659"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7659">
              <w:rPr>
                <w:rFonts w:ascii="Arial" w:hAnsi="Arial" w:cs="Arial"/>
                <w:sz w:val="20"/>
                <w:szCs w:val="20"/>
                <w:u w:val="single"/>
              </w:rPr>
              <w:t>not intended</w:t>
            </w:r>
            <w:r w:rsidRPr="00397659">
              <w:rPr>
                <w:rFonts w:ascii="Arial" w:hAnsi="Arial" w:cs="Arial"/>
                <w:sz w:val="20"/>
                <w:szCs w:val="20"/>
              </w:rPr>
              <w:t xml:space="preserve"> for use internally or on skin, </w:t>
            </w:r>
          </w:p>
          <w:p w14:paraId="240EE835" w14:textId="77777777" w:rsidR="006778C8" w:rsidRPr="00397659"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97659">
              <w:rPr>
                <w:rFonts w:ascii="Arial" w:hAnsi="Arial" w:cs="Arial"/>
                <w:sz w:val="20"/>
                <w:szCs w:val="20"/>
                <w:u w:val="single"/>
              </w:rPr>
              <w:t>not intended</w:t>
            </w:r>
            <w:r w:rsidRPr="00397659">
              <w:rPr>
                <w:rFonts w:ascii="Arial" w:hAnsi="Arial" w:cs="Arial"/>
                <w:sz w:val="20"/>
                <w:szCs w:val="20"/>
              </w:rPr>
              <w:t xml:space="preserve"> for use on medical device, and </w:t>
            </w:r>
          </w:p>
          <w:p w14:paraId="4EFB1F94" w14:textId="54C8526C" w:rsidR="00650252" w:rsidRPr="001C54D0" w:rsidRDefault="00650252" w:rsidP="003B58F5">
            <w:pPr>
              <w:pStyle w:val="ListParagraph"/>
              <w:cnfStyle w:val="000000000000" w:firstRow="0" w:lastRow="0" w:firstColumn="0" w:lastColumn="0" w:oddVBand="0" w:evenVBand="0" w:oddHBand="0" w:evenHBand="0" w:firstRowFirstColumn="0" w:firstRowLastColumn="0" w:lastRowFirstColumn="0" w:lastRowLastColumn="0"/>
              <w:rPr>
                <w:rFonts w:cs="Arial"/>
              </w:rPr>
            </w:pPr>
            <w:r w:rsidRPr="00397659">
              <w:rPr>
                <w:rFonts w:ascii="Arial" w:hAnsi="Arial" w:cs="Arial"/>
                <w:sz w:val="20"/>
                <w:szCs w:val="20"/>
                <w:u w:val="single"/>
              </w:rPr>
              <w:t>intended</w:t>
            </w:r>
            <w:r w:rsidRPr="00397659">
              <w:rPr>
                <w:rFonts w:ascii="Arial" w:hAnsi="Arial" w:cs="Arial"/>
                <w:sz w:val="20"/>
                <w:szCs w:val="20"/>
              </w:rPr>
              <w:t xml:space="preserve"> for use on hard and soft surfaces.</w:t>
            </w:r>
          </w:p>
        </w:tc>
        <w:tc>
          <w:tcPr>
            <w:tcW w:w="2268" w:type="dxa"/>
          </w:tcPr>
          <w:p w14:paraId="7B237846" w14:textId="4B81D5FD"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Listed Disinfectant</w:t>
            </w:r>
          </w:p>
        </w:tc>
      </w:tr>
      <w:tr w:rsidR="00650252" w:rsidRPr="001C54D0" w14:paraId="3D2501C8" w14:textId="77777777" w:rsidTr="00650252">
        <w:trPr>
          <w:trHeight w:val="972"/>
        </w:trPr>
        <w:tc>
          <w:tcPr>
            <w:cnfStyle w:val="001000000000" w:firstRow="0" w:lastRow="0" w:firstColumn="1" w:lastColumn="0" w:oddVBand="0" w:evenVBand="0" w:oddHBand="0" w:evenHBand="0" w:firstRowFirstColumn="0" w:firstRowLastColumn="0" w:lastRowFirstColumn="0" w:lastRowLastColumn="0"/>
            <w:tcW w:w="2122" w:type="dxa"/>
            <w:vMerge/>
          </w:tcPr>
          <w:p w14:paraId="2406A04C" w14:textId="77777777" w:rsidR="00650252" w:rsidRPr="001C54D0" w:rsidRDefault="00650252" w:rsidP="00650252">
            <w:pPr>
              <w:rPr>
                <w:rFonts w:cs="Arial"/>
                <w:sz w:val="20"/>
                <w:szCs w:val="20"/>
              </w:rPr>
            </w:pPr>
          </w:p>
        </w:tc>
        <w:tc>
          <w:tcPr>
            <w:tcW w:w="4394" w:type="dxa"/>
          </w:tcPr>
          <w:p w14:paraId="356B9D2B" w14:textId="6D35AEE4"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 xml:space="preserve">Products for sanitation, environmental control and environmental detoxification. </w:t>
            </w:r>
          </w:p>
        </w:tc>
        <w:tc>
          <w:tcPr>
            <w:tcW w:w="2268" w:type="dxa"/>
          </w:tcPr>
          <w:p w14:paraId="2D404878" w14:textId="12F75459"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Excluded Goods</w:t>
            </w:r>
          </w:p>
        </w:tc>
      </w:tr>
      <w:tr w:rsidR="00650252" w:rsidRPr="001C54D0" w14:paraId="75166D3A"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val="restart"/>
          </w:tcPr>
          <w:p w14:paraId="4FC22E12" w14:textId="77777777" w:rsidR="00650252" w:rsidRPr="001C54D0" w:rsidRDefault="00650252" w:rsidP="00650252">
            <w:pPr>
              <w:rPr>
                <w:rFonts w:cs="Arial"/>
                <w:sz w:val="20"/>
                <w:szCs w:val="20"/>
              </w:rPr>
            </w:pPr>
            <w:r w:rsidRPr="001C54D0">
              <w:rPr>
                <w:rFonts w:cs="Arial"/>
                <w:sz w:val="20"/>
                <w:szCs w:val="20"/>
              </w:rPr>
              <w:t xml:space="preserve">Weight loss treatment - ingested  </w:t>
            </w:r>
          </w:p>
        </w:tc>
        <w:tc>
          <w:tcPr>
            <w:tcW w:w="4394" w:type="dxa"/>
          </w:tcPr>
          <w:p w14:paraId="55CC82FC" w14:textId="3F835664"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Products such as capsules that expand in the stomach to create a feeling of satiety by occupying space.</w:t>
            </w:r>
          </w:p>
        </w:tc>
        <w:tc>
          <w:tcPr>
            <w:tcW w:w="2268" w:type="dxa"/>
          </w:tcPr>
          <w:p w14:paraId="676E4F43" w14:textId="7C79555B"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Medical Device</w:t>
            </w:r>
          </w:p>
        </w:tc>
      </w:tr>
      <w:tr w:rsidR="00650252" w:rsidRPr="001C54D0" w14:paraId="55DF4E3B" w14:textId="77777777" w:rsidTr="00650252">
        <w:tc>
          <w:tcPr>
            <w:cnfStyle w:val="001000000000" w:firstRow="0" w:lastRow="0" w:firstColumn="1" w:lastColumn="0" w:oddVBand="0" w:evenVBand="0" w:oddHBand="0" w:evenHBand="0" w:firstRowFirstColumn="0" w:firstRowLastColumn="0" w:lastRowFirstColumn="0" w:lastRowLastColumn="0"/>
            <w:tcW w:w="2122" w:type="dxa"/>
            <w:vMerge/>
          </w:tcPr>
          <w:p w14:paraId="7869325E" w14:textId="77777777" w:rsidR="00650252" w:rsidRPr="001C54D0" w:rsidRDefault="00650252" w:rsidP="00650252">
            <w:pPr>
              <w:rPr>
                <w:rFonts w:cs="Arial"/>
                <w:sz w:val="20"/>
                <w:szCs w:val="20"/>
              </w:rPr>
            </w:pPr>
          </w:p>
        </w:tc>
        <w:tc>
          <w:tcPr>
            <w:tcW w:w="4394" w:type="dxa"/>
          </w:tcPr>
          <w:p w14:paraId="5B639414" w14:textId="2C961405"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rPr>
            </w:pPr>
            <w:r w:rsidRPr="001C54D0">
              <w:rPr>
                <w:rFonts w:cs="Arial"/>
                <w:sz w:val="20"/>
                <w:szCs w:val="20"/>
              </w:rPr>
              <w:t>Products that affect absorption of calories in the gastrointestinal system by metabolic means.</w:t>
            </w:r>
          </w:p>
        </w:tc>
        <w:tc>
          <w:tcPr>
            <w:tcW w:w="2268" w:type="dxa"/>
          </w:tcPr>
          <w:p w14:paraId="76BE3A5A" w14:textId="21C9F25D" w:rsidR="00650252" w:rsidRPr="001C54D0" w:rsidRDefault="00650252" w:rsidP="0065025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C54D0">
              <w:rPr>
                <w:rFonts w:cs="Arial"/>
                <w:sz w:val="20"/>
                <w:szCs w:val="20"/>
              </w:rPr>
              <w:t>Medicine</w:t>
            </w:r>
          </w:p>
        </w:tc>
      </w:tr>
    </w:tbl>
    <w:p w14:paraId="7749C65B" w14:textId="77777777" w:rsidR="00650252" w:rsidRDefault="00650252" w:rsidP="00D94A64">
      <w:pPr>
        <w:rPr>
          <w:rFonts w:cs="Arial"/>
        </w:rPr>
      </w:pPr>
    </w:p>
    <w:p w14:paraId="72CEBA40" w14:textId="1CCD718A" w:rsidR="00D94A64" w:rsidRPr="00FE7659" w:rsidRDefault="001D7ACE" w:rsidP="00D94A64">
      <w:pPr>
        <w:rPr>
          <w:rFonts w:cs="Arial"/>
        </w:rPr>
      </w:pPr>
      <w:r>
        <w:rPr>
          <w:rFonts w:cs="Arial"/>
        </w:rPr>
        <w:t xml:space="preserve">* </w:t>
      </w:r>
      <w:r w:rsidRPr="001D7ACE">
        <w:rPr>
          <w:rFonts w:cs="Arial"/>
        </w:rPr>
        <w:t xml:space="preserve">Virucidal, sporicidal, tuberculocidal, fungicidal or other biocidal activity are known as "specific claims". </w:t>
      </w:r>
      <w:r w:rsidR="003E0723">
        <w:rPr>
          <w:rFonts w:cs="Arial"/>
        </w:rPr>
        <w:t xml:space="preserve">See </w:t>
      </w:r>
      <w:hyperlink r:id="rId18" w:history="1">
        <w:r w:rsidRPr="002C1FC8">
          <w:rPr>
            <w:rStyle w:val="Hyperlink"/>
            <w:rFonts w:cs="Arial"/>
          </w:rPr>
          <w:t>Disinfectant Claim Guide</w:t>
        </w:r>
      </w:hyperlink>
      <w:r w:rsidRPr="001D7ACE">
        <w:rPr>
          <w:rFonts w:cs="Arial"/>
        </w:rPr>
        <w:t>.</w:t>
      </w:r>
    </w:p>
    <w:tbl>
      <w:tblPr>
        <w:tblW w:w="9045" w:type="dxa"/>
        <w:tblLayout w:type="fixed"/>
        <w:tblCellMar>
          <w:left w:w="0" w:type="dxa"/>
          <w:right w:w="0" w:type="dxa"/>
        </w:tblCellMar>
        <w:tblLook w:val="04A0" w:firstRow="1" w:lastRow="0" w:firstColumn="1" w:lastColumn="0" w:noHBand="0" w:noVBand="1"/>
      </w:tblPr>
      <w:tblGrid>
        <w:gridCol w:w="1134"/>
        <w:gridCol w:w="7911"/>
      </w:tblGrid>
      <w:tr w:rsidR="00434679" w:rsidRPr="00FE7659" w14:paraId="4B85937C" w14:textId="77777777" w:rsidTr="00930A9D">
        <w:tc>
          <w:tcPr>
            <w:tcW w:w="1134" w:type="dxa"/>
            <w:vAlign w:val="center"/>
            <w:hideMark/>
          </w:tcPr>
          <w:p w14:paraId="2CD60675" w14:textId="77777777" w:rsidR="00434679" w:rsidRPr="00FE7659" w:rsidRDefault="00434679" w:rsidP="00930A9D">
            <w:pPr>
              <w:rPr>
                <w:rFonts w:cs="Arial"/>
              </w:rPr>
            </w:pPr>
            <w:bookmarkStart w:id="12" w:name="_Hlk163827149"/>
            <w:r w:rsidRPr="00FE7659">
              <w:rPr>
                <w:rFonts w:cs="Arial"/>
                <w:noProof/>
              </w:rPr>
              <w:drawing>
                <wp:inline distT="0" distB="0" distL="0" distR="0" wp14:anchorId="5E77CC98" wp14:editId="34F0C72D">
                  <wp:extent cx="695960" cy="69596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inline>
              </w:drawing>
            </w:r>
          </w:p>
        </w:tc>
        <w:tc>
          <w:tcPr>
            <w:tcW w:w="7911" w:type="dxa"/>
            <w:shd w:val="clear" w:color="auto" w:fill="EAEAEA"/>
            <w:tcMar>
              <w:top w:w="170" w:type="dxa"/>
              <w:left w:w="170" w:type="dxa"/>
              <w:bottom w:w="170" w:type="dxa"/>
              <w:right w:w="170" w:type="dxa"/>
            </w:tcMar>
            <w:vAlign w:val="center"/>
            <w:hideMark/>
          </w:tcPr>
          <w:p w14:paraId="29C28089" w14:textId="41B8195C" w:rsidR="00434679" w:rsidRPr="00FE7659" w:rsidRDefault="00434679" w:rsidP="00930A9D">
            <w:pPr>
              <w:rPr>
                <w:rFonts w:cs="Arial"/>
                <w:b/>
                <w:color w:val="000000" w:themeColor="text1"/>
              </w:rPr>
            </w:pPr>
            <w:r w:rsidRPr="00FE7659">
              <w:rPr>
                <w:rFonts w:cs="Arial"/>
                <w:b/>
                <w:color w:val="000000" w:themeColor="text1"/>
              </w:rPr>
              <w:t>Proposal 1</w:t>
            </w:r>
            <w:r w:rsidR="00CD4F7C">
              <w:rPr>
                <w:rFonts w:cs="Arial"/>
                <w:b/>
                <w:color w:val="000000" w:themeColor="text1"/>
              </w:rPr>
              <w:t>a</w:t>
            </w:r>
            <w:r w:rsidRPr="00FE7659">
              <w:rPr>
                <w:rFonts w:cs="Arial"/>
                <w:b/>
                <w:color w:val="000000" w:themeColor="text1"/>
              </w:rPr>
              <w:t xml:space="preserve"> </w:t>
            </w:r>
          </w:p>
          <w:p w14:paraId="2066FCF5" w14:textId="796DA491" w:rsidR="00973990" w:rsidRPr="00EE1E26" w:rsidRDefault="006C77AE" w:rsidP="00EE1E26">
            <w:pPr>
              <w:rPr>
                <w:rFonts w:cs="Arial"/>
                <w:bCs/>
                <w:color w:val="000000" w:themeColor="text1"/>
              </w:rPr>
            </w:pPr>
            <w:bookmarkStart w:id="13" w:name="_Hlk164177923"/>
            <w:r w:rsidRPr="00EE1E26">
              <w:rPr>
                <w:rFonts w:eastAsia="Cambria" w:cs="Arial"/>
                <w:color w:val="000000" w:themeColor="text1"/>
              </w:rPr>
              <w:t>1.1 Would</w:t>
            </w:r>
            <w:r w:rsidR="00973990" w:rsidRPr="00EE1E26">
              <w:rPr>
                <w:rFonts w:cs="Arial"/>
                <w:bCs/>
                <w:color w:val="000000" w:themeColor="text1"/>
              </w:rPr>
              <w:t xml:space="preserve"> legislating </w:t>
            </w:r>
            <w:r w:rsidR="005C2E73" w:rsidRPr="00EE1E26">
              <w:rPr>
                <w:rFonts w:cs="Arial"/>
                <w:bCs/>
                <w:color w:val="000000" w:themeColor="text1"/>
              </w:rPr>
              <w:t>the products, wherever possible,</w:t>
            </w:r>
            <w:r w:rsidR="00973990" w:rsidRPr="00EE1E26">
              <w:rPr>
                <w:rFonts w:cs="Arial"/>
                <w:bCs/>
                <w:color w:val="000000" w:themeColor="text1"/>
              </w:rPr>
              <w:t xml:space="preserve"> </w:t>
            </w:r>
            <w:r w:rsidR="00FA1056" w:rsidRPr="00EE1E26">
              <w:rPr>
                <w:rFonts w:cs="Arial"/>
                <w:bCs/>
                <w:color w:val="000000" w:themeColor="text1"/>
              </w:rPr>
              <w:t xml:space="preserve">to </w:t>
            </w:r>
            <w:r w:rsidR="004F2AF5" w:rsidRPr="00EE1E26">
              <w:rPr>
                <w:rFonts w:cs="Arial"/>
                <w:bCs/>
                <w:color w:val="000000" w:themeColor="text1"/>
              </w:rPr>
              <w:t xml:space="preserve">be </w:t>
            </w:r>
            <w:r w:rsidR="00FA1056" w:rsidRPr="00EE1E26">
              <w:rPr>
                <w:rFonts w:cs="Arial"/>
                <w:bCs/>
                <w:color w:val="000000" w:themeColor="text1"/>
              </w:rPr>
              <w:t>declare</w:t>
            </w:r>
            <w:r w:rsidR="004F2AF5" w:rsidRPr="00EE1E26">
              <w:rPr>
                <w:rFonts w:cs="Arial"/>
                <w:bCs/>
                <w:color w:val="000000" w:themeColor="text1"/>
              </w:rPr>
              <w:t>d</w:t>
            </w:r>
            <w:r w:rsidR="00FA1056" w:rsidRPr="00EE1E26">
              <w:rPr>
                <w:rFonts w:cs="Arial"/>
                <w:bCs/>
                <w:color w:val="000000" w:themeColor="text1"/>
              </w:rPr>
              <w:t xml:space="preserve"> as per </w:t>
            </w:r>
            <w:r w:rsidR="00B10B0C">
              <w:rPr>
                <w:rFonts w:cs="Arial"/>
                <w:bCs/>
                <w:color w:val="000000" w:themeColor="text1"/>
              </w:rPr>
              <w:t xml:space="preserve">the regulatory </w:t>
            </w:r>
            <w:r w:rsidR="00FA1056" w:rsidRPr="00EE1E26">
              <w:rPr>
                <w:rFonts w:cs="Arial"/>
                <w:bCs/>
                <w:color w:val="000000" w:themeColor="text1"/>
              </w:rPr>
              <w:t>categories mentioned in the table above</w:t>
            </w:r>
            <w:r w:rsidR="005C2E73" w:rsidRPr="00EE1E26">
              <w:rPr>
                <w:rFonts w:cs="Arial"/>
                <w:bCs/>
                <w:color w:val="000000" w:themeColor="text1"/>
              </w:rPr>
              <w:t xml:space="preserve"> </w:t>
            </w:r>
            <w:r w:rsidR="00973990" w:rsidRPr="00EE1E26">
              <w:rPr>
                <w:rFonts w:cs="Arial"/>
                <w:bCs/>
                <w:color w:val="000000" w:themeColor="text1"/>
              </w:rPr>
              <w:t xml:space="preserve">provide additional clarity on the regulatory </w:t>
            </w:r>
            <w:r w:rsidR="004F2AF5" w:rsidRPr="00EE1E26">
              <w:rPr>
                <w:rFonts w:cs="Arial"/>
                <w:bCs/>
                <w:color w:val="000000" w:themeColor="text1"/>
              </w:rPr>
              <w:t xml:space="preserve">pathway </w:t>
            </w:r>
            <w:r w:rsidR="00973990" w:rsidRPr="00EE1E26">
              <w:rPr>
                <w:rFonts w:cs="Arial"/>
                <w:bCs/>
                <w:color w:val="000000" w:themeColor="text1"/>
              </w:rPr>
              <w:t>for these products?</w:t>
            </w:r>
          </w:p>
          <w:p w14:paraId="0860B28A" w14:textId="77777777" w:rsidR="00434679" w:rsidRPr="00EE1E26" w:rsidRDefault="00434679" w:rsidP="00E07ECF">
            <w:pPr>
              <w:pStyle w:val="ListBullet"/>
            </w:pPr>
            <w:r w:rsidRPr="00EE1E26">
              <w:t>Yes/No</w:t>
            </w:r>
          </w:p>
          <w:p w14:paraId="00AE0BB0" w14:textId="77777777" w:rsidR="00434679" w:rsidRPr="00EE1E26" w:rsidRDefault="00434679" w:rsidP="00E07ECF">
            <w:pPr>
              <w:pStyle w:val="ListBullet"/>
            </w:pPr>
            <w:r w:rsidRPr="00EE1E26">
              <w:t>Explain why?</w:t>
            </w:r>
          </w:p>
          <w:p w14:paraId="242A5ABB" w14:textId="69BB4980" w:rsidR="00434679" w:rsidRPr="00EE1E26" w:rsidRDefault="00434679" w:rsidP="00930A9D">
            <w:pPr>
              <w:rPr>
                <w:rFonts w:cs="Arial"/>
                <w:color w:val="000000" w:themeColor="text1"/>
              </w:rPr>
            </w:pPr>
            <w:r w:rsidRPr="00EE1E26">
              <w:rPr>
                <w:rFonts w:cs="Arial"/>
                <w:color w:val="000000" w:themeColor="text1"/>
              </w:rPr>
              <w:t>1.</w:t>
            </w:r>
            <w:r w:rsidR="001F5FD8" w:rsidRPr="00EE1E26">
              <w:rPr>
                <w:rFonts w:cs="Arial"/>
                <w:color w:val="000000" w:themeColor="text1"/>
              </w:rPr>
              <w:t>2</w:t>
            </w:r>
            <w:r w:rsidRPr="00EE1E26">
              <w:rPr>
                <w:rFonts w:cs="Arial"/>
                <w:color w:val="000000" w:themeColor="text1"/>
              </w:rPr>
              <w:t xml:space="preserve"> If </w:t>
            </w:r>
            <w:r w:rsidR="00574D70" w:rsidRPr="00EE1E26">
              <w:rPr>
                <w:rFonts w:cs="Arial"/>
                <w:color w:val="000000" w:themeColor="text1"/>
              </w:rPr>
              <w:t xml:space="preserve">your product </w:t>
            </w:r>
            <w:r w:rsidR="00AB10DA">
              <w:rPr>
                <w:rFonts w:cs="Arial"/>
                <w:color w:val="000000" w:themeColor="text1"/>
              </w:rPr>
              <w:t xml:space="preserve">would need to change </w:t>
            </w:r>
            <w:r w:rsidR="00574D70" w:rsidRPr="00EE1E26">
              <w:rPr>
                <w:rFonts w:cs="Arial"/>
                <w:color w:val="000000" w:themeColor="text1"/>
              </w:rPr>
              <w:t xml:space="preserve">regulatory </w:t>
            </w:r>
            <w:r w:rsidR="0094353C" w:rsidRPr="00EE1E26">
              <w:rPr>
                <w:rFonts w:cs="Arial"/>
                <w:color w:val="000000" w:themeColor="text1"/>
              </w:rPr>
              <w:t>category</w:t>
            </w:r>
            <w:r w:rsidR="00574D70" w:rsidRPr="00EE1E26">
              <w:rPr>
                <w:rFonts w:cs="Arial"/>
                <w:color w:val="000000" w:themeColor="text1"/>
              </w:rPr>
              <w:t xml:space="preserve"> </w:t>
            </w:r>
            <w:r w:rsidR="00AB10DA">
              <w:rPr>
                <w:rFonts w:cs="Arial"/>
                <w:color w:val="000000" w:themeColor="text1"/>
              </w:rPr>
              <w:t xml:space="preserve">as per the </w:t>
            </w:r>
            <w:r w:rsidR="00574D70" w:rsidRPr="00EE1E26">
              <w:rPr>
                <w:rFonts w:cs="Arial"/>
                <w:color w:val="000000" w:themeColor="text1"/>
              </w:rPr>
              <w:t>table above</w:t>
            </w:r>
            <w:r w:rsidRPr="00EE1E26">
              <w:rPr>
                <w:rFonts w:cs="Arial"/>
                <w:color w:val="000000" w:themeColor="text1"/>
              </w:rPr>
              <w:t xml:space="preserve">, </w:t>
            </w:r>
            <w:r w:rsidR="00574D70" w:rsidRPr="00EE1E26">
              <w:rPr>
                <w:rFonts w:cs="Arial"/>
                <w:color w:val="000000" w:themeColor="text1"/>
              </w:rPr>
              <w:t xml:space="preserve">would </w:t>
            </w:r>
            <w:r w:rsidR="00973990" w:rsidRPr="00EE1E26">
              <w:rPr>
                <w:rFonts w:cs="Arial"/>
                <w:color w:val="000000" w:themeColor="text1"/>
              </w:rPr>
              <w:t xml:space="preserve">a </w:t>
            </w:r>
            <w:r w:rsidRPr="00EE1E26">
              <w:rPr>
                <w:rFonts w:cs="Arial"/>
                <w:color w:val="000000" w:themeColor="text1"/>
              </w:rPr>
              <w:t>transition</w:t>
            </w:r>
            <w:r w:rsidR="00973990" w:rsidRPr="00EE1E26">
              <w:rPr>
                <w:rFonts w:cs="Arial"/>
                <w:color w:val="000000" w:themeColor="text1"/>
              </w:rPr>
              <w:t>al</w:t>
            </w:r>
            <w:r w:rsidRPr="00EE1E26">
              <w:rPr>
                <w:rFonts w:cs="Arial"/>
                <w:color w:val="000000" w:themeColor="text1"/>
              </w:rPr>
              <w:t xml:space="preserve"> </w:t>
            </w:r>
            <w:r w:rsidR="00574D70" w:rsidRPr="00EE1E26">
              <w:rPr>
                <w:rFonts w:cs="Arial"/>
                <w:color w:val="000000" w:themeColor="text1"/>
              </w:rPr>
              <w:t xml:space="preserve">period </w:t>
            </w:r>
            <w:r w:rsidR="00973990" w:rsidRPr="00EE1E26">
              <w:rPr>
                <w:rFonts w:cs="Arial"/>
                <w:color w:val="000000" w:themeColor="text1"/>
              </w:rPr>
              <w:t xml:space="preserve">of five years </w:t>
            </w:r>
            <w:r w:rsidR="00574D70" w:rsidRPr="00EE1E26">
              <w:rPr>
                <w:rFonts w:cs="Arial"/>
                <w:color w:val="000000" w:themeColor="text1"/>
              </w:rPr>
              <w:t xml:space="preserve">be sufficient for you to transition </w:t>
            </w:r>
            <w:r w:rsidRPr="00EE1E26">
              <w:rPr>
                <w:rFonts w:cs="Arial"/>
                <w:color w:val="000000" w:themeColor="text1"/>
              </w:rPr>
              <w:t>your impacted product</w:t>
            </w:r>
            <w:r w:rsidR="00973990" w:rsidRPr="00EE1E26">
              <w:rPr>
                <w:rFonts w:cs="Arial"/>
                <w:color w:val="000000" w:themeColor="text1"/>
              </w:rPr>
              <w:t xml:space="preserve"> to the correct regulatory category</w:t>
            </w:r>
            <w:r w:rsidRPr="00EE1E26">
              <w:rPr>
                <w:rFonts w:cs="Arial"/>
                <w:color w:val="000000" w:themeColor="text1"/>
              </w:rPr>
              <w:t>?</w:t>
            </w:r>
            <w:bookmarkEnd w:id="13"/>
          </w:p>
          <w:p w14:paraId="07E78E41" w14:textId="77777777" w:rsidR="00574D70" w:rsidRPr="00EE1E26" w:rsidRDefault="00574D70" w:rsidP="00E07ECF">
            <w:pPr>
              <w:pStyle w:val="ListBullet"/>
            </w:pPr>
            <w:r w:rsidRPr="00EE1E26">
              <w:t>Yes/No</w:t>
            </w:r>
          </w:p>
          <w:p w14:paraId="355CFDE9" w14:textId="6311BE79" w:rsidR="00574D70" w:rsidRPr="00FE7659" w:rsidRDefault="00574D70" w:rsidP="00E07ECF">
            <w:pPr>
              <w:pStyle w:val="ListBullet"/>
            </w:pPr>
            <w:r w:rsidRPr="00EE1E26">
              <w:t>Explain why?</w:t>
            </w:r>
          </w:p>
        </w:tc>
      </w:tr>
      <w:bookmarkEnd w:id="12"/>
    </w:tbl>
    <w:p w14:paraId="02A68812" w14:textId="77777777" w:rsidR="00434679" w:rsidRPr="00FE7659" w:rsidRDefault="00434679" w:rsidP="00D94A64">
      <w:pPr>
        <w:rPr>
          <w:rFonts w:cs="Arial"/>
        </w:rPr>
      </w:pPr>
    </w:p>
    <w:p w14:paraId="7019B548" w14:textId="77777777" w:rsidR="00E30DC1" w:rsidRDefault="00434679" w:rsidP="00434679">
      <w:pPr>
        <w:rPr>
          <w:rFonts w:cs="Arial"/>
        </w:rPr>
      </w:pPr>
      <w:r w:rsidRPr="00FE7659">
        <w:rPr>
          <w:rFonts w:cs="Arial"/>
        </w:rPr>
        <w:t xml:space="preserve">Tabled below are the appropriate </w:t>
      </w:r>
      <w:r w:rsidR="00973990" w:rsidRPr="00FE7659">
        <w:rPr>
          <w:rFonts w:cs="Arial"/>
        </w:rPr>
        <w:t xml:space="preserve">regulatory </w:t>
      </w:r>
      <w:r w:rsidRPr="00FE7659">
        <w:rPr>
          <w:rFonts w:cs="Arial"/>
        </w:rPr>
        <w:t>categor</w:t>
      </w:r>
      <w:r w:rsidR="002C1FC8">
        <w:rPr>
          <w:rFonts w:cs="Arial"/>
        </w:rPr>
        <w:t>ies</w:t>
      </w:r>
      <w:r w:rsidR="00AE4A28" w:rsidRPr="00FE7659">
        <w:rPr>
          <w:rFonts w:cs="Arial"/>
        </w:rPr>
        <w:t xml:space="preserve"> and classification</w:t>
      </w:r>
      <w:r w:rsidR="002C1FC8">
        <w:rPr>
          <w:rFonts w:cs="Arial"/>
        </w:rPr>
        <w:t>s</w:t>
      </w:r>
      <w:r w:rsidRPr="00FE7659">
        <w:rPr>
          <w:rFonts w:cs="Arial"/>
        </w:rPr>
        <w:t xml:space="preserve"> for </w:t>
      </w:r>
      <w:r w:rsidR="003B0ED5" w:rsidRPr="00FE7659">
        <w:rPr>
          <w:rFonts w:cs="Arial"/>
        </w:rPr>
        <w:t>vascular access products and flush syringes.</w:t>
      </w:r>
      <w:r w:rsidRPr="00FE7659">
        <w:rPr>
          <w:rFonts w:cs="Arial"/>
        </w:rPr>
        <w:t xml:space="preserve"> </w:t>
      </w:r>
    </w:p>
    <w:p w14:paraId="6CE4AE78" w14:textId="516A24FC" w:rsidR="00434679" w:rsidRDefault="0096467A" w:rsidP="00434679">
      <w:pPr>
        <w:rPr>
          <w:rFonts w:cs="Arial"/>
        </w:rPr>
      </w:pPr>
      <w:r>
        <w:rPr>
          <w:rFonts w:cs="Arial"/>
        </w:rPr>
        <w:t>R</w:t>
      </w:r>
      <w:r w:rsidR="00152357" w:rsidRPr="00FE7659">
        <w:rPr>
          <w:rFonts w:cs="Arial"/>
        </w:rPr>
        <w:t xml:space="preserve">eview </w:t>
      </w:r>
      <w:r w:rsidR="00434679" w:rsidRPr="00FE7659">
        <w:rPr>
          <w:rFonts w:cs="Arial"/>
        </w:rPr>
        <w:t>the information and respond to</w:t>
      </w:r>
      <w:r w:rsidR="006778C8">
        <w:rPr>
          <w:rFonts w:cs="Arial"/>
        </w:rPr>
        <w:t xml:space="preserve"> the</w:t>
      </w:r>
      <w:r w:rsidR="00434679" w:rsidRPr="00FE7659">
        <w:rPr>
          <w:rFonts w:cs="Arial"/>
        </w:rPr>
        <w:t xml:space="preserve"> proposal questions related to these products.</w:t>
      </w:r>
    </w:p>
    <w:tbl>
      <w:tblPr>
        <w:tblStyle w:val="TableTGAblue2023"/>
        <w:tblW w:w="9932" w:type="dxa"/>
        <w:tblLook w:val="04A0" w:firstRow="1" w:lastRow="0" w:firstColumn="1" w:lastColumn="0" w:noHBand="0" w:noVBand="1"/>
      </w:tblPr>
      <w:tblGrid>
        <w:gridCol w:w="1251"/>
        <w:gridCol w:w="3468"/>
        <w:gridCol w:w="1594"/>
        <w:gridCol w:w="3619"/>
      </w:tblGrid>
      <w:tr w:rsidR="00B10B0C" w:rsidRPr="00FE7659" w14:paraId="6B71C03F" w14:textId="77777777" w:rsidTr="00612FEA">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0" w:type="dxa"/>
          </w:tcPr>
          <w:p w14:paraId="68476A71" w14:textId="77777777" w:rsidR="00B10B0C" w:rsidRPr="00FE7659" w:rsidRDefault="00B10B0C" w:rsidP="00B10B0C">
            <w:pPr>
              <w:rPr>
                <w:rFonts w:cs="Arial"/>
              </w:rPr>
            </w:pPr>
            <w:r w:rsidRPr="00FE7659">
              <w:rPr>
                <w:rFonts w:cs="Arial"/>
              </w:rPr>
              <w:t>Product</w:t>
            </w:r>
          </w:p>
        </w:tc>
        <w:tc>
          <w:tcPr>
            <w:tcW w:w="3217" w:type="dxa"/>
          </w:tcPr>
          <w:p w14:paraId="6F5EA0F2" w14:textId="13F75C4A" w:rsidR="00B10B0C" w:rsidRPr="00FE7659" w:rsidRDefault="00B10B0C" w:rsidP="00B10B0C">
            <w:pPr>
              <w:cnfStyle w:val="100000000000" w:firstRow="1" w:lastRow="0" w:firstColumn="0" w:lastColumn="0" w:oddVBand="0" w:evenVBand="0" w:oddHBand="0" w:evenHBand="0" w:firstRowFirstColumn="0" w:firstRowLastColumn="0" w:lastRowFirstColumn="0" w:lastRowLastColumn="0"/>
              <w:rPr>
                <w:rFonts w:cs="Arial"/>
              </w:rPr>
            </w:pPr>
            <w:r>
              <w:rPr>
                <w:rFonts w:cs="Arial"/>
              </w:rPr>
              <w:t>Mode of action</w:t>
            </w:r>
          </w:p>
        </w:tc>
        <w:tc>
          <w:tcPr>
            <w:tcW w:w="1477" w:type="dxa"/>
          </w:tcPr>
          <w:p w14:paraId="16CB5023" w14:textId="401E8EF2" w:rsidR="00B10B0C" w:rsidRPr="00FE7659" w:rsidRDefault="00B10B0C" w:rsidP="00B10B0C">
            <w:pPr>
              <w:cnfStyle w:val="100000000000" w:firstRow="1" w:lastRow="0" w:firstColumn="0" w:lastColumn="0" w:oddVBand="0" w:evenVBand="0" w:oddHBand="0" w:evenHBand="0" w:firstRowFirstColumn="0" w:firstRowLastColumn="0" w:lastRowFirstColumn="0" w:lastRowLastColumn="0"/>
              <w:rPr>
                <w:rFonts w:cs="Arial"/>
              </w:rPr>
            </w:pPr>
            <w:r w:rsidRPr="00FE7659">
              <w:rPr>
                <w:rFonts w:cs="Arial"/>
              </w:rPr>
              <w:t>Regulatory category</w:t>
            </w:r>
          </w:p>
        </w:tc>
        <w:tc>
          <w:tcPr>
            <w:tcW w:w="3357" w:type="dxa"/>
          </w:tcPr>
          <w:p w14:paraId="4D19A23C" w14:textId="77777777" w:rsidR="00B10B0C" w:rsidRPr="00FE7659" w:rsidRDefault="00B10B0C" w:rsidP="00B10B0C">
            <w:pPr>
              <w:cnfStyle w:val="100000000000" w:firstRow="1" w:lastRow="0" w:firstColumn="0" w:lastColumn="0" w:oddVBand="0" w:evenVBand="0" w:oddHBand="0" w:evenHBand="0" w:firstRowFirstColumn="0" w:firstRowLastColumn="0" w:lastRowFirstColumn="0" w:lastRowLastColumn="0"/>
              <w:rPr>
                <w:rFonts w:cs="Arial"/>
              </w:rPr>
            </w:pPr>
            <w:r w:rsidRPr="00FE7659">
              <w:rPr>
                <w:rFonts w:cs="Arial"/>
              </w:rPr>
              <w:t>Classification</w:t>
            </w:r>
          </w:p>
        </w:tc>
      </w:tr>
      <w:tr w:rsidR="00B10B0C" w:rsidRPr="00FE7659" w14:paraId="7F6006A6" w14:textId="77777777" w:rsidTr="00612FEA">
        <w:trPr>
          <w:trHeight w:val="1346"/>
        </w:trPr>
        <w:tc>
          <w:tcPr>
            <w:cnfStyle w:val="001000000000" w:firstRow="0" w:lastRow="0" w:firstColumn="1" w:lastColumn="0" w:oddVBand="0" w:evenVBand="0" w:oddHBand="0" w:evenHBand="0" w:firstRowFirstColumn="0" w:firstRowLastColumn="0" w:lastRowFirstColumn="0" w:lastRowLastColumn="0"/>
            <w:tcW w:w="0" w:type="dxa"/>
            <w:vMerge w:val="restart"/>
          </w:tcPr>
          <w:p w14:paraId="05E912AC" w14:textId="77777777" w:rsidR="00B10B0C" w:rsidRPr="00A6744A" w:rsidRDefault="00B10B0C" w:rsidP="00B10B0C">
            <w:pPr>
              <w:rPr>
                <w:rFonts w:cs="Arial"/>
                <w:sz w:val="20"/>
                <w:szCs w:val="20"/>
              </w:rPr>
            </w:pPr>
            <w:r w:rsidRPr="00A6744A">
              <w:rPr>
                <w:rFonts w:cs="Arial"/>
                <w:sz w:val="20"/>
                <w:szCs w:val="20"/>
              </w:rPr>
              <w:t>Vascular Access Device (VAD) locking solutions</w:t>
            </w:r>
          </w:p>
        </w:tc>
        <w:tc>
          <w:tcPr>
            <w:tcW w:w="3217" w:type="dxa"/>
            <w:vMerge w:val="restart"/>
          </w:tcPr>
          <w:p w14:paraId="74DA59ED" w14:textId="3E22591A"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rPr>
            </w:pPr>
            <w:r w:rsidRPr="00A6744A">
              <w:rPr>
                <w:rFonts w:cs="Arial"/>
                <w:sz w:val="20"/>
                <w:szCs w:val="20"/>
              </w:rPr>
              <w:t>The principal intended action is primarily achieved through physically maintaining</w:t>
            </w:r>
            <w:r>
              <w:rPr>
                <w:rFonts w:cs="Arial"/>
                <w:sz w:val="20"/>
                <w:szCs w:val="20"/>
              </w:rPr>
              <w:t xml:space="preserve"> the</w:t>
            </w:r>
            <w:r w:rsidRPr="00A6744A">
              <w:rPr>
                <w:rFonts w:cs="Arial"/>
                <w:sz w:val="20"/>
                <w:szCs w:val="20"/>
              </w:rPr>
              <w:t xml:space="preserve"> patency of </w:t>
            </w:r>
            <w:r>
              <w:rPr>
                <w:rFonts w:cs="Arial"/>
                <w:sz w:val="20"/>
                <w:szCs w:val="20"/>
              </w:rPr>
              <w:t xml:space="preserve">the </w:t>
            </w:r>
            <w:r w:rsidRPr="00A6744A">
              <w:rPr>
                <w:rFonts w:cs="Arial"/>
                <w:sz w:val="20"/>
                <w:szCs w:val="20"/>
              </w:rPr>
              <w:t xml:space="preserve">lumen of a catheter. These may contain substances such as antibiotics or anticoagulants </w:t>
            </w:r>
            <w:r w:rsidR="002D15F2" w:rsidRPr="002D15F2">
              <w:rPr>
                <w:rFonts w:cs="Arial"/>
                <w:sz w:val="20"/>
                <w:szCs w:val="20"/>
              </w:rPr>
              <w:t>to prevent thrombus or fibrin formation in the catheter. The locking solutions are typically intended to be aspirated out from the VAD, rather than being used as a flushing solution into the patient.</w:t>
            </w:r>
          </w:p>
        </w:tc>
        <w:tc>
          <w:tcPr>
            <w:tcW w:w="1477" w:type="dxa"/>
            <w:vMerge w:val="restart"/>
          </w:tcPr>
          <w:p w14:paraId="597E059B" w14:textId="1C514540"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Medical Device</w:t>
            </w:r>
          </w:p>
        </w:tc>
        <w:tc>
          <w:tcPr>
            <w:tcW w:w="3357" w:type="dxa"/>
          </w:tcPr>
          <w:p w14:paraId="5C6006D1" w14:textId="44226268" w:rsidR="00B10B0C" w:rsidRPr="002D15F2" w:rsidRDefault="00B10B0C" w:rsidP="002D15F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 xml:space="preserve">Class IIa – VAD locking solution </w:t>
            </w:r>
            <w:r w:rsidRPr="00A6744A">
              <w:rPr>
                <w:rFonts w:cs="Arial"/>
                <w:sz w:val="20"/>
                <w:szCs w:val="20"/>
                <w:u w:val="single"/>
              </w:rPr>
              <w:t>without</w:t>
            </w:r>
            <w:r w:rsidRPr="00A6744A">
              <w:rPr>
                <w:rFonts w:cs="Arial"/>
                <w:sz w:val="20"/>
                <w:szCs w:val="20"/>
              </w:rPr>
              <w:t xml:space="preserve"> ancillary substances such as antibiotics or anticoagulants</w:t>
            </w:r>
            <w:r w:rsidR="002D15F2">
              <w:rPr>
                <w:rFonts w:cs="Arial"/>
                <w:sz w:val="20"/>
                <w:szCs w:val="20"/>
              </w:rPr>
              <w:t>, as</w:t>
            </w:r>
            <w:r w:rsidRPr="00A6744A">
              <w:rPr>
                <w:rFonts w:cs="Arial"/>
                <w:sz w:val="20"/>
                <w:szCs w:val="20"/>
              </w:rPr>
              <w:t xml:space="preserve"> </w:t>
            </w:r>
            <w:r w:rsidRPr="002D15F2">
              <w:rPr>
                <w:rFonts w:cs="Arial"/>
                <w:sz w:val="20"/>
                <w:szCs w:val="20"/>
              </w:rPr>
              <w:t xml:space="preserve">per Clause </w:t>
            </w:r>
            <w:r w:rsidR="00AB10DA" w:rsidRPr="002D15F2">
              <w:rPr>
                <w:rFonts w:cs="Arial"/>
                <w:sz w:val="20"/>
                <w:szCs w:val="20"/>
              </w:rPr>
              <w:t>3</w:t>
            </w:r>
            <w:r w:rsidRPr="002D15F2">
              <w:rPr>
                <w:rFonts w:cs="Arial"/>
                <w:sz w:val="20"/>
                <w:szCs w:val="20"/>
              </w:rPr>
              <w:t>.</w:t>
            </w:r>
            <w:r w:rsidR="00AB10DA" w:rsidRPr="002D15F2">
              <w:rPr>
                <w:rFonts w:cs="Arial"/>
                <w:sz w:val="20"/>
                <w:szCs w:val="20"/>
              </w:rPr>
              <w:t>3</w:t>
            </w:r>
            <w:r w:rsidRPr="002D15F2">
              <w:rPr>
                <w:rFonts w:cs="Arial"/>
                <w:sz w:val="20"/>
                <w:szCs w:val="20"/>
              </w:rPr>
              <w:t xml:space="preserve"> (</w:t>
            </w:r>
            <w:r w:rsidR="00AB10DA" w:rsidRPr="002D15F2">
              <w:rPr>
                <w:rFonts w:cs="Arial"/>
                <w:sz w:val="20"/>
                <w:szCs w:val="20"/>
              </w:rPr>
              <w:t>2</w:t>
            </w:r>
            <w:r w:rsidRPr="002D15F2">
              <w:rPr>
                <w:rFonts w:cs="Arial"/>
                <w:sz w:val="20"/>
                <w:szCs w:val="20"/>
              </w:rPr>
              <w:t xml:space="preserve">) Schedule 2 of the </w:t>
            </w:r>
            <w:r w:rsidRPr="00612FEA">
              <w:rPr>
                <w:rFonts w:cs="Arial"/>
                <w:i/>
                <w:iCs/>
              </w:rPr>
              <w:t>Therapeutic Goods (Medical Devices) Regulations 2002</w:t>
            </w:r>
            <w:r w:rsidRPr="002D15F2">
              <w:rPr>
                <w:rFonts w:cs="Arial"/>
                <w:sz w:val="20"/>
                <w:szCs w:val="20"/>
              </w:rPr>
              <w:t xml:space="preserve"> (the Regulations)</w:t>
            </w:r>
            <w:r w:rsidR="002D15F2" w:rsidRPr="002D15F2">
              <w:rPr>
                <w:rFonts w:cs="Arial"/>
                <w:sz w:val="20"/>
                <w:szCs w:val="20"/>
              </w:rPr>
              <w:t>.</w:t>
            </w:r>
          </w:p>
          <w:p w14:paraId="1D0C63DE" w14:textId="169E31FB" w:rsidR="002D15F2" w:rsidRPr="00A6744A" w:rsidRDefault="002D15F2" w:rsidP="002D15F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D15F2">
              <w:rPr>
                <w:rFonts w:cs="Arial"/>
                <w:sz w:val="20"/>
                <w:szCs w:val="20"/>
              </w:rPr>
              <w:t>Regulation 5.1 Schedule 2 of the Regulations does not apply because this product is not intended to come into contact within the systemic circulation of the human body.</w:t>
            </w:r>
          </w:p>
        </w:tc>
      </w:tr>
      <w:tr w:rsidR="00B10B0C" w:rsidRPr="00FE7659" w14:paraId="1E1BE6A7" w14:textId="77777777" w:rsidTr="00612FEA">
        <w:trPr>
          <w:trHeight w:val="140"/>
        </w:trPr>
        <w:tc>
          <w:tcPr>
            <w:cnfStyle w:val="001000000000" w:firstRow="0" w:lastRow="0" w:firstColumn="1" w:lastColumn="0" w:oddVBand="0" w:evenVBand="0" w:oddHBand="0" w:evenHBand="0" w:firstRowFirstColumn="0" w:firstRowLastColumn="0" w:lastRowFirstColumn="0" w:lastRowLastColumn="0"/>
            <w:tcW w:w="0" w:type="dxa"/>
            <w:vMerge/>
          </w:tcPr>
          <w:p w14:paraId="21EC07B1" w14:textId="77777777" w:rsidR="00B10B0C" w:rsidRPr="00A6744A" w:rsidRDefault="00B10B0C" w:rsidP="00B10B0C">
            <w:pPr>
              <w:rPr>
                <w:rFonts w:cs="Arial"/>
                <w:sz w:val="20"/>
                <w:szCs w:val="20"/>
              </w:rPr>
            </w:pPr>
          </w:p>
        </w:tc>
        <w:tc>
          <w:tcPr>
            <w:tcW w:w="3217" w:type="dxa"/>
            <w:vMerge/>
          </w:tcPr>
          <w:p w14:paraId="062AF6B1" w14:textId="77777777"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rPr>
            </w:pPr>
          </w:p>
        </w:tc>
        <w:tc>
          <w:tcPr>
            <w:tcW w:w="1477" w:type="dxa"/>
            <w:vMerge/>
          </w:tcPr>
          <w:p w14:paraId="76EFCEAA" w14:textId="77B8C358"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57" w:type="dxa"/>
          </w:tcPr>
          <w:p w14:paraId="31FBA5FF" w14:textId="28783B40" w:rsidR="00B10B0C" w:rsidRPr="00A6744A" w:rsidRDefault="00B10B0C" w:rsidP="002D15F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Class II</w:t>
            </w:r>
            <w:r w:rsidR="00AB10DA">
              <w:rPr>
                <w:rFonts w:cs="Arial"/>
                <w:sz w:val="20"/>
                <w:szCs w:val="20"/>
              </w:rPr>
              <w:t>a</w:t>
            </w:r>
            <w:r w:rsidRPr="00A6744A">
              <w:rPr>
                <w:rFonts w:cs="Arial"/>
                <w:sz w:val="20"/>
                <w:szCs w:val="20"/>
              </w:rPr>
              <w:t xml:space="preserve"> - VAD locking solution </w:t>
            </w:r>
            <w:r w:rsidRPr="00A6744A">
              <w:rPr>
                <w:rFonts w:cs="Arial"/>
                <w:sz w:val="20"/>
                <w:szCs w:val="20"/>
                <w:u w:val="single"/>
              </w:rPr>
              <w:t xml:space="preserve">with </w:t>
            </w:r>
            <w:r w:rsidRPr="00A6744A">
              <w:rPr>
                <w:rFonts w:cs="Arial"/>
                <w:sz w:val="20"/>
                <w:szCs w:val="20"/>
              </w:rPr>
              <w:t>ancillary substances such as antibiotics or anticoagulants</w:t>
            </w:r>
            <w:r w:rsidR="002D15F2">
              <w:rPr>
                <w:rFonts w:cs="Arial"/>
                <w:sz w:val="20"/>
                <w:szCs w:val="20"/>
              </w:rPr>
              <w:t>, a</w:t>
            </w:r>
            <w:r w:rsidRPr="00A6744A">
              <w:rPr>
                <w:rFonts w:cs="Arial"/>
                <w:sz w:val="20"/>
                <w:szCs w:val="20"/>
              </w:rPr>
              <w:t xml:space="preserve">s per Clause </w:t>
            </w:r>
            <w:r w:rsidR="00AB10DA">
              <w:rPr>
                <w:rFonts w:cs="Arial"/>
                <w:sz w:val="20"/>
                <w:szCs w:val="20"/>
              </w:rPr>
              <w:t>3</w:t>
            </w:r>
            <w:r w:rsidRPr="00A6744A">
              <w:rPr>
                <w:rFonts w:cs="Arial"/>
                <w:sz w:val="20"/>
                <w:szCs w:val="20"/>
              </w:rPr>
              <w:t>.3 (</w:t>
            </w:r>
            <w:r w:rsidR="00AB10DA">
              <w:rPr>
                <w:rFonts w:cs="Arial"/>
                <w:sz w:val="20"/>
                <w:szCs w:val="20"/>
              </w:rPr>
              <w:t>2</w:t>
            </w:r>
            <w:r w:rsidRPr="00A6744A">
              <w:rPr>
                <w:rFonts w:cs="Arial"/>
                <w:sz w:val="20"/>
                <w:szCs w:val="20"/>
              </w:rPr>
              <w:t>) Schedule 2 of the Regulations</w:t>
            </w:r>
          </w:p>
        </w:tc>
      </w:tr>
      <w:tr w:rsidR="00B10B0C" w:rsidRPr="00FE7659" w14:paraId="17AC69A6" w14:textId="77777777" w:rsidTr="00612FEA">
        <w:trPr>
          <w:trHeight w:val="863"/>
        </w:trPr>
        <w:tc>
          <w:tcPr>
            <w:cnfStyle w:val="001000000000" w:firstRow="0" w:lastRow="0" w:firstColumn="1" w:lastColumn="0" w:oddVBand="0" w:evenVBand="0" w:oddHBand="0" w:evenHBand="0" w:firstRowFirstColumn="0" w:firstRowLastColumn="0" w:lastRowFirstColumn="0" w:lastRowLastColumn="0"/>
            <w:tcW w:w="0" w:type="dxa"/>
            <w:vMerge w:val="restart"/>
          </w:tcPr>
          <w:p w14:paraId="2F6C654B" w14:textId="77777777" w:rsidR="00B10B0C" w:rsidRPr="00A6744A" w:rsidRDefault="00B10B0C" w:rsidP="00B10B0C">
            <w:pPr>
              <w:rPr>
                <w:rFonts w:cs="Arial"/>
                <w:sz w:val="20"/>
                <w:szCs w:val="20"/>
              </w:rPr>
            </w:pPr>
            <w:r w:rsidRPr="00A6744A">
              <w:rPr>
                <w:rFonts w:cs="Arial"/>
                <w:sz w:val="20"/>
                <w:szCs w:val="20"/>
              </w:rPr>
              <w:lastRenderedPageBreak/>
              <w:t>Pre-filled saline flush syringes</w:t>
            </w:r>
          </w:p>
        </w:tc>
        <w:tc>
          <w:tcPr>
            <w:tcW w:w="3217" w:type="dxa"/>
            <w:vMerge w:val="restart"/>
          </w:tcPr>
          <w:p w14:paraId="633C8A58" w14:textId="422AD7EB"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rPr>
            </w:pPr>
            <w:r w:rsidRPr="00A6744A">
              <w:rPr>
                <w:rFonts w:cs="Arial"/>
                <w:sz w:val="20"/>
                <w:szCs w:val="20"/>
              </w:rPr>
              <w:t xml:space="preserve">The principal intended action is primarily achieved through physical flushing. These may contain active substances such as antibiotics or anticoagulants and their function </w:t>
            </w:r>
            <w:r>
              <w:rPr>
                <w:rFonts w:cs="Arial"/>
                <w:sz w:val="20"/>
                <w:szCs w:val="20"/>
              </w:rPr>
              <w:t>is considered</w:t>
            </w:r>
            <w:r w:rsidRPr="00A6744A">
              <w:rPr>
                <w:rFonts w:cs="Arial"/>
                <w:sz w:val="20"/>
                <w:szCs w:val="20"/>
              </w:rPr>
              <w:t xml:space="preserve"> ancillary.</w:t>
            </w:r>
          </w:p>
        </w:tc>
        <w:tc>
          <w:tcPr>
            <w:tcW w:w="1477" w:type="dxa"/>
            <w:vMerge w:val="restart"/>
          </w:tcPr>
          <w:p w14:paraId="6C76B2CE" w14:textId="3946912F"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Medical Device</w:t>
            </w:r>
          </w:p>
        </w:tc>
        <w:tc>
          <w:tcPr>
            <w:tcW w:w="3357" w:type="dxa"/>
          </w:tcPr>
          <w:p w14:paraId="0A4F1A30" w14:textId="1484EE6B" w:rsidR="00B10B0C" w:rsidRPr="00A6744A" w:rsidRDefault="00B10B0C" w:rsidP="00612FEA">
            <w:pPr>
              <w:spacing w:before="0" w:after="120" w:line="259" w:lineRule="auto"/>
              <w:ind w:left="111"/>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Class IIa – pre-filled saline flush syringe</w:t>
            </w:r>
            <w:r w:rsidR="002D15F2">
              <w:rPr>
                <w:rFonts w:cs="Arial"/>
                <w:sz w:val="20"/>
                <w:szCs w:val="20"/>
              </w:rPr>
              <w:t>, a</w:t>
            </w:r>
            <w:r w:rsidRPr="00A6744A">
              <w:rPr>
                <w:rFonts w:cs="Arial"/>
                <w:sz w:val="20"/>
                <w:szCs w:val="20"/>
              </w:rPr>
              <w:t>s per Clause 3.3(2) Schedule 2 of the Regulations</w:t>
            </w:r>
          </w:p>
        </w:tc>
      </w:tr>
      <w:tr w:rsidR="00B10B0C" w:rsidRPr="00FE7659" w14:paraId="541B4BB6" w14:textId="77777777" w:rsidTr="00612FEA">
        <w:trPr>
          <w:trHeight w:val="140"/>
        </w:trPr>
        <w:tc>
          <w:tcPr>
            <w:cnfStyle w:val="001000000000" w:firstRow="0" w:lastRow="0" w:firstColumn="1" w:lastColumn="0" w:oddVBand="0" w:evenVBand="0" w:oddHBand="0" w:evenHBand="0" w:firstRowFirstColumn="0" w:firstRowLastColumn="0" w:lastRowFirstColumn="0" w:lastRowLastColumn="0"/>
            <w:tcW w:w="0" w:type="dxa"/>
            <w:vMerge/>
          </w:tcPr>
          <w:p w14:paraId="4C5DC059" w14:textId="77777777" w:rsidR="00B10B0C" w:rsidRPr="00A6744A" w:rsidRDefault="00B10B0C" w:rsidP="00B10B0C">
            <w:pPr>
              <w:rPr>
                <w:rFonts w:cs="Arial"/>
                <w:sz w:val="20"/>
                <w:szCs w:val="20"/>
              </w:rPr>
            </w:pPr>
          </w:p>
        </w:tc>
        <w:tc>
          <w:tcPr>
            <w:tcW w:w="3217" w:type="dxa"/>
            <w:vMerge/>
          </w:tcPr>
          <w:p w14:paraId="65EB18A4" w14:textId="77777777"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rPr>
            </w:pPr>
          </w:p>
        </w:tc>
        <w:tc>
          <w:tcPr>
            <w:tcW w:w="1477" w:type="dxa"/>
            <w:vMerge/>
          </w:tcPr>
          <w:p w14:paraId="43A8F544" w14:textId="24943CBE"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357" w:type="dxa"/>
          </w:tcPr>
          <w:p w14:paraId="0651BBFD" w14:textId="77777777"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Class III – pre-filled saline flush syringe with active substance such as antibiotics or anticoagulants.</w:t>
            </w:r>
          </w:p>
          <w:p w14:paraId="08A59A40" w14:textId="77777777" w:rsidR="00B10B0C" w:rsidRPr="00A6744A" w:rsidRDefault="00B10B0C" w:rsidP="00B10B0C">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6744A">
              <w:rPr>
                <w:rFonts w:cs="Arial"/>
                <w:sz w:val="20"/>
                <w:szCs w:val="20"/>
              </w:rPr>
              <w:t>As per Regulation 5.1 Schedule 2 of the Regulations</w:t>
            </w:r>
          </w:p>
        </w:tc>
      </w:tr>
    </w:tbl>
    <w:p w14:paraId="0726D557" w14:textId="77777777" w:rsidR="00B10B0C" w:rsidRDefault="00B10B0C" w:rsidP="00434679">
      <w:pPr>
        <w:rPr>
          <w:rFonts w:cs="Arial"/>
        </w:rPr>
      </w:pPr>
    </w:p>
    <w:p w14:paraId="7A3E5166" w14:textId="77777777" w:rsidR="00B10B0C" w:rsidRPr="00FE7659" w:rsidRDefault="00B10B0C" w:rsidP="00434679">
      <w:pPr>
        <w:rPr>
          <w:rFonts w:cs="Arial"/>
        </w:rPr>
      </w:pPr>
    </w:p>
    <w:p w14:paraId="425D9803" w14:textId="77777777" w:rsidR="00936247" w:rsidRPr="00FE7659" w:rsidRDefault="00936247" w:rsidP="00936247">
      <w:pPr>
        <w:rPr>
          <w:rFonts w:cs="Arial"/>
        </w:rPr>
      </w:pPr>
    </w:p>
    <w:tbl>
      <w:tblPr>
        <w:tblW w:w="9045" w:type="dxa"/>
        <w:tblLayout w:type="fixed"/>
        <w:tblCellMar>
          <w:left w:w="0" w:type="dxa"/>
          <w:right w:w="0" w:type="dxa"/>
        </w:tblCellMar>
        <w:tblLook w:val="04A0" w:firstRow="1" w:lastRow="0" w:firstColumn="1" w:lastColumn="0" w:noHBand="0" w:noVBand="1"/>
      </w:tblPr>
      <w:tblGrid>
        <w:gridCol w:w="1134"/>
        <w:gridCol w:w="7911"/>
      </w:tblGrid>
      <w:tr w:rsidR="003B0ED5" w:rsidRPr="00FE7659" w14:paraId="54D1E5A1" w14:textId="77777777" w:rsidTr="00014258">
        <w:tc>
          <w:tcPr>
            <w:tcW w:w="1134" w:type="dxa"/>
            <w:vAlign w:val="center"/>
            <w:hideMark/>
          </w:tcPr>
          <w:p w14:paraId="67A05E56" w14:textId="77777777" w:rsidR="003B0ED5" w:rsidRPr="00FE7659" w:rsidRDefault="003B0ED5" w:rsidP="00014258">
            <w:pPr>
              <w:rPr>
                <w:rFonts w:cs="Arial"/>
              </w:rPr>
            </w:pPr>
            <w:r w:rsidRPr="00FE7659">
              <w:rPr>
                <w:rFonts w:cs="Arial"/>
                <w:noProof/>
              </w:rPr>
              <w:drawing>
                <wp:inline distT="0" distB="0" distL="0" distR="0" wp14:anchorId="13634721" wp14:editId="62AC7735">
                  <wp:extent cx="695960" cy="6959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inline>
              </w:drawing>
            </w:r>
          </w:p>
        </w:tc>
        <w:tc>
          <w:tcPr>
            <w:tcW w:w="7911" w:type="dxa"/>
            <w:shd w:val="clear" w:color="auto" w:fill="EAEAEA"/>
            <w:tcMar>
              <w:top w:w="170" w:type="dxa"/>
              <w:left w:w="170" w:type="dxa"/>
              <w:bottom w:w="170" w:type="dxa"/>
              <w:right w:w="170" w:type="dxa"/>
            </w:tcMar>
            <w:vAlign w:val="center"/>
            <w:hideMark/>
          </w:tcPr>
          <w:p w14:paraId="2EE92A34" w14:textId="5D37885F" w:rsidR="003B0ED5" w:rsidRPr="00FE7659" w:rsidRDefault="003B0ED5" w:rsidP="00014258">
            <w:pPr>
              <w:rPr>
                <w:rFonts w:cs="Arial"/>
                <w:b/>
                <w:color w:val="000000" w:themeColor="text1"/>
              </w:rPr>
            </w:pPr>
            <w:r w:rsidRPr="00FE7659">
              <w:rPr>
                <w:rFonts w:cs="Arial"/>
                <w:b/>
                <w:color w:val="000000" w:themeColor="text1"/>
              </w:rPr>
              <w:t xml:space="preserve">Proposal </w:t>
            </w:r>
            <w:r w:rsidR="00CD4F7C">
              <w:rPr>
                <w:rFonts w:cs="Arial"/>
                <w:b/>
                <w:color w:val="000000" w:themeColor="text1"/>
              </w:rPr>
              <w:t>1b</w:t>
            </w:r>
            <w:r w:rsidRPr="00FE7659">
              <w:rPr>
                <w:rFonts w:cs="Arial"/>
                <w:b/>
                <w:color w:val="000000" w:themeColor="text1"/>
              </w:rPr>
              <w:t xml:space="preserve"> </w:t>
            </w:r>
          </w:p>
          <w:p w14:paraId="4204D9B1" w14:textId="7BEE8C10" w:rsidR="003B0ED5" w:rsidRPr="00EE1E26" w:rsidRDefault="003B0ED5" w:rsidP="00014258">
            <w:pPr>
              <w:rPr>
                <w:rFonts w:eastAsia="Cambria" w:cs="Arial"/>
                <w:color w:val="000000" w:themeColor="text1"/>
              </w:rPr>
            </w:pPr>
            <w:r w:rsidRPr="00EE1E26">
              <w:rPr>
                <w:rFonts w:eastAsia="Cambria" w:cs="Arial"/>
                <w:color w:val="000000" w:themeColor="text1"/>
              </w:rPr>
              <w:t>1.</w:t>
            </w:r>
            <w:r w:rsidR="00C06159" w:rsidRPr="00EE1E26">
              <w:rPr>
                <w:rFonts w:eastAsia="Cambria" w:cs="Arial"/>
                <w:color w:val="000000" w:themeColor="text1"/>
              </w:rPr>
              <w:t>3</w:t>
            </w:r>
            <w:r w:rsidRPr="00EE1E26">
              <w:rPr>
                <w:rFonts w:eastAsia="Cambria" w:cs="Arial"/>
                <w:color w:val="000000" w:themeColor="text1"/>
              </w:rPr>
              <w:t xml:space="preserve"> </w:t>
            </w:r>
            <w:r w:rsidR="00973990" w:rsidRPr="00EE1E26">
              <w:rPr>
                <w:rFonts w:cs="Arial"/>
                <w:bCs/>
                <w:color w:val="000000" w:themeColor="text1"/>
              </w:rPr>
              <w:t xml:space="preserve">Would legislating </w:t>
            </w:r>
            <w:r w:rsidR="004F2AF5" w:rsidRPr="00EE1E26">
              <w:rPr>
                <w:rFonts w:cs="Arial"/>
                <w:bCs/>
                <w:color w:val="000000" w:themeColor="text1"/>
              </w:rPr>
              <w:t>the products to be declare</w:t>
            </w:r>
            <w:r w:rsidR="00B10B0C">
              <w:rPr>
                <w:rFonts w:cs="Arial"/>
                <w:bCs/>
                <w:color w:val="000000" w:themeColor="text1"/>
              </w:rPr>
              <w:t>d</w:t>
            </w:r>
            <w:r w:rsidR="004F2AF5" w:rsidRPr="00EE1E26">
              <w:rPr>
                <w:rFonts w:cs="Arial"/>
                <w:bCs/>
                <w:color w:val="000000" w:themeColor="text1"/>
              </w:rPr>
              <w:t xml:space="preserve"> as per </w:t>
            </w:r>
            <w:r w:rsidR="00B10B0C">
              <w:rPr>
                <w:rFonts w:cs="Arial"/>
                <w:bCs/>
                <w:color w:val="000000" w:themeColor="text1"/>
              </w:rPr>
              <w:t xml:space="preserve">the regulatory </w:t>
            </w:r>
            <w:r w:rsidR="004F2AF5" w:rsidRPr="00EE1E26">
              <w:rPr>
                <w:rFonts w:cs="Arial"/>
                <w:bCs/>
                <w:color w:val="000000" w:themeColor="text1"/>
              </w:rPr>
              <w:t xml:space="preserve">categories and classification mentioned in the table </w:t>
            </w:r>
            <w:r w:rsidR="00B10B0C">
              <w:rPr>
                <w:rFonts w:cs="Arial"/>
                <w:bCs/>
                <w:color w:val="000000" w:themeColor="text1"/>
              </w:rPr>
              <w:t>above</w:t>
            </w:r>
            <w:r w:rsidR="004F2AF5" w:rsidRPr="00EE1E26">
              <w:rPr>
                <w:rFonts w:cs="Arial"/>
                <w:bCs/>
                <w:color w:val="000000" w:themeColor="text1"/>
              </w:rPr>
              <w:t xml:space="preserve"> provide additional clarity on the regulation of these products?</w:t>
            </w:r>
          </w:p>
          <w:p w14:paraId="4F203C1C" w14:textId="77777777" w:rsidR="003B0ED5" w:rsidRPr="00EE1E26" w:rsidRDefault="003B0ED5" w:rsidP="005A75E6">
            <w:pPr>
              <w:pStyle w:val="ListBullet"/>
            </w:pPr>
            <w:r w:rsidRPr="00EE1E26">
              <w:t>Yes/No</w:t>
            </w:r>
          </w:p>
          <w:p w14:paraId="673C4FF4" w14:textId="491E7FC2" w:rsidR="003D6ABA" w:rsidRPr="00B10B0C" w:rsidRDefault="003B0ED5" w:rsidP="005A75E6">
            <w:pPr>
              <w:pStyle w:val="ListBullet"/>
            </w:pPr>
            <w:r w:rsidRPr="00EE1E26">
              <w:t>Explain why?</w:t>
            </w:r>
          </w:p>
          <w:p w14:paraId="26CA51F9" w14:textId="4703505A" w:rsidR="003B0ED5" w:rsidRPr="00EE1E26" w:rsidRDefault="003B0ED5" w:rsidP="00014258">
            <w:pPr>
              <w:rPr>
                <w:rFonts w:cs="Arial"/>
                <w:color w:val="000000" w:themeColor="text1"/>
              </w:rPr>
            </w:pPr>
            <w:r w:rsidRPr="00EE1E26">
              <w:rPr>
                <w:rFonts w:cs="Arial"/>
                <w:color w:val="000000" w:themeColor="text1"/>
              </w:rPr>
              <w:t>1.</w:t>
            </w:r>
            <w:r w:rsidR="00B10B0C">
              <w:rPr>
                <w:rFonts w:cs="Arial"/>
                <w:color w:val="000000" w:themeColor="text1"/>
              </w:rPr>
              <w:t>4</w:t>
            </w:r>
            <w:r w:rsidRPr="00EE1E26">
              <w:rPr>
                <w:rFonts w:cs="Arial"/>
                <w:color w:val="000000" w:themeColor="text1"/>
              </w:rPr>
              <w:t xml:space="preserve"> </w:t>
            </w:r>
            <w:r w:rsidR="00973990" w:rsidRPr="00EE1E26">
              <w:rPr>
                <w:rFonts w:cs="Arial"/>
                <w:color w:val="000000" w:themeColor="text1"/>
              </w:rPr>
              <w:t xml:space="preserve">If your product </w:t>
            </w:r>
            <w:r w:rsidR="00AB10DA">
              <w:rPr>
                <w:rFonts w:cs="Arial"/>
                <w:color w:val="000000" w:themeColor="text1"/>
              </w:rPr>
              <w:t>would need to change</w:t>
            </w:r>
            <w:r w:rsidR="00973990" w:rsidRPr="00EE1E26">
              <w:rPr>
                <w:rFonts w:cs="Arial"/>
                <w:color w:val="000000" w:themeColor="text1"/>
              </w:rPr>
              <w:t xml:space="preserve"> regulatory category and/or classification </w:t>
            </w:r>
            <w:r w:rsidR="00AB10DA">
              <w:rPr>
                <w:rFonts w:cs="Arial"/>
                <w:color w:val="000000" w:themeColor="text1"/>
              </w:rPr>
              <w:t xml:space="preserve">as per </w:t>
            </w:r>
            <w:r w:rsidR="00973990" w:rsidRPr="00EE1E26">
              <w:rPr>
                <w:rFonts w:cs="Arial"/>
                <w:color w:val="000000" w:themeColor="text1"/>
              </w:rPr>
              <w:t>the table above, would a transitional period of five years be sufficient for you to transition your impacted product to the correct regulatory category</w:t>
            </w:r>
            <w:r w:rsidRPr="00EE1E26">
              <w:rPr>
                <w:rFonts w:cs="Arial"/>
                <w:color w:val="000000" w:themeColor="text1"/>
              </w:rPr>
              <w:t>?</w:t>
            </w:r>
          </w:p>
          <w:p w14:paraId="3AB78829" w14:textId="77777777" w:rsidR="003B0ED5" w:rsidRPr="00EE1E26" w:rsidRDefault="003B0ED5" w:rsidP="005A75E6">
            <w:pPr>
              <w:pStyle w:val="ListBullet"/>
            </w:pPr>
            <w:r w:rsidRPr="00EE1E26">
              <w:t>Yes/No</w:t>
            </w:r>
          </w:p>
          <w:p w14:paraId="2DEF6A68" w14:textId="77777777" w:rsidR="003B0ED5" w:rsidRPr="00FE7659" w:rsidRDefault="003B0ED5" w:rsidP="005A75E6">
            <w:pPr>
              <w:pStyle w:val="ListBullet"/>
            </w:pPr>
            <w:r w:rsidRPr="00EE1E26">
              <w:t>Explain why?</w:t>
            </w:r>
          </w:p>
        </w:tc>
      </w:tr>
    </w:tbl>
    <w:p w14:paraId="32D7584B" w14:textId="77777777" w:rsidR="001F5FD8" w:rsidRPr="00FE7659" w:rsidRDefault="001F5FD8" w:rsidP="00936247">
      <w:pPr>
        <w:rPr>
          <w:rFonts w:cs="Arial"/>
        </w:rPr>
      </w:pPr>
    </w:p>
    <w:p w14:paraId="007EDEFE" w14:textId="77777777" w:rsidR="00FD7EB1" w:rsidRPr="00FE7659" w:rsidRDefault="00FD7EB1">
      <w:pPr>
        <w:rPr>
          <w:rFonts w:eastAsia="Times New Roman" w:cs="Arial"/>
          <w:b/>
          <w:bCs/>
          <w:color w:val="001871"/>
          <w:sz w:val="32"/>
          <w:szCs w:val="32"/>
        </w:rPr>
      </w:pPr>
      <w:r w:rsidRPr="00FE7659">
        <w:rPr>
          <w:rFonts w:cs="Arial"/>
        </w:rPr>
        <w:br w:type="page"/>
      </w:r>
    </w:p>
    <w:p w14:paraId="3CAD8089" w14:textId="4A955BEE" w:rsidR="0094353C" w:rsidRPr="00FE7659" w:rsidRDefault="0094353C" w:rsidP="0094353C">
      <w:pPr>
        <w:pStyle w:val="Heading3"/>
        <w:rPr>
          <w:rFonts w:cs="Arial"/>
        </w:rPr>
      </w:pPr>
      <w:bookmarkStart w:id="14" w:name="_Toc169171057"/>
      <w:r w:rsidRPr="00FE7659">
        <w:rPr>
          <w:rFonts w:cs="Arial"/>
        </w:rPr>
        <w:lastRenderedPageBreak/>
        <w:t xml:space="preserve">Proposal </w:t>
      </w:r>
      <w:r w:rsidR="007234CA" w:rsidRPr="00FE7659">
        <w:rPr>
          <w:rFonts w:cs="Arial"/>
        </w:rPr>
        <w:t>2</w:t>
      </w:r>
      <w:r w:rsidRPr="00FE7659">
        <w:rPr>
          <w:rFonts w:cs="Arial"/>
        </w:rPr>
        <w:t xml:space="preserve">: </w:t>
      </w:r>
      <w:r w:rsidR="007234CA" w:rsidRPr="00FE7659">
        <w:rPr>
          <w:rFonts w:cs="Arial"/>
        </w:rPr>
        <w:t>Other produc</w:t>
      </w:r>
      <w:r w:rsidR="007A1EB4" w:rsidRPr="00FE7659">
        <w:rPr>
          <w:rFonts w:cs="Arial"/>
        </w:rPr>
        <w:t>ts</w:t>
      </w:r>
      <w:bookmarkEnd w:id="14"/>
    </w:p>
    <w:p w14:paraId="3DCFA45E" w14:textId="77777777" w:rsidR="006D3614" w:rsidRDefault="00B10B0C" w:rsidP="007A1EB4">
      <w:pPr>
        <w:rPr>
          <w:rFonts w:cs="Arial"/>
        </w:rPr>
      </w:pPr>
      <w:r>
        <w:rPr>
          <w:rFonts w:cs="Arial"/>
        </w:rPr>
        <w:t xml:space="preserve">The TGA has recently published </w:t>
      </w:r>
      <w:hyperlink r:id="rId20" w:history="1">
        <w:r w:rsidRPr="00B10B0C">
          <w:rPr>
            <w:rStyle w:val="Hyperlink"/>
            <w:rFonts w:cs="Arial"/>
          </w:rPr>
          <w:t>updated guidance on boundary and combination products</w:t>
        </w:r>
      </w:hyperlink>
      <w:r>
        <w:rPr>
          <w:rFonts w:cs="Arial"/>
        </w:rPr>
        <w:t xml:space="preserve">. </w:t>
      </w:r>
    </w:p>
    <w:p w14:paraId="581D2A4C" w14:textId="54751F52" w:rsidR="00842B84" w:rsidRPr="003B0F15" w:rsidRDefault="008B67C8" w:rsidP="003B0F15">
      <w:pPr>
        <w:pStyle w:val="Numberbullet0"/>
        <w:numPr>
          <w:ilvl w:val="0"/>
          <w:numId w:val="21"/>
        </w:numPr>
        <w:rPr>
          <w:rFonts w:cs="Arial"/>
        </w:rPr>
      </w:pPr>
      <w:r w:rsidRPr="003B0F15">
        <w:rPr>
          <w:rFonts w:cs="Arial"/>
        </w:rPr>
        <w:t>Review the</w:t>
      </w:r>
      <w:r w:rsidR="00073A79" w:rsidRPr="003B0F15">
        <w:rPr>
          <w:rFonts w:cs="Arial"/>
        </w:rPr>
        <w:t xml:space="preserve"> </w:t>
      </w:r>
      <w:hyperlink r:id="rId21" w:history="1">
        <w:r w:rsidR="00073A79" w:rsidRPr="003B0F15">
          <w:rPr>
            <w:rStyle w:val="Hyperlink"/>
            <w:rFonts w:cs="Arial"/>
          </w:rPr>
          <w:t>example list of boundary and combination products</w:t>
        </w:r>
      </w:hyperlink>
    </w:p>
    <w:p w14:paraId="751BE72F" w14:textId="169BE84F" w:rsidR="007A1EB4" w:rsidRDefault="00842B84" w:rsidP="00842B84">
      <w:pPr>
        <w:pStyle w:val="Numberbullet0"/>
        <w:rPr>
          <w:rFonts w:cs="Arial"/>
        </w:rPr>
      </w:pPr>
      <w:r>
        <w:rPr>
          <w:rFonts w:cs="Arial"/>
        </w:rPr>
        <w:t>R</w:t>
      </w:r>
      <w:r w:rsidR="001453E1" w:rsidRPr="00EE1E26">
        <w:rPr>
          <w:rFonts w:cs="Arial"/>
        </w:rPr>
        <w:t>espond to the questions below</w:t>
      </w:r>
      <w:r w:rsidR="00073A79" w:rsidRPr="00EE1E26">
        <w:rPr>
          <w:rFonts w:cs="Arial"/>
        </w:rPr>
        <w:t xml:space="preserve">. </w:t>
      </w:r>
    </w:p>
    <w:p w14:paraId="7FDD5BF4" w14:textId="77777777" w:rsidR="00C80667" w:rsidRPr="00EE1E26" w:rsidRDefault="00C80667" w:rsidP="007A1EB4">
      <w:pPr>
        <w:rPr>
          <w:rFonts w:cs="Arial"/>
        </w:rPr>
      </w:pPr>
    </w:p>
    <w:tbl>
      <w:tblPr>
        <w:tblW w:w="8605" w:type="dxa"/>
        <w:tblLayout w:type="fixed"/>
        <w:tblCellMar>
          <w:left w:w="0" w:type="dxa"/>
          <w:right w:w="0" w:type="dxa"/>
        </w:tblCellMar>
        <w:tblLook w:val="04A0" w:firstRow="1" w:lastRow="0" w:firstColumn="1" w:lastColumn="0" w:noHBand="0" w:noVBand="1"/>
      </w:tblPr>
      <w:tblGrid>
        <w:gridCol w:w="1077"/>
        <w:gridCol w:w="7528"/>
      </w:tblGrid>
      <w:tr w:rsidR="00FD7EB1" w:rsidRPr="00FE7659" w14:paraId="3E828AEA" w14:textId="77777777" w:rsidTr="00014258">
        <w:trPr>
          <w:trHeight w:val="2053"/>
        </w:trPr>
        <w:tc>
          <w:tcPr>
            <w:tcW w:w="1077" w:type="dxa"/>
            <w:vAlign w:val="center"/>
            <w:hideMark/>
          </w:tcPr>
          <w:p w14:paraId="40F262E7" w14:textId="77777777" w:rsidR="00FD7EB1" w:rsidRPr="00FE7659" w:rsidRDefault="00FD7EB1" w:rsidP="00014258">
            <w:pPr>
              <w:rPr>
                <w:rFonts w:cs="Arial"/>
              </w:rPr>
            </w:pPr>
            <w:bookmarkStart w:id="15" w:name="_Hlk166059974"/>
            <w:r w:rsidRPr="00FE7659">
              <w:rPr>
                <w:rFonts w:cs="Arial"/>
                <w:noProof/>
              </w:rPr>
              <w:drawing>
                <wp:inline distT="0" distB="0" distL="0" distR="0" wp14:anchorId="033BAC4D" wp14:editId="234DB302">
                  <wp:extent cx="695960" cy="6959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inline>
              </w:drawing>
            </w:r>
          </w:p>
        </w:tc>
        <w:tc>
          <w:tcPr>
            <w:tcW w:w="7528" w:type="dxa"/>
            <w:shd w:val="clear" w:color="auto" w:fill="EAEAEA"/>
            <w:tcMar>
              <w:top w:w="170" w:type="dxa"/>
              <w:left w:w="170" w:type="dxa"/>
              <w:bottom w:w="170" w:type="dxa"/>
              <w:right w:w="170" w:type="dxa"/>
            </w:tcMar>
            <w:vAlign w:val="center"/>
            <w:hideMark/>
          </w:tcPr>
          <w:p w14:paraId="2DC91CED" w14:textId="007EB7FF" w:rsidR="00FD7EB1" w:rsidRPr="00FE7659" w:rsidRDefault="00FD7EB1" w:rsidP="00014258">
            <w:pPr>
              <w:rPr>
                <w:rFonts w:cs="Arial"/>
                <w:b/>
                <w:color w:val="000000" w:themeColor="text1"/>
              </w:rPr>
            </w:pPr>
            <w:r w:rsidRPr="00FE7659">
              <w:rPr>
                <w:rFonts w:cs="Arial"/>
                <w:b/>
                <w:color w:val="000000" w:themeColor="text1"/>
              </w:rPr>
              <w:t>Proposal 2</w:t>
            </w:r>
          </w:p>
          <w:p w14:paraId="76FBD232" w14:textId="3DD65186" w:rsidR="00FD7EB1" w:rsidRPr="00EE1E26" w:rsidRDefault="00FD7EB1" w:rsidP="00014258">
            <w:pPr>
              <w:pStyle w:val="Numberbullet0"/>
              <w:numPr>
                <w:ilvl w:val="0"/>
                <w:numId w:val="0"/>
              </w:numPr>
              <w:rPr>
                <w:rFonts w:cs="Arial"/>
                <w:color w:val="000000" w:themeColor="text1"/>
              </w:rPr>
            </w:pPr>
            <w:r w:rsidRPr="00EE1E26">
              <w:rPr>
                <w:rFonts w:cs="Arial"/>
                <w:color w:val="000000" w:themeColor="text1"/>
              </w:rPr>
              <w:t>2.</w:t>
            </w:r>
            <w:r w:rsidRPr="00EE1E26">
              <w:rPr>
                <w:rFonts w:cs="Arial"/>
                <w:color w:val="auto"/>
              </w:rPr>
              <w:t>1 Are there any</w:t>
            </w:r>
            <w:r w:rsidR="00646D65">
              <w:rPr>
                <w:rFonts w:cs="Arial"/>
                <w:color w:val="auto"/>
              </w:rPr>
              <w:t xml:space="preserve"> other</w:t>
            </w:r>
            <w:r w:rsidRPr="00EE1E26">
              <w:rPr>
                <w:rFonts w:cs="Arial"/>
                <w:color w:val="auto"/>
              </w:rPr>
              <w:t xml:space="preserve"> products that </w:t>
            </w:r>
            <w:r w:rsidR="00FE7659" w:rsidRPr="00EE1E26">
              <w:rPr>
                <w:rFonts w:cs="Arial"/>
                <w:color w:val="auto"/>
              </w:rPr>
              <w:t xml:space="preserve">should have their regulatory category clarified through </w:t>
            </w:r>
            <w:r w:rsidRPr="00EE1E26">
              <w:rPr>
                <w:rFonts w:cs="Arial"/>
                <w:color w:val="auto"/>
              </w:rPr>
              <w:t>legislation?</w:t>
            </w:r>
          </w:p>
          <w:p w14:paraId="35BBCF09" w14:textId="77777777" w:rsidR="00FD7EB1" w:rsidRPr="00EE1E26" w:rsidRDefault="00FD7EB1" w:rsidP="00A30941">
            <w:pPr>
              <w:pStyle w:val="ListBullet"/>
            </w:pPr>
            <w:r w:rsidRPr="00EE1E26">
              <w:t>Yes/No</w:t>
            </w:r>
          </w:p>
          <w:p w14:paraId="64EBA0BE" w14:textId="230CF0B6" w:rsidR="00FD7EB1" w:rsidRPr="00FE7659" w:rsidRDefault="00FE7659" w:rsidP="00A30941">
            <w:pPr>
              <w:pStyle w:val="ListBullet"/>
            </w:pPr>
            <w:r w:rsidRPr="00EE1E26">
              <w:t>If yes, l</w:t>
            </w:r>
            <w:r w:rsidR="00232B6C" w:rsidRPr="00EE1E26">
              <w:t xml:space="preserve">ist other products that </w:t>
            </w:r>
            <w:r w:rsidR="00646D65">
              <w:t>should</w:t>
            </w:r>
            <w:r w:rsidR="00232B6C" w:rsidRPr="00EE1E26">
              <w:t xml:space="preserve"> </w:t>
            </w:r>
            <w:r w:rsidR="00646D65">
              <w:t xml:space="preserve">have their regulatory category legislated </w:t>
            </w:r>
            <w:r w:rsidR="00232B6C" w:rsidRPr="00EE1E26">
              <w:t>for additional clarity</w:t>
            </w:r>
            <w:r w:rsidRPr="00EE1E26">
              <w:t xml:space="preserve"> and explain why</w:t>
            </w:r>
            <w:r w:rsidR="00232B6C" w:rsidRPr="00EE1E26">
              <w:t>.</w:t>
            </w:r>
          </w:p>
        </w:tc>
      </w:tr>
      <w:bookmarkEnd w:id="15"/>
    </w:tbl>
    <w:p w14:paraId="1C8530CA" w14:textId="2069DEA7" w:rsidR="0094353C" w:rsidRPr="00FE7659" w:rsidRDefault="00FD7EB1" w:rsidP="00936247">
      <w:pPr>
        <w:rPr>
          <w:rFonts w:cs="Arial"/>
        </w:rPr>
      </w:pPr>
      <w:r w:rsidRPr="00FE7659">
        <w:rPr>
          <w:rFonts w:cs="Arial"/>
        </w:rPr>
        <w:br w:type="page"/>
      </w:r>
    </w:p>
    <w:p w14:paraId="5D83C5D1" w14:textId="520F53DA" w:rsidR="00A33B2B" w:rsidRPr="00A33B2B" w:rsidRDefault="00A33B2B" w:rsidP="00A33B2B">
      <w:pPr>
        <w:rPr>
          <w:b/>
          <w:bCs/>
        </w:rPr>
      </w:pPr>
      <w:r w:rsidRPr="00A33B2B">
        <w:rPr>
          <w:b/>
          <w:bCs/>
        </w:rPr>
        <w:lastRenderedPageBreak/>
        <w:t>Consent to publish your response</w:t>
      </w:r>
    </w:p>
    <w:p w14:paraId="38D4B8FF" w14:textId="4A742C8B" w:rsidR="00A33B2B" w:rsidRPr="003B0F15" w:rsidRDefault="00A33B2B" w:rsidP="00A33B2B">
      <w:pPr>
        <w:pStyle w:val="Numberbullet0"/>
        <w:numPr>
          <w:ilvl w:val="0"/>
          <w:numId w:val="0"/>
        </w:numPr>
        <w:rPr>
          <w:rFonts w:cs="Arial"/>
        </w:rPr>
      </w:pPr>
      <w:r>
        <w:rPr>
          <w:rFonts w:cs="Arial"/>
        </w:rPr>
        <w:t xml:space="preserve">Please review the consultation paper and provide your response through the </w:t>
      </w:r>
      <w:hyperlink r:id="rId22" w:history="1">
        <w:r w:rsidRPr="00A51F55">
          <w:rPr>
            <w:rStyle w:val="Hyperlink"/>
            <w:rFonts w:cs="Arial"/>
          </w:rPr>
          <w:t>TGA Consultation Hub</w:t>
        </w:r>
      </w:hyperlink>
      <w:r>
        <w:rPr>
          <w:rFonts w:cs="Arial"/>
        </w:rPr>
        <w:t xml:space="preserve">. If you are unable to use the link and choose to provide a response through Outlook, then please </w:t>
      </w:r>
      <w:r w:rsidRPr="00A33B2B">
        <w:rPr>
          <w:rFonts w:cs="Arial"/>
        </w:rPr>
        <w:t>indicate your publishing preferences for your submission</w:t>
      </w:r>
      <w:r>
        <w:rPr>
          <w:rFonts w:cs="Arial"/>
        </w:rPr>
        <w:t xml:space="preserve">.  </w:t>
      </w:r>
    </w:p>
    <w:p w14:paraId="53C9DF7C" w14:textId="074D6C8D" w:rsidR="00A33B2B" w:rsidRDefault="00A33B2B" w:rsidP="00A33B2B">
      <w:pPr>
        <w:pStyle w:val="Numberbullet0"/>
        <w:numPr>
          <w:ilvl w:val="0"/>
          <w:numId w:val="0"/>
        </w:numPr>
        <w:ind w:left="360" w:hanging="360"/>
        <w:rPr>
          <w:rFonts w:cs="Arial"/>
        </w:rPr>
      </w:pPr>
      <w:r>
        <w:rPr>
          <w:rFonts w:cs="Arial"/>
        </w:rPr>
        <w:t>Select one option from</w:t>
      </w:r>
      <w:r w:rsidRPr="00EE1E26">
        <w:rPr>
          <w:rFonts w:cs="Arial"/>
        </w:rPr>
        <w:t xml:space="preserve"> below. </w:t>
      </w:r>
    </w:p>
    <w:p w14:paraId="028F7184" w14:textId="77777777" w:rsidR="00A33B2B" w:rsidRPr="00EE1E26" w:rsidRDefault="00A33B2B" w:rsidP="00A33B2B">
      <w:pPr>
        <w:rPr>
          <w:rFonts w:cs="Arial"/>
        </w:rPr>
      </w:pPr>
    </w:p>
    <w:tbl>
      <w:tblPr>
        <w:tblW w:w="8605" w:type="dxa"/>
        <w:tblLayout w:type="fixed"/>
        <w:tblCellMar>
          <w:left w:w="0" w:type="dxa"/>
          <w:right w:w="0" w:type="dxa"/>
        </w:tblCellMar>
        <w:tblLook w:val="04A0" w:firstRow="1" w:lastRow="0" w:firstColumn="1" w:lastColumn="0" w:noHBand="0" w:noVBand="1"/>
      </w:tblPr>
      <w:tblGrid>
        <w:gridCol w:w="1077"/>
        <w:gridCol w:w="7528"/>
      </w:tblGrid>
      <w:tr w:rsidR="00A33B2B" w:rsidRPr="00FE7659" w14:paraId="70F5D8AB" w14:textId="77777777" w:rsidTr="001D106E">
        <w:trPr>
          <w:trHeight w:val="2053"/>
        </w:trPr>
        <w:tc>
          <w:tcPr>
            <w:tcW w:w="1077" w:type="dxa"/>
            <w:vAlign w:val="center"/>
            <w:hideMark/>
          </w:tcPr>
          <w:p w14:paraId="540283C8" w14:textId="77777777" w:rsidR="00A33B2B" w:rsidRPr="00FE7659" w:rsidRDefault="00A33B2B" w:rsidP="001D106E">
            <w:pPr>
              <w:rPr>
                <w:rFonts w:cs="Arial"/>
              </w:rPr>
            </w:pPr>
            <w:r w:rsidRPr="00FE7659">
              <w:rPr>
                <w:rFonts w:cs="Arial"/>
                <w:noProof/>
              </w:rPr>
              <w:drawing>
                <wp:inline distT="0" distB="0" distL="0" distR="0" wp14:anchorId="2286182D" wp14:editId="0D5A3A29">
                  <wp:extent cx="695960" cy="6959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inline>
              </w:drawing>
            </w:r>
          </w:p>
        </w:tc>
        <w:tc>
          <w:tcPr>
            <w:tcW w:w="7528" w:type="dxa"/>
            <w:shd w:val="clear" w:color="auto" w:fill="EAEAEA"/>
            <w:tcMar>
              <w:top w:w="170" w:type="dxa"/>
              <w:left w:w="170" w:type="dxa"/>
              <w:bottom w:w="170" w:type="dxa"/>
              <w:right w:w="170" w:type="dxa"/>
            </w:tcMar>
            <w:vAlign w:val="center"/>
            <w:hideMark/>
          </w:tcPr>
          <w:p w14:paraId="6E1AB809" w14:textId="77777777" w:rsidR="00A33B2B" w:rsidRPr="00A33B2B" w:rsidRDefault="00A33B2B" w:rsidP="00A51F55">
            <w:pPr>
              <w:pStyle w:val="ListParagraph"/>
              <w:numPr>
                <w:ilvl w:val="0"/>
                <w:numId w:val="24"/>
              </w:numPr>
              <w:rPr>
                <w:rFonts w:ascii="Arial" w:hAnsi="Arial" w:cs="Arial"/>
                <w:color w:val="000000" w:themeColor="text1"/>
                <w:sz w:val="20"/>
                <w:szCs w:val="20"/>
              </w:rPr>
            </w:pPr>
            <w:r w:rsidRPr="00A33B2B">
              <w:rPr>
                <w:rFonts w:ascii="Arial" w:hAnsi="Arial" w:cs="Arial"/>
                <w:color w:val="000000" w:themeColor="text1"/>
                <w:sz w:val="20"/>
                <w:szCs w:val="20"/>
              </w:rPr>
              <w:t>I consent to my submission being published, including both my name and my organisation’s name.</w:t>
            </w:r>
          </w:p>
          <w:p w14:paraId="12132929" w14:textId="04C6CC2C" w:rsidR="00A33B2B" w:rsidRPr="00A33B2B" w:rsidRDefault="00A33B2B" w:rsidP="00A51F55">
            <w:pPr>
              <w:pStyle w:val="ListParagraph"/>
              <w:numPr>
                <w:ilvl w:val="0"/>
                <w:numId w:val="24"/>
              </w:numPr>
              <w:rPr>
                <w:rFonts w:ascii="Arial" w:hAnsi="Arial" w:cs="Arial"/>
                <w:color w:val="000000" w:themeColor="text1"/>
                <w:sz w:val="20"/>
                <w:szCs w:val="20"/>
              </w:rPr>
            </w:pPr>
            <w:r w:rsidRPr="00A33B2B">
              <w:rPr>
                <w:rFonts w:ascii="Arial" w:hAnsi="Arial" w:cs="Arial"/>
                <w:color w:val="000000" w:themeColor="text1"/>
                <w:sz w:val="20"/>
                <w:szCs w:val="20"/>
              </w:rPr>
              <w:t>I consent to my submission being published, without my name but including my organisation’s name.</w:t>
            </w:r>
          </w:p>
          <w:p w14:paraId="041EC611" w14:textId="769A7DF9" w:rsidR="00A33B2B" w:rsidRPr="00A33B2B" w:rsidRDefault="00A33B2B" w:rsidP="00A51F55">
            <w:pPr>
              <w:pStyle w:val="ListParagraph"/>
              <w:numPr>
                <w:ilvl w:val="0"/>
                <w:numId w:val="24"/>
              </w:numPr>
              <w:rPr>
                <w:rFonts w:ascii="Arial" w:hAnsi="Arial" w:cs="Arial"/>
                <w:color w:val="000000" w:themeColor="text1"/>
                <w:sz w:val="20"/>
                <w:szCs w:val="20"/>
              </w:rPr>
            </w:pPr>
            <w:r w:rsidRPr="00A33B2B">
              <w:rPr>
                <w:rFonts w:ascii="Arial" w:hAnsi="Arial" w:cs="Arial"/>
                <w:color w:val="000000" w:themeColor="text1"/>
                <w:sz w:val="20"/>
                <w:szCs w:val="20"/>
              </w:rPr>
              <w:t>I consent to my submission being published anonymously (without my name or my organisation’s name).</w:t>
            </w:r>
          </w:p>
          <w:p w14:paraId="25A569B3" w14:textId="77777777" w:rsidR="00A33B2B" w:rsidRPr="00A51F55" w:rsidRDefault="00A33B2B" w:rsidP="00A51F55">
            <w:pPr>
              <w:pStyle w:val="ListBullet"/>
              <w:numPr>
                <w:ilvl w:val="0"/>
                <w:numId w:val="24"/>
              </w:numPr>
              <w:rPr>
                <w:bCs/>
              </w:rPr>
            </w:pPr>
            <w:r w:rsidRPr="00A33B2B">
              <w:rPr>
                <w:rFonts w:cs="Arial"/>
                <w:bCs/>
                <w:color w:val="000000" w:themeColor="text1"/>
              </w:rPr>
              <w:t>I do NOT consent to my submission being published.</w:t>
            </w:r>
          </w:p>
          <w:p w14:paraId="1BAEE89E" w14:textId="752924DB" w:rsidR="00A51F55" w:rsidRPr="00A51F55" w:rsidRDefault="00A51F55" w:rsidP="00A51F55">
            <w:pPr>
              <w:pStyle w:val="ListBullet"/>
              <w:numPr>
                <w:ilvl w:val="0"/>
                <w:numId w:val="0"/>
              </w:numPr>
              <w:rPr>
                <w:bCs/>
              </w:rPr>
            </w:pPr>
            <w:r w:rsidRPr="00A51F55">
              <w:rPr>
                <w:bCs/>
              </w:rPr>
              <w:t>If you consent to your submission being published, are there parts that you do not want published? (</w:t>
            </w:r>
            <w:r w:rsidR="00C17A27" w:rsidRPr="00A51F55">
              <w:rPr>
                <w:bCs/>
              </w:rPr>
              <w:t>Please</w:t>
            </w:r>
            <w:r w:rsidRPr="00A51F55">
              <w:rPr>
                <w:bCs/>
              </w:rPr>
              <w:t xml:space="preserve"> specify which part(s)</w:t>
            </w:r>
            <w:r w:rsidR="00C17A27">
              <w:rPr>
                <w:bCs/>
              </w:rPr>
              <w:t>)</w:t>
            </w:r>
          </w:p>
          <w:p w14:paraId="738C85CC" w14:textId="608F5AC7" w:rsidR="00A51F55" w:rsidRPr="00A33B2B" w:rsidRDefault="00A51F55" w:rsidP="00A51F55">
            <w:pPr>
              <w:pStyle w:val="ListBullet"/>
              <w:numPr>
                <w:ilvl w:val="0"/>
                <w:numId w:val="0"/>
              </w:numPr>
              <w:rPr>
                <w:bCs/>
              </w:rPr>
            </w:pPr>
          </w:p>
        </w:tc>
      </w:tr>
    </w:tbl>
    <w:p w14:paraId="23DC6DE4" w14:textId="77777777" w:rsidR="000E43CB" w:rsidRPr="00FE7659" w:rsidRDefault="000E43CB" w:rsidP="00FE1941">
      <w:pPr>
        <w:pStyle w:val="NonTOCheading2"/>
        <w:rPr>
          <w:rFonts w:cs="Arial"/>
        </w:rPr>
      </w:pPr>
      <w:r w:rsidRPr="00FE7659">
        <w:rPr>
          <w:rFonts w:cs="Arial"/>
        </w:rPr>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0E43CB" w:rsidRPr="00FE7659" w14:paraId="454BFB09" w14:textId="77777777" w:rsidTr="000E4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A7077D4" w14:textId="77777777" w:rsidR="000E43CB" w:rsidRPr="00FE7659" w:rsidRDefault="000E43CB" w:rsidP="00B73F7A">
            <w:pPr>
              <w:rPr>
                <w:rFonts w:cs="Arial"/>
              </w:rPr>
            </w:pPr>
            <w:bookmarkStart w:id="16" w:name="ColumnTitle_4"/>
            <w:r w:rsidRPr="00FE7659">
              <w:rPr>
                <w:rFonts w:cs="Arial"/>
              </w:rPr>
              <w:t>Version</w:t>
            </w:r>
          </w:p>
        </w:tc>
        <w:tc>
          <w:tcPr>
            <w:tcW w:w="3242" w:type="dxa"/>
          </w:tcPr>
          <w:p w14:paraId="27B1DC1B" w14:textId="77777777" w:rsidR="000E43CB" w:rsidRPr="00FE7659" w:rsidRDefault="000E43CB" w:rsidP="00B73F7A">
            <w:pPr>
              <w:cnfStyle w:val="100000000000" w:firstRow="1" w:lastRow="0" w:firstColumn="0" w:lastColumn="0" w:oddVBand="0" w:evenVBand="0" w:oddHBand="0" w:evenHBand="0" w:firstRowFirstColumn="0" w:firstRowLastColumn="0" w:lastRowFirstColumn="0" w:lastRowLastColumn="0"/>
              <w:rPr>
                <w:rFonts w:cs="Arial"/>
              </w:rPr>
            </w:pPr>
            <w:r w:rsidRPr="00FE7659">
              <w:rPr>
                <w:rFonts w:cs="Arial"/>
              </w:rPr>
              <w:t>Description of change</w:t>
            </w:r>
          </w:p>
        </w:tc>
        <w:tc>
          <w:tcPr>
            <w:tcW w:w="2712" w:type="dxa"/>
          </w:tcPr>
          <w:p w14:paraId="6D55B459" w14:textId="77777777" w:rsidR="000E43CB" w:rsidRPr="00FE7659" w:rsidRDefault="000E43CB" w:rsidP="00B73F7A">
            <w:pPr>
              <w:cnfStyle w:val="100000000000" w:firstRow="1" w:lastRow="0" w:firstColumn="0" w:lastColumn="0" w:oddVBand="0" w:evenVBand="0" w:oddHBand="0" w:evenHBand="0" w:firstRowFirstColumn="0" w:firstRowLastColumn="0" w:lastRowFirstColumn="0" w:lastRowLastColumn="0"/>
              <w:rPr>
                <w:rFonts w:cs="Arial"/>
              </w:rPr>
            </w:pPr>
            <w:r w:rsidRPr="00FE7659">
              <w:rPr>
                <w:rFonts w:cs="Arial"/>
              </w:rPr>
              <w:t>Author</w:t>
            </w:r>
          </w:p>
        </w:tc>
        <w:tc>
          <w:tcPr>
            <w:tcW w:w="1808" w:type="dxa"/>
          </w:tcPr>
          <w:p w14:paraId="0BF4B18C" w14:textId="77777777" w:rsidR="000E43CB" w:rsidRPr="00FE7659" w:rsidRDefault="000E43CB" w:rsidP="00B73F7A">
            <w:pPr>
              <w:cnfStyle w:val="100000000000" w:firstRow="1" w:lastRow="0" w:firstColumn="0" w:lastColumn="0" w:oddVBand="0" w:evenVBand="0" w:oddHBand="0" w:evenHBand="0" w:firstRowFirstColumn="0" w:firstRowLastColumn="0" w:lastRowFirstColumn="0" w:lastRowLastColumn="0"/>
              <w:rPr>
                <w:rFonts w:cs="Arial"/>
              </w:rPr>
            </w:pPr>
            <w:r w:rsidRPr="00FE7659">
              <w:rPr>
                <w:rFonts w:cs="Arial"/>
              </w:rPr>
              <w:t>Effective date</w:t>
            </w:r>
          </w:p>
        </w:tc>
      </w:tr>
      <w:bookmarkEnd w:id="16"/>
      <w:tr w:rsidR="000E43CB" w:rsidRPr="00FE7659" w14:paraId="5A21BFFF" w14:textId="77777777" w:rsidTr="000E43CB">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EEA646F" w14:textId="77777777" w:rsidR="000E43CB" w:rsidRPr="00FE7659" w:rsidRDefault="000E43CB" w:rsidP="00B73F7A">
            <w:pPr>
              <w:rPr>
                <w:rFonts w:cs="Arial"/>
              </w:rPr>
            </w:pPr>
            <w:r w:rsidRPr="00FE7659">
              <w:rPr>
                <w:rFonts w:cs="Arial"/>
              </w:rPr>
              <w:t>V1.0</w:t>
            </w:r>
          </w:p>
        </w:tc>
        <w:tc>
          <w:tcPr>
            <w:tcW w:w="3242" w:type="dxa"/>
          </w:tcPr>
          <w:p w14:paraId="511BB9D5" w14:textId="77777777" w:rsidR="000E43CB" w:rsidRPr="00FE7659" w:rsidRDefault="000E43CB" w:rsidP="00B73F7A">
            <w:pPr>
              <w:cnfStyle w:val="000000000000" w:firstRow="0" w:lastRow="0" w:firstColumn="0" w:lastColumn="0" w:oddVBand="0" w:evenVBand="0" w:oddHBand="0" w:evenHBand="0" w:firstRowFirstColumn="0" w:firstRowLastColumn="0" w:lastRowFirstColumn="0" w:lastRowLastColumn="0"/>
              <w:rPr>
                <w:rFonts w:cs="Arial"/>
              </w:rPr>
            </w:pPr>
            <w:r w:rsidRPr="00FE7659">
              <w:rPr>
                <w:rFonts w:cs="Arial"/>
              </w:rPr>
              <w:t>Original publication</w:t>
            </w:r>
          </w:p>
        </w:tc>
        <w:tc>
          <w:tcPr>
            <w:tcW w:w="2712" w:type="dxa"/>
          </w:tcPr>
          <w:p w14:paraId="2FB51378" w14:textId="24FF04B1" w:rsidR="000E43CB" w:rsidRPr="00FE7659" w:rsidRDefault="00BF5AFB" w:rsidP="00B73F7A">
            <w:pPr>
              <w:cnfStyle w:val="000000000000" w:firstRow="0" w:lastRow="0" w:firstColumn="0" w:lastColumn="0" w:oddVBand="0" w:evenVBand="0" w:oddHBand="0" w:evenHBand="0" w:firstRowFirstColumn="0" w:firstRowLastColumn="0" w:lastRowFirstColumn="0" w:lastRowLastColumn="0"/>
              <w:rPr>
                <w:rFonts w:cs="Arial"/>
              </w:rPr>
            </w:pPr>
            <w:r w:rsidRPr="00FE7659">
              <w:rPr>
                <w:rFonts w:cs="Arial"/>
              </w:rPr>
              <w:t>Device</w:t>
            </w:r>
            <w:r w:rsidR="00CD4F7C">
              <w:rPr>
                <w:rFonts w:cs="Arial"/>
              </w:rPr>
              <w:t>s</w:t>
            </w:r>
            <w:r w:rsidRPr="00FE7659">
              <w:rPr>
                <w:rFonts w:cs="Arial"/>
              </w:rPr>
              <w:t xml:space="preserve"> Reforms Taskforce</w:t>
            </w:r>
          </w:p>
        </w:tc>
        <w:tc>
          <w:tcPr>
            <w:tcW w:w="1808" w:type="dxa"/>
          </w:tcPr>
          <w:p w14:paraId="50B8BC6F" w14:textId="69389223" w:rsidR="000E43CB" w:rsidRPr="00FE7659" w:rsidRDefault="00BC3E46" w:rsidP="00B73F7A">
            <w:pPr>
              <w:cnfStyle w:val="000000000000" w:firstRow="0" w:lastRow="0" w:firstColumn="0" w:lastColumn="0" w:oddVBand="0" w:evenVBand="0" w:oddHBand="0" w:evenHBand="0" w:firstRowFirstColumn="0" w:firstRowLastColumn="0" w:lastRowFirstColumn="0" w:lastRowLastColumn="0"/>
              <w:rPr>
                <w:rFonts w:cs="Arial"/>
              </w:rPr>
            </w:pPr>
            <w:r w:rsidRPr="00FE7659">
              <w:rPr>
                <w:rFonts w:cs="Arial"/>
              </w:rPr>
              <w:t>June 2024</w:t>
            </w:r>
          </w:p>
        </w:tc>
      </w:tr>
    </w:tbl>
    <w:p w14:paraId="5BCF7306" w14:textId="77777777" w:rsidR="000E43CB" w:rsidRPr="00FE7659" w:rsidRDefault="000E43CB" w:rsidP="00F8404D">
      <w:pPr>
        <w:rPr>
          <w:rFonts w:cs="Arial"/>
        </w:rPr>
      </w:pPr>
      <w:r w:rsidRPr="00FE7659">
        <w:rPr>
          <w:rFonts w:cs="Arial"/>
        </w:rPr>
        <w:br w:type="page"/>
      </w:r>
    </w:p>
    <w:p w14:paraId="407CA1C5" w14:textId="77777777" w:rsidR="000E43CB" w:rsidRPr="00FE7659" w:rsidRDefault="000E43CB" w:rsidP="00F8404D">
      <w:pPr>
        <w:rPr>
          <w:rFonts w:cs="Arial"/>
        </w:rPr>
        <w:sectPr w:rsidR="000E43CB" w:rsidRPr="00FE7659" w:rsidSect="0074066C">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0E43CB" w:rsidRPr="00FE7659" w14:paraId="0535EBC5" w14:textId="77777777" w:rsidTr="00E2124E">
        <w:trPr>
          <w:trHeight w:hRule="exact" w:val="565"/>
          <w:jc w:val="center"/>
        </w:trPr>
        <w:tc>
          <w:tcPr>
            <w:tcW w:w="9145" w:type="dxa"/>
          </w:tcPr>
          <w:p w14:paraId="0856CE53" w14:textId="77777777" w:rsidR="000E43CB" w:rsidRPr="00FE7659" w:rsidRDefault="000E43CB" w:rsidP="00E2124E">
            <w:pPr>
              <w:pStyle w:val="TGASignoff"/>
              <w:rPr>
                <w:rFonts w:cs="Arial"/>
              </w:rPr>
            </w:pPr>
            <w:r w:rsidRPr="00FE7659">
              <w:rPr>
                <w:rFonts w:cs="Arial"/>
              </w:rPr>
              <w:lastRenderedPageBreak/>
              <w:t>Therapeutic Goods Administration</w:t>
            </w:r>
          </w:p>
        </w:tc>
      </w:tr>
      <w:tr w:rsidR="000E43CB" w:rsidRPr="00FE7659" w14:paraId="6B394A7D" w14:textId="77777777" w:rsidTr="00E2124E">
        <w:trPr>
          <w:trHeight w:val="963"/>
          <w:jc w:val="center"/>
        </w:trPr>
        <w:tc>
          <w:tcPr>
            <w:tcW w:w="9145" w:type="dxa"/>
            <w:tcMar>
              <w:top w:w="28" w:type="dxa"/>
            </w:tcMar>
          </w:tcPr>
          <w:p w14:paraId="00A29F17" w14:textId="77777777" w:rsidR="000E43CB" w:rsidRPr="00FE7659" w:rsidRDefault="000E43CB" w:rsidP="00E2124E">
            <w:pPr>
              <w:pStyle w:val="Address"/>
              <w:jc w:val="center"/>
              <w:rPr>
                <w:rFonts w:cs="Arial"/>
              </w:rPr>
            </w:pPr>
            <w:r w:rsidRPr="00FE7659">
              <w:rPr>
                <w:rFonts w:cs="Arial"/>
              </w:rPr>
              <w:t>PO Box 100 Woden ACT 2606 Australia</w:t>
            </w:r>
          </w:p>
          <w:p w14:paraId="79BDE382" w14:textId="77777777" w:rsidR="000E43CB" w:rsidRPr="00FE7659" w:rsidRDefault="000E43CB" w:rsidP="00E2124E">
            <w:pPr>
              <w:pStyle w:val="Address"/>
              <w:jc w:val="center"/>
              <w:rPr>
                <w:rFonts w:cs="Arial"/>
              </w:rPr>
            </w:pPr>
            <w:r w:rsidRPr="00FE7659">
              <w:rPr>
                <w:rFonts w:cs="Arial"/>
              </w:rPr>
              <w:t xml:space="preserve">Email: </w:t>
            </w:r>
            <w:hyperlink r:id="rId26" w:history="1">
              <w:r w:rsidRPr="00FE7659">
                <w:rPr>
                  <w:rStyle w:val="Hyperlink"/>
                  <w:rFonts w:cs="Arial"/>
                </w:rPr>
                <w:t>info@tga.gov.au</w:t>
              </w:r>
            </w:hyperlink>
            <w:r w:rsidRPr="00FE7659">
              <w:rPr>
                <w:rFonts w:cs="Arial"/>
              </w:rPr>
              <w:t xml:space="preserve">  Phone: 1800 020 653  Fax: 02 6203 1605</w:t>
            </w:r>
          </w:p>
          <w:p w14:paraId="04CDEE3D" w14:textId="77777777" w:rsidR="000E43CB" w:rsidRPr="00FE7659" w:rsidRDefault="00981854" w:rsidP="00E2124E">
            <w:pPr>
              <w:pStyle w:val="Address"/>
              <w:spacing w:line="260" w:lineRule="atLeast"/>
              <w:jc w:val="center"/>
              <w:rPr>
                <w:rStyle w:val="Hyperlink"/>
                <w:rFonts w:cs="Arial"/>
                <w:b/>
              </w:rPr>
            </w:pPr>
            <w:hyperlink r:id="rId27" w:history="1">
              <w:r w:rsidR="000E43CB" w:rsidRPr="00FE7659">
                <w:rPr>
                  <w:rStyle w:val="Hyperlink"/>
                  <w:rFonts w:cs="Arial"/>
                  <w:b/>
                </w:rPr>
                <w:t>https://www.tga.gov.au</w:t>
              </w:r>
            </w:hyperlink>
          </w:p>
        </w:tc>
      </w:tr>
      <w:tr w:rsidR="000E43CB" w:rsidRPr="00FE7659" w14:paraId="58337972" w14:textId="77777777" w:rsidTr="00E2124E">
        <w:trPr>
          <w:trHeight w:val="251"/>
          <w:jc w:val="center"/>
        </w:trPr>
        <w:tc>
          <w:tcPr>
            <w:tcW w:w="9145" w:type="dxa"/>
            <w:tcMar>
              <w:top w:w="28" w:type="dxa"/>
            </w:tcMar>
          </w:tcPr>
          <w:p w14:paraId="0FEB7D52" w14:textId="77777777" w:rsidR="000E43CB" w:rsidRPr="00FE7659" w:rsidRDefault="000E43CB" w:rsidP="00E2124E">
            <w:pPr>
              <w:pStyle w:val="Address"/>
              <w:jc w:val="center"/>
              <w:rPr>
                <w:rFonts w:cs="Arial"/>
              </w:rPr>
            </w:pPr>
            <w:r w:rsidRPr="00FE7659">
              <w:rPr>
                <w:rFonts w:cs="Arial"/>
              </w:rPr>
              <w:t>Reference/Publication #</w:t>
            </w:r>
          </w:p>
        </w:tc>
      </w:tr>
    </w:tbl>
    <w:p w14:paraId="49C6EF44" w14:textId="77777777" w:rsidR="000E43CB" w:rsidRPr="00FE7659" w:rsidRDefault="000E43CB" w:rsidP="00F8404D">
      <w:pPr>
        <w:pStyle w:val="Footer"/>
        <w:rPr>
          <w:rFonts w:cs="Arial"/>
        </w:rPr>
      </w:pPr>
    </w:p>
    <w:p w14:paraId="6FD5F046" w14:textId="77777777" w:rsidR="00120FB0" w:rsidRPr="00FE7659" w:rsidRDefault="00120FB0" w:rsidP="000E43CB">
      <w:pPr>
        <w:rPr>
          <w:rFonts w:cs="Arial"/>
        </w:rPr>
      </w:pPr>
    </w:p>
    <w:sectPr w:rsidR="00120FB0" w:rsidRPr="00FE7659" w:rsidSect="00AE7C6A">
      <w:headerReference w:type="first" r:id="rId28"/>
      <w:footerReference w:type="first" r:id="rId2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3C17" w14:textId="77777777" w:rsidR="00F60C51" w:rsidRDefault="00F60C51" w:rsidP="00F02AEC">
      <w:pPr>
        <w:spacing w:after="0" w:line="240" w:lineRule="auto"/>
      </w:pPr>
      <w:r>
        <w:separator/>
      </w:r>
    </w:p>
  </w:endnote>
  <w:endnote w:type="continuationSeparator" w:id="0">
    <w:p w14:paraId="01910B0F" w14:textId="77777777" w:rsidR="00F60C51" w:rsidRDefault="00F60C51" w:rsidP="00F02AEC">
      <w:pPr>
        <w:spacing w:after="0" w:line="240" w:lineRule="auto"/>
      </w:pPr>
      <w:r>
        <w:continuationSeparator/>
      </w:r>
    </w:p>
  </w:endnote>
  <w:endnote w:type="continuationNotice" w:id="1">
    <w:p w14:paraId="29AB03E1" w14:textId="77777777" w:rsidR="00F60C51" w:rsidRDefault="00F60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1993" w14:textId="77777777" w:rsidR="001218F4" w:rsidRDefault="00121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BB0D" w14:textId="77777777" w:rsidR="000E43CB" w:rsidRDefault="000E43CB"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46"/>
    </w:tblGrid>
    <w:tr w:rsidR="000E43CB" w:rsidRPr="00257138" w14:paraId="117A40E0" w14:textId="77777777" w:rsidTr="00A3654F">
      <w:trPr>
        <w:trHeight w:val="423"/>
      </w:trPr>
      <w:tc>
        <w:tcPr>
          <w:tcW w:w="4360" w:type="dxa"/>
          <w:tcBorders>
            <w:top w:val="single" w:sz="4" w:space="0" w:color="auto"/>
          </w:tcBorders>
        </w:tcPr>
        <w:p w14:paraId="5D318B75" w14:textId="77777777" w:rsidR="000E43CB" w:rsidRDefault="000E43CB" w:rsidP="008D4740">
          <w:pPr>
            <w:pStyle w:val="Footer"/>
          </w:pPr>
        </w:p>
        <w:p w14:paraId="50BFE803" w14:textId="77777777" w:rsidR="000E43CB" w:rsidRPr="00257138" w:rsidRDefault="000E43CB" w:rsidP="009B15F1">
          <w:pPr>
            <w:pStyle w:val="Footer"/>
          </w:pPr>
          <w:r>
            <w:t>Document title</w:t>
          </w:r>
        </w:p>
      </w:tc>
      <w:tc>
        <w:tcPr>
          <w:tcW w:w="4360" w:type="dxa"/>
          <w:tcBorders>
            <w:top w:val="single" w:sz="4" w:space="0" w:color="auto"/>
          </w:tcBorders>
        </w:tcPr>
        <w:sdt>
          <w:sdtPr>
            <w:id w:val="-463356478"/>
            <w:docPartObj>
              <w:docPartGallery w:val="Page Numbers (Top of Page)"/>
              <w:docPartUnique/>
            </w:docPartObj>
          </w:sdtPr>
          <w:sdtEndPr>
            <w:rPr>
              <w:color w:val="auto"/>
            </w:rPr>
          </w:sdtEndPr>
          <w:sdtContent>
            <w:sdt>
              <w:sdtPr>
                <w:id w:val="3702144"/>
                <w:docPartObj>
                  <w:docPartGallery w:val="Page Numbers (Top of Page)"/>
                  <w:docPartUnique/>
                </w:docPartObj>
              </w:sdtPr>
              <w:sdtEndPr/>
              <w:sdtContent>
                <w:p w14:paraId="6D34AA22" w14:textId="77777777" w:rsidR="000E43CB" w:rsidRDefault="000E43CB" w:rsidP="008D4740">
                  <w:pPr>
                    <w:pStyle w:val="Footer"/>
                    <w:jc w:val="right"/>
                  </w:pPr>
                </w:p>
                <w:p w14:paraId="186FBB89" w14:textId="77777777" w:rsidR="000E43CB" w:rsidRPr="00257138" w:rsidRDefault="000E43C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981854">
                    <w:fldChar w:fldCharType="begin"/>
                  </w:r>
                  <w:r w:rsidR="00981854">
                    <w:instrText xml:space="preserve"> NUMPAGES  </w:instrText>
                  </w:r>
                  <w:r w:rsidR="00981854">
                    <w:fldChar w:fldCharType="separate"/>
                  </w:r>
                  <w:r>
                    <w:rPr>
                      <w:noProof/>
                    </w:rPr>
                    <w:t>2</w:t>
                  </w:r>
                  <w:r w:rsidR="00981854">
                    <w:rPr>
                      <w:noProof/>
                    </w:rPr>
                    <w:fldChar w:fldCharType="end"/>
                  </w:r>
                </w:p>
              </w:sdtContent>
            </w:sdt>
          </w:sdtContent>
        </w:sdt>
      </w:tc>
    </w:tr>
    <w:tr w:rsidR="000E43CB" w:rsidRPr="00257138" w14:paraId="4884E411" w14:textId="77777777" w:rsidTr="00A3654F">
      <w:trPr>
        <w:trHeight w:val="263"/>
      </w:trPr>
      <w:tc>
        <w:tcPr>
          <w:tcW w:w="4360" w:type="dxa"/>
        </w:tcPr>
        <w:p w14:paraId="1A179D81" w14:textId="77777777" w:rsidR="000E43CB" w:rsidRPr="00257138" w:rsidRDefault="000E43CB" w:rsidP="008D4740">
          <w:pPr>
            <w:pStyle w:val="Footer"/>
          </w:pPr>
          <w:r w:rsidRPr="00257138">
            <w:t xml:space="preserve">V1.0 </w:t>
          </w:r>
          <w:r>
            <w:t>Month</w:t>
          </w:r>
          <w:r w:rsidRPr="00257138">
            <w:t xml:space="preserve"> 201</w:t>
          </w:r>
          <w:r>
            <w:t>2</w:t>
          </w:r>
        </w:p>
      </w:tc>
      <w:tc>
        <w:tcPr>
          <w:tcW w:w="4360" w:type="dxa"/>
        </w:tcPr>
        <w:p w14:paraId="17022652" w14:textId="77777777" w:rsidR="000E43CB" w:rsidRPr="00257138" w:rsidRDefault="000E43CB" w:rsidP="008D4740">
          <w:pPr>
            <w:pStyle w:val="Footer"/>
            <w:jc w:val="right"/>
          </w:pPr>
        </w:p>
      </w:tc>
    </w:tr>
  </w:tbl>
  <w:p w14:paraId="2D2E3692" w14:textId="77777777" w:rsidR="000E43CB" w:rsidRPr="00826007" w:rsidRDefault="000E43CB" w:rsidP="00A3654F">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B9AE" w14:textId="77777777" w:rsidR="000E43CB" w:rsidRDefault="000E43CB" w:rsidP="00FF7B50">
    <w:pPr>
      <w:pStyle w:val="Footer"/>
      <w:ind w:left="-1757" w:right="-22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0E43CB" w:rsidRPr="00257138" w14:paraId="7B7DAD75" w14:textId="77777777" w:rsidTr="00D433BD">
      <w:trPr>
        <w:trHeight w:val="423"/>
      </w:trPr>
      <w:tc>
        <w:tcPr>
          <w:tcW w:w="7479" w:type="dxa"/>
        </w:tcPr>
        <w:p w14:paraId="6A60F77A" w14:textId="4F434B37" w:rsidR="000E43CB" w:rsidRPr="00257138" w:rsidRDefault="00C77369" w:rsidP="00EB182C">
          <w:pPr>
            <w:pStyle w:val="Footer"/>
            <w:spacing w:before="120" w:after="120"/>
          </w:pPr>
          <w:r>
            <w:t>Boundary and Combination Products: Proposed legislative changes</w:t>
          </w:r>
          <w:r w:rsidR="000E43CB">
            <w:br/>
          </w:r>
          <w:r w:rsidR="000E43CB" w:rsidRPr="00257138">
            <w:t xml:space="preserve">V1.0 </w:t>
          </w:r>
          <w:r>
            <w:t>June</w:t>
          </w:r>
          <w:r w:rsidR="000E43CB" w:rsidRPr="00257138">
            <w:t xml:space="preserve"> </w:t>
          </w:r>
          <w:r>
            <w:t>2024</w:t>
          </w:r>
        </w:p>
      </w:tc>
      <w:tc>
        <w:tcPr>
          <w:tcW w:w="1593" w:type="dxa"/>
        </w:tcPr>
        <w:sdt>
          <w:sdtPr>
            <w:id w:val="3702141"/>
            <w:docPartObj>
              <w:docPartGallery w:val="Page Numbers (Top of Page)"/>
              <w:docPartUnique/>
            </w:docPartObj>
          </w:sdtPr>
          <w:sdtEndPr/>
          <w:sdtContent>
            <w:p w14:paraId="2502E7A7" w14:textId="77777777" w:rsidR="000E43CB" w:rsidRPr="00257138" w:rsidRDefault="000E43CB"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rsidR="00981854">
                <w:fldChar w:fldCharType="begin"/>
              </w:r>
              <w:r w:rsidR="00981854">
                <w:instrText xml:space="preserve"> NUMPAGES  </w:instrText>
              </w:r>
              <w:r w:rsidR="00981854">
                <w:fldChar w:fldCharType="separate"/>
              </w:r>
              <w:r>
                <w:rPr>
                  <w:noProof/>
                </w:rPr>
                <w:t>6</w:t>
              </w:r>
              <w:r w:rsidR="00981854">
                <w:rPr>
                  <w:noProof/>
                </w:rPr>
                <w:fldChar w:fldCharType="end"/>
              </w:r>
            </w:p>
          </w:sdtContent>
        </w:sdt>
      </w:tc>
    </w:tr>
  </w:tbl>
  <w:p w14:paraId="1F745FC3" w14:textId="77777777" w:rsidR="000E43CB" w:rsidRPr="00826007" w:rsidRDefault="000E43CB" w:rsidP="00F4663D">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218F" w14:textId="77777777" w:rsidR="00120FB0" w:rsidRPr="008E3C43" w:rsidRDefault="00120FB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796C" w14:textId="77777777" w:rsidR="00F60C51" w:rsidRDefault="00F60C51" w:rsidP="00F02AEC">
      <w:pPr>
        <w:spacing w:after="0" w:line="240" w:lineRule="auto"/>
      </w:pPr>
      <w:r>
        <w:separator/>
      </w:r>
    </w:p>
  </w:footnote>
  <w:footnote w:type="continuationSeparator" w:id="0">
    <w:p w14:paraId="2C1B50DA" w14:textId="77777777" w:rsidR="00F60C51" w:rsidRDefault="00F60C51" w:rsidP="00F02AEC">
      <w:pPr>
        <w:spacing w:after="0" w:line="240" w:lineRule="auto"/>
      </w:pPr>
      <w:r>
        <w:continuationSeparator/>
      </w:r>
    </w:p>
  </w:footnote>
  <w:footnote w:type="continuationNotice" w:id="1">
    <w:p w14:paraId="34425533" w14:textId="77777777" w:rsidR="00F60C51" w:rsidRDefault="00F60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1045" w14:textId="77777777" w:rsidR="001218F4" w:rsidRDefault="00121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3358" w14:textId="77777777" w:rsidR="000E43CB" w:rsidRPr="00920FF4" w:rsidRDefault="000E43CB" w:rsidP="00920FF4">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070A" w14:textId="0C497EAE" w:rsidR="000E43CB" w:rsidRPr="00E32326" w:rsidRDefault="000E43CB" w:rsidP="00F202AB">
    <w:r w:rsidRPr="00F3255D">
      <w:rPr>
        <w:noProof/>
        <w:lang w:eastAsia="en-AU"/>
      </w:rPr>
      <w:drawing>
        <wp:anchor distT="0" distB="0" distL="114300" distR="114300" simplePos="0" relativeHeight="251657728" behindDoc="0" locked="0" layoutInCell="1" allowOverlap="1" wp14:anchorId="197FB88F" wp14:editId="53D7F3A8">
          <wp:simplePos x="0" y="0"/>
          <wp:positionH relativeFrom="column">
            <wp:posOffset>-474345</wp:posOffset>
          </wp:positionH>
          <wp:positionV relativeFrom="paragraph">
            <wp:posOffset>-255270</wp:posOffset>
          </wp:positionV>
          <wp:extent cx="2769870" cy="643255"/>
          <wp:effectExtent l="0" t="0" r="0" b="444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9870" cy="64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E43CB" w:rsidRPr="00FF7B50" w14:paraId="0E029525" w14:textId="77777777" w:rsidTr="002C6B85">
      <w:trPr>
        <w:trHeight w:hRule="exact" w:val="8845"/>
      </w:trPr>
      <w:tc>
        <w:tcPr>
          <w:tcW w:w="11964" w:type="dxa"/>
        </w:tcPr>
        <w:p w14:paraId="3EFD145A" w14:textId="77777777" w:rsidR="000E43CB" w:rsidRPr="00FF7B50" w:rsidRDefault="00981854" w:rsidP="00AE0320">
          <w:pPr>
            <w:pStyle w:val="Header"/>
            <w:ind w:left="-57"/>
            <w:jc w:val="left"/>
            <w:rPr>
              <w:noProof/>
            </w:rPr>
          </w:pPr>
          <w:sdt>
            <w:sdtPr>
              <w:rPr>
                <w:noProof/>
              </w:rPr>
              <w:id w:val="3702145"/>
              <w:showingPlcHdr/>
              <w:picture/>
            </w:sdtPr>
            <w:sdtEndPr/>
            <w:sdtContent>
              <w:r w:rsidR="000E43CB" w:rsidRPr="00FF7B50">
                <w:rPr>
                  <w:noProof/>
                </w:rPr>
                <w:drawing>
                  <wp:inline distT="0" distB="0" distL="0" distR="0" wp14:anchorId="1EAB463B" wp14:editId="2BB202E0">
                    <wp:extent cx="7642860" cy="563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42860" cy="5638800"/>
                            </a:xfrm>
                            <a:prstGeom prst="rect">
                              <a:avLst/>
                            </a:prstGeom>
                            <a:noFill/>
                            <a:ln w="9525">
                              <a:noFill/>
                              <a:miter lim="800000"/>
                              <a:headEnd/>
                              <a:tailEnd/>
                            </a:ln>
                          </pic:spPr>
                        </pic:pic>
                      </a:graphicData>
                    </a:graphic>
                  </wp:inline>
                </w:drawing>
              </w:r>
            </w:sdtContent>
          </w:sdt>
        </w:p>
      </w:tc>
    </w:tr>
  </w:tbl>
  <w:p w14:paraId="142054C1" w14:textId="77777777" w:rsidR="000E43CB" w:rsidRPr="00E32326" w:rsidRDefault="000E43CB" w:rsidP="00F202AB">
    <w:r>
      <w:rPr>
        <w:noProof/>
        <w:lang w:eastAsia="en-AU"/>
      </w:rPr>
      <w:drawing>
        <wp:anchor distT="0" distB="0" distL="114300" distR="114300" simplePos="0" relativeHeight="251656704" behindDoc="0" locked="0" layoutInCell="0" allowOverlap="1" wp14:anchorId="6725231D" wp14:editId="16C10447">
          <wp:simplePos x="0" y="0"/>
          <wp:positionH relativeFrom="page">
            <wp:align>left</wp:align>
          </wp:positionH>
          <wp:positionV relativeFrom="page">
            <wp:posOffset>2945130</wp:posOffset>
          </wp:positionV>
          <wp:extent cx="7615555" cy="429514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15555" cy="42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D094" w14:textId="2E44CDA6" w:rsidR="000E43CB" w:rsidRPr="00920FF4" w:rsidRDefault="000E43CB" w:rsidP="00920FF4">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3B4" w14:textId="77777777" w:rsidR="000E43CB" w:rsidRPr="00920FF4" w:rsidRDefault="000E43CB" w:rsidP="001D480A">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5715" w14:textId="77777777" w:rsidR="00120FB0" w:rsidRPr="00FE501F" w:rsidRDefault="00120FB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C5E1E"/>
    <w:multiLevelType w:val="hybridMultilevel"/>
    <w:tmpl w:val="866C4A58"/>
    <w:lvl w:ilvl="0" w:tplc="654C6EF2">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25005F1"/>
    <w:multiLevelType w:val="hybridMultilevel"/>
    <w:tmpl w:val="5F5E3576"/>
    <w:lvl w:ilvl="0" w:tplc="56F21342">
      <w:start w:val="1"/>
      <w:numFmt w:val="bullet"/>
      <w:pStyle w:val="ListParagraph"/>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36B04628"/>
    <w:multiLevelType w:val="hybridMultilevel"/>
    <w:tmpl w:val="510C882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8551C"/>
    <w:multiLevelType w:val="hybridMultilevel"/>
    <w:tmpl w:val="01D492E0"/>
    <w:lvl w:ilvl="0" w:tplc="C200321C">
      <w:start w:val="1"/>
      <w:numFmt w:val="bullet"/>
      <w:lvlText w:val="Օ"/>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C421F64"/>
    <w:multiLevelType w:val="hybridMultilevel"/>
    <w:tmpl w:val="0BF88104"/>
    <w:lvl w:ilvl="0" w:tplc="167A91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07D99"/>
    <w:multiLevelType w:val="hybridMultilevel"/>
    <w:tmpl w:val="F1E47FA4"/>
    <w:lvl w:ilvl="0" w:tplc="5ACA94DA">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9708E9"/>
    <w:multiLevelType w:val="hybridMultilevel"/>
    <w:tmpl w:val="2F9865E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9493016">
    <w:abstractNumId w:val="4"/>
  </w:num>
  <w:num w:numId="2" w16cid:durableId="13307806">
    <w:abstractNumId w:val="2"/>
  </w:num>
  <w:num w:numId="3" w16cid:durableId="276982995">
    <w:abstractNumId w:val="3"/>
  </w:num>
  <w:num w:numId="4" w16cid:durableId="977302922">
    <w:abstractNumId w:val="10"/>
  </w:num>
  <w:num w:numId="5" w16cid:durableId="139005093">
    <w:abstractNumId w:val="6"/>
  </w:num>
  <w:num w:numId="6" w16cid:durableId="150215346">
    <w:abstractNumId w:val="9"/>
  </w:num>
  <w:num w:numId="7" w16cid:durableId="572006372">
    <w:abstractNumId w:val="0"/>
  </w:num>
  <w:num w:numId="8" w16cid:durableId="150291605">
    <w:abstractNumId w:val="7"/>
  </w:num>
  <w:num w:numId="9" w16cid:durableId="661658426">
    <w:abstractNumId w:val="14"/>
  </w:num>
  <w:num w:numId="10" w16cid:durableId="81877436">
    <w:abstractNumId w:val="12"/>
  </w:num>
  <w:num w:numId="11" w16cid:durableId="1462112795">
    <w:abstractNumId w:val="1"/>
  </w:num>
  <w:num w:numId="12" w16cid:durableId="1052078939">
    <w:abstractNumId w:val="5"/>
  </w:num>
  <w:num w:numId="13" w16cid:durableId="101465410">
    <w:abstractNumId w:val="13"/>
  </w:num>
  <w:num w:numId="14" w16cid:durableId="2021882373">
    <w:abstractNumId w:val="12"/>
  </w:num>
  <w:num w:numId="15" w16cid:durableId="839855082">
    <w:abstractNumId w:val="12"/>
  </w:num>
  <w:num w:numId="16" w16cid:durableId="577058223">
    <w:abstractNumId w:val="12"/>
  </w:num>
  <w:num w:numId="17" w16cid:durableId="1192720154">
    <w:abstractNumId w:val="12"/>
  </w:num>
  <w:num w:numId="18" w16cid:durableId="1710062765">
    <w:abstractNumId w:val="12"/>
  </w:num>
  <w:num w:numId="19" w16cid:durableId="331375844">
    <w:abstractNumId w:val="12"/>
  </w:num>
  <w:num w:numId="20" w16cid:durableId="1928609920">
    <w:abstractNumId w:val="12"/>
  </w:num>
  <w:num w:numId="21" w16cid:durableId="164370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5915382">
    <w:abstractNumId w:val="8"/>
  </w:num>
  <w:num w:numId="23" w16cid:durableId="1400786171">
    <w:abstractNumId w:val="11"/>
  </w:num>
  <w:num w:numId="24" w16cid:durableId="2052028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50"/>
    <w:rsid w:val="000119A5"/>
    <w:rsid w:val="00022360"/>
    <w:rsid w:val="000301A1"/>
    <w:rsid w:val="00073A79"/>
    <w:rsid w:val="000835E2"/>
    <w:rsid w:val="000847A7"/>
    <w:rsid w:val="00090D45"/>
    <w:rsid w:val="0009406B"/>
    <w:rsid w:val="00094B81"/>
    <w:rsid w:val="000A1961"/>
    <w:rsid w:val="000E43CB"/>
    <w:rsid w:val="00106A51"/>
    <w:rsid w:val="00110921"/>
    <w:rsid w:val="001207B0"/>
    <w:rsid w:val="00120FB0"/>
    <w:rsid w:val="001218F4"/>
    <w:rsid w:val="0012473C"/>
    <w:rsid w:val="001453E1"/>
    <w:rsid w:val="00151EBD"/>
    <w:rsid w:val="00152357"/>
    <w:rsid w:val="00175CD8"/>
    <w:rsid w:val="001C54D0"/>
    <w:rsid w:val="001D7ACE"/>
    <w:rsid w:val="001E50D7"/>
    <w:rsid w:val="001F5FD8"/>
    <w:rsid w:val="001F7B68"/>
    <w:rsid w:val="0022691B"/>
    <w:rsid w:val="002276B9"/>
    <w:rsid w:val="002321D0"/>
    <w:rsid w:val="00232B6C"/>
    <w:rsid w:val="00236161"/>
    <w:rsid w:val="00262E74"/>
    <w:rsid w:val="00267C8D"/>
    <w:rsid w:val="0029268A"/>
    <w:rsid w:val="002B42E5"/>
    <w:rsid w:val="002C1FC8"/>
    <w:rsid w:val="002C5770"/>
    <w:rsid w:val="002D0C70"/>
    <w:rsid w:val="002D15F2"/>
    <w:rsid w:val="002E216A"/>
    <w:rsid w:val="002F55B9"/>
    <w:rsid w:val="003008D8"/>
    <w:rsid w:val="00307E92"/>
    <w:rsid w:val="00322B49"/>
    <w:rsid w:val="00326C4B"/>
    <w:rsid w:val="00332403"/>
    <w:rsid w:val="0035444D"/>
    <w:rsid w:val="00371F37"/>
    <w:rsid w:val="00397659"/>
    <w:rsid w:val="003A11A5"/>
    <w:rsid w:val="003B0ED5"/>
    <w:rsid w:val="003B0F15"/>
    <w:rsid w:val="003B58F5"/>
    <w:rsid w:val="003D6ABA"/>
    <w:rsid w:val="003E0723"/>
    <w:rsid w:val="003E285A"/>
    <w:rsid w:val="004246B8"/>
    <w:rsid w:val="00434679"/>
    <w:rsid w:val="00441453"/>
    <w:rsid w:val="00485B54"/>
    <w:rsid w:val="004B4096"/>
    <w:rsid w:val="004C3D03"/>
    <w:rsid w:val="004F2AF5"/>
    <w:rsid w:val="00501BDC"/>
    <w:rsid w:val="005077E6"/>
    <w:rsid w:val="00574D70"/>
    <w:rsid w:val="0058575E"/>
    <w:rsid w:val="005A1FD2"/>
    <w:rsid w:val="005A5838"/>
    <w:rsid w:val="005A75E6"/>
    <w:rsid w:val="005B2D35"/>
    <w:rsid w:val="005C10CD"/>
    <w:rsid w:val="005C2E73"/>
    <w:rsid w:val="005C377F"/>
    <w:rsid w:val="00611FF6"/>
    <w:rsid w:val="00612FEA"/>
    <w:rsid w:val="00646D65"/>
    <w:rsid w:val="00650252"/>
    <w:rsid w:val="00655B1C"/>
    <w:rsid w:val="006778C8"/>
    <w:rsid w:val="00690226"/>
    <w:rsid w:val="006A1F0B"/>
    <w:rsid w:val="006C77AE"/>
    <w:rsid w:val="006C78DE"/>
    <w:rsid w:val="006D3614"/>
    <w:rsid w:val="006E2F77"/>
    <w:rsid w:val="00712550"/>
    <w:rsid w:val="007234CA"/>
    <w:rsid w:val="00745631"/>
    <w:rsid w:val="00746990"/>
    <w:rsid w:val="00776BDF"/>
    <w:rsid w:val="007A1EB4"/>
    <w:rsid w:val="007B719F"/>
    <w:rsid w:val="007D7167"/>
    <w:rsid w:val="007F0A77"/>
    <w:rsid w:val="008329DB"/>
    <w:rsid w:val="00837329"/>
    <w:rsid w:val="00842B84"/>
    <w:rsid w:val="00850EC4"/>
    <w:rsid w:val="008763AA"/>
    <w:rsid w:val="00883014"/>
    <w:rsid w:val="00887AFE"/>
    <w:rsid w:val="008B4828"/>
    <w:rsid w:val="008B67C8"/>
    <w:rsid w:val="008E7C90"/>
    <w:rsid w:val="00930D58"/>
    <w:rsid w:val="00936247"/>
    <w:rsid w:val="0094353C"/>
    <w:rsid w:val="00952020"/>
    <w:rsid w:val="009625B8"/>
    <w:rsid w:val="00962D76"/>
    <w:rsid w:val="0096467A"/>
    <w:rsid w:val="00973990"/>
    <w:rsid w:val="00981854"/>
    <w:rsid w:val="00981C5A"/>
    <w:rsid w:val="00991E53"/>
    <w:rsid w:val="009B3CBD"/>
    <w:rsid w:val="009D36A9"/>
    <w:rsid w:val="00A26E2B"/>
    <w:rsid w:val="00A30941"/>
    <w:rsid w:val="00A33B2B"/>
    <w:rsid w:val="00A357A0"/>
    <w:rsid w:val="00A51F55"/>
    <w:rsid w:val="00A600C2"/>
    <w:rsid w:val="00A6744A"/>
    <w:rsid w:val="00A76DE7"/>
    <w:rsid w:val="00A86626"/>
    <w:rsid w:val="00AB10DA"/>
    <w:rsid w:val="00AB7CBF"/>
    <w:rsid w:val="00AD41E6"/>
    <w:rsid w:val="00AE2CEB"/>
    <w:rsid w:val="00AE4A28"/>
    <w:rsid w:val="00B03483"/>
    <w:rsid w:val="00B06A34"/>
    <w:rsid w:val="00B10B0C"/>
    <w:rsid w:val="00B113C5"/>
    <w:rsid w:val="00B35ECC"/>
    <w:rsid w:val="00B46BC0"/>
    <w:rsid w:val="00B675D5"/>
    <w:rsid w:val="00B82871"/>
    <w:rsid w:val="00BC3E46"/>
    <w:rsid w:val="00BE08A1"/>
    <w:rsid w:val="00BF5AFB"/>
    <w:rsid w:val="00C00A7E"/>
    <w:rsid w:val="00C06159"/>
    <w:rsid w:val="00C13676"/>
    <w:rsid w:val="00C17A27"/>
    <w:rsid w:val="00C276C2"/>
    <w:rsid w:val="00C34613"/>
    <w:rsid w:val="00C727FF"/>
    <w:rsid w:val="00C74186"/>
    <w:rsid w:val="00C77369"/>
    <w:rsid w:val="00C77BB3"/>
    <w:rsid w:val="00C80667"/>
    <w:rsid w:val="00CB0550"/>
    <w:rsid w:val="00CB6817"/>
    <w:rsid w:val="00CC3097"/>
    <w:rsid w:val="00CD4F7C"/>
    <w:rsid w:val="00CE1B4D"/>
    <w:rsid w:val="00CE5351"/>
    <w:rsid w:val="00CE74E7"/>
    <w:rsid w:val="00D04D1B"/>
    <w:rsid w:val="00D067AE"/>
    <w:rsid w:val="00D078BE"/>
    <w:rsid w:val="00D13F8A"/>
    <w:rsid w:val="00D161F2"/>
    <w:rsid w:val="00D56AEF"/>
    <w:rsid w:val="00D8113C"/>
    <w:rsid w:val="00D918D5"/>
    <w:rsid w:val="00D94A64"/>
    <w:rsid w:val="00D96A7A"/>
    <w:rsid w:val="00D97D6C"/>
    <w:rsid w:val="00DB7AE2"/>
    <w:rsid w:val="00DC232C"/>
    <w:rsid w:val="00DE052D"/>
    <w:rsid w:val="00DF4960"/>
    <w:rsid w:val="00E06B69"/>
    <w:rsid w:val="00E07ECF"/>
    <w:rsid w:val="00E14483"/>
    <w:rsid w:val="00E21D89"/>
    <w:rsid w:val="00E22C73"/>
    <w:rsid w:val="00E30DC1"/>
    <w:rsid w:val="00E53D3F"/>
    <w:rsid w:val="00E61502"/>
    <w:rsid w:val="00E80772"/>
    <w:rsid w:val="00E84C2D"/>
    <w:rsid w:val="00E9215C"/>
    <w:rsid w:val="00E96F35"/>
    <w:rsid w:val="00EA1FD5"/>
    <w:rsid w:val="00ED635A"/>
    <w:rsid w:val="00EE1E26"/>
    <w:rsid w:val="00EF36D6"/>
    <w:rsid w:val="00F02AEC"/>
    <w:rsid w:val="00F14E7B"/>
    <w:rsid w:val="00F43923"/>
    <w:rsid w:val="00F45F9A"/>
    <w:rsid w:val="00F55C2C"/>
    <w:rsid w:val="00F60C51"/>
    <w:rsid w:val="00FA1056"/>
    <w:rsid w:val="00FA1B8A"/>
    <w:rsid w:val="00FA49C3"/>
    <w:rsid w:val="00FD7EB1"/>
    <w:rsid w:val="00FE54F2"/>
    <w:rsid w:val="00FE7659"/>
    <w:rsid w:val="00FF3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7B8A"/>
  <w15:chartTrackingRefBased/>
  <w15:docId w15:val="{16B7A295-4C7B-4B53-95DB-96622115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B"/>
    <w:rPr>
      <w:rFonts w:ascii="Arial" w:hAnsi="Arial"/>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0E43C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1"/>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1"/>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ListParagraphChar">
    <w:name w:val="List Paragraph Char"/>
    <w:aliases w:val="Bullets Char,Bullet point Char,L Char,List Paragraph1 Char,List Paragraph11 Char,Numbered paragraph Char,Recommendation Char,Bullet 1 Char,Bullet list Char,NFP GP Bulleted List Char,AR bullet 1 Char,Number Paragraph Char,lp1 Char"/>
    <w:basedOn w:val="DefaultParagraphFont"/>
    <w:link w:val="ListParagraph"/>
    <w:uiPriority w:val="34"/>
    <w:qFormat/>
    <w:locked/>
    <w:rsid w:val="003B58F5"/>
    <w:rPr>
      <w:rFonts w:ascii="Cambria" w:eastAsia="Cambria" w:hAnsi="Cambria" w:cs="Times New Roman"/>
      <w:bCs/>
      <w:color w:val="000000"/>
      <w:sz w:val="22"/>
      <w:szCs w:val="21"/>
      <w:lang w:eastAsia="en-AU"/>
    </w:rPr>
  </w:style>
  <w:style w:type="paragraph" w:styleId="ListParagraph">
    <w:name w:val="List Paragraph"/>
    <w:aliases w:val="Bullets,Bullet point,L,List Paragraph1,List Paragraph11,Numbered paragraph,Recommendation,Bullet 1,Bullet list,NFP GP Bulleted List,AR bullet 1,Number Paragraph,Num Bullet 1,Use Case List Paragraph,lp1,Bullet Number,FooterText,Body text,列"/>
    <w:basedOn w:val="ListBullet"/>
    <w:link w:val="ListParagraphChar"/>
    <w:autoRedefine/>
    <w:uiPriority w:val="34"/>
    <w:qFormat/>
    <w:rsid w:val="003B58F5"/>
    <w:pPr>
      <w:numPr>
        <w:numId w:val="12"/>
      </w:numPr>
      <w:spacing w:before="80" w:after="40" w:line="264" w:lineRule="auto"/>
      <w:contextualSpacing/>
    </w:pPr>
    <w:rPr>
      <w:rFonts w:ascii="Cambria" w:hAnsi="Cambria"/>
      <w:bCs/>
      <w:color w:val="000000"/>
      <w:sz w:val="22"/>
      <w:szCs w:val="21"/>
      <w:lang w:eastAsia="en-AU"/>
    </w:rPr>
  </w:style>
  <w:style w:type="paragraph" w:styleId="CommentText">
    <w:name w:val="annotation text"/>
    <w:basedOn w:val="Normal"/>
    <w:link w:val="CommentTextChar"/>
    <w:uiPriority w:val="99"/>
    <w:unhideWhenUsed/>
    <w:rsid w:val="00936247"/>
    <w:pPr>
      <w:spacing w:before="120" w:line="240" w:lineRule="auto"/>
    </w:pPr>
  </w:style>
  <w:style w:type="character" w:customStyle="1" w:styleId="CommentTextChar">
    <w:name w:val="Comment Text Char"/>
    <w:basedOn w:val="DefaultParagraphFont"/>
    <w:link w:val="CommentText"/>
    <w:uiPriority w:val="99"/>
    <w:rsid w:val="00936247"/>
    <w:rPr>
      <w:rFonts w:ascii="Arial" w:hAnsi="Arial"/>
    </w:rPr>
  </w:style>
  <w:style w:type="character" w:styleId="CommentReference">
    <w:name w:val="annotation reference"/>
    <w:basedOn w:val="DefaultParagraphFont"/>
    <w:uiPriority w:val="99"/>
    <w:semiHidden/>
    <w:unhideWhenUsed/>
    <w:rsid w:val="00936247"/>
    <w:rPr>
      <w:sz w:val="16"/>
      <w:szCs w:val="16"/>
    </w:rPr>
  </w:style>
  <w:style w:type="paragraph" w:styleId="CommentSubject">
    <w:name w:val="annotation subject"/>
    <w:basedOn w:val="CommentText"/>
    <w:next w:val="CommentText"/>
    <w:link w:val="CommentSubjectChar"/>
    <w:uiPriority w:val="99"/>
    <w:semiHidden/>
    <w:unhideWhenUsed/>
    <w:rsid w:val="00776BDF"/>
    <w:pPr>
      <w:spacing w:before="0"/>
    </w:pPr>
    <w:rPr>
      <w:b/>
      <w:bCs/>
    </w:rPr>
  </w:style>
  <w:style w:type="character" w:customStyle="1" w:styleId="CommentSubjectChar">
    <w:name w:val="Comment Subject Char"/>
    <w:basedOn w:val="CommentTextChar"/>
    <w:link w:val="CommentSubject"/>
    <w:uiPriority w:val="99"/>
    <w:semiHidden/>
    <w:rsid w:val="00776BDF"/>
    <w:rPr>
      <w:rFonts w:ascii="Arial" w:hAnsi="Arial"/>
      <w:b/>
      <w:bCs/>
    </w:rPr>
  </w:style>
  <w:style w:type="paragraph" w:styleId="Revision">
    <w:name w:val="Revision"/>
    <w:hidden/>
    <w:uiPriority w:val="99"/>
    <w:semiHidden/>
    <w:rsid w:val="00E22C73"/>
    <w:pPr>
      <w:spacing w:after="0" w:line="240" w:lineRule="auto"/>
    </w:pPr>
    <w:rPr>
      <w:rFonts w:ascii="Arial" w:hAnsi="Arial"/>
    </w:rPr>
  </w:style>
  <w:style w:type="character" w:styleId="UnresolvedMention">
    <w:name w:val="Unresolved Mention"/>
    <w:basedOn w:val="DefaultParagraphFont"/>
    <w:uiPriority w:val="99"/>
    <w:semiHidden/>
    <w:unhideWhenUsed/>
    <w:rsid w:val="00A6744A"/>
    <w:rPr>
      <w:color w:val="605E5C"/>
      <w:shd w:val="clear" w:color="auto" w:fill="E1DFDD"/>
    </w:rPr>
  </w:style>
  <w:style w:type="character" w:styleId="FollowedHyperlink">
    <w:name w:val="FollowedHyperlink"/>
    <w:basedOn w:val="DefaultParagraphFont"/>
    <w:uiPriority w:val="99"/>
    <w:semiHidden/>
    <w:unhideWhenUsed/>
    <w:rsid w:val="00981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tga.copyright@tga.gov.au" TargetMode="External"/><Relationship Id="rId18" Type="http://schemas.openxmlformats.org/officeDocument/2006/relationships/hyperlink" Target="https://www.tga.gov.au/resources/resource/guidance/disinfectant-claim-guide-specific-claims-and-non-specific-claims" TargetMode="External"/><Relationship Id="rId26" Type="http://schemas.openxmlformats.org/officeDocument/2006/relationships/hyperlink" Target="mailto:info@tga.gov.au" TargetMode="External"/><Relationship Id="rId3" Type="http://schemas.openxmlformats.org/officeDocument/2006/relationships/settings" Target="settings.xml"/><Relationship Id="rId21" Type="http://schemas.openxmlformats.org/officeDocument/2006/relationships/hyperlink" Target="https://www.tga.gov.au/sites/default/files/2024-05/examples-boundary-combination-products-and-product-category.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tga.gov.au/resources/resource/guidance/boundary-and-combination-products"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tga.gov.au/resources/resource/guidance/boundary-and-combination-products" TargetMode="External"/><Relationship Id="rId20" Type="http://schemas.openxmlformats.org/officeDocument/2006/relationships/hyperlink" Target="https://www.tga.gov.au/resources/resource/guidance/boundary-and-combination-products"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tga.gov.au/products/australian-register-therapeutic-goods-artg" TargetMode="Externa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islation.gov.au/Series/C2004A03952" TargetMode="External"/><Relationship Id="rId22" Type="http://schemas.openxmlformats.org/officeDocument/2006/relationships/hyperlink" Target="https://consultations.tga.gov.au/medical-devices-and-product-quality-division/proposal-legislate-boundary-combination-products" TargetMode="External"/><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Consultation paper.dotx</Template>
  <TotalTime>1</TotalTime>
  <Pages>12</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Dipti</dc:creator>
  <cp:keywords/>
  <dc:description/>
  <cp:lastModifiedBy>MEHTA Dipti</cp:lastModifiedBy>
  <cp:revision>4</cp:revision>
  <dcterms:created xsi:type="dcterms:W3CDTF">2024-06-24T05:49:00Z</dcterms:created>
  <dcterms:modified xsi:type="dcterms:W3CDTF">2024-06-24T05:50:00Z</dcterms:modified>
</cp:coreProperties>
</file>