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0E43CB" w:rsidRPr="009401F6" w14:paraId="4B004C74" w14:textId="77777777" w:rsidTr="000E43CB">
        <w:tc>
          <w:tcPr>
            <w:tcW w:w="8504" w:type="dxa"/>
          </w:tcPr>
          <w:p w14:paraId="2CC820AB" w14:textId="6B052BBD" w:rsidR="000E43CB" w:rsidRPr="00D10E40" w:rsidRDefault="003A5BF1" w:rsidP="00ED0C8B">
            <w:pPr>
              <w:pStyle w:val="Title"/>
              <w:rPr>
                <w:sz w:val="32"/>
                <w:szCs w:val="32"/>
              </w:rPr>
            </w:pPr>
            <w:r w:rsidRPr="00D10E40">
              <w:rPr>
                <w:sz w:val="32"/>
                <w:szCs w:val="32"/>
              </w:rPr>
              <w:t>C</w:t>
            </w:r>
            <w:r w:rsidR="000923AE" w:rsidRPr="00D10E40">
              <w:rPr>
                <w:sz w:val="32"/>
                <w:szCs w:val="32"/>
              </w:rPr>
              <w:t>onsultation</w:t>
            </w:r>
            <w:r w:rsidRPr="00D10E40">
              <w:rPr>
                <w:sz w:val="32"/>
                <w:szCs w:val="32"/>
              </w:rPr>
              <w:t xml:space="preserve">: </w:t>
            </w:r>
            <w:r w:rsidR="00F266B9" w:rsidRPr="00D10E40">
              <w:rPr>
                <w:sz w:val="32"/>
                <w:szCs w:val="32"/>
              </w:rPr>
              <w:t xml:space="preserve">Proposed </w:t>
            </w:r>
            <w:r w:rsidR="000923AE" w:rsidRPr="00D10E40">
              <w:rPr>
                <w:sz w:val="32"/>
                <w:szCs w:val="32"/>
              </w:rPr>
              <w:t xml:space="preserve">TGA </w:t>
            </w:r>
            <w:r w:rsidR="00856E50" w:rsidRPr="00D10E40">
              <w:rPr>
                <w:sz w:val="32"/>
                <w:szCs w:val="32"/>
              </w:rPr>
              <w:t>A</w:t>
            </w:r>
            <w:r w:rsidR="000923AE" w:rsidRPr="00D10E40">
              <w:rPr>
                <w:sz w:val="32"/>
                <w:szCs w:val="32"/>
              </w:rPr>
              <w:t>nnotations to ICH</w:t>
            </w:r>
            <w:r w:rsidR="00D10E40" w:rsidRPr="00D10E40">
              <w:rPr>
                <w:sz w:val="32"/>
                <w:szCs w:val="32"/>
              </w:rPr>
              <w:t> </w:t>
            </w:r>
            <w:r w:rsidR="000923AE" w:rsidRPr="00D10E40">
              <w:rPr>
                <w:sz w:val="32"/>
                <w:szCs w:val="32"/>
              </w:rPr>
              <w:t>E6(R3) Guideline for Good Clinical Practice (GCP)</w:t>
            </w:r>
            <w:r w:rsidR="00A06928" w:rsidRPr="00D10E40">
              <w:rPr>
                <w:sz w:val="32"/>
                <w:szCs w:val="32"/>
              </w:rPr>
              <w:t>:</w:t>
            </w:r>
            <w:r w:rsidRPr="00D10E40">
              <w:rPr>
                <w:sz w:val="32"/>
                <w:szCs w:val="32"/>
              </w:rPr>
              <w:t xml:space="preserve"> Principles and Annex I</w:t>
            </w:r>
            <w:r w:rsidR="000A288C" w:rsidRPr="00D10E40">
              <w:rPr>
                <w:sz w:val="32"/>
                <w:szCs w:val="32"/>
              </w:rPr>
              <w:t xml:space="preserve"> and 12-month </w:t>
            </w:r>
            <w:r w:rsidR="00B447BC" w:rsidRPr="00D10E40">
              <w:rPr>
                <w:sz w:val="32"/>
                <w:szCs w:val="32"/>
              </w:rPr>
              <w:t>T</w:t>
            </w:r>
            <w:r w:rsidR="000A288C" w:rsidRPr="00D10E40">
              <w:rPr>
                <w:sz w:val="32"/>
                <w:szCs w:val="32"/>
              </w:rPr>
              <w:t xml:space="preserve">ransition </w:t>
            </w:r>
            <w:r w:rsidR="00B447BC" w:rsidRPr="00D10E40">
              <w:rPr>
                <w:sz w:val="32"/>
                <w:szCs w:val="32"/>
              </w:rPr>
              <w:t>P</w:t>
            </w:r>
            <w:r w:rsidR="000A288C" w:rsidRPr="00D10E40">
              <w:rPr>
                <w:sz w:val="32"/>
                <w:szCs w:val="32"/>
              </w:rPr>
              <w:t xml:space="preserve">eriod </w:t>
            </w:r>
          </w:p>
          <w:p w14:paraId="149A165E" w14:textId="3C8BE146" w:rsidR="003A5BF1" w:rsidRPr="00D11E19" w:rsidRDefault="003A5BF1" w:rsidP="003A5BF1">
            <w:pPr>
              <w:pStyle w:val="Subtitle"/>
              <w:ind w:left="0"/>
              <w:rPr>
                <w:sz w:val="28"/>
                <w:szCs w:val="28"/>
              </w:rPr>
            </w:pPr>
            <w:r w:rsidRPr="00D11E19">
              <w:rPr>
                <w:sz w:val="28"/>
                <w:szCs w:val="28"/>
              </w:rPr>
              <w:t>August 2025</w:t>
            </w:r>
          </w:p>
          <w:p w14:paraId="56851841" w14:textId="129E4B0A" w:rsidR="003A5BF1" w:rsidRPr="000923AE" w:rsidRDefault="003A5BF1" w:rsidP="00ED0C8B">
            <w:pPr>
              <w:pStyle w:val="Title"/>
              <w:rPr>
                <w:sz w:val="36"/>
                <w:szCs w:val="36"/>
              </w:rPr>
            </w:pPr>
          </w:p>
        </w:tc>
      </w:tr>
    </w:tbl>
    <w:p w14:paraId="2BDC3F37" w14:textId="77777777" w:rsidR="000E43CB" w:rsidRPr="009401F6" w:rsidRDefault="000E43CB" w:rsidP="0054583D">
      <w:pPr>
        <w:rPr>
          <w:lang w:eastAsia="en-AU"/>
        </w:rPr>
        <w:sectPr w:rsidR="000E43CB" w:rsidRPr="009401F6" w:rsidSect="00F333F0">
          <w:headerReference w:type="default" r:id="rId8"/>
          <w:footerReference w:type="default" r:id="rId9"/>
          <w:headerReference w:type="first" r:id="rId10"/>
          <w:footerReference w:type="first" r:id="rId11"/>
          <w:pgSz w:w="11906" w:h="16838" w:code="9"/>
          <w:pgMar w:top="13571" w:right="1701" w:bottom="567" w:left="1701" w:header="1134" w:footer="788" w:gutter="0"/>
          <w:cols w:space="708"/>
          <w:titlePg/>
          <w:docGrid w:linePitch="360"/>
        </w:sectPr>
      </w:pPr>
    </w:p>
    <w:p w14:paraId="3B71E457" w14:textId="77777777" w:rsidR="000E43CB" w:rsidRPr="005D4EA1" w:rsidRDefault="000E43CB" w:rsidP="00FE1941">
      <w:pPr>
        <w:pStyle w:val="LegalSubheading"/>
        <w:pageBreakBefore/>
      </w:pPr>
      <w:r w:rsidRPr="00691723">
        <w:lastRenderedPageBreak/>
        <w:t>Copyright</w:t>
      </w:r>
    </w:p>
    <w:p w14:paraId="1B51C2C3" w14:textId="77777777" w:rsidR="000E43CB" w:rsidRDefault="000E43CB" w:rsidP="00FE1941">
      <w:pPr>
        <w:pStyle w:val="LegalCopy"/>
      </w:pPr>
      <w:r w:rsidRPr="009401F6">
        <w:t>© Commonwealth of Australia 20</w:t>
      </w:r>
      <w:r>
        <w:t>2</w:t>
      </w:r>
      <w:r w:rsidR="0099682B">
        <w:t>5</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Pr="009401F6">
        <w:t>&gt;</w:t>
      </w:r>
      <w:r>
        <w:t>.</w:t>
      </w:r>
    </w:p>
    <w:p w14:paraId="2AA96E8F" w14:textId="77777777" w:rsidR="000E43CB" w:rsidRPr="009401F6" w:rsidRDefault="000E43CB" w:rsidP="00611B57">
      <w:pPr>
        <w:pStyle w:val="LegalSubheading"/>
      </w:pPr>
      <w:r w:rsidRPr="009401F6">
        <w:t>Confidentiality</w:t>
      </w:r>
    </w:p>
    <w:p w14:paraId="410334DF" w14:textId="77777777" w:rsidR="000E43CB" w:rsidRPr="00EB182C" w:rsidRDefault="000E43CB" w:rsidP="003204DD">
      <w:pPr>
        <w:pStyle w:val="LegalCopy"/>
      </w:pPr>
      <w:r w:rsidRPr="00EB182C">
        <w:rPr>
          <w:lang w:eastAsia="en-AU"/>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Start w:id="0" w:name="_Toc323738670"/>
    </w:p>
    <w:sdt>
      <w:sdtPr>
        <w:rPr>
          <w:rFonts w:ascii="Cambria" w:eastAsiaTheme="minorHAnsi" w:hAnsi="Cambria" w:cstheme="minorBidi"/>
          <w:b w:val="0"/>
          <w:color w:val="auto"/>
          <w:sz w:val="22"/>
        </w:rPr>
        <w:id w:val="3701955"/>
        <w:docPartObj>
          <w:docPartGallery w:val="Table of Contents"/>
          <w:docPartUnique/>
        </w:docPartObj>
      </w:sdtPr>
      <w:sdtEndPr>
        <w:rPr>
          <w:rFonts w:ascii="Arial" w:hAnsi="Arial"/>
          <w:sz w:val="20"/>
        </w:rPr>
      </w:sdtEndPr>
      <w:sdtContent>
        <w:p w14:paraId="33102F72" w14:textId="77777777" w:rsidR="000E43CB" w:rsidRPr="009401F6" w:rsidRDefault="000E43CB" w:rsidP="00B92C72">
          <w:pPr>
            <w:pStyle w:val="NonTOCheading2"/>
          </w:pPr>
          <w:r w:rsidRPr="009401F6">
            <w:t>Contents</w:t>
          </w:r>
        </w:p>
        <w:p w14:paraId="2BC0ED6E" w14:textId="6024B342" w:rsidR="001B39EE" w:rsidRDefault="000E43CB">
          <w:pPr>
            <w:pStyle w:val="TOC1"/>
            <w:rPr>
              <w:rFonts w:asciiTheme="minorHAnsi" w:eastAsiaTheme="minorEastAsia" w:hAnsiTheme="minorHAnsi" w:cstheme="minorBidi"/>
              <w:b w:val="0"/>
              <w:noProof/>
              <w:color w:val="auto"/>
              <w:kern w:val="2"/>
              <w:sz w:val="24"/>
              <w:szCs w:val="24"/>
              <w:lang w:eastAsia="en-AU"/>
              <w14:ligatures w14:val="standardContextual"/>
            </w:rPr>
          </w:pPr>
          <w:r w:rsidRPr="009401F6">
            <w:fldChar w:fldCharType="begin"/>
          </w:r>
          <w:r w:rsidRPr="009401F6">
            <w:instrText xml:space="preserve"> TOC \h \z \u \t "Heading 2,1,Heading 3,2,Heading 4,3" </w:instrText>
          </w:r>
          <w:r w:rsidRPr="009401F6">
            <w:fldChar w:fldCharType="separate"/>
          </w:r>
          <w:hyperlink w:anchor="_Toc207307573" w:history="1">
            <w:r w:rsidR="001B39EE" w:rsidRPr="00F04CBF">
              <w:rPr>
                <w:rStyle w:val="Hyperlink"/>
                <w:noProof/>
              </w:rPr>
              <w:t>About this consultation</w:t>
            </w:r>
            <w:r w:rsidR="001B39EE">
              <w:rPr>
                <w:noProof/>
                <w:webHidden/>
              </w:rPr>
              <w:tab/>
            </w:r>
            <w:r w:rsidR="001B39EE">
              <w:rPr>
                <w:noProof/>
                <w:webHidden/>
              </w:rPr>
              <w:fldChar w:fldCharType="begin"/>
            </w:r>
            <w:r w:rsidR="001B39EE">
              <w:rPr>
                <w:noProof/>
                <w:webHidden/>
              </w:rPr>
              <w:instrText xml:space="preserve"> PAGEREF _Toc207307573 \h </w:instrText>
            </w:r>
            <w:r w:rsidR="001B39EE">
              <w:rPr>
                <w:noProof/>
                <w:webHidden/>
              </w:rPr>
            </w:r>
            <w:r w:rsidR="001B39EE">
              <w:rPr>
                <w:noProof/>
                <w:webHidden/>
              </w:rPr>
              <w:fldChar w:fldCharType="separate"/>
            </w:r>
            <w:r w:rsidR="001B39EE">
              <w:rPr>
                <w:noProof/>
                <w:webHidden/>
              </w:rPr>
              <w:t>4</w:t>
            </w:r>
            <w:r w:rsidR="001B39EE">
              <w:rPr>
                <w:noProof/>
                <w:webHidden/>
              </w:rPr>
              <w:fldChar w:fldCharType="end"/>
            </w:r>
          </w:hyperlink>
        </w:p>
        <w:p w14:paraId="236165D0" w14:textId="76A1FE81" w:rsidR="001B39EE" w:rsidRDefault="001B39E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7307574" w:history="1">
            <w:r w:rsidRPr="00F04CBF">
              <w:rPr>
                <w:rStyle w:val="Hyperlink"/>
                <w:noProof/>
              </w:rPr>
              <w:t>Introduction to TGA annotations</w:t>
            </w:r>
            <w:r>
              <w:rPr>
                <w:noProof/>
                <w:webHidden/>
              </w:rPr>
              <w:tab/>
            </w:r>
            <w:r>
              <w:rPr>
                <w:noProof/>
                <w:webHidden/>
              </w:rPr>
              <w:fldChar w:fldCharType="begin"/>
            </w:r>
            <w:r>
              <w:rPr>
                <w:noProof/>
                <w:webHidden/>
              </w:rPr>
              <w:instrText xml:space="preserve"> PAGEREF _Toc207307574 \h </w:instrText>
            </w:r>
            <w:r>
              <w:rPr>
                <w:noProof/>
                <w:webHidden/>
              </w:rPr>
            </w:r>
            <w:r>
              <w:rPr>
                <w:noProof/>
                <w:webHidden/>
              </w:rPr>
              <w:fldChar w:fldCharType="separate"/>
            </w:r>
            <w:r>
              <w:rPr>
                <w:noProof/>
                <w:webHidden/>
              </w:rPr>
              <w:t>4</w:t>
            </w:r>
            <w:r>
              <w:rPr>
                <w:noProof/>
                <w:webHidden/>
              </w:rPr>
              <w:fldChar w:fldCharType="end"/>
            </w:r>
          </w:hyperlink>
        </w:p>
        <w:p w14:paraId="6A8B8FA9" w14:textId="02FD2319" w:rsidR="001B39EE" w:rsidRDefault="001B39E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7307575" w:history="1">
            <w:r w:rsidRPr="00F04CBF">
              <w:rPr>
                <w:rStyle w:val="Hyperlink"/>
                <w:noProof/>
              </w:rPr>
              <w:t>Scope</w:t>
            </w:r>
            <w:r>
              <w:rPr>
                <w:noProof/>
                <w:webHidden/>
              </w:rPr>
              <w:tab/>
            </w:r>
            <w:r>
              <w:rPr>
                <w:noProof/>
                <w:webHidden/>
              </w:rPr>
              <w:fldChar w:fldCharType="begin"/>
            </w:r>
            <w:r>
              <w:rPr>
                <w:noProof/>
                <w:webHidden/>
              </w:rPr>
              <w:instrText xml:space="preserve"> PAGEREF _Toc207307575 \h </w:instrText>
            </w:r>
            <w:r>
              <w:rPr>
                <w:noProof/>
                <w:webHidden/>
              </w:rPr>
            </w:r>
            <w:r>
              <w:rPr>
                <w:noProof/>
                <w:webHidden/>
              </w:rPr>
              <w:fldChar w:fldCharType="separate"/>
            </w:r>
            <w:r>
              <w:rPr>
                <w:noProof/>
                <w:webHidden/>
              </w:rPr>
              <w:t>5</w:t>
            </w:r>
            <w:r>
              <w:rPr>
                <w:noProof/>
                <w:webHidden/>
              </w:rPr>
              <w:fldChar w:fldCharType="end"/>
            </w:r>
          </w:hyperlink>
        </w:p>
        <w:p w14:paraId="071341F5" w14:textId="39A7C43C" w:rsidR="001B39EE" w:rsidRDefault="001B39E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7307576" w:history="1">
            <w:r w:rsidRPr="00F04CBF">
              <w:rPr>
                <w:rStyle w:val="Hyperlink"/>
                <w:noProof/>
              </w:rPr>
              <w:t>How are TGA annotations developed?</w:t>
            </w:r>
            <w:r>
              <w:rPr>
                <w:noProof/>
                <w:webHidden/>
              </w:rPr>
              <w:tab/>
            </w:r>
            <w:r>
              <w:rPr>
                <w:noProof/>
                <w:webHidden/>
              </w:rPr>
              <w:fldChar w:fldCharType="begin"/>
            </w:r>
            <w:r>
              <w:rPr>
                <w:noProof/>
                <w:webHidden/>
              </w:rPr>
              <w:instrText xml:space="preserve"> PAGEREF _Toc207307576 \h </w:instrText>
            </w:r>
            <w:r>
              <w:rPr>
                <w:noProof/>
                <w:webHidden/>
              </w:rPr>
            </w:r>
            <w:r>
              <w:rPr>
                <w:noProof/>
                <w:webHidden/>
              </w:rPr>
              <w:fldChar w:fldCharType="separate"/>
            </w:r>
            <w:r>
              <w:rPr>
                <w:noProof/>
                <w:webHidden/>
              </w:rPr>
              <w:t>5</w:t>
            </w:r>
            <w:r>
              <w:rPr>
                <w:noProof/>
                <w:webHidden/>
              </w:rPr>
              <w:fldChar w:fldCharType="end"/>
            </w:r>
          </w:hyperlink>
        </w:p>
        <w:p w14:paraId="08D5F547" w14:textId="0DF22C4D" w:rsidR="001B39EE" w:rsidRDefault="001B39E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7307577" w:history="1">
            <w:r w:rsidRPr="00F04CBF">
              <w:rPr>
                <w:rStyle w:val="Hyperlink"/>
                <w:noProof/>
              </w:rPr>
              <w:t>Proposed adoption and transition period</w:t>
            </w:r>
            <w:r>
              <w:rPr>
                <w:noProof/>
                <w:webHidden/>
              </w:rPr>
              <w:tab/>
            </w:r>
            <w:r>
              <w:rPr>
                <w:noProof/>
                <w:webHidden/>
              </w:rPr>
              <w:fldChar w:fldCharType="begin"/>
            </w:r>
            <w:r>
              <w:rPr>
                <w:noProof/>
                <w:webHidden/>
              </w:rPr>
              <w:instrText xml:space="preserve"> PAGEREF _Toc207307577 \h </w:instrText>
            </w:r>
            <w:r>
              <w:rPr>
                <w:noProof/>
                <w:webHidden/>
              </w:rPr>
            </w:r>
            <w:r>
              <w:rPr>
                <w:noProof/>
                <w:webHidden/>
              </w:rPr>
              <w:fldChar w:fldCharType="separate"/>
            </w:r>
            <w:r>
              <w:rPr>
                <w:noProof/>
                <w:webHidden/>
              </w:rPr>
              <w:t>6</w:t>
            </w:r>
            <w:r>
              <w:rPr>
                <w:noProof/>
                <w:webHidden/>
              </w:rPr>
              <w:fldChar w:fldCharType="end"/>
            </w:r>
          </w:hyperlink>
        </w:p>
        <w:p w14:paraId="132F4AC9" w14:textId="1FCE291B" w:rsidR="001B39EE" w:rsidRDefault="001B39E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7307578" w:history="1">
            <w:r w:rsidRPr="00F04CBF">
              <w:rPr>
                <w:rStyle w:val="Hyperlink"/>
                <w:noProof/>
              </w:rPr>
              <w:t>Transition period</w:t>
            </w:r>
            <w:r>
              <w:rPr>
                <w:noProof/>
                <w:webHidden/>
              </w:rPr>
              <w:tab/>
            </w:r>
            <w:r>
              <w:rPr>
                <w:noProof/>
                <w:webHidden/>
              </w:rPr>
              <w:fldChar w:fldCharType="begin"/>
            </w:r>
            <w:r>
              <w:rPr>
                <w:noProof/>
                <w:webHidden/>
              </w:rPr>
              <w:instrText xml:space="preserve"> PAGEREF _Toc207307578 \h </w:instrText>
            </w:r>
            <w:r>
              <w:rPr>
                <w:noProof/>
                <w:webHidden/>
              </w:rPr>
            </w:r>
            <w:r>
              <w:rPr>
                <w:noProof/>
                <w:webHidden/>
              </w:rPr>
              <w:fldChar w:fldCharType="separate"/>
            </w:r>
            <w:r>
              <w:rPr>
                <w:noProof/>
                <w:webHidden/>
              </w:rPr>
              <w:t>6</w:t>
            </w:r>
            <w:r>
              <w:rPr>
                <w:noProof/>
                <w:webHidden/>
              </w:rPr>
              <w:fldChar w:fldCharType="end"/>
            </w:r>
          </w:hyperlink>
        </w:p>
        <w:p w14:paraId="1854B805" w14:textId="30489A97" w:rsidR="001B39EE" w:rsidRDefault="001B39E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7307579" w:history="1">
            <w:r w:rsidRPr="00F04CBF">
              <w:rPr>
                <w:rStyle w:val="Hyperlink"/>
                <w:noProof/>
              </w:rPr>
              <w:t>Proposed TGA annotations</w:t>
            </w:r>
            <w:r>
              <w:rPr>
                <w:noProof/>
                <w:webHidden/>
              </w:rPr>
              <w:tab/>
            </w:r>
            <w:r>
              <w:rPr>
                <w:noProof/>
                <w:webHidden/>
              </w:rPr>
              <w:fldChar w:fldCharType="begin"/>
            </w:r>
            <w:r>
              <w:rPr>
                <w:noProof/>
                <w:webHidden/>
              </w:rPr>
              <w:instrText xml:space="preserve"> PAGEREF _Toc207307579 \h </w:instrText>
            </w:r>
            <w:r>
              <w:rPr>
                <w:noProof/>
                <w:webHidden/>
              </w:rPr>
            </w:r>
            <w:r>
              <w:rPr>
                <w:noProof/>
                <w:webHidden/>
              </w:rPr>
              <w:fldChar w:fldCharType="separate"/>
            </w:r>
            <w:r>
              <w:rPr>
                <w:noProof/>
                <w:webHidden/>
              </w:rPr>
              <w:t>7</w:t>
            </w:r>
            <w:r>
              <w:rPr>
                <w:noProof/>
                <w:webHidden/>
              </w:rPr>
              <w:fldChar w:fldCharType="end"/>
            </w:r>
          </w:hyperlink>
        </w:p>
        <w:p w14:paraId="052457BC" w14:textId="21C8D222" w:rsidR="001B39EE" w:rsidRDefault="001B39E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7307580" w:history="1">
            <w:r w:rsidRPr="00F04CBF">
              <w:rPr>
                <w:rStyle w:val="Hyperlink"/>
                <w:noProof/>
              </w:rPr>
              <w:t>Have your say: questions &amp; how to respond</w:t>
            </w:r>
            <w:r>
              <w:rPr>
                <w:noProof/>
                <w:webHidden/>
              </w:rPr>
              <w:tab/>
            </w:r>
            <w:r>
              <w:rPr>
                <w:noProof/>
                <w:webHidden/>
              </w:rPr>
              <w:fldChar w:fldCharType="begin"/>
            </w:r>
            <w:r>
              <w:rPr>
                <w:noProof/>
                <w:webHidden/>
              </w:rPr>
              <w:instrText xml:space="preserve"> PAGEREF _Toc207307580 \h </w:instrText>
            </w:r>
            <w:r>
              <w:rPr>
                <w:noProof/>
                <w:webHidden/>
              </w:rPr>
            </w:r>
            <w:r>
              <w:rPr>
                <w:noProof/>
                <w:webHidden/>
              </w:rPr>
              <w:fldChar w:fldCharType="separate"/>
            </w:r>
            <w:r>
              <w:rPr>
                <w:noProof/>
                <w:webHidden/>
              </w:rPr>
              <w:t>9</w:t>
            </w:r>
            <w:r>
              <w:rPr>
                <w:noProof/>
                <w:webHidden/>
              </w:rPr>
              <w:fldChar w:fldCharType="end"/>
            </w:r>
          </w:hyperlink>
        </w:p>
        <w:p w14:paraId="0BB9BF16" w14:textId="5E467873" w:rsidR="000E43CB" w:rsidRPr="009401F6" w:rsidRDefault="000E43CB" w:rsidP="0023397F">
          <w:r w:rsidRPr="009401F6">
            <w:fldChar w:fldCharType="end"/>
          </w:r>
        </w:p>
      </w:sdtContent>
    </w:sdt>
    <w:p w14:paraId="6FE45B93" w14:textId="77777777" w:rsidR="000E43CB" w:rsidRPr="009401F6" w:rsidRDefault="000E43CB" w:rsidP="008A07FF">
      <w:r w:rsidRPr="009401F6">
        <w:br w:type="page"/>
      </w:r>
    </w:p>
    <w:p w14:paraId="269A0A29" w14:textId="356911E7" w:rsidR="000E43CB" w:rsidRDefault="003A5BF1" w:rsidP="000E43CB">
      <w:pPr>
        <w:pStyle w:val="Heading2"/>
      </w:pPr>
      <w:bookmarkStart w:id="1" w:name="_Toc207307573"/>
      <w:bookmarkEnd w:id="0"/>
      <w:r>
        <w:t>About this consultation</w:t>
      </w:r>
      <w:bookmarkEnd w:id="1"/>
    </w:p>
    <w:p w14:paraId="0AAB9806" w14:textId="2C88C08A" w:rsidR="00B2520C" w:rsidRDefault="00A06A9B" w:rsidP="00585171">
      <w:bookmarkStart w:id="2" w:name="_Hlk205900851"/>
      <w:r w:rsidRPr="00A06A9B">
        <w:t>The TGA closely aligns its regulatory approaches to therapeutic products with those of comparable international regulatory counterparts wherever possible</w:t>
      </w:r>
      <w:r w:rsidR="00A00441" w:rsidRPr="00A00441">
        <w:t xml:space="preserve">. </w:t>
      </w:r>
      <w:r w:rsidR="006D1A08">
        <w:t xml:space="preserve">TGA </w:t>
      </w:r>
      <w:r w:rsidR="00296A1D">
        <w:t>annotations to the ICH</w:t>
      </w:r>
      <w:r w:rsidR="00A320C4">
        <w:t xml:space="preserve"> E6</w:t>
      </w:r>
      <w:r w:rsidR="00296A1D">
        <w:t xml:space="preserve"> Guideline for Good Clinical Practice </w:t>
      </w:r>
      <w:r w:rsidR="00A00441">
        <w:t>(GCP)</w:t>
      </w:r>
      <w:r w:rsidR="00296A1D">
        <w:t xml:space="preserve"> ensure</w:t>
      </w:r>
      <w:r w:rsidR="00A320C4">
        <w:t>s</w:t>
      </w:r>
      <w:r w:rsidR="00296A1D">
        <w:t xml:space="preserve"> consisten</w:t>
      </w:r>
      <w:r w:rsidR="00B2520C">
        <w:t>cy</w:t>
      </w:r>
      <w:r w:rsidR="00296A1D">
        <w:t xml:space="preserve"> with</w:t>
      </w:r>
      <w:r w:rsidR="00B2520C">
        <w:t xml:space="preserve"> Australian </w:t>
      </w:r>
      <w:r w:rsidR="00181006">
        <w:t xml:space="preserve">legislative </w:t>
      </w:r>
      <w:r w:rsidR="00B2520C">
        <w:t>requirements for clinical trials of</w:t>
      </w:r>
      <w:r w:rsidR="00A50DC6">
        <w:t xml:space="preserve"> </w:t>
      </w:r>
      <w:hyperlink r:id="rId13" w:anchor="unapproved-therapeutic-goods" w:history="1">
        <w:r w:rsidR="00A50DC6" w:rsidRPr="001A5897">
          <w:rPr>
            <w:rStyle w:val="Hyperlink"/>
          </w:rPr>
          <w:t>unapproved</w:t>
        </w:r>
        <w:r w:rsidR="00B2520C" w:rsidRPr="001A5897">
          <w:rPr>
            <w:rStyle w:val="Hyperlink"/>
          </w:rPr>
          <w:t xml:space="preserve"> medicines and biologicals</w:t>
        </w:r>
      </w:hyperlink>
      <w:r w:rsidR="00B2520C">
        <w:t xml:space="preserve"> under the Clinical Trial Notification (CTN) and Clinical Trial Approval (CTA) schemes.</w:t>
      </w:r>
    </w:p>
    <w:p w14:paraId="32E3AD92" w14:textId="430D9A2C" w:rsidR="00070305" w:rsidRDefault="00070305" w:rsidP="00585171">
      <w:r w:rsidRPr="00296A1D">
        <w:t xml:space="preserve">On 6 January 2025, the International Council for Harmonisation (ICH) endorsed the </w:t>
      </w:r>
      <w:r>
        <w:t>third</w:t>
      </w:r>
      <w:r w:rsidRPr="00296A1D">
        <w:t xml:space="preserve"> revision</w:t>
      </w:r>
      <w:r>
        <w:t xml:space="preserve"> (R3)</w:t>
      </w:r>
      <w:r w:rsidRPr="00296A1D">
        <w:t xml:space="preserve"> of the ICH Guideline for conducting clinical trials titled </w:t>
      </w:r>
      <w:hyperlink r:id="rId14" w:history="1">
        <w:r w:rsidRPr="00296A1D">
          <w:rPr>
            <w:rStyle w:val="Hyperlink"/>
          </w:rPr>
          <w:t>ICH E6(R3) Guideline for Good Clinical Practice</w:t>
        </w:r>
      </w:hyperlink>
      <w:r>
        <w:t xml:space="preserve">. </w:t>
      </w:r>
      <w:r w:rsidRPr="00296A1D">
        <w:t>This update addresses changes in trial design and technological innovations, and strengthens a proportionate, risk-based approach to the design and conduct of clinical trials.</w:t>
      </w:r>
    </w:p>
    <w:p w14:paraId="62014143" w14:textId="4D7C41FF" w:rsidR="00B2520C" w:rsidRPr="00DD50EF" w:rsidRDefault="00FB219E" w:rsidP="00585171">
      <w:pPr>
        <w:rPr>
          <w:b/>
          <w:bCs/>
        </w:rPr>
      </w:pPr>
      <w:r w:rsidRPr="00DD50EF">
        <w:rPr>
          <w:b/>
          <w:bCs/>
        </w:rPr>
        <w:t xml:space="preserve">This consultation seeks feedback on the </w:t>
      </w:r>
      <w:hyperlink w:anchor="_Proposed_TGA_annotations_2" w:history="1">
        <w:r w:rsidRPr="00DD50EF">
          <w:rPr>
            <w:rStyle w:val="Hyperlink"/>
            <w:b/>
            <w:bCs/>
          </w:rPr>
          <w:t>proposed TGA annotations</w:t>
        </w:r>
      </w:hyperlink>
      <w:r w:rsidRPr="00DD50EF">
        <w:rPr>
          <w:b/>
          <w:bCs/>
        </w:rPr>
        <w:t xml:space="preserve"> ICH E6(R3) Guideline for GCP: Principles and Annex I</w:t>
      </w:r>
      <w:r w:rsidR="004F3242">
        <w:rPr>
          <w:b/>
          <w:bCs/>
        </w:rPr>
        <w:t xml:space="preserve"> and a </w:t>
      </w:r>
      <w:hyperlink w:anchor="_Transition_period" w:history="1">
        <w:r w:rsidR="004F3242" w:rsidRPr="004F3242">
          <w:rPr>
            <w:rStyle w:val="Hyperlink"/>
            <w:b/>
            <w:bCs/>
          </w:rPr>
          <w:t>12-month transition period</w:t>
        </w:r>
      </w:hyperlink>
      <w:r w:rsidR="004F3242">
        <w:rPr>
          <w:b/>
          <w:bCs/>
        </w:rPr>
        <w:t xml:space="preserve"> to support implementation. </w:t>
      </w:r>
    </w:p>
    <w:p w14:paraId="386C056B" w14:textId="4AD382AE" w:rsidR="00B2520C" w:rsidRDefault="00A320C4" w:rsidP="00585171">
      <w:r w:rsidRPr="00FB219E">
        <w:t>ICH E6(R3) Guideline for GCP: Principles and Annex I</w:t>
      </w:r>
      <w:r>
        <w:t xml:space="preserve"> with TGA annotations </w:t>
      </w:r>
      <w:r w:rsidR="006C36D2">
        <w:t>are</w:t>
      </w:r>
      <w:r>
        <w:t xml:space="preserve"> expected to be adopted </w:t>
      </w:r>
      <w:r w:rsidRPr="00181006">
        <w:t xml:space="preserve">in </w:t>
      </w:r>
      <w:r w:rsidRPr="00AB6722">
        <w:rPr>
          <w:b/>
          <w:bCs/>
        </w:rPr>
        <w:t>January 2026</w:t>
      </w:r>
      <w:r w:rsidRPr="00181006">
        <w:t>.</w:t>
      </w:r>
      <w:r>
        <w:t xml:space="preserve"> </w:t>
      </w:r>
      <w:r w:rsidR="006A3438">
        <w:t>To support implementation, a</w:t>
      </w:r>
      <w:r w:rsidR="00D46EA1" w:rsidRPr="00D46EA1">
        <w:t xml:space="preserve"> </w:t>
      </w:r>
      <w:r w:rsidR="00713446" w:rsidRPr="00541FF2">
        <w:t>12</w:t>
      </w:r>
      <w:r w:rsidR="001B6D28" w:rsidRPr="00541FF2">
        <w:t>-month</w:t>
      </w:r>
      <w:r w:rsidR="00D46EA1" w:rsidRPr="00541FF2">
        <w:t xml:space="preserve"> transition period</w:t>
      </w:r>
      <w:r w:rsidR="00713446">
        <w:t xml:space="preserve"> is proposed</w:t>
      </w:r>
      <w:r w:rsidR="006A3438">
        <w:t>,</w:t>
      </w:r>
      <w:r w:rsidR="00D46EA1" w:rsidRPr="00D46EA1">
        <w:t xml:space="preserve"> allow</w:t>
      </w:r>
      <w:r w:rsidR="006A3438">
        <w:t>ing</w:t>
      </w:r>
      <w:r w:rsidR="001A5897">
        <w:t xml:space="preserve"> sponsors</w:t>
      </w:r>
      <w:r w:rsidR="002379BD">
        <w:t xml:space="preserve">, </w:t>
      </w:r>
      <w:r w:rsidR="001A5897">
        <w:t>trials sites</w:t>
      </w:r>
      <w:r w:rsidR="002379BD">
        <w:t xml:space="preserve"> and other stakeholders</w:t>
      </w:r>
      <w:r w:rsidR="001A5897">
        <w:t xml:space="preserve"> t</w:t>
      </w:r>
      <w:r w:rsidR="006A3438">
        <w:t>ime to</w:t>
      </w:r>
      <w:r w:rsidR="001A5897">
        <w:t xml:space="preserve"> </w:t>
      </w:r>
      <w:r w:rsidR="00D46EA1" w:rsidRPr="00D46EA1">
        <w:t>meet the updated requirements.</w:t>
      </w:r>
      <w:r w:rsidR="00C3232B" w:rsidRPr="00C3232B">
        <w:t xml:space="preserve"> The timelines provided are indicative</w:t>
      </w:r>
      <w:r w:rsidR="006A3438">
        <w:t>.</w:t>
      </w:r>
      <w:r w:rsidR="00070305">
        <w:t xml:space="preserve"> </w:t>
      </w:r>
      <w:r w:rsidR="000B2DCE" w:rsidRPr="000B2DCE">
        <w:t>Following the consultation and consideration of stakeholder feedbac</w:t>
      </w:r>
      <w:r w:rsidR="000B2DCE">
        <w:t xml:space="preserve">k, </w:t>
      </w:r>
      <w:r w:rsidR="006A3438">
        <w:t xml:space="preserve">the </w:t>
      </w:r>
      <w:r w:rsidR="00541FF2">
        <w:t xml:space="preserve">key </w:t>
      </w:r>
      <w:r w:rsidR="00C3232B">
        <w:t>adoption</w:t>
      </w:r>
      <w:r w:rsidR="006A3438">
        <w:t xml:space="preserve"> and transition</w:t>
      </w:r>
      <w:r w:rsidR="00C3232B">
        <w:t xml:space="preserve"> </w:t>
      </w:r>
      <w:r w:rsidR="006A3438">
        <w:t xml:space="preserve">dates </w:t>
      </w:r>
      <w:r w:rsidR="00D46EA1">
        <w:t>will be a</w:t>
      </w:r>
      <w:r w:rsidR="00070305">
        <w:t>nnounced</w:t>
      </w:r>
      <w:r w:rsidR="00D46EA1">
        <w:t xml:space="preserve"> on our </w:t>
      </w:r>
      <w:r w:rsidR="00E2544C">
        <w:t xml:space="preserve">webpage </w:t>
      </w:r>
      <w:hyperlink r:id="rId15" w:history="1">
        <w:r w:rsidRPr="00A320C4">
          <w:rPr>
            <w:rStyle w:val="Hyperlink"/>
          </w:rPr>
          <w:t xml:space="preserve">ICH Guideline for Good Clinical Practice </w:t>
        </w:r>
      </w:hyperlink>
      <w:r w:rsidR="006C36D2">
        <w:t xml:space="preserve">and </w:t>
      </w:r>
      <w:r w:rsidR="00070305">
        <w:t>promoted on our</w:t>
      </w:r>
      <w:r w:rsidR="006C36D2">
        <w:t xml:space="preserve"> </w:t>
      </w:r>
      <w:hyperlink r:id="rId16" w:history="1">
        <w:r w:rsidR="006C36D2" w:rsidRPr="006C36D2">
          <w:rPr>
            <w:rStyle w:val="Hyperlink"/>
          </w:rPr>
          <w:t>social media</w:t>
        </w:r>
      </w:hyperlink>
      <w:r w:rsidR="006A3438">
        <w:t xml:space="preserve">. </w:t>
      </w:r>
    </w:p>
    <w:p w14:paraId="05383D08" w14:textId="079E570E" w:rsidR="00296A1D" w:rsidRDefault="00D01D8F" w:rsidP="00585171">
      <w:r w:rsidRPr="00D01D8F">
        <w:t xml:space="preserve">Submissions should be made via our </w:t>
      </w:r>
      <w:hyperlink r:id="rId17" w:history="1">
        <w:r w:rsidR="00031069">
          <w:rPr>
            <w:rStyle w:val="Hyperlink"/>
          </w:rPr>
          <w:t>C</w:t>
        </w:r>
        <w:r w:rsidRPr="00031069">
          <w:rPr>
            <w:rStyle w:val="Hyperlink"/>
          </w:rPr>
          <w:t xml:space="preserve">onsultation </w:t>
        </w:r>
        <w:r w:rsidR="00031069">
          <w:rPr>
            <w:rStyle w:val="Hyperlink"/>
          </w:rPr>
          <w:t>H</w:t>
        </w:r>
        <w:r w:rsidRPr="00031069">
          <w:rPr>
            <w:rStyle w:val="Hyperlink"/>
          </w:rPr>
          <w:t>ub</w:t>
        </w:r>
      </w:hyperlink>
      <w:r>
        <w:t xml:space="preserve"> </w:t>
      </w:r>
      <w:r w:rsidR="00585171">
        <w:t xml:space="preserve">by close of business </w:t>
      </w:r>
      <w:r w:rsidR="00847B8C" w:rsidRPr="00847B8C">
        <w:rPr>
          <w:b/>
          <w:bCs/>
        </w:rPr>
        <w:t>10</w:t>
      </w:r>
      <w:r w:rsidR="00585171" w:rsidRPr="00847B8C">
        <w:rPr>
          <w:b/>
          <w:bCs/>
        </w:rPr>
        <w:t xml:space="preserve"> </w:t>
      </w:r>
      <w:r w:rsidR="00847B8C" w:rsidRPr="00847B8C">
        <w:rPr>
          <w:b/>
          <w:bCs/>
        </w:rPr>
        <w:t>October</w:t>
      </w:r>
      <w:r w:rsidR="00585171" w:rsidRPr="00847B8C">
        <w:rPr>
          <w:b/>
          <w:bCs/>
        </w:rPr>
        <w:t xml:space="preserve"> 2025</w:t>
      </w:r>
      <w:r w:rsidR="00585171" w:rsidRPr="00847B8C">
        <w:t>.</w:t>
      </w:r>
    </w:p>
    <w:p w14:paraId="56763B26" w14:textId="1AE0A13D" w:rsidR="00296A1D" w:rsidRDefault="00EC6B9D" w:rsidP="00296A1D">
      <w:pPr>
        <w:pStyle w:val="Heading2"/>
      </w:pPr>
      <w:bookmarkStart w:id="3" w:name="_Toc207307574"/>
      <w:bookmarkEnd w:id="2"/>
      <w:r w:rsidRPr="00EC6B9D">
        <w:t>Introduct</w:t>
      </w:r>
      <w:r>
        <w:t>ion</w:t>
      </w:r>
      <w:r w:rsidR="00911D09">
        <w:t xml:space="preserve"> to TGA annotations</w:t>
      </w:r>
      <w:bookmarkEnd w:id="3"/>
    </w:p>
    <w:p w14:paraId="30DA062C" w14:textId="50DFD130" w:rsidR="00911D09" w:rsidRDefault="00EC6B9D" w:rsidP="00EC6B9D">
      <w:r w:rsidRPr="00EC6B9D">
        <w:t xml:space="preserve">The ICH Guideline for Good Clinical Practice (ICH E6) is an internationally accepted standard for the designing, conducting, recording and reporting of clinical trials. The Guideline for Good Clinical Practice is incorporated by reference in the </w:t>
      </w:r>
      <w:r w:rsidRPr="00EC6B9D">
        <w:rPr>
          <w:i/>
          <w:iCs/>
        </w:rPr>
        <w:t>Therapeutic Goods Regulations 1990</w:t>
      </w:r>
      <w:r w:rsidRPr="00EC6B9D">
        <w:t>. Compliance with the ICH Guideline for Good Clinical Practice is a condition of approval for the conduct of a clinical trial.</w:t>
      </w:r>
    </w:p>
    <w:p w14:paraId="56504A09" w14:textId="41A9B255" w:rsidR="00911D09" w:rsidRDefault="00EC6B9D" w:rsidP="00EC6B9D">
      <w:r w:rsidRPr="00EC6B9D">
        <w:t xml:space="preserve">In Australia, the </w:t>
      </w:r>
      <w:r w:rsidRPr="00EC6B9D">
        <w:rPr>
          <w:i/>
          <w:iCs/>
        </w:rPr>
        <w:t>National Health and Medical Research Council Act 1992</w:t>
      </w:r>
      <w:r w:rsidRPr="00EC6B9D">
        <w:t xml:space="preserve"> establishes the National Health and Medical Research Council (NHMRC) as a statutory entity to pursue and foster issues relating to public health. The NHMRC is specifically required to issue guidelines for the conduct of medical research and ethical matters related to health. The </w:t>
      </w:r>
      <w:hyperlink r:id="rId18" w:history="1">
        <w:r w:rsidRPr="00EC6B9D">
          <w:rPr>
            <w:rStyle w:val="Hyperlink"/>
          </w:rPr>
          <w:t>National Statement on Ethical Conduct in Human Research</w:t>
        </w:r>
      </w:hyperlink>
      <w:r w:rsidRPr="00EC6B9D">
        <w:t xml:space="preserve"> (the National Statement) has been produced by the NHMRC as the Australian ethical standard against which all research involving humans, including clinical trials, are reviewed.</w:t>
      </w:r>
    </w:p>
    <w:p w14:paraId="26306290" w14:textId="48072CD9" w:rsidR="00EC6B9D" w:rsidRPr="00EC6B9D" w:rsidRDefault="00EC6B9D" w:rsidP="00EC6B9D">
      <w:r w:rsidRPr="00EC6B9D">
        <w:t xml:space="preserve">The National Statement is incorporated by reference in the </w:t>
      </w:r>
      <w:r w:rsidRPr="00EC6B9D">
        <w:rPr>
          <w:i/>
          <w:iCs/>
        </w:rPr>
        <w:t xml:space="preserve">Therapeutic Goods Regulations 1990 </w:t>
      </w:r>
      <w:r w:rsidRPr="00EC6B9D">
        <w:t xml:space="preserve">and </w:t>
      </w:r>
      <w:r w:rsidRPr="00EC6B9D">
        <w:rPr>
          <w:i/>
          <w:iCs/>
        </w:rPr>
        <w:t>Therapeutic Goods (Medical Devices) Regulations 2002</w:t>
      </w:r>
      <w:r w:rsidRPr="00EC6B9D">
        <w:t>.  Compliance with the National Statement is a condition of approval for the conduct of a clinical trial. If requirements specified in the National Statement appear to differ from those specified in the ICH Guideline for Good Clinical Practice, the TGA recommends compliance with the National Statement.</w:t>
      </w:r>
    </w:p>
    <w:p w14:paraId="2941FA4B" w14:textId="2C45B0CF" w:rsidR="00EC6B9D" w:rsidRPr="00EC6B9D" w:rsidRDefault="00EC6B9D" w:rsidP="00EC6B9D">
      <w:r w:rsidRPr="00EC6B9D">
        <w:t xml:space="preserve">ICH E6 is referred to as the ICH Guideline for Good Clinical Practice in the TGA’s </w:t>
      </w:r>
      <w:r w:rsidR="00E149A4">
        <w:t>annotations</w:t>
      </w:r>
      <w:r w:rsidRPr="00EC6B9D">
        <w:t xml:space="preserve"> consistent with its title in the </w:t>
      </w:r>
      <w:r w:rsidRPr="00EC6B9D">
        <w:rPr>
          <w:i/>
          <w:iCs/>
        </w:rPr>
        <w:t>Therapeutic Goods Regulations 1990</w:t>
      </w:r>
      <w:r w:rsidRPr="00EC6B9D">
        <w:t>.</w:t>
      </w:r>
    </w:p>
    <w:p w14:paraId="037D8C58" w14:textId="77777777" w:rsidR="00EC6B9D" w:rsidRPr="00EC6B9D" w:rsidRDefault="00EC6B9D" w:rsidP="00DD50EF">
      <w:r w:rsidRPr="00EC6B9D">
        <w:t>TGA annotations to the ICH Guideline for Good Clinical Practice are provided to ensure the Guideline is consistent with prevailing</w:t>
      </w:r>
      <w:r w:rsidR="00E149A4">
        <w:t xml:space="preserve"> legislative</w:t>
      </w:r>
      <w:r w:rsidRPr="00EC6B9D">
        <w:t xml:space="preserve"> requirements in Australia for clinical trials of</w:t>
      </w:r>
      <w:r w:rsidR="00911D09" w:rsidRPr="00DD50EF">
        <w:t xml:space="preserve"> </w:t>
      </w:r>
      <w:hyperlink r:id="rId19" w:anchor="unapproved-therapeutic-goods" w:history="1">
        <w:r w:rsidR="00911D09" w:rsidRPr="00DD50EF">
          <w:rPr>
            <w:rStyle w:val="Hyperlink"/>
          </w:rPr>
          <w:t>unapproved</w:t>
        </w:r>
        <w:r w:rsidR="00911D09" w:rsidRPr="00911D09">
          <w:rPr>
            <w:rStyle w:val="Hyperlink"/>
          </w:rPr>
          <w:t xml:space="preserve"> medicines and biologicals</w:t>
        </w:r>
      </w:hyperlink>
      <w:r w:rsidRPr="00EC6B9D">
        <w:t xml:space="preserve"> under the CTN and CTA schemes.</w:t>
      </w:r>
    </w:p>
    <w:p w14:paraId="5BB4FE7F" w14:textId="77777777" w:rsidR="002E3A0E" w:rsidRDefault="002E3A0E">
      <w:pPr>
        <w:rPr>
          <w:rFonts w:eastAsia="Times New Roman" w:cs="Times New Roman"/>
          <w:b/>
          <w:bCs/>
          <w:color w:val="001871"/>
          <w:sz w:val="38"/>
          <w:szCs w:val="38"/>
        </w:rPr>
      </w:pPr>
      <w:r>
        <w:br w:type="page"/>
      </w:r>
    </w:p>
    <w:p w14:paraId="61C1D571" w14:textId="7FCFA334" w:rsidR="0045221C" w:rsidRDefault="0045221C" w:rsidP="00373E42">
      <w:pPr>
        <w:pStyle w:val="Heading2"/>
      </w:pPr>
      <w:bookmarkStart w:id="4" w:name="_Toc207307575"/>
      <w:r>
        <w:t>Scope</w:t>
      </w:r>
      <w:bookmarkEnd w:id="4"/>
    </w:p>
    <w:p w14:paraId="01CAF479" w14:textId="010A97F7" w:rsidR="00FB219E" w:rsidRDefault="006D1A08" w:rsidP="0045221C">
      <w:r>
        <w:t>Th</w:t>
      </w:r>
      <w:r w:rsidR="00A00441">
        <w:t>is</w:t>
      </w:r>
      <w:r>
        <w:t xml:space="preserve"> consultation </w:t>
      </w:r>
      <w:r w:rsidR="00A00441">
        <w:t xml:space="preserve">seeks feedback on the </w:t>
      </w:r>
      <w:hyperlink w:anchor="_Proposed_TGA_annotations_2" w:history="1">
        <w:r w:rsidR="00A00441" w:rsidRPr="00FB219E">
          <w:rPr>
            <w:rStyle w:val="Hyperlink"/>
          </w:rPr>
          <w:t>proposed</w:t>
        </w:r>
        <w:r w:rsidRPr="00FB219E">
          <w:rPr>
            <w:rStyle w:val="Hyperlink"/>
          </w:rPr>
          <w:t xml:space="preserve"> TGA annotations</w:t>
        </w:r>
      </w:hyperlink>
      <w:r w:rsidR="00847B8C">
        <w:t xml:space="preserve">. </w:t>
      </w:r>
      <w:r w:rsidR="00E149A4">
        <w:t>These annotations</w:t>
      </w:r>
      <w:r>
        <w:t xml:space="preserve"> </w:t>
      </w:r>
      <w:r w:rsidR="0045221C" w:rsidRPr="00492826">
        <w:t>explain if there are parts of ICH E6(R3) Guideline for GCP</w:t>
      </w:r>
      <w:r w:rsidR="00D11E19">
        <w:t xml:space="preserve">: </w:t>
      </w:r>
      <w:r w:rsidR="00E46F84">
        <w:t>Principles &amp; Annex I</w:t>
      </w:r>
      <w:r w:rsidR="0045221C" w:rsidRPr="00492826">
        <w:t xml:space="preserve"> that are </w:t>
      </w:r>
      <w:r w:rsidR="0045221C" w:rsidRPr="001479AB">
        <w:rPr>
          <w:b/>
          <w:bCs/>
        </w:rPr>
        <w:t xml:space="preserve">not </w:t>
      </w:r>
      <w:r w:rsidR="0045221C" w:rsidRPr="00492826">
        <w:t xml:space="preserve">adopted, or if there are </w:t>
      </w:r>
      <w:proofErr w:type="gramStart"/>
      <w:r w:rsidR="0045221C" w:rsidRPr="00492826">
        <w:t>particular considerations</w:t>
      </w:r>
      <w:proofErr w:type="gramEnd"/>
      <w:r w:rsidR="0045221C" w:rsidRPr="00492826">
        <w:t xml:space="preserve"> that need to be </w:t>
      </w:r>
      <w:proofErr w:type="gramStart"/>
      <w:r w:rsidR="0045221C" w:rsidRPr="00492826">
        <w:t>taken into account</w:t>
      </w:r>
      <w:proofErr w:type="gramEnd"/>
      <w:r w:rsidR="0045221C" w:rsidRPr="00492826">
        <w:t xml:space="preserve"> when applying the guideline in an Australian context.</w:t>
      </w:r>
    </w:p>
    <w:p w14:paraId="5769F3ED" w14:textId="56699CE6" w:rsidR="001530B4" w:rsidRDefault="0045221C" w:rsidP="0045221C">
      <w:pPr>
        <w:rPr>
          <w:rFonts w:eastAsia="Calibri"/>
        </w:rPr>
      </w:pPr>
      <w:r w:rsidRPr="00492826">
        <w:t>The</w:t>
      </w:r>
      <w:r w:rsidR="006D1A08">
        <w:t xml:space="preserve"> annotations</w:t>
      </w:r>
      <w:r w:rsidRPr="00492826">
        <w:t xml:space="preserve"> provide critical interpretive guidance to align ICH E6(R3) Guideline for GCP with the applicable</w:t>
      </w:r>
      <w:r w:rsidR="008C11F9">
        <w:t xml:space="preserve"> Australian</w:t>
      </w:r>
      <w:r w:rsidRPr="00492826">
        <w:t xml:space="preserve"> </w:t>
      </w:r>
      <w:r w:rsidRPr="00A06A9B">
        <w:rPr>
          <w:b/>
          <w:bCs/>
        </w:rPr>
        <w:t>legislative framework</w:t>
      </w:r>
      <w:r w:rsidRPr="00492826">
        <w:t xml:space="preserve">. </w:t>
      </w:r>
      <w:r w:rsidR="006D1A08">
        <w:t xml:space="preserve">Final TGA annotations are </w:t>
      </w:r>
      <w:r w:rsidR="006D1A08" w:rsidRPr="005A4E81">
        <w:rPr>
          <w:rFonts w:eastAsia="Calibri"/>
        </w:rPr>
        <w:t>published on the</w:t>
      </w:r>
      <w:r w:rsidR="008C11F9">
        <w:rPr>
          <w:rFonts w:eastAsia="Calibri"/>
        </w:rPr>
        <w:t xml:space="preserve"> TGA website along with the</w:t>
      </w:r>
      <w:r w:rsidR="006D1A08" w:rsidRPr="005A4E81">
        <w:rPr>
          <w:rFonts w:eastAsia="Calibri"/>
        </w:rPr>
        <w:t xml:space="preserve"> </w:t>
      </w:r>
      <w:hyperlink r:id="rId20" w:history="1">
        <w:r w:rsidR="00F266B9" w:rsidRPr="00296A1D">
          <w:rPr>
            <w:rStyle w:val="Hyperlink"/>
          </w:rPr>
          <w:t>ICH E6(R3) Guideline for Good Clinical Practice</w:t>
        </w:r>
      </w:hyperlink>
      <w:r w:rsidR="006D1A08" w:rsidRPr="005A4E81">
        <w:rPr>
          <w:rFonts w:eastAsia="Calibri"/>
        </w:rPr>
        <w:t xml:space="preserve"> rather than emb</w:t>
      </w:r>
      <w:r w:rsidR="00C7224D">
        <w:rPr>
          <w:rFonts w:eastAsia="Calibri"/>
        </w:rPr>
        <w:t>edded</w:t>
      </w:r>
      <w:r w:rsidR="006D1A08" w:rsidRPr="005A4E81">
        <w:rPr>
          <w:rFonts w:eastAsia="Calibri"/>
        </w:rPr>
        <w:t xml:space="preserve"> within the </w:t>
      </w:r>
      <w:r w:rsidR="006D1A08">
        <w:rPr>
          <w:rFonts w:eastAsia="Calibri"/>
        </w:rPr>
        <w:t xml:space="preserve">legislated </w:t>
      </w:r>
      <w:r w:rsidR="006D1A08" w:rsidRPr="005A4E81">
        <w:rPr>
          <w:rFonts w:eastAsia="Calibri"/>
        </w:rPr>
        <w:t>guideline itself</w:t>
      </w:r>
      <w:r w:rsidR="006D1A08">
        <w:rPr>
          <w:rFonts w:eastAsia="Calibri"/>
        </w:rPr>
        <w:t>.</w:t>
      </w:r>
    </w:p>
    <w:p w14:paraId="05B3EAC5" w14:textId="091D849D" w:rsidR="00270ECF" w:rsidRPr="00270ECF" w:rsidRDefault="00270ECF" w:rsidP="0045221C">
      <w:pPr>
        <w:rPr>
          <w:rFonts w:eastAsia="Calibri"/>
        </w:rPr>
      </w:pPr>
      <w:r w:rsidRPr="00270ECF">
        <w:t>We are</w:t>
      </w:r>
      <w:r>
        <w:t xml:space="preserve"> </w:t>
      </w:r>
      <w:r w:rsidRPr="00270ECF">
        <w:t>seeking feedback on the proposed 12-month transition period for sponsors, trial sites, and other stakeholders to meet the updated requirements.</w:t>
      </w:r>
    </w:p>
    <w:p w14:paraId="19B4F342" w14:textId="18C4995C" w:rsidR="00EC6B9D" w:rsidRDefault="00111062" w:rsidP="0045221C">
      <w:hyperlink r:id="rId21" w:anchor="6-3" w:history="1">
        <w:r w:rsidRPr="00111062">
          <w:rPr>
            <w:rStyle w:val="Hyperlink"/>
          </w:rPr>
          <w:t xml:space="preserve">ICH E6(R3) Guideline for GCP </w:t>
        </w:r>
        <w:r w:rsidR="00EC6B9D" w:rsidRPr="00111062">
          <w:rPr>
            <w:rStyle w:val="Hyperlink"/>
          </w:rPr>
          <w:t>Annex 2</w:t>
        </w:r>
      </w:hyperlink>
      <w:r w:rsidR="00EC6B9D" w:rsidRPr="00EC6B9D">
        <w:t xml:space="preserve"> is not included in this consultation</w:t>
      </w:r>
      <w:r w:rsidR="00EC6B9D">
        <w:t>,</w:t>
      </w:r>
      <w:r w:rsidR="00EC6B9D" w:rsidRPr="00EC6B9D">
        <w:t xml:space="preserve"> and</w:t>
      </w:r>
      <w:r w:rsidR="00EC6B9D">
        <w:t xml:space="preserve"> any</w:t>
      </w:r>
      <w:r w:rsidR="00EC6B9D" w:rsidRPr="00EC6B9D">
        <w:t xml:space="preserve"> </w:t>
      </w:r>
      <w:r w:rsidR="00EC6B9D">
        <w:t>TGA annotations, if required, will be</w:t>
      </w:r>
      <w:r w:rsidR="00EC6B9D" w:rsidRPr="00EC6B9D">
        <w:t xml:space="preserve"> subject to a separate consultation process.</w:t>
      </w:r>
    </w:p>
    <w:p w14:paraId="1300CDEC" w14:textId="2B68AC01" w:rsidR="00D6047C" w:rsidRDefault="00FE1DD7" w:rsidP="0045221C">
      <w:pPr>
        <w:rPr>
          <w:rFonts w:eastAsia="Calibri"/>
        </w:rPr>
      </w:pPr>
      <w:r w:rsidRPr="00FE1DD7">
        <w:rPr>
          <w:rFonts w:eastAsia="Calibri"/>
        </w:rPr>
        <w:t xml:space="preserve">To </w:t>
      </w:r>
      <w:r w:rsidR="00921339">
        <w:rPr>
          <w:rFonts w:eastAsia="Calibri"/>
        </w:rPr>
        <w:t>assist in the review of</w:t>
      </w:r>
      <w:r w:rsidRPr="00FE1DD7">
        <w:rPr>
          <w:rFonts w:eastAsia="Calibri"/>
        </w:rPr>
        <w:t xml:space="preserve"> existing guidance</w:t>
      </w:r>
      <w:r>
        <w:rPr>
          <w:rFonts w:eastAsia="Calibri"/>
        </w:rPr>
        <w:t xml:space="preserve"> (</w:t>
      </w:r>
      <w:r w:rsidRPr="00FE1DD7">
        <w:rPr>
          <w:rFonts w:eastAsia="Calibri"/>
        </w:rPr>
        <w:t>separate from the TGA annotation</w:t>
      </w:r>
      <w:r>
        <w:rPr>
          <w:rFonts w:eastAsia="Calibri"/>
        </w:rPr>
        <w:t xml:space="preserve">s) </w:t>
      </w:r>
      <w:r w:rsidRPr="00FE1DD7">
        <w:rPr>
          <w:rFonts w:eastAsia="Calibri"/>
        </w:rPr>
        <w:t>we’re</w:t>
      </w:r>
      <w:r>
        <w:rPr>
          <w:rFonts w:eastAsia="Calibri"/>
        </w:rPr>
        <w:t xml:space="preserve"> inviting</w:t>
      </w:r>
      <w:r w:rsidRPr="00FE1DD7">
        <w:rPr>
          <w:rFonts w:eastAsia="Calibri"/>
        </w:rPr>
        <w:t xml:space="preserve"> input on</w:t>
      </w:r>
      <w:r>
        <w:rPr>
          <w:rFonts w:eastAsia="Calibri"/>
        </w:rPr>
        <w:t xml:space="preserve"> topics</w:t>
      </w:r>
      <w:r w:rsidRPr="00FE1DD7">
        <w:rPr>
          <w:rFonts w:eastAsia="Calibri"/>
        </w:rPr>
        <w:t xml:space="preserve"> where further guidance may be useful following changes in ICH E6(R3).</w:t>
      </w:r>
    </w:p>
    <w:p w14:paraId="40FDFBDF" w14:textId="699B77EE" w:rsidR="00D01D8F" w:rsidRDefault="00D01D8F" w:rsidP="00373E42">
      <w:pPr>
        <w:pStyle w:val="Heading2"/>
      </w:pPr>
      <w:bookmarkStart w:id="5" w:name="_Toc207307576"/>
      <w:r>
        <w:t xml:space="preserve">How </w:t>
      </w:r>
      <w:r w:rsidR="000C2990">
        <w:t>are</w:t>
      </w:r>
      <w:r>
        <w:t xml:space="preserve"> </w:t>
      </w:r>
      <w:r w:rsidR="000C2990">
        <w:t xml:space="preserve">TGA </w:t>
      </w:r>
      <w:r>
        <w:t>annotations developed?</w:t>
      </w:r>
      <w:bookmarkEnd w:id="5"/>
    </w:p>
    <w:p w14:paraId="4BCBC33A" w14:textId="3C87E29F" w:rsidR="0045221C" w:rsidRDefault="00492826" w:rsidP="0045221C">
      <w:r w:rsidRPr="000C2990">
        <w:t xml:space="preserve">Prior to adopting any </w:t>
      </w:r>
      <w:r w:rsidR="00A06A9B">
        <w:t>international guideline</w:t>
      </w:r>
      <w:r w:rsidRPr="000C2990">
        <w:t xml:space="preserve">, the TGA undertakes an extensive process of internal and external consultations to ensure the </w:t>
      </w:r>
      <w:r w:rsidR="00A06A9B">
        <w:t>g</w:t>
      </w:r>
      <w:r w:rsidRPr="000C2990">
        <w:t xml:space="preserve">uideline is consistent with prevailing </w:t>
      </w:r>
      <w:r w:rsidR="00847B8C">
        <w:t xml:space="preserve">legislative </w:t>
      </w:r>
      <w:r w:rsidRPr="000C2990">
        <w:t>requirements in Australia</w:t>
      </w:r>
      <w:r>
        <w:t>.</w:t>
      </w:r>
    </w:p>
    <w:p w14:paraId="67A989C1" w14:textId="0957B643" w:rsidR="00FB219E" w:rsidRDefault="00F56317" w:rsidP="00D01D8F">
      <w:r>
        <w:t>As part of this process</w:t>
      </w:r>
      <w:r w:rsidR="00FB219E">
        <w:t>, w</w:t>
      </w:r>
      <w:r w:rsidR="00492826" w:rsidRPr="00492826">
        <w:t xml:space="preserve">e </w:t>
      </w:r>
      <w:r>
        <w:t xml:space="preserve">have </w:t>
      </w:r>
      <w:r w:rsidR="00492826">
        <w:t>compared</w:t>
      </w:r>
      <w:r w:rsidR="00492826" w:rsidRPr="00492826">
        <w:t xml:space="preserve"> ICH E6(R2) and </w:t>
      </w:r>
      <w:r>
        <w:t xml:space="preserve">ICH </w:t>
      </w:r>
      <w:r w:rsidR="00492826" w:rsidRPr="00492826">
        <w:t>E6(R3)</w:t>
      </w:r>
      <w:r>
        <w:t xml:space="preserve"> with a</w:t>
      </w:r>
      <w:r w:rsidR="00492826" w:rsidRPr="00492826">
        <w:t xml:space="preserve"> focus on</w:t>
      </w:r>
      <w:r>
        <w:t xml:space="preserve"> alignment with the Australian </w:t>
      </w:r>
      <w:r w:rsidRPr="00F56317">
        <w:t>legislative framework</w:t>
      </w:r>
      <w:r>
        <w:t xml:space="preserve"> and identifying</w:t>
      </w:r>
      <w:r w:rsidR="00492826" w:rsidRPr="00492826">
        <w:t xml:space="preserve"> new concepts that</w:t>
      </w:r>
      <w:r>
        <w:t xml:space="preserve"> warrant </w:t>
      </w:r>
      <w:r w:rsidR="00F437F8">
        <w:t xml:space="preserve">an </w:t>
      </w:r>
      <w:r>
        <w:t xml:space="preserve">updated </w:t>
      </w:r>
      <w:r w:rsidR="00C7224D">
        <w:t>or</w:t>
      </w:r>
      <w:r w:rsidR="00F437F8">
        <w:t xml:space="preserve"> new </w:t>
      </w:r>
      <w:r w:rsidR="00492826" w:rsidRPr="00492826">
        <w:t>annotation.</w:t>
      </w:r>
      <w:r w:rsidR="000C2990">
        <w:t xml:space="preserve"> </w:t>
      </w:r>
      <w:r w:rsidR="00FB219E">
        <w:t>A</w:t>
      </w:r>
      <w:r w:rsidR="00E46F84" w:rsidRPr="00E46F84">
        <w:t xml:space="preserve"> </w:t>
      </w:r>
      <w:r w:rsidR="00A06A9B">
        <w:t>6-week</w:t>
      </w:r>
      <w:r w:rsidR="00E46F84" w:rsidRPr="00E46F84">
        <w:t xml:space="preserve"> public consultation is </w:t>
      </w:r>
      <w:r w:rsidR="00FB219E">
        <w:t>currently underway to gather sector wide feedback</w:t>
      </w:r>
      <w:r w:rsidR="009B47C7">
        <w:t xml:space="preserve"> on the proposed </w:t>
      </w:r>
      <w:r w:rsidR="00F437F8">
        <w:t xml:space="preserve">TGA </w:t>
      </w:r>
      <w:r w:rsidR="009B47C7">
        <w:t>annotations</w:t>
      </w:r>
      <w:r w:rsidR="00FB219E">
        <w:t xml:space="preserve">. </w:t>
      </w:r>
      <w:r>
        <w:t>Consultation</w:t>
      </w:r>
      <w:r w:rsidR="00FB219E">
        <w:t xml:space="preserve"> </w:t>
      </w:r>
      <w:r>
        <w:t>o</w:t>
      </w:r>
      <w:r w:rsidR="00FB219E" w:rsidRPr="00FB219E">
        <w:t xml:space="preserve">utcomes will be published on the </w:t>
      </w:r>
      <w:hyperlink r:id="rId22" w:history="1">
        <w:r w:rsidR="00FB219E" w:rsidRPr="00FF626F">
          <w:rPr>
            <w:rStyle w:val="Hyperlink"/>
          </w:rPr>
          <w:t>Consultation Hub</w:t>
        </w:r>
      </w:hyperlink>
      <w:r w:rsidR="00FB219E" w:rsidRPr="00FB219E">
        <w:t xml:space="preserve">, and the final annotations will be </w:t>
      </w:r>
      <w:r>
        <w:t>published</w:t>
      </w:r>
      <w:r w:rsidR="00FB219E" w:rsidRPr="00FB219E">
        <w:t xml:space="preserve"> on the </w:t>
      </w:r>
      <w:hyperlink r:id="rId23" w:history="1">
        <w:r w:rsidRPr="00296A1D">
          <w:rPr>
            <w:rStyle w:val="Hyperlink"/>
          </w:rPr>
          <w:t>ICH E6(R3) Guideline for Good Clinical Practice</w:t>
        </w:r>
      </w:hyperlink>
      <w:r>
        <w:t>.</w:t>
      </w:r>
    </w:p>
    <w:p w14:paraId="6D8BAB16" w14:textId="5BFB178D" w:rsidR="00E46F84" w:rsidRDefault="00713446" w:rsidP="00E46F84">
      <w:pPr>
        <w:pStyle w:val="Heading2"/>
      </w:pPr>
      <w:bookmarkStart w:id="6" w:name="_Toc207307577"/>
      <w:r>
        <w:t xml:space="preserve">Proposed </w:t>
      </w:r>
      <w:r w:rsidR="001B6D28">
        <w:t>adoption</w:t>
      </w:r>
      <w:r w:rsidR="00541FF2">
        <w:t xml:space="preserve"> and transition</w:t>
      </w:r>
      <w:r w:rsidR="001B6D28">
        <w:t xml:space="preserve"> </w:t>
      </w:r>
      <w:r w:rsidR="000A3CE1">
        <w:t>period</w:t>
      </w:r>
      <w:bookmarkEnd w:id="6"/>
    </w:p>
    <w:p w14:paraId="1A48205E" w14:textId="6FC0D3AF" w:rsidR="00897BC5" w:rsidRDefault="00815AB2" w:rsidP="00AB6722">
      <w:r>
        <w:rPr>
          <w:noProof/>
        </w:rPr>
        <w:drawing>
          <wp:inline distT="0" distB="0" distL="0" distR="0" wp14:anchorId="56AA8B95" wp14:editId="501E8B97">
            <wp:extent cx="5486400" cy="4121687"/>
            <wp:effectExtent l="38100" t="19050" r="57150" b="31750"/>
            <wp:docPr id="100692106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bookmarkStart w:id="7" w:name="_Proposed_TGA_annotations_1"/>
      <w:bookmarkEnd w:id="7"/>
    </w:p>
    <w:p w14:paraId="37962340" w14:textId="7938FCD3" w:rsidR="00D11FFE" w:rsidRDefault="00541FF2" w:rsidP="00897BC5">
      <w:pPr>
        <w:pStyle w:val="Heading2"/>
      </w:pPr>
      <w:bookmarkStart w:id="8" w:name="_Transition_period"/>
      <w:bookmarkStart w:id="9" w:name="_Toc207307578"/>
      <w:bookmarkEnd w:id="8"/>
      <w:r>
        <w:t>Transition period</w:t>
      </w:r>
      <w:bookmarkEnd w:id="9"/>
      <w:r>
        <w:t xml:space="preserve"> </w:t>
      </w:r>
    </w:p>
    <w:p w14:paraId="57A5E120" w14:textId="35FBB426" w:rsidR="006C250F" w:rsidRDefault="00D11FFE" w:rsidP="009258EC">
      <w:r w:rsidRPr="00D11FFE">
        <w:t xml:space="preserve">The </w:t>
      </w:r>
      <w:r w:rsidR="00111FF6">
        <w:t xml:space="preserve">proposed </w:t>
      </w:r>
      <w:r w:rsidRPr="00D11FFE">
        <w:t>12-month transition period allows sponsors</w:t>
      </w:r>
      <w:r w:rsidR="00BD6153">
        <w:t xml:space="preserve">, </w:t>
      </w:r>
      <w:r w:rsidRPr="00D11FFE">
        <w:t>trial sites</w:t>
      </w:r>
      <w:r w:rsidR="00BD6153">
        <w:t xml:space="preserve"> and other stakeholders</w:t>
      </w:r>
      <w:r w:rsidRPr="00D11FFE">
        <w:t xml:space="preserve"> time to</w:t>
      </w:r>
      <w:r w:rsidR="008F215F">
        <w:t xml:space="preserve"> </w:t>
      </w:r>
      <w:r w:rsidR="00C140CE">
        <w:t>u</w:t>
      </w:r>
      <w:r w:rsidRPr="00D11FFE">
        <w:t xml:space="preserve">pdate processes, documentation, and training to meet the updated requirements in ICH E6(R3) with TGA annotations. </w:t>
      </w:r>
    </w:p>
    <w:p w14:paraId="03D46DB7" w14:textId="415E7B41" w:rsidR="009258EC" w:rsidRDefault="006C250F" w:rsidP="009258EC">
      <w:r>
        <w:t>If you are running a clinical trial, c</w:t>
      </w:r>
      <w:r w:rsidR="00BD6153">
        <w:t xml:space="preserve">onsider the following in the transition period: </w:t>
      </w:r>
    </w:p>
    <w:p w14:paraId="04C17EA6" w14:textId="60D755DA" w:rsidR="005550C4" w:rsidRDefault="009258EC" w:rsidP="009258EC">
      <w:pPr>
        <w:pStyle w:val="ListBullet"/>
        <w:rPr>
          <w:color w:val="auto"/>
        </w:rPr>
      </w:pPr>
      <w:r w:rsidRPr="00AB6722">
        <w:rPr>
          <w:b/>
          <w:bCs/>
          <w:color w:val="auto"/>
        </w:rPr>
        <w:t>Review</w:t>
      </w:r>
      <w:r w:rsidRPr="00AB6722">
        <w:rPr>
          <w:color w:val="auto"/>
        </w:rPr>
        <w:t xml:space="preserve"> ICH E6(R3) Guideline: Principles and Annex I with TGA annotations</w:t>
      </w:r>
      <w:r w:rsidR="00C140CE">
        <w:rPr>
          <w:color w:val="auto"/>
        </w:rPr>
        <w:t xml:space="preserve"> to understand what’s changed. </w:t>
      </w:r>
      <w:r w:rsidR="008F215F">
        <w:rPr>
          <w:color w:val="auto"/>
        </w:rPr>
        <w:t xml:space="preserve"> </w:t>
      </w:r>
      <w:r w:rsidR="00C140CE" w:rsidRPr="00C140CE">
        <w:rPr>
          <w:color w:val="auto"/>
        </w:rPr>
        <w:t>This will help you</w:t>
      </w:r>
      <w:r w:rsidR="005550C4">
        <w:rPr>
          <w:color w:val="auto"/>
        </w:rPr>
        <w:t xml:space="preserve"> </w:t>
      </w:r>
      <w:r w:rsidR="005550C4" w:rsidRPr="005550C4">
        <w:rPr>
          <w:color w:val="auto"/>
        </w:rPr>
        <w:t>identify differences between your current practices and the requirements of ICH E6(R3)</w:t>
      </w:r>
      <w:r w:rsidR="005550C4">
        <w:rPr>
          <w:color w:val="auto"/>
        </w:rPr>
        <w:t xml:space="preserve">. </w:t>
      </w:r>
    </w:p>
    <w:p w14:paraId="792B4E7B" w14:textId="39961CEE" w:rsidR="005550C4" w:rsidRPr="00BD6153" w:rsidRDefault="005550C4" w:rsidP="00BD6153">
      <w:pPr>
        <w:pStyle w:val="ListBullet"/>
        <w:rPr>
          <w:color w:val="auto"/>
        </w:rPr>
      </w:pPr>
      <w:r>
        <w:rPr>
          <w:b/>
          <w:bCs/>
          <w:color w:val="auto"/>
        </w:rPr>
        <w:t>Develop a plan</w:t>
      </w:r>
      <w:r w:rsidRPr="00AB6722">
        <w:rPr>
          <w:b/>
          <w:bCs/>
          <w:color w:val="auto"/>
        </w:rPr>
        <w:t xml:space="preserve">: </w:t>
      </w:r>
      <w:r w:rsidR="00BD6153" w:rsidRPr="00BD6153">
        <w:rPr>
          <w:color w:val="auto"/>
        </w:rPr>
        <w:t xml:space="preserve">If gaps are identified, develop a plan to meet the updated requirements and document how the review and updates were carried out. </w:t>
      </w:r>
      <w:r w:rsidR="006C250F">
        <w:rPr>
          <w:color w:val="auto"/>
        </w:rPr>
        <w:t xml:space="preserve"> </w:t>
      </w:r>
      <w:r w:rsidR="002E0F87" w:rsidRPr="002E0F87">
        <w:rPr>
          <w:color w:val="auto"/>
        </w:rPr>
        <w:t>Please note that amendments to study documentation approved by the Human Research Ethics Committee (HREC) should be submitted to the HREC</w:t>
      </w:r>
      <w:r w:rsidR="002E0F87">
        <w:rPr>
          <w:color w:val="auto"/>
        </w:rPr>
        <w:t xml:space="preserve"> for review and</w:t>
      </w:r>
      <w:r w:rsidR="002E0F87" w:rsidRPr="002E0F87">
        <w:rPr>
          <w:color w:val="auto"/>
        </w:rPr>
        <w:t>, approving authority, or research governance office prior to implementation</w:t>
      </w:r>
      <w:r w:rsidR="000E40CB">
        <w:rPr>
          <w:color w:val="auto"/>
        </w:rPr>
        <w:t>.</w:t>
      </w:r>
    </w:p>
    <w:p w14:paraId="22B008A9" w14:textId="119C2CD1" w:rsidR="00541FF2" w:rsidRDefault="00C140CE" w:rsidP="00FC0073">
      <w:pPr>
        <w:pStyle w:val="ListBullet"/>
        <w:rPr>
          <w:color w:val="auto"/>
        </w:rPr>
      </w:pPr>
      <w:r w:rsidRPr="00AB6722">
        <w:rPr>
          <w:b/>
          <w:bCs/>
          <w:color w:val="auto"/>
        </w:rPr>
        <w:t>Training</w:t>
      </w:r>
      <w:r>
        <w:rPr>
          <w:color w:val="auto"/>
        </w:rPr>
        <w:t xml:space="preserve">: </w:t>
      </w:r>
      <w:r w:rsidR="00FC0073">
        <w:rPr>
          <w:color w:val="auto"/>
        </w:rPr>
        <w:t xml:space="preserve">The </w:t>
      </w:r>
      <w:r w:rsidR="00FC0073" w:rsidRPr="00FC0073">
        <w:rPr>
          <w:color w:val="auto"/>
        </w:rPr>
        <w:t xml:space="preserve">Principal Investigators (PIs) should be </w:t>
      </w:r>
      <w:r w:rsidR="00FC0073">
        <w:rPr>
          <w:color w:val="auto"/>
        </w:rPr>
        <w:t>trained on</w:t>
      </w:r>
      <w:r w:rsidR="00FC0073" w:rsidRPr="00FC0073">
        <w:rPr>
          <w:color w:val="auto"/>
        </w:rPr>
        <w:t xml:space="preserve"> ICH E6(R3), as they are responsible for trial conduct at the site. The</w:t>
      </w:r>
      <w:r w:rsidR="006C250F">
        <w:rPr>
          <w:color w:val="auto"/>
        </w:rPr>
        <w:t xml:space="preserve"> PI should</w:t>
      </w:r>
      <w:r w:rsidR="00FC0073" w:rsidRPr="00FC0073">
        <w:rPr>
          <w:color w:val="auto"/>
        </w:rPr>
        <w:t xml:space="preserve"> ensure that team members receive training</w:t>
      </w:r>
      <w:r w:rsidR="006C250F">
        <w:rPr>
          <w:color w:val="auto"/>
        </w:rPr>
        <w:t xml:space="preserve"> on the </w:t>
      </w:r>
      <w:r w:rsidR="006C250F" w:rsidRPr="005550C4">
        <w:rPr>
          <w:color w:val="auto"/>
        </w:rPr>
        <w:t>requirements of ICH E6(R3)</w:t>
      </w:r>
      <w:r w:rsidR="006C250F">
        <w:rPr>
          <w:color w:val="auto"/>
        </w:rPr>
        <w:t xml:space="preserve"> </w:t>
      </w:r>
      <w:r w:rsidR="00FC0073" w:rsidRPr="00FC0073">
        <w:rPr>
          <w:color w:val="auto"/>
        </w:rPr>
        <w:t>suited to their delegated tasks.</w:t>
      </w:r>
      <w:r w:rsidR="00FC0073">
        <w:rPr>
          <w:color w:val="auto"/>
        </w:rPr>
        <w:t xml:space="preserve"> K</w:t>
      </w:r>
      <w:r w:rsidR="00C80019" w:rsidRPr="00FC0073">
        <w:rPr>
          <w:color w:val="auto"/>
        </w:rPr>
        <w:t>eep records of all relevant training completed</w:t>
      </w:r>
      <w:r w:rsidR="006C250F">
        <w:rPr>
          <w:color w:val="auto"/>
        </w:rPr>
        <w:t xml:space="preserve"> and which </w:t>
      </w:r>
      <w:r w:rsidR="00814B89">
        <w:rPr>
          <w:color w:val="auto"/>
        </w:rPr>
        <w:t xml:space="preserve">ICH guideline </w:t>
      </w:r>
      <w:r w:rsidR="006C250F">
        <w:rPr>
          <w:color w:val="auto"/>
        </w:rPr>
        <w:t xml:space="preserve">version was used. </w:t>
      </w:r>
      <w:r w:rsidR="005550C4">
        <w:rPr>
          <w:color w:val="auto"/>
        </w:rPr>
        <w:t xml:space="preserve"> </w:t>
      </w:r>
    </w:p>
    <w:p w14:paraId="688F9F40" w14:textId="23A29239" w:rsidR="005C53C9" w:rsidRDefault="005C53C9" w:rsidP="005C53C9">
      <w:pPr>
        <w:pStyle w:val="ListBullet"/>
        <w:numPr>
          <w:ilvl w:val="0"/>
          <w:numId w:val="0"/>
        </w:numPr>
        <w:rPr>
          <w:color w:val="auto"/>
        </w:rPr>
      </w:pPr>
      <w:r>
        <w:rPr>
          <w:color w:val="auto"/>
        </w:rPr>
        <w:t xml:space="preserve">If you are planning a new clinical trial during the transition period, you should adhere to the </w:t>
      </w:r>
      <w:r w:rsidRPr="005C53C9">
        <w:rPr>
          <w:color w:val="auto"/>
        </w:rPr>
        <w:t>ICH E6(R3) Guideline: Principles and Annex I with TGA annotations</w:t>
      </w:r>
      <w:r>
        <w:rPr>
          <w:color w:val="auto"/>
        </w:rPr>
        <w:t xml:space="preserve">. </w:t>
      </w:r>
    </w:p>
    <w:p w14:paraId="5262D402" w14:textId="3B935553" w:rsidR="00897BC5" w:rsidRDefault="00897BC5" w:rsidP="005C53C9">
      <w:pPr>
        <w:pStyle w:val="ListBullet"/>
        <w:numPr>
          <w:ilvl w:val="0"/>
          <w:numId w:val="0"/>
        </w:numPr>
        <w:rPr>
          <w:color w:val="auto"/>
        </w:rPr>
      </w:pPr>
      <w:r>
        <w:rPr>
          <w:color w:val="auto"/>
        </w:rPr>
        <w:t>Note that d</w:t>
      </w:r>
      <w:r w:rsidRPr="002E0F87">
        <w:rPr>
          <w:color w:val="auto"/>
        </w:rPr>
        <w:t>uring the consultation period and prior to adoption, ICH E6(R2) with TGA annotations remains the current version applicable to clinical trials of medicines and biologicals regulated under the CTN and CTA schemes.</w:t>
      </w:r>
      <w:r w:rsidRPr="002E0F87">
        <w:t xml:space="preserve"> </w:t>
      </w:r>
      <w:r w:rsidRPr="002E0F87">
        <w:rPr>
          <w:color w:val="auto"/>
        </w:rPr>
        <w:t>While we do not provide GCP training or endorse a specific training provider, sponsors and trial sites may choose to undertake training on ICH E6(R3) in anticipation of adoption.</w:t>
      </w:r>
    </w:p>
    <w:p w14:paraId="195071B4" w14:textId="4160DCC2" w:rsidR="00165F84" w:rsidRDefault="00165F84" w:rsidP="00165F84">
      <w:pPr>
        <w:pStyle w:val="Heading2"/>
      </w:pPr>
      <w:bookmarkStart w:id="10" w:name="_Proposed_TGA_annotations_2"/>
      <w:bookmarkStart w:id="11" w:name="_Toc207307579"/>
      <w:bookmarkEnd w:id="10"/>
      <w:r>
        <w:t>Proposed TGA annotations</w:t>
      </w:r>
      <w:bookmarkEnd w:id="11"/>
      <w:r w:rsidR="00DC5A04">
        <w:t xml:space="preserve"> </w:t>
      </w:r>
    </w:p>
    <w:tbl>
      <w:tblPr>
        <w:tblStyle w:val="TableTGAblue2023"/>
        <w:tblW w:w="0" w:type="auto"/>
        <w:tblLook w:val="04A0" w:firstRow="1" w:lastRow="0" w:firstColumn="1" w:lastColumn="0" w:noHBand="0" w:noVBand="1"/>
      </w:tblPr>
      <w:tblGrid>
        <w:gridCol w:w="1413"/>
        <w:gridCol w:w="2835"/>
        <w:gridCol w:w="4812"/>
      </w:tblGrid>
      <w:tr w:rsidR="00165F84" w14:paraId="23257F56" w14:textId="77777777" w:rsidTr="009055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26D84A" w14:textId="77777777" w:rsidR="00165F84" w:rsidRPr="00511DB6" w:rsidRDefault="00165F84" w:rsidP="003077F0">
            <w:r>
              <w:t xml:space="preserve">Column Number </w:t>
            </w:r>
          </w:p>
        </w:tc>
        <w:tc>
          <w:tcPr>
            <w:tcW w:w="2835" w:type="dxa"/>
          </w:tcPr>
          <w:p w14:paraId="734456D0" w14:textId="77777777" w:rsidR="00165F84" w:rsidRDefault="00165F84" w:rsidP="003077F0">
            <w:pPr>
              <w:cnfStyle w:val="100000000000" w:firstRow="1" w:lastRow="0" w:firstColumn="0" w:lastColumn="0" w:oddVBand="0" w:evenVBand="0" w:oddHBand="0" w:evenHBand="0" w:firstRowFirstColumn="0" w:firstRowLastColumn="0" w:lastRowFirstColumn="0" w:lastRowLastColumn="0"/>
            </w:pPr>
            <w:r w:rsidRPr="00511DB6">
              <w:t xml:space="preserve">Relevant </w:t>
            </w:r>
            <w:r>
              <w:t>s</w:t>
            </w:r>
            <w:r w:rsidRPr="00511DB6">
              <w:t>ection</w:t>
            </w:r>
            <w:r>
              <w:t>(</w:t>
            </w:r>
            <w:r w:rsidRPr="00511DB6">
              <w:t>s</w:t>
            </w:r>
            <w:r>
              <w:t>)</w:t>
            </w:r>
            <w:r w:rsidRPr="00511DB6">
              <w:t xml:space="preserve"> of</w:t>
            </w:r>
            <w:r>
              <w:t> </w:t>
            </w:r>
            <w:r w:rsidRPr="00511DB6">
              <w:t>ICH</w:t>
            </w:r>
            <w:r>
              <w:t> </w:t>
            </w:r>
            <w:r w:rsidRPr="00511DB6">
              <w:t>E6(R3)</w:t>
            </w:r>
          </w:p>
        </w:tc>
        <w:tc>
          <w:tcPr>
            <w:tcW w:w="4812" w:type="dxa"/>
          </w:tcPr>
          <w:p w14:paraId="1FC351CA" w14:textId="77777777" w:rsidR="00165F84" w:rsidRDefault="00165F84" w:rsidP="003077F0">
            <w:pPr>
              <w:cnfStyle w:val="100000000000" w:firstRow="1" w:lastRow="0" w:firstColumn="0" w:lastColumn="0" w:oddVBand="0" w:evenVBand="0" w:oddHBand="0" w:evenHBand="0" w:firstRowFirstColumn="0" w:firstRowLastColumn="0" w:lastRowFirstColumn="0" w:lastRowLastColumn="0"/>
            </w:pPr>
            <w:r>
              <w:t xml:space="preserve">TGA comment </w:t>
            </w:r>
          </w:p>
        </w:tc>
      </w:tr>
      <w:tr w:rsidR="00165F84" w14:paraId="0B6817C3" w14:textId="77777777" w:rsidTr="009055CA">
        <w:tc>
          <w:tcPr>
            <w:cnfStyle w:val="001000000000" w:firstRow="0" w:lastRow="0" w:firstColumn="1" w:lastColumn="0" w:oddVBand="0" w:evenVBand="0" w:oddHBand="0" w:evenHBand="0" w:firstRowFirstColumn="0" w:firstRowLastColumn="0" w:lastRowFirstColumn="0" w:lastRowLastColumn="0"/>
            <w:tcW w:w="1413" w:type="dxa"/>
          </w:tcPr>
          <w:p w14:paraId="7092CE9F" w14:textId="77777777" w:rsidR="00165F84" w:rsidRPr="003A7C0A" w:rsidRDefault="00165F84" w:rsidP="003077F0">
            <w:pPr>
              <w:pStyle w:val="ListBullet"/>
              <w:numPr>
                <w:ilvl w:val="0"/>
                <w:numId w:val="0"/>
              </w:numPr>
              <w:ind w:left="360" w:hanging="360"/>
              <w:jc w:val="center"/>
              <w:rPr>
                <w:color w:val="auto"/>
              </w:rPr>
            </w:pPr>
            <w:r>
              <w:rPr>
                <w:color w:val="auto"/>
              </w:rPr>
              <w:t>1</w:t>
            </w:r>
          </w:p>
        </w:tc>
        <w:tc>
          <w:tcPr>
            <w:tcW w:w="2835" w:type="dxa"/>
          </w:tcPr>
          <w:p w14:paraId="4B0D956F" w14:textId="6DEDAD1E" w:rsidR="00165F84" w:rsidRPr="003A7C0A" w:rsidRDefault="00165F84"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sidRPr="003A7C0A">
              <w:rPr>
                <w:color w:val="auto"/>
              </w:rPr>
              <w:t>Introduction</w:t>
            </w:r>
          </w:p>
          <w:p w14:paraId="632A9DE9" w14:textId="7C483152" w:rsidR="00165F84" w:rsidRPr="003A7C0A" w:rsidRDefault="00165F84"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sidRPr="003A7C0A">
              <w:rPr>
                <w:color w:val="auto"/>
              </w:rPr>
              <w:t>Principle</w:t>
            </w:r>
            <w:r>
              <w:rPr>
                <w:color w:val="auto"/>
              </w:rPr>
              <w:t>s of</w:t>
            </w:r>
            <w:r w:rsidRPr="003A7C0A">
              <w:rPr>
                <w:color w:val="auto"/>
              </w:rPr>
              <w:t xml:space="preserve"> ICH GCP</w:t>
            </w:r>
          </w:p>
        </w:tc>
        <w:tc>
          <w:tcPr>
            <w:tcW w:w="4812" w:type="dxa"/>
          </w:tcPr>
          <w:p w14:paraId="74F8E4A2" w14:textId="77777777" w:rsidR="00165F84" w:rsidRDefault="00165F84" w:rsidP="003077F0">
            <w:pPr>
              <w:cnfStyle w:val="000000000000" w:firstRow="0" w:lastRow="0" w:firstColumn="0" w:lastColumn="0" w:oddVBand="0" w:evenVBand="0" w:oddHBand="0" w:evenHBand="0" w:firstRowFirstColumn="0" w:firstRowLastColumn="0" w:lastRowFirstColumn="0" w:lastRowLastColumn="0"/>
            </w:pPr>
            <w:r w:rsidRPr="003A7C0A">
              <w:t xml:space="preserve">The TGA has adopted </w:t>
            </w:r>
            <w:hyperlink r:id="rId29" w:history="1">
              <w:r w:rsidRPr="003A7C0A">
                <w:rPr>
                  <w:rStyle w:val="Hyperlink"/>
                </w:rPr>
                <w:t>ICH guideline E8 (R1) on general considerations for clinical studies</w:t>
              </w:r>
            </w:hyperlink>
            <w:r w:rsidRPr="003A7C0A">
              <w:t xml:space="preserve"> referred within the Guideline for Good Clinical Practice.</w:t>
            </w:r>
          </w:p>
        </w:tc>
      </w:tr>
      <w:tr w:rsidR="00165F84" w14:paraId="6B9C5318" w14:textId="77777777" w:rsidTr="009055CA">
        <w:tc>
          <w:tcPr>
            <w:cnfStyle w:val="001000000000" w:firstRow="0" w:lastRow="0" w:firstColumn="1" w:lastColumn="0" w:oddVBand="0" w:evenVBand="0" w:oddHBand="0" w:evenHBand="0" w:firstRowFirstColumn="0" w:firstRowLastColumn="0" w:lastRowFirstColumn="0" w:lastRowLastColumn="0"/>
            <w:tcW w:w="1413" w:type="dxa"/>
          </w:tcPr>
          <w:p w14:paraId="33643F86" w14:textId="77777777" w:rsidR="00165F84" w:rsidRPr="003A7C0A" w:rsidRDefault="00165F84" w:rsidP="003077F0">
            <w:pPr>
              <w:pStyle w:val="ListBullet"/>
              <w:numPr>
                <w:ilvl w:val="0"/>
                <w:numId w:val="0"/>
              </w:numPr>
              <w:ind w:left="360" w:hanging="360"/>
              <w:jc w:val="center"/>
              <w:rPr>
                <w:color w:val="auto"/>
              </w:rPr>
            </w:pPr>
            <w:r>
              <w:rPr>
                <w:color w:val="auto"/>
              </w:rPr>
              <w:t>2</w:t>
            </w:r>
          </w:p>
        </w:tc>
        <w:tc>
          <w:tcPr>
            <w:tcW w:w="2835" w:type="dxa"/>
          </w:tcPr>
          <w:p w14:paraId="27E5CD8D" w14:textId="13545520" w:rsidR="00165F84" w:rsidRPr="003A7C0A" w:rsidRDefault="00165F84"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Principle </w:t>
            </w:r>
            <w:r w:rsidRPr="003A7C0A">
              <w:rPr>
                <w:color w:val="auto"/>
              </w:rPr>
              <w:t xml:space="preserve">2 – Informed </w:t>
            </w:r>
            <w:r w:rsidR="00710411">
              <w:rPr>
                <w:color w:val="auto"/>
              </w:rPr>
              <w:t>C</w:t>
            </w:r>
            <w:r w:rsidRPr="003A7C0A">
              <w:rPr>
                <w:color w:val="auto"/>
              </w:rPr>
              <w:t xml:space="preserve">onsent </w:t>
            </w:r>
          </w:p>
        </w:tc>
        <w:tc>
          <w:tcPr>
            <w:tcW w:w="4812" w:type="dxa"/>
          </w:tcPr>
          <w:p w14:paraId="12E096BA" w14:textId="77777777" w:rsidR="00165F84" w:rsidRDefault="00165F84" w:rsidP="003077F0">
            <w:pPr>
              <w:cnfStyle w:val="000000000000" w:firstRow="0" w:lastRow="0" w:firstColumn="0" w:lastColumn="0" w:oddVBand="0" w:evenVBand="0" w:oddHBand="0" w:evenHBand="0" w:firstRowFirstColumn="0" w:firstRowLastColumn="0" w:lastRowFirstColumn="0" w:lastRowLastColumn="0"/>
            </w:pPr>
            <w:r w:rsidRPr="003A7C0A">
              <w:t xml:space="preserve">Further information about requirements for obtaining </w:t>
            </w:r>
            <w:r>
              <w:t xml:space="preserve">valid </w:t>
            </w:r>
            <w:r w:rsidRPr="003A7C0A">
              <w:t>consent in special cases can be found in the National Statement.</w:t>
            </w:r>
          </w:p>
          <w:p w14:paraId="360B53D8" w14:textId="535BDD3B" w:rsidR="00AD2BE1" w:rsidRPr="003A7C0A" w:rsidRDefault="00AD2BE1" w:rsidP="00AD2BE1">
            <w:pPr>
              <w:cnfStyle w:val="000000000000" w:firstRow="0" w:lastRow="0" w:firstColumn="0" w:lastColumn="0" w:oddVBand="0" w:evenVBand="0" w:oddHBand="0" w:evenHBand="0" w:firstRowFirstColumn="0" w:firstRowLastColumn="0" w:lastRowFirstColumn="0" w:lastRowLastColumn="0"/>
            </w:pPr>
            <w:r>
              <w:t>The National Statement explicitly prohibits the use of deferred, delayed, or retrospective consent. These models are not considered ethically acceptable in Australia and must not be used in the design or conduct of human research. Refer to the National Statement for guidance on designing research that considers participants' capacity to receive information, consent to the research, and participate in it.</w:t>
            </w:r>
          </w:p>
        </w:tc>
      </w:tr>
      <w:tr w:rsidR="00165F84" w14:paraId="5BFE0527" w14:textId="77777777" w:rsidTr="009055CA">
        <w:tc>
          <w:tcPr>
            <w:cnfStyle w:val="001000000000" w:firstRow="0" w:lastRow="0" w:firstColumn="1" w:lastColumn="0" w:oddVBand="0" w:evenVBand="0" w:oddHBand="0" w:evenHBand="0" w:firstRowFirstColumn="0" w:firstRowLastColumn="0" w:lastRowFirstColumn="0" w:lastRowLastColumn="0"/>
            <w:tcW w:w="1413" w:type="dxa"/>
          </w:tcPr>
          <w:p w14:paraId="672CA073" w14:textId="77777777" w:rsidR="00165F84" w:rsidRPr="003A7C0A" w:rsidRDefault="00165F84" w:rsidP="003077F0">
            <w:pPr>
              <w:pStyle w:val="ListBullet"/>
              <w:numPr>
                <w:ilvl w:val="0"/>
                <w:numId w:val="0"/>
              </w:numPr>
              <w:ind w:left="360" w:hanging="360"/>
              <w:jc w:val="center"/>
              <w:rPr>
                <w:color w:val="auto"/>
              </w:rPr>
            </w:pPr>
            <w:r>
              <w:rPr>
                <w:color w:val="auto"/>
              </w:rPr>
              <w:t>3</w:t>
            </w:r>
          </w:p>
        </w:tc>
        <w:tc>
          <w:tcPr>
            <w:tcW w:w="2835" w:type="dxa"/>
          </w:tcPr>
          <w:p w14:paraId="361448CD" w14:textId="1F02FF9D" w:rsidR="00165F84" w:rsidRPr="003A7C0A" w:rsidRDefault="00165F84"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sidRPr="003A7C0A">
              <w:rPr>
                <w:color w:val="auto"/>
              </w:rPr>
              <w:t>Principle 3</w:t>
            </w:r>
            <w:r>
              <w:rPr>
                <w:color w:val="auto"/>
              </w:rPr>
              <w:t xml:space="preserve"> -</w:t>
            </w:r>
            <w:r w:rsidRPr="003A7C0A">
              <w:rPr>
                <w:color w:val="auto"/>
              </w:rPr>
              <w:t xml:space="preserve"> IRB/IEC Review</w:t>
            </w:r>
          </w:p>
          <w:p w14:paraId="43399EF7" w14:textId="52173BA1" w:rsidR="00165F84" w:rsidRPr="003A7C0A" w:rsidRDefault="00165F84"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sidRPr="003A7C0A">
              <w:rPr>
                <w:color w:val="auto"/>
              </w:rPr>
              <w:t>Annex I</w:t>
            </w:r>
            <w:r w:rsidR="004A7CF0">
              <w:rPr>
                <w:color w:val="auto"/>
              </w:rPr>
              <w:t>:</w:t>
            </w:r>
            <w:r w:rsidRPr="003A7C0A">
              <w:rPr>
                <w:color w:val="auto"/>
              </w:rPr>
              <w:t xml:space="preserve"> Section </w:t>
            </w:r>
            <w:r w:rsidR="00B45A73">
              <w:rPr>
                <w:color w:val="auto"/>
              </w:rPr>
              <w:t>1</w:t>
            </w:r>
            <w:r w:rsidRPr="003A7C0A">
              <w:rPr>
                <w:color w:val="auto"/>
              </w:rPr>
              <w:t xml:space="preserve"> IRB/IEC</w:t>
            </w:r>
          </w:p>
          <w:p w14:paraId="14942FF1" w14:textId="77777777" w:rsidR="00165F84" w:rsidRDefault="00165F84" w:rsidP="003077F0">
            <w:pPr>
              <w:pStyle w:val="ListBullet"/>
              <w:cnfStyle w:val="000000000000" w:firstRow="0" w:lastRow="0" w:firstColumn="0" w:lastColumn="0" w:oddVBand="0" w:evenVBand="0" w:oddHBand="0" w:evenHBand="0" w:firstRowFirstColumn="0" w:firstRowLastColumn="0" w:lastRowFirstColumn="0" w:lastRowLastColumn="0"/>
            </w:pPr>
            <w:r w:rsidRPr="003A7C0A">
              <w:rPr>
                <w:color w:val="auto"/>
              </w:rPr>
              <w:t>Glossary: IRB/IEC</w:t>
            </w:r>
          </w:p>
        </w:tc>
        <w:tc>
          <w:tcPr>
            <w:tcW w:w="4812" w:type="dxa"/>
          </w:tcPr>
          <w:p w14:paraId="13FFEB99" w14:textId="77777777" w:rsidR="00165F84" w:rsidRPr="003A7C0A" w:rsidRDefault="00165F84" w:rsidP="003077F0">
            <w:pPr>
              <w:cnfStyle w:val="000000000000" w:firstRow="0" w:lastRow="0" w:firstColumn="0" w:lastColumn="0" w:oddVBand="0" w:evenVBand="0" w:oddHBand="0" w:evenHBand="0" w:firstRowFirstColumn="0" w:firstRowLastColumn="0" w:lastRowFirstColumn="0" w:lastRowLastColumn="0"/>
            </w:pPr>
            <w:r w:rsidRPr="009D27F7">
              <w:rPr>
                <w:rFonts w:cs="Arial"/>
                <w:szCs w:val="18"/>
              </w:rPr>
              <w:t xml:space="preserve">The </w:t>
            </w:r>
            <w:r w:rsidRPr="009D27F7">
              <w:rPr>
                <w:rFonts w:cs="Arial"/>
                <w:i/>
                <w:iCs/>
                <w:szCs w:val="18"/>
              </w:rPr>
              <w:t>Therapeutic Goods Act 1989</w:t>
            </w:r>
            <w:r w:rsidRPr="009D27F7">
              <w:rPr>
                <w:rFonts w:cs="Arial"/>
                <w:szCs w:val="18"/>
              </w:rPr>
              <w:t xml:space="preserve"> defines an ethics committee as a committee constituted and operating in accordance with guidelines issued by the NHMRC as in force from time to time; and which has notified its existence to the Australian Health Ethics Committee established under the </w:t>
            </w:r>
            <w:r w:rsidRPr="009D27F7">
              <w:rPr>
                <w:rFonts w:cs="Arial"/>
                <w:i/>
                <w:iCs/>
                <w:szCs w:val="18"/>
              </w:rPr>
              <w:t>National Health and Medical Research Council Act 1992</w:t>
            </w:r>
            <w:r w:rsidRPr="009D27F7">
              <w:rPr>
                <w:rFonts w:cs="Arial"/>
                <w:szCs w:val="18"/>
              </w:rPr>
              <w:t>. The ethics committee</w:t>
            </w:r>
            <w:r>
              <w:rPr>
                <w:rFonts w:cs="Arial"/>
                <w:szCs w:val="18"/>
              </w:rPr>
              <w:t>, known in Australia as a Human Research Ethics Committee (HREC),</w:t>
            </w:r>
            <w:r w:rsidRPr="009D27F7">
              <w:rPr>
                <w:rFonts w:cs="Arial"/>
                <w:szCs w:val="18"/>
              </w:rPr>
              <w:t xml:space="preserve"> must notify their existence to the </w:t>
            </w:r>
            <w:hyperlink r:id="rId30" w:history="1">
              <w:r w:rsidRPr="009D27F7">
                <w:rPr>
                  <w:rStyle w:val="Hyperlink"/>
                  <w:rFonts w:cs="Arial"/>
                  <w:szCs w:val="18"/>
                </w:rPr>
                <w:t>NHMRC</w:t>
              </w:r>
            </w:hyperlink>
            <w:r w:rsidRPr="009D27F7">
              <w:rPr>
                <w:rFonts w:cs="Arial"/>
                <w:szCs w:val="18"/>
              </w:rPr>
              <w:t xml:space="preserve"> directly. The responsibilities, composition, function, operations, procedural and record keeping requirements for Human Research Ethics Committees in Australia are set out in the National Statement. To the extent that </w:t>
            </w:r>
            <w:r w:rsidRPr="003A7C0A">
              <w:rPr>
                <w:rFonts w:cs="Arial"/>
                <w:color w:val="auto"/>
                <w:szCs w:val="18"/>
              </w:rPr>
              <w:t>there is a perceived inconsistency between the National Statement and the ICH Guideline for Good Clinical Practice, the TGA recommends that the National Statement take precedence.</w:t>
            </w:r>
          </w:p>
        </w:tc>
      </w:tr>
      <w:tr w:rsidR="00165F84" w14:paraId="34FB4437" w14:textId="77777777" w:rsidTr="009055CA">
        <w:tc>
          <w:tcPr>
            <w:cnfStyle w:val="001000000000" w:firstRow="0" w:lastRow="0" w:firstColumn="1" w:lastColumn="0" w:oddVBand="0" w:evenVBand="0" w:oddHBand="0" w:evenHBand="0" w:firstRowFirstColumn="0" w:firstRowLastColumn="0" w:lastRowFirstColumn="0" w:lastRowLastColumn="0"/>
            <w:tcW w:w="1413" w:type="dxa"/>
          </w:tcPr>
          <w:p w14:paraId="3B188854" w14:textId="77777777" w:rsidR="00165F84" w:rsidRPr="003A7C0A" w:rsidRDefault="00165F84" w:rsidP="003077F0">
            <w:pPr>
              <w:pStyle w:val="ListBullet"/>
              <w:numPr>
                <w:ilvl w:val="0"/>
                <w:numId w:val="0"/>
              </w:numPr>
              <w:ind w:left="360" w:hanging="360"/>
              <w:jc w:val="center"/>
              <w:rPr>
                <w:color w:val="auto"/>
              </w:rPr>
            </w:pPr>
            <w:r>
              <w:rPr>
                <w:color w:val="auto"/>
              </w:rPr>
              <w:t>4</w:t>
            </w:r>
          </w:p>
        </w:tc>
        <w:tc>
          <w:tcPr>
            <w:tcW w:w="2835" w:type="dxa"/>
          </w:tcPr>
          <w:p w14:paraId="3732CC38" w14:textId="2943AE87" w:rsidR="00165F84" w:rsidRPr="003A7C0A" w:rsidRDefault="00421CC2"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Principle </w:t>
            </w:r>
            <w:r w:rsidR="00165F84" w:rsidRPr="003A7C0A">
              <w:rPr>
                <w:color w:val="auto"/>
              </w:rPr>
              <w:t>11 - Investigational Products</w:t>
            </w:r>
          </w:p>
          <w:p w14:paraId="32D141AF" w14:textId="355668FF" w:rsidR="00165F84" w:rsidRPr="003A7C0A" w:rsidRDefault="00165F84"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sidRPr="003A7C0A">
              <w:rPr>
                <w:color w:val="auto"/>
              </w:rPr>
              <w:t>Annex I</w:t>
            </w:r>
            <w:r w:rsidR="004A7CF0">
              <w:rPr>
                <w:color w:val="auto"/>
              </w:rPr>
              <w:t>:</w:t>
            </w:r>
            <w:r w:rsidRPr="003A7C0A">
              <w:rPr>
                <w:color w:val="auto"/>
              </w:rPr>
              <w:t xml:space="preserve"> Section 3.15.2 Manufacturing, Packaging, Labelling and Coding Investigational Product(s)</w:t>
            </w:r>
          </w:p>
          <w:p w14:paraId="20D1990A" w14:textId="77777777" w:rsidR="00165F84" w:rsidRPr="003A7C0A" w:rsidRDefault="00165F84" w:rsidP="003077F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auto"/>
              </w:rPr>
            </w:pPr>
          </w:p>
        </w:tc>
        <w:tc>
          <w:tcPr>
            <w:tcW w:w="4812" w:type="dxa"/>
          </w:tcPr>
          <w:p w14:paraId="23E8CC88" w14:textId="67BBBD41" w:rsidR="00165F84" w:rsidRPr="009D27F7" w:rsidRDefault="00165F84" w:rsidP="003077F0">
            <w:pPr>
              <w:cnfStyle w:val="000000000000" w:firstRow="0" w:lastRow="0" w:firstColumn="0" w:lastColumn="0" w:oddVBand="0" w:evenVBand="0" w:oddHBand="0" w:evenHBand="0" w:firstRowFirstColumn="0" w:firstRowLastColumn="0" w:lastRowFirstColumn="0" w:lastRowLastColumn="0"/>
              <w:rPr>
                <w:rFonts w:cs="Arial"/>
                <w:szCs w:val="18"/>
              </w:rPr>
            </w:pPr>
            <w:r w:rsidRPr="003A7C0A">
              <w:rPr>
                <w:rFonts w:cs="Arial"/>
                <w:szCs w:val="18"/>
              </w:rPr>
              <w:t xml:space="preserve">The 'applicable GMP' in Australia refers to the </w:t>
            </w:r>
            <w:hyperlink r:id="rId31" w:anchor="annexes" w:history="1">
              <w:r w:rsidRPr="003A7C0A">
                <w:rPr>
                  <w:rStyle w:val="Hyperlink"/>
                  <w:rFonts w:cs="Arial"/>
                  <w:szCs w:val="18"/>
                </w:rPr>
                <w:t>PIC/S Guide to Good Manufacturing Practice for Medicinal Products</w:t>
              </w:r>
            </w:hyperlink>
            <w:r w:rsidRPr="003A7C0A">
              <w:rPr>
                <w:rFonts w:cs="Arial"/>
                <w:szCs w:val="18"/>
              </w:rPr>
              <w:t xml:space="preserve"> (in particular Annex 13) and the </w:t>
            </w:r>
            <w:hyperlink r:id="rId32" w:history="1">
              <w:r w:rsidRPr="003A7C0A">
                <w:rPr>
                  <w:rStyle w:val="Hyperlink"/>
                  <w:rFonts w:cs="Arial"/>
                  <w:szCs w:val="18"/>
                </w:rPr>
                <w:t>Australian Code of Good Manufacturing Practice for human blood and blood components, human tissues and human cellular therapy products</w:t>
              </w:r>
            </w:hyperlink>
            <w:r w:rsidRPr="003A7C0A">
              <w:rPr>
                <w:rFonts w:cs="Arial"/>
                <w:szCs w:val="18"/>
              </w:rPr>
              <w:t>.</w:t>
            </w:r>
          </w:p>
        </w:tc>
      </w:tr>
      <w:tr w:rsidR="00165F84" w14:paraId="7866162A" w14:textId="77777777" w:rsidTr="009055CA">
        <w:tc>
          <w:tcPr>
            <w:cnfStyle w:val="001000000000" w:firstRow="0" w:lastRow="0" w:firstColumn="1" w:lastColumn="0" w:oddVBand="0" w:evenVBand="0" w:oddHBand="0" w:evenHBand="0" w:firstRowFirstColumn="0" w:firstRowLastColumn="0" w:lastRowFirstColumn="0" w:lastRowLastColumn="0"/>
            <w:tcW w:w="1413" w:type="dxa"/>
          </w:tcPr>
          <w:p w14:paraId="2674BE69" w14:textId="77777777" w:rsidR="00165F84" w:rsidRPr="00C8472C" w:rsidRDefault="00165F84" w:rsidP="003077F0">
            <w:pPr>
              <w:pStyle w:val="ListBullet"/>
              <w:numPr>
                <w:ilvl w:val="0"/>
                <w:numId w:val="0"/>
              </w:numPr>
              <w:ind w:left="360" w:hanging="360"/>
              <w:jc w:val="center"/>
              <w:rPr>
                <w:color w:val="auto"/>
              </w:rPr>
            </w:pPr>
            <w:r>
              <w:rPr>
                <w:color w:val="auto"/>
              </w:rPr>
              <w:t>5</w:t>
            </w:r>
          </w:p>
        </w:tc>
        <w:tc>
          <w:tcPr>
            <w:tcW w:w="2835" w:type="dxa"/>
          </w:tcPr>
          <w:p w14:paraId="67B9801C" w14:textId="690C4B0A" w:rsidR="00165F84" w:rsidRPr="00C8472C" w:rsidRDefault="00165F84"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sidRPr="00C8472C">
              <w:rPr>
                <w:color w:val="auto"/>
              </w:rPr>
              <w:t xml:space="preserve">Annex I: </w:t>
            </w:r>
            <w:r w:rsidR="001A3F60">
              <w:rPr>
                <w:color w:val="auto"/>
              </w:rPr>
              <w:t xml:space="preserve">Section 3 </w:t>
            </w:r>
            <w:r w:rsidRPr="00C8472C">
              <w:rPr>
                <w:color w:val="auto"/>
              </w:rPr>
              <w:t>Sponsor</w:t>
            </w:r>
          </w:p>
          <w:p w14:paraId="52749454" w14:textId="1EEB17A2" w:rsidR="00165F84" w:rsidRPr="00C8472C" w:rsidRDefault="00165F84"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sidRPr="00C8472C">
              <w:rPr>
                <w:color w:val="auto"/>
              </w:rPr>
              <w:t>Glossary: Contract Research Organisation See Service Provider</w:t>
            </w:r>
          </w:p>
          <w:p w14:paraId="5D6B3268" w14:textId="77777777" w:rsidR="00165F84" w:rsidRPr="003A7C0A" w:rsidRDefault="00165F84" w:rsidP="003077F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auto"/>
              </w:rPr>
            </w:pPr>
          </w:p>
        </w:tc>
        <w:tc>
          <w:tcPr>
            <w:tcW w:w="4812" w:type="dxa"/>
          </w:tcPr>
          <w:p w14:paraId="74799C17" w14:textId="77777777" w:rsidR="00165F84" w:rsidRPr="003A7C0A" w:rsidRDefault="00165F84" w:rsidP="003077F0">
            <w:pPr>
              <w:cnfStyle w:val="000000000000" w:firstRow="0" w:lastRow="0" w:firstColumn="0" w:lastColumn="0" w:oddVBand="0" w:evenVBand="0" w:oddHBand="0" w:evenHBand="0" w:firstRowFirstColumn="0" w:firstRowLastColumn="0" w:lastRowFirstColumn="0" w:lastRowLastColumn="0"/>
              <w:rPr>
                <w:rFonts w:cs="Arial"/>
                <w:szCs w:val="18"/>
              </w:rPr>
            </w:pPr>
            <w:r w:rsidRPr="00C8472C">
              <w:rPr>
                <w:rFonts w:cs="Arial"/>
                <w:szCs w:val="18"/>
              </w:rPr>
              <w:t>All clinical trials conducted in Australia must have a trial sponsor that is an Australian entity (an overseas company cannot be the sponsor of a trial in Australia). The Australian trial sponsor retains overall responsibility for the conduct of the trial in Australia.</w:t>
            </w:r>
          </w:p>
        </w:tc>
      </w:tr>
      <w:tr w:rsidR="00165F84" w14:paraId="342A8D64" w14:textId="77777777" w:rsidTr="009055CA">
        <w:tc>
          <w:tcPr>
            <w:cnfStyle w:val="001000000000" w:firstRow="0" w:lastRow="0" w:firstColumn="1" w:lastColumn="0" w:oddVBand="0" w:evenVBand="0" w:oddHBand="0" w:evenHBand="0" w:firstRowFirstColumn="0" w:firstRowLastColumn="0" w:lastRowFirstColumn="0" w:lastRowLastColumn="0"/>
            <w:tcW w:w="1413" w:type="dxa"/>
          </w:tcPr>
          <w:p w14:paraId="7F6D342D" w14:textId="77777777" w:rsidR="00165F84" w:rsidRPr="00C8472C" w:rsidRDefault="00165F84" w:rsidP="003077F0">
            <w:pPr>
              <w:pStyle w:val="ListBullet"/>
              <w:numPr>
                <w:ilvl w:val="0"/>
                <w:numId w:val="0"/>
              </w:numPr>
              <w:ind w:left="360" w:hanging="360"/>
              <w:jc w:val="center"/>
              <w:rPr>
                <w:color w:val="auto"/>
              </w:rPr>
            </w:pPr>
            <w:r>
              <w:rPr>
                <w:color w:val="auto"/>
              </w:rPr>
              <w:t>6</w:t>
            </w:r>
          </w:p>
        </w:tc>
        <w:tc>
          <w:tcPr>
            <w:tcW w:w="2835" w:type="dxa"/>
          </w:tcPr>
          <w:p w14:paraId="1B77AA58" w14:textId="77777777" w:rsidR="00165F84" w:rsidRPr="00C8472C" w:rsidRDefault="00165F84"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sidRPr="00C8472C">
              <w:rPr>
                <w:color w:val="auto"/>
              </w:rPr>
              <w:t>Glossary: ADR</w:t>
            </w:r>
          </w:p>
          <w:p w14:paraId="58CEBF85" w14:textId="1A6FB369" w:rsidR="00165F84" w:rsidRPr="00C8472C" w:rsidRDefault="00165F84"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sidRPr="00C8472C">
              <w:rPr>
                <w:color w:val="auto"/>
              </w:rPr>
              <w:t xml:space="preserve">Annex I: </w:t>
            </w:r>
            <w:r w:rsidR="005352B9">
              <w:rPr>
                <w:color w:val="auto"/>
              </w:rPr>
              <w:t xml:space="preserve">Section 3 </w:t>
            </w:r>
            <w:r w:rsidRPr="00C8472C">
              <w:rPr>
                <w:color w:val="auto"/>
              </w:rPr>
              <w:t>Sponsor</w:t>
            </w:r>
          </w:p>
        </w:tc>
        <w:tc>
          <w:tcPr>
            <w:tcW w:w="4812" w:type="dxa"/>
          </w:tcPr>
          <w:p w14:paraId="0E962B15" w14:textId="43DB276B" w:rsidR="00165F84" w:rsidRPr="00C8472C" w:rsidRDefault="00165F84" w:rsidP="003077F0">
            <w:pPr>
              <w:keepNext/>
              <w:keepLines/>
              <w:cnfStyle w:val="000000000000" w:firstRow="0" w:lastRow="0" w:firstColumn="0" w:lastColumn="0" w:oddVBand="0" w:evenVBand="0" w:oddHBand="0" w:evenHBand="0" w:firstRowFirstColumn="0" w:firstRowLastColumn="0" w:lastRowFirstColumn="0" w:lastRowLastColumn="0"/>
              <w:rPr>
                <w:rFonts w:cs="Arial"/>
                <w:szCs w:val="18"/>
              </w:rPr>
            </w:pPr>
            <w:r w:rsidRPr="00C8472C">
              <w:rPr>
                <w:rFonts w:cs="Arial"/>
                <w:szCs w:val="18"/>
              </w:rPr>
              <w:t xml:space="preserve">The TGA has adopted </w:t>
            </w:r>
            <w:hyperlink r:id="rId33" w:history="1">
              <w:r w:rsidRPr="0018322E">
                <w:rPr>
                  <w:rStyle w:val="Hyperlink"/>
                  <w:rFonts w:cs="Arial"/>
                  <w:szCs w:val="18"/>
                </w:rPr>
                <w:t>ICH Guideline for Clinical Safety Data Management: Definitions and Standards for Expedited Reporting</w:t>
              </w:r>
            </w:hyperlink>
            <w:r w:rsidRPr="00C8472C">
              <w:rPr>
                <w:rFonts w:cs="Arial"/>
                <w:szCs w:val="18"/>
              </w:rPr>
              <w:t xml:space="preserve"> in principle, particularly its reporting timeframes. Trial sponsors should refer to the </w:t>
            </w:r>
            <w:r w:rsidRPr="00C8472C">
              <w:rPr>
                <w:rFonts w:cs="Arial"/>
                <w:color w:val="auto"/>
                <w:szCs w:val="18"/>
              </w:rPr>
              <w:t>current g</w:t>
            </w:r>
            <w:r w:rsidRPr="00C8472C">
              <w:rPr>
                <w:rFonts w:cs="Arial"/>
                <w:szCs w:val="18"/>
              </w:rPr>
              <w:t xml:space="preserve">uidance published by the NHMRC: </w:t>
            </w:r>
            <w:hyperlink r:id="rId34" w:tooltip="link to the NHMRC website" w:history="1">
              <w:r w:rsidRPr="00C8472C">
                <w:rPr>
                  <w:rStyle w:val="Hyperlink"/>
                  <w:rFonts w:cs="Arial"/>
                  <w:szCs w:val="18"/>
                </w:rPr>
                <w:t xml:space="preserve">Safety monitoring and reporting in clinical trials involving therapeutic goods. </w:t>
              </w:r>
            </w:hyperlink>
          </w:p>
          <w:p w14:paraId="31FF8F55" w14:textId="77777777" w:rsidR="00165F84" w:rsidRPr="00C8472C" w:rsidRDefault="00165F84" w:rsidP="003077F0">
            <w:pPr>
              <w:cnfStyle w:val="000000000000" w:firstRow="0" w:lastRow="0" w:firstColumn="0" w:lastColumn="0" w:oddVBand="0" w:evenVBand="0" w:oddHBand="0" w:evenHBand="0" w:firstRowFirstColumn="0" w:firstRowLastColumn="0" w:lastRowFirstColumn="0" w:lastRowLastColumn="0"/>
              <w:rPr>
                <w:rFonts w:cs="Arial"/>
                <w:szCs w:val="18"/>
              </w:rPr>
            </w:pPr>
          </w:p>
        </w:tc>
      </w:tr>
      <w:tr w:rsidR="00165F84" w14:paraId="6C40FEFF" w14:textId="77777777" w:rsidTr="009055CA">
        <w:tc>
          <w:tcPr>
            <w:cnfStyle w:val="001000000000" w:firstRow="0" w:lastRow="0" w:firstColumn="1" w:lastColumn="0" w:oddVBand="0" w:evenVBand="0" w:oddHBand="0" w:evenHBand="0" w:firstRowFirstColumn="0" w:firstRowLastColumn="0" w:lastRowFirstColumn="0" w:lastRowLastColumn="0"/>
            <w:tcW w:w="1413" w:type="dxa"/>
          </w:tcPr>
          <w:p w14:paraId="5F7F032D" w14:textId="77777777" w:rsidR="00165F84" w:rsidRDefault="00165F84" w:rsidP="003077F0">
            <w:pPr>
              <w:pStyle w:val="ListBullet"/>
              <w:numPr>
                <w:ilvl w:val="0"/>
                <w:numId w:val="0"/>
              </w:numPr>
              <w:ind w:left="360" w:hanging="360"/>
              <w:jc w:val="center"/>
              <w:rPr>
                <w:color w:val="auto"/>
              </w:rPr>
            </w:pPr>
            <w:r>
              <w:rPr>
                <w:color w:val="auto"/>
              </w:rPr>
              <w:t>7</w:t>
            </w:r>
          </w:p>
        </w:tc>
        <w:tc>
          <w:tcPr>
            <w:tcW w:w="2835" w:type="dxa"/>
          </w:tcPr>
          <w:p w14:paraId="26A9CAFD" w14:textId="105CF336" w:rsidR="00165F84" w:rsidRPr="00C8472C" w:rsidRDefault="00165F84"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Pr>
                <w:color w:val="auto"/>
              </w:rPr>
              <w:t>Annex I:</w:t>
            </w:r>
            <w:r w:rsidR="005352B9">
              <w:rPr>
                <w:color w:val="auto"/>
              </w:rPr>
              <w:t xml:space="preserve"> Section</w:t>
            </w:r>
            <w:r>
              <w:rPr>
                <w:color w:val="auto"/>
              </w:rPr>
              <w:t xml:space="preserve"> </w:t>
            </w:r>
            <w:r w:rsidRPr="00C8472C">
              <w:rPr>
                <w:color w:val="auto"/>
              </w:rPr>
              <w:t>3.16.3 Record Keeping and Retention</w:t>
            </w:r>
          </w:p>
        </w:tc>
        <w:tc>
          <w:tcPr>
            <w:tcW w:w="4812" w:type="dxa"/>
          </w:tcPr>
          <w:p w14:paraId="5ADD0621" w14:textId="77777777" w:rsidR="00165F84" w:rsidRPr="00C8472C" w:rsidRDefault="00165F84" w:rsidP="003077F0">
            <w:pPr>
              <w:cnfStyle w:val="000000000000" w:firstRow="0" w:lastRow="0" w:firstColumn="0" w:lastColumn="0" w:oddVBand="0" w:evenVBand="0" w:oddHBand="0" w:evenHBand="0" w:firstRowFirstColumn="0" w:firstRowLastColumn="0" w:lastRowFirstColumn="0" w:lastRowLastColumn="0"/>
              <w:rPr>
                <w:rFonts w:cs="Arial"/>
                <w:szCs w:val="18"/>
              </w:rPr>
            </w:pPr>
            <w:r w:rsidRPr="00C8472C">
              <w:rPr>
                <w:rFonts w:cs="Arial"/>
                <w:szCs w:val="18"/>
              </w:rPr>
              <w:t>The TGA requires records to be retained by the trial sponsor for at least 15 years following the completion of a clinical trial. However, in Australia, the overriding consideration for trial sponsors with respect to record retention is the issue of product liability and the potential need for sponsors of products to produce records at any time during, and possibly beyond, the life of a product in the event of a claim against the sponsor as a result of an adverse outcome associated with the use of the product.</w:t>
            </w:r>
          </w:p>
        </w:tc>
      </w:tr>
      <w:tr w:rsidR="00165F84" w14:paraId="75EF4717" w14:textId="77777777" w:rsidTr="009055CA">
        <w:tc>
          <w:tcPr>
            <w:cnfStyle w:val="001000000000" w:firstRow="0" w:lastRow="0" w:firstColumn="1" w:lastColumn="0" w:oddVBand="0" w:evenVBand="0" w:oddHBand="0" w:evenHBand="0" w:firstRowFirstColumn="0" w:firstRowLastColumn="0" w:lastRowFirstColumn="0" w:lastRowLastColumn="0"/>
            <w:tcW w:w="1413" w:type="dxa"/>
          </w:tcPr>
          <w:p w14:paraId="148362C4" w14:textId="77777777" w:rsidR="00165F84" w:rsidRDefault="00165F84" w:rsidP="003077F0">
            <w:pPr>
              <w:pStyle w:val="ListBullet"/>
              <w:numPr>
                <w:ilvl w:val="0"/>
                <w:numId w:val="0"/>
              </w:numPr>
              <w:ind w:left="360" w:hanging="360"/>
              <w:jc w:val="center"/>
              <w:rPr>
                <w:color w:val="auto"/>
              </w:rPr>
            </w:pPr>
            <w:r>
              <w:rPr>
                <w:color w:val="auto"/>
              </w:rPr>
              <w:t>8</w:t>
            </w:r>
          </w:p>
        </w:tc>
        <w:tc>
          <w:tcPr>
            <w:tcW w:w="2835" w:type="dxa"/>
          </w:tcPr>
          <w:p w14:paraId="0F70C2DC" w14:textId="4F06C3CC" w:rsidR="00165F84" w:rsidRPr="00C8472C" w:rsidRDefault="00165F84" w:rsidP="003077F0">
            <w:pPr>
              <w:pStyle w:val="ListBullet"/>
              <w:cnfStyle w:val="000000000000" w:firstRow="0" w:lastRow="0" w:firstColumn="0" w:lastColumn="0" w:oddVBand="0" w:evenVBand="0" w:oddHBand="0" w:evenHBand="0" w:firstRowFirstColumn="0" w:firstRowLastColumn="0" w:lastRowFirstColumn="0" w:lastRowLastColumn="0"/>
              <w:rPr>
                <w:color w:val="auto"/>
              </w:rPr>
            </w:pPr>
            <w:r>
              <w:rPr>
                <w:color w:val="auto"/>
              </w:rPr>
              <w:t>Annex I</w:t>
            </w:r>
            <w:r w:rsidR="004A7CF0">
              <w:rPr>
                <w:color w:val="auto"/>
              </w:rPr>
              <w:t>:</w:t>
            </w:r>
            <w:r w:rsidR="005352B9">
              <w:rPr>
                <w:color w:val="auto"/>
              </w:rPr>
              <w:t xml:space="preserve"> Section</w:t>
            </w:r>
            <w:r>
              <w:rPr>
                <w:color w:val="auto"/>
              </w:rPr>
              <w:t xml:space="preserve">: </w:t>
            </w:r>
            <w:r w:rsidRPr="00C8472C">
              <w:rPr>
                <w:color w:val="auto"/>
              </w:rPr>
              <w:t>3.17 Reports</w:t>
            </w:r>
          </w:p>
        </w:tc>
        <w:tc>
          <w:tcPr>
            <w:tcW w:w="4812" w:type="dxa"/>
          </w:tcPr>
          <w:p w14:paraId="73F03A99" w14:textId="09EAC9A5" w:rsidR="00165F84" w:rsidRPr="00C8472C" w:rsidRDefault="00165F84" w:rsidP="003077F0">
            <w:pPr>
              <w:cnfStyle w:val="000000000000" w:firstRow="0" w:lastRow="0" w:firstColumn="0" w:lastColumn="0" w:oddVBand="0" w:evenVBand="0" w:oddHBand="0" w:evenHBand="0" w:firstRowFirstColumn="0" w:firstRowLastColumn="0" w:lastRowFirstColumn="0" w:lastRowLastColumn="0"/>
              <w:rPr>
                <w:rFonts w:cs="Arial"/>
                <w:szCs w:val="18"/>
              </w:rPr>
            </w:pPr>
            <w:r w:rsidRPr="00C8472C">
              <w:rPr>
                <w:rFonts w:cs="Arial"/>
                <w:szCs w:val="18"/>
              </w:rPr>
              <w:t xml:space="preserve">The National Statement </w:t>
            </w:r>
            <w:r>
              <w:rPr>
                <w:rFonts w:cs="Arial"/>
                <w:szCs w:val="18"/>
              </w:rPr>
              <w:t>requires</w:t>
            </w:r>
            <w:r w:rsidRPr="00C8472C">
              <w:rPr>
                <w:rFonts w:cs="Arial"/>
                <w:szCs w:val="18"/>
              </w:rPr>
              <w:t xml:space="preserve"> researchers to ensure that their trials are registered in a publicly accessible database before recruitment of the first participant.</w:t>
            </w:r>
          </w:p>
          <w:p w14:paraId="62050720" w14:textId="77777777" w:rsidR="00165F84" w:rsidRPr="00C8472C" w:rsidRDefault="00165F84" w:rsidP="003077F0">
            <w:pPr>
              <w:cnfStyle w:val="000000000000" w:firstRow="0" w:lastRow="0" w:firstColumn="0" w:lastColumn="0" w:oddVBand="0" w:evenVBand="0" w:oddHBand="0" w:evenHBand="0" w:firstRowFirstColumn="0" w:firstRowLastColumn="0" w:lastRowFirstColumn="0" w:lastRowLastColumn="0"/>
              <w:rPr>
                <w:rFonts w:cs="Arial"/>
                <w:szCs w:val="18"/>
              </w:rPr>
            </w:pPr>
            <w:r w:rsidRPr="00C8472C">
              <w:rPr>
                <w:rFonts w:cs="Arial"/>
                <w:szCs w:val="18"/>
              </w:rPr>
              <w:t>Further information about requirements for dissemination of project outputs and outcomes can be found in the National Statement.</w:t>
            </w:r>
          </w:p>
        </w:tc>
      </w:tr>
    </w:tbl>
    <w:p w14:paraId="6771E8DC" w14:textId="38DAB58B" w:rsidR="00A1145A" w:rsidRDefault="004B6882" w:rsidP="00A1145A">
      <w:pPr>
        <w:pStyle w:val="Heading2"/>
      </w:pPr>
      <w:bookmarkStart w:id="12" w:name="_Toc207307580"/>
      <w:r>
        <w:t>Have your say: questions</w:t>
      </w:r>
      <w:r w:rsidR="00324A21">
        <w:t xml:space="preserve"> &amp; h</w:t>
      </w:r>
      <w:r w:rsidR="00A1145A">
        <w:t xml:space="preserve">ow to </w:t>
      </w:r>
      <w:r>
        <w:t>respond</w:t>
      </w:r>
      <w:bookmarkEnd w:id="12"/>
    </w:p>
    <w:p w14:paraId="17FF1DE2" w14:textId="77777777" w:rsidR="00A1145A" w:rsidRPr="009401F6" w:rsidRDefault="00A1145A" w:rsidP="00A1145A">
      <w:r>
        <w:rPr>
          <w:noProof/>
        </w:rPr>
        <mc:AlternateContent>
          <mc:Choice Requires="wps">
            <w:drawing>
              <wp:inline distT="0" distB="0" distL="0" distR="0" wp14:anchorId="312A3866" wp14:editId="5039F12B">
                <wp:extent cx="5711483" cy="7776375"/>
                <wp:effectExtent l="0" t="0" r="22860"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483" cy="7776375"/>
                        </a:xfrm>
                        <a:prstGeom prst="rect">
                          <a:avLst/>
                        </a:prstGeom>
                        <a:solidFill>
                          <a:schemeClr val="accent1">
                            <a:lumMod val="60000"/>
                            <a:lumOff val="40000"/>
                          </a:schemeClr>
                        </a:solidFill>
                        <a:ln w="22225">
                          <a:solidFill>
                            <a:srgbClr val="000000"/>
                          </a:solidFill>
                          <a:miter lim="800000"/>
                          <a:headEnd/>
                          <a:tailEnd/>
                        </a:ln>
                      </wps:spPr>
                      <wps:txbx>
                        <w:txbxContent>
                          <w:p w14:paraId="1475DAB9" w14:textId="528201CB" w:rsidR="00123B61" w:rsidRPr="00B96DA9" w:rsidRDefault="005D394B" w:rsidP="00DD50EF">
                            <w:pPr>
                              <w:rPr>
                                <w:b/>
                                <w:bCs/>
                                <w:sz w:val="28"/>
                                <w:szCs w:val="28"/>
                              </w:rPr>
                            </w:pPr>
                            <w:r w:rsidRPr="00B96DA9">
                              <w:rPr>
                                <w:b/>
                                <w:bCs/>
                                <w:sz w:val="28"/>
                                <w:szCs w:val="28"/>
                              </w:rPr>
                              <w:t>Consultation</w:t>
                            </w:r>
                            <w:r w:rsidR="00123B61" w:rsidRPr="00B96DA9">
                              <w:rPr>
                                <w:b/>
                                <w:bCs/>
                                <w:sz w:val="28"/>
                                <w:szCs w:val="28"/>
                              </w:rPr>
                              <w:t xml:space="preserve"> </w:t>
                            </w:r>
                            <w:r w:rsidR="00E21AF0" w:rsidRPr="00B96DA9">
                              <w:rPr>
                                <w:b/>
                                <w:bCs/>
                                <w:sz w:val="28"/>
                                <w:szCs w:val="28"/>
                              </w:rPr>
                              <w:t>Q</w:t>
                            </w:r>
                            <w:r w:rsidR="00123B61" w:rsidRPr="00B96DA9">
                              <w:rPr>
                                <w:b/>
                                <w:bCs/>
                                <w:sz w:val="28"/>
                                <w:szCs w:val="28"/>
                              </w:rPr>
                              <w:t>uestions</w:t>
                            </w:r>
                          </w:p>
                          <w:p w14:paraId="77BF0680" w14:textId="77777777" w:rsidR="00E21AF0" w:rsidRPr="00B96DA9" w:rsidRDefault="00123B61" w:rsidP="00123B61">
                            <w:pPr>
                              <w:pStyle w:val="ListParagraph"/>
                              <w:numPr>
                                <w:ilvl w:val="0"/>
                                <w:numId w:val="16"/>
                              </w:numPr>
                            </w:pPr>
                            <w:r w:rsidRPr="00B96DA9">
                              <w:rPr>
                                <w:b/>
                                <w:bCs/>
                              </w:rPr>
                              <w:t>Please indicate your level of support for the proposed TGA annotations</w:t>
                            </w:r>
                            <w:r w:rsidR="005D394B" w:rsidRPr="00B96DA9">
                              <w:rPr>
                                <w:b/>
                                <w:bCs/>
                              </w:rPr>
                              <w:t>.</w:t>
                            </w:r>
                          </w:p>
                          <w:p w14:paraId="7F0A52BF" w14:textId="0F46818E" w:rsidR="00123B61" w:rsidRPr="00B96DA9" w:rsidRDefault="005D394B" w:rsidP="00B96DA9">
                            <w:pPr>
                              <w:pStyle w:val="ListParagraph"/>
                            </w:pPr>
                            <w:r w:rsidRPr="00B96DA9">
                              <w:t>Options:</w:t>
                            </w:r>
                          </w:p>
                          <w:p w14:paraId="3B547657" w14:textId="1EE4EA6C" w:rsidR="00123B61" w:rsidRPr="00B34EF8" w:rsidRDefault="00123B61" w:rsidP="00B34EF8">
                            <w:pPr>
                              <w:pStyle w:val="ListBullet"/>
                              <w:spacing w:before="0" w:after="0"/>
                              <w:rPr>
                                <w:color w:val="auto"/>
                              </w:rPr>
                            </w:pPr>
                            <w:r w:rsidRPr="00B34EF8">
                              <w:rPr>
                                <w:color w:val="auto"/>
                              </w:rPr>
                              <w:t>support</w:t>
                            </w:r>
                          </w:p>
                          <w:p w14:paraId="6080ABC4" w14:textId="77777777" w:rsidR="00123B61" w:rsidRPr="00B34EF8" w:rsidRDefault="00123B61" w:rsidP="00B34EF8">
                            <w:pPr>
                              <w:pStyle w:val="ListBullet"/>
                              <w:spacing w:before="0" w:after="0"/>
                              <w:rPr>
                                <w:color w:val="auto"/>
                              </w:rPr>
                            </w:pPr>
                            <w:r w:rsidRPr="00B34EF8">
                              <w:rPr>
                                <w:color w:val="auto"/>
                              </w:rPr>
                              <w:t>partially support</w:t>
                            </w:r>
                          </w:p>
                          <w:p w14:paraId="5FC248A3" w14:textId="77777777" w:rsidR="00123B61" w:rsidRPr="00B34EF8" w:rsidRDefault="00123B61" w:rsidP="00B34EF8">
                            <w:pPr>
                              <w:pStyle w:val="ListBullet"/>
                              <w:spacing w:before="0" w:after="0"/>
                              <w:rPr>
                                <w:color w:val="auto"/>
                              </w:rPr>
                            </w:pPr>
                            <w:r w:rsidRPr="00B34EF8">
                              <w:rPr>
                                <w:color w:val="auto"/>
                              </w:rPr>
                              <w:t>do not support</w:t>
                            </w:r>
                          </w:p>
                          <w:p w14:paraId="689E3B9B" w14:textId="77777777" w:rsidR="00123B61" w:rsidRPr="00B34EF8" w:rsidRDefault="00123B61" w:rsidP="00B34EF8">
                            <w:pPr>
                              <w:pStyle w:val="ListBullet"/>
                              <w:spacing w:before="0" w:after="0"/>
                              <w:rPr>
                                <w:color w:val="auto"/>
                              </w:rPr>
                            </w:pPr>
                            <w:r w:rsidRPr="00B34EF8">
                              <w:rPr>
                                <w:color w:val="auto"/>
                              </w:rPr>
                              <w:t>no comments</w:t>
                            </w:r>
                          </w:p>
                          <w:p w14:paraId="10892CC7" w14:textId="63470C3B" w:rsidR="00123B61" w:rsidRPr="00B96DA9" w:rsidRDefault="00123B61" w:rsidP="00123B61">
                            <w:pPr>
                              <w:pStyle w:val="ListParagraph"/>
                              <w:rPr>
                                <w:i/>
                                <w:iCs/>
                              </w:rPr>
                            </w:pPr>
                            <w:r w:rsidRPr="00B96DA9">
                              <w:rPr>
                                <w:i/>
                                <w:iCs/>
                              </w:rPr>
                              <w:t>A short text response field will be provided.</w:t>
                            </w:r>
                          </w:p>
                          <w:p w14:paraId="1ADCFDE0" w14:textId="77777777" w:rsidR="00E21AF0" w:rsidRPr="00B96DA9" w:rsidRDefault="00E21AF0" w:rsidP="00123B61">
                            <w:pPr>
                              <w:pStyle w:val="ListParagraph"/>
                            </w:pPr>
                          </w:p>
                          <w:p w14:paraId="5B142E85" w14:textId="77777777" w:rsidR="00E21AF0" w:rsidRPr="00B96DA9" w:rsidRDefault="00E21AF0" w:rsidP="00E21AF0">
                            <w:pPr>
                              <w:pStyle w:val="ListParagraph"/>
                            </w:pPr>
                            <w:r w:rsidRPr="00B96DA9">
                              <w:t>In your response, we encourage you to:</w:t>
                            </w:r>
                          </w:p>
                          <w:p w14:paraId="5E7EB49E" w14:textId="77777777" w:rsidR="00E21AF0" w:rsidRPr="00B34EF8" w:rsidRDefault="00E21AF0" w:rsidP="00B34EF8">
                            <w:pPr>
                              <w:pStyle w:val="ListBullet"/>
                              <w:spacing w:before="0" w:after="0"/>
                              <w:rPr>
                                <w:color w:val="auto"/>
                              </w:rPr>
                            </w:pPr>
                            <w:r w:rsidRPr="00B34EF8">
                              <w:rPr>
                                <w:color w:val="auto"/>
                              </w:rPr>
                              <w:t>Reference the relevant section of ICH E6(R3) or column number in the Table of proposed TGA annotations.</w:t>
                            </w:r>
                          </w:p>
                          <w:p w14:paraId="3FDE1015" w14:textId="3C7E909D" w:rsidR="00E21AF0" w:rsidRPr="00B34EF8" w:rsidRDefault="00E21AF0" w:rsidP="00B34EF8">
                            <w:pPr>
                              <w:pStyle w:val="ListBullet"/>
                              <w:spacing w:before="0" w:after="0"/>
                              <w:rPr>
                                <w:color w:val="auto"/>
                              </w:rPr>
                            </w:pPr>
                            <w:r w:rsidRPr="00B34EF8">
                              <w:rPr>
                                <w:color w:val="auto"/>
                              </w:rPr>
                              <w:t>Support your feedback with justification such as references to the legislative framework and relevant examples where possible.</w:t>
                            </w:r>
                          </w:p>
                          <w:p w14:paraId="661D9F26" w14:textId="77777777" w:rsidR="005D394B" w:rsidRPr="00B96DA9" w:rsidRDefault="005D394B" w:rsidP="00123B61">
                            <w:pPr>
                              <w:pStyle w:val="ListParagraph"/>
                            </w:pPr>
                          </w:p>
                          <w:p w14:paraId="6127D5DA" w14:textId="4F01EFCD" w:rsidR="005D394B" w:rsidRPr="00B96DA9" w:rsidRDefault="005D394B" w:rsidP="001B44B6">
                            <w:pPr>
                              <w:pStyle w:val="ListParagraph"/>
                              <w:numPr>
                                <w:ilvl w:val="0"/>
                                <w:numId w:val="16"/>
                              </w:numPr>
                              <w:rPr>
                                <w:b/>
                                <w:bCs/>
                              </w:rPr>
                            </w:pPr>
                            <w:r w:rsidRPr="00B96DA9">
                              <w:rPr>
                                <w:b/>
                                <w:bCs/>
                              </w:rPr>
                              <w:t>Do</w:t>
                            </w:r>
                            <w:r w:rsidR="006A6804" w:rsidRPr="00B96DA9">
                              <w:rPr>
                                <w:b/>
                                <w:bCs/>
                              </w:rPr>
                              <w:t xml:space="preserve"> you have any additional annotations to suggest</w:t>
                            </w:r>
                            <w:r w:rsidRPr="00B96DA9">
                              <w:rPr>
                                <w:b/>
                                <w:bCs/>
                              </w:rPr>
                              <w:t>?</w:t>
                            </w:r>
                          </w:p>
                          <w:p w14:paraId="0DDF8536" w14:textId="6F73F985" w:rsidR="005D394B" w:rsidRPr="00B34EF8" w:rsidRDefault="005D394B" w:rsidP="00B34EF8">
                            <w:pPr>
                              <w:pStyle w:val="ListBullet"/>
                              <w:spacing w:before="0" w:after="0"/>
                              <w:rPr>
                                <w:color w:val="auto"/>
                              </w:rPr>
                            </w:pPr>
                            <w:r w:rsidRPr="00B34EF8">
                              <w:rPr>
                                <w:color w:val="auto"/>
                              </w:rPr>
                              <w:t>Yes</w:t>
                            </w:r>
                          </w:p>
                          <w:p w14:paraId="7DC457F0" w14:textId="77777777" w:rsidR="005D394B" w:rsidRPr="00B34EF8" w:rsidRDefault="005D394B" w:rsidP="00B34EF8">
                            <w:pPr>
                              <w:pStyle w:val="ListBullet"/>
                              <w:spacing w:before="0" w:after="0"/>
                              <w:rPr>
                                <w:color w:val="auto"/>
                              </w:rPr>
                            </w:pPr>
                            <w:r w:rsidRPr="00B34EF8">
                              <w:rPr>
                                <w:color w:val="auto"/>
                              </w:rPr>
                              <w:t>No</w:t>
                            </w:r>
                          </w:p>
                          <w:p w14:paraId="665B4B24" w14:textId="4D4EB3EB" w:rsidR="005D394B" w:rsidRPr="00B96DA9" w:rsidRDefault="005D394B" w:rsidP="00DD50EF">
                            <w:pPr>
                              <w:ind w:left="851"/>
                            </w:pPr>
                            <w:r w:rsidRPr="00B96DA9">
                              <w:rPr>
                                <w:i/>
                                <w:iCs/>
                              </w:rPr>
                              <w:t>An optional short text response field will be provided.</w:t>
                            </w:r>
                          </w:p>
                          <w:p w14:paraId="0C4E4DAD" w14:textId="4508FA13" w:rsidR="00E21AF0" w:rsidRPr="00B96DA9" w:rsidRDefault="00E21AF0" w:rsidP="00E21AF0">
                            <w:pPr>
                              <w:ind w:left="851"/>
                            </w:pPr>
                            <w:r w:rsidRPr="00B96DA9">
                              <w:t>In your response please consider:</w:t>
                            </w:r>
                          </w:p>
                          <w:p w14:paraId="75891E03" w14:textId="77777777" w:rsidR="00E21AF0" w:rsidRPr="00B34EF8" w:rsidRDefault="00E21AF0" w:rsidP="00B34EF8">
                            <w:pPr>
                              <w:pStyle w:val="ListBullet"/>
                              <w:spacing w:before="0" w:after="0"/>
                              <w:rPr>
                                <w:color w:val="auto"/>
                              </w:rPr>
                            </w:pPr>
                            <w:r w:rsidRPr="00B34EF8">
                              <w:rPr>
                                <w:color w:val="auto"/>
                              </w:rPr>
                              <w:t xml:space="preserve">if there are parts of ICH E6(R3) Guideline for GCP: Principles &amp; Annex I that should </w:t>
                            </w:r>
                            <w:r w:rsidRPr="00B34EF8">
                              <w:rPr>
                                <w:b/>
                                <w:bCs/>
                                <w:color w:val="auto"/>
                              </w:rPr>
                              <w:t>not</w:t>
                            </w:r>
                            <w:r w:rsidRPr="00B34EF8">
                              <w:rPr>
                                <w:color w:val="auto"/>
                              </w:rPr>
                              <w:t xml:space="preserve"> adopted, or if there are particular considerations that need to be taken into account when applying the guideline in an Australian context</w:t>
                            </w:r>
                          </w:p>
                          <w:p w14:paraId="5882C32C" w14:textId="0E3E9E71" w:rsidR="00E21AF0" w:rsidRPr="00B34EF8" w:rsidRDefault="00E21AF0" w:rsidP="00B34EF8">
                            <w:pPr>
                              <w:pStyle w:val="ListBullet"/>
                              <w:spacing w:before="0" w:after="0"/>
                              <w:rPr>
                                <w:color w:val="auto"/>
                              </w:rPr>
                            </w:pPr>
                            <w:r w:rsidRPr="00B34EF8">
                              <w:rPr>
                                <w:color w:val="auto"/>
                              </w:rPr>
                              <w:t>reference the relevant section of ICH E6(R3)</w:t>
                            </w:r>
                            <w:r w:rsidR="00B34EF8">
                              <w:rPr>
                                <w:color w:val="auto"/>
                              </w:rPr>
                              <w:t>.</w:t>
                            </w:r>
                          </w:p>
                          <w:p w14:paraId="07DE0B31" w14:textId="77777777" w:rsidR="004B6882" w:rsidRPr="00E21AF0" w:rsidRDefault="004B6882" w:rsidP="00B96DA9"/>
                          <w:p w14:paraId="73E0D762" w14:textId="079EEE28" w:rsidR="00980161" w:rsidRPr="00B96DA9" w:rsidRDefault="00980161" w:rsidP="00980161">
                            <w:pPr>
                              <w:pStyle w:val="ListParagraph"/>
                              <w:numPr>
                                <w:ilvl w:val="0"/>
                                <w:numId w:val="16"/>
                              </w:numPr>
                            </w:pPr>
                            <w:r>
                              <w:rPr>
                                <w:b/>
                                <w:bCs/>
                              </w:rPr>
                              <w:t>Do you support the 12-month transition period?</w:t>
                            </w:r>
                          </w:p>
                          <w:p w14:paraId="13B3C988" w14:textId="77777777" w:rsidR="00980161" w:rsidRPr="00B96DA9" w:rsidRDefault="00980161" w:rsidP="00980161">
                            <w:pPr>
                              <w:pStyle w:val="ListParagraph"/>
                            </w:pPr>
                            <w:r w:rsidRPr="00B96DA9">
                              <w:t>Options:</w:t>
                            </w:r>
                          </w:p>
                          <w:p w14:paraId="734734DA" w14:textId="77777777" w:rsidR="00980161" w:rsidRPr="00B34EF8" w:rsidRDefault="00980161" w:rsidP="00980161">
                            <w:pPr>
                              <w:pStyle w:val="ListBullet"/>
                              <w:spacing w:before="0" w:after="0"/>
                              <w:rPr>
                                <w:color w:val="auto"/>
                              </w:rPr>
                            </w:pPr>
                            <w:r w:rsidRPr="00B34EF8">
                              <w:rPr>
                                <w:color w:val="auto"/>
                              </w:rPr>
                              <w:t>support</w:t>
                            </w:r>
                          </w:p>
                          <w:p w14:paraId="2366A21C" w14:textId="77777777" w:rsidR="00980161" w:rsidRPr="00B34EF8" w:rsidRDefault="00980161" w:rsidP="00980161">
                            <w:pPr>
                              <w:pStyle w:val="ListBullet"/>
                              <w:spacing w:before="0" w:after="0"/>
                              <w:rPr>
                                <w:color w:val="auto"/>
                              </w:rPr>
                            </w:pPr>
                            <w:r w:rsidRPr="00B34EF8">
                              <w:rPr>
                                <w:color w:val="auto"/>
                              </w:rPr>
                              <w:t>do not support</w:t>
                            </w:r>
                          </w:p>
                          <w:p w14:paraId="3997F4CC" w14:textId="77777777" w:rsidR="001504B5" w:rsidRDefault="001504B5" w:rsidP="001504B5">
                            <w:pPr>
                              <w:pStyle w:val="ListParagraph"/>
                              <w:rPr>
                                <w:i/>
                                <w:iCs/>
                              </w:rPr>
                            </w:pPr>
                          </w:p>
                          <w:p w14:paraId="12C64239" w14:textId="7FA6B5C3" w:rsidR="00A1427B" w:rsidRPr="00AB6722" w:rsidRDefault="00980161" w:rsidP="001504B5">
                            <w:pPr>
                              <w:pStyle w:val="ListParagraph"/>
                              <w:rPr>
                                <w:i/>
                                <w:iCs/>
                              </w:rPr>
                            </w:pPr>
                            <w:r w:rsidRPr="001504B5">
                              <w:rPr>
                                <w:i/>
                                <w:iCs/>
                              </w:rPr>
                              <w:t>A short text response field will be provided</w:t>
                            </w:r>
                            <w:r w:rsidR="001504B5" w:rsidRPr="001504B5">
                              <w:rPr>
                                <w:i/>
                                <w:iCs/>
                              </w:rPr>
                              <w:t xml:space="preserve"> </w:t>
                            </w:r>
                            <w:r w:rsidR="001504B5">
                              <w:rPr>
                                <w:i/>
                                <w:iCs/>
                              </w:rPr>
                              <w:t xml:space="preserve">for you </w:t>
                            </w:r>
                            <w:r w:rsidR="001504B5" w:rsidRPr="00AB6722">
                              <w:rPr>
                                <w:i/>
                                <w:iCs/>
                              </w:rPr>
                              <w:t>to share any concerns you may have about meeting the ICH E6(R3) requirements within the proposed 12-month transition period.</w:t>
                            </w:r>
                          </w:p>
                          <w:p w14:paraId="79A7B827" w14:textId="77777777" w:rsidR="001504B5" w:rsidRDefault="001504B5" w:rsidP="00AB6722">
                            <w:pPr>
                              <w:pStyle w:val="ListParagraph"/>
                              <w:rPr>
                                <w:b/>
                                <w:bCs/>
                              </w:rPr>
                            </w:pPr>
                          </w:p>
                          <w:p w14:paraId="36219CE8" w14:textId="5BD2D40D" w:rsidR="00165F84" w:rsidRPr="00B96DA9" w:rsidRDefault="009E165C" w:rsidP="009B17B3">
                            <w:pPr>
                              <w:pStyle w:val="ListParagraph"/>
                              <w:numPr>
                                <w:ilvl w:val="0"/>
                                <w:numId w:val="16"/>
                              </w:numPr>
                              <w:rPr>
                                <w:b/>
                                <w:bCs/>
                              </w:rPr>
                            </w:pPr>
                            <w:r w:rsidRPr="00B96DA9">
                              <w:rPr>
                                <w:b/>
                                <w:bCs/>
                              </w:rPr>
                              <w:t>Are there any topics where additional guidance for future development would be helpful, based on the changes introduced in ICH E6(R3)?</w:t>
                            </w:r>
                          </w:p>
                          <w:p w14:paraId="486DBC51" w14:textId="77777777" w:rsidR="009E165C" w:rsidRPr="00B96DA9" w:rsidRDefault="009E165C" w:rsidP="009E165C">
                            <w:pPr>
                              <w:pStyle w:val="ListParagraph"/>
                            </w:pPr>
                          </w:p>
                          <w:p w14:paraId="757D41C0" w14:textId="3B99B93C" w:rsidR="00BA4353" w:rsidRPr="00A1427B" w:rsidRDefault="0043462A" w:rsidP="00AB6722">
                            <w:pPr>
                              <w:pStyle w:val="ListParagraph"/>
                            </w:pPr>
                            <w:r w:rsidRPr="00B96DA9">
                              <w:rPr>
                                <w:i/>
                                <w:iCs/>
                              </w:rPr>
                              <w:t>Guidance is separate to the TGA annotations and explains the laws and regulations governing the conduct of</w:t>
                            </w:r>
                            <w:r w:rsidR="00165F84" w:rsidRPr="00B96DA9">
                              <w:rPr>
                                <w:i/>
                                <w:iCs/>
                              </w:rPr>
                              <w:t xml:space="preserve"> clinical trials of medicines and biologicals regulated under the CTN and CTA schemes</w:t>
                            </w:r>
                            <w:r w:rsidR="00616C88" w:rsidRPr="00B96DA9">
                              <w:rPr>
                                <w:i/>
                                <w:iCs/>
                              </w:rPr>
                              <w:t>.</w:t>
                            </w:r>
                          </w:p>
                          <w:p w14:paraId="568C29C4" w14:textId="4CEA61D3" w:rsidR="004B6882" w:rsidRPr="00B96DA9" w:rsidRDefault="004B6882" w:rsidP="00DD50EF">
                            <w:pPr>
                              <w:shd w:val="clear" w:color="auto" w:fill="FFFFFF" w:themeFill="background1"/>
                              <w:ind w:left="993" w:right="730" w:hanging="283"/>
                              <w:rPr>
                                <w:b/>
                                <w:bCs/>
                                <w:sz w:val="28"/>
                                <w:szCs w:val="28"/>
                              </w:rPr>
                            </w:pPr>
                            <w:r w:rsidRPr="00B96DA9">
                              <w:rPr>
                                <w:b/>
                                <w:bCs/>
                                <w:sz w:val="28"/>
                                <w:szCs w:val="28"/>
                              </w:rPr>
                              <w:t>How to respond</w:t>
                            </w:r>
                          </w:p>
                          <w:p w14:paraId="6FDFA381" w14:textId="5721D493" w:rsidR="004B6882" w:rsidRPr="00B96DA9" w:rsidRDefault="00BA4353" w:rsidP="00DD50EF">
                            <w:pPr>
                              <w:shd w:val="clear" w:color="auto" w:fill="FFFFFF" w:themeFill="background1"/>
                              <w:ind w:left="993" w:right="730" w:hanging="283"/>
                            </w:pPr>
                            <w:r w:rsidRPr="00B96DA9">
                              <w:t xml:space="preserve">Submissions should be provided through </w:t>
                            </w:r>
                            <w:r w:rsidRPr="00031069">
                              <w:t xml:space="preserve">our </w:t>
                            </w:r>
                            <w:hyperlink r:id="rId35" w:history="1">
                              <w:r w:rsidR="00031069" w:rsidRPr="00031069">
                                <w:rPr>
                                  <w:rStyle w:val="Hyperlink"/>
                                </w:rPr>
                                <w:t>C</w:t>
                              </w:r>
                              <w:r w:rsidRPr="00031069">
                                <w:rPr>
                                  <w:rStyle w:val="Hyperlink"/>
                                </w:rPr>
                                <w:t xml:space="preserve">onsultation </w:t>
                              </w:r>
                              <w:r w:rsidR="00031069" w:rsidRPr="00031069">
                                <w:rPr>
                                  <w:rStyle w:val="Hyperlink"/>
                                </w:rPr>
                                <w:t>H</w:t>
                              </w:r>
                              <w:r w:rsidRPr="00031069">
                                <w:rPr>
                                  <w:rStyle w:val="Hyperlink"/>
                                </w:rPr>
                                <w:t>ub</w:t>
                              </w:r>
                            </w:hyperlink>
                            <w:r w:rsidRPr="00031069">
                              <w:t>.</w:t>
                            </w:r>
                            <w:r w:rsidR="00E21AF0">
                              <w:t xml:space="preserve"> </w:t>
                            </w:r>
                          </w:p>
                          <w:p w14:paraId="68D05873" w14:textId="514287D8" w:rsidR="00BA4353" w:rsidRPr="00B96DA9" w:rsidRDefault="00BA4353" w:rsidP="00DD50EF">
                            <w:pPr>
                              <w:shd w:val="clear" w:color="auto" w:fill="FFFFFF" w:themeFill="background1"/>
                              <w:ind w:left="993" w:right="730" w:hanging="283"/>
                            </w:pPr>
                            <w:r w:rsidRPr="00B96DA9">
                              <w:t>This consultation closes on</w:t>
                            </w:r>
                            <w:r w:rsidR="00EC76F0" w:rsidRPr="00B96DA9">
                              <w:t xml:space="preserve"> close of business</w:t>
                            </w:r>
                            <w:r w:rsidRPr="00B96DA9">
                              <w:t xml:space="preserve"> </w:t>
                            </w:r>
                            <w:r w:rsidR="00847B8C" w:rsidRPr="00847B8C">
                              <w:rPr>
                                <w:b/>
                                <w:bCs/>
                              </w:rPr>
                              <w:t>10</w:t>
                            </w:r>
                            <w:r w:rsidRPr="00847B8C">
                              <w:rPr>
                                <w:b/>
                                <w:bCs/>
                              </w:rPr>
                              <w:t xml:space="preserve"> </w:t>
                            </w:r>
                            <w:r w:rsidR="00847B8C" w:rsidRPr="00847B8C">
                              <w:rPr>
                                <w:b/>
                                <w:bCs/>
                              </w:rPr>
                              <w:t>October</w:t>
                            </w:r>
                            <w:r w:rsidRPr="00847B8C">
                              <w:rPr>
                                <w:b/>
                                <w:bCs/>
                              </w:rPr>
                              <w:t xml:space="preserve"> 2025</w:t>
                            </w:r>
                            <w:r w:rsidRPr="00B96DA9">
                              <w:t>.</w:t>
                            </w:r>
                          </w:p>
                        </w:txbxContent>
                      </wps:txbx>
                      <wps:bodyPr rot="0" vert="horz" wrap="square" lIns="91440" tIns="45720" rIns="91440" bIns="45720" anchor="t" anchorCtr="0">
                        <a:noAutofit/>
                      </wps:bodyPr>
                    </wps:wsp>
                  </a:graphicData>
                </a:graphic>
              </wp:inline>
            </w:drawing>
          </mc:Choice>
          <mc:Fallback>
            <w:pict>
              <v:shapetype w14:anchorId="312A3866" id="_x0000_t202" coordsize="21600,21600" o:spt="202" path="m,l,21600r21600,l21600,xe">
                <v:stroke joinstyle="miter"/>
                <v:path gradientshapeok="t" o:connecttype="rect"/>
              </v:shapetype>
              <v:shape id="Text Box 2" o:spid="_x0000_s1026" type="#_x0000_t202" style="width:449.7pt;height:6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" fillcolor="#8eaadb [1940]" strokeweight="1.75pt">
                <v:textbox>
                  <w:txbxContent>
                    <w:p w14:paraId="1475DAB9" w14:textId="528201CB" w:rsidR="00123B61" w:rsidRPr="00B96DA9" w:rsidRDefault="005D394B" w:rsidP="00DD50EF">
                      <w:pPr>
                        <w:rPr>
                          <w:b/>
                          <w:bCs/>
                          <w:sz w:val="28"/>
                          <w:szCs w:val="28"/>
                        </w:rPr>
                      </w:pPr>
                      <w:r w:rsidRPr="00B96DA9">
                        <w:rPr>
                          <w:b/>
                          <w:bCs/>
                          <w:sz w:val="28"/>
                          <w:szCs w:val="28"/>
                        </w:rPr>
                        <w:t>Consultation</w:t>
                      </w:r>
                      <w:r w:rsidR="00123B61" w:rsidRPr="00B96DA9">
                        <w:rPr>
                          <w:b/>
                          <w:bCs/>
                          <w:sz w:val="28"/>
                          <w:szCs w:val="28"/>
                        </w:rPr>
                        <w:t xml:space="preserve"> </w:t>
                      </w:r>
                      <w:r w:rsidR="00E21AF0" w:rsidRPr="00B96DA9">
                        <w:rPr>
                          <w:b/>
                          <w:bCs/>
                          <w:sz w:val="28"/>
                          <w:szCs w:val="28"/>
                        </w:rPr>
                        <w:t>Q</w:t>
                      </w:r>
                      <w:r w:rsidR="00123B61" w:rsidRPr="00B96DA9">
                        <w:rPr>
                          <w:b/>
                          <w:bCs/>
                          <w:sz w:val="28"/>
                          <w:szCs w:val="28"/>
                        </w:rPr>
                        <w:t>uestions</w:t>
                      </w:r>
                    </w:p>
                    <w:p w14:paraId="77BF0680" w14:textId="77777777" w:rsidR="00E21AF0" w:rsidRPr="00B96DA9" w:rsidRDefault="00123B61" w:rsidP="00123B61">
                      <w:pPr>
                        <w:pStyle w:val="ListParagraph"/>
                        <w:numPr>
                          <w:ilvl w:val="0"/>
                          <w:numId w:val="16"/>
                        </w:numPr>
                      </w:pPr>
                      <w:r w:rsidRPr="00B96DA9">
                        <w:rPr>
                          <w:b/>
                          <w:bCs/>
                        </w:rPr>
                        <w:t>Please indicate your level of support for the proposed TGA annotations</w:t>
                      </w:r>
                      <w:r w:rsidR="005D394B" w:rsidRPr="00B96DA9">
                        <w:rPr>
                          <w:b/>
                          <w:bCs/>
                        </w:rPr>
                        <w:t>.</w:t>
                      </w:r>
                    </w:p>
                    <w:p w14:paraId="7F0A52BF" w14:textId="0F46818E" w:rsidR="00123B61" w:rsidRPr="00B96DA9" w:rsidRDefault="005D394B" w:rsidP="00B96DA9">
                      <w:pPr>
                        <w:pStyle w:val="ListParagraph"/>
                      </w:pPr>
                      <w:r w:rsidRPr="00B96DA9">
                        <w:t>Options:</w:t>
                      </w:r>
                    </w:p>
                    <w:p w14:paraId="3B547657" w14:textId="1EE4EA6C" w:rsidR="00123B61" w:rsidRPr="00B34EF8" w:rsidRDefault="00123B61" w:rsidP="00B34EF8">
                      <w:pPr>
                        <w:pStyle w:val="ListBullet"/>
                        <w:spacing w:before="0" w:after="0"/>
                        <w:rPr>
                          <w:color w:val="auto"/>
                        </w:rPr>
                      </w:pPr>
                      <w:r w:rsidRPr="00B34EF8">
                        <w:rPr>
                          <w:color w:val="auto"/>
                        </w:rPr>
                        <w:t>support</w:t>
                      </w:r>
                    </w:p>
                    <w:p w14:paraId="6080ABC4" w14:textId="77777777" w:rsidR="00123B61" w:rsidRPr="00B34EF8" w:rsidRDefault="00123B61" w:rsidP="00B34EF8">
                      <w:pPr>
                        <w:pStyle w:val="ListBullet"/>
                        <w:spacing w:before="0" w:after="0"/>
                        <w:rPr>
                          <w:color w:val="auto"/>
                        </w:rPr>
                      </w:pPr>
                      <w:r w:rsidRPr="00B34EF8">
                        <w:rPr>
                          <w:color w:val="auto"/>
                        </w:rPr>
                        <w:t>partially support</w:t>
                      </w:r>
                    </w:p>
                    <w:p w14:paraId="5FC248A3" w14:textId="77777777" w:rsidR="00123B61" w:rsidRPr="00B34EF8" w:rsidRDefault="00123B61" w:rsidP="00B34EF8">
                      <w:pPr>
                        <w:pStyle w:val="ListBullet"/>
                        <w:spacing w:before="0" w:after="0"/>
                        <w:rPr>
                          <w:color w:val="auto"/>
                        </w:rPr>
                      </w:pPr>
                      <w:r w:rsidRPr="00B34EF8">
                        <w:rPr>
                          <w:color w:val="auto"/>
                        </w:rPr>
                        <w:t>do not support</w:t>
                      </w:r>
                    </w:p>
                    <w:p w14:paraId="689E3B9B" w14:textId="77777777" w:rsidR="00123B61" w:rsidRPr="00B34EF8" w:rsidRDefault="00123B61" w:rsidP="00B34EF8">
                      <w:pPr>
                        <w:pStyle w:val="ListBullet"/>
                        <w:spacing w:before="0" w:after="0"/>
                        <w:rPr>
                          <w:color w:val="auto"/>
                        </w:rPr>
                      </w:pPr>
                      <w:r w:rsidRPr="00B34EF8">
                        <w:rPr>
                          <w:color w:val="auto"/>
                        </w:rPr>
                        <w:t>no comments</w:t>
                      </w:r>
                    </w:p>
                    <w:p w14:paraId="10892CC7" w14:textId="63470C3B" w:rsidR="00123B61" w:rsidRPr="00B96DA9" w:rsidRDefault="00123B61" w:rsidP="00123B61">
                      <w:pPr>
                        <w:pStyle w:val="ListParagraph"/>
                        <w:rPr>
                          <w:i/>
                          <w:iCs/>
                        </w:rPr>
                      </w:pPr>
                      <w:r w:rsidRPr="00B96DA9">
                        <w:rPr>
                          <w:i/>
                          <w:iCs/>
                        </w:rPr>
                        <w:t>A short text response field will be provided.</w:t>
                      </w:r>
                    </w:p>
                    <w:p w14:paraId="1ADCFDE0" w14:textId="77777777" w:rsidR="00E21AF0" w:rsidRPr="00B96DA9" w:rsidRDefault="00E21AF0" w:rsidP="00123B61">
                      <w:pPr>
                        <w:pStyle w:val="ListParagraph"/>
                      </w:pPr>
                    </w:p>
                    <w:p w14:paraId="5B142E85" w14:textId="77777777" w:rsidR="00E21AF0" w:rsidRPr="00B96DA9" w:rsidRDefault="00E21AF0" w:rsidP="00E21AF0">
                      <w:pPr>
                        <w:pStyle w:val="ListParagraph"/>
                      </w:pPr>
                      <w:r w:rsidRPr="00B96DA9">
                        <w:t>In your response, we encourage you to:</w:t>
                      </w:r>
                    </w:p>
                    <w:p w14:paraId="5E7EB49E" w14:textId="77777777" w:rsidR="00E21AF0" w:rsidRPr="00B34EF8" w:rsidRDefault="00E21AF0" w:rsidP="00B34EF8">
                      <w:pPr>
                        <w:pStyle w:val="ListBullet"/>
                        <w:spacing w:before="0" w:after="0"/>
                        <w:rPr>
                          <w:color w:val="auto"/>
                        </w:rPr>
                      </w:pPr>
                      <w:r w:rsidRPr="00B34EF8">
                        <w:rPr>
                          <w:color w:val="auto"/>
                        </w:rPr>
                        <w:t>Reference the relevant section of ICH E6(R3) or column number in the Table of proposed TGA annotations.</w:t>
                      </w:r>
                    </w:p>
                    <w:p w14:paraId="3FDE1015" w14:textId="3C7E909D" w:rsidR="00E21AF0" w:rsidRPr="00B34EF8" w:rsidRDefault="00E21AF0" w:rsidP="00B34EF8">
                      <w:pPr>
                        <w:pStyle w:val="ListBullet"/>
                        <w:spacing w:before="0" w:after="0"/>
                        <w:rPr>
                          <w:color w:val="auto"/>
                        </w:rPr>
                      </w:pPr>
                      <w:r w:rsidRPr="00B34EF8">
                        <w:rPr>
                          <w:color w:val="auto"/>
                        </w:rPr>
                        <w:t>Support your feedback with justification such as references to the legislative framework and relevant examples where possible.</w:t>
                      </w:r>
                    </w:p>
                    <w:p w14:paraId="661D9F26" w14:textId="77777777" w:rsidR="005D394B" w:rsidRPr="00B96DA9" w:rsidRDefault="005D394B" w:rsidP="00123B61">
                      <w:pPr>
                        <w:pStyle w:val="ListParagraph"/>
                      </w:pPr>
                    </w:p>
                    <w:p w14:paraId="6127D5DA" w14:textId="4F01EFCD" w:rsidR="005D394B" w:rsidRPr="00B96DA9" w:rsidRDefault="005D394B" w:rsidP="001B44B6">
                      <w:pPr>
                        <w:pStyle w:val="ListParagraph"/>
                        <w:numPr>
                          <w:ilvl w:val="0"/>
                          <w:numId w:val="16"/>
                        </w:numPr>
                        <w:rPr>
                          <w:b/>
                          <w:bCs/>
                        </w:rPr>
                      </w:pPr>
                      <w:r w:rsidRPr="00B96DA9">
                        <w:rPr>
                          <w:b/>
                          <w:bCs/>
                        </w:rPr>
                        <w:t>Do</w:t>
                      </w:r>
                      <w:r w:rsidR="006A6804" w:rsidRPr="00B96DA9">
                        <w:rPr>
                          <w:b/>
                          <w:bCs/>
                        </w:rPr>
                        <w:t xml:space="preserve"> you have any additional annotations to suggest</w:t>
                      </w:r>
                      <w:r w:rsidRPr="00B96DA9">
                        <w:rPr>
                          <w:b/>
                          <w:bCs/>
                        </w:rPr>
                        <w:t>?</w:t>
                      </w:r>
                    </w:p>
                    <w:p w14:paraId="0DDF8536" w14:textId="6F73F985" w:rsidR="005D394B" w:rsidRPr="00B34EF8" w:rsidRDefault="005D394B" w:rsidP="00B34EF8">
                      <w:pPr>
                        <w:pStyle w:val="ListBullet"/>
                        <w:spacing w:before="0" w:after="0"/>
                        <w:rPr>
                          <w:color w:val="auto"/>
                        </w:rPr>
                      </w:pPr>
                      <w:r w:rsidRPr="00B34EF8">
                        <w:rPr>
                          <w:color w:val="auto"/>
                        </w:rPr>
                        <w:t>Yes</w:t>
                      </w:r>
                    </w:p>
                    <w:p w14:paraId="7DC457F0" w14:textId="77777777" w:rsidR="005D394B" w:rsidRPr="00B34EF8" w:rsidRDefault="005D394B" w:rsidP="00B34EF8">
                      <w:pPr>
                        <w:pStyle w:val="ListBullet"/>
                        <w:spacing w:before="0" w:after="0"/>
                        <w:rPr>
                          <w:color w:val="auto"/>
                        </w:rPr>
                      </w:pPr>
                      <w:r w:rsidRPr="00B34EF8">
                        <w:rPr>
                          <w:color w:val="auto"/>
                        </w:rPr>
                        <w:t>No</w:t>
                      </w:r>
                    </w:p>
                    <w:p w14:paraId="665B4B24" w14:textId="4D4EB3EB" w:rsidR="005D394B" w:rsidRPr="00B96DA9" w:rsidRDefault="005D394B" w:rsidP="00DD50EF">
                      <w:pPr>
                        <w:ind w:left="851"/>
                      </w:pPr>
                      <w:r w:rsidRPr="00B96DA9">
                        <w:rPr>
                          <w:i/>
                          <w:iCs/>
                        </w:rPr>
                        <w:t>An optional short text response field will be provided.</w:t>
                      </w:r>
                    </w:p>
                    <w:p w14:paraId="0C4E4DAD" w14:textId="4508FA13" w:rsidR="00E21AF0" w:rsidRPr="00B96DA9" w:rsidRDefault="00E21AF0" w:rsidP="00E21AF0">
                      <w:pPr>
                        <w:ind w:left="851"/>
                      </w:pPr>
                      <w:r w:rsidRPr="00B96DA9">
                        <w:t>In your response please consider:</w:t>
                      </w:r>
                    </w:p>
                    <w:p w14:paraId="75891E03" w14:textId="77777777" w:rsidR="00E21AF0" w:rsidRPr="00B34EF8" w:rsidRDefault="00E21AF0" w:rsidP="00B34EF8">
                      <w:pPr>
                        <w:pStyle w:val="ListBullet"/>
                        <w:spacing w:before="0" w:after="0"/>
                        <w:rPr>
                          <w:color w:val="auto"/>
                        </w:rPr>
                      </w:pPr>
                      <w:r w:rsidRPr="00B34EF8">
                        <w:rPr>
                          <w:color w:val="auto"/>
                        </w:rPr>
                        <w:t xml:space="preserve">if there are parts of ICH E6(R3) Guideline for GCP: Principles &amp; Annex I that should </w:t>
                      </w:r>
                      <w:r w:rsidRPr="00B34EF8">
                        <w:rPr>
                          <w:b/>
                          <w:bCs/>
                          <w:color w:val="auto"/>
                        </w:rPr>
                        <w:t>not</w:t>
                      </w:r>
                      <w:r w:rsidRPr="00B34EF8">
                        <w:rPr>
                          <w:color w:val="auto"/>
                        </w:rPr>
                        <w:t xml:space="preserve"> adopted, or if there are particular considerations that need to be taken into account when applying the guideline in an Australian context</w:t>
                      </w:r>
                    </w:p>
                    <w:p w14:paraId="5882C32C" w14:textId="0E3E9E71" w:rsidR="00E21AF0" w:rsidRPr="00B34EF8" w:rsidRDefault="00E21AF0" w:rsidP="00B34EF8">
                      <w:pPr>
                        <w:pStyle w:val="ListBullet"/>
                        <w:spacing w:before="0" w:after="0"/>
                        <w:rPr>
                          <w:color w:val="auto"/>
                        </w:rPr>
                      </w:pPr>
                      <w:r w:rsidRPr="00B34EF8">
                        <w:rPr>
                          <w:color w:val="auto"/>
                        </w:rPr>
                        <w:t>reference the relevant section of ICH E6(R3)</w:t>
                      </w:r>
                      <w:r w:rsidR="00B34EF8">
                        <w:rPr>
                          <w:color w:val="auto"/>
                        </w:rPr>
                        <w:t>.</w:t>
                      </w:r>
                    </w:p>
                    <w:p w14:paraId="07DE0B31" w14:textId="77777777" w:rsidR="004B6882" w:rsidRPr="00E21AF0" w:rsidRDefault="004B6882" w:rsidP="00B96DA9"/>
                    <w:p w14:paraId="73E0D762" w14:textId="079EEE28" w:rsidR="00980161" w:rsidRPr="00B96DA9" w:rsidRDefault="00980161" w:rsidP="00980161">
                      <w:pPr>
                        <w:pStyle w:val="ListParagraph"/>
                        <w:numPr>
                          <w:ilvl w:val="0"/>
                          <w:numId w:val="16"/>
                        </w:numPr>
                      </w:pPr>
                      <w:r>
                        <w:rPr>
                          <w:b/>
                          <w:bCs/>
                        </w:rPr>
                        <w:t>Do you support the 12-month transition period?</w:t>
                      </w:r>
                    </w:p>
                    <w:p w14:paraId="13B3C988" w14:textId="77777777" w:rsidR="00980161" w:rsidRPr="00B96DA9" w:rsidRDefault="00980161" w:rsidP="00980161">
                      <w:pPr>
                        <w:pStyle w:val="ListParagraph"/>
                      </w:pPr>
                      <w:r w:rsidRPr="00B96DA9">
                        <w:t>Options:</w:t>
                      </w:r>
                    </w:p>
                    <w:p w14:paraId="734734DA" w14:textId="77777777" w:rsidR="00980161" w:rsidRPr="00B34EF8" w:rsidRDefault="00980161" w:rsidP="00980161">
                      <w:pPr>
                        <w:pStyle w:val="ListBullet"/>
                        <w:spacing w:before="0" w:after="0"/>
                        <w:rPr>
                          <w:color w:val="auto"/>
                        </w:rPr>
                      </w:pPr>
                      <w:r w:rsidRPr="00B34EF8">
                        <w:rPr>
                          <w:color w:val="auto"/>
                        </w:rPr>
                        <w:t>support</w:t>
                      </w:r>
                    </w:p>
                    <w:p w14:paraId="2366A21C" w14:textId="77777777" w:rsidR="00980161" w:rsidRPr="00B34EF8" w:rsidRDefault="00980161" w:rsidP="00980161">
                      <w:pPr>
                        <w:pStyle w:val="ListBullet"/>
                        <w:spacing w:before="0" w:after="0"/>
                        <w:rPr>
                          <w:color w:val="auto"/>
                        </w:rPr>
                      </w:pPr>
                      <w:r w:rsidRPr="00B34EF8">
                        <w:rPr>
                          <w:color w:val="auto"/>
                        </w:rPr>
                        <w:t>do not support</w:t>
                      </w:r>
                    </w:p>
                    <w:p w14:paraId="3997F4CC" w14:textId="77777777" w:rsidR="001504B5" w:rsidRDefault="001504B5" w:rsidP="001504B5">
                      <w:pPr>
                        <w:pStyle w:val="ListParagraph"/>
                        <w:rPr>
                          <w:i/>
                          <w:iCs/>
                        </w:rPr>
                      </w:pPr>
                    </w:p>
                    <w:p w14:paraId="12C64239" w14:textId="7FA6B5C3" w:rsidR="00A1427B" w:rsidRPr="00AB6722" w:rsidRDefault="00980161" w:rsidP="001504B5">
                      <w:pPr>
                        <w:pStyle w:val="ListParagraph"/>
                        <w:rPr>
                          <w:i/>
                          <w:iCs/>
                        </w:rPr>
                      </w:pPr>
                      <w:r w:rsidRPr="001504B5">
                        <w:rPr>
                          <w:i/>
                          <w:iCs/>
                        </w:rPr>
                        <w:t>A short text response field will be provided</w:t>
                      </w:r>
                      <w:r w:rsidR="001504B5" w:rsidRPr="001504B5">
                        <w:rPr>
                          <w:i/>
                          <w:iCs/>
                        </w:rPr>
                        <w:t xml:space="preserve"> </w:t>
                      </w:r>
                      <w:r w:rsidR="001504B5">
                        <w:rPr>
                          <w:i/>
                          <w:iCs/>
                        </w:rPr>
                        <w:t xml:space="preserve">for you </w:t>
                      </w:r>
                      <w:r w:rsidR="001504B5" w:rsidRPr="00AB6722">
                        <w:rPr>
                          <w:i/>
                          <w:iCs/>
                        </w:rPr>
                        <w:t>to share any concerns you may have about meeting the ICH E6(R3) requirements within the proposed 12-month transition period.</w:t>
                      </w:r>
                    </w:p>
                    <w:p w14:paraId="79A7B827" w14:textId="77777777" w:rsidR="001504B5" w:rsidRDefault="001504B5" w:rsidP="00AB6722">
                      <w:pPr>
                        <w:pStyle w:val="ListParagraph"/>
                        <w:rPr>
                          <w:b/>
                          <w:bCs/>
                        </w:rPr>
                      </w:pPr>
                    </w:p>
                    <w:p w14:paraId="36219CE8" w14:textId="5BD2D40D" w:rsidR="00165F84" w:rsidRPr="00B96DA9" w:rsidRDefault="009E165C" w:rsidP="009B17B3">
                      <w:pPr>
                        <w:pStyle w:val="ListParagraph"/>
                        <w:numPr>
                          <w:ilvl w:val="0"/>
                          <w:numId w:val="16"/>
                        </w:numPr>
                        <w:rPr>
                          <w:b/>
                          <w:bCs/>
                        </w:rPr>
                      </w:pPr>
                      <w:r w:rsidRPr="00B96DA9">
                        <w:rPr>
                          <w:b/>
                          <w:bCs/>
                        </w:rPr>
                        <w:t>Are there any topics where additional guidance for future development would be helpful, based on the changes introduced in ICH E6(R3)?</w:t>
                      </w:r>
                    </w:p>
                    <w:p w14:paraId="486DBC51" w14:textId="77777777" w:rsidR="009E165C" w:rsidRPr="00B96DA9" w:rsidRDefault="009E165C" w:rsidP="009E165C">
                      <w:pPr>
                        <w:pStyle w:val="ListParagraph"/>
                      </w:pPr>
                    </w:p>
                    <w:p w14:paraId="757D41C0" w14:textId="3B99B93C" w:rsidR="00BA4353" w:rsidRPr="00A1427B" w:rsidRDefault="0043462A" w:rsidP="00AB6722">
                      <w:pPr>
                        <w:pStyle w:val="ListParagraph"/>
                      </w:pPr>
                      <w:r w:rsidRPr="00B96DA9">
                        <w:rPr>
                          <w:i/>
                          <w:iCs/>
                        </w:rPr>
                        <w:t>Guidance is separate to the TGA annotations and explains the laws and regulations governing the conduct of</w:t>
                      </w:r>
                      <w:r w:rsidR="00165F84" w:rsidRPr="00B96DA9">
                        <w:rPr>
                          <w:i/>
                          <w:iCs/>
                        </w:rPr>
                        <w:t xml:space="preserve"> clinical trials of medicines and biologicals regulated under the CTN and CTA schemes</w:t>
                      </w:r>
                      <w:r w:rsidR="00616C88" w:rsidRPr="00B96DA9">
                        <w:rPr>
                          <w:i/>
                          <w:iCs/>
                        </w:rPr>
                        <w:t>.</w:t>
                      </w:r>
                    </w:p>
                    <w:p w14:paraId="568C29C4" w14:textId="4CEA61D3" w:rsidR="004B6882" w:rsidRPr="00B96DA9" w:rsidRDefault="004B6882" w:rsidP="00DD50EF">
                      <w:pPr>
                        <w:shd w:val="clear" w:color="auto" w:fill="FFFFFF" w:themeFill="background1"/>
                        <w:ind w:left="993" w:right="730" w:hanging="283"/>
                        <w:rPr>
                          <w:b/>
                          <w:bCs/>
                          <w:sz w:val="28"/>
                          <w:szCs w:val="28"/>
                        </w:rPr>
                      </w:pPr>
                      <w:r w:rsidRPr="00B96DA9">
                        <w:rPr>
                          <w:b/>
                          <w:bCs/>
                          <w:sz w:val="28"/>
                          <w:szCs w:val="28"/>
                        </w:rPr>
                        <w:t>How to respond</w:t>
                      </w:r>
                    </w:p>
                    <w:p w14:paraId="6FDFA381" w14:textId="5721D493" w:rsidR="004B6882" w:rsidRPr="00B96DA9" w:rsidRDefault="00BA4353" w:rsidP="00DD50EF">
                      <w:pPr>
                        <w:shd w:val="clear" w:color="auto" w:fill="FFFFFF" w:themeFill="background1"/>
                        <w:ind w:left="993" w:right="730" w:hanging="283"/>
                      </w:pPr>
                      <w:r w:rsidRPr="00B96DA9">
                        <w:t xml:space="preserve">Submissions should be provided through </w:t>
                      </w:r>
                      <w:r w:rsidRPr="00031069">
                        <w:t xml:space="preserve">our </w:t>
                      </w:r>
                      <w:hyperlink r:id="rId36" w:history="1">
                        <w:r w:rsidR="00031069" w:rsidRPr="00031069">
                          <w:rPr>
                            <w:rStyle w:val="Hyperlink"/>
                          </w:rPr>
                          <w:t>C</w:t>
                        </w:r>
                        <w:r w:rsidRPr="00031069">
                          <w:rPr>
                            <w:rStyle w:val="Hyperlink"/>
                          </w:rPr>
                          <w:t xml:space="preserve">onsultation </w:t>
                        </w:r>
                        <w:r w:rsidR="00031069" w:rsidRPr="00031069">
                          <w:rPr>
                            <w:rStyle w:val="Hyperlink"/>
                          </w:rPr>
                          <w:t>H</w:t>
                        </w:r>
                        <w:r w:rsidRPr="00031069">
                          <w:rPr>
                            <w:rStyle w:val="Hyperlink"/>
                          </w:rPr>
                          <w:t>ub</w:t>
                        </w:r>
                      </w:hyperlink>
                      <w:r w:rsidRPr="00031069">
                        <w:t>.</w:t>
                      </w:r>
                      <w:r w:rsidR="00E21AF0">
                        <w:t xml:space="preserve"> </w:t>
                      </w:r>
                    </w:p>
                    <w:p w14:paraId="68D05873" w14:textId="514287D8" w:rsidR="00BA4353" w:rsidRPr="00B96DA9" w:rsidRDefault="00BA4353" w:rsidP="00DD50EF">
                      <w:pPr>
                        <w:shd w:val="clear" w:color="auto" w:fill="FFFFFF" w:themeFill="background1"/>
                        <w:ind w:left="993" w:right="730" w:hanging="283"/>
                      </w:pPr>
                      <w:r w:rsidRPr="00B96DA9">
                        <w:t>This consultation closes on</w:t>
                      </w:r>
                      <w:r w:rsidR="00EC76F0" w:rsidRPr="00B96DA9">
                        <w:t xml:space="preserve"> close of business</w:t>
                      </w:r>
                      <w:r w:rsidRPr="00B96DA9">
                        <w:t xml:space="preserve"> </w:t>
                      </w:r>
                      <w:r w:rsidR="00847B8C" w:rsidRPr="00847B8C">
                        <w:rPr>
                          <w:b/>
                          <w:bCs/>
                        </w:rPr>
                        <w:t>10</w:t>
                      </w:r>
                      <w:r w:rsidRPr="00847B8C">
                        <w:rPr>
                          <w:b/>
                          <w:bCs/>
                        </w:rPr>
                        <w:t xml:space="preserve"> </w:t>
                      </w:r>
                      <w:r w:rsidR="00847B8C" w:rsidRPr="00847B8C">
                        <w:rPr>
                          <w:b/>
                          <w:bCs/>
                        </w:rPr>
                        <w:t>October</w:t>
                      </w:r>
                      <w:r w:rsidRPr="00847B8C">
                        <w:rPr>
                          <w:b/>
                          <w:bCs/>
                        </w:rPr>
                        <w:t xml:space="preserve"> 2025</w:t>
                      </w:r>
                      <w:r w:rsidRPr="00B96DA9">
                        <w:t>.</w:t>
                      </w:r>
                    </w:p>
                  </w:txbxContent>
                </v:textbox>
                <w10:anchorlock/>
              </v:shape>
            </w:pict>
          </mc:Fallback>
        </mc:AlternateContent>
      </w:r>
    </w:p>
    <w:p w14:paraId="1031D460" w14:textId="77777777" w:rsidR="000E43CB" w:rsidRPr="009401F6" w:rsidRDefault="000E43CB" w:rsidP="00FE1941">
      <w:pPr>
        <w:pStyle w:val="NonTOCheading2"/>
      </w:pPr>
      <w:bookmarkStart w:id="13" w:name="_Proposed_TGA_annotations"/>
      <w:bookmarkEnd w:id="13"/>
      <w:r w:rsidRPr="009401F6">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0E43CB" w:rsidRPr="009401F6" w14:paraId="6ED8868C" w14:textId="77777777" w:rsidTr="000E43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2AD2224" w14:textId="77777777" w:rsidR="000E43CB" w:rsidRPr="009401F6" w:rsidRDefault="000E43CB" w:rsidP="00B73F7A">
            <w:bookmarkStart w:id="14" w:name="ColumnTitle_4"/>
            <w:r w:rsidRPr="009401F6">
              <w:t>Version</w:t>
            </w:r>
          </w:p>
        </w:tc>
        <w:tc>
          <w:tcPr>
            <w:tcW w:w="3242" w:type="dxa"/>
          </w:tcPr>
          <w:p w14:paraId="2703B2EB" w14:textId="77777777" w:rsidR="000E43CB" w:rsidRPr="009401F6" w:rsidRDefault="000E43CB" w:rsidP="00B73F7A">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53F3B42A" w14:textId="77777777" w:rsidR="000E43CB" w:rsidRPr="009401F6" w:rsidRDefault="000E43CB" w:rsidP="00B73F7A">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4753A472" w14:textId="16D13D37" w:rsidR="000E43CB" w:rsidRPr="009401F6" w:rsidRDefault="003A5BF1" w:rsidP="00B73F7A">
            <w:pPr>
              <w:cnfStyle w:val="100000000000" w:firstRow="1" w:lastRow="0" w:firstColumn="0" w:lastColumn="0" w:oddVBand="0" w:evenVBand="0" w:oddHBand="0" w:evenHBand="0" w:firstRowFirstColumn="0" w:firstRowLastColumn="0" w:lastRowFirstColumn="0" w:lastRowLastColumn="0"/>
            </w:pPr>
            <w:r>
              <w:t>D</w:t>
            </w:r>
            <w:r w:rsidR="000E43CB" w:rsidRPr="009401F6">
              <w:t>ate</w:t>
            </w:r>
          </w:p>
        </w:tc>
      </w:tr>
      <w:bookmarkEnd w:id="14"/>
      <w:tr w:rsidR="000E43CB" w:rsidRPr="009401F6" w14:paraId="2B8B548C" w14:textId="77777777" w:rsidTr="000E43CB">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3AEA099" w14:textId="77777777" w:rsidR="000E43CB" w:rsidRPr="009401F6" w:rsidRDefault="000E43CB" w:rsidP="00B73F7A">
            <w:r w:rsidRPr="009401F6">
              <w:t>V1.0</w:t>
            </w:r>
          </w:p>
        </w:tc>
        <w:tc>
          <w:tcPr>
            <w:tcW w:w="3242" w:type="dxa"/>
          </w:tcPr>
          <w:p w14:paraId="5D53CB3F" w14:textId="77777777" w:rsidR="000E43CB" w:rsidRPr="009401F6" w:rsidRDefault="000E43CB" w:rsidP="00B73F7A">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72A91C88" w14:textId="35AFC84B" w:rsidR="000E43CB" w:rsidRPr="009401F6" w:rsidRDefault="003A5BF1" w:rsidP="00B73F7A">
            <w:pPr>
              <w:cnfStyle w:val="000000000000" w:firstRow="0" w:lastRow="0" w:firstColumn="0" w:lastColumn="0" w:oddVBand="0" w:evenVBand="0" w:oddHBand="0" w:evenHBand="0" w:firstRowFirstColumn="0" w:firstRowLastColumn="0" w:lastRowFirstColumn="0" w:lastRowLastColumn="0"/>
            </w:pPr>
            <w:r w:rsidRPr="003A5BF1">
              <w:t>Pharmacovigilance Compliance and Clinical Trials Section</w:t>
            </w:r>
            <w:r>
              <w:t xml:space="preserve"> (PCCTS</w:t>
            </w:r>
            <w:r w:rsidR="00373E42">
              <w:t>)</w:t>
            </w:r>
            <w:r>
              <w:t>, TGA</w:t>
            </w:r>
          </w:p>
        </w:tc>
        <w:tc>
          <w:tcPr>
            <w:tcW w:w="1808" w:type="dxa"/>
          </w:tcPr>
          <w:p w14:paraId="5CB875C8" w14:textId="3EA9BD76" w:rsidR="000E43CB" w:rsidRPr="009401F6" w:rsidRDefault="003A5BF1" w:rsidP="00B73F7A">
            <w:pPr>
              <w:cnfStyle w:val="000000000000" w:firstRow="0" w:lastRow="0" w:firstColumn="0" w:lastColumn="0" w:oddVBand="0" w:evenVBand="0" w:oddHBand="0" w:evenHBand="0" w:firstRowFirstColumn="0" w:firstRowLastColumn="0" w:lastRowFirstColumn="0" w:lastRowLastColumn="0"/>
            </w:pPr>
            <w:r>
              <w:t>August 2025</w:t>
            </w:r>
          </w:p>
        </w:tc>
      </w:tr>
    </w:tbl>
    <w:p w14:paraId="1B373F00" w14:textId="77777777" w:rsidR="000E43CB" w:rsidRDefault="000E43CB" w:rsidP="00F8404D">
      <w:r>
        <w:br w:type="page"/>
      </w:r>
    </w:p>
    <w:p w14:paraId="3178A90F" w14:textId="77777777" w:rsidR="000E43CB" w:rsidRPr="009401F6" w:rsidRDefault="000E43CB" w:rsidP="00F8404D">
      <w:pPr>
        <w:sectPr w:rsidR="000E43CB" w:rsidRPr="009401F6" w:rsidSect="0074066C">
          <w:headerReference w:type="default" r:id="rId37"/>
          <w:footerReference w:type="default" r:id="rId38"/>
          <w:headerReference w:type="first" r:id="rId39"/>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0E43CB" w:rsidRPr="009401F6" w14:paraId="2FD7598C" w14:textId="77777777" w:rsidTr="00E2124E">
        <w:trPr>
          <w:trHeight w:hRule="exact" w:val="565"/>
          <w:jc w:val="center"/>
        </w:trPr>
        <w:tc>
          <w:tcPr>
            <w:tcW w:w="9145" w:type="dxa"/>
          </w:tcPr>
          <w:p w14:paraId="7CFA77EA" w14:textId="77777777" w:rsidR="000E43CB" w:rsidRPr="009401F6" w:rsidRDefault="000E43CB" w:rsidP="00E2124E">
            <w:pPr>
              <w:pStyle w:val="TGASignoff"/>
            </w:pPr>
            <w:r w:rsidRPr="009401F6">
              <w:t>Therapeutic Goods Administration</w:t>
            </w:r>
          </w:p>
        </w:tc>
      </w:tr>
      <w:tr w:rsidR="000E43CB" w:rsidRPr="009401F6" w14:paraId="1FA550BF" w14:textId="77777777" w:rsidTr="00E2124E">
        <w:trPr>
          <w:trHeight w:val="963"/>
          <w:jc w:val="center"/>
        </w:trPr>
        <w:tc>
          <w:tcPr>
            <w:tcW w:w="9145" w:type="dxa"/>
            <w:tcMar>
              <w:top w:w="28" w:type="dxa"/>
            </w:tcMar>
          </w:tcPr>
          <w:p w14:paraId="73932E57" w14:textId="77777777" w:rsidR="000E43CB" w:rsidRPr="009401F6" w:rsidRDefault="000E43CB" w:rsidP="00E2124E">
            <w:pPr>
              <w:pStyle w:val="Address"/>
              <w:jc w:val="center"/>
            </w:pPr>
            <w:r w:rsidRPr="009401F6">
              <w:t>PO Box 100 Woden ACT 2606 Australia</w:t>
            </w:r>
          </w:p>
          <w:p w14:paraId="7065C1AE" w14:textId="77777777" w:rsidR="000E43CB" w:rsidRPr="009401F6" w:rsidRDefault="000E43CB" w:rsidP="00E2124E">
            <w:pPr>
              <w:pStyle w:val="Address"/>
              <w:jc w:val="center"/>
            </w:pPr>
            <w:r w:rsidRPr="009401F6">
              <w:t xml:space="preserve">Email: </w:t>
            </w:r>
            <w:hyperlink r:id="rId40" w:history="1">
              <w:r w:rsidRPr="009401F6">
                <w:rPr>
                  <w:rStyle w:val="Hyperlink"/>
                </w:rPr>
                <w:t>info@tga.gov.au</w:t>
              </w:r>
            </w:hyperlink>
            <w:r w:rsidRPr="009401F6">
              <w:t xml:space="preserve">  Phone: 1800 020 </w:t>
            </w:r>
            <w:proofErr w:type="gramStart"/>
            <w:r w:rsidRPr="009401F6">
              <w:t>653  Fax</w:t>
            </w:r>
            <w:proofErr w:type="gramEnd"/>
            <w:r w:rsidRPr="009401F6">
              <w:t>: 02 62</w:t>
            </w:r>
            <w:r>
              <w:t>0</w:t>
            </w:r>
            <w:r w:rsidRPr="009401F6">
              <w:t xml:space="preserve">3 </w:t>
            </w:r>
            <w:r>
              <w:t>1</w:t>
            </w:r>
            <w:r w:rsidRPr="009401F6">
              <w:t>605</w:t>
            </w:r>
          </w:p>
          <w:p w14:paraId="0AC416A4" w14:textId="77777777" w:rsidR="000E43CB" w:rsidRPr="009401F6" w:rsidRDefault="000E43CB" w:rsidP="00E2124E">
            <w:pPr>
              <w:pStyle w:val="Address"/>
              <w:spacing w:line="260" w:lineRule="atLeast"/>
              <w:jc w:val="center"/>
              <w:rPr>
                <w:rStyle w:val="Hyperlink"/>
                <w:b/>
              </w:rPr>
            </w:pPr>
            <w:hyperlink r:id="rId41" w:history="1">
              <w:r w:rsidRPr="009401F6">
                <w:rPr>
                  <w:rStyle w:val="Hyperlink"/>
                  <w:b/>
                </w:rPr>
                <w:t>https://www.tga.gov.au</w:t>
              </w:r>
            </w:hyperlink>
          </w:p>
        </w:tc>
      </w:tr>
      <w:tr w:rsidR="000E43CB" w:rsidRPr="009401F6" w14:paraId="30EDA1D0" w14:textId="77777777" w:rsidTr="00E2124E">
        <w:trPr>
          <w:trHeight w:val="251"/>
          <w:jc w:val="center"/>
        </w:trPr>
        <w:tc>
          <w:tcPr>
            <w:tcW w:w="9145" w:type="dxa"/>
            <w:tcMar>
              <w:top w:w="28" w:type="dxa"/>
            </w:tcMar>
          </w:tcPr>
          <w:p w14:paraId="24176796" w14:textId="6202A3C0" w:rsidR="000E43CB" w:rsidRPr="009401F6" w:rsidRDefault="000E43CB" w:rsidP="00E2124E">
            <w:pPr>
              <w:pStyle w:val="Address"/>
              <w:jc w:val="center"/>
            </w:pPr>
            <w:r w:rsidRPr="009401F6">
              <w:t>Reference</w:t>
            </w:r>
            <w:r w:rsidR="00373E42">
              <w:t xml:space="preserve">: </w:t>
            </w:r>
            <w:hyperlink r:id="rId42" w:history="1">
              <w:r w:rsidR="00373E42" w:rsidRPr="00373E42">
                <w:rPr>
                  <w:rStyle w:val="Hyperlink"/>
                </w:rPr>
                <w:t>D25-2425065</w:t>
              </w:r>
            </w:hyperlink>
          </w:p>
        </w:tc>
      </w:tr>
    </w:tbl>
    <w:p w14:paraId="27656482" w14:textId="77777777" w:rsidR="000E43CB" w:rsidRPr="009401F6" w:rsidRDefault="000E43CB" w:rsidP="00F8404D">
      <w:pPr>
        <w:pStyle w:val="Footer"/>
      </w:pPr>
    </w:p>
    <w:p w14:paraId="77CD8EB0" w14:textId="77777777" w:rsidR="0099682B" w:rsidRPr="000E43CB" w:rsidRDefault="0099682B" w:rsidP="000E43CB"/>
    <w:sectPr w:rsidR="0099682B" w:rsidRPr="000E43CB" w:rsidSect="00AE7C6A">
      <w:headerReference w:type="first" r:id="rId43"/>
      <w:footerReference w:type="first" r:id="rId4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B88E" w14:textId="77777777" w:rsidR="002A75B2" w:rsidRDefault="002A75B2" w:rsidP="00F02AEC">
      <w:pPr>
        <w:spacing w:after="0" w:line="240" w:lineRule="auto"/>
      </w:pPr>
      <w:r>
        <w:separator/>
      </w:r>
    </w:p>
  </w:endnote>
  <w:endnote w:type="continuationSeparator" w:id="0">
    <w:p w14:paraId="369CA7D7" w14:textId="77777777" w:rsidR="002A75B2" w:rsidRDefault="002A75B2"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09C6" w14:textId="77777777" w:rsidR="000E43CB" w:rsidRDefault="000E43CB"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57"/>
    </w:tblGrid>
    <w:tr w:rsidR="000E43CB" w:rsidRPr="00257138" w14:paraId="1F49AF85" w14:textId="77777777" w:rsidTr="00A3654F">
      <w:trPr>
        <w:trHeight w:val="423"/>
      </w:trPr>
      <w:tc>
        <w:tcPr>
          <w:tcW w:w="4360" w:type="dxa"/>
          <w:tcBorders>
            <w:top w:val="single" w:sz="4" w:space="0" w:color="auto"/>
          </w:tcBorders>
        </w:tcPr>
        <w:p w14:paraId="222CFEDC" w14:textId="205A16BD" w:rsidR="000E43CB" w:rsidRPr="00257138" w:rsidRDefault="000E43CB" w:rsidP="009B15F1">
          <w:pPr>
            <w:pStyle w:val="Footer"/>
          </w:pPr>
        </w:p>
      </w:tc>
      <w:tc>
        <w:tcPr>
          <w:tcW w:w="4360" w:type="dxa"/>
          <w:tcBorders>
            <w:top w:val="single" w:sz="4" w:space="0" w:color="auto"/>
          </w:tcBorders>
        </w:tcPr>
        <w:sdt>
          <w:sdtPr>
            <w:id w:val="3702144"/>
            <w:docPartObj>
              <w:docPartGallery w:val="Page Numbers (Top of Page)"/>
              <w:docPartUnique/>
            </w:docPartObj>
          </w:sdtPr>
          <w:sdtContent>
            <w:p w14:paraId="333A0900" w14:textId="77777777" w:rsidR="000E43CB" w:rsidRDefault="000E43CB" w:rsidP="008D4740">
              <w:pPr>
                <w:pStyle w:val="Footer"/>
                <w:jc w:val="right"/>
              </w:pPr>
            </w:p>
            <w:p w14:paraId="54781EFD" w14:textId="77777777" w:rsidR="000E43CB" w:rsidRPr="00257138" w:rsidRDefault="000E43CB"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0E43CB" w:rsidRPr="00257138" w14:paraId="666FABF6" w14:textId="77777777" w:rsidTr="00A3654F">
      <w:trPr>
        <w:trHeight w:val="263"/>
      </w:trPr>
      <w:tc>
        <w:tcPr>
          <w:tcW w:w="4360" w:type="dxa"/>
        </w:tcPr>
        <w:p w14:paraId="68DF5276" w14:textId="1CE067EB" w:rsidR="000E43CB" w:rsidRPr="00257138" w:rsidRDefault="000E43CB" w:rsidP="008D4740">
          <w:pPr>
            <w:pStyle w:val="Footer"/>
          </w:pPr>
        </w:p>
      </w:tc>
      <w:tc>
        <w:tcPr>
          <w:tcW w:w="4360" w:type="dxa"/>
        </w:tcPr>
        <w:p w14:paraId="5A6B6E34" w14:textId="77777777" w:rsidR="000E43CB" w:rsidRPr="00257138" w:rsidRDefault="000E43CB" w:rsidP="008D4740">
          <w:pPr>
            <w:pStyle w:val="Footer"/>
            <w:jc w:val="right"/>
          </w:pPr>
        </w:p>
      </w:tc>
    </w:tr>
  </w:tbl>
  <w:p w14:paraId="6524EBDC" w14:textId="77777777" w:rsidR="000E43CB" w:rsidRPr="00826007" w:rsidRDefault="000E43CB"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5187" w14:textId="77777777" w:rsidR="000E43CB" w:rsidRDefault="000E43CB"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0E43CB" w:rsidRPr="00257138" w14:paraId="1B0C20CE" w14:textId="77777777" w:rsidTr="00D433BD">
      <w:trPr>
        <w:trHeight w:val="423"/>
      </w:trPr>
      <w:tc>
        <w:tcPr>
          <w:tcW w:w="7479" w:type="dxa"/>
        </w:tcPr>
        <w:p w14:paraId="7497DBE7" w14:textId="3947F4D1" w:rsidR="000E43CB" w:rsidRPr="00257138" w:rsidRDefault="00373E42" w:rsidP="00EB182C">
          <w:pPr>
            <w:pStyle w:val="Footer"/>
            <w:spacing w:before="120" w:after="120"/>
          </w:pPr>
          <w:r w:rsidRPr="00373E42">
            <w:t xml:space="preserve">Consultation: </w:t>
          </w:r>
          <w:r w:rsidR="00F266B9">
            <w:t xml:space="preserve">Proposed </w:t>
          </w:r>
          <w:r w:rsidRPr="00373E42">
            <w:t>TGA annotations to ICH E6(R3) Guideline for Good Clinical Practice (GCP) Principles and Annex I</w:t>
          </w:r>
          <w:r w:rsidR="002E3A0E">
            <w:t xml:space="preserve"> and 12-month transition period</w:t>
          </w:r>
          <w:r w:rsidR="000E43CB">
            <w:br/>
          </w:r>
          <w:r w:rsidR="000E43CB" w:rsidRPr="00181006">
            <w:t xml:space="preserve">V1.0 </w:t>
          </w:r>
          <w:r w:rsidRPr="00181006">
            <w:t>August</w:t>
          </w:r>
          <w:r w:rsidR="000E43CB" w:rsidRPr="00181006">
            <w:t xml:space="preserve"> </w:t>
          </w:r>
          <w:r w:rsidRPr="00181006">
            <w:t>2025</w:t>
          </w:r>
        </w:p>
      </w:tc>
      <w:tc>
        <w:tcPr>
          <w:tcW w:w="1593" w:type="dxa"/>
        </w:tcPr>
        <w:sdt>
          <w:sdtPr>
            <w:id w:val="3702141"/>
            <w:docPartObj>
              <w:docPartGallery w:val="Page Numbers (Top of Page)"/>
              <w:docPartUnique/>
            </w:docPartObj>
          </w:sdtPr>
          <w:sdtContent>
            <w:p w14:paraId="00DC35E4" w14:textId="77777777" w:rsidR="000E43CB" w:rsidRPr="00257138" w:rsidRDefault="000E43CB"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5</w:t>
              </w:r>
              <w:r>
                <w:rPr>
                  <w:noProof/>
                </w:rPr>
                <w:fldChar w:fldCharType="end"/>
              </w:r>
              <w:r w:rsidRPr="00257138">
                <w:t xml:space="preserve"> of </w:t>
              </w:r>
              <w:r>
                <w:fldChar w:fldCharType="begin"/>
              </w:r>
              <w:r>
                <w:instrText xml:space="preserve"> NUMPAGES  </w:instrText>
              </w:r>
              <w:r>
                <w:fldChar w:fldCharType="separate"/>
              </w:r>
              <w:r>
                <w:rPr>
                  <w:noProof/>
                </w:rPr>
                <w:t>6</w:t>
              </w:r>
              <w:r>
                <w:rPr>
                  <w:noProof/>
                </w:rPr>
                <w:fldChar w:fldCharType="end"/>
              </w:r>
            </w:p>
          </w:sdtContent>
        </w:sdt>
      </w:tc>
    </w:tr>
    <w:tr w:rsidR="00373E42" w:rsidRPr="00257138" w14:paraId="3CB77650" w14:textId="77777777" w:rsidTr="00D433BD">
      <w:trPr>
        <w:trHeight w:val="423"/>
      </w:trPr>
      <w:tc>
        <w:tcPr>
          <w:tcW w:w="7479" w:type="dxa"/>
        </w:tcPr>
        <w:p w14:paraId="7E70E8FC" w14:textId="77777777" w:rsidR="00373E42" w:rsidRPr="00373E42" w:rsidRDefault="00373E42" w:rsidP="00EB182C">
          <w:pPr>
            <w:pStyle w:val="Footer"/>
            <w:spacing w:before="120" w:after="120"/>
          </w:pPr>
        </w:p>
      </w:tc>
      <w:tc>
        <w:tcPr>
          <w:tcW w:w="1593" w:type="dxa"/>
        </w:tcPr>
        <w:p w14:paraId="4CA6F951" w14:textId="77777777" w:rsidR="00373E42" w:rsidRDefault="00373E42" w:rsidP="00EE1482">
          <w:pPr>
            <w:pStyle w:val="Footer"/>
            <w:spacing w:before="120" w:after="120"/>
            <w:jc w:val="right"/>
          </w:pPr>
        </w:p>
      </w:tc>
    </w:tr>
  </w:tbl>
  <w:p w14:paraId="3B53426C" w14:textId="77777777" w:rsidR="000E43CB" w:rsidRPr="00826007" w:rsidRDefault="000E43CB"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DD2A" w14:textId="77777777" w:rsidR="0099682B" w:rsidRPr="008E3C43" w:rsidRDefault="0099682B"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C737" w14:textId="77777777" w:rsidR="002A75B2" w:rsidRDefault="002A75B2" w:rsidP="00F02AEC">
      <w:pPr>
        <w:spacing w:after="0" w:line="240" w:lineRule="auto"/>
      </w:pPr>
      <w:r>
        <w:separator/>
      </w:r>
    </w:p>
  </w:footnote>
  <w:footnote w:type="continuationSeparator" w:id="0">
    <w:p w14:paraId="0C760D59" w14:textId="77777777" w:rsidR="002A75B2" w:rsidRDefault="002A75B2" w:rsidP="00F0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7C10" w14:textId="77777777" w:rsidR="000E43CB" w:rsidRPr="00920FF4" w:rsidRDefault="000E43CB"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67E3" w14:textId="77777777" w:rsidR="000E43CB" w:rsidRPr="00E32326" w:rsidRDefault="0099682B" w:rsidP="00F202AB">
    <w:r>
      <w:rPr>
        <w:noProof/>
        <w:lang w:eastAsia="en-AU"/>
      </w:rPr>
      <w:drawing>
        <wp:inline distT="0" distB="0" distL="0" distR="0" wp14:anchorId="51747A79" wp14:editId="7C8B536A">
          <wp:extent cx="3344545" cy="694055"/>
          <wp:effectExtent l="0" t="0" r="8255" b="0"/>
          <wp:docPr id="1113658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0E43CB" w:rsidRPr="00FF7B50" w14:paraId="5A49A49B" w14:textId="77777777" w:rsidTr="002C6B85">
      <w:trPr>
        <w:trHeight w:hRule="exact" w:val="8845"/>
      </w:trPr>
      <w:tc>
        <w:tcPr>
          <w:tcW w:w="11964" w:type="dxa"/>
        </w:tcPr>
        <w:p w14:paraId="5A145D3C" w14:textId="77777777" w:rsidR="000E43CB" w:rsidRPr="00FF7B50" w:rsidRDefault="00000000" w:rsidP="00AE0320">
          <w:pPr>
            <w:pStyle w:val="Header"/>
            <w:ind w:left="-57"/>
            <w:jc w:val="left"/>
            <w:rPr>
              <w:noProof/>
            </w:rPr>
          </w:pPr>
          <w:sdt>
            <w:sdtPr>
              <w:rPr>
                <w:noProof/>
              </w:rPr>
              <w:id w:val="3702145"/>
              <w:showingPlcHdr/>
              <w:picture/>
            </w:sdtPr>
            <w:sdtContent>
              <w:r w:rsidR="000E43CB" w:rsidRPr="00FF7B50">
                <w:rPr>
                  <w:noProof/>
                </w:rPr>
                <w:drawing>
                  <wp:inline distT="0" distB="0" distL="0" distR="0" wp14:anchorId="080BFE8D" wp14:editId="4F311035">
                    <wp:extent cx="7642860" cy="5638800"/>
                    <wp:effectExtent l="0" t="0" r="0" b="0"/>
                    <wp:docPr id="116198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42860" cy="5638800"/>
                            </a:xfrm>
                            <a:prstGeom prst="rect">
                              <a:avLst/>
                            </a:prstGeom>
                            <a:noFill/>
                            <a:ln w="9525">
                              <a:noFill/>
                              <a:miter lim="800000"/>
                              <a:headEnd/>
                              <a:tailEnd/>
                            </a:ln>
                          </pic:spPr>
                        </pic:pic>
                      </a:graphicData>
                    </a:graphic>
                  </wp:inline>
                </w:drawing>
              </w:r>
            </w:sdtContent>
          </w:sdt>
        </w:p>
      </w:tc>
    </w:tr>
  </w:tbl>
  <w:p w14:paraId="563CB808" w14:textId="77777777" w:rsidR="000E43CB" w:rsidRPr="00E32326" w:rsidRDefault="000E43CB" w:rsidP="00F202AB">
    <w:r>
      <w:rPr>
        <w:noProof/>
        <w:lang w:eastAsia="en-AU"/>
      </w:rPr>
      <w:drawing>
        <wp:anchor distT="0" distB="0" distL="114300" distR="114300" simplePos="0" relativeHeight="251659264" behindDoc="0" locked="0" layoutInCell="0" allowOverlap="1" wp14:anchorId="2847A8CE" wp14:editId="6023C1B9">
          <wp:simplePos x="0" y="0"/>
          <wp:positionH relativeFrom="page">
            <wp:align>left</wp:align>
          </wp:positionH>
          <wp:positionV relativeFrom="page">
            <wp:posOffset>2945130</wp:posOffset>
          </wp:positionV>
          <wp:extent cx="7615555" cy="4295140"/>
          <wp:effectExtent l="0" t="0" r="4445" b="0"/>
          <wp:wrapNone/>
          <wp:docPr id="15705835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15555" cy="4295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19D2" w14:textId="77777777" w:rsidR="000E43CB" w:rsidRPr="00920FF4" w:rsidRDefault="000E43CB"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485E" w14:textId="77777777" w:rsidR="000E43CB" w:rsidRPr="00920FF4" w:rsidRDefault="000E43CB"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BE69" w14:textId="77777777" w:rsidR="0099682B" w:rsidRPr="00FE501F" w:rsidRDefault="0099682B"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7032C"/>
    <w:multiLevelType w:val="hybridMultilevel"/>
    <w:tmpl w:val="AE1CD774"/>
    <w:lvl w:ilvl="0" w:tplc="232E01C0">
      <w:start w:val="1"/>
      <w:numFmt w:val="decimal"/>
      <w:lvlText w:val="%1."/>
      <w:lvlJc w:val="left"/>
      <w:pPr>
        <w:ind w:left="1020" w:hanging="360"/>
      </w:pPr>
    </w:lvl>
    <w:lvl w:ilvl="1" w:tplc="906054E0">
      <w:start w:val="1"/>
      <w:numFmt w:val="decimal"/>
      <w:lvlText w:val="%2."/>
      <w:lvlJc w:val="left"/>
      <w:pPr>
        <w:ind w:left="1020" w:hanging="360"/>
      </w:pPr>
    </w:lvl>
    <w:lvl w:ilvl="2" w:tplc="916EA13C">
      <w:start w:val="1"/>
      <w:numFmt w:val="decimal"/>
      <w:lvlText w:val="%3."/>
      <w:lvlJc w:val="left"/>
      <w:pPr>
        <w:ind w:left="1020" w:hanging="360"/>
      </w:pPr>
    </w:lvl>
    <w:lvl w:ilvl="3" w:tplc="28BE52DC">
      <w:start w:val="1"/>
      <w:numFmt w:val="decimal"/>
      <w:lvlText w:val="%4."/>
      <w:lvlJc w:val="left"/>
      <w:pPr>
        <w:ind w:left="1020" w:hanging="360"/>
      </w:pPr>
    </w:lvl>
    <w:lvl w:ilvl="4" w:tplc="427E60D4">
      <w:start w:val="1"/>
      <w:numFmt w:val="decimal"/>
      <w:lvlText w:val="%5."/>
      <w:lvlJc w:val="left"/>
      <w:pPr>
        <w:ind w:left="1020" w:hanging="360"/>
      </w:pPr>
    </w:lvl>
    <w:lvl w:ilvl="5" w:tplc="334A14DC">
      <w:start w:val="1"/>
      <w:numFmt w:val="decimal"/>
      <w:lvlText w:val="%6."/>
      <w:lvlJc w:val="left"/>
      <w:pPr>
        <w:ind w:left="1020" w:hanging="360"/>
      </w:pPr>
    </w:lvl>
    <w:lvl w:ilvl="6" w:tplc="B0F2D5F8">
      <w:start w:val="1"/>
      <w:numFmt w:val="decimal"/>
      <w:lvlText w:val="%7."/>
      <w:lvlJc w:val="left"/>
      <w:pPr>
        <w:ind w:left="1020" w:hanging="360"/>
      </w:pPr>
    </w:lvl>
    <w:lvl w:ilvl="7" w:tplc="0F4C40B2">
      <w:start w:val="1"/>
      <w:numFmt w:val="decimal"/>
      <w:lvlText w:val="%8."/>
      <w:lvlJc w:val="left"/>
      <w:pPr>
        <w:ind w:left="1020" w:hanging="360"/>
      </w:pPr>
    </w:lvl>
    <w:lvl w:ilvl="8" w:tplc="42E0DDAE">
      <w:start w:val="1"/>
      <w:numFmt w:val="decimal"/>
      <w:lvlText w:val="%9."/>
      <w:lvlJc w:val="left"/>
      <w:pPr>
        <w:ind w:left="1020" w:hanging="360"/>
      </w:pPr>
    </w:lvl>
  </w:abstractNum>
  <w:abstractNum w:abstractNumId="2" w15:restartNumberingAfterBreak="0">
    <w:nsid w:val="0AC83E22"/>
    <w:multiLevelType w:val="hybridMultilevel"/>
    <w:tmpl w:val="9F7AABBE"/>
    <w:lvl w:ilvl="0" w:tplc="36106FF4">
      <w:start w:val="1"/>
      <w:numFmt w:val="decimal"/>
      <w:lvlText w:val="%1."/>
      <w:lvlJc w:val="left"/>
      <w:pPr>
        <w:ind w:left="1020" w:hanging="360"/>
      </w:pPr>
    </w:lvl>
    <w:lvl w:ilvl="1" w:tplc="5D4A469A">
      <w:start w:val="1"/>
      <w:numFmt w:val="decimal"/>
      <w:lvlText w:val="%2."/>
      <w:lvlJc w:val="left"/>
      <w:pPr>
        <w:ind w:left="1020" w:hanging="360"/>
      </w:pPr>
    </w:lvl>
    <w:lvl w:ilvl="2" w:tplc="D9B2037C">
      <w:start w:val="1"/>
      <w:numFmt w:val="decimal"/>
      <w:lvlText w:val="%3."/>
      <w:lvlJc w:val="left"/>
      <w:pPr>
        <w:ind w:left="1020" w:hanging="360"/>
      </w:pPr>
    </w:lvl>
    <w:lvl w:ilvl="3" w:tplc="15C0DE7E">
      <w:start w:val="1"/>
      <w:numFmt w:val="decimal"/>
      <w:lvlText w:val="%4."/>
      <w:lvlJc w:val="left"/>
      <w:pPr>
        <w:ind w:left="1020" w:hanging="360"/>
      </w:pPr>
    </w:lvl>
    <w:lvl w:ilvl="4" w:tplc="18F268F8">
      <w:start w:val="1"/>
      <w:numFmt w:val="decimal"/>
      <w:lvlText w:val="%5."/>
      <w:lvlJc w:val="left"/>
      <w:pPr>
        <w:ind w:left="1020" w:hanging="360"/>
      </w:pPr>
    </w:lvl>
    <w:lvl w:ilvl="5" w:tplc="5F12A36E">
      <w:start w:val="1"/>
      <w:numFmt w:val="decimal"/>
      <w:lvlText w:val="%6."/>
      <w:lvlJc w:val="left"/>
      <w:pPr>
        <w:ind w:left="1020" w:hanging="360"/>
      </w:pPr>
    </w:lvl>
    <w:lvl w:ilvl="6" w:tplc="632ADAD2">
      <w:start w:val="1"/>
      <w:numFmt w:val="decimal"/>
      <w:lvlText w:val="%7."/>
      <w:lvlJc w:val="left"/>
      <w:pPr>
        <w:ind w:left="1020" w:hanging="360"/>
      </w:pPr>
    </w:lvl>
    <w:lvl w:ilvl="7" w:tplc="3BD81D64">
      <w:start w:val="1"/>
      <w:numFmt w:val="decimal"/>
      <w:lvlText w:val="%8."/>
      <w:lvlJc w:val="left"/>
      <w:pPr>
        <w:ind w:left="1020" w:hanging="360"/>
      </w:pPr>
    </w:lvl>
    <w:lvl w:ilvl="8" w:tplc="EDC89980">
      <w:start w:val="1"/>
      <w:numFmt w:val="decimal"/>
      <w:lvlText w:val="%9."/>
      <w:lvlJc w:val="left"/>
      <w:pPr>
        <w:ind w:left="1020" w:hanging="360"/>
      </w:pPr>
    </w:lvl>
  </w:abstractNum>
  <w:abstractNum w:abstractNumId="3" w15:restartNumberingAfterBreak="0">
    <w:nsid w:val="0D0E79FF"/>
    <w:multiLevelType w:val="hybridMultilevel"/>
    <w:tmpl w:val="FCF6FF70"/>
    <w:lvl w:ilvl="0" w:tplc="0686C33C">
      <w:start w:val="1"/>
      <w:numFmt w:val="decimal"/>
      <w:lvlText w:val="%1."/>
      <w:lvlJc w:val="left"/>
      <w:pPr>
        <w:ind w:left="1020" w:hanging="360"/>
      </w:pPr>
    </w:lvl>
    <w:lvl w:ilvl="1" w:tplc="6750C83E">
      <w:start w:val="1"/>
      <w:numFmt w:val="decimal"/>
      <w:lvlText w:val="%2."/>
      <w:lvlJc w:val="left"/>
      <w:pPr>
        <w:ind w:left="1020" w:hanging="360"/>
      </w:pPr>
    </w:lvl>
    <w:lvl w:ilvl="2" w:tplc="8ED888BE">
      <w:start w:val="1"/>
      <w:numFmt w:val="decimal"/>
      <w:lvlText w:val="%3."/>
      <w:lvlJc w:val="left"/>
      <w:pPr>
        <w:ind w:left="1020" w:hanging="360"/>
      </w:pPr>
    </w:lvl>
    <w:lvl w:ilvl="3" w:tplc="5628B962">
      <w:start w:val="1"/>
      <w:numFmt w:val="decimal"/>
      <w:lvlText w:val="%4."/>
      <w:lvlJc w:val="left"/>
      <w:pPr>
        <w:ind w:left="1020" w:hanging="360"/>
      </w:pPr>
    </w:lvl>
    <w:lvl w:ilvl="4" w:tplc="9C6E9438">
      <w:start w:val="1"/>
      <w:numFmt w:val="decimal"/>
      <w:lvlText w:val="%5."/>
      <w:lvlJc w:val="left"/>
      <w:pPr>
        <w:ind w:left="1020" w:hanging="360"/>
      </w:pPr>
    </w:lvl>
    <w:lvl w:ilvl="5" w:tplc="AA920CFC">
      <w:start w:val="1"/>
      <w:numFmt w:val="decimal"/>
      <w:lvlText w:val="%6."/>
      <w:lvlJc w:val="left"/>
      <w:pPr>
        <w:ind w:left="1020" w:hanging="360"/>
      </w:pPr>
    </w:lvl>
    <w:lvl w:ilvl="6" w:tplc="96B6729A">
      <w:start w:val="1"/>
      <w:numFmt w:val="decimal"/>
      <w:lvlText w:val="%7."/>
      <w:lvlJc w:val="left"/>
      <w:pPr>
        <w:ind w:left="1020" w:hanging="360"/>
      </w:pPr>
    </w:lvl>
    <w:lvl w:ilvl="7" w:tplc="05CE224C">
      <w:start w:val="1"/>
      <w:numFmt w:val="decimal"/>
      <w:lvlText w:val="%8."/>
      <w:lvlJc w:val="left"/>
      <w:pPr>
        <w:ind w:left="1020" w:hanging="360"/>
      </w:pPr>
    </w:lvl>
    <w:lvl w:ilvl="8" w:tplc="2A7C573E">
      <w:start w:val="1"/>
      <w:numFmt w:val="decimal"/>
      <w:lvlText w:val="%9."/>
      <w:lvlJc w:val="left"/>
      <w:pPr>
        <w:ind w:left="1020" w:hanging="360"/>
      </w:p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1080" w:hanging="360"/>
      </w:pPr>
      <w:rPr>
        <w:rFonts w:ascii="Cambria" w:eastAsia="Cambria" w:hAnsi="Cambria" w:hint="default"/>
      </w:rPr>
    </w:lvl>
    <w:lvl w:ilvl="1">
      <w:start w:val="1"/>
      <w:numFmt w:val="bullet"/>
      <w:pStyle w:val="ListBullet2"/>
      <w:lvlText w:val="–"/>
      <w:lvlJc w:val="left"/>
      <w:pPr>
        <w:ind w:left="1440" w:hanging="360"/>
      </w:pPr>
      <w:rPr>
        <w:rFonts w:ascii="Arial" w:hAnsi="Arial" w:hint="default"/>
      </w:rPr>
    </w:lvl>
    <w:lvl w:ilvl="2">
      <w:start w:val="1"/>
      <w:numFmt w:val="bullet"/>
      <w:lvlText w:val=""/>
      <w:lvlJc w:val="left"/>
      <w:pPr>
        <w:ind w:left="1800" w:hanging="360"/>
      </w:pPr>
      <w:rPr>
        <w:rFonts w:ascii="Wingdings" w:hAnsi="Wingdings"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7"/>
      <w:lvlJc w:val="left"/>
      <w:pPr>
        <w:ind w:left="3240" w:hanging="360"/>
      </w:pPr>
      <w:rPr>
        <w:rFonts w:hint="default"/>
      </w:rPr>
    </w:lvl>
    <w:lvl w:ilvl="7">
      <w:start w:val="1"/>
      <w:numFmt w:val="none"/>
      <w:lvlText w:val="%8"/>
      <w:lvlJc w:val="left"/>
      <w:pPr>
        <w:ind w:left="3600" w:hanging="360"/>
      </w:pPr>
      <w:rPr>
        <w:rFonts w:hint="default"/>
      </w:rPr>
    </w:lvl>
    <w:lvl w:ilvl="8">
      <w:start w:val="1"/>
      <w:numFmt w:val="none"/>
      <w:lvlText w:val="%9"/>
      <w:lvlJc w:val="left"/>
      <w:pPr>
        <w:ind w:left="3960" w:hanging="360"/>
      </w:pPr>
      <w:rPr>
        <w:rFonts w:hint="default"/>
      </w:rPr>
    </w:lvl>
  </w:abstractNum>
  <w:abstractNum w:abstractNumId="7" w15:restartNumberingAfterBreak="0">
    <w:nsid w:val="1B2B08E6"/>
    <w:multiLevelType w:val="hybridMultilevel"/>
    <w:tmpl w:val="E488B5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2C91F22"/>
    <w:multiLevelType w:val="multilevel"/>
    <w:tmpl w:val="38F6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242D1468"/>
    <w:multiLevelType w:val="hybridMultilevel"/>
    <w:tmpl w:val="08924C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F0E783B"/>
    <w:multiLevelType w:val="hybridMultilevel"/>
    <w:tmpl w:val="8C7260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3E350AA"/>
    <w:multiLevelType w:val="hybridMultilevel"/>
    <w:tmpl w:val="8B12AC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62021A4"/>
    <w:multiLevelType w:val="hybridMultilevel"/>
    <w:tmpl w:val="9632A0DE"/>
    <w:lvl w:ilvl="0" w:tplc="B878500C">
      <w:start w:val="4"/>
      <w:numFmt w:val="bullet"/>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382777B5"/>
    <w:multiLevelType w:val="hybridMultilevel"/>
    <w:tmpl w:val="63DEAE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6A30D11"/>
    <w:multiLevelType w:val="hybridMultilevel"/>
    <w:tmpl w:val="CBD681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8291FF1"/>
    <w:multiLevelType w:val="hybridMultilevel"/>
    <w:tmpl w:val="3E38768C"/>
    <w:lvl w:ilvl="0" w:tplc="6F1E684E">
      <w:start w:val="1"/>
      <w:numFmt w:val="decimal"/>
      <w:lvlText w:val="%1."/>
      <w:lvlJc w:val="left"/>
      <w:pPr>
        <w:ind w:left="720" w:hanging="360"/>
      </w:pPr>
    </w:lvl>
    <w:lvl w:ilvl="1" w:tplc="D668DFC0">
      <w:start w:val="1"/>
      <w:numFmt w:val="decimal"/>
      <w:lvlText w:val="%2."/>
      <w:lvlJc w:val="left"/>
      <w:pPr>
        <w:ind w:left="720" w:hanging="360"/>
      </w:pPr>
    </w:lvl>
    <w:lvl w:ilvl="2" w:tplc="8DDA8BF6">
      <w:start w:val="1"/>
      <w:numFmt w:val="decimal"/>
      <w:lvlText w:val="%3."/>
      <w:lvlJc w:val="left"/>
      <w:pPr>
        <w:ind w:left="720" w:hanging="360"/>
      </w:pPr>
    </w:lvl>
    <w:lvl w:ilvl="3" w:tplc="00C83862">
      <w:start w:val="1"/>
      <w:numFmt w:val="decimal"/>
      <w:lvlText w:val="%4."/>
      <w:lvlJc w:val="left"/>
      <w:pPr>
        <w:ind w:left="720" w:hanging="360"/>
      </w:pPr>
    </w:lvl>
    <w:lvl w:ilvl="4" w:tplc="619037BC">
      <w:start w:val="1"/>
      <w:numFmt w:val="decimal"/>
      <w:lvlText w:val="%5."/>
      <w:lvlJc w:val="left"/>
      <w:pPr>
        <w:ind w:left="720" w:hanging="360"/>
      </w:pPr>
    </w:lvl>
    <w:lvl w:ilvl="5" w:tplc="B4BC2F46">
      <w:start w:val="1"/>
      <w:numFmt w:val="decimal"/>
      <w:lvlText w:val="%6."/>
      <w:lvlJc w:val="left"/>
      <w:pPr>
        <w:ind w:left="720" w:hanging="360"/>
      </w:pPr>
    </w:lvl>
    <w:lvl w:ilvl="6" w:tplc="117AF1AA">
      <w:start w:val="1"/>
      <w:numFmt w:val="decimal"/>
      <w:lvlText w:val="%7."/>
      <w:lvlJc w:val="left"/>
      <w:pPr>
        <w:ind w:left="720" w:hanging="360"/>
      </w:pPr>
    </w:lvl>
    <w:lvl w:ilvl="7" w:tplc="D144BB66">
      <w:start w:val="1"/>
      <w:numFmt w:val="decimal"/>
      <w:lvlText w:val="%8."/>
      <w:lvlJc w:val="left"/>
      <w:pPr>
        <w:ind w:left="720" w:hanging="360"/>
      </w:pPr>
    </w:lvl>
    <w:lvl w:ilvl="8" w:tplc="D9A07818">
      <w:start w:val="1"/>
      <w:numFmt w:val="decimal"/>
      <w:lvlText w:val="%9."/>
      <w:lvlJc w:val="left"/>
      <w:pPr>
        <w:ind w:left="720" w:hanging="360"/>
      </w:pPr>
    </w:lvl>
  </w:abstractNum>
  <w:abstractNum w:abstractNumId="1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B863B6"/>
    <w:multiLevelType w:val="hybridMultilevel"/>
    <w:tmpl w:val="4F608346"/>
    <w:lvl w:ilvl="0" w:tplc="7436CE2E">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1F48BC"/>
    <w:multiLevelType w:val="hybridMultilevel"/>
    <w:tmpl w:val="2842D8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98738A6"/>
    <w:multiLevelType w:val="hybridMultilevel"/>
    <w:tmpl w:val="DAD4B998"/>
    <w:lvl w:ilvl="0" w:tplc="85C8CB96">
      <w:start w:val="1"/>
      <w:numFmt w:val="bullet"/>
      <w:lvlText w:val=""/>
      <w:lvlJc w:val="left"/>
      <w:pPr>
        <w:ind w:left="1020" w:hanging="360"/>
      </w:pPr>
      <w:rPr>
        <w:rFonts w:ascii="Symbol" w:hAnsi="Symbol"/>
      </w:rPr>
    </w:lvl>
    <w:lvl w:ilvl="1" w:tplc="EA428CAE">
      <w:start w:val="1"/>
      <w:numFmt w:val="bullet"/>
      <w:lvlText w:val=""/>
      <w:lvlJc w:val="left"/>
      <w:pPr>
        <w:ind w:left="1020" w:hanging="360"/>
      </w:pPr>
      <w:rPr>
        <w:rFonts w:ascii="Symbol" w:hAnsi="Symbol"/>
      </w:rPr>
    </w:lvl>
    <w:lvl w:ilvl="2" w:tplc="96A4A146">
      <w:start w:val="1"/>
      <w:numFmt w:val="bullet"/>
      <w:lvlText w:val=""/>
      <w:lvlJc w:val="left"/>
      <w:pPr>
        <w:ind w:left="1020" w:hanging="360"/>
      </w:pPr>
      <w:rPr>
        <w:rFonts w:ascii="Symbol" w:hAnsi="Symbol"/>
      </w:rPr>
    </w:lvl>
    <w:lvl w:ilvl="3" w:tplc="94F8852C">
      <w:start w:val="1"/>
      <w:numFmt w:val="bullet"/>
      <w:lvlText w:val=""/>
      <w:lvlJc w:val="left"/>
      <w:pPr>
        <w:ind w:left="1020" w:hanging="360"/>
      </w:pPr>
      <w:rPr>
        <w:rFonts w:ascii="Symbol" w:hAnsi="Symbol"/>
      </w:rPr>
    </w:lvl>
    <w:lvl w:ilvl="4" w:tplc="5B58B676">
      <w:start w:val="1"/>
      <w:numFmt w:val="bullet"/>
      <w:lvlText w:val=""/>
      <w:lvlJc w:val="left"/>
      <w:pPr>
        <w:ind w:left="1020" w:hanging="360"/>
      </w:pPr>
      <w:rPr>
        <w:rFonts w:ascii="Symbol" w:hAnsi="Symbol"/>
      </w:rPr>
    </w:lvl>
    <w:lvl w:ilvl="5" w:tplc="52C0E1A4">
      <w:start w:val="1"/>
      <w:numFmt w:val="bullet"/>
      <w:lvlText w:val=""/>
      <w:lvlJc w:val="left"/>
      <w:pPr>
        <w:ind w:left="1020" w:hanging="360"/>
      </w:pPr>
      <w:rPr>
        <w:rFonts w:ascii="Symbol" w:hAnsi="Symbol"/>
      </w:rPr>
    </w:lvl>
    <w:lvl w:ilvl="6" w:tplc="F00A6C2A">
      <w:start w:val="1"/>
      <w:numFmt w:val="bullet"/>
      <w:lvlText w:val=""/>
      <w:lvlJc w:val="left"/>
      <w:pPr>
        <w:ind w:left="1020" w:hanging="360"/>
      </w:pPr>
      <w:rPr>
        <w:rFonts w:ascii="Symbol" w:hAnsi="Symbol"/>
      </w:rPr>
    </w:lvl>
    <w:lvl w:ilvl="7" w:tplc="FBF80284">
      <w:start w:val="1"/>
      <w:numFmt w:val="bullet"/>
      <w:lvlText w:val=""/>
      <w:lvlJc w:val="left"/>
      <w:pPr>
        <w:ind w:left="1020" w:hanging="360"/>
      </w:pPr>
      <w:rPr>
        <w:rFonts w:ascii="Symbol" w:hAnsi="Symbol"/>
      </w:rPr>
    </w:lvl>
    <w:lvl w:ilvl="8" w:tplc="FC7E063A">
      <w:start w:val="1"/>
      <w:numFmt w:val="bullet"/>
      <w:lvlText w:val=""/>
      <w:lvlJc w:val="left"/>
      <w:pPr>
        <w:ind w:left="1020" w:hanging="360"/>
      </w:pPr>
      <w:rPr>
        <w:rFonts w:ascii="Symbol" w:hAnsi="Symbol"/>
      </w:rPr>
    </w:lvl>
  </w:abstractNum>
  <w:abstractNum w:abstractNumId="22" w15:restartNumberingAfterBreak="0">
    <w:nsid w:val="6D1F7EF9"/>
    <w:multiLevelType w:val="hybridMultilevel"/>
    <w:tmpl w:val="DDC09D9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6D756FF0"/>
    <w:multiLevelType w:val="hybridMultilevel"/>
    <w:tmpl w:val="33D00580"/>
    <w:lvl w:ilvl="0" w:tplc="51F47322">
      <w:start w:val="1"/>
      <w:numFmt w:val="decimal"/>
      <w:lvlText w:val="%1."/>
      <w:lvlJc w:val="left"/>
      <w:pPr>
        <w:ind w:left="720" w:hanging="360"/>
      </w:pPr>
    </w:lvl>
    <w:lvl w:ilvl="1" w:tplc="493870EE">
      <w:start w:val="1"/>
      <w:numFmt w:val="decimal"/>
      <w:lvlText w:val="%2."/>
      <w:lvlJc w:val="left"/>
      <w:pPr>
        <w:ind w:left="720" w:hanging="360"/>
      </w:pPr>
    </w:lvl>
    <w:lvl w:ilvl="2" w:tplc="D09A3380">
      <w:start w:val="1"/>
      <w:numFmt w:val="decimal"/>
      <w:lvlText w:val="%3."/>
      <w:lvlJc w:val="left"/>
      <w:pPr>
        <w:ind w:left="720" w:hanging="360"/>
      </w:pPr>
    </w:lvl>
    <w:lvl w:ilvl="3" w:tplc="2E1C38C4">
      <w:start w:val="1"/>
      <w:numFmt w:val="decimal"/>
      <w:lvlText w:val="%4."/>
      <w:lvlJc w:val="left"/>
      <w:pPr>
        <w:ind w:left="720" w:hanging="360"/>
      </w:pPr>
    </w:lvl>
    <w:lvl w:ilvl="4" w:tplc="1CC62692">
      <w:start w:val="1"/>
      <w:numFmt w:val="decimal"/>
      <w:lvlText w:val="%5."/>
      <w:lvlJc w:val="left"/>
      <w:pPr>
        <w:ind w:left="720" w:hanging="360"/>
      </w:pPr>
    </w:lvl>
    <w:lvl w:ilvl="5" w:tplc="1806FA02">
      <w:start w:val="1"/>
      <w:numFmt w:val="decimal"/>
      <w:lvlText w:val="%6."/>
      <w:lvlJc w:val="left"/>
      <w:pPr>
        <w:ind w:left="720" w:hanging="360"/>
      </w:pPr>
    </w:lvl>
    <w:lvl w:ilvl="6" w:tplc="E340C6F6">
      <w:start w:val="1"/>
      <w:numFmt w:val="decimal"/>
      <w:lvlText w:val="%7."/>
      <w:lvlJc w:val="left"/>
      <w:pPr>
        <w:ind w:left="720" w:hanging="360"/>
      </w:pPr>
    </w:lvl>
    <w:lvl w:ilvl="7" w:tplc="50842C60">
      <w:start w:val="1"/>
      <w:numFmt w:val="decimal"/>
      <w:lvlText w:val="%8."/>
      <w:lvlJc w:val="left"/>
      <w:pPr>
        <w:ind w:left="720" w:hanging="360"/>
      </w:pPr>
    </w:lvl>
    <w:lvl w:ilvl="8" w:tplc="BFF2249E">
      <w:start w:val="1"/>
      <w:numFmt w:val="decimal"/>
      <w:lvlText w:val="%9."/>
      <w:lvlJc w:val="left"/>
      <w:pPr>
        <w:ind w:left="720" w:hanging="360"/>
      </w:pPr>
    </w:lvl>
  </w:abstractNum>
  <w:abstractNum w:abstractNumId="24" w15:restartNumberingAfterBreak="0">
    <w:nsid w:val="72BD7B19"/>
    <w:multiLevelType w:val="hybridMultilevel"/>
    <w:tmpl w:val="8C68DD7A"/>
    <w:lvl w:ilvl="0" w:tplc="81B47C08">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3989801">
    <w:abstractNumId w:val="6"/>
  </w:num>
  <w:num w:numId="2" w16cid:durableId="1186600165">
    <w:abstractNumId w:val="4"/>
  </w:num>
  <w:num w:numId="3" w16cid:durableId="1661347771">
    <w:abstractNumId w:val="5"/>
  </w:num>
  <w:num w:numId="4" w16cid:durableId="1883903242">
    <w:abstractNumId w:val="18"/>
  </w:num>
  <w:num w:numId="5" w16cid:durableId="433521036">
    <w:abstractNumId w:val="9"/>
  </w:num>
  <w:num w:numId="6" w16cid:durableId="36124173">
    <w:abstractNumId w:val="17"/>
  </w:num>
  <w:num w:numId="7" w16cid:durableId="74474726">
    <w:abstractNumId w:val="0"/>
  </w:num>
  <w:num w:numId="8" w16cid:durableId="858203342">
    <w:abstractNumId w:val="13"/>
  </w:num>
  <w:num w:numId="9" w16cid:durableId="1869176839">
    <w:abstractNumId w:val="24"/>
  </w:num>
  <w:num w:numId="10" w16cid:durableId="294338467">
    <w:abstractNumId w:val="21"/>
  </w:num>
  <w:num w:numId="11" w16cid:durableId="767623229">
    <w:abstractNumId w:val="3"/>
  </w:num>
  <w:num w:numId="12" w16cid:durableId="1879002086">
    <w:abstractNumId w:val="1"/>
  </w:num>
  <w:num w:numId="13" w16cid:durableId="590162918">
    <w:abstractNumId w:val="23"/>
  </w:num>
  <w:num w:numId="14" w16cid:durableId="821002110">
    <w:abstractNumId w:val="2"/>
  </w:num>
  <w:num w:numId="15" w16cid:durableId="1417365966">
    <w:abstractNumId w:val="16"/>
  </w:num>
  <w:num w:numId="16" w16cid:durableId="1602568294">
    <w:abstractNumId w:val="19"/>
  </w:num>
  <w:num w:numId="17" w16cid:durableId="1654992736">
    <w:abstractNumId w:val="10"/>
  </w:num>
  <w:num w:numId="18" w16cid:durableId="512382072">
    <w:abstractNumId w:val="14"/>
  </w:num>
  <w:num w:numId="19" w16cid:durableId="280381879">
    <w:abstractNumId w:val="11"/>
  </w:num>
  <w:num w:numId="20" w16cid:durableId="655374594">
    <w:abstractNumId w:val="12"/>
  </w:num>
  <w:num w:numId="21" w16cid:durableId="1325277945">
    <w:abstractNumId w:val="22"/>
  </w:num>
  <w:num w:numId="22" w16cid:durableId="1997606133">
    <w:abstractNumId w:val="15"/>
  </w:num>
  <w:num w:numId="23" w16cid:durableId="1874885515">
    <w:abstractNumId w:val="20"/>
  </w:num>
  <w:num w:numId="24" w16cid:durableId="1237204239">
    <w:abstractNumId w:val="7"/>
  </w:num>
  <w:num w:numId="25" w16cid:durableId="1991713971">
    <w:abstractNumId w:val="8"/>
  </w:num>
  <w:num w:numId="26" w16cid:durableId="1778525059">
    <w:abstractNumId w:val="6"/>
  </w:num>
  <w:num w:numId="27" w16cid:durableId="936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6C"/>
    <w:rsid w:val="00031069"/>
    <w:rsid w:val="00070305"/>
    <w:rsid w:val="000817EA"/>
    <w:rsid w:val="000923AE"/>
    <w:rsid w:val="00094B81"/>
    <w:rsid w:val="000A288C"/>
    <w:rsid w:val="000A3CE1"/>
    <w:rsid w:val="000A3F68"/>
    <w:rsid w:val="000B2DCE"/>
    <w:rsid w:val="000B5743"/>
    <w:rsid w:val="000C2990"/>
    <w:rsid w:val="000C548E"/>
    <w:rsid w:val="000D21A0"/>
    <w:rsid w:val="000E40CB"/>
    <w:rsid w:val="000E43CB"/>
    <w:rsid w:val="000F70EA"/>
    <w:rsid w:val="00111062"/>
    <w:rsid w:val="001115E4"/>
    <w:rsid w:val="00111FF6"/>
    <w:rsid w:val="0011737A"/>
    <w:rsid w:val="00123B61"/>
    <w:rsid w:val="0012473C"/>
    <w:rsid w:val="001479AB"/>
    <w:rsid w:val="001504B5"/>
    <w:rsid w:val="001530B4"/>
    <w:rsid w:val="00154877"/>
    <w:rsid w:val="00164867"/>
    <w:rsid w:val="00164E9D"/>
    <w:rsid w:val="00165F84"/>
    <w:rsid w:val="00175CD8"/>
    <w:rsid w:val="00181006"/>
    <w:rsid w:val="0018322E"/>
    <w:rsid w:val="001A3F60"/>
    <w:rsid w:val="001A5897"/>
    <w:rsid w:val="001A71B4"/>
    <w:rsid w:val="001B39EE"/>
    <w:rsid w:val="001B6D28"/>
    <w:rsid w:val="001C3AC2"/>
    <w:rsid w:val="001D038C"/>
    <w:rsid w:val="00223117"/>
    <w:rsid w:val="00224F7E"/>
    <w:rsid w:val="002379BD"/>
    <w:rsid w:val="0024259B"/>
    <w:rsid w:val="0025661F"/>
    <w:rsid w:val="0025727B"/>
    <w:rsid w:val="0026312E"/>
    <w:rsid w:val="00266E2F"/>
    <w:rsid w:val="00270ECF"/>
    <w:rsid w:val="002813AA"/>
    <w:rsid w:val="00282263"/>
    <w:rsid w:val="00290231"/>
    <w:rsid w:val="00296A1D"/>
    <w:rsid w:val="002A75B2"/>
    <w:rsid w:val="002B1A68"/>
    <w:rsid w:val="002D1E95"/>
    <w:rsid w:val="002E0F87"/>
    <w:rsid w:val="002E3A0E"/>
    <w:rsid w:val="002E5CF1"/>
    <w:rsid w:val="002F4721"/>
    <w:rsid w:val="003008D8"/>
    <w:rsid w:val="00324A21"/>
    <w:rsid w:val="00335276"/>
    <w:rsid w:val="00337481"/>
    <w:rsid w:val="003432D7"/>
    <w:rsid w:val="003503BA"/>
    <w:rsid w:val="0035444D"/>
    <w:rsid w:val="003609D8"/>
    <w:rsid w:val="00373E42"/>
    <w:rsid w:val="0038549F"/>
    <w:rsid w:val="003A1F0D"/>
    <w:rsid w:val="003A3B19"/>
    <w:rsid w:val="003A5BF1"/>
    <w:rsid w:val="003A7C0A"/>
    <w:rsid w:val="003B3BD8"/>
    <w:rsid w:val="003B48A9"/>
    <w:rsid w:val="003F3947"/>
    <w:rsid w:val="00401E4C"/>
    <w:rsid w:val="00421CC2"/>
    <w:rsid w:val="004246B8"/>
    <w:rsid w:val="00431DF0"/>
    <w:rsid w:val="0043462A"/>
    <w:rsid w:val="00434D34"/>
    <w:rsid w:val="0045221C"/>
    <w:rsid w:val="00477111"/>
    <w:rsid w:val="00486038"/>
    <w:rsid w:val="00487299"/>
    <w:rsid w:val="00492826"/>
    <w:rsid w:val="004944D8"/>
    <w:rsid w:val="004A7CF0"/>
    <w:rsid w:val="004B6882"/>
    <w:rsid w:val="004D2D6B"/>
    <w:rsid w:val="004E18A5"/>
    <w:rsid w:val="004E4D86"/>
    <w:rsid w:val="004F3242"/>
    <w:rsid w:val="00502BD3"/>
    <w:rsid w:val="00511DB6"/>
    <w:rsid w:val="00512DE4"/>
    <w:rsid w:val="00520AF3"/>
    <w:rsid w:val="005352B9"/>
    <w:rsid w:val="0053654F"/>
    <w:rsid w:val="00541FF2"/>
    <w:rsid w:val="00546AB3"/>
    <w:rsid w:val="00554621"/>
    <w:rsid w:val="005550C4"/>
    <w:rsid w:val="00565D23"/>
    <w:rsid w:val="00567076"/>
    <w:rsid w:val="00585171"/>
    <w:rsid w:val="0058575E"/>
    <w:rsid w:val="005A0386"/>
    <w:rsid w:val="005A4C83"/>
    <w:rsid w:val="005C53C9"/>
    <w:rsid w:val="005D394B"/>
    <w:rsid w:val="00616C88"/>
    <w:rsid w:val="006435D2"/>
    <w:rsid w:val="00676A45"/>
    <w:rsid w:val="00677276"/>
    <w:rsid w:val="006A1F0B"/>
    <w:rsid w:val="006A3438"/>
    <w:rsid w:val="006A6804"/>
    <w:rsid w:val="006C06E8"/>
    <w:rsid w:val="006C250F"/>
    <w:rsid w:val="006C36D2"/>
    <w:rsid w:val="006D1A08"/>
    <w:rsid w:val="006D204B"/>
    <w:rsid w:val="006F1C36"/>
    <w:rsid w:val="0070069B"/>
    <w:rsid w:val="00710411"/>
    <w:rsid w:val="00711E48"/>
    <w:rsid w:val="00713446"/>
    <w:rsid w:val="00735F18"/>
    <w:rsid w:val="00741301"/>
    <w:rsid w:val="00741601"/>
    <w:rsid w:val="00746990"/>
    <w:rsid w:val="00755190"/>
    <w:rsid w:val="00763235"/>
    <w:rsid w:val="00780145"/>
    <w:rsid w:val="0079787A"/>
    <w:rsid w:val="007B213C"/>
    <w:rsid w:val="007D3A1D"/>
    <w:rsid w:val="007D6D75"/>
    <w:rsid w:val="007D7167"/>
    <w:rsid w:val="007E1991"/>
    <w:rsid w:val="007E446A"/>
    <w:rsid w:val="007F0A77"/>
    <w:rsid w:val="007F6F98"/>
    <w:rsid w:val="00814B89"/>
    <w:rsid w:val="00815AB2"/>
    <w:rsid w:val="00816B6C"/>
    <w:rsid w:val="0082592D"/>
    <w:rsid w:val="008329DB"/>
    <w:rsid w:val="00847B8C"/>
    <w:rsid w:val="00856E50"/>
    <w:rsid w:val="00861BA9"/>
    <w:rsid w:val="008661F4"/>
    <w:rsid w:val="00897BC5"/>
    <w:rsid w:val="008A1BDC"/>
    <w:rsid w:val="008C11F9"/>
    <w:rsid w:val="008D66F7"/>
    <w:rsid w:val="008F215F"/>
    <w:rsid w:val="008F7E81"/>
    <w:rsid w:val="0090553D"/>
    <w:rsid w:val="009055CA"/>
    <w:rsid w:val="009074C5"/>
    <w:rsid w:val="00911D09"/>
    <w:rsid w:val="00914780"/>
    <w:rsid w:val="00921339"/>
    <w:rsid w:val="009242AA"/>
    <w:rsid w:val="009258EC"/>
    <w:rsid w:val="00930D58"/>
    <w:rsid w:val="00935AB5"/>
    <w:rsid w:val="00937C47"/>
    <w:rsid w:val="009711D0"/>
    <w:rsid w:val="00980161"/>
    <w:rsid w:val="00992AA3"/>
    <w:rsid w:val="0099682B"/>
    <w:rsid w:val="00996A8A"/>
    <w:rsid w:val="009A6438"/>
    <w:rsid w:val="009B081E"/>
    <w:rsid w:val="009B47C7"/>
    <w:rsid w:val="009C580D"/>
    <w:rsid w:val="009D7626"/>
    <w:rsid w:val="009E165C"/>
    <w:rsid w:val="009E7463"/>
    <w:rsid w:val="009F4FC7"/>
    <w:rsid w:val="00A00441"/>
    <w:rsid w:val="00A05F13"/>
    <w:rsid w:val="00A06928"/>
    <w:rsid w:val="00A06A9B"/>
    <w:rsid w:val="00A1145A"/>
    <w:rsid w:val="00A1427B"/>
    <w:rsid w:val="00A14958"/>
    <w:rsid w:val="00A320C4"/>
    <w:rsid w:val="00A43F75"/>
    <w:rsid w:val="00A50DC6"/>
    <w:rsid w:val="00A626D6"/>
    <w:rsid w:val="00A74212"/>
    <w:rsid w:val="00A848FF"/>
    <w:rsid w:val="00AA79F8"/>
    <w:rsid w:val="00AB6722"/>
    <w:rsid w:val="00AB6D4C"/>
    <w:rsid w:val="00AB7CBF"/>
    <w:rsid w:val="00AC1796"/>
    <w:rsid w:val="00AD0D47"/>
    <w:rsid w:val="00AD2BE1"/>
    <w:rsid w:val="00AD6ABA"/>
    <w:rsid w:val="00AD742A"/>
    <w:rsid w:val="00AE4CCD"/>
    <w:rsid w:val="00AE5AFA"/>
    <w:rsid w:val="00AE6AD2"/>
    <w:rsid w:val="00B00AD3"/>
    <w:rsid w:val="00B113C5"/>
    <w:rsid w:val="00B146A9"/>
    <w:rsid w:val="00B2520C"/>
    <w:rsid w:val="00B3319C"/>
    <w:rsid w:val="00B34EF8"/>
    <w:rsid w:val="00B40398"/>
    <w:rsid w:val="00B435E8"/>
    <w:rsid w:val="00B447BC"/>
    <w:rsid w:val="00B45A73"/>
    <w:rsid w:val="00B46BC0"/>
    <w:rsid w:val="00B54C37"/>
    <w:rsid w:val="00B76199"/>
    <w:rsid w:val="00B81154"/>
    <w:rsid w:val="00B949DF"/>
    <w:rsid w:val="00B96DA9"/>
    <w:rsid w:val="00BA2557"/>
    <w:rsid w:val="00BA4353"/>
    <w:rsid w:val="00BC0811"/>
    <w:rsid w:val="00BC3038"/>
    <w:rsid w:val="00BD6153"/>
    <w:rsid w:val="00BE31A9"/>
    <w:rsid w:val="00C02ED1"/>
    <w:rsid w:val="00C12065"/>
    <w:rsid w:val="00C140CE"/>
    <w:rsid w:val="00C3232B"/>
    <w:rsid w:val="00C567DE"/>
    <w:rsid w:val="00C60D43"/>
    <w:rsid w:val="00C643B1"/>
    <w:rsid w:val="00C7224D"/>
    <w:rsid w:val="00C723EE"/>
    <w:rsid w:val="00C80019"/>
    <w:rsid w:val="00C8472C"/>
    <w:rsid w:val="00C91007"/>
    <w:rsid w:val="00CB0550"/>
    <w:rsid w:val="00CC1261"/>
    <w:rsid w:val="00CD63BD"/>
    <w:rsid w:val="00CD6DD2"/>
    <w:rsid w:val="00CE2345"/>
    <w:rsid w:val="00CF0E97"/>
    <w:rsid w:val="00D01D8F"/>
    <w:rsid w:val="00D078BE"/>
    <w:rsid w:val="00D10E40"/>
    <w:rsid w:val="00D11E19"/>
    <w:rsid w:val="00D11FFE"/>
    <w:rsid w:val="00D13F8A"/>
    <w:rsid w:val="00D147C1"/>
    <w:rsid w:val="00D2587F"/>
    <w:rsid w:val="00D307AD"/>
    <w:rsid w:val="00D46EA1"/>
    <w:rsid w:val="00D6047C"/>
    <w:rsid w:val="00D72CD8"/>
    <w:rsid w:val="00D73BFA"/>
    <w:rsid w:val="00D918D5"/>
    <w:rsid w:val="00D932A1"/>
    <w:rsid w:val="00DA7592"/>
    <w:rsid w:val="00DB6AE7"/>
    <w:rsid w:val="00DC5A04"/>
    <w:rsid w:val="00DC7EDC"/>
    <w:rsid w:val="00DD0882"/>
    <w:rsid w:val="00DD50EF"/>
    <w:rsid w:val="00DE3CDA"/>
    <w:rsid w:val="00DE4BFD"/>
    <w:rsid w:val="00DF1227"/>
    <w:rsid w:val="00E149A4"/>
    <w:rsid w:val="00E20777"/>
    <w:rsid w:val="00E21AF0"/>
    <w:rsid w:val="00E2544C"/>
    <w:rsid w:val="00E36DF6"/>
    <w:rsid w:val="00E46F84"/>
    <w:rsid w:val="00E53D3F"/>
    <w:rsid w:val="00E72998"/>
    <w:rsid w:val="00E73106"/>
    <w:rsid w:val="00E87B01"/>
    <w:rsid w:val="00EB4DF1"/>
    <w:rsid w:val="00EC6B9D"/>
    <w:rsid w:val="00EC76F0"/>
    <w:rsid w:val="00ED4F8F"/>
    <w:rsid w:val="00EE3A7B"/>
    <w:rsid w:val="00F0172F"/>
    <w:rsid w:val="00F02AEC"/>
    <w:rsid w:val="00F1420A"/>
    <w:rsid w:val="00F266B9"/>
    <w:rsid w:val="00F431FA"/>
    <w:rsid w:val="00F437F8"/>
    <w:rsid w:val="00F45A40"/>
    <w:rsid w:val="00F51246"/>
    <w:rsid w:val="00F56317"/>
    <w:rsid w:val="00F63DD5"/>
    <w:rsid w:val="00F72E00"/>
    <w:rsid w:val="00FA49C3"/>
    <w:rsid w:val="00FA5093"/>
    <w:rsid w:val="00FA6D3F"/>
    <w:rsid w:val="00FA74D0"/>
    <w:rsid w:val="00FB219E"/>
    <w:rsid w:val="00FB62B1"/>
    <w:rsid w:val="00FC0073"/>
    <w:rsid w:val="00FE1DD7"/>
    <w:rsid w:val="00FF62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5FE1B"/>
  <w15:chartTrackingRefBased/>
  <w15:docId w15:val="{2B1E4BE3-6A84-42BD-8E45-BD7306F7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CB"/>
    <w:rPr>
      <w:rFonts w:ascii="Arial" w:hAnsi="Arial"/>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0E43C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1"/>
    <w:qFormat/>
    <w:rsid w:val="00F02AEC"/>
    <w:pPr>
      <w:numPr>
        <w:numId w:val="1"/>
      </w:numPr>
      <w:spacing w:before="120" w:after="180" w:line="240" w:lineRule="atLeast"/>
    </w:pPr>
    <w:rPr>
      <w:rFonts w:eastAsia="Cambria" w:cs="Times New Roman"/>
      <w:color w:val="333F48"/>
    </w:rPr>
  </w:style>
  <w:style w:type="paragraph" w:styleId="ListBullet2">
    <w:name w:val="List Bullet 2"/>
    <w:basedOn w:val="Normal"/>
    <w:uiPriority w:val="1"/>
    <w:qFormat/>
    <w:rsid w:val="00F02AEC"/>
    <w:pPr>
      <w:numPr>
        <w:ilvl w:val="1"/>
        <w:numId w:val="1"/>
      </w:numPr>
      <w:spacing w:before="120" w:after="180" w:line="240" w:lineRule="atLeast"/>
      <w:ind w:left="850" w:hanging="425"/>
    </w:pPr>
    <w:rPr>
      <w:rFonts w:eastAsia="Cambria" w:cs="Times New Roman"/>
      <w:color w:val="333F48"/>
    </w:rPr>
  </w:style>
  <w:style w:type="paragraph" w:styleId="ListBullet3">
    <w:name w:val="List Bullet 3"/>
    <w:basedOn w:val="Normal"/>
    <w:uiPriority w:val="1"/>
    <w:qFormat/>
    <w:rsid w:val="00F02AEC"/>
    <w:pPr>
      <w:numPr>
        <w:numId w:val="3"/>
      </w:numPr>
      <w:spacing w:before="120" w:after="180" w:line="240" w:lineRule="atLeast"/>
      <w:ind w:left="1276" w:hanging="425"/>
    </w:pPr>
    <w:rPr>
      <w:rFonts w:eastAsia="Cambria"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B46BC0"/>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eastAsia="Cambria"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UnresolvedMention">
    <w:name w:val="Unresolved Mention"/>
    <w:basedOn w:val="DefaultParagraphFont"/>
    <w:uiPriority w:val="99"/>
    <w:semiHidden/>
    <w:unhideWhenUsed/>
    <w:rsid w:val="00373E42"/>
    <w:rPr>
      <w:color w:val="605E5C"/>
      <w:shd w:val="clear" w:color="auto" w:fill="E1DFDD"/>
    </w:rPr>
  </w:style>
  <w:style w:type="character" w:styleId="CommentReference">
    <w:name w:val="annotation reference"/>
    <w:basedOn w:val="DefaultParagraphFont"/>
    <w:uiPriority w:val="99"/>
    <w:semiHidden/>
    <w:unhideWhenUsed/>
    <w:rsid w:val="00DE3CDA"/>
    <w:rPr>
      <w:sz w:val="16"/>
      <w:szCs w:val="16"/>
    </w:rPr>
  </w:style>
  <w:style w:type="paragraph" w:styleId="CommentText">
    <w:name w:val="annotation text"/>
    <w:basedOn w:val="Normal"/>
    <w:link w:val="CommentTextChar"/>
    <w:uiPriority w:val="99"/>
    <w:unhideWhenUsed/>
    <w:rsid w:val="00DE3CDA"/>
    <w:pPr>
      <w:spacing w:line="240" w:lineRule="auto"/>
    </w:pPr>
  </w:style>
  <w:style w:type="character" w:customStyle="1" w:styleId="CommentTextChar">
    <w:name w:val="Comment Text Char"/>
    <w:basedOn w:val="DefaultParagraphFont"/>
    <w:link w:val="CommentText"/>
    <w:uiPriority w:val="99"/>
    <w:rsid w:val="00DE3CDA"/>
    <w:rPr>
      <w:rFonts w:ascii="Arial" w:hAnsi="Arial"/>
    </w:rPr>
  </w:style>
  <w:style w:type="paragraph" w:styleId="CommentSubject">
    <w:name w:val="annotation subject"/>
    <w:basedOn w:val="CommentText"/>
    <w:next w:val="CommentText"/>
    <w:link w:val="CommentSubjectChar"/>
    <w:uiPriority w:val="99"/>
    <w:semiHidden/>
    <w:unhideWhenUsed/>
    <w:rsid w:val="00DE3CDA"/>
    <w:rPr>
      <w:b/>
      <w:bCs/>
    </w:rPr>
  </w:style>
  <w:style w:type="character" w:customStyle="1" w:styleId="CommentSubjectChar">
    <w:name w:val="Comment Subject Char"/>
    <w:basedOn w:val="CommentTextChar"/>
    <w:link w:val="CommentSubject"/>
    <w:uiPriority w:val="99"/>
    <w:semiHidden/>
    <w:rsid w:val="00DE3CDA"/>
    <w:rPr>
      <w:rFonts w:ascii="Arial" w:hAnsi="Arial"/>
      <w:b/>
      <w:bCs/>
    </w:rPr>
  </w:style>
  <w:style w:type="table" w:styleId="GridTable1Light-Accent1">
    <w:name w:val="Grid Table 1 Light Accent 1"/>
    <w:basedOn w:val="TableNormal"/>
    <w:uiPriority w:val="46"/>
    <w:rsid w:val="003A7C0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3A7C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3A7C0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3503BA"/>
    <w:rPr>
      <w:color w:val="954F72" w:themeColor="followedHyperlink"/>
      <w:u w:val="single"/>
    </w:rPr>
  </w:style>
  <w:style w:type="paragraph" w:styleId="Revision">
    <w:name w:val="Revision"/>
    <w:hidden/>
    <w:uiPriority w:val="99"/>
    <w:semiHidden/>
    <w:rsid w:val="003503BA"/>
    <w:pPr>
      <w:spacing w:after="0" w:line="240" w:lineRule="auto"/>
    </w:pPr>
    <w:rPr>
      <w:rFonts w:ascii="Arial" w:hAnsi="Arial"/>
    </w:rPr>
  </w:style>
  <w:style w:type="paragraph" w:styleId="ListParagraph">
    <w:name w:val="List Paragraph"/>
    <w:basedOn w:val="Normal"/>
    <w:uiPriority w:val="34"/>
    <w:qFormat/>
    <w:rsid w:val="00324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6816">
      <w:bodyDiv w:val="1"/>
      <w:marLeft w:val="0"/>
      <w:marRight w:val="0"/>
      <w:marTop w:val="0"/>
      <w:marBottom w:val="0"/>
      <w:divBdr>
        <w:top w:val="none" w:sz="0" w:space="0" w:color="auto"/>
        <w:left w:val="none" w:sz="0" w:space="0" w:color="auto"/>
        <w:bottom w:val="none" w:sz="0" w:space="0" w:color="auto"/>
        <w:right w:val="none" w:sz="0" w:space="0" w:color="auto"/>
      </w:divBdr>
    </w:div>
    <w:div w:id="299582166">
      <w:bodyDiv w:val="1"/>
      <w:marLeft w:val="0"/>
      <w:marRight w:val="0"/>
      <w:marTop w:val="0"/>
      <w:marBottom w:val="0"/>
      <w:divBdr>
        <w:top w:val="none" w:sz="0" w:space="0" w:color="auto"/>
        <w:left w:val="none" w:sz="0" w:space="0" w:color="auto"/>
        <w:bottom w:val="none" w:sz="0" w:space="0" w:color="auto"/>
        <w:right w:val="none" w:sz="0" w:space="0" w:color="auto"/>
      </w:divBdr>
    </w:div>
    <w:div w:id="1651859668">
      <w:bodyDiv w:val="1"/>
      <w:marLeft w:val="0"/>
      <w:marRight w:val="0"/>
      <w:marTop w:val="0"/>
      <w:marBottom w:val="0"/>
      <w:divBdr>
        <w:top w:val="none" w:sz="0" w:space="0" w:color="auto"/>
        <w:left w:val="none" w:sz="0" w:space="0" w:color="auto"/>
        <w:bottom w:val="none" w:sz="0" w:space="0" w:color="auto"/>
        <w:right w:val="none" w:sz="0" w:space="0" w:color="auto"/>
      </w:divBdr>
    </w:div>
    <w:div w:id="180515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products/unapproved-therapeutic-goods/clinical-trials/how-we-regulate-australian-clinical-trials-use-unapproved-therapeutic-goods" TargetMode="External"/><Relationship Id="rId18" Type="http://schemas.openxmlformats.org/officeDocument/2006/relationships/hyperlink" Target="https://www.nhmrc.gov.au/about-us/publications/national-statement-ethical-conduct-human-research-2025" TargetMode="External"/><Relationship Id="rId26" Type="http://schemas.openxmlformats.org/officeDocument/2006/relationships/diagramQuickStyle" Target="diagrams/quickStyle1.xm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ich.org/page/efficacy-guidelines" TargetMode="External"/><Relationship Id="rId34" Type="http://schemas.openxmlformats.org/officeDocument/2006/relationships/hyperlink" Target="https://www.nhmrc.gov.au/guidelines-publications/eh59" TargetMode="External"/><Relationship Id="rId42" Type="http://schemas.openxmlformats.org/officeDocument/2006/relationships/hyperlink" Target="el://D25-2425065?db=A7&amp;open"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consultations.tga.gov.au/medicines-regulation-division/r3-annotations" TargetMode="External"/><Relationship Id="rId25" Type="http://schemas.openxmlformats.org/officeDocument/2006/relationships/diagramLayout" Target="diagrams/layout1.xml"/><Relationship Id="rId33" Type="http://schemas.openxmlformats.org/officeDocument/2006/relationships/hyperlink" Target="https://www.tga.gov.au/resources/publication/publications/note-guidance-clinical-safety-data-management-definitions-and-standards-expedited-reporting" TargetMode="External"/><Relationship Id="rId38" Type="http://schemas.openxmlformats.org/officeDocument/2006/relationships/footer" Target="footer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about-tga/social-media" TargetMode="External"/><Relationship Id="rId20" Type="http://schemas.openxmlformats.org/officeDocument/2006/relationships/hyperlink" Target="https://www.tga.gov.au/resources/publication/publications/ich-guideline-good-clinical-practice" TargetMode="External"/><Relationship Id="rId29" Type="http://schemas.openxmlformats.org/officeDocument/2006/relationships/hyperlink" Target="https://www.tga.gov.au/resources/resource/international-scientific-guidelines/ich-guideline-e8-r1-general-considerations-clinical-studies" TargetMode="External"/><Relationship Id="rId41"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Data" Target="diagrams/data1.xml"/><Relationship Id="rId32" Type="http://schemas.openxmlformats.org/officeDocument/2006/relationships/hyperlink" Target="https://www.tga.gov.au/how-we-regulate/manufacturing/biologicals-blood-and-tissues-and-advanced-therapies/australian-code-good-manufacturing-practice-human-blood-and-blood-components-human-tissues-and-human-cellular-therapy-products" TargetMode="External"/><Relationship Id="rId37" Type="http://schemas.openxmlformats.org/officeDocument/2006/relationships/header" Target="header3.xml"/><Relationship Id="rId40" Type="http://schemas.openxmlformats.org/officeDocument/2006/relationships/hyperlink" Target="mailto:info@tga.gov.a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resources/publication/publications/ich-guideline-good-clinical-practice" TargetMode="External"/><Relationship Id="rId23" Type="http://schemas.openxmlformats.org/officeDocument/2006/relationships/hyperlink" Target="https://www.tga.gov.au/resources/publication/publications/ich-guideline-good-clinical-practice" TargetMode="External"/><Relationship Id="rId28" Type="http://schemas.microsoft.com/office/2007/relationships/diagramDrawing" Target="diagrams/drawing1.xml"/><Relationship Id="rId36" Type="http://schemas.openxmlformats.org/officeDocument/2006/relationships/hyperlink" Target="https://consultations.tga.gov.au/medicines-regulation-division/r3-annotations" TargetMode="External"/><Relationship Id="rId10" Type="http://schemas.openxmlformats.org/officeDocument/2006/relationships/header" Target="header2.xml"/><Relationship Id="rId19" Type="http://schemas.openxmlformats.org/officeDocument/2006/relationships/hyperlink" Target="https://www.tga.gov.au/products/unapproved-therapeutic-goods/clinical-trials/how-we-regulate-australian-clinical-trials-use-unapproved-therapeutic-goods" TargetMode="External"/><Relationship Id="rId31" Type="http://schemas.openxmlformats.org/officeDocument/2006/relationships/hyperlink" Target="https://www.tga.gov.au/resources/publication/publications/pics-guide-gmp-medicinal-products-version-16"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atabase.ich.org/sites/default/files/ICH_E6%28R3%29_Step4_FinalGuideline_2025_0106.pdf" TargetMode="External"/><Relationship Id="rId22" Type="http://schemas.openxmlformats.org/officeDocument/2006/relationships/hyperlink" Target="https://consultations.tga.gov.au/medicines-regulation-division/r3-annotations" TargetMode="External"/><Relationship Id="rId27" Type="http://schemas.openxmlformats.org/officeDocument/2006/relationships/diagramColors" Target="diagrams/colors1.xml"/><Relationship Id="rId30" Type="http://schemas.openxmlformats.org/officeDocument/2006/relationships/hyperlink" Target="https://www.nhmrc.gov.au/research-policy/ethics/human-research-ethics-committees" TargetMode="External"/><Relationship Id="rId35" Type="http://schemas.openxmlformats.org/officeDocument/2006/relationships/hyperlink" Target="https://consultations.tga.gov.au/medicines-regulation-division/r3-annotations" TargetMode="External"/><Relationship Id="rId43"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84DB41-5CC4-4769-91AD-2481D672202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AU"/>
        </a:p>
      </dgm:t>
    </dgm:pt>
    <dgm:pt modelId="{242095EA-B45D-4A20-AAFA-BA169925AEA8}">
      <dgm:prSet phldrT="[Text]" custT="1"/>
      <dgm:spPr/>
      <dgm:t>
        <a:bodyPr/>
        <a:lstStyle/>
        <a:p>
          <a:r>
            <a:rPr lang="en-AU" sz="1000">
              <a:latin typeface="Arial" panose="020B0604020202020204" pitchFamily="34" charset="0"/>
              <a:cs typeface="Arial" panose="020B0604020202020204" pitchFamily="34" charset="0"/>
            </a:rPr>
            <a:t>Aug 25 - Oct 25</a:t>
          </a:r>
        </a:p>
      </dgm:t>
    </dgm:pt>
    <dgm:pt modelId="{8BDC6433-CD09-4FDF-97BB-C6252DE3837B}" type="parTrans" cxnId="{9FB37CEA-631C-4E50-AB89-4F6B44A8E76B}">
      <dgm:prSet/>
      <dgm:spPr/>
      <dgm:t>
        <a:bodyPr/>
        <a:lstStyle/>
        <a:p>
          <a:endParaRPr lang="en-AU" sz="1000">
            <a:latin typeface="Arial" panose="020B0604020202020204" pitchFamily="34" charset="0"/>
            <a:cs typeface="Arial" panose="020B0604020202020204" pitchFamily="34" charset="0"/>
          </a:endParaRPr>
        </a:p>
      </dgm:t>
    </dgm:pt>
    <dgm:pt modelId="{07D83962-B8AD-4356-BD8A-582AF05ABDDB}" type="sibTrans" cxnId="{9FB37CEA-631C-4E50-AB89-4F6B44A8E76B}">
      <dgm:prSet/>
      <dgm:spPr/>
      <dgm:t>
        <a:bodyPr/>
        <a:lstStyle/>
        <a:p>
          <a:endParaRPr lang="en-AU" sz="1000">
            <a:latin typeface="Arial" panose="020B0604020202020204" pitchFamily="34" charset="0"/>
            <a:cs typeface="Arial" panose="020B0604020202020204" pitchFamily="34" charset="0"/>
          </a:endParaRPr>
        </a:p>
      </dgm:t>
    </dgm:pt>
    <dgm:pt modelId="{13C7250A-9D6A-4ADA-B05E-7F106DCE98BA}">
      <dgm:prSet phldrT="[Text]" custT="1"/>
      <dgm:spPr/>
      <dgm:t>
        <a:bodyPr/>
        <a:lstStyle/>
        <a:p>
          <a:endParaRPr lang="en-AU" sz="1000">
            <a:latin typeface="Arial" panose="020B0604020202020204" pitchFamily="34" charset="0"/>
            <a:cs typeface="Arial" panose="020B0604020202020204" pitchFamily="34" charset="0"/>
          </a:endParaRPr>
        </a:p>
      </dgm:t>
    </dgm:pt>
    <dgm:pt modelId="{77D41B3E-216C-486B-AE1E-3CD5125D34E8}" type="parTrans" cxnId="{C9CFD998-B555-4ED5-BDE4-52BA666AC738}">
      <dgm:prSet/>
      <dgm:spPr/>
      <dgm:t>
        <a:bodyPr/>
        <a:lstStyle/>
        <a:p>
          <a:endParaRPr lang="en-AU" sz="1000">
            <a:latin typeface="Arial" panose="020B0604020202020204" pitchFamily="34" charset="0"/>
            <a:cs typeface="Arial" panose="020B0604020202020204" pitchFamily="34" charset="0"/>
          </a:endParaRPr>
        </a:p>
      </dgm:t>
    </dgm:pt>
    <dgm:pt modelId="{2B85D607-1C44-48CD-BBA9-ECF40E12014D}" type="sibTrans" cxnId="{C9CFD998-B555-4ED5-BDE4-52BA666AC738}">
      <dgm:prSet/>
      <dgm:spPr/>
      <dgm:t>
        <a:bodyPr/>
        <a:lstStyle/>
        <a:p>
          <a:endParaRPr lang="en-AU" sz="1000">
            <a:latin typeface="Arial" panose="020B0604020202020204" pitchFamily="34" charset="0"/>
            <a:cs typeface="Arial" panose="020B0604020202020204" pitchFamily="34" charset="0"/>
          </a:endParaRPr>
        </a:p>
      </dgm:t>
    </dgm:pt>
    <dgm:pt modelId="{0B13F440-1380-41DD-B5C2-CC5C454C4B9A}">
      <dgm:prSet phldrT="[Text]" custT="1"/>
      <dgm:spPr/>
      <dgm:t>
        <a:bodyPr/>
        <a:lstStyle/>
        <a:p>
          <a:r>
            <a:rPr lang="en-AU" sz="1000">
              <a:latin typeface="Arial" panose="020B0604020202020204" pitchFamily="34" charset="0"/>
              <a:cs typeface="Arial" panose="020B0604020202020204" pitchFamily="34" charset="0"/>
            </a:rPr>
            <a:t>Jan 26</a:t>
          </a:r>
        </a:p>
      </dgm:t>
    </dgm:pt>
    <dgm:pt modelId="{31A3A16C-6090-42B7-9866-2777C83E8DDC}" type="parTrans" cxnId="{EE01128F-6BF0-494B-AAE5-A42A17E24960}">
      <dgm:prSet/>
      <dgm:spPr/>
      <dgm:t>
        <a:bodyPr/>
        <a:lstStyle/>
        <a:p>
          <a:endParaRPr lang="en-AU" sz="1000">
            <a:latin typeface="Arial" panose="020B0604020202020204" pitchFamily="34" charset="0"/>
            <a:cs typeface="Arial" panose="020B0604020202020204" pitchFamily="34" charset="0"/>
          </a:endParaRPr>
        </a:p>
      </dgm:t>
    </dgm:pt>
    <dgm:pt modelId="{AB8549DD-A5C0-48F9-A8C4-3A12A4050C11}" type="sibTrans" cxnId="{EE01128F-6BF0-494B-AAE5-A42A17E24960}">
      <dgm:prSet/>
      <dgm:spPr/>
      <dgm:t>
        <a:bodyPr/>
        <a:lstStyle/>
        <a:p>
          <a:endParaRPr lang="en-AU" sz="1000">
            <a:latin typeface="Arial" panose="020B0604020202020204" pitchFamily="34" charset="0"/>
            <a:cs typeface="Arial" panose="020B0604020202020204" pitchFamily="34" charset="0"/>
          </a:endParaRPr>
        </a:p>
      </dgm:t>
    </dgm:pt>
    <dgm:pt modelId="{99C7272B-4FDD-4038-85DA-654748B9250C}">
      <dgm:prSet phldrT="[Text]" custT="1"/>
      <dgm:spPr/>
      <dgm:t>
        <a:bodyPr/>
        <a:lstStyle/>
        <a:p>
          <a:r>
            <a:rPr lang="en-AU" sz="1000">
              <a:latin typeface="Arial" panose="020B0604020202020204" pitchFamily="34" charset="0"/>
              <a:cs typeface="Arial" panose="020B0604020202020204" pitchFamily="34" charset="0"/>
            </a:rPr>
            <a:t>Jan 26 - Jan 27</a:t>
          </a:r>
        </a:p>
      </dgm:t>
    </dgm:pt>
    <dgm:pt modelId="{731CDA34-639D-4F99-9716-E3DF070CB870}" type="parTrans" cxnId="{0C958099-B22B-4029-BE4B-BC18D63BBAAE}">
      <dgm:prSet/>
      <dgm:spPr/>
      <dgm:t>
        <a:bodyPr/>
        <a:lstStyle/>
        <a:p>
          <a:endParaRPr lang="en-AU" sz="1000">
            <a:latin typeface="Arial" panose="020B0604020202020204" pitchFamily="34" charset="0"/>
            <a:cs typeface="Arial" panose="020B0604020202020204" pitchFamily="34" charset="0"/>
          </a:endParaRPr>
        </a:p>
      </dgm:t>
    </dgm:pt>
    <dgm:pt modelId="{B03C9CF8-F51A-4777-8FD7-6C97D5224D9B}" type="sibTrans" cxnId="{0C958099-B22B-4029-BE4B-BC18D63BBAAE}">
      <dgm:prSet/>
      <dgm:spPr/>
      <dgm:t>
        <a:bodyPr/>
        <a:lstStyle/>
        <a:p>
          <a:endParaRPr lang="en-AU" sz="1000">
            <a:latin typeface="Arial" panose="020B0604020202020204" pitchFamily="34" charset="0"/>
            <a:cs typeface="Arial" panose="020B0604020202020204" pitchFamily="34" charset="0"/>
          </a:endParaRPr>
        </a:p>
      </dgm:t>
    </dgm:pt>
    <dgm:pt modelId="{E98E81B2-7785-421D-A449-5F0AAC6CCAD1}">
      <dgm:prSet phldrT="[Text]" custT="1"/>
      <dgm:spPr/>
      <dgm:t>
        <a:bodyPr/>
        <a:lstStyle/>
        <a:p>
          <a:r>
            <a:rPr lang="en-AU" sz="1000">
              <a:latin typeface="Arial" panose="020B0604020202020204" pitchFamily="34" charset="0"/>
              <a:cs typeface="Arial" panose="020B0604020202020204" pitchFamily="34" charset="0"/>
            </a:rPr>
            <a:t>12 month transition period</a:t>
          </a:r>
        </a:p>
      </dgm:t>
    </dgm:pt>
    <dgm:pt modelId="{23B8BDF2-CA3E-4366-BCBC-4CE9F8E71889}" type="parTrans" cxnId="{F18A87E7-074C-45CE-A110-147732F3619E}">
      <dgm:prSet/>
      <dgm:spPr/>
      <dgm:t>
        <a:bodyPr/>
        <a:lstStyle/>
        <a:p>
          <a:endParaRPr lang="en-AU" sz="1000">
            <a:latin typeface="Arial" panose="020B0604020202020204" pitchFamily="34" charset="0"/>
            <a:cs typeface="Arial" panose="020B0604020202020204" pitchFamily="34" charset="0"/>
          </a:endParaRPr>
        </a:p>
      </dgm:t>
    </dgm:pt>
    <dgm:pt modelId="{FE9D644E-4659-4F62-894F-D15F93798693}" type="sibTrans" cxnId="{F18A87E7-074C-45CE-A110-147732F3619E}">
      <dgm:prSet/>
      <dgm:spPr/>
      <dgm:t>
        <a:bodyPr/>
        <a:lstStyle/>
        <a:p>
          <a:endParaRPr lang="en-AU" sz="1000">
            <a:latin typeface="Arial" panose="020B0604020202020204" pitchFamily="34" charset="0"/>
            <a:cs typeface="Arial" panose="020B0604020202020204" pitchFamily="34" charset="0"/>
          </a:endParaRPr>
        </a:p>
      </dgm:t>
    </dgm:pt>
    <dgm:pt modelId="{447A25F9-45CA-4AC8-9ACB-04C13F7FC353}">
      <dgm:prSet phldrT="[Text]" custT="1"/>
      <dgm:spPr/>
      <dgm:t>
        <a:bodyPr/>
        <a:lstStyle/>
        <a:p>
          <a:r>
            <a:rPr lang="en-AU" sz="1000">
              <a:latin typeface="Arial" panose="020B0604020202020204" pitchFamily="34" charset="0"/>
              <a:cs typeface="Arial" panose="020B0604020202020204" pitchFamily="34" charset="0"/>
            </a:rPr>
            <a:t>Public consultation on TGA annotations to ICH E6(R3): Principles &amp; Annex I and proposed transiton timeframe</a:t>
          </a:r>
        </a:p>
      </dgm:t>
    </dgm:pt>
    <dgm:pt modelId="{4E53954D-4100-43EA-9BEE-AE26DD8BE374}" type="parTrans" cxnId="{EEF6B3C8-BC64-48D6-8591-9A79A5C97E82}">
      <dgm:prSet/>
      <dgm:spPr/>
      <dgm:t>
        <a:bodyPr/>
        <a:lstStyle/>
        <a:p>
          <a:endParaRPr lang="en-AU"/>
        </a:p>
      </dgm:t>
    </dgm:pt>
    <dgm:pt modelId="{5D5EC8C8-05CF-45EF-B839-7746C2B9CF0C}" type="sibTrans" cxnId="{EEF6B3C8-BC64-48D6-8591-9A79A5C97E82}">
      <dgm:prSet/>
      <dgm:spPr/>
      <dgm:t>
        <a:bodyPr/>
        <a:lstStyle/>
        <a:p>
          <a:endParaRPr lang="en-AU"/>
        </a:p>
      </dgm:t>
    </dgm:pt>
    <dgm:pt modelId="{274139E9-58DF-4512-A95E-218724319737}">
      <dgm:prSet phldrT="[Text]" custT="1"/>
      <dgm:spPr/>
      <dgm:t>
        <a:bodyPr/>
        <a:lstStyle/>
        <a:p>
          <a:r>
            <a:rPr lang="en-AU" sz="1000">
              <a:latin typeface="Arial" panose="020B0604020202020204" pitchFamily="34" charset="0"/>
              <a:cs typeface="Arial" panose="020B0604020202020204" pitchFamily="34" charset="0"/>
            </a:rPr>
            <a:t>ICH E6(R2) with TGA annotations remains the current version applicable to clinical trials of medicines and biologicals regulated under the CTN and CTA schemes</a:t>
          </a:r>
        </a:p>
      </dgm:t>
    </dgm:pt>
    <dgm:pt modelId="{E5A8AB3F-842E-4EA0-955B-1E0984FAC462}" type="parTrans" cxnId="{DF64BAD4-E9A3-4BC9-9017-1BC2006F14D3}">
      <dgm:prSet/>
      <dgm:spPr/>
      <dgm:t>
        <a:bodyPr/>
        <a:lstStyle/>
        <a:p>
          <a:endParaRPr lang="en-AU"/>
        </a:p>
      </dgm:t>
    </dgm:pt>
    <dgm:pt modelId="{90138B7A-6452-4F3F-BA85-2D1F47190629}" type="sibTrans" cxnId="{DF64BAD4-E9A3-4BC9-9017-1BC2006F14D3}">
      <dgm:prSet/>
      <dgm:spPr/>
      <dgm:t>
        <a:bodyPr/>
        <a:lstStyle/>
        <a:p>
          <a:endParaRPr lang="en-AU"/>
        </a:p>
      </dgm:t>
    </dgm:pt>
    <dgm:pt modelId="{4F8E6B64-0F76-4C11-A347-D63F9406A424}">
      <dgm:prSet phldrT="[Text]" custT="1"/>
      <dgm:spPr/>
      <dgm:t>
        <a:bodyPr/>
        <a:lstStyle/>
        <a:p>
          <a:endParaRPr lang="en-AU" sz="1000">
            <a:latin typeface="Arial" panose="020B0604020202020204" pitchFamily="34" charset="0"/>
            <a:cs typeface="Arial" panose="020B0604020202020204" pitchFamily="34" charset="0"/>
          </a:endParaRPr>
        </a:p>
      </dgm:t>
    </dgm:pt>
    <dgm:pt modelId="{1085C94A-8633-4CA9-8CF7-3196A38AF08E}" type="parTrans" cxnId="{A1298994-356A-4F76-A90E-9ED66A4A6CB3}">
      <dgm:prSet/>
      <dgm:spPr/>
      <dgm:t>
        <a:bodyPr/>
        <a:lstStyle/>
        <a:p>
          <a:endParaRPr lang="en-AU"/>
        </a:p>
      </dgm:t>
    </dgm:pt>
    <dgm:pt modelId="{25DE595C-5361-4C96-80A9-7D08529AF4D7}" type="sibTrans" cxnId="{A1298994-356A-4F76-A90E-9ED66A4A6CB3}">
      <dgm:prSet/>
      <dgm:spPr/>
      <dgm:t>
        <a:bodyPr/>
        <a:lstStyle/>
        <a:p>
          <a:endParaRPr lang="en-AU"/>
        </a:p>
      </dgm:t>
    </dgm:pt>
    <dgm:pt modelId="{3C9C3C57-6885-4C4B-A98A-391FDF5E64CE}">
      <dgm:prSet custT="1"/>
      <dgm:spPr/>
      <dgm:t>
        <a:bodyPr/>
        <a:lstStyle/>
        <a:p>
          <a:r>
            <a:rPr lang="en-AU" sz="1000">
              <a:latin typeface="Arial" panose="020B0604020202020204" pitchFamily="34" charset="0"/>
              <a:cs typeface="Arial" panose="020B0604020202020204" pitchFamily="34" charset="0"/>
            </a:rPr>
            <a:t>Feb 27 onwards </a:t>
          </a:r>
        </a:p>
      </dgm:t>
    </dgm:pt>
    <dgm:pt modelId="{1E54976D-2820-4F44-BD92-25A70116F0C8}" type="parTrans" cxnId="{C8D1D69D-99CA-4971-B52C-1F7460A96156}">
      <dgm:prSet/>
      <dgm:spPr/>
      <dgm:t>
        <a:bodyPr/>
        <a:lstStyle/>
        <a:p>
          <a:endParaRPr lang="en-AU"/>
        </a:p>
      </dgm:t>
    </dgm:pt>
    <dgm:pt modelId="{5D72D4B2-7E6E-4A4A-BBAA-2B1DAC9D8076}" type="sibTrans" cxnId="{C8D1D69D-99CA-4971-B52C-1F7460A96156}">
      <dgm:prSet/>
      <dgm:spPr/>
      <dgm:t>
        <a:bodyPr/>
        <a:lstStyle/>
        <a:p>
          <a:endParaRPr lang="en-AU"/>
        </a:p>
      </dgm:t>
    </dgm:pt>
    <dgm:pt modelId="{5501E6C1-FDBD-4782-8E6F-2A050F8DE207}">
      <dgm:prSet custT="1"/>
      <dgm:spPr/>
      <dgm:t>
        <a:bodyPr/>
        <a:lstStyle/>
        <a:p>
          <a:r>
            <a:rPr lang="en-AU" sz="1000">
              <a:latin typeface="Arial" panose="020B0604020202020204" pitchFamily="34" charset="0"/>
              <a:cs typeface="Arial" panose="020B0604020202020204" pitchFamily="34" charset="0"/>
            </a:rPr>
            <a:t>TBA</a:t>
          </a:r>
        </a:p>
      </dgm:t>
    </dgm:pt>
    <dgm:pt modelId="{B5BD16A9-A249-4B1E-B073-ED12F28C22EC}" type="parTrans" cxnId="{6FE16283-FE4B-469E-A52D-F774FF442DBF}">
      <dgm:prSet/>
      <dgm:spPr/>
      <dgm:t>
        <a:bodyPr/>
        <a:lstStyle/>
        <a:p>
          <a:endParaRPr lang="en-AU"/>
        </a:p>
      </dgm:t>
    </dgm:pt>
    <dgm:pt modelId="{5C0CFE4D-2197-4D59-BC08-A1C1150C4138}" type="sibTrans" cxnId="{6FE16283-FE4B-469E-A52D-F774FF442DBF}">
      <dgm:prSet/>
      <dgm:spPr/>
      <dgm:t>
        <a:bodyPr/>
        <a:lstStyle/>
        <a:p>
          <a:endParaRPr lang="en-AU"/>
        </a:p>
      </dgm:t>
    </dgm:pt>
    <dgm:pt modelId="{C4CAE77E-77F4-4EE8-9D41-D096568D04D1}">
      <dgm:prSet phldrT="[Text]" custT="1"/>
      <dgm:spPr/>
      <dgm:t>
        <a:bodyPr/>
        <a:lstStyle/>
        <a:p>
          <a:r>
            <a:rPr lang="en-AU" sz="1000">
              <a:latin typeface="Arial" panose="020B0604020202020204" pitchFamily="34" charset="0"/>
              <a:cs typeface="Arial" panose="020B0604020202020204" pitchFamily="34" charset="0"/>
            </a:rPr>
            <a:t>Expected adoption of ICH E6(R3): Principles &amp; Annex I with TGA annotations</a:t>
          </a:r>
        </a:p>
      </dgm:t>
    </dgm:pt>
    <dgm:pt modelId="{195A0EFF-9F92-4D48-996A-93D3BD48FACC}" type="sibTrans" cxnId="{E8A094DF-AC30-4EB3-98FB-7E7D69B2E50F}">
      <dgm:prSet/>
      <dgm:spPr/>
      <dgm:t>
        <a:bodyPr/>
        <a:lstStyle/>
        <a:p>
          <a:endParaRPr lang="en-AU" sz="1000">
            <a:latin typeface="Arial" panose="020B0604020202020204" pitchFamily="34" charset="0"/>
            <a:cs typeface="Arial" panose="020B0604020202020204" pitchFamily="34" charset="0"/>
          </a:endParaRPr>
        </a:p>
      </dgm:t>
    </dgm:pt>
    <dgm:pt modelId="{3CDFC3FF-1CE1-4A5A-A8D3-75D03CA7C23C}" type="parTrans" cxnId="{E8A094DF-AC30-4EB3-98FB-7E7D69B2E50F}">
      <dgm:prSet/>
      <dgm:spPr/>
      <dgm:t>
        <a:bodyPr/>
        <a:lstStyle/>
        <a:p>
          <a:endParaRPr lang="en-AU" sz="1000">
            <a:latin typeface="Arial" panose="020B0604020202020204" pitchFamily="34" charset="0"/>
            <a:cs typeface="Arial" panose="020B0604020202020204" pitchFamily="34" charset="0"/>
          </a:endParaRPr>
        </a:p>
      </dgm:t>
    </dgm:pt>
    <dgm:pt modelId="{865CDA21-9C10-4A3B-AF39-E6CCAAF8B550}">
      <dgm:prSet phldrT="[Text]" custT="1"/>
      <dgm:spPr/>
      <dgm:t>
        <a:bodyPr/>
        <a:lstStyle/>
        <a:p>
          <a:endParaRPr lang="en-AU" sz="1000">
            <a:latin typeface="Arial" panose="020B0604020202020204" pitchFamily="34" charset="0"/>
            <a:cs typeface="Arial" panose="020B0604020202020204" pitchFamily="34" charset="0"/>
          </a:endParaRPr>
        </a:p>
      </dgm:t>
    </dgm:pt>
    <dgm:pt modelId="{04208BFA-6674-4DD8-9EAE-D8095F1535F8}" type="parTrans" cxnId="{D29F00CF-95F2-4A06-AEDD-D98DB73936B5}">
      <dgm:prSet/>
      <dgm:spPr/>
      <dgm:t>
        <a:bodyPr/>
        <a:lstStyle/>
        <a:p>
          <a:endParaRPr lang="en-AU"/>
        </a:p>
      </dgm:t>
    </dgm:pt>
    <dgm:pt modelId="{0666F812-6CAB-44BC-9009-3141FBE1CBF5}" type="sibTrans" cxnId="{D29F00CF-95F2-4A06-AEDD-D98DB73936B5}">
      <dgm:prSet/>
      <dgm:spPr/>
      <dgm:t>
        <a:bodyPr/>
        <a:lstStyle/>
        <a:p>
          <a:endParaRPr lang="en-AU"/>
        </a:p>
      </dgm:t>
    </dgm:pt>
    <dgm:pt modelId="{41F2AA94-D0DA-4FA2-9962-F6C60D20307C}">
      <dgm:prSet custT="1"/>
      <dgm:spPr/>
      <dgm:t>
        <a:bodyPr/>
        <a:lstStyle/>
        <a:p>
          <a:r>
            <a:rPr lang="en-AU" sz="1000">
              <a:latin typeface="Arial" panose="020B0604020202020204" pitchFamily="34" charset="0"/>
              <a:cs typeface="Arial" panose="020B0604020202020204" pitchFamily="34" charset="0"/>
            </a:rPr>
            <a:t>Compliance with ICH E6(R3) with TGA annotations expected to commence for all clinical trials of medicines and biologicals regulated under the CTN and CTA schemes</a:t>
          </a:r>
        </a:p>
      </dgm:t>
    </dgm:pt>
    <dgm:pt modelId="{5034BB58-9EB2-4CA6-BDF9-4D8FDF9AAB1D}" type="parTrans" cxnId="{B49C576A-1E55-4EB2-BABE-813F67446AD9}">
      <dgm:prSet/>
      <dgm:spPr/>
      <dgm:t>
        <a:bodyPr/>
        <a:lstStyle/>
        <a:p>
          <a:endParaRPr lang="en-AU"/>
        </a:p>
      </dgm:t>
    </dgm:pt>
    <dgm:pt modelId="{691D7E93-DD31-4349-94AA-378CE39B6F0A}" type="sibTrans" cxnId="{B49C576A-1E55-4EB2-BABE-813F67446AD9}">
      <dgm:prSet/>
      <dgm:spPr/>
      <dgm:t>
        <a:bodyPr/>
        <a:lstStyle/>
        <a:p>
          <a:endParaRPr lang="en-AU"/>
        </a:p>
      </dgm:t>
    </dgm:pt>
    <dgm:pt modelId="{562E785D-62DA-4CBA-A7F4-04CEFD740F84}">
      <dgm:prSet custT="1"/>
      <dgm:spPr/>
      <dgm:t>
        <a:bodyPr/>
        <a:lstStyle/>
        <a:p>
          <a:r>
            <a:rPr lang="en-AU" sz="1000">
              <a:latin typeface="Arial" panose="020B0604020202020204" pitchFamily="34" charset="0"/>
              <a:cs typeface="Arial" panose="020B0604020202020204" pitchFamily="34" charset="0"/>
            </a:rPr>
            <a:t>Consultation on ICH E6(R3) Annex 2 to be advised</a:t>
          </a:r>
        </a:p>
      </dgm:t>
    </dgm:pt>
    <dgm:pt modelId="{29ED6E69-BF67-4DBC-826A-D1C142488849}" type="parTrans" cxnId="{A0C8A1E5-C4D7-46B7-A05A-7911EDA6EB85}">
      <dgm:prSet/>
      <dgm:spPr/>
      <dgm:t>
        <a:bodyPr/>
        <a:lstStyle/>
        <a:p>
          <a:endParaRPr lang="en-AU"/>
        </a:p>
      </dgm:t>
    </dgm:pt>
    <dgm:pt modelId="{5AAEE8FC-7337-4136-B021-EC83D94E5882}" type="sibTrans" cxnId="{A0C8A1E5-C4D7-46B7-A05A-7911EDA6EB85}">
      <dgm:prSet/>
      <dgm:spPr/>
      <dgm:t>
        <a:bodyPr/>
        <a:lstStyle/>
        <a:p>
          <a:endParaRPr lang="en-AU"/>
        </a:p>
      </dgm:t>
    </dgm:pt>
    <dgm:pt modelId="{0A0A0D2A-C882-4F8E-A6F2-E4FDF67B4F95}">
      <dgm:prSet custT="1"/>
      <dgm:spPr/>
      <dgm:t>
        <a:bodyPr/>
        <a:lstStyle/>
        <a:p>
          <a:r>
            <a:rPr lang="en-AU" sz="1000">
              <a:latin typeface="Arial" panose="020B0604020202020204" pitchFamily="34" charset="0"/>
              <a:cs typeface="Arial" panose="020B0604020202020204" pitchFamily="34" charset="0"/>
            </a:rPr>
            <a:t>Expected consultation and adoption with TGA annotations as necessary   </a:t>
          </a:r>
        </a:p>
      </dgm:t>
    </dgm:pt>
    <dgm:pt modelId="{BEC3FAC3-0EDF-49AD-8BEB-DA3462497C90}" type="parTrans" cxnId="{CF7C4883-71C6-46B6-84B9-DFF2B29DC637}">
      <dgm:prSet/>
      <dgm:spPr/>
      <dgm:t>
        <a:bodyPr/>
        <a:lstStyle/>
        <a:p>
          <a:endParaRPr lang="en-AU"/>
        </a:p>
      </dgm:t>
    </dgm:pt>
    <dgm:pt modelId="{8448D8E7-8B04-4212-A9BB-FEB8779DC564}" type="sibTrans" cxnId="{CF7C4883-71C6-46B6-84B9-DFF2B29DC637}">
      <dgm:prSet/>
      <dgm:spPr/>
      <dgm:t>
        <a:bodyPr/>
        <a:lstStyle/>
        <a:p>
          <a:endParaRPr lang="en-AU"/>
        </a:p>
      </dgm:t>
    </dgm:pt>
    <dgm:pt modelId="{B639BD26-E8EB-49DC-AA8D-78C1B68ACC99}">
      <dgm:prSet phldrT="[Text]" custT="1"/>
      <dgm:spPr/>
      <dgm:t>
        <a:bodyPr/>
        <a:lstStyle/>
        <a:p>
          <a:endParaRPr lang="en-AU" sz="1000">
            <a:latin typeface="Arial" panose="020B0604020202020204" pitchFamily="34" charset="0"/>
            <a:cs typeface="Arial" panose="020B0604020202020204" pitchFamily="34" charset="0"/>
          </a:endParaRPr>
        </a:p>
      </dgm:t>
    </dgm:pt>
    <dgm:pt modelId="{E28AF581-0E3D-4A05-9403-C0EBC1C7AF4E}" type="parTrans" cxnId="{FE0F4EF9-6049-41AB-97E1-535EFFC5B584}">
      <dgm:prSet/>
      <dgm:spPr/>
      <dgm:t>
        <a:bodyPr/>
        <a:lstStyle/>
        <a:p>
          <a:endParaRPr lang="en-AU"/>
        </a:p>
      </dgm:t>
    </dgm:pt>
    <dgm:pt modelId="{7D7F56A5-85E3-4428-AF80-5DF3BEAC5815}" type="sibTrans" cxnId="{FE0F4EF9-6049-41AB-97E1-535EFFC5B584}">
      <dgm:prSet/>
      <dgm:spPr/>
      <dgm:t>
        <a:bodyPr/>
        <a:lstStyle/>
        <a:p>
          <a:endParaRPr lang="en-AU"/>
        </a:p>
      </dgm:t>
    </dgm:pt>
    <dgm:pt modelId="{3A60F5E6-0F43-410F-B5E2-022DDF7D9FBA}">
      <dgm:prSet phldrT="[Text]" custT="1"/>
      <dgm:spPr/>
      <dgm:t>
        <a:bodyPr/>
        <a:lstStyle/>
        <a:p>
          <a:r>
            <a:rPr lang="en-AU" sz="1000">
              <a:latin typeface="Arial" panose="020B0604020202020204" pitchFamily="34" charset="0"/>
              <a:cs typeface="Arial" panose="020B0604020202020204" pitchFamily="34" charset="0"/>
            </a:rPr>
            <a:t>Clinical trials of medicines and biologicals regulated under the CTN and CTA schemes must comply with either ICH E6(R2) or ICH E6(R3) with TGA annotations</a:t>
          </a:r>
        </a:p>
      </dgm:t>
    </dgm:pt>
    <dgm:pt modelId="{77C52C25-F129-4AC4-9956-93070C065030}" type="parTrans" cxnId="{9A9F85D5-E927-4038-921F-11432FF31A83}">
      <dgm:prSet/>
      <dgm:spPr/>
      <dgm:t>
        <a:bodyPr/>
        <a:lstStyle/>
        <a:p>
          <a:endParaRPr lang="en-AU"/>
        </a:p>
      </dgm:t>
    </dgm:pt>
    <dgm:pt modelId="{19701A5B-D5FF-42CC-8C80-D090FE038982}" type="sibTrans" cxnId="{9A9F85D5-E927-4038-921F-11432FF31A83}">
      <dgm:prSet/>
      <dgm:spPr/>
      <dgm:t>
        <a:bodyPr/>
        <a:lstStyle/>
        <a:p>
          <a:endParaRPr lang="en-AU"/>
        </a:p>
      </dgm:t>
    </dgm:pt>
    <dgm:pt modelId="{E45B4826-2DBF-4AF2-A4E3-3786135187B0}">
      <dgm:prSet custT="1"/>
      <dgm:spPr/>
      <dgm:t>
        <a:bodyPr/>
        <a:lstStyle/>
        <a:p>
          <a:r>
            <a:rPr lang="en-AU" sz="1000">
              <a:latin typeface="Arial" panose="020B0604020202020204" pitchFamily="34" charset="0"/>
              <a:cs typeface="Arial" panose="020B0604020202020204" pitchFamily="34" charset="0"/>
            </a:rPr>
            <a:t>Sites should maintain training records on the ICH guideline version used</a:t>
          </a:r>
        </a:p>
      </dgm:t>
    </dgm:pt>
    <dgm:pt modelId="{855C437C-0810-4E00-89F2-9849E3B00DA5}" type="parTrans" cxnId="{9CF2F548-F6DA-4B7A-A2E7-77E893C01075}">
      <dgm:prSet/>
      <dgm:spPr/>
      <dgm:t>
        <a:bodyPr/>
        <a:lstStyle/>
        <a:p>
          <a:endParaRPr lang="en-AU"/>
        </a:p>
      </dgm:t>
    </dgm:pt>
    <dgm:pt modelId="{921898CD-66B1-4B90-A998-3C6C1E41DE28}" type="sibTrans" cxnId="{9CF2F548-F6DA-4B7A-A2E7-77E893C01075}">
      <dgm:prSet/>
      <dgm:spPr/>
      <dgm:t>
        <a:bodyPr/>
        <a:lstStyle/>
        <a:p>
          <a:endParaRPr lang="en-AU"/>
        </a:p>
      </dgm:t>
    </dgm:pt>
    <dgm:pt modelId="{E2AA5ABA-8C56-45F0-B86C-9038AA51A57A}" type="pres">
      <dgm:prSet presAssocID="{0D84DB41-5CC4-4769-91AD-2481D672202F}" presName="linearFlow" presStyleCnt="0">
        <dgm:presLayoutVars>
          <dgm:dir/>
          <dgm:animLvl val="lvl"/>
          <dgm:resizeHandles val="exact"/>
        </dgm:presLayoutVars>
      </dgm:prSet>
      <dgm:spPr/>
    </dgm:pt>
    <dgm:pt modelId="{73F4F276-4E2B-4F4E-8E27-BB7DE7881232}" type="pres">
      <dgm:prSet presAssocID="{242095EA-B45D-4A20-AAFA-BA169925AEA8}" presName="composite" presStyleCnt="0"/>
      <dgm:spPr/>
    </dgm:pt>
    <dgm:pt modelId="{CA372B51-3EFB-4EC8-A60F-4A4348511DEF}" type="pres">
      <dgm:prSet presAssocID="{242095EA-B45D-4A20-AAFA-BA169925AEA8}" presName="parentText" presStyleLbl="alignNode1" presStyleIdx="0" presStyleCnt="5">
        <dgm:presLayoutVars>
          <dgm:chMax val="1"/>
          <dgm:bulletEnabled val="1"/>
        </dgm:presLayoutVars>
      </dgm:prSet>
      <dgm:spPr/>
    </dgm:pt>
    <dgm:pt modelId="{12A8337B-6FB9-48D3-8BC9-69428D836F9F}" type="pres">
      <dgm:prSet presAssocID="{242095EA-B45D-4A20-AAFA-BA169925AEA8}" presName="descendantText" presStyleLbl="alignAcc1" presStyleIdx="0" presStyleCnt="5" custScaleY="132773">
        <dgm:presLayoutVars>
          <dgm:bulletEnabled val="1"/>
        </dgm:presLayoutVars>
      </dgm:prSet>
      <dgm:spPr/>
    </dgm:pt>
    <dgm:pt modelId="{D20AAC09-27FF-4862-85E3-44858600AB3F}" type="pres">
      <dgm:prSet presAssocID="{07D83962-B8AD-4356-BD8A-582AF05ABDDB}" presName="sp" presStyleCnt="0"/>
      <dgm:spPr/>
    </dgm:pt>
    <dgm:pt modelId="{9DFB4C8F-BFA8-4462-84B1-5C6592B2CF67}" type="pres">
      <dgm:prSet presAssocID="{0B13F440-1380-41DD-B5C2-CC5C454C4B9A}" presName="composite" presStyleCnt="0"/>
      <dgm:spPr/>
    </dgm:pt>
    <dgm:pt modelId="{01379343-6759-4F0B-86C4-9BCF573CABE9}" type="pres">
      <dgm:prSet presAssocID="{0B13F440-1380-41DD-B5C2-CC5C454C4B9A}" presName="parentText" presStyleLbl="alignNode1" presStyleIdx="1" presStyleCnt="5">
        <dgm:presLayoutVars>
          <dgm:chMax val="1"/>
          <dgm:bulletEnabled val="1"/>
        </dgm:presLayoutVars>
      </dgm:prSet>
      <dgm:spPr/>
    </dgm:pt>
    <dgm:pt modelId="{1ABDE8A3-1A0B-4407-89F8-913F473CEC09}" type="pres">
      <dgm:prSet presAssocID="{0B13F440-1380-41DD-B5C2-CC5C454C4B9A}" presName="descendantText" presStyleLbl="alignAcc1" presStyleIdx="1" presStyleCnt="5">
        <dgm:presLayoutVars>
          <dgm:bulletEnabled val="1"/>
        </dgm:presLayoutVars>
      </dgm:prSet>
      <dgm:spPr/>
    </dgm:pt>
    <dgm:pt modelId="{8ABC9FB2-A511-41DC-BAB4-9D14505466C2}" type="pres">
      <dgm:prSet presAssocID="{AB8549DD-A5C0-48F9-A8C4-3A12A4050C11}" presName="sp" presStyleCnt="0"/>
      <dgm:spPr/>
    </dgm:pt>
    <dgm:pt modelId="{6404E6BB-FFA5-4B47-A4FD-C052BA1D2102}" type="pres">
      <dgm:prSet presAssocID="{99C7272B-4FDD-4038-85DA-654748B9250C}" presName="composite" presStyleCnt="0"/>
      <dgm:spPr/>
    </dgm:pt>
    <dgm:pt modelId="{9F4CFCC4-A73D-4CBF-A3B7-993089502B02}" type="pres">
      <dgm:prSet presAssocID="{99C7272B-4FDD-4038-85DA-654748B9250C}" presName="parentText" presStyleLbl="alignNode1" presStyleIdx="2" presStyleCnt="5">
        <dgm:presLayoutVars>
          <dgm:chMax val="1"/>
          <dgm:bulletEnabled val="1"/>
        </dgm:presLayoutVars>
      </dgm:prSet>
      <dgm:spPr/>
    </dgm:pt>
    <dgm:pt modelId="{74E5F154-C842-4C76-9797-8E231951F3F8}" type="pres">
      <dgm:prSet presAssocID="{99C7272B-4FDD-4038-85DA-654748B9250C}" presName="descendantText" presStyleLbl="alignAcc1" presStyleIdx="2" presStyleCnt="5" custScaleY="109081" custLinFactNeighborX="-145">
        <dgm:presLayoutVars>
          <dgm:bulletEnabled val="1"/>
        </dgm:presLayoutVars>
      </dgm:prSet>
      <dgm:spPr/>
    </dgm:pt>
    <dgm:pt modelId="{28D050E4-456F-4A84-8D9C-D4C6D65C3AE3}" type="pres">
      <dgm:prSet presAssocID="{B03C9CF8-F51A-4777-8FD7-6C97D5224D9B}" presName="sp" presStyleCnt="0"/>
      <dgm:spPr/>
    </dgm:pt>
    <dgm:pt modelId="{78837F46-3FC0-47F8-83E4-0455F3B068F9}" type="pres">
      <dgm:prSet presAssocID="{3C9C3C57-6885-4C4B-A98A-391FDF5E64CE}" presName="composite" presStyleCnt="0"/>
      <dgm:spPr/>
    </dgm:pt>
    <dgm:pt modelId="{65EF94D3-53CC-4633-876B-9A22576C5FE1}" type="pres">
      <dgm:prSet presAssocID="{3C9C3C57-6885-4C4B-A98A-391FDF5E64CE}" presName="parentText" presStyleLbl="alignNode1" presStyleIdx="3" presStyleCnt="5">
        <dgm:presLayoutVars>
          <dgm:chMax val="1"/>
          <dgm:bulletEnabled val="1"/>
        </dgm:presLayoutVars>
      </dgm:prSet>
      <dgm:spPr/>
    </dgm:pt>
    <dgm:pt modelId="{86A0446E-6FE0-4501-9440-4C378CAC7C4D}" type="pres">
      <dgm:prSet presAssocID="{3C9C3C57-6885-4C4B-A98A-391FDF5E64CE}" presName="descendantText" presStyleLbl="alignAcc1" presStyleIdx="3" presStyleCnt="5">
        <dgm:presLayoutVars>
          <dgm:bulletEnabled val="1"/>
        </dgm:presLayoutVars>
      </dgm:prSet>
      <dgm:spPr/>
    </dgm:pt>
    <dgm:pt modelId="{1D149C99-47FE-4242-9000-7AAEEFA39EBB}" type="pres">
      <dgm:prSet presAssocID="{5D72D4B2-7E6E-4A4A-BBAA-2B1DAC9D8076}" presName="sp" presStyleCnt="0"/>
      <dgm:spPr/>
    </dgm:pt>
    <dgm:pt modelId="{0085EA95-FDF3-48A8-8EED-9F5A095FB553}" type="pres">
      <dgm:prSet presAssocID="{5501E6C1-FDBD-4782-8E6F-2A050F8DE207}" presName="composite" presStyleCnt="0"/>
      <dgm:spPr/>
    </dgm:pt>
    <dgm:pt modelId="{FBF17D2B-EEF7-40A1-BBE8-EF6DCC633C3C}" type="pres">
      <dgm:prSet presAssocID="{5501E6C1-FDBD-4782-8E6F-2A050F8DE207}" presName="parentText" presStyleLbl="alignNode1" presStyleIdx="4" presStyleCnt="5">
        <dgm:presLayoutVars>
          <dgm:chMax val="1"/>
          <dgm:bulletEnabled val="1"/>
        </dgm:presLayoutVars>
      </dgm:prSet>
      <dgm:spPr/>
    </dgm:pt>
    <dgm:pt modelId="{5D5CFF4D-1AF8-41B9-8983-84F7482B977B}" type="pres">
      <dgm:prSet presAssocID="{5501E6C1-FDBD-4782-8E6F-2A050F8DE207}" presName="descendantText" presStyleLbl="alignAcc1" presStyleIdx="4" presStyleCnt="5">
        <dgm:presLayoutVars>
          <dgm:bulletEnabled val="1"/>
        </dgm:presLayoutVars>
      </dgm:prSet>
      <dgm:spPr/>
    </dgm:pt>
  </dgm:ptLst>
  <dgm:cxnLst>
    <dgm:cxn modelId="{5040A60D-964C-4C0F-97B6-285D0E95D26C}" type="presOf" srcId="{C4CAE77E-77F4-4EE8-9D41-D096568D04D1}" destId="{1ABDE8A3-1A0B-4407-89F8-913F473CEC09}" srcOrd="0" destOrd="1" presId="urn:microsoft.com/office/officeart/2005/8/layout/chevron2"/>
    <dgm:cxn modelId="{A3DBAA33-EB32-4A08-B89A-5A5353E6CC52}" type="presOf" srcId="{4F8E6B64-0F76-4C11-A347-D63F9406A424}" destId="{1ABDE8A3-1A0B-4407-89F8-913F473CEC09}" srcOrd="0" destOrd="0" presId="urn:microsoft.com/office/officeart/2005/8/layout/chevron2"/>
    <dgm:cxn modelId="{EA1F683A-385C-4AC8-BABE-9F6345B14D14}" type="presOf" srcId="{274139E9-58DF-4512-A95E-218724319737}" destId="{12A8337B-6FB9-48D3-8BC9-69428D836F9F}" srcOrd="0" destOrd="1" presId="urn:microsoft.com/office/officeart/2005/8/layout/chevron2"/>
    <dgm:cxn modelId="{09525265-40A4-4B1E-9077-6B5BA1E4A12E}" type="presOf" srcId="{5501E6C1-FDBD-4782-8E6F-2A050F8DE207}" destId="{FBF17D2B-EEF7-40A1-BBE8-EF6DCC633C3C}" srcOrd="0" destOrd="0" presId="urn:microsoft.com/office/officeart/2005/8/layout/chevron2"/>
    <dgm:cxn modelId="{9CF2F548-F6DA-4B7A-A2E7-77E893C01075}" srcId="{99C7272B-4FDD-4038-85DA-654748B9250C}" destId="{E45B4826-2DBF-4AF2-A4E3-3786135187B0}" srcOrd="2" destOrd="0" parTransId="{855C437C-0810-4E00-89F2-9849E3B00DA5}" sibTransId="{921898CD-66B1-4B90-A998-3C6C1E41DE28}"/>
    <dgm:cxn modelId="{B49C576A-1E55-4EB2-BABE-813F67446AD9}" srcId="{3C9C3C57-6885-4C4B-A98A-391FDF5E64CE}" destId="{41F2AA94-D0DA-4FA2-9962-F6C60D20307C}" srcOrd="0" destOrd="0" parTransId="{5034BB58-9EB2-4CA6-BDF9-4D8FDF9AAB1D}" sibTransId="{691D7E93-DD31-4349-94AA-378CE39B6F0A}"/>
    <dgm:cxn modelId="{38411A6C-15F6-4797-992C-41D8D0014E3F}" type="presOf" srcId="{E45B4826-2DBF-4AF2-A4E3-3786135187B0}" destId="{74E5F154-C842-4C76-9797-8E231951F3F8}" srcOrd="0" destOrd="2" presId="urn:microsoft.com/office/officeart/2005/8/layout/chevron2"/>
    <dgm:cxn modelId="{35193E6D-3050-425A-AD01-479F30D2DE28}" type="presOf" srcId="{13C7250A-9D6A-4ADA-B05E-7F106DCE98BA}" destId="{12A8337B-6FB9-48D3-8BC9-69428D836F9F}" srcOrd="0" destOrd="2" presId="urn:microsoft.com/office/officeart/2005/8/layout/chevron2"/>
    <dgm:cxn modelId="{1A034471-17B3-4819-92BD-94E169793325}" type="presOf" srcId="{242095EA-B45D-4A20-AAFA-BA169925AEA8}" destId="{CA372B51-3EFB-4EC8-A60F-4A4348511DEF}" srcOrd="0" destOrd="0" presId="urn:microsoft.com/office/officeart/2005/8/layout/chevron2"/>
    <dgm:cxn modelId="{6FE16283-FE4B-469E-A52D-F774FF442DBF}" srcId="{0D84DB41-5CC4-4769-91AD-2481D672202F}" destId="{5501E6C1-FDBD-4782-8E6F-2A050F8DE207}" srcOrd="4" destOrd="0" parTransId="{B5BD16A9-A249-4B1E-B073-ED12F28C22EC}" sibTransId="{5C0CFE4D-2197-4D59-BC08-A1C1150C4138}"/>
    <dgm:cxn modelId="{CF7C4883-71C6-46B6-84B9-DFF2B29DC637}" srcId="{5501E6C1-FDBD-4782-8E6F-2A050F8DE207}" destId="{0A0A0D2A-C882-4F8E-A6F2-E4FDF67B4F95}" srcOrd="1" destOrd="0" parTransId="{BEC3FAC3-0EDF-49AD-8BEB-DA3462497C90}" sibTransId="{8448D8E7-8B04-4212-A9BB-FEB8779DC564}"/>
    <dgm:cxn modelId="{03D82A88-0319-4B4A-B905-C8BD764DD42C}" type="presOf" srcId="{562E785D-62DA-4CBA-A7F4-04CEFD740F84}" destId="{5D5CFF4D-1AF8-41B9-8983-84F7482B977B}" srcOrd="0" destOrd="0" presId="urn:microsoft.com/office/officeart/2005/8/layout/chevron2"/>
    <dgm:cxn modelId="{EE01128F-6BF0-494B-AAE5-A42A17E24960}" srcId="{0D84DB41-5CC4-4769-91AD-2481D672202F}" destId="{0B13F440-1380-41DD-B5C2-CC5C454C4B9A}" srcOrd="1" destOrd="0" parTransId="{31A3A16C-6090-42B7-9866-2777C83E8DDC}" sibTransId="{AB8549DD-A5C0-48F9-A8C4-3A12A4050C11}"/>
    <dgm:cxn modelId="{9F58A891-339D-42C6-AC24-882F079F5B77}" type="presOf" srcId="{3C9C3C57-6885-4C4B-A98A-391FDF5E64CE}" destId="{65EF94D3-53CC-4633-876B-9A22576C5FE1}" srcOrd="0" destOrd="0" presId="urn:microsoft.com/office/officeart/2005/8/layout/chevron2"/>
    <dgm:cxn modelId="{A1298994-356A-4F76-A90E-9ED66A4A6CB3}" srcId="{0B13F440-1380-41DD-B5C2-CC5C454C4B9A}" destId="{4F8E6B64-0F76-4C11-A347-D63F9406A424}" srcOrd="0" destOrd="0" parTransId="{1085C94A-8633-4CA9-8CF7-3196A38AF08E}" sibTransId="{25DE595C-5361-4C96-80A9-7D08529AF4D7}"/>
    <dgm:cxn modelId="{C9CFD998-B555-4ED5-BDE4-52BA666AC738}" srcId="{242095EA-B45D-4A20-AAFA-BA169925AEA8}" destId="{13C7250A-9D6A-4ADA-B05E-7F106DCE98BA}" srcOrd="2" destOrd="0" parTransId="{77D41B3E-216C-486B-AE1E-3CD5125D34E8}" sibTransId="{2B85D607-1C44-48CD-BBA9-ECF40E12014D}"/>
    <dgm:cxn modelId="{0C958099-B22B-4029-BE4B-BC18D63BBAAE}" srcId="{0D84DB41-5CC4-4769-91AD-2481D672202F}" destId="{99C7272B-4FDD-4038-85DA-654748B9250C}" srcOrd="2" destOrd="0" parTransId="{731CDA34-639D-4F99-9716-E3DF070CB870}" sibTransId="{B03C9CF8-F51A-4777-8FD7-6C97D5224D9B}"/>
    <dgm:cxn modelId="{C8D1D69D-99CA-4971-B52C-1F7460A96156}" srcId="{0D84DB41-5CC4-4769-91AD-2481D672202F}" destId="{3C9C3C57-6885-4C4B-A98A-391FDF5E64CE}" srcOrd="3" destOrd="0" parTransId="{1E54976D-2820-4F44-BD92-25A70116F0C8}" sibTransId="{5D72D4B2-7E6E-4A4A-BBAA-2B1DAC9D8076}"/>
    <dgm:cxn modelId="{E35FF49F-7609-46C8-9D28-9B218A7CD5FB}" type="presOf" srcId="{865CDA21-9C10-4A3B-AF39-E6CCAAF8B550}" destId="{1ABDE8A3-1A0B-4407-89F8-913F473CEC09}" srcOrd="0" destOrd="3" presId="urn:microsoft.com/office/officeart/2005/8/layout/chevron2"/>
    <dgm:cxn modelId="{3B4367A5-63B5-4CBF-A442-B762A333EC0B}" type="presOf" srcId="{B639BD26-E8EB-49DC-AA8D-78C1B68ACC99}" destId="{1ABDE8A3-1A0B-4407-89F8-913F473CEC09}" srcOrd="0" destOrd="2" presId="urn:microsoft.com/office/officeart/2005/8/layout/chevron2"/>
    <dgm:cxn modelId="{ED4BF6A5-A6CE-42E2-A7FA-F9C4C8B04311}" type="presOf" srcId="{0D84DB41-5CC4-4769-91AD-2481D672202F}" destId="{E2AA5ABA-8C56-45F0-B86C-9038AA51A57A}" srcOrd="0" destOrd="0" presId="urn:microsoft.com/office/officeart/2005/8/layout/chevron2"/>
    <dgm:cxn modelId="{5CB14AB9-1533-4BD9-B0DD-44867CDE4220}" type="presOf" srcId="{0A0A0D2A-C882-4F8E-A6F2-E4FDF67B4F95}" destId="{5D5CFF4D-1AF8-41B9-8983-84F7482B977B}" srcOrd="0" destOrd="1" presId="urn:microsoft.com/office/officeart/2005/8/layout/chevron2"/>
    <dgm:cxn modelId="{785037BF-F51A-4A9E-B15C-2A84F42E3F91}" type="presOf" srcId="{0B13F440-1380-41DD-B5C2-CC5C454C4B9A}" destId="{01379343-6759-4F0B-86C4-9BCF573CABE9}" srcOrd="0" destOrd="0" presId="urn:microsoft.com/office/officeart/2005/8/layout/chevron2"/>
    <dgm:cxn modelId="{EEF6B3C8-BC64-48D6-8591-9A79A5C97E82}" srcId="{242095EA-B45D-4A20-AAFA-BA169925AEA8}" destId="{447A25F9-45CA-4AC8-9ACB-04C13F7FC353}" srcOrd="0" destOrd="0" parTransId="{4E53954D-4100-43EA-9BEE-AE26DD8BE374}" sibTransId="{5D5EC8C8-05CF-45EF-B839-7746C2B9CF0C}"/>
    <dgm:cxn modelId="{D29F00CF-95F2-4A06-AEDD-D98DB73936B5}" srcId="{0B13F440-1380-41DD-B5C2-CC5C454C4B9A}" destId="{865CDA21-9C10-4A3B-AF39-E6CCAAF8B550}" srcOrd="3" destOrd="0" parTransId="{04208BFA-6674-4DD8-9EAE-D8095F1535F8}" sibTransId="{0666F812-6CAB-44BC-9009-3141FBE1CBF5}"/>
    <dgm:cxn modelId="{9BDA53CF-37F2-4F60-9998-EFC9C6F73742}" type="presOf" srcId="{E98E81B2-7785-421D-A449-5F0AAC6CCAD1}" destId="{74E5F154-C842-4C76-9797-8E231951F3F8}" srcOrd="0" destOrd="0" presId="urn:microsoft.com/office/officeart/2005/8/layout/chevron2"/>
    <dgm:cxn modelId="{DF64BAD4-E9A3-4BC9-9017-1BC2006F14D3}" srcId="{242095EA-B45D-4A20-AAFA-BA169925AEA8}" destId="{274139E9-58DF-4512-A95E-218724319737}" srcOrd="1" destOrd="0" parTransId="{E5A8AB3F-842E-4EA0-955B-1E0984FAC462}" sibTransId="{90138B7A-6452-4F3F-BA85-2D1F47190629}"/>
    <dgm:cxn modelId="{9A9F85D5-E927-4038-921F-11432FF31A83}" srcId="{99C7272B-4FDD-4038-85DA-654748B9250C}" destId="{3A60F5E6-0F43-410F-B5E2-022DDF7D9FBA}" srcOrd="1" destOrd="0" parTransId="{77C52C25-F129-4AC4-9956-93070C065030}" sibTransId="{19701A5B-D5FF-42CC-8C80-D090FE038982}"/>
    <dgm:cxn modelId="{E8A094DF-AC30-4EB3-98FB-7E7D69B2E50F}" srcId="{0B13F440-1380-41DD-B5C2-CC5C454C4B9A}" destId="{C4CAE77E-77F4-4EE8-9D41-D096568D04D1}" srcOrd="1" destOrd="0" parTransId="{3CDFC3FF-1CE1-4A5A-A8D3-75D03CA7C23C}" sibTransId="{195A0EFF-9F92-4D48-996A-93D3BD48FACC}"/>
    <dgm:cxn modelId="{A0C8A1E5-C4D7-46B7-A05A-7911EDA6EB85}" srcId="{5501E6C1-FDBD-4782-8E6F-2A050F8DE207}" destId="{562E785D-62DA-4CBA-A7F4-04CEFD740F84}" srcOrd="0" destOrd="0" parTransId="{29ED6E69-BF67-4DBC-826A-D1C142488849}" sibTransId="{5AAEE8FC-7337-4136-B021-EC83D94E5882}"/>
    <dgm:cxn modelId="{F18A87E7-074C-45CE-A110-147732F3619E}" srcId="{99C7272B-4FDD-4038-85DA-654748B9250C}" destId="{E98E81B2-7785-421D-A449-5F0AAC6CCAD1}" srcOrd="0" destOrd="0" parTransId="{23B8BDF2-CA3E-4366-BCBC-4CE9F8E71889}" sibTransId="{FE9D644E-4659-4F62-894F-D15F93798693}"/>
    <dgm:cxn modelId="{915745E9-90B6-4102-9CB0-C496F259FAC3}" type="presOf" srcId="{41F2AA94-D0DA-4FA2-9962-F6C60D20307C}" destId="{86A0446E-6FE0-4501-9440-4C378CAC7C4D}" srcOrd="0" destOrd="0" presId="urn:microsoft.com/office/officeart/2005/8/layout/chevron2"/>
    <dgm:cxn modelId="{9FB37CEA-631C-4E50-AB89-4F6B44A8E76B}" srcId="{0D84DB41-5CC4-4769-91AD-2481D672202F}" destId="{242095EA-B45D-4A20-AAFA-BA169925AEA8}" srcOrd="0" destOrd="0" parTransId="{8BDC6433-CD09-4FDF-97BB-C6252DE3837B}" sibTransId="{07D83962-B8AD-4356-BD8A-582AF05ABDDB}"/>
    <dgm:cxn modelId="{064BC9F4-2F31-4050-B0CF-09C5412E1FB9}" type="presOf" srcId="{447A25F9-45CA-4AC8-9ACB-04C13F7FC353}" destId="{12A8337B-6FB9-48D3-8BC9-69428D836F9F}" srcOrd="0" destOrd="0" presId="urn:microsoft.com/office/officeart/2005/8/layout/chevron2"/>
    <dgm:cxn modelId="{AF2F72F8-0935-4651-AD39-EB32CC597F44}" type="presOf" srcId="{99C7272B-4FDD-4038-85DA-654748B9250C}" destId="{9F4CFCC4-A73D-4CBF-A3B7-993089502B02}" srcOrd="0" destOrd="0" presId="urn:microsoft.com/office/officeart/2005/8/layout/chevron2"/>
    <dgm:cxn modelId="{FE0F4EF9-6049-41AB-97E1-535EFFC5B584}" srcId="{0B13F440-1380-41DD-B5C2-CC5C454C4B9A}" destId="{B639BD26-E8EB-49DC-AA8D-78C1B68ACC99}" srcOrd="2" destOrd="0" parTransId="{E28AF581-0E3D-4A05-9403-C0EBC1C7AF4E}" sibTransId="{7D7F56A5-85E3-4428-AF80-5DF3BEAC5815}"/>
    <dgm:cxn modelId="{7E3CB8FE-D27B-49AA-8497-B1B85871BECC}" type="presOf" srcId="{3A60F5E6-0F43-410F-B5E2-022DDF7D9FBA}" destId="{74E5F154-C842-4C76-9797-8E231951F3F8}" srcOrd="0" destOrd="1" presId="urn:microsoft.com/office/officeart/2005/8/layout/chevron2"/>
    <dgm:cxn modelId="{AAC9E04D-90BA-4CE8-B1DD-36D2067EBD91}" type="presParOf" srcId="{E2AA5ABA-8C56-45F0-B86C-9038AA51A57A}" destId="{73F4F276-4E2B-4F4E-8E27-BB7DE7881232}" srcOrd="0" destOrd="0" presId="urn:microsoft.com/office/officeart/2005/8/layout/chevron2"/>
    <dgm:cxn modelId="{D853901A-D5A9-439D-915E-A0EC449BDC29}" type="presParOf" srcId="{73F4F276-4E2B-4F4E-8E27-BB7DE7881232}" destId="{CA372B51-3EFB-4EC8-A60F-4A4348511DEF}" srcOrd="0" destOrd="0" presId="urn:microsoft.com/office/officeart/2005/8/layout/chevron2"/>
    <dgm:cxn modelId="{F2EB275A-344C-4845-BE84-25F3418A7472}" type="presParOf" srcId="{73F4F276-4E2B-4F4E-8E27-BB7DE7881232}" destId="{12A8337B-6FB9-48D3-8BC9-69428D836F9F}" srcOrd="1" destOrd="0" presId="urn:microsoft.com/office/officeart/2005/8/layout/chevron2"/>
    <dgm:cxn modelId="{50FB7123-46AE-445F-A5B1-08106712595D}" type="presParOf" srcId="{E2AA5ABA-8C56-45F0-B86C-9038AA51A57A}" destId="{D20AAC09-27FF-4862-85E3-44858600AB3F}" srcOrd="1" destOrd="0" presId="urn:microsoft.com/office/officeart/2005/8/layout/chevron2"/>
    <dgm:cxn modelId="{C83CC8CC-BCC3-430B-9AA7-83E660C0B106}" type="presParOf" srcId="{E2AA5ABA-8C56-45F0-B86C-9038AA51A57A}" destId="{9DFB4C8F-BFA8-4462-84B1-5C6592B2CF67}" srcOrd="2" destOrd="0" presId="urn:microsoft.com/office/officeart/2005/8/layout/chevron2"/>
    <dgm:cxn modelId="{DB81B773-46BE-4E67-937A-D1BC340D615B}" type="presParOf" srcId="{9DFB4C8F-BFA8-4462-84B1-5C6592B2CF67}" destId="{01379343-6759-4F0B-86C4-9BCF573CABE9}" srcOrd="0" destOrd="0" presId="urn:microsoft.com/office/officeart/2005/8/layout/chevron2"/>
    <dgm:cxn modelId="{59227D5E-576C-4C42-A187-FDBF9FED9C52}" type="presParOf" srcId="{9DFB4C8F-BFA8-4462-84B1-5C6592B2CF67}" destId="{1ABDE8A3-1A0B-4407-89F8-913F473CEC09}" srcOrd="1" destOrd="0" presId="urn:microsoft.com/office/officeart/2005/8/layout/chevron2"/>
    <dgm:cxn modelId="{ACCA221C-3FF2-4441-ADA3-622CEE1F8971}" type="presParOf" srcId="{E2AA5ABA-8C56-45F0-B86C-9038AA51A57A}" destId="{8ABC9FB2-A511-41DC-BAB4-9D14505466C2}" srcOrd="3" destOrd="0" presId="urn:microsoft.com/office/officeart/2005/8/layout/chevron2"/>
    <dgm:cxn modelId="{3C693259-B755-43D7-AEB0-EDA305F019CF}" type="presParOf" srcId="{E2AA5ABA-8C56-45F0-B86C-9038AA51A57A}" destId="{6404E6BB-FFA5-4B47-A4FD-C052BA1D2102}" srcOrd="4" destOrd="0" presId="urn:microsoft.com/office/officeart/2005/8/layout/chevron2"/>
    <dgm:cxn modelId="{A299766C-49B4-4884-8117-2C775CD1E850}" type="presParOf" srcId="{6404E6BB-FFA5-4B47-A4FD-C052BA1D2102}" destId="{9F4CFCC4-A73D-4CBF-A3B7-993089502B02}" srcOrd="0" destOrd="0" presId="urn:microsoft.com/office/officeart/2005/8/layout/chevron2"/>
    <dgm:cxn modelId="{6277C0D4-170C-45E8-93A4-59900D8ECCB5}" type="presParOf" srcId="{6404E6BB-FFA5-4B47-A4FD-C052BA1D2102}" destId="{74E5F154-C842-4C76-9797-8E231951F3F8}" srcOrd="1" destOrd="0" presId="urn:microsoft.com/office/officeart/2005/8/layout/chevron2"/>
    <dgm:cxn modelId="{EA901502-6BE6-4276-9168-6BDC7F49AB0D}" type="presParOf" srcId="{E2AA5ABA-8C56-45F0-B86C-9038AA51A57A}" destId="{28D050E4-456F-4A84-8D9C-D4C6D65C3AE3}" srcOrd="5" destOrd="0" presId="urn:microsoft.com/office/officeart/2005/8/layout/chevron2"/>
    <dgm:cxn modelId="{1DE8FB3F-E55B-4E52-B422-3745E4724DF8}" type="presParOf" srcId="{E2AA5ABA-8C56-45F0-B86C-9038AA51A57A}" destId="{78837F46-3FC0-47F8-83E4-0455F3B068F9}" srcOrd="6" destOrd="0" presId="urn:microsoft.com/office/officeart/2005/8/layout/chevron2"/>
    <dgm:cxn modelId="{9578A28B-1403-4DB0-83D9-BC804B9EE192}" type="presParOf" srcId="{78837F46-3FC0-47F8-83E4-0455F3B068F9}" destId="{65EF94D3-53CC-4633-876B-9A22576C5FE1}" srcOrd="0" destOrd="0" presId="urn:microsoft.com/office/officeart/2005/8/layout/chevron2"/>
    <dgm:cxn modelId="{127606E1-4BE6-4931-A84E-9C358CE066B3}" type="presParOf" srcId="{78837F46-3FC0-47F8-83E4-0455F3B068F9}" destId="{86A0446E-6FE0-4501-9440-4C378CAC7C4D}" srcOrd="1" destOrd="0" presId="urn:microsoft.com/office/officeart/2005/8/layout/chevron2"/>
    <dgm:cxn modelId="{00B87041-5D83-4AD2-AFC0-DEA167A8927B}" type="presParOf" srcId="{E2AA5ABA-8C56-45F0-B86C-9038AA51A57A}" destId="{1D149C99-47FE-4242-9000-7AAEEFA39EBB}" srcOrd="7" destOrd="0" presId="urn:microsoft.com/office/officeart/2005/8/layout/chevron2"/>
    <dgm:cxn modelId="{E1042205-9042-4051-BA3B-51EB6FF9E5F5}" type="presParOf" srcId="{E2AA5ABA-8C56-45F0-B86C-9038AA51A57A}" destId="{0085EA95-FDF3-48A8-8EED-9F5A095FB553}" srcOrd="8" destOrd="0" presId="urn:microsoft.com/office/officeart/2005/8/layout/chevron2"/>
    <dgm:cxn modelId="{BFE83338-F9D7-46DD-810B-15E49733AE0B}" type="presParOf" srcId="{0085EA95-FDF3-48A8-8EED-9F5A095FB553}" destId="{FBF17D2B-EEF7-40A1-BBE8-EF6DCC633C3C}" srcOrd="0" destOrd="0" presId="urn:microsoft.com/office/officeart/2005/8/layout/chevron2"/>
    <dgm:cxn modelId="{EAD2862F-B56C-4976-9008-811880960083}" type="presParOf" srcId="{0085EA95-FDF3-48A8-8EED-9F5A095FB553}" destId="{5D5CFF4D-1AF8-41B9-8983-84F7482B977B}" srcOrd="1" destOrd="0" presId="urn:microsoft.com/office/officeart/2005/8/layout/chevro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72B51-3EFB-4EC8-A60F-4A4348511DEF}">
      <dsp:nvSpPr>
        <dsp:cNvPr id="0" name=""/>
        <dsp:cNvSpPr/>
      </dsp:nvSpPr>
      <dsp:spPr>
        <a:xfrm rot="5400000">
          <a:off x="-133150" y="239753"/>
          <a:ext cx="887669" cy="62136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panose="020B0604020202020204" pitchFamily="34" charset="0"/>
              <a:cs typeface="Arial" panose="020B0604020202020204" pitchFamily="34" charset="0"/>
            </a:rPr>
            <a:t>Aug 25 - Oct 25</a:t>
          </a:r>
        </a:p>
      </dsp:txBody>
      <dsp:txXfrm rot="-5400000">
        <a:off x="1" y="417286"/>
        <a:ext cx="621368" cy="266301"/>
      </dsp:txXfrm>
    </dsp:sp>
    <dsp:sp modelId="{12A8337B-6FB9-48D3-8BC9-69428D836F9F}">
      <dsp:nvSpPr>
        <dsp:cNvPr id="0" name=""/>
        <dsp:cNvSpPr/>
      </dsp:nvSpPr>
      <dsp:spPr>
        <a:xfrm rot="5400000">
          <a:off x="2670642" y="-2037268"/>
          <a:ext cx="766483" cy="486503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Public consultation on TGA annotations to ICH E6(R3): Principles &amp; Annex I and proposed transiton timeframe</a:t>
          </a:r>
        </a:p>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ICH E6(R2) with TGA annotations remains the current version applicable to clinical trials of medicines and biologicals regulated under the CTN and CTA schemes</a:t>
          </a:r>
        </a:p>
        <a:p>
          <a:pPr marL="57150" lvl="1" indent="-57150" algn="l" defTabSz="444500">
            <a:lnSpc>
              <a:spcPct val="90000"/>
            </a:lnSpc>
            <a:spcBef>
              <a:spcPct val="0"/>
            </a:spcBef>
            <a:spcAft>
              <a:spcPct val="15000"/>
            </a:spcAft>
            <a:buChar char="•"/>
          </a:pPr>
          <a:endParaRPr lang="en-AU" sz="1000" kern="1200">
            <a:latin typeface="Arial" panose="020B0604020202020204" pitchFamily="34" charset="0"/>
            <a:cs typeface="Arial" panose="020B0604020202020204" pitchFamily="34" charset="0"/>
          </a:endParaRPr>
        </a:p>
      </dsp:txBody>
      <dsp:txXfrm rot="-5400000">
        <a:off x="621369" y="49422"/>
        <a:ext cx="4827614" cy="691649"/>
      </dsp:txXfrm>
    </dsp:sp>
    <dsp:sp modelId="{01379343-6759-4F0B-86C4-9BCF573CABE9}">
      <dsp:nvSpPr>
        <dsp:cNvPr id="0" name=""/>
        <dsp:cNvSpPr/>
      </dsp:nvSpPr>
      <dsp:spPr>
        <a:xfrm rot="5400000">
          <a:off x="-133150" y="1012056"/>
          <a:ext cx="887669" cy="62136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panose="020B0604020202020204" pitchFamily="34" charset="0"/>
              <a:cs typeface="Arial" panose="020B0604020202020204" pitchFamily="34" charset="0"/>
            </a:rPr>
            <a:t>Jan 26</a:t>
          </a:r>
        </a:p>
      </dsp:txBody>
      <dsp:txXfrm rot="-5400000">
        <a:off x="1" y="1189589"/>
        <a:ext cx="621368" cy="266301"/>
      </dsp:txXfrm>
    </dsp:sp>
    <dsp:sp modelId="{1ABDE8A3-1A0B-4407-89F8-913F473CEC09}">
      <dsp:nvSpPr>
        <dsp:cNvPr id="0" name=""/>
        <dsp:cNvSpPr/>
      </dsp:nvSpPr>
      <dsp:spPr>
        <a:xfrm rot="5400000">
          <a:off x="2765391" y="-1265117"/>
          <a:ext cx="576985" cy="486503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en-AU"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Expected adoption of ICH E6(R3): Principles &amp; Annex I with TGA annotations</a:t>
          </a:r>
        </a:p>
        <a:p>
          <a:pPr marL="57150" lvl="1" indent="-57150" algn="l" defTabSz="444500">
            <a:lnSpc>
              <a:spcPct val="90000"/>
            </a:lnSpc>
            <a:spcBef>
              <a:spcPct val="0"/>
            </a:spcBef>
            <a:spcAft>
              <a:spcPct val="15000"/>
            </a:spcAft>
            <a:buChar char="•"/>
          </a:pPr>
          <a:endParaRPr lang="en-AU"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endParaRPr lang="en-AU" sz="1000" kern="1200">
            <a:latin typeface="Arial" panose="020B0604020202020204" pitchFamily="34" charset="0"/>
            <a:cs typeface="Arial" panose="020B0604020202020204" pitchFamily="34" charset="0"/>
          </a:endParaRPr>
        </a:p>
      </dsp:txBody>
      <dsp:txXfrm rot="-5400000">
        <a:off x="621368" y="907072"/>
        <a:ext cx="4836865" cy="520653"/>
      </dsp:txXfrm>
    </dsp:sp>
    <dsp:sp modelId="{9F4CFCC4-A73D-4CBF-A3B7-993089502B02}">
      <dsp:nvSpPr>
        <dsp:cNvPr id="0" name=""/>
        <dsp:cNvSpPr/>
      </dsp:nvSpPr>
      <dsp:spPr>
        <a:xfrm rot="5400000">
          <a:off x="-133150" y="1810556"/>
          <a:ext cx="887669" cy="62136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panose="020B0604020202020204" pitchFamily="34" charset="0"/>
              <a:cs typeface="Arial" panose="020B0604020202020204" pitchFamily="34" charset="0"/>
            </a:rPr>
            <a:t>Jan 26 - Jan 27</a:t>
          </a:r>
        </a:p>
      </dsp:txBody>
      <dsp:txXfrm rot="-5400000">
        <a:off x="1" y="1988089"/>
        <a:ext cx="621368" cy="266301"/>
      </dsp:txXfrm>
    </dsp:sp>
    <dsp:sp modelId="{74E5F154-C842-4C76-9797-8E231951F3F8}">
      <dsp:nvSpPr>
        <dsp:cNvPr id="0" name=""/>
        <dsp:cNvSpPr/>
      </dsp:nvSpPr>
      <dsp:spPr>
        <a:xfrm rot="5400000">
          <a:off x="2732139" y="-466616"/>
          <a:ext cx="629381" cy="486503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12 month transition period</a:t>
          </a:r>
        </a:p>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Clinical trials of medicines and biologicals regulated under the CTN and CTA schemes must comply with either ICH E6(R2) or ICH E6(R3) with TGA annotations</a:t>
          </a:r>
        </a:p>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Sites should maintain training records on the ICH guideline version used</a:t>
          </a:r>
        </a:p>
      </dsp:txBody>
      <dsp:txXfrm rot="-5400000">
        <a:off x="614314" y="1681933"/>
        <a:ext cx="4834307" cy="567933"/>
      </dsp:txXfrm>
    </dsp:sp>
    <dsp:sp modelId="{65EF94D3-53CC-4633-876B-9A22576C5FE1}">
      <dsp:nvSpPr>
        <dsp:cNvPr id="0" name=""/>
        <dsp:cNvSpPr/>
      </dsp:nvSpPr>
      <dsp:spPr>
        <a:xfrm rot="5400000">
          <a:off x="-133150" y="2582859"/>
          <a:ext cx="887669" cy="62136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panose="020B0604020202020204" pitchFamily="34" charset="0"/>
              <a:cs typeface="Arial" panose="020B0604020202020204" pitchFamily="34" charset="0"/>
            </a:rPr>
            <a:t>Feb 27 onwards </a:t>
          </a:r>
        </a:p>
      </dsp:txBody>
      <dsp:txXfrm rot="-5400000">
        <a:off x="1" y="2760392"/>
        <a:ext cx="621368" cy="266301"/>
      </dsp:txXfrm>
    </dsp:sp>
    <dsp:sp modelId="{86A0446E-6FE0-4501-9440-4C378CAC7C4D}">
      <dsp:nvSpPr>
        <dsp:cNvPr id="0" name=""/>
        <dsp:cNvSpPr/>
      </dsp:nvSpPr>
      <dsp:spPr>
        <a:xfrm rot="5400000">
          <a:off x="2765391" y="305686"/>
          <a:ext cx="576985" cy="486503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Compliance with ICH E6(R3) with TGA annotations expected to commence for all clinical trials of medicines and biologicals regulated under the CTN and CTA schemes</a:t>
          </a:r>
        </a:p>
      </dsp:txBody>
      <dsp:txXfrm rot="-5400000">
        <a:off x="621368" y="2477875"/>
        <a:ext cx="4836865" cy="520653"/>
      </dsp:txXfrm>
    </dsp:sp>
    <dsp:sp modelId="{FBF17D2B-EEF7-40A1-BBE8-EF6DCC633C3C}">
      <dsp:nvSpPr>
        <dsp:cNvPr id="0" name=""/>
        <dsp:cNvSpPr/>
      </dsp:nvSpPr>
      <dsp:spPr>
        <a:xfrm rot="5400000">
          <a:off x="-133150" y="3355162"/>
          <a:ext cx="887669" cy="62136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panose="020B0604020202020204" pitchFamily="34" charset="0"/>
              <a:cs typeface="Arial" panose="020B0604020202020204" pitchFamily="34" charset="0"/>
            </a:rPr>
            <a:t>TBA</a:t>
          </a:r>
        </a:p>
      </dsp:txBody>
      <dsp:txXfrm rot="-5400000">
        <a:off x="1" y="3532695"/>
        <a:ext cx="621368" cy="266301"/>
      </dsp:txXfrm>
    </dsp:sp>
    <dsp:sp modelId="{5D5CFF4D-1AF8-41B9-8983-84F7482B977B}">
      <dsp:nvSpPr>
        <dsp:cNvPr id="0" name=""/>
        <dsp:cNvSpPr/>
      </dsp:nvSpPr>
      <dsp:spPr>
        <a:xfrm rot="5400000">
          <a:off x="2765391" y="1077988"/>
          <a:ext cx="576985" cy="486503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Consultation on ICH E6(R3) Annex 2 to be advised</a:t>
          </a:r>
        </a:p>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Expected consultation and adoption with TGA annotations as necessary   </a:t>
          </a:r>
        </a:p>
      </dsp:txBody>
      <dsp:txXfrm rot="-5400000">
        <a:off x="621368" y="3250177"/>
        <a:ext cx="4836865" cy="52065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9356-1D96-46A6-92CE-E8C2A4E1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1066</TotalTime>
  <Pages>11</Pages>
  <Words>2488</Words>
  <Characters>14188</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Copyright</vt:lpstr>
      <vt:lpstr>    Confidentiality</vt:lpstr>
      <vt:lpstr>    &lt;Contents</vt:lpstr>
      <vt:lpstr>    About this consultation</vt:lpstr>
      <vt:lpstr>    Introduction to TGA annotations</vt:lpstr>
      <vt:lpstr>    Scope</vt:lpstr>
      <vt:lpstr>    How are TGA annotations developed?</vt:lpstr>
      <vt:lpstr>    Proposed adoption and transition timeframes</vt:lpstr>
      <vt:lpstr>    Transition period </vt:lpstr>
      <vt:lpstr>    </vt:lpstr>
      <vt:lpstr>    Proposed TGA annotations - for comment</vt:lpstr>
      <vt:lpstr>    Have your say: questions &amp; how to respond</vt:lpstr>
      <vt:lpstr>    Version history</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Michelle</dc:creator>
  <cp:keywords/>
  <dc:description/>
  <cp:lastModifiedBy>VO, Michelle</cp:lastModifiedBy>
  <cp:revision>102</cp:revision>
  <cp:lastPrinted>2025-08-28T10:59:00Z</cp:lastPrinted>
  <dcterms:created xsi:type="dcterms:W3CDTF">2025-06-05T04:23:00Z</dcterms:created>
  <dcterms:modified xsi:type="dcterms:W3CDTF">2025-08-28T11:07:00Z</dcterms:modified>
</cp:coreProperties>
</file>