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31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ED0C8B" w:rsidRPr="009401F6" w14:paraId="247334DC" w14:textId="77777777" w:rsidTr="00ED0C8B">
        <w:tc>
          <w:tcPr>
            <w:tcW w:w="8720" w:type="dxa"/>
          </w:tcPr>
          <w:p w14:paraId="5128C750" w14:textId="3674939A" w:rsidR="001D480A" w:rsidRPr="009F0230" w:rsidRDefault="00BB344A" w:rsidP="00D0307F">
            <w:pPr>
              <w:pStyle w:val="Title"/>
            </w:pPr>
            <w:bookmarkStart w:id="0" w:name="_GoBack"/>
            <w:bookmarkEnd w:id="0"/>
            <w:r>
              <w:t xml:space="preserve">Remaking </w:t>
            </w:r>
            <w:r w:rsidR="00CC46D3">
              <w:t xml:space="preserve">of </w:t>
            </w:r>
            <w:r w:rsidR="00AB537E">
              <w:t>s</w:t>
            </w:r>
            <w:r w:rsidR="00F55CA7">
              <w:t xml:space="preserve">tandards </w:t>
            </w:r>
            <w:r w:rsidR="00CC46D3">
              <w:t>and legislative instrument</w:t>
            </w:r>
            <w:r w:rsidR="007E7EF4">
              <w:t xml:space="preserve">s for </w:t>
            </w:r>
            <w:r w:rsidR="00C83318">
              <w:t>h</w:t>
            </w:r>
            <w:r w:rsidR="007E7EF4">
              <w:t>uman cell and tissue</w:t>
            </w:r>
            <w:r w:rsidR="007E7EF4" w:rsidRPr="00952EBD">
              <w:t xml:space="preserve"> </w:t>
            </w:r>
            <w:r w:rsidR="007E7EF4">
              <w:t xml:space="preserve">(HCT) products, </w:t>
            </w:r>
            <w:r w:rsidR="00C83318">
              <w:t>b</w:t>
            </w:r>
            <w:r w:rsidR="007E7EF4">
              <w:t xml:space="preserve">lood and </w:t>
            </w:r>
            <w:r w:rsidR="00C83318">
              <w:t>b</w:t>
            </w:r>
            <w:r w:rsidR="007E7EF4">
              <w:t>lood components</w:t>
            </w:r>
          </w:p>
        </w:tc>
      </w:tr>
      <w:tr w:rsidR="00ED0C8B" w:rsidRPr="009401F6" w14:paraId="3E315C95" w14:textId="77777777" w:rsidTr="00ED0C8B">
        <w:trPr>
          <w:trHeight w:val="1387"/>
        </w:trPr>
        <w:tc>
          <w:tcPr>
            <w:tcW w:w="8720" w:type="dxa"/>
          </w:tcPr>
          <w:p w14:paraId="72BFABDE" w14:textId="29BC25E3" w:rsidR="001D480A" w:rsidRPr="009401F6" w:rsidRDefault="003A5BA9" w:rsidP="00252C0A">
            <w:pPr>
              <w:pStyle w:val="Subtitle"/>
              <w:framePr w:hSpace="0" w:wrap="auto" w:vAnchor="margin" w:hAnchor="text" w:yAlign="inline"/>
            </w:pPr>
            <w:r>
              <w:t>Consultation paper</w:t>
            </w:r>
          </w:p>
        </w:tc>
      </w:tr>
      <w:tr w:rsidR="00ED0C8B" w:rsidRPr="009401F6" w14:paraId="1A518563" w14:textId="77777777" w:rsidTr="00ED0C8B">
        <w:tc>
          <w:tcPr>
            <w:tcW w:w="8720" w:type="dxa"/>
          </w:tcPr>
          <w:p w14:paraId="06B9A091" w14:textId="24894E33" w:rsidR="00ED0C8B" w:rsidRPr="009401F6" w:rsidRDefault="00ED0C8B" w:rsidP="001F3F80">
            <w:pPr>
              <w:pStyle w:val="Date"/>
              <w:rPr>
                <w:lang w:eastAsia="en-AU"/>
              </w:rPr>
            </w:pPr>
            <w:r w:rsidRPr="00936D5B">
              <w:rPr>
                <w:lang w:eastAsia="en-AU"/>
              </w:rPr>
              <w:t>Version 1.</w:t>
            </w:r>
            <w:r w:rsidR="003A5BA9" w:rsidRPr="00936D5B">
              <w:rPr>
                <w:lang w:eastAsia="en-AU"/>
              </w:rPr>
              <w:t>0</w:t>
            </w:r>
            <w:r w:rsidR="00952EBD" w:rsidRPr="00936D5B">
              <w:rPr>
                <w:lang w:eastAsia="en-AU"/>
              </w:rPr>
              <w:t xml:space="preserve">, </w:t>
            </w:r>
            <w:r w:rsidR="001F3F80">
              <w:rPr>
                <w:lang w:eastAsia="en-AU"/>
              </w:rPr>
              <w:t>May</w:t>
            </w:r>
            <w:r w:rsidR="00884757">
              <w:rPr>
                <w:lang w:eastAsia="en-AU"/>
              </w:rPr>
              <w:t xml:space="preserve"> </w:t>
            </w:r>
            <w:r w:rsidR="003C6FCF" w:rsidRPr="00936D5B">
              <w:rPr>
                <w:lang w:eastAsia="en-AU"/>
              </w:rPr>
              <w:t>20</w:t>
            </w:r>
            <w:r w:rsidR="007C6F44">
              <w:rPr>
                <w:lang w:eastAsia="en-AU"/>
              </w:rPr>
              <w:t>21</w:t>
            </w:r>
          </w:p>
        </w:tc>
      </w:tr>
    </w:tbl>
    <w:p w14:paraId="4476EEF9" w14:textId="77777777" w:rsidR="00BA6FF1" w:rsidRPr="009401F6" w:rsidRDefault="00BA6FF1" w:rsidP="007C7B5B">
      <w:pPr>
        <w:rPr>
          <w:lang w:eastAsia="en-AU"/>
        </w:rPr>
      </w:pPr>
    </w:p>
    <w:p w14:paraId="0F99B2C6" w14:textId="77777777" w:rsidR="00252C0A" w:rsidRDefault="00252C0A" w:rsidP="0054583D">
      <w:pPr>
        <w:rPr>
          <w:lang w:eastAsia="en-AU"/>
        </w:rPr>
        <w:sectPr w:rsidR="00252C0A" w:rsidSect="00B230CD">
          <w:headerReference w:type="even" r:id="rId8"/>
          <w:headerReference w:type="default" r:id="rId9"/>
          <w:footerReference w:type="even" r:id="rId10"/>
          <w:footerReference w:type="default" r:id="rId11"/>
          <w:headerReference w:type="first" r:id="rId12"/>
          <w:footerReference w:type="first" r:id="rId13"/>
          <w:type w:val="nextColumn"/>
          <w:pgSz w:w="11906" w:h="16838" w:code="9"/>
          <w:pgMar w:top="6923" w:right="1418" w:bottom="709" w:left="1418" w:header="998" w:footer="0" w:gutter="0"/>
          <w:cols w:space="708"/>
          <w:titlePg/>
          <w:docGrid w:linePitch="360"/>
        </w:sectPr>
      </w:pPr>
    </w:p>
    <w:p w14:paraId="27576ABC" w14:textId="77777777" w:rsidR="002C4508" w:rsidRPr="005D4EA1" w:rsidRDefault="002C4508" w:rsidP="002C4508">
      <w:pPr>
        <w:pStyle w:val="LegalSubheading"/>
        <w:pageBreakBefore/>
      </w:pPr>
      <w:bookmarkStart w:id="1" w:name="_Toc323738670"/>
      <w:r w:rsidRPr="00691723">
        <w:lastRenderedPageBreak/>
        <w:t>Copyright</w:t>
      </w:r>
    </w:p>
    <w:p w14:paraId="5FA66AFD" w14:textId="77777777" w:rsidR="002C4508" w:rsidRDefault="002C4508" w:rsidP="002C4508">
      <w:pPr>
        <w:pStyle w:val="LegalCopy"/>
        <w:spacing w:after="0"/>
      </w:pPr>
      <w:r w:rsidRPr="009401F6">
        <w:t>© Commonwealth of Australia 20</w:t>
      </w:r>
      <w:r>
        <w:t>21</w:t>
      </w:r>
      <w:r w:rsidRPr="009401F6">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4" w:history="1">
        <w:r w:rsidRPr="009401F6">
          <w:rPr>
            <w:rStyle w:val="Hyperlink"/>
            <w:rFonts w:cs="Arial"/>
          </w:rPr>
          <w:t>tga.copyright@tga.gov.au</w:t>
        </w:r>
      </w:hyperlink>
      <w:r w:rsidRPr="009401F6">
        <w:t>&gt;</w:t>
      </w:r>
    </w:p>
    <w:p w14:paraId="0E634AB3" w14:textId="77777777" w:rsidR="002C4508" w:rsidRPr="009401F6" w:rsidRDefault="002C4508" w:rsidP="002C4508">
      <w:pPr>
        <w:pStyle w:val="LegalSubheading"/>
      </w:pPr>
      <w:r w:rsidRPr="009401F6">
        <w:t>Confidentiality</w:t>
      </w:r>
    </w:p>
    <w:p w14:paraId="12355FE4" w14:textId="77777777" w:rsidR="002C4508" w:rsidRPr="00EB182C" w:rsidRDefault="002C4508" w:rsidP="002C4508">
      <w:pPr>
        <w:pStyle w:val="LegalCopy"/>
      </w:pPr>
      <w:r w:rsidRPr="00EB182C">
        <w:rPr>
          <w:lang w:eastAsia="en-AU"/>
        </w:rPr>
        <w:t xml:space="preserve">All submissions received will be placed on the TGA’s Internet site, unless marked confidential. Any confidential material contained within your submission should be provided under a separate cover and clearly marked </w:t>
      </w:r>
      <w:r>
        <w:rPr>
          <w:lang w:eastAsia="en-AU"/>
        </w:rPr>
        <w:t>‘</w:t>
      </w:r>
      <w:r w:rsidRPr="00EB182C">
        <w:rPr>
          <w:lang w:eastAsia="en-AU"/>
        </w:rPr>
        <w:t>IN CONFIDENCE</w:t>
      </w:r>
      <w:r>
        <w:rPr>
          <w:lang w:eastAsia="en-AU"/>
        </w:rPr>
        <w:t>’</w:t>
      </w:r>
      <w:r w:rsidRPr="00EB182C">
        <w:rPr>
          <w:lang w:eastAsia="en-AU"/>
        </w:rPr>
        <w:t>. Reasons for a claim to confidentiality must be included in the space provided on the TGA submission form. For submission made by individuals, all personal details, other than your name, will be removed from your submission before it is published on the TGA’s Internet site. In addition, a list of parties making submissions will be published. If you do not wish to be identified with your submission you must specifically request this in the space provided on the submission form.</w:t>
      </w:r>
    </w:p>
    <w:sdt>
      <w:sdtPr>
        <w:rPr>
          <w:rFonts w:ascii="Cambria" w:eastAsia="Cambria" w:hAnsi="Cambria"/>
          <w:b w:val="0"/>
          <w:bCs w:val="0"/>
          <w:color w:val="auto"/>
          <w:sz w:val="22"/>
          <w:szCs w:val="20"/>
          <w:lang w:val="en-AU"/>
        </w:rPr>
        <w:id w:val="22597951"/>
        <w:docPartObj>
          <w:docPartGallery w:val="Table of Contents"/>
          <w:docPartUnique/>
        </w:docPartObj>
      </w:sdtPr>
      <w:sdtEndPr>
        <w:rPr>
          <w:noProof/>
        </w:rPr>
      </w:sdtEndPr>
      <w:sdtContent>
        <w:p w14:paraId="7EAEC3B6" w14:textId="1360B92A" w:rsidR="00A26540" w:rsidRDefault="00A26540">
          <w:pPr>
            <w:pStyle w:val="TOCHeading"/>
          </w:pPr>
          <w:r>
            <w:t>Contents</w:t>
          </w:r>
        </w:p>
        <w:p w14:paraId="1AFF50B6" w14:textId="100327A4" w:rsidR="001C0714" w:rsidRDefault="00A26540">
          <w:pPr>
            <w:pStyle w:val="TOC2"/>
            <w:rPr>
              <w:rFonts w:asciiTheme="minorHAnsi" w:eastAsiaTheme="minorEastAsia" w:hAnsiTheme="minorHAnsi" w:cstheme="minorBidi"/>
              <w:b w:val="0"/>
              <w:noProof/>
              <w:sz w:val="22"/>
              <w:szCs w:val="22"/>
              <w:lang w:eastAsia="en-AU"/>
            </w:rPr>
          </w:pPr>
          <w:r>
            <w:fldChar w:fldCharType="begin"/>
          </w:r>
          <w:r>
            <w:instrText xml:space="preserve"> TOC \o "1-3" \h \z \u </w:instrText>
          </w:r>
          <w:r>
            <w:fldChar w:fldCharType="separate"/>
          </w:r>
          <w:hyperlink w:anchor="_Toc72918406" w:history="1">
            <w:r w:rsidR="001C0714" w:rsidRPr="00C677DF">
              <w:rPr>
                <w:rStyle w:val="Hyperlink"/>
                <w:noProof/>
              </w:rPr>
              <w:t>Purpose</w:t>
            </w:r>
            <w:r w:rsidR="001C0714">
              <w:rPr>
                <w:noProof/>
                <w:webHidden/>
              </w:rPr>
              <w:tab/>
            </w:r>
            <w:r w:rsidR="001C0714">
              <w:rPr>
                <w:noProof/>
                <w:webHidden/>
              </w:rPr>
              <w:fldChar w:fldCharType="begin"/>
            </w:r>
            <w:r w:rsidR="001C0714">
              <w:rPr>
                <w:noProof/>
                <w:webHidden/>
              </w:rPr>
              <w:instrText xml:space="preserve"> PAGEREF _Toc72918406 \h </w:instrText>
            </w:r>
            <w:r w:rsidR="001C0714">
              <w:rPr>
                <w:noProof/>
                <w:webHidden/>
              </w:rPr>
            </w:r>
            <w:r w:rsidR="001C0714">
              <w:rPr>
                <w:noProof/>
                <w:webHidden/>
              </w:rPr>
              <w:fldChar w:fldCharType="separate"/>
            </w:r>
            <w:r w:rsidR="001C0714">
              <w:rPr>
                <w:noProof/>
                <w:webHidden/>
              </w:rPr>
              <w:t>4</w:t>
            </w:r>
            <w:r w:rsidR="001C0714">
              <w:rPr>
                <w:noProof/>
                <w:webHidden/>
              </w:rPr>
              <w:fldChar w:fldCharType="end"/>
            </w:r>
          </w:hyperlink>
        </w:p>
        <w:p w14:paraId="4FC824A4" w14:textId="11489881" w:rsidR="001C0714" w:rsidRDefault="00CC4766">
          <w:pPr>
            <w:pStyle w:val="TOC2"/>
            <w:rPr>
              <w:rFonts w:asciiTheme="minorHAnsi" w:eastAsiaTheme="minorEastAsia" w:hAnsiTheme="minorHAnsi" w:cstheme="minorBidi"/>
              <w:b w:val="0"/>
              <w:noProof/>
              <w:sz w:val="22"/>
              <w:szCs w:val="22"/>
              <w:lang w:eastAsia="en-AU"/>
            </w:rPr>
          </w:pPr>
          <w:hyperlink w:anchor="_Toc72918407" w:history="1">
            <w:r w:rsidR="001C0714" w:rsidRPr="00C677DF">
              <w:rPr>
                <w:rStyle w:val="Hyperlink"/>
                <w:noProof/>
              </w:rPr>
              <w:t>Scope</w:t>
            </w:r>
            <w:r w:rsidR="001C0714">
              <w:rPr>
                <w:noProof/>
                <w:webHidden/>
              </w:rPr>
              <w:tab/>
            </w:r>
            <w:r w:rsidR="001C0714">
              <w:rPr>
                <w:noProof/>
                <w:webHidden/>
              </w:rPr>
              <w:fldChar w:fldCharType="begin"/>
            </w:r>
            <w:r w:rsidR="001C0714">
              <w:rPr>
                <w:noProof/>
                <w:webHidden/>
              </w:rPr>
              <w:instrText xml:space="preserve"> PAGEREF _Toc72918407 \h </w:instrText>
            </w:r>
            <w:r w:rsidR="001C0714">
              <w:rPr>
                <w:noProof/>
                <w:webHidden/>
              </w:rPr>
            </w:r>
            <w:r w:rsidR="001C0714">
              <w:rPr>
                <w:noProof/>
                <w:webHidden/>
              </w:rPr>
              <w:fldChar w:fldCharType="separate"/>
            </w:r>
            <w:r w:rsidR="001C0714">
              <w:rPr>
                <w:noProof/>
                <w:webHidden/>
              </w:rPr>
              <w:t>4</w:t>
            </w:r>
            <w:r w:rsidR="001C0714">
              <w:rPr>
                <w:noProof/>
                <w:webHidden/>
              </w:rPr>
              <w:fldChar w:fldCharType="end"/>
            </w:r>
          </w:hyperlink>
        </w:p>
        <w:p w14:paraId="4C328F34" w14:textId="57F189B3" w:rsidR="001C0714" w:rsidRDefault="00CC4766">
          <w:pPr>
            <w:pStyle w:val="TOC2"/>
            <w:rPr>
              <w:rFonts w:asciiTheme="minorHAnsi" w:eastAsiaTheme="minorEastAsia" w:hAnsiTheme="minorHAnsi" w:cstheme="minorBidi"/>
              <w:b w:val="0"/>
              <w:noProof/>
              <w:sz w:val="22"/>
              <w:szCs w:val="22"/>
              <w:lang w:eastAsia="en-AU"/>
            </w:rPr>
          </w:pPr>
          <w:hyperlink w:anchor="_Toc72918408" w:history="1">
            <w:r w:rsidR="001C0714" w:rsidRPr="00C677DF">
              <w:rPr>
                <w:rStyle w:val="Hyperlink"/>
                <w:noProof/>
              </w:rPr>
              <w:t>Background</w:t>
            </w:r>
            <w:r w:rsidR="001C0714">
              <w:rPr>
                <w:noProof/>
                <w:webHidden/>
              </w:rPr>
              <w:tab/>
            </w:r>
            <w:r w:rsidR="001C0714">
              <w:rPr>
                <w:noProof/>
                <w:webHidden/>
              </w:rPr>
              <w:fldChar w:fldCharType="begin"/>
            </w:r>
            <w:r w:rsidR="001C0714">
              <w:rPr>
                <w:noProof/>
                <w:webHidden/>
              </w:rPr>
              <w:instrText xml:space="preserve"> PAGEREF _Toc72918408 \h </w:instrText>
            </w:r>
            <w:r w:rsidR="001C0714">
              <w:rPr>
                <w:noProof/>
                <w:webHidden/>
              </w:rPr>
            </w:r>
            <w:r w:rsidR="001C0714">
              <w:rPr>
                <w:noProof/>
                <w:webHidden/>
              </w:rPr>
              <w:fldChar w:fldCharType="separate"/>
            </w:r>
            <w:r w:rsidR="001C0714">
              <w:rPr>
                <w:noProof/>
                <w:webHidden/>
              </w:rPr>
              <w:t>4</w:t>
            </w:r>
            <w:r w:rsidR="001C0714">
              <w:rPr>
                <w:noProof/>
                <w:webHidden/>
              </w:rPr>
              <w:fldChar w:fldCharType="end"/>
            </w:r>
          </w:hyperlink>
        </w:p>
        <w:p w14:paraId="4AAC9FBF" w14:textId="1E45E4C5" w:rsidR="001C0714" w:rsidRDefault="00CC4766">
          <w:pPr>
            <w:pStyle w:val="TOC2"/>
            <w:rPr>
              <w:rFonts w:asciiTheme="minorHAnsi" w:eastAsiaTheme="minorEastAsia" w:hAnsiTheme="minorHAnsi" w:cstheme="minorBidi"/>
              <w:b w:val="0"/>
              <w:noProof/>
              <w:sz w:val="22"/>
              <w:szCs w:val="22"/>
              <w:lang w:eastAsia="en-AU"/>
            </w:rPr>
          </w:pPr>
          <w:hyperlink w:anchor="_Toc72918409" w:history="1">
            <w:r w:rsidR="001C0714" w:rsidRPr="00C677DF">
              <w:rPr>
                <w:rStyle w:val="Hyperlink"/>
                <w:noProof/>
              </w:rPr>
              <w:t>Summary of proposed amendments</w:t>
            </w:r>
            <w:r w:rsidR="001C0714">
              <w:rPr>
                <w:noProof/>
                <w:webHidden/>
              </w:rPr>
              <w:tab/>
            </w:r>
            <w:r w:rsidR="001C0714">
              <w:rPr>
                <w:noProof/>
                <w:webHidden/>
              </w:rPr>
              <w:fldChar w:fldCharType="begin"/>
            </w:r>
            <w:r w:rsidR="001C0714">
              <w:rPr>
                <w:noProof/>
                <w:webHidden/>
              </w:rPr>
              <w:instrText xml:space="preserve"> PAGEREF _Toc72918409 \h </w:instrText>
            </w:r>
            <w:r w:rsidR="001C0714">
              <w:rPr>
                <w:noProof/>
                <w:webHidden/>
              </w:rPr>
            </w:r>
            <w:r w:rsidR="001C0714">
              <w:rPr>
                <w:noProof/>
                <w:webHidden/>
              </w:rPr>
              <w:fldChar w:fldCharType="separate"/>
            </w:r>
            <w:r w:rsidR="001C0714">
              <w:rPr>
                <w:noProof/>
                <w:webHidden/>
              </w:rPr>
              <w:t>5</w:t>
            </w:r>
            <w:r w:rsidR="001C0714">
              <w:rPr>
                <w:noProof/>
                <w:webHidden/>
              </w:rPr>
              <w:fldChar w:fldCharType="end"/>
            </w:r>
          </w:hyperlink>
        </w:p>
        <w:p w14:paraId="5B7944C4" w14:textId="3F6449BF" w:rsidR="001C0714" w:rsidRDefault="00CC4766">
          <w:pPr>
            <w:pStyle w:val="TOC3"/>
            <w:rPr>
              <w:rFonts w:asciiTheme="minorHAnsi" w:eastAsiaTheme="minorEastAsia" w:hAnsiTheme="minorHAnsi" w:cstheme="minorBidi"/>
              <w:b w:val="0"/>
              <w:noProof/>
              <w:szCs w:val="22"/>
              <w:lang w:eastAsia="en-AU"/>
            </w:rPr>
          </w:pPr>
          <w:hyperlink w:anchor="_Toc72918410" w:history="1">
            <w:r w:rsidR="001C0714" w:rsidRPr="00C677DF">
              <w:rPr>
                <w:rStyle w:val="Hyperlink"/>
                <w:noProof/>
              </w:rPr>
              <w:t>1. Proposed remade TGOs</w:t>
            </w:r>
            <w:r w:rsidR="001C0714">
              <w:rPr>
                <w:noProof/>
                <w:webHidden/>
              </w:rPr>
              <w:tab/>
            </w:r>
            <w:r w:rsidR="001C0714">
              <w:rPr>
                <w:noProof/>
                <w:webHidden/>
              </w:rPr>
              <w:fldChar w:fldCharType="begin"/>
            </w:r>
            <w:r w:rsidR="001C0714">
              <w:rPr>
                <w:noProof/>
                <w:webHidden/>
              </w:rPr>
              <w:instrText xml:space="preserve"> PAGEREF _Toc72918410 \h </w:instrText>
            </w:r>
            <w:r w:rsidR="001C0714">
              <w:rPr>
                <w:noProof/>
                <w:webHidden/>
              </w:rPr>
            </w:r>
            <w:r w:rsidR="001C0714">
              <w:rPr>
                <w:noProof/>
                <w:webHidden/>
              </w:rPr>
              <w:fldChar w:fldCharType="separate"/>
            </w:r>
            <w:r w:rsidR="001C0714">
              <w:rPr>
                <w:noProof/>
                <w:webHidden/>
              </w:rPr>
              <w:t>5</w:t>
            </w:r>
            <w:r w:rsidR="001C0714">
              <w:rPr>
                <w:noProof/>
                <w:webHidden/>
              </w:rPr>
              <w:fldChar w:fldCharType="end"/>
            </w:r>
          </w:hyperlink>
        </w:p>
        <w:p w14:paraId="564FFFFF" w14:textId="4C4B493E" w:rsidR="001C0714" w:rsidRDefault="00CC4766">
          <w:pPr>
            <w:pStyle w:val="TOC3"/>
            <w:rPr>
              <w:rFonts w:asciiTheme="minorHAnsi" w:eastAsiaTheme="minorEastAsia" w:hAnsiTheme="minorHAnsi" w:cstheme="minorBidi"/>
              <w:b w:val="0"/>
              <w:noProof/>
              <w:szCs w:val="22"/>
              <w:lang w:eastAsia="en-AU"/>
            </w:rPr>
          </w:pPr>
          <w:hyperlink w:anchor="_Toc72918411" w:history="1">
            <w:r w:rsidR="001C0714" w:rsidRPr="00C677DF">
              <w:rPr>
                <w:rStyle w:val="Hyperlink"/>
                <w:noProof/>
              </w:rPr>
              <w:t>2. Merging legislative instruments</w:t>
            </w:r>
            <w:r w:rsidR="001C0714">
              <w:rPr>
                <w:noProof/>
                <w:webHidden/>
              </w:rPr>
              <w:tab/>
            </w:r>
            <w:r w:rsidR="001C0714">
              <w:rPr>
                <w:noProof/>
                <w:webHidden/>
              </w:rPr>
              <w:fldChar w:fldCharType="begin"/>
            </w:r>
            <w:r w:rsidR="001C0714">
              <w:rPr>
                <w:noProof/>
                <w:webHidden/>
              </w:rPr>
              <w:instrText xml:space="preserve"> PAGEREF _Toc72918411 \h </w:instrText>
            </w:r>
            <w:r w:rsidR="001C0714">
              <w:rPr>
                <w:noProof/>
                <w:webHidden/>
              </w:rPr>
            </w:r>
            <w:r w:rsidR="001C0714">
              <w:rPr>
                <w:noProof/>
                <w:webHidden/>
              </w:rPr>
              <w:fldChar w:fldCharType="separate"/>
            </w:r>
            <w:r w:rsidR="001C0714">
              <w:rPr>
                <w:noProof/>
                <w:webHidden/>
              </w:rPr>
              <w:t>6</w:t>
            </w:r>
            <w:r w:rsidR="001C0714">
              <w:rPr>
                <w:noProof/>
                <w:webHidden/>
              </w:rPr>
              <w:fldChar w:fldCharType="end"/>
            </w:r>
          </w:hyperlink>
        </w:p>
        <w:p w14:paraId="561CCFF3" w14:textId="1129B6BB" w:rsidR="001C0714" w:rsidRDefault="00CC4766">
          <w:pPr>
            <w:pStyle w:val="TOC2"/>
            <w:rPr>
              <w:rFonts w:asciiTheme="minorHAnsi" w:eastAsiaTheme="minorEastAsia" w:hAnsiTheme="minorHAnsi" w:cstheme="minorBidi"/>
              <w:b w:val="0"/>
              <w:noProof/>
              <w:sz w:val="22"/>
              <w:szCs w:val="22"/>
              <w:lang w:eastAsia="en-AU"/>
            </w:rPr>
          </w:pPr>
          <w:hyperlink w:anchor="_Toc72918412" w:history="1">
            <w:r w:rsidR="001C0714" w:rsidRPr="00C677DF">
              <w:rPr>
                <w:rStyle w:val="Hyperlink"/>
                <w:noProof/>
              </w:rPr>
              <w:t>Seeking feedback</w:t>
            </w:r>
            <w:r w:rsidR="001C0714">
              <w:rPr>
                <w:noProof/>
                <w:webHidden/>
              </w:rPr>
              <w:tab/>
            </w:r>
            <w:r w:rsidR="001C0714">
              <w:rPr>
                <w:noProof/>
                <w:webHidden/>
              </w:rPr>
              <w:fldChar w:fldCharType="begin"/>
            </w:r>
            <w:r w:rsidR="001C0714">
              <w:rPr>
                <w:noProof/>
                <w:webHidden/>
              </w:rPr>
              <w:instrText xml:space="preserve"> PAGEREF _Toc72918412 \h </w:instrText>
            </w:r>
            <w:r w:rsidR="001C0714">
              <w:rPr>
                <w:noProof/>
                <w:webHidden/>
              </w:rPr>
            </w:r>
            <w:r w:rsidR="001C0714">
              <w:rPr>
                <w:noProof/>
                <w:webHidden/>
              </w:rPr>
              <w:fldChar w:fldCharType="separate"/>
            </w:r>
            <w:r w:rsidR="001C0714">
              <w:rPr>
                <w:noProof/>
                <w:webHidden/>
              </w:rPr>
              <w:t>6</w:t>
            </w:r>
            <w:r w:rsidR="001C0714">
              <w:rPr>
                <w:noProof/>
                <w:webHidden/>
              </w:rPr>
              <w:fldChar w:fldCharType="end"/>
            </w:r>
          </w:hyperlink>
        </w:p>
        <w:p w14:paraId="2A626FDA" w14:textId="3BD8261D" w:rsidR="001C0714" w:rsidRDefault="00CC4766">
          <w:pPr>
            <w:pStyle w:val="TOC2"/>
            <w:rPr>
              <w:rFonts w:asciiTheme="minorHAnsi" w:eastAsiaTheme="minorEastAsia" w:hAnsiTheme="minorHAnsi" w:cstheme="minorBidi"/>
              <w:b w:val="0"/>
              <w:noProof/>
              <w:sz w:val="22"/>
              <w:szCs w:val="22"/>
              <w:lang w:eastAsia="en-AU"/>
            </w:rPr>
          </w:pPr>
          <w:hyperlink w:anchor="_Toc72918413" w:history="1">
            <w:r w:rsidR="001C0714" w:rsidRPr="00C677DF">
              <w:rPr>
                <w:rStyle w:val="Hyperlink"/>
                <w:noProof/>
              </w:rPr>
              <w:t>Proposed amendments to TGO 107</w:t>
            </w:r>
            <w:r w:rsidR="001C0714">
              <w:rPr>
                <w:noProof/>
                <w:webHidden/>
              </w:rPr>
              <w:tab/>
            </w:r>
            <w:r w:rsidR="001C0714">
              <w:rPr>
                <w:noProof/>
                <w:webHidden/>
              </w:rPr>
              <w:fldChar w:fldCharType="begin"/>
            </w:r>
            <w:r w:rsidR="001C0714">
              <w:rPr>
                <w:noProof/>
                <w:webHidden/>
              </w:rPr>
              <w:instrText xml:space="preserve"> PAGEREF _Toc72918413 \h </w:instrText>
            </w:r>
            <w:r w:rsidR="001C0714">
              <w:rPr>
                <w:noProof/>
                <w:webHidden/>
              </w:rPr>
            </w:r>
            <w:r w:rsidR="001C0714">
              <w:rPr>
                <w:noProof/>
                <w:webHidden/>
              </w:rPr>
              <w:fldChar w:fldCharType="separate"/>
            </w:r>
            <w:r w:rsidR="001C0714">
              <w:rPr>
                <w:noProof/>
                <w:webHidden/>
              </w:rPr>
              <w:t>7</w:t>
            </w:r>
            <w:r w:rsidR="001C0714">
              <w:rPr>
                <w:noProof/>
                <w:webHidden/>
              </w:rPr>
              <w:fldChar w:fldCharType="end"/>
            </w:r>
          </w:hyperlink>
        </w:p>
        <w:p w14:paraId="1D69B81E" w14:textId="373E8D84" w:rsidR="001C0714" w:rsidRDefault="00CC4766">
          <w:pPr>
            <w:pStyle w:val="TOC3"/>
            <w:rPr>
              <w:rFonts w:asciiTheme="minorHAnsi" w:eastAsiaTheme="minorEastAsia" w:hAnsiTheme="minorHAnsi" w:cstheme="minorBidi"/>
              <w:b w:val="0"/>
              <w:noProof/>
              <w:szCs w:val="22"/>
              <w:lang w:eastAsia="en-AU"/>
            </w:rPr>
          </w:pPr>
          <w:hyperlink w:anchor="_Toc72918414" w:history="1">
            <w:r w:rsidR="001C0714" w:rsidRPr="00C677DF">
              <w:rPr>
                <w:rStyle w:val="Hyperlink"/>
                <w:noProof/>
              </w:rPr>
              <w:t>1. Modernised and more informative labelling</w:t>
            </w:r>
            <w:r w:rsidR="001C0714">
              <w:rPr>
                <w:noProof/>
                <w:webHidden/>
              </w:rPr>
              <w:tab/>
            </w:r>
            <w:r w:rsidR="001C0714">
              <w:rPr>
                <w:noProof/>
                <w:webHidden/>
              </w:rPr>
              <w:fldChar w:fldCharType="begin"/>
            </w:r>
            <w:r w:rsidR="001C0714">
              <w:rPr>
                <w:noProof/>
                <w:webHidden/>
              </w:rPr>
              <w:instrText xml:space="preserve"> PAGEREF _Toc72918414 \h </w:instrText>
            </w:r>
            <w:r w:rsidR="001C0714">
              <w:rPr>
                <w:noProof/>
                <w:webHidden/>
              </w:rPr>
            </w:r>
            <w:r w:rsidR="001C0714">
              <w:rPr>
                <w:noProof/>
                <w:webHidden/>
              </w:rPr>
              <w:fldChar w:fldCharType="separate"/>
            </w:r>
            <w:r w:rsidR="001C0714">
              <w:rPr>
                <w:noProof/>
                <w:webHidden/>
              </w:rPr>
              <w:t>7</w:t>
            </w:r>
            <w:r w:rsidR="001C0714">
              <w:rPr>
                <w:noProof/>
                <w:webHidden/>
              </w:rPr>
              <w:fldChar w:fldCharType="end"/>
            </w:r>
          </w:hyperlink>
        </w:p>
        <w:p w14:paraId="7BC91A08" w14:textId="2A93A799" w:rsidR="001C0714" w:rsidRDefault="00CC4766">
          <w:pPr>
            <w:pStyle w:val="TOC3"/>
            <w:rPr>
              <w:rFonts w:asciiTheme="minorHAnsi" w:eastAsiaTheme="minorEastAsia" w:hAnsiTheme="minorHAnsi" w:cstheme="minorBidi"/>
              <w:b w:val="0"/>
              <w:noProof/>
              <w:szCs w:val="22"/>
              <w:lang w:eastAsia="en-AU"/>
            </w:rPr>
          </w:pPr>
          <w:hyperlink w:anchor="_Toc72918415" w:history="1">
            <w:r w:rsidR="001C0714" w:rsidRPr="00C677DF">
              <w:rPr>
                <w:rStyle w:val="Hyperlink"/>
                <w:noProof/>
              </w:rPr>
              <w:t>2. Other issues</w:t>
            </w:r>
            <w:r w:rsidR="001C0714">
              <w:rPr>
                <w:noProof/>
                <w:webHidden/>
              </w:rPr>
              <w:tab/>
            </w:r>
            <w:r w:rsidR="001C0714">
              <w:rPr>
                <w:noProof/>
                <w:webHidden/>
              </w:rPr>
              <w:fldChar w:fldCharType="begin"/>
            </w:r>
            <w:r w:rsidR="001C0714">
              <w:rPr>
                <w:noProof/>
                <w:webHidden/>
              </w:rPr>
              <w:instrText xml:space="preserve"> PAGEREF _Toc72918415 \h </w:instrText>
            </w:r>
            <w:r w:rsidR="001C0714">
              <w:rPr>
                <w:noProof/>
                <w:webHidden/>
              </w:rPr>
            </w:r>
            <w:r w:rsidR="001C0714">
              <w:rPr>
                <w:noProof/>
                <w:webHidden/>
              </w:rPr>
              <w:fldChar w:fldCharType="separate"/>
            </w:r>
            <w:r w:rsidR="001C0714">
              <w:rPr>
                <w:noProof/>
                <w:webHidden/>
              </w:rPr>
              <w:t>8</w:t>
            </w:r>
            <w:r w:rsidR="001C0714">
              <w:rPr>
                <w:noProof/>
                <w:webHidden/>
              </w:rPr>
              <w:fldChar w:fldCharType="end"/>
            </w:r>
          </w:hyperlink>
        </w:p>
        <w:p w14:paraId="6CF89B84" w14:textId="636544C2" w:rsidR="001C0714" w:rsidRDefault="00CC4766">
          <w:pPr>
            <w:pStyle w:val="TOC2"/>
            <w:rPr>
              <w:rFonts w:asciiTheme="minorHAnsi" w:eastAsiaTheme="minorEastAsia" w:hAnsiTheme="minorHAnsi" w:cstheme="minorBidi"/>
              <w:b w:val="0"/>
              <w:noProof/>
              <w:sz w:val="22"/>
              <w:szCs w:val="22"/>
              <w:lang w:eastAsia="en-AU"/>
            </w:rPr>
          </w:pPr>
          <w:hyperlink w:anchor="_Toc72918416" w:history="1">
            <w:r w:rsidR="001C0714" w:rsidRPr="00C677DF">
              <w:rPr>
                <w:rStyle w:val="Hyperlink"/>
                <w:noProof/>
              </w:rPr>
              <w:t>Proposed amendments to TGO 108</w:t>
            </w:r>
            <w:r w:rsidR="001C0714">
              <w:rPr>
                <w:noProof/>
                <w:webHidden/>
              </w:rPr>
              <w:tab/>
            </w:r>
            <w:r w:rsidR="001C0714">
              <w:rPr>
                <w:noProof/>
                <w:webHidden/>
              </w:rPr>
              <w:fldChar w:fldCharType="begin"/>
            </w:r>
            <w:r w:rsidR="001C0714">
              <w:rPr>
                <w:noProof/>
                <w:webHidden/>
              </w:rPr>
              <w:instrText xml:space="preserve"> PAGEREF _Toc72918416 \h </w:instrText>
            </w:r>
            <w:r w:rsidR="001C0714">
              <w:rPr>
                <w:noProof/>
                <w:webHidden/>
              </w:rPr>
            </w:r>
            <w:r w:rsidR="001C0714">
              <w:rPr>
                <w:noProof/>
                <w:webHidden/>
              </w:rPr>
              <w:fldChar w:fldCharType="separate"/>
            </w:r>
            <w:r w:rsidR="001C0714">
              <w:rPr>
                <w:noProof/>
                <w:webHidden/>
              </w:rPr>
              <w:t>9</w:t>
            </w:r>
            <w:r w:rsidR="001C0714">
              <w:rPr>
                <w:noProof/>
                <w:webHidden/>
              </w:rPr>
              <w:fldChar w:fldCharType="end"/>
            </w:r>
          </w:hyperlink>
        </w:p>
        <w:p w14:paraId="1873057A" w14:textId="3B38A382" w:rsidR="001C0714" w:rsidRDefault="00CC4766">
          <w:pPr>
            <w:pStyle w:val="TOC3"/>
            <w:rPr>
              <w:rFonts w:asciiTheme="minorHAnsi" w:eastAsiaTheme="minorEastAsia" w:hAnsiTheme="minorHAnsi" w:cstheme="minorBidi"/>
              <w:b w:val="0"/>
              <w:noProof/>
              <w:szCs w:val="22"/>
              <w:lang w:eastAsia="en-AU"/>
            </w:rPr>
          </w:pPr>
          <w:hyperlink w:anchor="_Toc72918417" w:history="1">
            <w:r w:rsidR="001C0714" w:rsidRPr="00C677DF">
              <w:rPr>
                <w:rStyle w:val="Hyperlink"/>
                <w:noProof/>
              </w:rPr>
              <w:t>1. Exemption for autologous HCT products</w:t>
            </w:r>
            <w:r w:rsidR="001C0714">
              <w:rPr>
                <w:noProof/>
                <w:webHidden/>
              </w:rPr>
              <w:tab/>
            </w:r>
            <w:r w:rsidR="001C0714">
              <w:rPr>
                <w:noProof/>
                <w:webHidden/>
              </w:rPr>
              <w:fldChar w:fldCharType="begin"/>
            </w:r>
            <w:r w:rsidR="001C0714">
              <w:rPr>
                <w:noProof/>
                <w:webHidden/>
              </w:rPr>
              <w:instrText xml:space="preserve"> PAGEREF _Toc72918417 \h </w:instrText>
            </w:r>
            <w:r w:rsidR="001C0714">
              <w:rPr>
                <w:noProof/>
                <w:webHidden/>
              </w:rPr>
            </w:r>
            <w:r w:rsidR="001C0714">
              <w:rPr>
                <w:noProof/>
                <w:webHidden/>
              </w:rPr>
              <w:fldChar w:fldCharType="separate"/>
            </w:r>
            <w:r w:rsidR="001C0714">
              <w:rPr>
                <w:noProof/>
                <w:webHidden/>
              </w:rPr>
              <w:t>9</w:t>
            </w:r>
            <w:r w:rsidR="001C0714">
              <w:rPr>
                <w:noProof/>
                <w:webHidden/>
              </w:rPr>
              <w:fldChar w:fldCharType="end"/>
            </w:r>
          </w:hyperlink>
        </w:p>
        <w:p w14:paraId="0FA5C9CD" w14:textId="1D3FE89B" w:rsidR="001C0714" w:rsidRDefault="00CC4766">
          <w:pPr>
            <w:pStyle w:val="TOC3"/>
            <w:rPr>
              <w:rFonts w:asciiTheme="minorHAnsi" w:eastAsiaTheme="minorEastAsia" w:hAnsiTheme="minorHAnsi" w:cstheme="minorBidi"/>
              <w:b w:val="0"/>
              <w:noProof/>
              <w:szCs w:val="22"/>
              <w:lang w:eastAsia="en-AU"/>
            </w:rPr>
          </w:pPr>
          <w:hyperlink w:anchor="_Toc72918418" w:history="1">
            <w:r w:rsidR="001C0714" w:rsidRPr="00C677DF">
              <w:rPr>
                <w:rStyle w:val="Hyperlink"/>
                <w:noProof/>
              </w:rPr>
              <w:t>2. Donor deferral exemption for directed allogeneic HCT products</w:t>
            </w:r>
            <w:r w:rsidR="001C0714">
              <w:rPr>
                <w:noProof/>
                <w:webHidden/>
              </w:rPr>
              <w:tab/>
            </w:r>
            <w:r w:rsidR="001C0714">
              <w:rPr>
                <w:noProof/>
                <w:webHidden/>
              </w:rPr>
              <w:fldChar w:fldCharType="begin"/>
            </w:r>
            <w:r w:rsidR="001C0714">
              <w:rPr>
                <w:noProof/>
                <w:webHidden/>
              </w:rPr>
              <w:instrText xml:space="preserve"> PAGEREF _Toc72918418 \h </w:instrText>
            </w:r>
            <w:r w:rsidR="001C0714">
              <w:rPr>
                <w:noProof/>
                <w:webHidden/>
              </w:rPr>
            </w:r>
            <w:r w:rsidR="001C0714">
              <w:rPr>
                <w:noProof/>
                <w:webHidden/>
              </w:rPr>
              <w:fldChar w:fldCharType="separate"/>
            </w:r>
            <w:r w:rsidR="001C0714">
              <w:rPr>
                <w:noProof/>
                <w:webHidden/>
              </w:rPr>
              <w:t>11</w:t>
            </w:r>
            <w:r w:rsidR="001C0714">
              <w:rPr>
                <w:noProof/>
                <w:webHidden/>
              </w:rPr>
              <w:fldChar w:fldCharType="end"/>
            </w:r>
          </w:hyperlink>
        </w:p>
        <w:p w14:paraId="663B84F4" w14:textId="678F1AC8" w:rsidR="001C0714" w:rsidRDefault="00CC4766">
          <w:pPr>
            <w:pStyle w:val="TOC3"/>
            <w:rPr>
              <w:rFonts w:asciiTheme="minorHAnsi" w:eastAsiaTheme="minorEastAsia" w:hAnsiTheme="minorHAnsi" w:cstheme="minorBidi"/>
              <w:b w:val="0"/>
              <w:noProof/>
              <w:szCs w:val="22"/>
              <w:lang w:eastAsia="en-AU"/>
            </w:rPr>
          </w:pPr>
          <w:hyperlink w:anchor="_Toc72918419" w:history="1">
            <w:r w:rsidR="001C0714" w:rsidRPr="00C677DF">
              <w:rPr>
                <w:rStyle w:val="Hyperlink"/>
                <w:noProof/>
              </w:rPr>
              <w:t>3. Deferral period for donors with high-risk sexual behaviour</w:t>
            </w:r>
            <w:r w:rsidR="001C0714">
              <w:rPr>
                <w:noProof/>
                <w:webHidden/>
              </w:rPr>
              <w:tab/>
            </w:r>
            <w:r w:rsidR="001C0714">
              <w:rPr>
                <w:noProof/>
                <w:webHidden/>
              </w:rPr>
              <w:fldChar w:fldCharType="begin"/>
            </w:r>
            <w:r w:rsidR="001C0714">
              <w:rPr>
                <w:noProof/>
                <w:webHidden/>
              </w:rPr>
              <w:instrText xml:space="preserve"> PAGEREF _Toc72918419 \h </w:instrText>
            </w:r>
            <w:r w:rsidR="001C0714">
              <w:rPr>
                <w:noProof/>
                <w:webHidden/>
              </w:rPr>
            </w:r>
            <w:r w:rsidR="001C0714">
              <w:rPr>
                <w:noProof/>
                <w:webHidden/>
              </w:rPr>
              <w:fldChar w:fldCharType="separate"/>
            </w:r>
            <w:r w:rsidR="001C0714">
              <w:rPr>
                <w:noProof/>
                <w:webHidden/>
              </w:rPr>
              <w:t>12</w:t>
            </w:r>
            <w:r w:rsidR="001C0714">
              <w:rPr>
                <w:noProof/>
                <w:webHidden/>
              </w:rPr>
              <w:fldChar w:fldCharType="end"/>
            </w:r>
          </w:hyperlink>
        </w:p>
        <w:p w14:paraId="1468696C" w14:textId="2EE69692" w:rsidR="001C0714" w:rsidRDefault="00CC4766">
          <w:pPr>
            <w:pStyle w:val="TOC3"/>
            <w:rPr>
              <w:rFonts w:asciiTheme="minorHAnsi" w:eastAsiaTheme="minorEastAsia" w:hAnsiTheme="minorHAnsi" w:cstheme="minorBidi"/>
              <w:b w:val="0"/>
              <w:noProof/>
              <w:szCs w:val="22"/>
              <w:lang w:eastAsia="en-AU"/>
            </w:rPr>
          </w:pPr>
          <w:hyperlink w:anchor="_Toc72918420" w:history="1">
            <w:r w:rsidR="001C0714" w:rsidRPr="00C677DF">
              <w:rPr>
                <w:rStyle w:val="Hyperlink"/>
                <w:noProof/>
              </w:rPr>
              <w:t>4. Malaria donor deferral criteria</w:t>
            </w:r>
            <w:r w:rsidR="001C0714">
              <w:rPr>
                <w:noProof/>
                <w:webHidden/>
              </w:rPr>
              <w:tab/>
            </w:r>
            <w:r w:rsidR="001C0714">
              <w:rPr>
                <w:noProof/>
                <w:webHidden/>
              </w:rPr>
              <w:fldChar w:fldCharType="begin"/>
            </w:r>
            <w:r w:rsidR="001C0714">
              <w:rPr>
                <w:noProof/>
                <w:webHidden/>
              </w:rPr>
              <w:instrText xml:space="preserve"> PAGEREF _Toc72918420 \h </w:instrText>
            </w:r>
            <w:r w:rsidR="001C0714">
              <w:rPr>
                <w:noProof/>
                <w:webHidden/>
              </w:rPr>
            </w:r>
            <w:r w:rsidR="001C0714">
              <w:rPr>
                <w:noProof/>
                <w:webHidden/>
              </w:rPr>
              <w:fldChar w:fldCharType="separate"/>
            </w:r>
            <w:r w:rsidR="001C0714">
              <w:rPr>
                <w:noProof/>
                <w:webHidden/>
              </w:rPr>
              <w:t>12</w:t>
            </w:r>
            <w:r w:rsidR="001C0714">
              <w:rPr>
                <w:noProof/>
                <w:webHidden/>
              </w:rPr>
              <w:fldChar w:fldCharType="end"/>
            </w:r>
          </w:hyperlink>
        </w:p>
        <w:p w14:paraId="04A1137A" w14:textId="691F95E9" w:rsidR="001C0714" w:rsidRDefault="00CC4766">
          <w:pPr>
            <w:pStyle w:val="TOC3"/>
            <w:rPr>
              <w:rFonts w:asciiTheme="minorHAnsi" w:eastAsiaTheme="minorEastAsia" w:hAnsiTheme="minorHAnsi" w:cstheme="minorBidi"/>
              <w:b w:val="0"/>
              <w:noProof/>
              <w:szCs w:val="22"/>
              <w:lang w:eastAsia="en-AU"/>
            </w:rPr>
          </w:pPr>
          <w:hyperlink w:anchor="_Toc72918421" w:history="1">
            <w:r w:rsidR="001C0714" w:rsidRPr="00C677DF">
              <w:rPr>
                <w:rStyle w:val="Hyperlink"/>
                <w:noProof/>
              </w:rPr>
              <w:t>5. Requirements for cornea only donors</w:t>
            </w:r>
            <w:r w:rsidR="001C0714">
              <w:rPr>
                <w:noProof/>
                <w:webHidden/>
              </w:rPr>
              <w:tab/>
            </w:r>
            <w:r w:rsidR="001C0714">
              <w:rPr>
                <w:noProof/>
                <w:webHidden/>
              </w:rPr>
              <w:fldChar w:fldCharType="begin"/>
            </w:r>
            <w:r w:rsidR="001C0714">
              <w:rPr>
                <w:noProof/>
                <w:webHidden/>
              </w:rPr>
              <w:instrText xml:space="preserve"> PAGEREF _Toc72918421 \h </w:instrText>
            </w:r>
            <w:r w:rsidR="001C0714">
              <w:rPr>
                <w:noProof/>
                <w:webHidden/>
              </w:rPr>
            </w:r>
            <w:r w:rsidR="001C0714">
              <w:rPr>
                <w:noProof/>
                <w:webHidden/>
              </w:rPr>
              <w:fldChar w:fldCharType="separate"/>
            </w:r>
            <w:r w:rsidR="001C0714">
              <w:rPr>
                <w:noProof/>
                <w:webHidden/>
              </w:rPr>
              <w:t>13</w:t>
            </w:r>
            <w:r w:rsidR="001C0714">
              <w:rPr>
                <w:noProof/>
                <w:webHidden/>
              </w:rPr>
              <w:fldChar w:fldCharType="end"/>
            </w:r>
          </w:hyperlink>
        </w:p>
        <w:p w14:paraId="3274EE7C" w14:textId="1EF8F7AB" w:rsidR="001C0714" w:rsidRDefault="00CC4766">
          <w:pPr>
            <w:pStyle w:val="TOC3"/>
            <w:rPr>
              <w:rFonts w:asciiTheme="minorHAnsi" w:eastAsiaTheme="minorEastAsia" w:hAnsiTheme="minorHAnsi" w:cstheme="minorBidi"/>
              <w:b w:val="0"/>
              <w:noProof/>
              <w:szCs w:val="22"/>
              <w:lang w:eastAsia="en-AU"/>
            </w:rPr>
          </w:pPr>
          <w:hyperlink w:anchor="_Toc72918422" w:history="1">
            <w:r w:rsidR="001C0714" w:rsidRPr="00C677DF">
              <w:rPr>
                <w:rStyle w:val="Hyperlink"/>
                <w:noProof/>
              </w:rPr>
              <w:t>6. Requirements for plasma for fractionation only donors</w:t>
            </w:r>
            <w:r w:rsidR="001C0714">
              <w:rPr>
                <w:noProof/>
                <w:webHidden/>
              </w:rPr>
              <w:tab/>
            </w:r>
            <w:r w:rsidR="001C0714">
              <w:rPr>
                <w:noProof/>
                <w:webHidden/>
              </w:rPr>
              <w:fldChar w:fldCharType="begin"/>
            </w:r>
            <w:r w:rsidR="001C0714">
              <w:rPr>
                <w:noProof/>
                <w:webHidden/>
              </w:rPr>
              <w:instrText xml:space="preserve"> PAGEREF _Toc72918422 \h </w:instrText>
            </w:r>
            <w:r w:rsidR="001C0714">
              <w:rPr>
                <w:noProof/>
                <w:webHidden/>
              </w:rPr>
            </w:r>
            <w:r w:rsidR="001C0714">
              <w:rPr>
                <w:noProof/>
                <w:webHidden/>
              </w:rPr>
              <w:fldChar w:fldCharType="separate"/>
            </w:r>
            <w:r w:rsidR="001C0714">
              <w:rPr>
                <w:noProof/>
                <w:webHidden/>
              </w:rPr>
              <w:t>14</w:t>
            </w:r>
            <w:r w:rsidR="001C0714">
              <w:rPr>
                <w:noProof/>
                <w:webHidden/>
              </w:rPr>
              <w:fldChar w:fldCharType="end"/>
            </w:r>
          </w:hyperlink>
        </w:p>
        <w:p w14:paraId="4AEDE99B" w14:textId="32568908" w:rsidR="001C0714" w:rsidRDefault="00CC4766">
          <w:pPr>
            <w:pStyle w:val="TOC3"/>
            <w:rPr>
              <w:rFonts w:asciiTheme="minorHAnsi" w:eastAsiaTheme="minorEastAsia" w:hAnsiTheme="minorHAnsi" w:cstheme="minorBidi"/>
              <w:b w:val="0"/>
              <w:noProof/>
              <w:szCs w:val="22"/>
              <w:lang w:eastAsia="en-AU"/>
            </w:rPr>
          </w:pPr>
          <w:hyperlink w:anchor="_Toc72918423" w:history="1">
            <w:r w:rsidR="001C0714" w:rsidRPr="00C677DF">
              <w:rPr>
                <w:rStyle w:val="Hyperlink"/>
                <w:noProof/>
              </w:rPr>
              <w:t>7. Transition period</w:t>
            </w:r>
            <w:r w:rsidR="001C0714">
              <w:rPr>
                <w:noProof/>
                <w:webHidden/>
              </w:rPr>
              <w:tab/>
            </w:r>
            <w:r w:rsidR="001C0714">
              <w:rPr>
                <w:noProof/>
                <w:webHidden/>
              </w:rPr>
              <w:fldChar w:fldCharType="begin"/>
            </w:r>
            <w:r w:rsidR="001C0714">
              <w:rPr>
                <w:noProof/>
                <w:webHidden/>
              </w:rPr>
              <w:instrText xml:space="preserve"> PAGEREF _Toc72918423 \h </w:instrText>
            </w:r>
            <w:r w:rsidR="001C0714">
              <w:rPr>
                <w:noProof/>
                <w:webHidden/>
              </w:rPr>
            </w:r>
            <w:r w:rsidR="001C0714">
              <w:rPr>
                <w:noProof/>
                <w:webHidden/>
              </w:rPr>
              <w:fldChar w:fldCharType="separate"/>
            </w:r>
            <w:r w:rsidR="001C0714">
              <w:rPr>
                <w:noProof/>
                <w:webHidden/>
              </w:rPr>
              <w:t>14</w:t>
            </w:r>
            <w:r w:rsidR="001C0714">
              <w:rPr>
                <w:noProof/>
                <w:webHidden/>
              </w:rPr>
              <w:fldChar w:fldCharType="end"/>
            </w:r>
          </w:hyperlink>
        </w:p>
        <w:p w14:paraId="2427C1FE" w14:textId="30B91E99" w:rsidR="001C0714" w:rsidRDefault="00CC4766">
          <w:pPr>
            <w:pStyle w:val="TOC3"/>
            <w:rPr>
              <w:rFonts w:asciiTheme="minorHAnsi" w:eastAsiaTheme="minorEastAsia" w:hAnsiTheme="minorHAnsi" w:cstheme="minorBidi"/>
              <w:b w:val="0"/>
              <w:noProof/>
              <w:szCs w:val="22"/>
              <w:lang w:eastAsia="en-AU"/>
            </w:rPr>
          </w:pPr>
          <w:hyperlink w:anchor="_Toc72918424" w:history="1">
            <w:r w:rsidR="001C0714" w:rsidRPr="00C677DF">
              <w:rPr>
                <w:rStyle w:val="Hyperlink"/>
                <w:noProof/>
              </w:rPr>
              <w:t>8. Other issues</w:t>
            </w:r>
            <w:r w:rsidR="001C0714">
              <w:rPr>
                <w:noProof/>
                <w:webHidden/>
              </w:rPr>
              <w:tab/>
            </w:r>
            <w:r w:rsidR="001C0714">
              <w:rPr>
                <w:noProof/>
                <w:webHidden/>
              </w:rPr>
              <w:fldChar w:fldCharType="begin"/>
            </w:r>
            <w:r w:rsidR="001C0714">
              <w:rPr>
                <w:noProof/>
                <w:webHidden/>
              </w:rPr>
              <w:instrText xml:space="preserve"> PAGEREF _Toc72918424 \h </w:instrText>
            </w:r>
            <w:r w:rsidR="001C0714">
              <w:rPr>
                <w:noProof/>
                <w:webHidden/>
              </w:rPr>
            </w:r>
            <w:r w:rsidR="001C0714">
              <w:rPr>
                <w:noProof/>
                <w:webHidden/>
              </w:rPr>
              <w:fldChar w:fldCharType="separate"/>
            </w:r>
            <w:r w:rsidR="001C0714">
              <w:rPr>
                <w:noProof/>
                <w:webHidden/>
              </w:rPr>
              <w:t>14</w:t>
            </w:r>
            <w:r w:rsidR="001C0714">
              <w:rPr>
                <w:noProof/>
                <w:webHidden/>
              </w:rPr>
              <w:fldChar w:fldCharType="end"/>
            </w:r>
          </w:hyperlink>
        </w:p>
        <w:p w14:paraId="2449E938" w14:textId="520B42F0" w:rsidR="001C0714" w:rsidRDefault="00CC4766">
          <w:pPr>
            <w:pStyle w:val="TOC2"/>
            <w:rPr>
              <w:rFonts w:asciiTheme="minorHAnsi" w:eastAsiaTheme="minorEastAsia" w:hAnsiTheme="minorHAnsi" w:cstheme="minorBidi"/>
              <w:b w:val="0"/>
              <w:noProof/>
              <w:sz w:val="22"/>
              <w:szCs w:val="22"/>
              <w:lang w:eastAsia="en-AU"/>
            </w:rPr>
          </w:pPr>
          <w:hyperlink w:anchor="_Toc72918425" w:history="1">
            <w:r w:rsidR="001C0714" w:rsidRPr="00C677DF">
              <w:rPr>
                <w:rStyle w:val="Hyperlink"/>
                <w:noProof/>
              </w:rPr>
              <w:t>Proposed amendments to TGO 109</w:t>
            </w:r>
            <w:r w:rsidR="001C0714">
              <w:rPr>
                <w:noProof/>
                <w:webHidden/>
              </w:rPr>
              <w:tab/>
            </w:r>
            <w:r w:rsidR="001C0714">
              <w:rPr>
                <w:noProof/>
                <w:webHidden/>
              </w:rPr>
              <w:fldChar w:fldCharType="begin"/>
            </w:r>
            <w:r w:rsidR="001C0714">
              <w:rPr>
                <w:noProof/>
                <w:webHidden/>
              </w:rPr>
              <w:instrText xml:space="preserve"> PAGEREF _Toc72918425 \h </w:instrText>
            </w:r>
            <w:r w:rsidR="001C0714">
              <w:rPr>
                <w:noProof/>
                <w:webHidden/>
              </w:rPr>
            </w:r>
            <w:r w:rsidR="001C0714">
              <w:rPr>
                <w:noProof/>
                <w:webHidden/>
              </w:rPr>
              <w:fldChar w:fldCharType="separate"/>
            </w:r>
            <w:r w:rsidR="001C0714">
              <w:rPr>
                <w:noProof/>
                <w:webHidden/>
              </w:rPr>
              <w:t>15</w:t>
            </w:r>
            <w:r w:rsidR="001C0714">
              <w:rPr>
                <w:noProof/>
                <w:webHidden/>
              </w:rPr>
              <w:fldChar w:fldCharType="end"/>
            </w:r>
          </w:hyperlink>
        </w:p>
        <w:p w14:paraId="4284C8CF" w14:textId="613DBBC5" w:rsidR="001C0714" w:rsidRDefault="00CC4766">
          <w:pPr>
            <w:pStyle w:val="TOC3"/>
            <w:rPr>
              <w:rFonts w:asciiTheme="minorHAnsi" w:eastAsiaTheme="minorEastAsia" w:hAnsiTheme="minorHAnsi" w:cstheme="minorBidi"/>
              <w:b w:val="0"/>
              <w:noProof/>
              <w:szCs w:val="22"/>
              <w:lang w:eastAsia="en-AU"/>
            </w:rPr>
          </w:pPr>
          <w:hyperlink w:anchor="_Toc72918426" w:history="1">
            <w:r w:rsidR="001C0714" w:rsidRPr="00C677DF">
              <w:rPr>
                <w:rStyle w:val="Hyperlink"/>
                <w:noProof/>
              </w:rPr>
              <w:t>1. Diseases and conditions that may compromise biologicals</w:t>
            </w:r>
            <w:r w:rsidR="001C0714">
              <w:rPr>
                <w:noProof/>
                <w:webHidden/>
              </w:rPr>
              <w:tab/>
            </w:r>
            <w:r w:rsidR="001C0714">
              <w:rPr>
                <w:noProof/>
                <w:webHidden/>
              </w:rPr>
              <w:fldChar w:fldCharType="begin"/>
            </w:r>
            <w:r w:rsidR="001C0714">
              <w:rPr>
                <w:noProof/>
                <w:webHidden/>
              </w:rPr>
              <w:instrText xml:space="preserve"> PAGEREF _Toc72918426 \h </w:instrText>
            </w:r>
            <w:r w:rsidR="001C0714">
              <w:rPr>
                <w:noProof/>
                <w:webHidden/>
              </w:rPr>
            </w:r>
            <w:r w:rsidR="001C0714">
              <w:rPr>
                <w:noProof/>
                <w:webHidden/>
              </w:rPr>
              <w:fldChar w:fldCharType="separate"/>
            </w:r>
            <w:r w:rsidR="001C0714">
              <w:rPr>
                <w:noProof/>
                <w:webHidden/>
              </w:rPr>
              <w:t>15</w:t>
            </w:r>
            <w:r w:rsidR="001C0714">
              <w:rPr>
                <w:noProof/>
                <w:webHidden/>
              </w:rPr>
              <w:fldChar w:fldCharType="end"/>
            </w:r>
          </w:hyperlink>
        </w:p>
        <w:p w14:paraId="7B188144" w14:textId="416D3E89" w:rsidR="001C0714" w:rsidRDefault="00CC4766">
          <w:pPr>
            <w:pStyle w:val="TOC3"/>
            <w:rPr>
              <w:rFonts w:asciiTheme="minorHAnsi" w:eastAsiaTheme="minorEastAsia" w:hAnsiTheme="minorHAnsi" w:cstheme="minorBidi"/>
              <w:b w:val="0"/>
              <w:noProof/>
              <w:szCs w:val="22"/>
              <w:lang w:eastAsia="en-AU"/>
            </w:rPr>
          </w:pPr>
          <w:hyperlink w:anchor="_Toc72918427" w:history="1">
            <w:r w:rsidR="001C0714" w:rsidRPr="00C677DF">
              <w:rPr>
                <w:rStyle w:val="Hyperlink"/>
                <w:noProof/>
              </w:rPr>
              <w:t>2. Processing completion timeframes for cardiovascular tissue</w:t>
            </w:r>
            <w:r w:rsidR="001C0714">
              <w:rPr>
                <w:noProof/>
                <w:webHidden/>
              </w:rPr>
              <w:tab/>
            </w:r>
            <w:r w:rsidR="001C0714">
              <w:rPr>
                <w:noProof/>
                <w:webHidden/>
              </w:rPr>
              <w:fldChar w:fldCharType="begin"/>
            </w:r>
            <w:r w:rsidR="001C0714">
              <w:rPr>
                <w:noProof/>
                <w:webHidden/>
              </w:rPr>
              <w:instrText xml:space="preserve"> PAGEREF _Toc72918427 \h </w:instrText>
            </w:r>
            <w:r w:rsidR="001C0714">
              <w:rPr>
                <w:noProof/>
                <w:webHidden/>
              </w:rPr>
            </w:r>
            <w:r w:rsidR="001C0714">
              <w:rPr>
                <w:noProof/>
                <w:webHidden/>
              </w:rPr>
              <w:fldChar w:fldCharType="separate"/>
            </w:r>
            <w:r w:rsidR="001C0714">
              <w:rPr>
                <w:noProof/>
                <w:webHidden/>
              </w:rPr>
              <w:t>16</w:t>
            </w:r>
            <w:r w:rsidR="001C0714">
              <w:rPr>
                <w:noProof/>
                <w:webHidden/>
              </w:rPr>
              <w:fldChar w:fldCharType="end"/>
            </w:r>
          </w:hyperlink>
        </w:p>
        <w:p w14:paraId="76240643" w14:textId="6A8BC418" w:rsidR="001C0714" w:rsidRDefault="00CC4766">
          <w:pPr>
            <w:pStyle w:val="TOC3"/>
            <w:rPr>
              <w:rFonts w:asciiTheme="minorHAnsi" w:eastAsiaTheme="minorEastAsia" w:hAnsiTheme="minorHAnsi" w:cstheme="minorBidi"/>
              <w:b w:val="0"/>
              <w:noProof/>
              <w:szCs w:val="22"/>
              <w:lang w:eastAsia="en-AU"/>
            </w:rPr>
          </w:pPr>
          <w:hyperlink w:anchor="_Toc72918428" w:history="1">
            <w:r w:rsidR="001C0714" w:rsidRPr="00C677DF">
              <w:rPr>
                <w:rStyle w:val="Hyperlink"/>
                <w:noProof/>
              </w:rPr>
              <w:t>3. Other issues</w:t>
            </w:r>
            <w:r w:rsidR="001C0714">
              <w:rPr>
                <w:noProof/>
                <w:webHidden/>
              </w:rPr>
              <w:tab/>
            </w:r>
            <w:r w:rsidR="001C0714">
              <w:rPr>
                <w:noProof/>
                <w:webHidden/>
              </w:rPr>
              <w:fldChar w:fldCharType="begin"/>
            </w:r>
            <w:r w:rsidR="001C0714">
              <w:rPr>
                <w:noProof/>
                <w:webHidden/>
              </w:rPr>
              <w:instrText xml:space="preserve"> PAGEREF _Toc72918428 \h </w:instrText>
            </w:r>
            <w:r w:rsidR="001C0714">
              <w:rPr>
                <w:noProof/>
                <w:webHidden/>
              </w:rPr>
            </w:r>
            <w:r w:rsidR="001C0714">
              <w:rPr>
                <w:noProof/>
                <w:webHidden/>
              </w:rPr>
              <w:fldChar w:fldCharType="separate"/>
            </w:r>
            <w:r w:rsidR="001C0714">
              <w:rPr>
                <w:noProof/>
                <w:webHidden/>
              </w:rPr>
              <w:t>16</w:t>
            </w:r>
            <w:r w:rsidR="001C0714">
              <w:rPr>
                <w:noProof/>
                <w:webHidden/>
              </w:rPr>
              <w:fldChar w:fldCharType="end"/>
            </w:r>
          </w:hyperlink>
        </w:p>
        <w:p w14:paraId="5F111C38" w14:textId="231BD7FE" w:rsidR="001C0714" w:rsidRDefault="00CC4766">
          <w:pPr>
            <w:pStyle w:val="TOC2"/>
            <w:rPr>
              <w:rFonts w:asciiTheme="minorHAnsi" w:eastAsiaTheme="minorEastAsia" w:hAnsiTheme="minorHAnsi" w:cstheme="minorBidi"/>
              <w:b w:val="0"/>
              <w:noProof/>
              <w:sz w:val="22"/>
              <w:szCs w:val="22"/>
              <w:lang w:eastAsia="en-AU"/>
            </w:rPr>
          </w:pPr>
          <w:hyperlink w:anchor="_Toc72918429" w:history="1">
            <w:r w:rsidR="001C0714" w:rsidRPr="00C677DF">
              <w:rPr>
                <w:rStyle w:val="Hyperlink"/>
                <w:noProof/>
              </w:rPr>
              <w:t>Merging legislative instruments</w:t>
            </w:r>
            <w:r w:rsidR="001C0714">
              <w:rPr>
                <w:noProof/>
                <w:webHidden/>
              </w:rPr>
              <w:tab/>
            </w:r>
            <w:r w:rsidR="001C0714">
              <w:rPr>
                <w:noProof/>
                <w:webHidden/>
              </w:rPr>
              <w:fldChar w:fldCharType="begin"/>
            </w:r>
            <w:r w:rsidR="001C0714">
              <w:rPr>
                <w:noProof/>
                <w:webHidden/>
              </w:rPr>
              <w:instrText xml:space="preserve"> PAGEREF _Toc72918429 \h </w:instrText>
            </w:r>
            <w:r w:rsidR="001C0714">
              <w:rPr>
                <w:noProof/>
                <w:webHidden/>
              </w:rPr>
            </w:r>
            <w:r w:rsidR="001C0714">
              <w:rPr>
                <w:noProof/>
                <w:webHidden/>
              </w:rPr>
              <w:fldChar w:fldCharType="separate"/>
            </w:r>
            <w:r w:rsidR="001C0714">
              <w:rPr>
                <w:noProof/>
                <w:webHidden/>
              </w:rPr>
              <w:t>17</w:t>
            </w:r>
            <w:r w:rsidR="001C0714">
              <w:rPr>
                <w:noProof/>
                <w:webHidden/>
              </w:rPr>
              <w:fldChar w:fldCharType="end"/>
            </w:r>
          </w:hyperlink>
        </w:p>
        <w:p w14:paraId="2E746F21" w14:textId="15D7FBF9" w:rsidR="001C0714" w:rsidRDefault="00CC4766">
          <w:pPr>
            <w:pStyle w:val="TOC2"/>
            <w:rPr>
              <w:rFonts w:asciiTheme="minorHAnsi" w:eastAsiaTheme="minorEastAsia" w:hAnsiTheme="minorHAnsi" w:cstheme="minorBidi"/>
              <w:b w:val="0"/>
              <w:noProof/>
              <w:sz w:val="22"/>
              <w:szCs w:val="22"/>
              <w:lang w:eastAsia="en-AU"/>
            </w:rPr>
          </w:pPr>
          <w:hyperlink w:anchor="_Toc72918430" w:history="1">
            <w:r w:rsidR="001C0714" w:rsidRPr="00C677DF">
              <w:rPr>
                <w:rStyle w:val="Hyperlink"/>
                <w:noProof/>
              </w:rPr>
              <w:t>Providing feedback</w:t>
            </w:r>
            <w:r w:rsidR="001C0714">
              <w:rPr>
                <w:noProof/>
                <w:webHidden/>
              </w:rPr>
              <w:tab/>
            </w:r>
            <w:r w:rsidR="001C0714">
              <w:rPr>
                <w:noProof/>
                <w:webHidden/>
              </w:rPr>
              <w:fldChar w:fldCharType="begin"/>
            </w:r>
            <w:r w:rsidR="001C0714">
              <w:rPr>
                <w:noProof/>
                <w:webHidden/>
              </w:rPr>
              <w:instrText xml:space="preserve"> PAGEREF _Toc72918430 \h </w:instrText>
            </w:r>
            <w:r w:rsidR="001C0714">
              <w:rPr>
                <w:noProof/>
                <w:webHidden/>
              </w:rPr>
            </w:r>
            <w:r w:rsidR="001C0714">
              <w:rPr>
                <w:noProof/>
                <w:webHidden/>
              </w:rPr>
              <w:fldChar w:fldCharType="separate"/>
            </w:r>
            <w:r w:rsidR="001C0714">
              <w:rPr>
                <w:noProof/>
                <w:webHidden/>
              </w:rPr>
              <w:t>17</w:t>
            </w:r>
            <w:r w:rsidR="001C0714">
              <w:rPr>
                <w:noProof/>
                <w:webHidden/>
              </w:rPr>
              <w:fldChar w:fldCharType="end"/>
            </w:r>
          </w:hyperlink>
        </w:p>
        <w:p w14:paraId="43D81636" w14:textId="3615F8E0" w:rsidR="001C0714" w:rsidRDefault="00CC4766">
          <w:pPr>
            <w:pStyle w:val="TOC2"/>
            <w:rPr>
              <w:rFonts w:asciiTheme="minorHAnsi" w:eastAsiaTheme="minorEastAsia" w:hAnsiTheme="minorHAnsi" w:cstheme="minorBidi"/>
              <w:b w:val="0"/>
              <w:noProof/>
              <w:sz w:val="22"/>
              <w:szCs w:val="22"/>
              <w:lang w:eastAsia="en-AU"/>
            </w:rPr>
          </w:pPr>
          <w:hyperlink w:anchor="_Toc72918431" w:history="1">
            <w:r w:rsidR="001C0714" w:rsidRPr="00C677DF">
              <w:rPr>
                <w:rStyle w:val="Hyperlink"/>
                <w:noProof/>
              </w:rPr>
              <w:t>Commencement date</w:t>
            </w:r>
            <w:r w:rsidR="001C0714">
              <w:rPr>
                <w:noProof/>
                <w:webHidden/>
              </w:rPr>
              <w:tab/>
            </w:r>
            <w:r w:rsidR="001C0714">
              <w:rPr>
                <w:noProof/>
                <w:webHidden/>
              </w:rPr>
              <w:fldChar w:fldCharType="begin"/>
            </w:r>
            <w:r w:rsidR="001C0714">
              <w:rPr>
                <w:noProof/>
                <w:webHidden/>
              </w:rPr>
              <w:instrText xml:space="preserve"> PAGEREF _Toc72918431 \h </w:instrText>
            </w:r>
            <w:r w:rsidR="001C0714">
              <w:rPr>
                <w:noProof/>
                <w:webHidden/>
              </w:rPr>
            </w:r>
            <w:r w:rsidR="001C0714">
              <w:rPr>
                <w:noProof/>
                <w:webHidden/>
              </w:rPr>
              <w:fldChar w:fldCharType="separate"/>
            </w:r>
            <w:r w:rsidR="001C0714">
              <w:rPr>
                <w:noProof/>
                <w:webHidden/>
              </w:rPr>
              <w:t>17</w:t>
            </w:r>
            <w:r w:rsidR="001C0714">
              <w:rPr>
                <w:noProof/>
                <w:webHidden/>
              </w:rPr>
              <w:fldChar w:fldCharType="end"/>
            </w:r>
          </w:hyperlink>
        </w:p>
        <w:p w14:paraId="53D8EB8F" w14:textId="4CCCFC8A" w:rsidR="001C0714" w:rsidRDefault="00CC4766">
          <w:pPr>
            <w:pStyle w:val="TOC2"/>
            <w:rPr>
              <w:rFonts w:asciiTheme="minorHAnsi" w:eastAsiaTheme="minorEastAsia" w:hAnsiTheme="minorHAnsi" w:cstheme="minorBidi"/>
              <w:b w:val="0"/>
              <w:noProof/>
              <w:sz w:val="22"/>
              <w:szCs w:val="22"/>
              <w:lang w:eastAsia="en-AU"/>
            </w:rPr>
          </w:pPr>
          <w:hyperlink w:anchor="_Toc72918432" w:history="1">
            <w:r w:rsidR="001C0714" w:rsidRPr="00C677DF">
              <w:rPr>
                <w:rStyle w:val="Hyperlink"/>
                <w:noProof/>
              </w:rPr>
              <w:t>What happens next</w:t>
            </w:r>
            <w:r w:rsidR="001C0714">
              <w:rPr>
                <w:noProof/>
                <w:webHidden/>
              </w:rPr>
              <w:tab/>
            </w:r>
            <w:r w:rsidR="001C0714">
              <w:rPr>
                <w:noProof/>
                <w:webHidden/>
              </w:rPr>
              <w:fldChar w:fldCharType="begin"/>
            </w:r>
            <w:r w:rsidR="001C0714">
              <w:rPr>
                <w:noProof/>
                <w:webHidden/>
              </w:rPr>
              <w:instrText xml:space="preserve"> PAGEREF _Toc72918432 \h </w:instrText>
            </w:r>
            <w:r w:rsidR="001C0714">
              <w:rPr>
                <w:noProof/>
                <w:webHidden/>
              </w:rPr>
            </w:r>
            <w:r w:rsidR="001C0714">
              <w:rPr>
                <w:noProof/>
                <w:webHidden/>
              </w:rPr>
              <w:fldChar w:fldCharType="separate"/>
            </w:r>
            <w:r w:rsidR="001C0714">
              <w:rPr>
                <w:noProof/>
                <w:webHidden/>
              </w:rPr>
              <w:t>17</w:t>
            </w:r>
            <w:r w:rsidR="001C0714">
              <w:rPr>
                <w:noProof/>
                <w:webHidden/>
              </w:rPr>
              <w:fldChar w:fldCharType="end"/>
            </w:r>
          </w:hyperlink>
        </w:p>
        <w:p w14:paraId="43D1B3E7" w14:textId="42BF524A" w:rsidR="001C0714" w:rsidRDefault="00CC4766">
          <w:pPr>
            <w:pStyle w:val="TOC2"/>
            <w:rPr>
              <w:rFonts w:asciiTheme="minorHAnsi" w:eastAsiaTheme="minorEastAsia" w:hAnsiTheme="minorHAnsi" w:cstheme="minorBidi"/>
              <w:b w:val="0"/>
              <w:noProof/>
              <w:sz w:val="22"/>
              <w:szCs w:val="22"/>
              <w:lang w:eastAsia="en-AU"/>
            </w:rPr>
          </w:pPr>
          <w:hyperlink w:anchor="_Toc72918433" w:history="1">
            <w:r w:rsidR="001C0714" w:rsidRPr="00C677DF">
              <w:rPr>
                <w:rStyle w:val="Hyperlink"/>
                <w:noProof/>
              </w:rPr>
              <w:t>Appendices</w:t>
            </w:r>
            <w:r w:rsidR="001C0714">
              <w:rPr>
                <w:noProof/>
                <w:webHidden/>
              </w:rPr>
              <w:tab/>
            </w:r>
            <w:r w:rsidR="001C0714">
              <w:rPr>
                <w:noProof/>
                <w:webHidden/>
              </w:rPr>
              <w:fldChar w:fldCharType="begin"/>
            </w:r>
            <w:r w:rsidR="001C0714">
              <w:rPr>
                <w:noProof/>
                <w:webHidden/>
              </w:rPr>
              <w:instrText xml:space="preserve"> PAGEREF _Toc72918433 \h </w:instrText>
            </w:r>
            <w:r w:rsidR="001C0714">
              <w:rPr>
                <w:noProof/>
                <w:webHidden/>
              </w:rPr>
            </w:r>
            <w:r w:rsidR="001C0714">
              <w:rPr>
                <w:noProof/>
                <w:webHidden/>
              </w:rPr>
              <w:fldChar w:fldCharType="separate"/>
            </w:r>
            <w:r w:rsidR="001C0714">
              <w:rPr>
                <w:noProof/>
                <w:webHidden/>
              </w:rPr>
              <w:t>18</w:t>
            </w:r>
            <w:r w:rsidR="001C0714">
              <w:rPr>
                <w:noProof/>
                <w:webHidden/>
              </w:rPr>
              <w:fldChar w:fldCharType="end"/>
            </w:r>
          </w:hyperlink>
        </w:p>
        <w:p w14:paraId="5EEF6E6C" w14:textId="1D0102DB" w:rsidR="001C0714" w:rsidRDefault="00CC4766">
          <w:pPr>
            <w:pStyle w:val="TOC3"/>
            <w:rPr>
              <w:rFonts w:asciiTheme="minorHAnsi" w:eastAsiaTheme="minorEastAsia" w:hAnsiTheme="minorHAnsi" w:cstheme="minorBidi"/>
              <w:b w:val="0"/>
              <w:noProof/>
              <w:szCs w:val="22"/>
              <w:lang w:eastAsia="en-AU"/>
            </w:rPr>
          </w:pPr>
          <w:hyperlink w:anchor="_Toc72918434" w:history="1">
            <w:r w:rsidR="001C0714" w:rsidRPr="00C677DF">
              <w:rPr>
                <w:rStyle w:val="Hyperlink"/>
                <w:noProof/>
              </w:rPr>
              <w:t>Appendix 1: Proposed amendments to TGO 107</w:t>
            </w:r>
            <w:r w:rsidR="001C0714">
              <w:rPr>
                <w:noProof/>
                <w:webHidden/>
              </w:rPr>
              <w:tab/>
            </w:r>
            <w:r w:rsidR="001C0714">
              <w:rPr>
                <w:noProof/>
                <w:webHidden/>
              </w:rPr>
              <w:fldChar w:fldCharType="begin"/>
            </w:r>
            <w:r w:rsidR="001C0714">
              <w:rPr>
                <w:noProof/>
                <w:webHidden/>
              </w:rPr>
              <w:instrText xml:space="preserve"> PAGEREF _Toc72918434 \h </w:instrText>
            </w:r>
            <w:r w:rsidR="001C0714">
              <w:rPr>
                <w:noProof/>
                <w:webHidden/>
              </w:rPr>
            </w:r>
            <w:r w:rsidR="001C0714">
              <w:rPr>
                <w:noProof/>
                <w:webHidden/>
              </w:rPr>
              <w:fldChar w:fldCharType="separate"/>
            </w:r>
            <w:r w:rsidR="001C0714">
              <w:rPr>
                <w:noProof/>
                <w:webHidden/>
              </w:rPr>
              <w:t>18</w:t>
            </w:r>
            <w:r w:rsidR="001C0714">
              <w:rPr>
                <w:noProof/>
                <w:webHidden/>
              </w:rPr>
              <w:fldChar w:fldCharType="end"/>
            </w:r>
          </w:hyperlink>
        </w:p>
        <w:p w14:paraId="226C0658" w14:textId="2530485F" w:rsidR="001C0714" w:rsidRDefault="00CC4766">
          <w:pPr>
            <w:pStyle w:val="TOC3"/>
            <w:rPr>
              <w:rFonts w:asciiTheme="minorHAnsi" w:eastAsiaTheme="minorEastAsia" w:hAnsiTheme="minorHAnsi" w:cstheme="minorBidi"/>
              <w:b w:val="0"/>
              <w:noProof/>
              <w:szCs w:val="22"/>
              <w:lang w:eastAsia="en-AU"/>
            </w:rPr>
          </w:pPr>
          <w:hyperlink w:anchor="_Toc72918435" w:history="1">
            <w:r w:rsidR="001C0714" w:rsidRPr="00C677DF">
              <w:rPr>
                <w:rStyle w:val="Hyperlink"/>
                <w:noProof/>
              </w:rPr>
              <w:t>Appendix 2: Proposed amendments to TGO 108</w:t>
            </w:r>
            <w:r w:rsidR="001C0714">
              <w:rPr>
                <w:noProof/>
                <w:webHidden/>
              </w:rPr>
              <w:tab/>
            </w:r>
            <w:r w:rsidR="001C0714">
              <w:rPr>
                <w:noProof/>
                <w:webHidden/>
              </w:rPr>
              <w:fldChar w:fldCharType="begin"/>
            </w:r>
            <w:r w:rsidR="001C0714">
              <w:rPr>
                <w:noProof/>
                <w:webHidden/>
              </w:rPr>
              <w:instrText xml:space="preserve"> PAGEREF _Toc72918435 \h </w:instrText>
            </w:r>
            <w:r w:rsidR="001C0714">
              <w:rPr>
                <w:noProof/>
                <w:webHidden/>
              </w:rPr>
            </w:r>
            <w:r w:rsidR="001C0714">
              <w:rPr>
                <w:noProof/>
                <w:webHidden/>
              </w:rPr>
              <w:fldChar w:fldCharType="separate"/>
            </w:r>
            <w:r w:rsidR="001C0714">
              <w:rPr>
                <w:noProof/>
                <w:webHidden/>
              </w:rPr>
              <w:t>18</w:t>
            </w:r>
            <w:r w:rsidR="001C0714">
              <w:rPr>
                <w:noProof/>
                <w:webHidden/>
              </w:rPr>
              <w:fldChar w:fldCharType="end"/>
            </w:r>
          </w:hyperlink>
        </w:p>
        <w:p w14:paraId="253C2108" w14:textId="7811013F" w:rsidR="001C0714" w:rsidRDefault="00CC4766">
          <w:pPr>
            <w:pStyle w:val="TOC3"/>
            <w:rPr>
              <w:rFonts w:asciiTheme="minorHAnsi" w:eastAsiaTheme="minorEastAsia" w:hAnsiTheme="minorHAnsi" w:cstheme="minorBidi"/>
              <w:b w:val="0"/>
              <w:noProof/>
              <w:szCs w:val="22"/>
              <w:lang w:eastAsia="en-AU"/>
            </w:rPr>
          </w:pPr>
          <w:hyperlink w:anchor="_Toc72918436" w:history="1">
            <w:r w:rsidR="001C0714" w:rsidRPr="00C677DF">
              <w:rPr>
                <w:rStyle w:val="Hyperlink"/>
                <w:noProof/>
              </w:rPr>
              <w:t>Appendix 3: Proposed amendments to TGO 109</w:t>
            </w:r>
            <w:r w:rsidR="001C0714">
              <w:rPr>
                <w:noProof/>
                <w:webHidden/>
              </w:rPr>
              <w:tab/>
            </w:r>
            <w:r w:rsidR="001C0714">
              <w:rPr>
                <w:noProof/>
                <w:webHidden/>
              </w:rPr>
              <w:fldChar w:fldCharType="begin"/>
            </w:r>
            <w:r w:rsidR="001C0714">
              <w:rPr>
                <w:noProof/>
                <w:webHidden/>
              </w:rPr>
              <w:instrText xml:space="preserve"> PAGEREF _Toc72918436 \h </w:instrText>
            </w:r>
            <w:r w:rsidR="001C0714">
              <w:rPr>
                <w:noProof/>
                <w:webHidden/>
              </w:rPr>
            </w:r>
            <w:r w:rsidR="001C0714">
              <w:rPr>
                <w:noProof/>
                <w:webHidden/>
              </w:rPr>
              <w:fldChar w:fldCharType="separate"/>
            </w:r>
            <w:r w:rsidR="001C0714">
              <w:rPr>
                <w:noProof/>
                <w:webHidden/>
              </w:rPr>
              <w:t>18</w:t>
            </w:r>
            <w:r w:rsidR="001C0714">
              <w:rPr>
                <w:noProof/>
                <w:webHidden/>
              </w:rPr>
              <w:fldChar w:fldCharType="end"/>
            </w:r>
          </w:hyperlink>
        </w:p>
        <w:p w14:paraId="0ECBF930" w14:textId="1562F052" w:rsidR="001C0714" w:rsidRDefault="00CC4766">
          <w:pPr>
            <w:pStyle w:val="TOC3"/>
            <w:rPr>
              <w:rFonts w:asciiTheme="minorHAnsi" w:eastAsiaTheme="minorEastAsia" w:hAnsiTheme="minorHAnsi" w:cstheme="minorBidi"/>
              <w:b w:val="0"/>
              <w:noProof/>
              <w:szCs w:val="22"/>
              <w:lang w:eastAsia="en-AU"/>
            </w:rPr>
          </w:pPr>
          <w:hyperlink w:anchor="_Toc72918437" w:history="1">
            <w:r w:rsidR="001C0714" w:rsidRPr="00C677DF">
              <w:rPr>
                <w:rStyle w:val="Hyperlink"/>
                <w:noProof/>
              </w:rPr>
              <w:t>Appendix 4: Proposed amendments to legislative instruments</w:t>
            </w:r>
            <w:r w:rsidR="001C0714">
              <w:rPr>
                <w:noProof/>
                <w:webHidden/>
              </w:rPr>
              <w:tab/>
            </w:r>
            <w:r w:rsidR="001C0714">
              <w:rPr>
                <w:noProof/>
                <w:webHidden/>
              </w:rPr>
              <w:fldChar w:fldCharType="begin"/>
            </w:r>
            <w:r w:rsidR="001C0714">
              <w:rPr>
                <w:noProof/>
                <w:webHidden/>
              </w:rPr>
              <w:instrText xml:space="preserve"> PAGEREF _Toc72918437 \h </w:instrText>
            </w:r>
            <w:r w:rsidR="001C0714">
              <w:rPr>
                <w:noProof/>
                <w:webHidden/>
              </w:rPr>
            </w:r>
            <w:r w:rsidR="001C0714">
              <w:rPr>
                <w:noProof/>
                <w:webHidden/>
              </w:rPr>
              <w:fldChar w:fldCharType="separate"/>
            </w:r>
            <w:r w:rsidR="001C0714">
              <w:rPr>
                <w:noProof/>
                <w:webHidden/>
              </w:rPr>
              <w:t>18</w:t>
            </w:r>
            <w:r w:rsidR="001C0714">
              <w:rPr>
                <w:noProof/>
                <w:webHidden/>
              </w:rPr>
              <w:fldChar w:fldCharType="end"/>
            </w:r>
          </w:hyperlink>
        </w:p>
        <w:p w14:paraId="11971FA5" w14:textId="45C7BF36" w:rsidR="00A26540" w:rsidRDefault="00A26540">
          <w:r>
            <w:rPr>
              <w:b/>
              <w:bCs/>
              <w:noProof/>
            </w:rPr>
            <w:fldChar w:fldCharType="end"/>
          </w:r>
        </w:p>
      </w:sdtContent>
    </w:sdt>
    <w:p w14:paraId="6272B040" w14:textId="6FB2EDE8" w:rsidR="00FF6BA0" w:rsidRPr="009401F6" w:rsidRDefault="005D554E" w:rsidP="00846756">
      <w:pPr>
        <w:pStyle w:val="Heading2"/>
        <w:pageBreakBefore/>
      </w:pPr>
      <w:bookmarkStart w:id="2" w:name="_Toc72918406"/>
      <w:r>
        <w:lastRenderedPageBreak/>
        <w:t>Purpose</w:t>
      </w:r>
      <w:bookmarkEnd w:id="2"/>
    </w:p>
    <w:p w14:paraId="58A36B03" w14:textId="294F56B5" w:rsidR="00A90727" w:rsidRDefault="0065421A" w:rsidP="00561FCA">
      <w:r>
        <w:t>The Therapeutic Goods Administration (TGA) is seeking feedback on</w:t>
      </w:r>
      <w:r w:rsidR="002E5BBB">
        <w:t xml:space="preserve"> </w:t>
      </w:r>
      <w:r w:rsidR="004B5B59">
        <w:t>a</w:t>
      </w:r>
      <w:r w:rsidR="00A90727">
        <w:t xml:space="preserve"> proposal to remake</w:t>
      </w:r>
      <w:r w:rsidR="00A65339">
        <w:t xml:space="preserve"> some of</w:t>
      </w:r>
      <w:r w:rsidR="00A90727">
        <w:t xml:space="preserve"> the</w:t>
      </w:r>
      <w:r w:rsidR="002476F0">
        <w:t xml:space="preserve"> </w:t>
      </w:r>
      <w:r w:rsidR="008748ED">
        <w:t>legislative instruments</w:t>
      </w:r>
      <w:r w:rsidR="004B5B59">
        <w:t xml:space="preserve"> </w:t>
      </w:r>
      <w:r w:rsidR="00D14689">
        <w:t>relating</w:t>
      </w:r>
      <w:r w:rsidR="00596CD0">
        <w:t xml:space="preserve"> to</w:t>
      </w:r>
      <w:r w:rsidR="004B5B59">
        <w:t xml:space="preserve"> human cell and tissue</w:t>
      </w:r>
      <w:r w:rsidR="001D01CC">
        <w:t xml:space="preserve"> </w:t>
      </w:r>
      <w:r w:rsidR="0054129F">
        <w:t xml:space="preserve">(HCT) </w:t>
      </w:r>
      <w:r w:rsidR="001F214A">
        <w:t>products</w:t>
      </w:r>
      <w:r w:rsidR="00CC46D3">
        <w:t xml:space="preserve"> </w:t>
      </w:r>
      <w:r w:rsidR="006E6C6D">
        <w:t>(including blood and blood components)</w:t>
      </w:r>
      <w:r w:rsidR="001F214A">
        <w:t>, which</w:t>
      </w:r>
      <w:r w:rsidR="00D14689">
        <w:t xml:space="preserve"> sunset </w:t>
      </w:r>
      <w:r w:rsidR="005E0816">
        <w:t>in October 2021.</w:t>
      </w:r>
      <w:r w:rsidR="003304C7">
        <w:t xml:space="preserve"> </w:t>
      </w:r>
    </w:p>
    <w:p w14:paraId="11BE66AB" w14:textId="01669D0B" w:rsidR="00561FCA" w:rsidRDefault="005E0816" w:rsidP="00561FCA">
      <w:r>
        <w:t>Most</w:t>
      </w:r>
      <w:r w:rsidR="002542EF">
        <w:t xml:space="preserve"> of the</w:t>
      </w:r>
      <w:r>
        <w:t>se</w:t>
      </w:r>
      <w:r w:rsidR="002542EF">
        <w:t xml:space="preserve"> legislative instruments are Therapeutic Goods Orders (TGOs) which</w:t>
      </w:r>
      <w:r w:rsidR="00561FCA" w:rsidRPr="005D554E">
        <w:t xml:space="preserve"> ensure the quality and safety of HCT products for Australian patients and consumers. They fulfil this purpose by specifying Australia</w:t>
      </w:r>
      <w:r w:rsidR="00311FC2">
        <w:t>n</w:t>
      </w:r>
      <w:r w:rsidR="00561FCA" w:rsidRPr="005D554E">
        <w:t>-specific donor screening, labelling and manufacturing requirements for therapeutic goods comprising, derived from or containing HCT</w:t>
      </w:r>
      <w:r w:rsidR="003304C7">
        <w:t>s</w:t>
      </w:r>
      <w:r w:rsidR="00B62331">
        <w:t>, as well as blood and blood components.</w:t>
      </w:r>
    </w:p>
    <w:p w14:paraId="3E9A2AE2" w14:textId="77396587" w:rsidR="00CD1E79" w:rsidRDefault="005E0816" w:rsidP="00040FFA">
      <w:r>
        <w:t xml:space="preserve">Although all these legislative instruments continue to operate largely effectively and efficiently, it would be beneficial to improve clarity on some requirements as well as create efficiency through increased international harmonisation thus ensuring they continue to be fit for purpose. Accordingly, we are proposing to remake these TGOs and the other legislative instruments under section 10 </w:t>
      </w:r>
      <w:r w:rsidR="007E7611">
        <w:t xml:space="preserve">and section 32A </w:t>
      </w:r>
      <w:r>
        <w:t xml:space="preserve">of the </w:t>
      </w:r>
      <w:r w:rsidRPr="005D37D5">
        <w:rPr>
          <w:i/>
        </w:rPr>
        <w:t>Therapeutic Goods Act</w:t>
      </w:r>
      <w:r w:rsidRPr="00D766C0">
        <w:rPr>
          <w:i/>
        </w:rPr>
        <w:t xml:space="preserve"> 1989</w:t>
      </w:r>
      <w:r>
        <w:t xml:space="preserve"> (the Act)</w:t>
      </w:r>
      <w:r w:rsidR="00345884">
        <w:t>,</w:t>
      </w:r>
      <w:r w:rsidR="007E7611">
        <w:t xml:space="preserve"> respectively</w:t>
      </w:r>
      <w:r>
        <w:t>.</w:t>
      </w:r>
    </w:p>
    <w:p w14:paraId="1605C4CC" w14:textId="57C3172F" w:rsidR="00E04E52" w:rsidRPr="00387A5A" w:rsidRDefault="00CD1E79" w:rsidP="00387A5A">
      <w:pPr>
        <w:pStyle w:val="Heading2"/>
      </w:pPr>
      <w:bookmarkStart w:id="3" w:name="_Toc72918407"/>
      <w:r w:rsidRPr="00387A5A">
        <w:t>Scope</w:t>
      </w:r>
      <w:bookmarkEnd w:id="3"/>
    </w:p>
    <w:p w14:paraId="265F2C48" w14:textId="4A594644" w:rsidR="00965679" w:rsidRDefault="00965679" w:rsidP="00965679">
      <w:pPr>
        <w:rPr>
          <w:rFonts w:asciiTheme="minorHAnsi" w:hAnsiTheme="minorHAnsi" w:cstheme="minorHAnsi"/>
          <w:szCs w:val="22"/>
        </w:rPr>
      </w:pPr>
      <w:r w:rsidRPr="006C6F97">
        <w:rPr>
          <w:rFonts w:asciiTheme="minorHAnsi" w:hAnsiTheme="minorHAnsi" w:cstheme="minorHAnsi"/>
          <w:szCs w:val="22"/>
        </w:rPr>
        <w:t>The</w:t>
      </w:r>
      <w:r>
        <w:rPr>
          <w:rFonts w:asciiTheme="minorHAnsi" w:hAnsiTheme="minorHAnsi" w:cstheme="minorHAnsi"/>
          <w:szCs w:val="22"/>
        </w:rPr>
        <w:t xml:space="preserve"> </w:t>
      </w:r>
      <w:r w:rsidRPr="006C6F97">
        <w:rPr>
          <w:rFonts w:asciiTheme="minorHAnsi" w:hAnsiTheme="minorHAnsi" w:cstheme="minorHAnsi"/>
          <w:szCs w:val="22"/>
        </w:rPr>
        <w:t xml:space="preserve">TGOs </w:t>
      </w:r>
      <w:r w:rsidR="00AB501B">
        <w:rPr>
          <w:rFonts w:asciiTheme="minorHAnsi" w:hAnsiTheme="minorHAnsi" w:cstheme="minorHAnsi"/>
          <w:szCs w:val="22"/>
        </w:rPr>
        <w:t xml:space="preserve">relevant to this consultation </w:t>
      </w:r>
      <w:r>
        <w:rPr>
          <w:rFonts w:asciiTheme="minorHAnsi" w:hAnsiTheme="minorHAnsi" w:cstheme="minorHAnsi"/>
          <w:szCs w:val="22"/>
        </w:rPr>
        <w:t xml:space="preserve">can </w:t>
      </w:r>
      <w:r w:rsidRPr="006C6F97">
        <w:rPr>
          <w:rFonts w:asciiTheme="minorHAnsi" w:hAnsiTheme="minorHAnsi" w:cstheme="minorHAnsi"/>
          <w:szCs w:val="22"/>
        </w:rPr>
        <w:t xml:space="preserve">be </w:t>
      </w:r>
      <w:r>
        <w:rPr>
          <w:rFonts w:asciiTheme="minorHAnsi" w:hAnsiTheme="minorHAnsi" w:cstheme="minorHAnsi"/>
          <w:szCs w:val="22"/>
        </w:rPr>
        <w:t xml:space="preserve">broadly </w:t>
      </w:r>
      <w:r w:rsidRPr="006C6F97">
        <w:rPr>
          <w:rFonts w:asciiTheme="minorHAnsi" w:hAnsiTheme="minorHAnsi" w:cstheme="minorHAnsi"/>
          <w:szCs w:val="22"/>
        </w:rPr>
        <w:t>categorised into three groups:</w:t>
      </w:r>
    </w:p>
    <w:p w14:paraId="325B9E7E" w14:textId="0C1D1213" w:rsidR="00B447C5" w:rsidRPr="00B447C5" w:rsidRDefault="00B447C5" w:rsidP="0091172A">
      <w:pPr>
        <w:numPr>
          <w:ilvl w:val="0"/>
          <w:numId w:val="24"/>
        </w:numPr>
        <w:rPr>
          <w:rFonts w:asciiTheme="minorHAnsi" w:hAnsiTheme="minorHAnsi" w:cstheme="minorHAnsi"/>
          <w:szCs w:val="22"/>
        </w:rPr>
      </w:pPr>
      <w:r w:rsidRPr="006C6F97">
        <w:t>Produc</w:t>
      </w:r>
      <w:r>
        <w:t>t-specific standards:</w:t>
      </w:r>
    </w:p>
    <w:p w14:paraId="29C6F2A0" w14:textId="77777777" w:rsidR="00965679" w:rsidRPr="006C6F97" w:rsidRDefault="00CC4766" w:rsidP="00D027A5">
      <w:pPr>
        <w:pStyle w:val="ListNumber3"/>
        <w:numPr>
          <w:ilvl w:val="0"/>
          <w:numId w:val="12"/>
        </w:numPr>
        <w:spacing w:before="180" w:after="180" w:line="240" w:lineRule="atLeast"/>
        <w:contextualSpacing/>
        <w:rPr>
          <w:rFonts w:asciiTheme="minorHAnsi" w:hAnsiTheme="minorHAnsi" w:cstheme="minorHAnsi"/>
        </w:rPr>
      </w:pPr>
      <w:hyperlink r:id="rId15" w:history="1">
        <w:r w:rsidR="00965679" w:rsidRPr="006C6F97">
          <w:rPr>
            <w:rStyle w:val="Hyperlink"/>
            <w:rFonts w:asciiTheme="minorHAnsi" w:hAnsiTheme="minorHAnsi" w:cstheme="minorHAnsi"/>
          </w:rPr>
          <w:t>TGO 83: Standards for human musculoskeletal tissue</w:t>
        </w:r>
      </w:hyperlink>
    </w:p>
    <w:p w14:paraId="5056B054" w14:textId="77777777" w:rsidR="00965679" w:rsidRPr="006C6F97" w:rsidRDefault="00CC4766" w:rsidP="00D027A5">
      <w:pPr>
        <w:pStyle w:val="ListNumber3"/>
        <w:numPr>
          <w:ilvl w:val="0"/>
          <w:numId w:val="12"/>
        </w:numPr>
        <w:spacing w:before="180" w:after="180" w:line="240" w:lineRule="atLeast"/>
        <w:contextualSpacing/>
        <w:rPr>
          <w:rFonts w:asciiTheme="minorHAnsi" w:hAnsiTheme="minorHAnsi" w:cstheme="minorHAnsi"/>
        </w:rPr>
      </w:pPr>
      <w:hyperlink r:id="rId16" w:history="1">
        <w:r w:rsidR="00965679" w:rsidRPr="006C6F97">
          <w:rPr>
            <w:rStyle w:val="Hyperlink"/>
            <w:rFonts w:asciiTheme="minorHAnsi" w:hAnsiTheme="minorHAnsi" w:cstheme="minorHAnsi"/>
          </w:rPr>
          <w:t>TGO 84: Standards for human cardiovascular tissue</w:t>
        </w:r>
      </w:hyperlink>
    </w:p>
    <w:p w14:paraId="28B755F1" w14:textId="77777777" w:rsidR="00965679" w:rsidRPr="006C6F97" w:rsidRDefault="00CC4766" w:rsidP="00D027A5">
      <w:pPr>
        <w:pStyle w:val="ListNumber3"/>
        <w:numPr>
          <w:ilvl w:val="0"/>
          <w:numId w:val="12"/>
        </w:numPr>
        <w:spacing w:before="180" w:after="180" w:line="240" w:lineRule="atLeast"/>
        <w:contextualSpacing/>
        <w:rPr>
          <w:rFonts w:asciiTheme="minorHAnsi" w:hAnsiTheme="minorHAnsi" w:cstheme="minorHAnsi"/>
        </w:rPr>
      </w:pPr>
      <w:hyperlink r:id="rId17" w:history="1">
        <w:r w:rsidR="00965679" w:rsidRPr="006C6F97">
          <w:rPr>
            <w:rStyle w:val="Hyperlink"/>
            <w:rFonts w:asciiTheme="minorHAnsi" w:hAnsiTheme="minorHAnsi" w:cstheme="minorHAnsi"/>
          </w:rPr>
          <w:t>TGO 85: Standards for human ocular tissue</w:t>
        </w:r>
      </w:hyperlink>
    </w:p>
    <w:p w14:paraId="1C68C6B6" w14:textId="77777777" w:rsidR="00965679" w:rsidRPr="006C6F97" w:rsidRDefault="00CC4766" w:rsidP="00D027A5">
      <w:pPr>
        <w:pStyle w:val="ListNumber3"/>
        <w:numPr>
          <w:ilvl w:val="0"/>
          <w:numId w:val="12"/>
        </w:numPr>
        <w:spacing w:before="180" w:after="180" w:line="240" w:lineRule="atLeast"/>
        <w:contextualSpacing/>
        <w:rPr>
          <w:rFonts w:asciiTheme="minorHAnsi" w:hAnsiTheme="minorHAnsi" w:cstheme="minorHAnsi"/>
        </w:rPr>
      </w:pPr>
      <w:hyperlink r:id="rId18" w:history="1">
        <w:r w:rsidR="00965679" w:rsidRPr="006C6F97">
          <w:rPr>
            <w:rStyle w:val="Hyperlink"/>
            <w:rFonts w:asciiTheme="minorHAnsi" w:hAnsiTheme="minorHAnsi" w:cstheme="minorHAnsi"/>
          </w:rPr>
          <w:t>TGO 86: Standards for human skin</w:t>
        </w:r>
      </w:hyperlink>
    </w:p>
    <w:p w14:paraId="24A921E3" w14:textId="5202634E" w:rsidR="00B447C5" w:rsidRPr="00B447C5" w:rsidRDefault="00B447C5" w:rsidP="00B447C5">
      <w:pPr>
        <w:numPr>
          <w:ilvl w:val="0"/>
          <w:numId w:val="24"/>
        </w:numPr>
        <w:rPr>
          <w:rFonts w:asciiTheme="minorHAnsi" w:hAnsiTheme="minorHAnsi" w:cstheme="minorHAnsi"/>
          <w:szCs w:val="22"/>
        </w:rPr>
      </w:pPr>
      <w:r>
        <w:t>Labelling requirements:</w:t>
      </w:r>
    </w:p>
    <w:p w14:paraId="499AA931" w14:textId="77777777" w:rsidR="00965679" w:rsidRPr="006C6F97" w:rsidRDefault="00CC4766" w:rsidP="00D027A5">
      <w:pPr>
        <w:pStyle w:val="ListNumber3"/>
        <w:numPr>
          <w:ilvl w:val="0"/>
          <w:numId w:val="12"/>
        </w:numPr>
        <w:spacing w:before="180" w:after="180" w:line="240" w:lineRule="atLeast"/>
        <w:contextualSpacing/>
        <w:rPr>
          <w:rFonts w:asciiTheme="minorHAnsi" w:hAnsiTheme="minorHAnsi" w:cstheme="minorHAnsi"/>
        </w:rPr>
      </w:pPr>
      <w:hyperlink r:id="rId19" w:history="1">
        <w:r w:rsidR="00965679" w:rsidRPr="006C6F97">
          <w:rPr>
            <w:rStyle w:val="Hyperlink"/>
            <w:rFonts w:asciiTheme="minorHAnsi" w:hAnsiTheme="minorHAnsi" w:cstheme="minorHAnsi"/>
          </w:rPr>
          <w:t>TGO 87: General requirements for the labelling of biologicals</w:t>
        </w:r>
      </w:hyperlink>
    </w:p>
    <w:p w14:paraId="70F97539" w14:textId="3F16C300" w:rsidR="00B447C5" w:rsidRPr="00230CB3" w:rsidRDefault="00B447C5" w:rsidP="00B447C5">
      <w:pPr>
        <w:numPr>
          <w:ilvl w:val="0"/>
          <w:numId w:val="24"/>
        </w:numPr>
        <w:rPr>
          <w:rFonts w:asciiTheme="minorHAnsi" w:hAnsiTheme="minorHAnsi" w:cstheme="minorHAnsi"/>
          <w:szCs w:val="22"/>
        </w:rPr>
      </w:pPr>
      <w:r w:rsidRPr="006C6F97">
        <w:t xml:space="preserve">General donor selection </w:t>
      </w:r>
      <w:r>
        <w:t>and testing requirements:</w:t>
      </w:r>
    </w:p>
    <w:p w14:paraId="2C3B4086" w14:textId="77777777" w:rsidR="00230CB3" w:rsidRDefault="00CC4766" w:rsidP="00230CB3">
      <w:pPr>
        <w:pStyle w:val="ListNumber3"/>
        <w:numPr>
          <w:ilvl w:val="0"/>
          <w:numId w:val="12"/>
        </w:numPr>
        <w:spacing w:before="180" w:after="180" w:line="240" w:lineRule="atLeast"/>
        <w:contextualSpacing/>
        <w:rPr>
          <w:rFonts w:asciiTheme="minorHAnsi" w:hAnsiTheme="minorHAnsi" w:cstheme="minorHAnsi"/>
        </w:rPr>
      </w:pPr>
      <w:hyperlink r:id="rId20" w:history="1">
        <w:r w:rsidR="00230CB3" w:rsidRPr="00230CB3">
          <w:rPr>
            <w:rStyle w:val="Hyperlink"/>
            <w:rFonts w:asciiTheme="minorHAnsi" w:hAnsiTheme="minorHAnsi" w:cstheme="minorHAnsi"/>
          </w:rPr>
          <w:t>TGO 88: Standards for donor selection, testing, and minimising infectious disease transmission via therapeutic goods that are human blood and blood components, human tissues and human cellular therapy products</w:t>
        </w:r>
      </w:hyperlink>
    </w:p>
    <w:p w14:paraId="3681C4E5" w14:textId="77777777" w:rsidR="00230CB3" w:rsidRDefault="00E0478F" w:rsidP="00230CB3">
      <w:pPr>
        <w:rPr>
          <w:rFonts w:asciiTheme="minorHAnsi" w:hAnsiTheme="minorHAnsi" w:cstheme="minorHAnsi"/>
        </w:rPr>
      </w:pPr>
      <w:r w:rsidRPr="00230CB3">
        <w:rPr>
          <w:rFonts w:asciiTheme="minorHAnsi" w:hAnsiTheme="minorHAnsi" w:cstheme="minorHAnsi"/>
        </w:rPr>
        <w:t>T</w:t>
      </w:r>
      <w:r w:rsidR="00AF4195" w:rsidRPr="00230CB3">
        <w:rPr>
          <w:rFonts w:asciiTheme="minorHAnsi" w:hAnsiTheme="minorHAnsi" w:cstheme="minorHAnsi"/>
        </w:rPr>
        <w:t xml:space="preserve">his consultation will also consider </w:t>
      </w:r>
      <w:r w:rsidR="00230CB3">
        <w:rPr>
          <w:rFonts w:asciiTheme="minorHAnsi" w:hAnsiTheme="minorHAnsi" w:cstheme="minorHAnsi"/>
        </w:rPr>
        <w:t xml:space="preserve">two other </w:t>
      </w:r>
      <w:r w:rsidR="00AF4195" w:rsidRPr="00230CB3">
        <w:rPr>
          <w:rFonts w:asciiTheme="minorHAnsi" w:hAnsiTheme="minorHAnsi" w:cstheme="minorHAnsi"/>
        </w:rPr>
        <w:t>legislative instrument</w:t>
      </w:r>
      <w:r w:rsidR="00D47943" w:rsidRPr="00230CB3">
        <w:rPr>
          <w:rFonts w:asciiTheme="minorHAnsi" w:hAnsiTheme="minorHAnsi" w:cstheme="minorHAnsi"/>
        </w:rPr>
        <w:t>s</w:t>
      </w:r>
      <w:r w:rsidR="00230CB3">
        <w:rPr>
          <w:rFonts w:asciiTheme="minorHAnsi" w:hAnsiTheme="minorHAnsi" w:cstheme="minorHAnsi"/>
        </w:rPr>
        <w:t>:</w:t>
      </w:r>
    </w:p>
    <w:p w14:paraId="5A35819A" w14:textId="3CA1CED3" w:rsidR="00230CB3" w:rsidRDefault="00CC4766" w:rsidP="00230CB3">
      <w:pPr>
        <w:numPr>
          <w:ilvl w:val="0"/>
          <w:numId w:val="24"/>
        </w:numPr>
        <w:rPr>
          <w:rFonts w:asciiTheme="minorHAnsi" w:hAnsiTheme="minorHAnsi" w:cstheme="minorHAnsi"/>
          <w:szCs w:val="22"/>
        </w:rPr>
      </w:pPr>
      <w:hyperlink r:id="rId21" w:history="1">
        <w:r w:rsidR="00AF4195" w:rsidRPr="00230CB3">
          <w:rPr>
            <w:rStyle w:val="Hyperlink"/>
            <w:rFonts w:asciiTheme="minorHAnsi" w:hAnsiTheme="minorHAnsi" w:cstheme="minorHAnsi"/>
            <w:i/>
          </w:rPr>
          <w:t>Therapeutic Goods (Things that are not Biologicals) Determination No. 1 of 2011</w:t>
        </w:r>
      </w:hyperlink>
    </w:p>
    <w:p w14:paraId="430EF6A6" w14:textId="4F3911C3" w:rsidR="00AF4195" w:rsidRPr="00230CB3" w:rsidRDefault="00CC4766" w:rsidP="00230CB3">
      <w:pPr>
        <w:numPr>
          <w:ilvl w:val="0"/>
          <w:numId w:val="24"/>
        </w:numPr>
        <w:rPr>
          <w:rFonts w:asciiTheme="minorHAnsi" w:hAnsiTheme="minorHAnsi" w:cstheme="minorHAnsi"/>
          <w:szCs w:val="22"/>
        </w:rPr>
      </w:pPr>
      <w:hyperlink r:id="rId22" w:history="1">
        <w:r w:rsidR="00D47943" w:rsidRPr="00230CB3">
          <w:rPr>
            <w:rStyle w:val="Hyperlink"/>
            <w:rFonts w:asciiTheme="minorHAnsi" w:hAnsiTheme="minorHAnsi" w:cstheme="minorHAnsi"/>
            <w:i/>
          </w:rPr>
          <w:t>Therapeutic Goods (Things that are Biologicals) Specification 2019</w:t>
        </w:r>
      </w:hyperlink>
    </w:p>
    <w:p w14:paraId="0B827924" w14:textId="77777777" w:rsidR="00923315" w:rsidRPr="00A83877" w:rsidRDefault="00923315" w:rsidP="00923315">
      <w:pPr>
        <w:pStyle w:val="Heading2"/>
      </w:pPr>
      <w:bookmarkStart w:id="4" w:name="_Toc63843079"/>
      <w:bookmarkStart w:id="5" w:name="_Toc72918408"/>
      <w:r w:rsidRPr="00A83877">
        <w:t>Background</w:t>
      </w:r>
      <w:bookmarkEnd w:id="4"/>
      <w:bookmarkEnd w:id="5"/>
    </w:p>
    <w:p w14:paraId="0C9FF680" w14:textId="7B7E0E3A" w:rsidR="00CC67E1" w:rsidRDefault="00716232" w:rsidP="00716232">
      <w:r>
        <w:rPr>
          <w:rFonts w:asciiTheme="minorHAnsi" w:hAnsiTheme="minorHAnsi"/>
        </w:rPr>
        <w:t>TGO</w:t>
      </w:r>
      <w:r w:rsidR="001D01CC">
        <w:rPr>
          <w:rFonts w:asciiTheme="minorHAnsi" w:hAnsiTheme="minorHAnsi"/>
        </w:rPr>
        <w:t>s</w:t>
      </w:r>
      <w:r>
        <w:rPr>
          <w:rFonts w:asciiTheme="minorHAnsi" w:hAnsiTheme="minorHAnsi"/>
        </w:rPr>
        <w:t xml:space="preserve"> </w:t>
      </w:r>
      <w:r w:rsidR="00C1610D">
        <w:rPr>
          <w:rFonts w:asciiTheme="minorHAnsi" w:hAnsiTheme="minorHAnsi"/>
        </w:rPr>
        <w:t>83-87</w:t>
      </w:r>
      <w:r w:rsidR="00230CB3">
        <w:rPr>
          <w:rFonts w:asciiTheme="minorHAnsi" w:hAnsiTheme="minorHAnsi"/>
        </w:rPr>
        <w:t xml:space="preserve"> </w:t>
      </w:r>
      <w:r w:rsidR="00C1610D">
        <w:rPr>
          <w:rFonts w:asciiTheme="minorHAnsi" w:hAnsiTheme="minorHAnsi"/>
        </w:rPr>
        <w:t>commenced in 2011</w:t>
      </w:r>
      <w:r w:rsidR="007A6E5C">
        <w:rPr>
          <w:rFonts w:asciiTheme="minorHAnsi" w:hAnsiTheme="minorHAnsi"/>
        </w:rPr>
        <w:t>,</w:t>
      </w:r>
      <w:r w:rsidR="00C1610D">
        <w:rPr>
          <w:rFonts w:asciiTheme="minorHAnsi" w:hAnsiTheme="minorHAnsi"/>
        </w:rPr>
        <w:t xml:space="preserve"> while TGO 88 commenced in 2013. </w:t>
      </w:r>
      <w:r w:rsidR="008C1094">
        <w:t xml:space="preserve">Legislative instruments are automatically repealed after a fixed period of time (subject to some exceptions) in accordance with the </w:t>
      </w:r>
      <w:r w:rsidR="008C1094" w:rsidRPr="00963AB6">
        <w:rPr>
          <w:i/>
        </w:rPr>
        <w:t>Legislative Instruments Act 2003</w:t>
      </w:r>
      <w:r w:rsidR="008C1094">
        <w:t xml:space="preserve">. This automatic repeal is called ‘sunsetting’. TGOs 83-87 are due to sunset in October 2021. Although TGO 88 does not sunset until </w:t>
      </w:r>
      <w:r w:rsidR="008C1094" w:rsidRPr="006C4FF2">
        <w:t>October 2023</w:t>
      </w:r>
      <w:r w:rsidR="007A6E5C">
        <w:t>, this Order cross-</w:t>
      </w:r>
      <w:r w:rsidR="00230CB3">
        <w:t xml:space="preserve">references </w:t>
      </w:r>
      <w:r w:rsidR="00C1610D">
        <w:t>TGOs 83-87</w:t>
      </w:r>
      <w:r w:rsidR="0091172A">
        <w:t xml:space="preserve"> and so</w:t>
      </w:r>
      <w:r w:rsidR="00AF4195">
        <w:t xml:space="preserve"> will be reviewed </w:t>
      </w:r>
      <w:r w:rsidR="0091172A">
        <w:t>at the same time</w:t>
      </w:r>
      <w:r w:rsidR="00AF4195">
        <w:t xml:space="preserve"> to provide </w:t>
      </w:r>
      <w:r w:rsidR="0016410E">
        <w:t>clarity</w:t>
      </w:r>
      <w:r w:rsidR="004A721E">
        <w:t xml:space="preserve"> across these HCT-</w:t>
      </w:r>
      <w:r w:rsidR="00AF4195">
        <w:t xml:space="preserve">relevant </w:t>
      </w:r>
      <w:r w:rsidR="004A721E">
        <w:t>TGO</w:t>
      </w:r>
      <w:r w:rsidR="00AF4195">
        <w:t>s</w:t>
      </w:r>
      <w:r w:rsidR="00CC67E1">
        <w:t>.</w:t>
      </w:r>
    </w:p>
    <w:p w14:paraId="4C4001B7" w14:textId="73E3C5C0" w:rsidR="00716232" w:rsidRDefault="00716232" w:rsidP="00716232">
      <w:r>
        <w:t xml:space="preserve">In accordance with the </w:t>
      </w:r>
      <w:hyperlink r:id="rId23" w:history="1">
        <w:r w:rsidR="004C04BA">
          <w:rPr>
            <w:rStyle w:val="Hyperlink"/>
          </w:rPr>
          <w:t>s</w:t>
        </w:r>
        <w:r w:rsidRPr="00E34590">
          <w:rPr>
            <w:rStyle w:val="Hyperlink"/>
          </w:rPr>
          <w:t>unsetting legislative instruments guidance note</w:t>
        </w:r>
      </w:hyperlink>
      <w:r>
        <w:t>, TGO</w:t>
      </w:r>
      <w:r w:rsidR="00AD1EC0">
        <w:t>s</w:t>
      </w:r>
      <w:r>
        <w:t xml:space="preserve"> </w:t>
      </w:r>
      <w:r w:rsidR="00AD1EC0">
        <w:t>83-</w:t>
      </w:r>
      <w:r w:rsidR="00545865">
        <w:t xml:space="preserve">88 </w:t>
      </w:r>
      <w:r>
        <w:t>w</w:t>
      </w:r>
      <w:r w:rsidR="009C7E39">
        <w:t>ere</w:t>
      </w:r>
      <w:r w:rsidR="001D01CC">
        <w:t xml:space="preserve"> assessed as to whether they are</w:t>
      </w:r>
      <w:r>
        <w:t xml:space="preserve"> operating ‘effectively and efficiently’ when co</w:t>
      </w:r>
      <w:r w:rsidR="0069692A">
        <w:t xml:space="preserve">mpared to no regulation in </w:t>
      </w:r>
      <w:r w:rsidR="0069692A">
        <w:lastRenderedPageBreak/>
        <w:t xml:space="preserve">force. </w:t>
      </w:r>
      <w:r w:rsidR="00F46488">
        <w:t>Preliminary feedback from stakeholders</w:t>
      </w:r>
      <w:r w:rsidR="00AD1EC0">
        <w:t xml:space="preserve"> </w:t>
      </w:r>
      <w:r w:rsidR="001D01CC">
        <w:t>confirmed that the TGO</w:t>
      </w:r>
      <w:r w:rsidR="009C7E39">
        <w:t>s</w:t>
      </w:r>
      <w:r w:rsidRPr="0092588D">
        <w:t xml:space="preserve"> </w:t>
      </w:r>
      <w:r>
        <w:t>should be remade</w:t>
      </w:r>
      <w:r w:rsidRPr="0092588D">
        <w:t xml:space="preserve"> to provide continuing clarity on </w:t>
      </w:r>
      <w:r>
        <w:t>specific</w:t>
      </w:r>
      <w:r w:rsidRPr="0092588D">
        <w:t xml:space="preserve"> requirements </w:t>
      </w:r>
      <w:r>
        <w:t xml:space="preserve">needed to maintain quality standards for </w:t>
      </w:r>
      <w:r w:rsidR="009C7E39">
        <w:t>therapeutic goods comprising, containing or derived from HCT</w:t>
      </w:r>
      <w:r>
        <w:t>.</w:t>
      </w:r>
    </w:p>
    <w:p w14:paraId="7807631B" w14:textId="18A480C2" w:rsidR="00314275" w:rsidRDefault="008C1094" w:rsidP="00314275">
      <w:pPr>
        <w:rPr>
          <w:szCs w:val="22"/>
        </w:rPr>
      </w:pPr>
      <w:r>
        <w:rPr>
          <w:rFonts w:asciiTheme="minorHAnsi" w:hAnsiTheme="minorHAnsi"/>
        </w:rPr>
        <w:t>A</w:t>
      </w:r>
      <w:r w:rsidR="00314275">
        <w:rPr>
          <w:szCs w:val="22"/>
        </w:rPr>
        <w:t xml:space="preserve">n additional HCT-relevant instrument, the </w:t>
      </w:r>
      <w:hyperlink r:id="rId24" w:history="1">
        <w:r w:rsidR="00314275" w:rsidRPr="0069692A">
          <w:rPr>
            <w:rStyle w:val="Hyperlink"/>
            <w:i/>
          </w:rPr>
          <w:t>Therapeutic Goods (Things that are not Biologicals) Determination No. 1 of 2011</w:t>
        </w:r>
      </w:hyperlink>
      <w:r w:rsidR="00314275">
        <w:rPr>
          <w:szCs w:val="22"/>
        </w:rPr>
        <w:t xml:space="preserve">, also sunsets in October 2021. This </w:t>
      </w:r>
      <w:r w:rsidR="00C1610D">
        <w:rPr>
          <w:szCs w:val="22"/>
        </w:rPr>
        <w:t xml:space="preserve">instrument </w:t>
      </w:r>
      <w:r w:rsidR="00314275">
        <w:rPr>
          <w:szCs w:val="22"/>
        </w:rPr>
        <w:t xml:space="preserve">will be reviewed to ensure it is </w:t>
      </w:r>
      <w:r w:rsidR="00314275">
        <w:t>fit for purpose</w:t>
      </w:r>
      <w:r w:rsidR="00314275">
        <w:rPr>
          <w:szCs w:val="22"/>
        </w:rPr>
        <w:t xml:space="preserve"> and provides clarity in the regulatory pathways for therapeutic goods.</w:t>
      </w:r>
    </w:p>
    <w:p w14:paraId="071FF859" w14:textId="03475173" w:rsidR="006C7249" w:rsidRDefault="006C7249" w:rsidP="00314275">
      <w:r>
        <w:rPr>
          <w:szCs w:val="22"/>
        </w:rPr>
        <w:t xml:space="preserve">The review of our </w:t>
      </w:r>
      <w:r>
        <w:t>TGOs and legislative instruments will propose updates to:</w:t>
      </w:r>
    </w:p>
    <w:p w14:paraId="6AD8D63D" w14:textId="716D7F68" w:rsidR="0069692A" w:rsidRDefault="0069692A" w:rsidP="00716232">
      <w:pPr>
        <w:numPr>
          <w:ilvl w:val="0"/>
          <w:numId w:val="24"/>
        </w:numPr>
      </w:pPr>
      <w:r>
        <w:t>improve clarity on technical requirements</w:t>
      </w:r>
    </w:p>
    <w:p w14:paraId="4FB44C96" w14:textId="77777777" w:rsidR="0069692A" w:rsidRDefault="00CA0F1C" w:rsidP="00716232">
      <w:pPr>
        <w:numPr>
          <w:ilvl w:val="0"/>
          <w:numId w:val="24"/>
        </w:numPr>
      </w:pPr>
      <w:r>
        <w:t xml:space="preserve">ensure </w:t>
      </w:r>
      <w:r w:rsidRPr="0069692A">
        <w:rPr>
          <w:szCs w:val="22"/>
        </w:rPr>
        <w:t>alignment with</w:t>
      </w:r>
      <w:r w:rsidR="00716232" w:rsidRPr="0069692A">
        <w:rPr>
          <w:szCs w:val="22"/>
        </w:rPr>
        <w:t xml:space="preserve"> </w:t>
      </w:r>
      <w:r w:rsidR="009C7E39" w:rsidRPr="0069692A">
        <w:rPr>
          <w:szCs w:val="22"/>
        </w:rPr>
        <w:t>international best practice</w:t>
      </w:r>
      <w:r w:rsidRPr="0069692A">
        <w:rPr>
          <w:szCs w:val="22"/>
        </w:rPr>
        <w:t xml:space="preserve"> and standards</w:t>
      </w:r>
    </w:p>
    <w:p w14:paraId="33424381" w14:textId="683C8740" w:rsidR="0069692A" w:rsidRPr="0069692A" w:rsidRDefault="006C7249" w:rsidP="00014A4A">
      <w:pPr>
        <w:pStyle w:val="ListParagraph"/>
        <w:numPr>
          <w:ilvl w:val="0"/>
          <w:numId w:val="24"/>
        </w:numPr>
      </w:pPr>
      <w:r w:rsidRPr="00E82F10">
        <w:t xml:space="preserve">bring </w:t>
      </w:r>
      <w:r w:rsidR="00364C6A" w:rsidRPr="00E82F10">
        <w:t>legislation</w:t>
      </w:r>
      <w:r w:rsidR="0069692A" w:rsidRPr="00E82F10">
        <w:t xml:space="preserve"> </w:t>
      </w:r>
      <w:r w:rsidRPr="00E82F10">
        <w:t>in</w:t>
      </w:r>
      <w:r w:rsidR="0069692A" w:rsidRPr="00E82F10">
        <w:t>to align</w:t>
      </w:r>
      <w:r w:rsidRPr="00E82F10">
        <w:t>ment</w:t>
      </w:r>
      <w:r w:rsidR="0069692A" w:rsidRPr="00E82F10">
        <w:t xml:space="preserve"> with recent amendments</w:t>
      </w:r>
      <w:r w:rsidR="00E82F10" w:rsidRPr="00E82F10">
        <w:t>, including updates to autologous HCT requirements</w:t>
      </w:r>
    </w:p>
    <w:p w14:paraId="61208804" w14:textId="444A387A" w:rsidR="0085000C" w:rsidRDefault="006C7249" w:rsidP="006F498A">
      <w:r>
        <w:t xml:space="preserve">The </w:t>
      </w:r>
      <w:r w:rsidR="00A90727">
        <w:t xml:space="preserve">proposed </w:t>
      </w:r>
      <w:r w:rsidR="0069692A">
        <w:t>updates</w:t>
      </w:r>
      <w:r w:rsidR="00716232">
        <w:t xml:space="preserve"> should not be interpreted to imply that there are concerns with the general quality of </w:t>
      </w:r>
      <w:r w:rsidR="009C7E39">
        <w:t>therapeutic goods that comprise, contain</w:t>
      </w:r>
      <w:r w:rsidR="0069692A">
        <w:t>,</w:t>
      </w:r>
      <w:r w:rsidR="009C7E39">
        <w:t xml:space="preserve"> or </w:t>
      </w:r>
      <w:r w:rsidR="0069692A">
        <w:t xml:space="preserve">are </w:t>
      </w:r>
      <w:r w:rsidR="009C7E39">
        <w:t>derived from HCT</w:t>
      </w:r>
      <w:r w:rsidR="00716232">
        <w:t xml:space="preserve"> currently </w:t>
      </w:r>
      <w:r w:rsidR="00B447C5">
        <w:t>supplied in Australia.</w:t>
      </w:r>
    </w:p>
    <w:p w14:paraId="10123322" w14:textId="0B7D864B" w:rsidR="00D027A5" w:rsidRDefault="009C3D54" w:rsidP="00CC67E1">
      <w:pPr>
        <w:pStyle w:val="Heading2"/>
      </w:pPr>
      <w:bookmarkStart w:id="6" w:name="_Toc72918409"/>
      <w:r>
        <w:t>Summary of p</w:t>
      </w:r>
      <w:r w:rsidR="00965679" w:rsidRPr="00767A95">
        <w:t>roposed</w:t>
      </w:r>
      <w:r w:rsidR="002634DC">
        <w:t xml:space="preserve"> </w:t>
      </w:r>
      <w:r w:rsidR="001358A0" w:rsidRPr="00767A95">
        <w:t>amendments</w:t>
      </w:r>
      <w:bookmarkEnd w:id="6"/>
    </w:p>
    <w:p w14:paraId="1B4EF12E" w14:textId="6FC5F0D8" w:rsidR="0056195B" w:rsidRPr="00CC67E1" w:rsidRDefault="0005448B" w:rsidP="00CC67E1">
      <w:pPr>
        <w:pStyle w:val="Heading3"/>
      </w:pPr>
      <w:bookmarkStart w:id="7" w:name="_Toc72918410"/>
      <w:r w:rsidRPr="00CC67E1">
        <w:t>1</w:t>
      </w:r>
      <w:r w:rsidR="00CC67E1">
        <w:t>.</w:t>
      </w:r>
      <w:r w:rsidRPr="00CC67E1">
        <w:t xml:space="preserve"> </w:t>
      </w:r>
      <w:r w:rsidR="005479AC" w:rsidRPr="00CC67E1">
        <w:t>Proposed remade TGOs</w:t>
      </w:r>
      <w:bookmarkEnd w:id="7"/>
    </w:p>
    <w:p w14:paraId="1C68D389" w14:textId="19701C7B" w:rsidR="00CC67E1" w:rsidRDefault="00CC67E1" w:rsidP="00CC67E1">
      <w:pPr>
        <w:rPr>
          <w:rFonts w:asciiTheme="minorHAnsi" w:hAnsiTheme="minorHAnsi" w:cstheme="minorHAnsi"/>
          <w:szCs w:val="22"/>
        </w:rPr>
      </w:pPr>
      <w:r>
        <w:rPr>
          <w:rFonts w:asciiTheme="minorHAnsi" w:hAnsiTheme="minorHAnsi" w:cstheme="minorHAnsi"/>
          <w:szCs w:val="22"/>
        </w:rPr>
        <w:t xml:space="preserve">It is proposed to remake the six TGOs mentioned above into the following three </w:t>
      </w:r>
      <w:r w:rsidRPr="006C6F97">
        <w:rPr>
          <w:rFonts w:asciiTheme="minorHAnsi" w:hAnsiTheme="minorHAnsi" w:cstheme="minorHAnsi"/>
          <w:szCs w:val="22"/>
        </w:rPr>
        <w:t>TGOs:</w:t>
      </w:r>
    </w:p>
    <w:p w14:paraId="65D7F52E" w14:textId="513CAD93" w:rsidR="00806CC8" w:rsidRPr="00806CC8" w:rsidRDefault="00806CC8" w:rsidP="00806CC8">
      <w:pPr>
        <w:numPr>
          <w:ilvl w:val="0"/>
          <w:numId w:val="24"/>
        </w:numPr>
        <w:rPr>
          <w:rFonts w:asciiTheme="minorHAnsi" w:hAnsiTheme="minorHAnsi" w:cstheme="minorHAnsi"/>
          <w:szCs w:val="22"/>
        </w:rPr>
      </w:pPr>
      <w:r>
        <w:rPr>
          <w:rFonts w:asciiTheme="minorHAnsi" w:hAnsiTheme="minorHAnsi" w:cstheme="minorHAnsi"/>
          <w:szCs w:val="22"/>
        </w:rPr>
        <w:t xml:space="preserve">TGO 87 will be remade as </w:t>
      </w:r>
      <w:r w:rsidRPr="00806CC8">
        <w:rPr>
          <w:rFonts w:asciiTheme="minorHAnsi" w:hAnsiTheme="minorHAnsi" w:cstheme="minorHAnsi"/>
          <w:b/>
          <w:i/>
          <w:szCs w:val="22"/>
        </w:rPr>
        <w:t>Therapeutic Goods (Standard for Biologicals—Labelling Requirements) (TGO 107) Order 2021</w:t>
      </w:r>
      <w:r>
        <w:rPr>
          <w:rFonts w:asciiTheme="minorHAnsi" w:hAnsiTheme="minorHAnsi" w:cstheme="minorHAnsi"/>
          <w:szCs w:val="22"/>
        </w:rPr>
        <w:t xml:space="preserve">. This order will continue to </w:t>
      </w:r>
      <w:r>
        <w:t>specify</w:t>
      </w:r>
      <w:r w:rsidRPr="006C6F97">
        <w:t xml:space="preserve"> labelling, traceability, and accompanying</w:t>
      </w:r>
      <w:r>
        <w:t xml:space="preserve"> information</w:t>
      </w:r>
      <w:r w:rsidRPr="006C6F97">
        <w:t xml:space="preserve"> requirements consistent with</w:t>
      </w:r>
      <w:r>
        <w:t xml:space="preserve"> current TGO 87 objectives.</w:t>
      </w:r>
    </w:p>
    <w:p w14:paraId="1FDBCC87" w14:textId="1E3A5BE1" w:rsidR="00806CC8" w:rsidRPr="00806CC8" w:rsidRDefault="00806CC8" w:rsidP="00806CC8">
      <w:pPr>
        <w:numPr>
          <w:ilvl w:val="0"/>
          <w:numId w:val="24"/>
        </w:numPr>
        <w:rPr>
          <w:rFonts w:asciiTheme="minorHAnsi" w:hAnsiTheme="minorHAnsi" w:cstheme="minorHAnsi"/>
          <w:szCs w:val="22"/>
        </w:rPr>
      </w:pPr>
      <w:r>
        <w:rPr>
          <w:rFonts w:asciiTheme="minorHAnsi" w:hAnsiTheme="minorHAnsi" w:cstheme="minorHAnsi"/>
          <w:szCs w:val="22"/>
        </w:rPr>
        <w:t xml:space="preserve">TGO 88 will be remade as </w:t>
      </w:r>
      <w:r w:rsidRPr="00806CC8">
        <w:rPr>
          <w:rFonts w:asciiTheme="minorHAnsi" w:hAnsiTheme="minorHAnsi" w:cstheme="minorHAnsi"/>
          <w:b/>
          <w:i/>
          <w:szCs w:val="22"/>
        </w:rPr>
        <w:t xml:space="preserve">Therapeutic Goods (Standard for Human Cell and Tissue Products—Donor </w:t>
      </w:r>
      <w:r w:rsidR="009446DC">
        <w:rPr>
          <w:rFonts w:asciiTheme="minorHAnsi" w:hAnsiTheme="minorHAnsi" w:cstheme="minorHAnsi"/>
          <w:b/>
          <w:i/>
          <w:szCs w:val="22"/>
        </w:rPr>
        <w:t>Screening</w:t>
      </w:r>
      <w:r w:rsidRPr="00806CC8">
        <w:rPr>
          <w:rFonts w:asciiTheme="minorHAnsi" w:hAnsiTheme="minorHAnsi" w:cstheme="minorHAnsi"/>
          <w:b/>
          <w:i/>
          <w:szCs w:val="22"/>
        </w:rPr>
        <w:t xml:space="preserve"> Requirements) (TGO 108) Order 2021</w:t>
      </w:r>
      <w:r>
        <w:rPr>
          <w:rFonts w:asciiTheme="minorHAnsi" w:hAnsiTheme="minorHAnsi" w:cstheme="minorHAnsi"/>
          <w:i/>
          <w:szCs w:val="22"/>
        </w:rPr>
        <w:t xml:space="preserve">. </w:t>
      </w:r>
      <w:r w:rsidRPr="00806CC8">
        <w:rPr>
          <w:rFonts w:asciiTheme="minorHAnsi" w:hAnsiTheme="minorHAnsi" w:cstheme="minorHAnsi"/>
          <w:szCs w:val="22"/>
        </w:rPr>
        <w:t xml:space="preserve">This order will </w:t>
      </w:r>
      <w:r>
        <w:t>specify</w:t>
      </w:r>
      <w:r w:rsidRPr="006C6F97">
        <w:t xml:space="preserve"> donor screening requirements for minimising the risk of infectious disease transmission via therapeutic goods comprising, derived </w:t>
      </w:r>
      <w:r w:rsidR="008C1094">
        <w:t xml:space="preserve">from </w:t>
      </w:r>
      <w:r w:rsidRPr="006C6F97">
        <w:t>or containing HCT</w:t>
      </w:r>
      <w:r w:rsidR="006C2952">
        <w:t xml:space="preserve">s. </w:t>
      </w:r>
      <w:r>
        <w:t>In remaking this Order we propose to separate</w:t>
      </w:r>
      <w:r w:rsidRPr="00EA609E">
        <w:t xml:space="preserve"> donor selection requirements from manufacturing</w:t>
      </w:r>
      <w:r>
        <w:t>, microbial and critical material</w:t>
      </w:r>
      <w:r w:rsidRPr="00EA609E">
        <w:t xml:space="preserve"> requirements</w:t>
      </w:r>
      <w:r>
        <w:t xml:space="preserve"> currently in TGO 88</w:t>
      </w:r>
      <w:r w:rsidRPr="00EA609E">
        <w:t xml:space="preserve">. It is proposed </w:t>
      </w:r>
      <w:r>
        <w:t xml:space="preserve">to transfer these requirements to a manufacturing-specific order, TGO 109, so that </w:t>
      </w:r>
      <w:r w:rsidRPr="00EA609E">
        <w:t>TGO</w:t>
      </w:r>
      <w:r>
        <w:t xml:space="preserve"> </w:t>
      </w:r>
      <w:r w:rsidRPr="00EA609E">
        <w:t xml:space="preserve">108 </w:t>
      </w:r>
      <w:r>
        <w:t xml:space="preserve">focuses on </w:t>
      </w:r>
      <w:r w:rsidRPr="00EA609E">
        <w:t>donor selection criteria</w:t>
      </w:r>
      <w:r>
        <w:t>.</w:t>
      </w:r>
    </w:p>
    <w:p w14:paraId="6679DE30" w14:textId="2B224B71" w:rsidR="00806CC8" w:rsidRPr="00B447C5" w:rsidRDefault="00806CC8" w:rsidP="00806CC8">
      <w:pPr>
        <w:numPr>
          <w:ilvl w:val="0"/>
          <w:numId w:val="24"/>
        </w:numPr>
        <w:rPr>
          <w:rFonts w:asciiTheme="minorHAnsi" w:hAnsiTheme="minorHAnsi" w:cstheme="minorHAnsi"/>
          <w:szCs w:val="22"/>
        </w:rPr>
      </w:pPr>
      <w:r>
        <w:t xml:space="preserve">TGOs 83-86, which govern manufacture of product-specific HCTs, will be consolidated into </w:t>
      </w:r>
      <w:r w:rsidRPr="00806CC8">
        <w:rPr>
          <w:b/>
          <w:i/>
        </w:rPr>
        <w:t>Therapeutic Goods (Standard for Biologicals) (TGO 109) Order 2021</w:t>
      </w:r>
      <w:r>
        <w:t xml:space="preserve">. This order will specify manufacturing standards for biologicals, broken up into </w:t>
      </w:r>
      <w:r w:rsidR="00566AC1">
        <w:t xml:space="preserve">two major </w:t>
      </w:r>
      <w:r>
        <w:t xml:space="preserve">parts. The first part is a standard applicable to all biologicals that consists of the transferred manufacturing requirements from TGO 88. The subsequent parts specify </w:t>
      </w:r>
      <w:r w:rsidR="007732D3">
        <w:t xml:space="preserve">individual </w:t>
      </w:r>
      <w:r>
        <w:t>manufacturing standards for the existing product-specific standards, TGOs 83-86, and an additional new standard for amnion products.</w:t>
      </w:r>
    </w:p>
    <w:p w14:paraId="705E4BE9" w14:textId="0DC9B3D6" w:rsidR="0073735C" w:rsidRDefault="0073735C" w:rsidP="0073735C">
      <w:r>
        <w:t xml:space="preserve">The following table summarises </w:t>
      </w:r>
      <w:r w:rsidR="004265EF">
        <w:t xml:space="preserve">the </w:t>
      </w:r>
      <w:r w:rsidR="006C2952">
        <w:t>remade TGOs</w:t>
      </w:r>
      <w:r>
        <w:t>:</w:t>
      </w:r>
    </w:p>
    <w:tbl>
      <w:tblPr>
        <w:tblStyle w:val="TableTGAblue"/>
        <w:tblW w:w="897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9"/>
        <w:gridCol w:w="1134"/>
        <w:gridCol w:w="2552"/>
        <w:gridCol w:w="4153"/>
      </w:tblGrid>
      <w:tr w:rsidR="00176A4A" w:rsidRPr="001D541F" w14:paraId="5E4F1C2A" w14:textId="77777777" w:rsidTr="00CB589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39" w:type="dxa"/>
          </w:tcPr>
          <w:p w14:paraId="6C9328F2" w14:textId="77777777" w:rsidR="00176A4A" w:rsidRPr="0073735C" w:rsidRDefault="00176A4A" w:rsidP="00176A4A">
            <w:pPr>
              <w:keepNext w:val="0"/>
              <w:rPr>
                <w:color w:val="FFFFFF" w:themeColor="background1"/>
                <w:szCs w:val="20"/>
              </w:rPr>
            </w:pPr>
            <w:bookmarkStart w:id="8" w:name="ColumnTitle_3"/>
            <w:r w:rsidRPr="0073735C">
              <w:rPr>
                <w:color w:val="FFFFFF" w:themeColor="background1"/>
                <w:szCs w:val="20"/>
              </w:rPr>
              <w:lastRenderedPageBreak/>
              <w:t>Current TGO</w:t>
            </w:r>
          </w:p>
        </w:tc>
        <w:tc>
          <w:tcPr>
            <w:tcW w:w="1134" w:type="dxa"/>
          </w:tcPr>
          <w:p w14:paraId="71045B95" w14:textId="4921CB70" w:rsidR="00176A4A" w:rsidRPr="0073735C" w:rsidRDefault="00176A4A" w:rsidP="00176A4A">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73735C">
              <w:rPr>
                <w:color w:val="FFFFFF" w:themeColor="background1"/>
                <w:szCs w:val="20"/>
              </w:rPr>
              <w:t>New TGO</w:t>
            </w:r>
          </w:p>
        </w:tc>
        <w:tc>
          <w:tcPr>
            <w:tcW w:w="2552" w:type="dxa"/>
          </w:tcPr>
          <w:p w14:paraId="64471734" w14:textId="24982B14" w:rsidR="00176A4A" w:rsidRPr="0073735C" w:rsidRDefault="00176A4A" w:rsidP="00176A4A">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Scope of new TGO</w:t>
            </w:r>
          </w:p>
        </w:tc>
        <w:tc>
          <w:tcPr>
            <w:tcW w:w="4153" w:type="dxa"/>
          </w:tcPr>
          <w:p w14:paraId="05E28684" w14:textId="77777777" w:rsidR="00176A4A" w:rsidRPr="0073735C" w:rsidRDefault="00176A4A" w:rsidP="00176A4A">
            <w:pPr>
              <w:keepNext w:val="0"/>
              <w:cnfStyle w:val="100000000000" w:firstRow="1" w:lastRow="0" w:firstColumn="0" w:lastColumn="0" w:oddVBand="0" w:evenVBand="0" w:oddHBand="0" w:evenHBand="0" w:firstRowFirstColumn="0" w:firstRowLastColumn="0" w:lastRowFirstColumn="0" w:lastRowLastColumn="0"/>
              <w:rPr>
                <w:color w:val="FFFFFF" w:themeColor="background1"/>
                <w:szCs w:val="20"/>
              </w:rPr>
            </w:pPr>
            <w:r w:rsidRPr="0073735C">
              <w:rPr>
                <w:color w:val="FFFFFF" w:themeColor="background1"/>
                <w:szCs w:val="20"/>
              </w:rPr>
              <w:t>Summary of changes</w:t>
            </w:r>
          </w:p>
        </w:tc>
      </w:tr>
      <w:bookmarkEnd w:id="8"/>
      <w:tr w:rsidR="00176A4A" w:rsidRPr="001D541F" w14:paraId="182B7B31" w14:textId="77777777" w:rsidTr="00CB589B">
        <w:tc>
          <w:tcPr>
            <w:cnfStyle w:val="001000000000" w:firstRow="0" w:lastRow="0" w:firstColumn="1" w:lastColumn="0" w:oddVBand="0" w:evenVBand="0" w:oddHBand="0" w:evenHBand="0" w:firstRowFirstColumn="0" w:firstRowLastColumn="0" w:lastRowFirstColumn="0" w:lastRowLastColumn="0"/>
            <w:tcW w:w="1139" w:type="dxa"/>
          </w:tcPr>
          <w:p w14:paraId="1BF86987" w14:textId="77777777" w:rsidR="00176A4A" w:rsidRDefault="00176A4A" w:rsidP="00176A4A">
            <w:r>
              <w:rPr>
                <w:color w:val="auto"/>
              </w:rPr>
              <w:fldChar w:fldCharType="begin"/>
            </w:r>
            <w:r>
              <w:instrText xml:space="preserve"> HYPERLINK "http://www.legislation.gov.au/Series/F2011L01493" </w:instrText>
            </w:r>
            <w:r>
              <w:rPr>
                <w:color w:val="auto"/>
              </w:rPr>
              <w:fldChar w:fldCharType="separate"/>
            </w:r>
            <w:r>
              <w:rPr>
                <w:rStyle w:val="Hyperlink"/>
              </w:rPr>
              <w:t>TGO 8</w:t>
            </w:r>
            <w:r w:rsidRPr="00171660">
              <w:rPr>
                <w:rStyle w:val="Hyperlink"/>
              </w:rPr>
              <w:t>7</w:t>
            </w:r>
            <w:r>
              <w:rPr>
                <w:rStyle w:val="Hyperlink"/>
              </w:rPr>
              <w:fldChar w:fldCharType="end"/>
            </w:r>
          </w:p>
        </w:tc>
        <w:tc>
          <w:tcPr>
            <w:tcW w:w="1134" w:type="dxa"/>
          </w:tcPr>
          <w:p w14:paraId="0CA89526" w14:textId="30866892" w:rsidR="00176A4A" w:rsidRDefault="00176A4A" w:rsidP="00176A4A">
            <w:pPr>
              <w:cnfStyle w:val="000000000000" w:firstRow="0" w:lastRow="0" w:firstColumn="0" w:lastColumn="0" w:oddVBand="0" w:evenVBand="0" w:oddHBand="0" w:evenHBand="0" w:firstRowFirstColumn="0" w:firstRowLastColumn="0" w:lastRowFirstColumn="0" w:lastRowLastColumn="0"/>
            </w:pPr>
            <w:r>
              <w:t>TGO 107</w:t>
            </w:r>
          </w:p>
        </w:tc>
        <w:tc>
          <w:tcPr>
            <w:tcW w:w="2552" w:type="dxa"/>
          </w:tcPr>
          <w:p w14:paraId="62E099B3" w14:textId="57427CD1" w:rsidR="00176A4A" w:rsidRDefault="00CB589B" w:rsidP="00A63D77">
            <w:pPr>
              <w:cnfStyle w:val="000000000000" w:firstRow="0" w:lastRow="0" w:firstColumn="0" w:lastColumn="0" w:oddVBand="0" w:evenVBand="0" w:oddHBand="0" w:evenHBand="0" w:firstRowFirstColumn="0" w:firstRowLastColumn="0" w:lastRowFirstColumn="0" w:lastRowLastColumn="0"/>
            </w:pPr>
            <w:r>
              <w:t>all b</w:t>
            </w:r>
            <w:r w:rsidR="00176A4A">
              <w:t>iologicals</w:t>
            </w:r>
            <w:r w:rsidR="00A63D77">
              <w:t xml:space="preserve"> including faecal microbial transplant (FMT)</w:t>
            </w:r>
          </w:p>
        </w:tc>
        <w:tc>
          <w:tcPr>
            <w:tcW w:w="4153" w:type="dxa"/>
          </w:tcPr>
          <w:p w14:paraId="0CBDC936" w14:textId="064A0C82" w:rsidR="00CB589B" w:rsidRPr="00CB589B" w:rsidRDefault="00CB589B" w:rsidP="00CB589B">
            <w:pPr>
              <w:cnfStyle w:val="000000000000" w:firstRow="0" w:lastRow="0" w:firstColumn="0" w:lastColumn="0" w:oddVBand="0" w:evenVBand="0" w:oddHBand="0" w:evenHBand="0" w:firstRowFirstColumn="0" w:firstRowLastColumn="0" w:lastRowFirstColumn="0" w:lastRowLastColumn="0"/>
            </w:pPr>
            <w:r>
              <w:t xml:space="preserve">(a) </w:t>
            </w:r>
            <w:r w:rsidRPr="00CB589B">
              <w:t>a</w:t>
            </w:r>
            <w:r>
              <w:t>llow use of machine-</w:t>
            </w:r>
            <w:r w:rsidR="00176A4A" w:rsidRPr="00CB589B">
              <w:t>readable codes</w:t>
            </w:r>
          </w:p>
          <w:p w14:paraId="0BFD86DD" w14:textId="6E7B945D" w:rsidR="00176A4A" w:rsidRPr="00CB589B" w:rsidRDefault="00CB589B" w:rsidP="00CB589B">
            <w:pPr>
              <w:cnfStyle w:val="000000000000" w:firstRow="0" w:lastRow="0" w:firstColumn="0" w:lastColumn="0" w:oddVBand="0" w:evenVBand="0" w:oddHBand="0" w:evenHBand="0" w:firstRowFirstColumn="0" w:firstRowLastColumn="0" w:lastRowFirstColumn="0" w:lastRowLastColumn="0"/>
            </w:pPr>
            <w:r>
              <w:t xml:space="preserve">(b) </w:t>
            </w:r>
            <w:r w:rsidRPr="00CB589B">
              <w:t>a</w:t>
            </w:r>
            <w:r w:rsidR="00176A4A" w:rsidRPr="00CB589B">
              <w:t xml:space="preserve">dditional labelling requirements </w:t>
            </w:r>
            <w:r>
              <w:t>for C</w:t>
            </w:r>
            <w:r w:rsidR="00176A4A" w:rsidRPr="00CB589B">
              <w:t>lass 3 and 4 biologicals</w:t>
            </w:r>
          </w:p>
        </w:tc>
      </w:tr>
      <w:tr w:rsidR="00176A4A" w:rsidRPr="001D541F" w14:paraId="583F74DF" w14:textId="77777777" w:rsidTr="00CB589B">
        <w:tc>
          <w:tcPr>
            <w:cnfStyle w:val="001000000000" w:firstRow="0" w:lastRow="0" w:firstColumn="1" w:lastColumn="0" w:oddVBand="0" w:evenVBand="0" w:oddHBand="0" w:evenHBand="0" w:firstRowFirstColumn="0" w:firstRowLastColumn="0" w:lastRowFirstColumn="0" w:lastRowLastColumn="0"/>
            <w:tcW w:w="1139" w:type="dxa"/>
          </w:tcPr>
          <w:p w14:paraId="5721D566" w14:textId="77777777" w:rsidR="00176A4A" w:rsidRPr="001D541F" w:rsidRDefault="00CC4766" w:rsidP="00176A4A">
            <w:pPr>
              <w:rPr>
                <w:color w:val="auto"/>
                <w:szCs w:val="20"/>
              </w:rPr>
            </w:pPr>
            <w:hyperlink r:id="rId25" w:tgtFrame="_blank" w:tooltip="link to the FRL website" w:history="1">
              <w:r w:rsidR="00176A4A">
                <w:rPr>
                  <w:rStyle w:val="Hyperlink"/>
                  <w:iCs/>
                </w:rPr>
                <w:t>TGO 88</w:t>
              </w:r>
            </w:hyperlink>
          </w:p>
        </w:tc>
        <w:tc>
          <w:tcPr>
            <w:tcW w:w="1134" w:type="dxa"/>
          </w:tcPr>
          <w:p w14:paraId="3D7B65D2" w14:textId="2F667D8F" w:rsidR="00176A4A" w:rsidRDefault="00176A4A" w:rsidP="00176A4A">
            <w:pPr>
              <w:cnfStyle w:val="000000000000" w:firstRow="0" w:lastRow="0" w:firstColumn="0" w:lastColumn="0" w:oddVBand="0" w:evenVBand="0" w:oddHBand="0" w:evenHBand="0" w:firstRowFirstColumn="0" w:firstRowLastColumn="0" w:lastRowFirstColumn="0" w:lastRowLastColumn="0"/>
            </w:pPr>
            <w:r>
              <w:rPr>
                <w:color w:val="auto"/>
                <w:szCs w:val="20"/>
              </w:rPr>
              <w:t>TGO 108</w:t>
            </w:r>
          </w:p>
        </w:tc>
        <w:tc>
          <w:tcPr>
            <w:tcW w:w="2552" w:type="dxa"/>
          </w:tcPr>
          <w:p w14:paraId="26112945" w14:textId="21463039" w:rsidR="00176A4A" w:rsidRDefault="00CB589B" w:rsidP="00176A4A">
            <w:pPr>
              <w:cnfStyle w:val="000000000000" w:firstRow="0" w:lastRow="0" w:firstColumn="0" w:lastColumn="0" w:oddVBand="0" w:evenVBand="0" w:oddHBand="0" w:evenHBand="0" w:firstRowFirstColumn="0" w:firstRowLastColumn="0" w:lastRowFirstColumn="0" w:lastRowLastColumn="0"/>
            </w:pPr>
            <w:r>
              <w:t>(a) all biologicals excluding FMT</w:t>
            </w:r>
          </w:p>
          <w:p w14:paraId="77C883AB" w14:textId="242E9024" w:rsidR="00176A4A" w:rsidRDefault="00CB589B" w:rsidP="00176A4A">
            <w:pPr>
              <w:cnfStyle w:val="000000000000" w:firstRow="0" w:lastRow="0" w:firstColumn="0" w:lastColumn="0" w:oddVBand="0" w:evenVBand="0" w:oddHBand="0" w:evenHBand="0" w:firstRowFirstColumn="0" w:firstRowLastColumn="0" w:lastRowFirstColumn="0" w:lastRowLastColumn="0"/>
            </w:pPr>
            <w:r>
              <w:t>(b) blood and b</w:t>
            </w:r>
            <w:r w:rsidR="00176A4A">
              <w:t>lood components</w:t>
            </w:r>
          </w:p>
        </w:tc>
        <w:tc>
          <w:tcPr>
            <w:tcW w:w="4153" w:type="dxa"/>
          </w:tcPr>
          <w:p w14:paraId="017CF99A" w14:textId="705D637F" w:rsidR="00CB589B" w:rsidRDefault="00CB589B" w:rsidP="00CB589B">
            <w:pPr>
              <w:cnfStyle w:val="000000000000" w:firstRow="0" w:lastRow="0" w:firstColumn="0" w:lastColumn="0" w:oddVBand="0" w:evenVBand="0" w:oddHBand="0" w:evenHBand="0" w:firstRowFirstColumn="0" w:firstRowLastColumn="0" w:lastRowFirstColumn="0" w:lastRowLastColumn="0"/>
              <w:rPr>
                <w:szCs w:val="20"/>
              </w:rPr>
            </w:pPr>
            <w:r>
              <w:t xml:space="preserve">(a) </w:t>
            </w:r>
            <w:r w:rsidRPr="00CB589B">
              <w:t>e</w:t>
            </w:r>
            <w:r>
              <w:t xml:space="preserve">xempt </w:t>
            </w:r>
            <w:r w:rsidR="00176A4A" w:rsidRPr="00CB589B">
              <w:t>autologous HCT products</w:t>
            </w:r>
          </w:p>
          <w:p w14:paraId="0258C9B7" w14:textId="0B786D9C" w:rsidR="00CB589B" w:rsidRDefault="00CB589B" w:rsidP="00CB589B">
            <w:pPr>
              <w:cnfStyle w:val="000000000000" w:firstRow="0" w:lastRow="0" w:firstColumn="0" w:lastColumn="0" w:oddVBand="0" w:evenVBand="0" w:oddHBand="0" w:evenHBand="0" w:firstRowFirstColumn="0" w:firstRowLastColumn="0" w:lastRowFirstColumn="0" w:lastRowLastColumn="0"/>
              <w:rPr>
                <w:szCs w:val="20"/>
              </w:rPr>
            </w:pPr>
            <w:r>
              <w:rPr>
                <w:szCs w:val="20"/>
              </w:rPr>
              <w:t xml:space="preserve">(b) exempt </w:t>
            </w:r>
            <w:r w:rsidRPr="00CB589B">
              <w:t>d</w:t>
            </w:r>
            <w:r w:rsidR="00176A4A" w:rsidRPr="00CB589B">
              <w:t xml:space="preserve">irected allogenic HCT products </w:t>
            </w:r>
            <w:r>
              <w:t>from</w:t>
            </w:r>
            <w:r w:rsidR="00176A4A" w:rsidRPr="00CB589B">
              <w:t xml:space="preserve"> donor deferral criteria</w:t>
            </w:r>
          </w:p>
          <w:p w14:paraId="5043E89B" w14:textId="4F1642F3" w:rsidR="00176A4A" w:rsidRPr="00CB589B" w:rsidRDefault="00CB589B" w:rsidP="00CB589B">
            <w:pPr>
              <w:cnfStyle w:val="000000000000" w:firstRow="0" w:lastRow="0" w:firstColumn="0" w:lastColumn="0" w:oddVBand="0" w:evenVBand="0" w:oddHBand="0" w:evenHBand="0" w:firstRowFirstColumn="0" w:firstRowLastColumn="0" w:lastRowFirstColumn="0" w:lastRowLastColumn="0"/>
              <w:rPr>
                <w:szCs w:val="20"/>
              </w:rPr>
            </w:pPr>
            <w:r>
              <w:rPr>
                <w:szCs w:val="20"/>
              </w:rPr>
              <w:t xml:space="preserve">(c) </w:t>
            </w:r>
            <w:r w:rsidR="00176A4A" w:rsidRPr="00CB589B">
              <w:t>amend some donor deferral criteria</w:t>
            </w:r>
          </w:p>
        </w:tc>
      </w:tr>
      <w:tr w:rsidR="00176A4A" w:rsidRPr="001D541F" w14:paraId="0FC75F26" w14:textId="77777777" w:rsidTr="00CB589B">
        <w:tc>
          <w:tcPr>
            <w:cnfStyle w:val="001000000000" w:firstRow="0" w:lastRow="0" w:firstColumn="1" w:lastColumn="0" w:oddVBand="0" w:evenVBand="0" w:oddHBand="0" w:evenHBand="0" w:firstRowFirstColumn="0" w:firstRowLastColumn="0" w:lastRowFirstColumn="0" w:lastRowLastColumn="0"/>
            <w:tcW w:w="1139" w:type="dxa"/>
          </w:tcPr>
          <w:p w14:paraId="157384CD" w14:textId="77777777" w:rsidR="00176A4A" w:rsidRDefault="00176A4A" w:rsidP="00176A4A">
            <w:pPr>
              <w:rPr>
                <w:rStyle w:val="Hyperlink"/>
              </w:rPr>
            </w:pPr>
            <w:r w:rsidRPr="00171660">
              <w:t xml:space="preserve">TGO </w:t>
            </w:r>
            <w:hyperlink r:id="rId26" w:history="1">
              <w:r w:rsidRPr="00171660">
                <w:rPr>
                  <w:rStyle w:val="Hyperlink"/>
                </w:rPr>
                <w:t>83</w:t>
              </w:r>
            </w:hyperlink>
            <w:r w:rsidRPr="00171660">
              <w:t xml:space="preserve">, </w:t>
            </w:r>
            <w:hyperlink r:id="rId27" w:history="1">
              <w:r w:rsidRPr="00171660">
                <w:rPr>
                  <w:rStyle w:val="Hyperlink"/>
                </w:rPr>
                <w:t>84</w:t>
              </w:r>
            </w:hyperlink>
            <w:r w:rsidRPr="00171660">
              <w:t xml:space="preserve">, </w:t>
            </w:r>
            <w:hyperlink r:id="rId28" w:history="1">
              <w:r w:rsidRPr="00171660">
                <w:rPr>
                  <w:rStyle w:val="Hyperlink"/>
                </w:rPr>
                <w:t>85</w:t>
              </w:r>
            </w:hyperlink>
            <w:r w:rsidRPr="00171660">
              <w:t xml:space="preserve">, </w:t>
            </w:r>
            <w:hyperlink r:id="rId29" w:history="1">
              <w:r w:rsidRPr="00171660">
                <w:rPr>
                  <w:rStyle w:val="Hyperlink"/>
                </w:rPr>
                <w:t>86</w:t>
              </w:r>
            </w:hyperlink>
            <w:r>
              <w:rPr>
                <w:rStyle w:val="Hyperlink"/>
              </w:rPr>
              <w:t xml:space="preserve"> </w:t>
            </w:r>
          </w:p>
          <w:p w14:paraId="0BBA74A2" w14:textId="05524E57" w:rsidR="00176A4A" w:rsidRPr="001D541F" w:rsidRDefault="00176A4A" w:rsidP="00176A4A">
            <w:pPr>
              <w:rPr>
                <w:color w:val="auto"/>
                <w:szCs w:val="20"/>
              </w:rPr>
            </w:pPr>
            <w:r w:rsidRPr="009A638F">
              <w:t xml:space="preserve">+ </w:t>
            </w:r>
            <w:r>
              <w:t>parts of TGO 88</w:t>
            </w:r>
          </w:p>
        </w:tc>
        <w:tc>
          <w:tcPr>
            <w:tcW w:w="1134" w:type="dxa"/>
          </w:tcPr>
          <w:p w14:paraId="46D3D14B" w14:textId="09EBAC99" w:rsidR="00176A4A" w:rsidRDefault="00176A4A" w:rsidP="00176A4A">
            <w:pPr>
              <w:cnfStyle w:val="000000000000" w:firstRow="0" w:lastRow="0" w:firstColumn="0" w:lastColumn="0" w:oddVBand="0" w:evenVBand="0" w:oddHBand="0" w:evenHBand="0" w:firstRowFirstColumn="0" w:firstRowLastColumn="0" w:lastRowFirstColumn="0" w:lastRowLastColumn="0"/>
            </w:pPr>
            <w:r>
              <w:rPr>
                <w:color w:val="auto"/>
                <w:szCs w:val="20"/>
              </w:rPr>
              <w:t>TGO 109</w:t>
            </w:r>
          </w:p>
        </w:tc>
        <w:tc>
          <w:tcPr>
            <w:tcW w:w="2552" w:type="dxa"/>
          </w:tcPr>
          <w:p w14:paraId="36122B30" w14:textId="0AD393ED" w:rsidR="00176A4A" w:rsidRDefault="00CB589B" w:rsidP="00176A4A">
            <w:pPr>
              <w:cnfStyle w:val="000000000000" w:firstRow="0" w:lastRow="0" w:firstColumn="0" w:lastColumn="0" w:oddVBand="0" w:evenVBand="0" w:oddHBand="0" w:evenHBand="0" w:firstRowFirstColumn="0" w:firstRowLastColumn="0" w:lastRowFirstColumn="0" w:lastRowLastColumn="0"/>
            </w:pPr>
            <w:r>
              <w:t>all biologicals excluding FMT</w:t>
            </w:r>
          </w:p>
          <w:p w14:paraId="05F8DDA0" w14:textId="43FAB073" w:rsidR="00176A4A" w:rsidRDefault="00176A4A" w:rsidP="00176A4A">
            <w:pPr>
              <w:cnfStyle w:val="000000000000" w:firstRow="0" w:lastRow="0" w:firstColumn="0" w:lastColumn="0" w:oddVBand="0" w:evenVBand="0" w:oddHBand="0" w:evenHBand="0" w:firstRowFirstColumn="0" w:firstRowLastColumn="0" w:lastRowFirstColumn="0" w:lastRowLastColumn="0"/>
            </w:pPr>
          </w:p>
        </w:tc>
        <w:tc>
          <w:tcPr>
            <w:tcW w:w="4153" w:type="dxa"/>
          </w:tcPr>
          <w:p w14:paraId="141747D3" w14:textId="789F6EEA" w:rsidR="00CB589B" w:rsidRDefault="00CB589B" w:rsidP="00CB589B">
            <w:pPr>
              <w:cnfStyle w:val="000000000000" w:firstRow="0" w:lastRow="0" w:firstColumn="0" w:lastColumn="0" w:oddVBand="0" w:evenVBand="0" w:oddHBand="0" w:evenHBand="0" w:firstRowFirstColumn="0" w:firstRowLastColumn="0" w:lastRowFirstColumn="0" w:lastRowLastColumn="0"/>
            </w:pPr>
            <w:r>
              <w:t xml:space="preserve">(a) </w:t>
            </w:r>
            <w:r w:rsidR="00176A4A" w:rsidRPr="00CB589B">
              <w:t>merge TGO 83-86</w:t>
            </w:r>
          </w:p>
          <w:p w14:paraId="531E722E" w14:textId="7C5333A4" w:rsidR="00CB589B" w:rsidRDefault="00CB589B" w:rsidP="00CB589B">
            <w:pPr>
              <w:cnfStyle w:val="000000000000" w:firstRow="0" w:lastRow="0" w:firstColumn="0" w:lastColumn="0" w:oddVBand="0" w:evenVBand="0" w:oddHBand="0" w:evenHBand="0" w:firstRowFirstColumn="0" w:firstRowLastColumn="0" w:lastRowFirstColumn="0" w:lastRowLastColumn="0"/>
            </w:pPr>
            <w:r>
              <w:t xml:space="preserve">(b) </w:t>
            </w:r>
            <w:r w:rsidR="00176A4A" w:rsidRPr="00CB589B">
              <w:t>transfer microbiological and critical materials requirements from TGO 88</w:t>
            </w:r>
          </w:p>
          <w:p w14:paraId="155F9AEE" w14:textId="35B425D7" w:rsidR="00176A4A" w:rsidRPr="00CB589B" w:rsidRDefault="00CB589B" w:rsidP="00CB589B">
            <w:pPr>
              <w:cnfStyle w:val="000000000000" w:firstRow="0" w:lastRow="0" w:firstColumn="0" w:lastColumn="0" w:oddVBand="0" w:evenVBand="0" w:oddHBand="0" w:evenHBand="0" w:firstRowFirstColumn="0" w:firstRowLastColumn="0" w:lastRowFirstColumn="0" w:lastRowLastColumn="0"/>
            </w:pPr>
            <w:r>
              <w:t xml:space="preserve">(c) </w:t>
            </w:r>
            <w:r w:rsidR="00176A4A" w:rsidRPr="00CB589B">
              <w:t>extend some general manufacturing requirements to all biologicals</w:t>
            </w:r>
          </w:p>
        </w:tc>
      </w:tr>
    </w:tbl>
    <w:p w14:paraId="6F4CC00B" w14:textId="70C878AD" w:rsidR="00CC67E1" w:rsidRDefault="00CC67E1" w:rsidP="00CC67E1">
      <w:pPr>
        <w:pStyle w:val="ListBullet"/>
        <w:numPr>
          <w:ilvl w:val="0"/>
          <w:numId w:val="0"/>
        </w:numPr>
      </w:pPr>
      <w:r>
        <w:t xml:space="preserve">Copies of the proposed remade TGOs and draft guidance documents are included (Appendices 1-3). The draft TGOs have been reformatted and some requirements clarified. Where an updated requirement </w:t>
      </w:r>
      <w:r w:rsidR="001B2C13">
        <w:t xml:space="preserve">is </w:t>
      </w:r>
      <w:r>
        <w:t>pro</w:t>
      </w:r>
      <w:r w:rsidR="00802A86">
        <w:t xml:space="preserve">posed, it is discussed below. </w:t>
      </w:r>
      <w:r w:rsidR="001B2C13">
        <w:t>The a</w:t>
      </w:r>
      <w:r w:rsidR="00802A86">
        <w:t xml:space="preserve">ccompanying </w:t>
      </w:r>
      <w:r>
        <w:t>mapping document</w:t>
      </w:r>
      <w:r w:rsidR="00802A86">
        <w:t>s</w:t>
      </w:r>
      <w:r>
        <w:t xml:space="preserve"> shows the relationship between the current TGOs and proposed remade TGOs (Appendices 1-3).</w:t>
      </w:r>
    </w:p>
    <w:p w14:paraId="7FC2BADA" w14:textId="77777777" w:rsidR="00802A86" w:rsidRDefault="00314275" w:rsidP="006C2952">
      <w:r>
        <w:t>Throughout the remade TGOs, the term ‘HCT materials’ specifies</w:t>
      </w:r>
      <w:r w:rsidR="00802A86">
        <w:t xml:space="preserve"> </w:t>
      </w:r>
      <w:r>
        <w:t>materials collected for or during their manufacture into biologicals</w:t>
      </w:r>
      <w:r w:rsidR="00802A86">
        <w:t xml:space="preserve">, </w:t>
      </w:r>
      <w:r>
        <w:t>that is, starting material and intermediates</w:t>
      </w:r>
      <w:r w:rsidR="007732D3">
        <w:t xml:space="preserve"> which may incl</w:t>
      </w:r>
      <w:r w:rsidR="00802A86">
        <w:t>ude blood or blood components.</w:t>
      </w:r>
    </w:p>
    <w:p w14:paraId="055BD1ED" w14:textId="56435777" w:rsidR="00FF74F4" w:rsidRDefault="00FF74F4" w:rsidP="006C2952">
      <w:r>
        <w:t xml:space="preserve">In the remade TGO 108, the term ‘HCT </w:t>
      </w:r>
      <w:r w:rsidR="00802A86">
        <w:t>p</w:t>
      </w:r>
      <w:r>
        <w:t>roduct’ specifies the ‘finished product’</w:t>
      </w:r>
      <w:r w:rsidR="00802A86">
        <w:t xml:space="preserve">, </w:t>
      </w:r>
      <w:r>
        <w:t>which is either a biolo</w:t>
      </w:r>
      <w:r w:rsidR="00802A86">
        <w:t>gical, blood or blood component.</w:t>
      </w:r>
    </w:p>
    <w:p w14:paraId="7A08654F" w14:textId="0E9ABB2C" w:rsidR="00CC67E1" w:rsidRDefault="00CC67E1" w:rsidP="00CC67E1">
      <w:pPr>
        <w:pStyle w:val="Heading3"/>
      </w:pPr>
      <w:bookmarkStart w:id="9" w:name="_Toc72918411"/>
      <w:r>
        <w:t>2.</w:t>
      </w:r>
      <w:r w:rsidRPr="0005448B">
        <w:t xml:space="preserve"> </w:t>
      </w:r>
      <w:r>
        <w:t>Merging legislative instruments</w:t>
      </w:r>
      <w:bookmarkEnd w:id="9"/>
    </w:p>
    <w:p w14:paraId="6727237E" w14:textId="77777777" w:rsidR="0069692A" w:rsidRDefault="0069692A" w:rsidP="00CC67E1">
      <w:pPr>
        <w:pStyle w:val="ListBullet"/>
        <w:numPr>
          <w:ilvl w:val="0"/>
          <w:numId w:val="0"/>
        </w:numPr>
      </w:pPr>
      <w:r>
        <w:rPr>
          <w:szCs w:val="22"/>
        </w:rPr>
        <w:t>Because these instruments complement each other, w</w:t>
      </w:r>
      <w:r w:rsidR="00CC67E1">
        <w:t xml:space="preserve">e propose to merge the </w:t>
      </w:r>
      <w:hyperlink r:id="rId30" w:history="1">
        <w:r w:rsidR="00CC67E1" w:rsidRPr="0069692A">
          <w:rPr>
            <w:rStyle w:val="Hyperlink"/>
            <w:i/>
          </w:rPr>
          <w:t>Therapeutic Goods (Things that are not Biologicals) Determination No. 1 of 2011</w:t>
        </w:r>
      </w:hyperlink>
      <w:r w:rsidR="00CC67E1">
        <w:t xml:space="preserve"> with the </w:t>
      </w:r>
      <w:hyperlink r:id="rId31" w:history="1">
        <w:r w:rsidR="00CC67E1" w:rsidRPr="0069692A">
          <w:rPr>
            <w:rStyle w:val="Hyperlink"/>
            <w:i/>
          </w:rPr>
          <w:t>Therapeutic Goods (Things that are Biologicals) Specification 2019</w:t>
        </w:r>
      </w:hyperlink>
      <w:r>
        <w:t>.</w:t>
      </w:r>
    </w:p>
    <w:p w14:paraId="6E706958" w14:textId="3BAC96EF" w:rsidR="00CC67E1" w:rsidRDefault="00CC67E1" w:rsidP="00CC67E1">
      <w:pPr>
        <w:pStyle w:val="ListBullet"/>
        <w:numPr>
          <w:ilvl w:val="0"/>
          <w:numId w:val="0"/>
        </w:numPr>
      </w:pPr>
      <w:r>
        <w:t xml:space="preserve">A </w:t>
      </w:r>
      <w:r w:rsidRPr="000206D0">
        <w:t xml:space="preserve">copy of the proposed new </w:t>
      </w:r>
      <w:r>
        <w:t>legislative instrument is included (</w:t>
      </w:r>
      <w:r w:rsidRPr="000206D0">
        <w:t>Appendix 4</w:t>
      </w:r>
      <w:r>
        <w:t>).</w:t>
      </w:r>
    </w:p>
    <w:p w14:paraId="592C209F" w14:textId="401CA489" w:rsidR="00CC67E1" w:rsidRDefault="00CC67E1" w:rsidP="009C3D54">
      <w:pPr>
        <w:pStyle w:val="Heading2"/>
      </w:pPr>
      <w:bookmarkStart w:id="10" w:name="_Toc72918412"/>
      <w:r>
        <w:t>Seeking feedback</w:t>
      </w:r>
      <w:bookmarkEnd w:id="10"/>
    </w:p>
    <w:p w14:paraId="69863ED7" w14:textId="202191D0" w:rsidR="00CC67E1" w:rsidRDefault="0069692A" w:rsidP="00CC67E1">
      <w:r>
        <w:t xml:space="preserve">We are </w:t>
      </w:r>
      <w:r w:rsidR="00CC67E1" w:rsidRPr="00545865">
        <w:t xml:space="preserve">seeking feedback </w:t>
      </w:r>
      <w:r>
        <w:t xml:space="preserve">from stakeholders </w:t>
      </w:r>
      <w:r w:rsidR="00CC67E1" w:rsidRPr="00545865">
        <w:t xml:space="preserve">on the suitability </w:t>
      </w:r>
      <w:r>
        <w:t xml:space="preserve">and potential impact </w:t>
      </w:r>
      <w:r w:rsidR="00CC67E1" w:rsidRPr="00545865">
        <w:t xml:space="preserve">of the remade </w:t>
      </w:r>
      <w:r w:rsidR="00CC67E1">
        <w:t>TGOs</w:t>
      </w:r>
      <w:r w:rsidR="00CC67E1" w:rsidRPr="00545865">
        <w:t xml:space="preserve"> </w:t>
      </w:r>
      <w:r w:rsidR="001B2C13">
        <w:t>(107</w:t>
      </w:r>
      <w:r w:rsidR="00A65339">
        <w:t>,</w:t>
      </w:r>
      <w:r w:rsidR="003E6C77">
        <w:t xml:space="preserve"> </w:t>
      </w:r>
      <w:r w:rsidR="001B2C13">
        <w:t>108</w:t>
      </w:r>
      <w:r w:rsidR="00A65339">
        <w:t xml:space="preserve"> and 109</w:t>
      </w:r>
      <w:r w:rsidR="001B2C13">
        <w:t xml:space="preserve">) </w:t>
      </w:r>
      <w:r w:rsidR="00CC67E1">
        <w:t xml:space="preserve">and </w:t>
      </w:r>
      <w:r w:rsidR="001B2C13">
        <w:t xml:space="preserve">the </w:t>
      </w:r>
      <w:r w:rsidR="00650E66">
        <w:t xml:space="preserve">merged </w:t>
      </w:r>
      <w:r>
        <w:t xml:space="preserve">legislative </w:t>
      </w:r>
      <w:r w:rsidR="00CC67E1">
        <w:t>instrument</w:t>
      </w:r>
      <w:r>
        <w:t>.</w:t>
      </w:r>
    </w:p>
    <w:p w14:paraId="52AD72C5" w14:textId="77777777" w:rsidR="00AF6032" w:rsidRDefault="00AF6032">
      <w:pPr>
        <w:spacing w:before="0" w:after="0" w:line="240" w:lineRule="auto"/>
        <w:rPr>
          <w:rFonts w:ascii="Arial" w:eastAsia="Times New Roman" w:hAnsi="Arial"/>
          <w:b/>
          <w:bCs/>
          <w:sz w:val="38"/>
          <w:szCs w:val="38"/>
        </w:rPr>
      </w:pPr>
      <w:r>
        <w:br w:type="page"/>
      </w:r>
    </w:p>
    <w:p w14:paraId="02CFBA72" w14:textId="1F607677" w:rsidR="00225C6B" w:rsidRDefault="007A3277" w:rsidP="00CC67E1">
      <w:pPr>
        <w:pStyle w:val="Heading2"/>
      </w:pPr>
      <w:bookmarkStart w:id="11" w:name="_Toc72918413"/>
      <w:r w:rsidRPr="004023DD">
        <w:lastRenderedPageBreak/>
        <w:t>Proposed amendments to TGO</w:t>
      </w:r>
      <w:r w:rsidR="005479AC" w:rsidRPr="004023DD">
        <w:t xml:space="preserve"> </w:t>
      </w:r>
      <w:r w:rsidRPr="004023DD">
        <w:t>107</w:t>
      </w:r>
      <w:bookmarkEnd w:id="11"/>
    </w:p>
    <w:p w14:paraId="6B4CA5C0" w14:textId="275FBF05" w:rsidR="000719D7" w:rsidRDefault="00314275" w:rsidP="00914832">
      <w:r>
        <w:t xml:space="preserve">TGO 107 supersedes </w:t>
      </w:r>
      <w:hyperlink r:id="rId32" w:history="1">
        <w:r w:rsidRPr="009C3D54">
          <w:rPr>
            <w:rStyle w:val="Hyperlink"/>
          </w:rPr>
          <w:t>TGO 87</w:t>
        </w:r>
      </w:hyperlink>
      <w:r>
        <w:t xml:space="preserve"> and specifies </w:t>
      </w:r>
      <w:r w:rsidR="00914832">
        <w:t>the labelling requirements for biologicals</w:t>
      </w:r>
      <w:r>
        <w:t xml:space="preserve"> </w:t>
      </w:r>
      <w:r w:rsidR="00BB658C">
        <w:t xml:space="preserve">and </w:t>
      </w:r>
      <w:r w:rsidR="00AD1EC0">
        <w:t>HCT materials</w:t>
      </w:r>
      <w:r w:rsidR="00914832">
        <w:t xml:space="preserve">. </w:t>
      </w:r>
    </w:p>
    <w:p w14:paraId="280120BC" w14:textId="6A6414D4" w:rsidR="005E1BA3" w:rsidRDefault="005E1BA3" w:rsidP="005E1BA3">
      <w:r>
        <w:t>TGO 107 applies to:</w:t>
      </w:r>
    </w:p>
    <w:p w14:paraId="4E51961A" w14:textId="77777777" w:rsidR="005E1BA3" w:rsidRDefault="005E1BA3" w:rsidP="005E1BA3">
      <w:pPr>
        <w:numPr>
          <w:ilvl w:val="0"/>
          <w:numId w:val="24"/>
        </w:numPr>
      </w:pPr>
      <w:r>
        <w:t>biologicals</w:t>
      </w:r>
    </w:p>
    <w:p w14:paraId="2AF83A10" w14:textId="77777777" w:rsidR="005E1BA3" w:rsidRDefault="005E1BA3" w:rsidP="005E1BA3">
      <w:pPr>
        <w:numPr>
          <w:ilvl w:val="0"/>
          <w:numId w:val="24"/>
        </w:numPr>
      </w:pPr>
      <w:r>
        <w:t>HCT materials</w:t>
      </w:r>
    </w:p>
    <w:p w14:paraId="52D49664" w14:textId="00CAC16A" w:rsidR="004D48EE" w:rsidRDefault="004D48EE" w:rsidP="000719D7">
      <w:r>
        <w:t xml:space="preserve">TGO 107 </w:t>
      </w:r>
      <w:r w:rsidRPr="004D48EE">
        <w:t xml:space="preserve">does not apply to autologous HCT regulated with the exemptions </w:t>
      </w:r>
      <w:r>
        <w:t xml:space="preserve">specified in the </w:t>
      </w:r>
      <w:r w:rsidRPr="004D48EE">
        <w:rPr>
          <w:i/>
        </w:rPr>
        <w:t>Therapeutic Goods Regulations 1990</w:t>
      </w:r>
      <w:r>
        <w:t xml:space="preserve"> (the Regulations)</w:t>
      </w:r>
      <w:r w:rsidRPr="004D48EE">
        <w:t>.</w:t>
      </w:r>
      <w:r>
        <w:rPr>
          <w:rStyle w:val="FootnoteReference"/>
        </w:rPr>
        <w:footnoteReference w:id="1"/>
      </w:r>
      <w:r w:rsidRPr="004D48EE">
        <w:t xml:space="preserve"> These amendments were implemented in 2018.</w:t>
      </w:r>
    </w:p>
    <w:p w14:paraId="1B9EA975" w14:textId="54E791E3" w:rsidR="000719D7" w:rsidRDefault="000719D7" w:rsidP="000719D7">
      <w:r>
        <w:t>Appendix 1 contains:</w:t>
      </w:r>
    </w:p>
    <w:p w14:paraId="30D7BD27" w14:textId="4D3F6B27" w:rsidR="000719D7" w:rsidRDefault="000719D7" w:rsidP="000719D7">
      <w:pPr>
        <w:numPr>
          <w:ilvl w:val="0"/>
          <w:numId w:val="24"/>
        </w:numPr>
      </w:pPr>
      <w:r>
        <w:t>draft TGO 107 legislative standard</w:t>
      </w:r>
    </w:p>
    <w:p w14:paraId="732DB12D" w14:textId="12145D96" w:rsidR="000719D7" w:rsidRDefault="000719D7" w:rsidP="000719D7">
      <w:pPr>
        <w:numPr>
          <w:ilvl w:val="0"/>
          <w:numId w:val="24"/>
        </w:numPr>
      </w:pPr>
      <w:r>
        <w:t>draft TGO 107 guidance document</w:t>
      </w:r>
    </w:p>
    <w:p w14:paraId="3E4CBF0E" w14:textId="05FFB39E" w:rsidR="000719D7" w:rsidRDefault="000719D7" w:rsidP="000719D7">
      <w:pPr>
        <w:numPr>
          <w:ilvl w:val="0"/>
          <w:numId w:val="24"/>
        </w:numPr>
      </w:pPr>
      <w:r>
        <w:t>clause-based mapping document, which shows how the requirements in TGO 107 arose from TGO 87</w:t>
      </w:r>
    </w:p>
    <w:p w14:paraId="40D82D5D" w14:textId="068EF46D" w:rsidR="004D48EE" w:rsidRDefault="004D48EE" w:rsidP="004D48EE">
      <w:pPr>
        <w:pStyle w:val="Heading3"/>
      </w:pPr>
      <w:bookmarkStart w:id="12" w:name="_Toc72918414"/>
      <w:r>
        <w:t>1. Modernised and more informative labelling</w:t>
      </w:r>
      <w:bookmarkEnd w:id="12"/>
    </w:p>
    <w:p w14:paraId="21183601" w14:textId="0076977C" w:rsidR="00314275" w:rsidRDefault="00314275" w:rsidP="00314275">
      <w:pPr>
        <w:pStyle w:val="Heading4"/>
      </w:pPr>
      <w:r>
        <w:t>Background</w:t>
      </w:r>
    </w:p>
    <w:p w14:paraId="62ED2186" w14:textId="078F6522" w:rsidR="00121F0D" w:rsidRDefault="004E7EFF" w:rsidP="0044030D">
      <w:r>
        <w:t xml:space="preserve">There has been considerable evolution in the labelling of biologicals and HCT materials due to the emergence of new technologies and </w:t>
      </w:r>
      <w:r w:rsidR="00121F0D">
        <w:t xml:space="preserve">extensive </w:t>
      </w:r>
      <w:r>
        <w:t>movement of such pro</w:t>
      </w:r>
      <w:r w:rsidR="00121F0D">
        <w:t xml:space="preserve">ducts across </w:t>
      </w:r>
      <w:r w:rsidR="00E82F10">
        <w:t>international borders</w:t>
      </w:r>
      <w:r w:rsidR="00121F0D">
        <w:t xml:space="preserve">. This </w:t>
      </w:r>
      <w:r>
        <w:t xml:space="preserve">has underscored the need for </w:t>
      </w:r>
      <w:r w:rsidR="00121F0D">
        <w:t xml:space="preserve">reliable </w:t>
      </w:r>
      <w:r>
        <w:t>traceability</w:t>
      </w:r>
      <w:r w:rsidR="00121F0D">
        <w:t xml:space="preserve"> and increased identification.</w:t>
      </w:r>
    </w:p>
    <w:p w14:paraId="0D5F2A68" w14:textId="73AE1709" w:rsidR="004D48EE" w:rsidRDefault="00F05BBB" w:rsidP="0044030D">
      <w:r w:rsidRPr="00F05BBB">
        <w:t>With the availability of increased sources of information</w:t>
      </w:r>
      <w:r>
        <w:t xml:space="preserve"> on the internet, there is </w:t>
      </w:r>
      <w:r w:rsidRPr="00F05BBB">
        <w:t xml:space="preserve">a growing </w:t>
      </w:r>
      <w:r w:rsidR="004D48EE">
        <w:t>appetite from patients, consumers and healthcare providers for reliable, evidence-based sources of information regarding the use of therapeutic goods. The proposed changes seek to address this need.</w:t>
      </w:r>
    </w:p>
    <w:p w14:paraId="612A5724" w14:textId="63E67A76" w:rsidR="004D48EE" w:rsidRDefault="004D48EE" w:rsidP="0044030D">
      <w:r>
        <w:t xml:space="preserve">The proposed </w:t>
      </w:r>
      <w:r w:rsidR="00256118">
        <w:t>amendments</w:t>
      </w:r>
      <w:r>
        <w:t xml:space="preserve"> are not envisaged to </w:t>
      </w:r>
      <w:r w:rsidR="00256118">
        <w:t>change</w:t>
      </w:r>
      <w:r>
        <w:t xml:space="preserve"> the</w:t>
      </w:r>
      <w:r w:rsidRPr="008062F7">
        <w:t xml:space="preserve"> regulatory </w:t>
      </w:r>
      <w:r w:rsidR="00256118">
        <w:t xml:space="preserve">impact </w:t>
      </w:r>
      <w:r>
        <w:t xml:space="preserve">on </w:t>
      </w:r>
      <w:r w:rsidR="00256118">
        <w:t>affected stakeholders.</w:t>
      </w:r>
    </w:p>
    <w:p w14:paraId="7F8E3F1B" w14:textId="77777777" w:rsidR="00314275" w:rsidRDefault="00314275" w:rsidP="00314275">
      <w:pPr>
        <w:pStyle w:val="Heading4"/>
      </w:pPr>
      <w:r>
        <w:t>Proposal</w:t>
      </w:r>
    </w:p>
    <w:p w14:paraId="646D4D98" w14:textId="21DDBED5" w:rsidR="00312B37" w:rsidRDefault="00253709" w:rsidP="0044030D">
      <w:r>
        <w:t>U</w:t>
      </w:r>
      <w:r w:rsidR="0048470E">
        <w:t xml:space="preserve">pdates </w:t>
      </w:r>
      <w:r w:rsidR="00F7746D">
        <w:t>proposed for</w:t>
      </w:r>
      <w:r w:rsidR="0048470E">
        <w:t xml:space="preserve"> </w:t>
      </w:r>
      <w:r w:rsidR="0044030D">
        <w:t>TGO 107</w:t>
      </w:r>
      <w:r>
        <w:t xml:space="preserve"> include</w:t>
      </w:r>
      <w:r w:rsidR="0048470E">
        <w:t>:</w:t>
      </w:r>
    </w:p>
    <w:p w14:paraId="3614DEFA" w14:textId="51D412E2" w:rsidR="00121F0D" w:rsidRDefault="004E7EFF" w:rsidP="007576CC">
      <w:pPr>
        <w:numPr>
          <w:ilvl w:val="0"/>
          <w:numId w:val="24"/>
        </w:numPr>
      </w:pPr>
      <w:r>
        <w:t xml:space="preserve">the provision of </w:t>
      </w:r>
      <w:r w:rsidR="00312B37">
        <w:t>information relating to</w:t>
      </w:r>
      <w:r w:rsidR="007576CC">
        <w:t>: (a)</w:t>
      </w:r>
      <w:r w:rsidR="00312B37">
        <w:t xml:space="preserve"> incompatibilities and instructions for reporting adverse events</w:t>
      </w:r>
      <w:r w:rsidR="007576CC">
        <w:t xml:space="preserve">; and (b) biochemical, biodynamic or biokinetic properties, and outcomes of clinical trials and preclinical safety studies </w:t>
      </w:r>
      <w:r>
        <w:t>for Class 3 and 4 biologicals</w:t>
      </w:r>
      <w:r w:rsidR="007576CC">
        <w:t xml:space="preserve"> (where applicable)</w:t>
      </w:r>
    </w:p>
    <w:p w14:paraId="7140B3D1" w14:textId="0C9F817F" w:rsidR="00121F0D" w:rsidRDefault="00121F0D" w:rsidP="00121F0D">
      <w:pPr>
        <w:pStyle w:val="ListBullet2"/>
        <w:ind w:left="1134" w:hanging="425"/>
      </w:pPr>
      <w:r>
        <w:t>these two proposed new requirements are broadly consistent with TGA labelling requirements for prescription medicines and seek to align important therapeutic goods information and allow the healthcare prescriber, patient or consumer</w:t>
      </w:r>
      <w:r w:rsidRPr="00DD45F5">
        <w:t xml:space="preserve"> </w:t>
      </w:r>
      <w:r>
        <w:t xml:space="preserve">to </w:t>
      </w:r>
      <w:r w:rsidRPr="00DD45F5">
        <w:t xml:space="preserve">properly consider </w:t>
      </w:r>
      <w:r>
        <w:t xml:space="preserve">the </w:t>
      </w:r>
      <w:r w:rsidRPr="00DD45F5">
        <w:t>risk-benefit</w:t>
      </w:r>
      <w:r>
        <w:t xml:space="preserve"> of the biological</w:t>
      </w:r>
    </w:p>
    <w:p w14:paraId="317CCFB7" w14:textId="70604C82" w:rsidR="007B532A" w:rsidRPr="004D48EE" w:rsidRDefault="00121F0D" w:rsidP="004D48EE">
      <w:pPr>
        <w:pStyle w:val="ListBullet2"/>
        <w:ind w:left="1134" w:hanging="425"/>
      </w:pPr>
      <w:r>
        <w:lastRenderedPageBreak/>
        <w:t xml:space="preserve">these proposed new requirements </w:t>
      </w:r>
      <w:r w:rsidR="00256118">
        <w:t>are consistent with</w:t>
      </w:r>
      <w:r w:rsidR="007272DF">
        <w:t xml:space="preserve"> </w:t>
      </w:r>
      <w:r w:rsidR="004C04BA">
        <w:t xml:space="preserve">recent </w:t>
      </w:r>
      <w:r w:rsidRPr="00A2112D">
        <w:t xml:space="preserve">recommendations in </w:t>
      </w:r>
      <w:r w:rsidR="007272DF">
        <w:t xml:space="preserve">the </w:t>
      </w:r>
      <w:r w:rsidRPr="00A2112D">
        <w:t xml:space="preserve">Council of Europe’s </w:t>
      </w:r>
      <w:hyperlink r:id="rId33" w:history="1">
        <w:r w:rsidRPr="00A2112D">
          <w:rPr>
            <w:rStyle w:val="Hyperlink"/>
          </w:rPr>
          <w:t>4th Edition of the Guide to the quality and safety of tissues and cells for human application (2019)</w:t>
        </w:r>
      </w:hyperlink>
    </w:p>
    <w:tbl>
      <w:tblPr>
        <w:tblpPr w:leftFromText="180" w:rightFromText="180" w:vertAnchor="text" w:horzAnchor="margin" w:tblpY="98"/>
        <w:tblW w:w="9072" w:type="dxa"/>
        <w:tblLayout w:type="fixed"/>
        <w:tblCellMar>
          <w:left w:w="0" w:type="dxa"/>
          <w:right w:w="0" w:type="dxa"/>
        </w:tblCellMar>
        <w:tblLook w:val="04A0" w:firstRow="1" w:lastRow="0" w:firstColumn="1" w:lastColumn="0" w:noHBand="0" w:noVBand="1"/>
      </w:tblPr>
      <w:tblGrid>
        <w:gridCol w:w="1134"/>
        <w:gridCol w:w="7938"/>
      </w:tblGrid>
      <w:tr w:rsidR="00345884" w:rsidRPr="00796BC5" w14:paraId="790400D0" w14:textId="77777777" w:rsidTr="001F2155">
        <w:trPr>
          <w:trHeight w:val="823"/>
        </w:trPr>
        <w:tc>
          <w:tcPr>
            <w:tcW w:w="1134" w:type="dxa"/>
            <w:vAlign w:val="center"/>
          </w:tcPr>
          <w:p w14:paraId="6057E545" w14:textId="77777777" w:rsidR="00345884" w:rsidRPr="00796BC5" w:rsidRDefault="00345884" w:rsidP="00345884">
            <w:pPr>
              <w:rPr>
                <w:bCs/>
              </w:rPr>
            </w:pPr>
            <w:r w:rsidRPr="00796BC5">
              <w:rPr>
                <w:bCs/>
                <w:noProof/>
                <w:lang w:eastAsia="en-AU"/>
              </w:rPr>
              <w:drawing>
                <wp:inline distT="0" distB="0" distL="0" distR="0" wp14:anchorId="1576F85B" wp14:editId="10227608">
                  <wp:extent cx="489600" cy="489600"/>
                  <wp:effectExtent l="0" t="0" r="5715" b="571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ceyg\AppData\Local\Microsoft\Windows\Temporary Internet Files\Content.IE5\1L6LQT4S\1390060157[1].png"/>
                          <pic:cNvPicPr>
                            <a:picLocks noChangeAspect="1" noChangeArrowheads="1"/>
                          </pic:cNvPicPr>
                        </pic:nvPicPr>
                        <pic:blipFill>
                          <a:blip r:embed="rId34" cstate="print">
                            <a:extLst>
                              <a:ext uri="{28A0092B-C50C-407E-A947-70E740481C1C}">
                                <a14:useLocalDpi xmlns:a14="http://schemas.microsoft.com/office/drawing/2010/main" val="0"/>
                              </a:ext>
                            </a:extLst>
                          </a:blip>
                          <a:stretch>
                            <a:fillRect/>
                          </a:stretch>
                        </pic:blipFill>
                        <pic:spPr bwMode="auto">
                          <a:xfrm>
                            <a:off x="0" y="0"/>
                            <a:ext cx="489600" cy="489600"/>
                          </a:xfrm>
                          <a:prstGeom prst="rect">
                            <a:avLst/>
                          </a:prstGeom>
                          <a:noFill/>
                          <a:ln>
                            <a:noFill/>
                          </a:ln>
                        </pic:spPr>
                      </pic:pic>
                    </a:graphicData>
                  </a:graphic>
                </wp:inline>
              </w:drawing>
            </w:r>
          </w:p>
        </w:tc>
        <w:tc>
          <w:tcPr>
            <w:tcW w:w="7938" w:type="dxa"/>
            <w:shd w:val="clear" w:color="auto" w:fill="EAEAEA"/>
            <w:tcMar>
              <w:top w:w="170" w:type="dxa"/>
              <w:left w:w="170" w:type="dxa"/>
              <w:bottom w:w="170" w:type="dxa"/>
              <w:right w:w="170" w:type="dxa"/>
            </w:tcMar>
          </w:tcPr>
          <w:p w14:paraId="36A556FC" w14:textId="77777777" w:rsidR="008062F7" w:rsidRDefault="00345884" w:rsidP="001F2155">
            <w:pPr>
              <w:rPr>
                <w:b/>
                <w:bCs/>
              </w:rPr>
            </w:pPr>
            <w:r w:rsidRPr="001F2155">
              <w:rPr>
                <w:b/>
                <w:bCs/>
              </w:rPr>
              <w:t xml:space="preserve">Question 1: </w:t>
            </w:r>
            <w:r w:rsidR="001F2155" w:rsidRPr="001F2155">
              <w:rPr>
                <w:b/>
                <w:bCs/>
              </w:rPr>
              <w:t>Do you agree mandating additional information for Class 3 and 4 biologicals facilitates safe and effective use of such therapeutic goods?</w:t>
            </w:r>
          </w:p>
          <w:p w14:paraId="488D8A6B" w14:textId="618F5275" w:rsidR="001F2155" w:rsidRPr="001F2155" w:rsidRDefault="001F2155" w:rsidP="001F2155">
            <w:pPr>
              <w:rPr>
                <w:b/>
                <w:bCs/>
              </w:rPr>
            </w:pPr>
            <w:r w:rsidRPr="001F2155">
              <w:rPr>
                <w:b/>
                <w:bCs/>
              </w:rPr>
              <w:t>Question 2: If this proposed change affects you, please explain how.</w:t>
            </w:r>
          </w:p>
        </w:tc>
      </w:tr>
    </w:tbl>
    <w:p w14:paraId="05A77524" w14:textId="77777777" w:rsidR="00E82F10" w:rsidRDefault="00E82F10" w:rsidP="00E82F10">
      <w:pPr>
        <w:numPr>
          <w:ilvl w:val="0"/>
          <w:numId w:val="24"/>
        </w:numPr>
      </w:pPr>
      <w:r>
        <w:t>the use of machine-readable codes as an optional alternative to the currently required unique identification number/alphanumeric by which to uniquely identify the donor of HCT materials</w:t>
      </w:r>
    </w:p>
    <w:p w14:paraId="044597E9" w14:textId="77777777" w:rsidR="00E82F10" w:rsidRDefault="00E82F10" w:rsidP="00E82F10">
      <w:pPr>
        <w:pStyle w:val="ListBullet2"/>
        <w:ind w:left="1134" w:hanging="425"/>
      </w:pPr>
      <w:r>
        <w:t xml:space="preserve">such an option </w:t>
      </w:r>
      <w:r w:rsidRPr="000A7D43">
        <w:t>will ens</w:t>
      </w:r>
      <w:r>
        <w:t xml:space="preserve">ure the accuracy of records since machine-readable codes avoid the occurrence of </w:t>
      </w:r>
      <w:r w:rsidRPr="000A7D43">
        <w:t>manual tr</w:t>
      </w:r>
      <w:r>
        <w:t>anscription errors</w:t>
      </w:r>
      <w:r w:rsidRPr="000A7D43">
        <w:t>, and the machine output can easily be entered into electronic databases</w:t>
      </w:r>
    </w:p>
    <w:p w14:paraId="3298170D" w14:textId="78329005" w:rsidR="004D48EE" w:rsidRDefault="004D48EE" w:rsidP="004D48EE">
      <w:pPr>
        <w:pStyle w:val="Heading3"/>
      </w:pPr>
      <w:bookmarkStart w:id="13" w:name="_Toc72918415"/>
      <w:r>
        <w:t>2. Other issues</w:t>
      </w:r>
      <w:bookmarkEnd w:id="13"/>
    </w:p>
    <w:p w14:paraId="3CEE20B4" w14:textId="50F4107D" w:rsidR="0008490C" w:rsidRDefault="0008490C" w:rsidP="001E12F4">
      <w:r>
        <w:t>No other major changes are proposed for TGO 107. W</w:t>
      </w:r>
      <w:r w:rsidRPr="0008490C">
        <w:t>e welcome any suggestions and other comments to improve</w:t>
      </w:r>
      <w:r>
        <w:t xml:space="preserve"> the changes proposed in TGO 107</w:t>
      </w:r>
      <w:r w:rsidRPr="0008490C">
        <w:t xml:space="preserve"> and its associated guidance</w:t>
      </w:r>
      <w:r>
        <w:t>.</w:t>
      </w:r>
    </w:p>
    <w:tbl>
      <w:tblPr>
        <w:tblpPr w:leftFromText="180" w:rightFromText="180" w:vertAnchor="text" w:horzAnchor="margin" w:tblpY="98"/>
        <w:tblW w:w="9072" w:type="dxa"/>
        <w:tblLayout w:type="fixed"/>
        <w:tblCellMar>
          <w:left w:w="0" w:type="dxa"/>
          <w:right w:w="0" w:type="dxa"/>
        </w:tblCellMar>
        <w:tblLook w:val="04A0" w:firstRow="1" w:lastRow="0" w:firstColumn="1" w:lastColumn="0" w:noHBand="0" w:noVBand="1"/>
      </w:tblPr>
      <w:tblGrid>
        <w:gridCol w:w="1134"/>
        <w:gridCol w:w="7938"/>
      </w:tblGrid>
      <w:tr w:rsidR="001E12F4" w:rsidRPr="00796BC5" w14:paraId="292C1EB5" w14:textId="77777777" w:rsidTr="00A26540">
        <w:trPr>
          <w:trHeight w:val="964"/>
        </w:trPr>
        <w:tc>
          <w:tcPr>
            <w:tcW w:w="1134" w:type="dxa"/>
            <w:vAlign w:val="center"/>
          </w:tcPr>
          <w:p w14:paraId="25EEBF42" w14:textId="77777777" w:rsidR="001E12F4" w:rsidRPr="00796BC5" w:rsidRDefault="001E12F4" w:rsidP="004A0B30">
            <w:pPr>
              <w:rPr>
                <w:bCs/>
              </w:rPr>
            </w:pPr>
            <w:r w:rsidRPr="00796BC5">
              <w:rPr>
                <w:bCs/>
                <w:noProof/>
                <w:lang w:eastAsia="en-AU"/>
              </w:rPr>
              <w:drawing>
                <wp:inline distT="0" distB="0" distL="0" distR="0" wp14:anchorId="2C1E61C9" wp14:editId="249A2141">
                  <wp:extent cx="489600" cy="489600"/>
                  <wp:effectExtent l="0" t="0" r="571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ceyg\AppData\Local\Microsoft\Windows\Temporary Internet Files\Content.IE5\1L6LQT4S\1390060157[1].png"/>
                          <pic:cNvPicPr>
                            <a:picLocks noChangeAspect="1" noChangeArrowheads="1"/>
                          </pic:cNvPicPr>
                        </pic:nvPicPr>
                        <pic:blipFill>
                          <a:blip r:embed="rId34" cstate="print">
                            <a:extLst>
                              <a:ext uri="{28A0092B-C50C-407E-A947-70E740481C1C}">
                                <a14:useLocalDpi xmlns:a14="http://schemas.microsoft.com/office/drawing/2010/main" val="0"/>
                              </a:ext>
                            </a:extLst>
                          </a:blip>
                          <a:stretch>
                            <a:fillRect/>
                          </a:stretch>
                        </pic:blipFill>
                        <pic:spPr bwMode="auto">
                          <a:xfrm>
                            <a:off x="0" y="0"/>
                            <a:ext cx="489600" cy="489600"/>
                          </a:xfrm>
                          <a:prstGeom prst="rect">
                            <a:avLst/>
                          </a:prstGeom>
                          <a:noFill/>
                          <a:ln>
                            <a:noFill/>
                          </a:ln>
                        </pic:spPr>
                      </pic:pic>
                    </a:graphicData>
                  </a:graphic>
                </wp:inline>
              </w:drawing>
            </w:r>
          </w:p>
        </w:tc>
        <w:tc>
          <w:tcPr>
            <w:tcW w:w="7938" w:type="dxa"/>
            <w:shd w:val="clear" w:color="auto" w:fill="EAEAEA"/>
            <w:tcMar>
              <w:top w:w="170" w:type="dxa"/>
              <w:left w:w="170" w:type="dxa"/>
              <w:bottom w:w="170" w:type="dxa"/>
              <w:right w:w="170" w:type="dxa"/>
            </w:tcMar>
          </w:tcPr>
          <w:p w14:paraId="3D5962B2" w14:textId="6D923C6A" w:rsidR="001E12F4" w:rsidRPr="001F2155" w:rsidRDefault="001F2155" w:rsidP="00A14B19">
            <w:pPr>
              <w:rPr>
                <w:b/>
                <w:bCs/>
              </w:rPr>
            </w:pPr>
            <w:r>
              <w:rPr>
                <w:b/>
                <w:bCs/>
              </w:rPr>
              <w:t>Question 3</w:t>
            </w:r>
            <w:r w:rsidRPr="001F2155">
              <w:rPr>
                <w:b/>
                <w:bCs/>
              </w:rPr>
              <w:t>: Please tell us any other suggestions or comments that you believe will improve the proposed TGO 107 and its associated guidance.</w:t>
            </w:r>
          </w:p>
        </w:tc>
      </w:tr>
    </w:tbl>
    <w:p w14:paraId="0DC0C3D5" w14:textId="77777777" w:rsidR="00AF6032" w:rsidRDefault="00AF6032" w:rsidP="00CC67E1">
      <w:pPr>
        <w:pStyle w:val="Heading2"/>
      </w:pPr>
    </w:p>
    <w:p w14:paraId="33FBDAA9" w14:textId="77777777" w:rsidR="00AF6032" w:rsidRDefault="00AF6032">
      <w:pPr>
        <w:spacing w:before="0" w:after="0" w:line="240" w:lineRule="auto"/>
        <w:rPr>
          <w:rFonts w:ascii="Arial" w:eastAsia="Times New Roman" w:hAnsi="Arial"/>
          <w:b/>
          <w:bCs/>
          <w:sz w:val="38"/>
          <w:szCs w:val="38"/>
        </w:rPr>
      </w:pPr>
      <w:r>
        <w:br w:type="page"/>
      </w:r>
    </w:p>
    <w:p w14:paraId="62D1F36A" w14:textId="37257B66" w:rsidR="007A3277" w:rsidRDefault="007A3277" w:rsidP="00CC67E1">
      <w:pPr>
        <w:pStyle w:val="Heading2"/>
      </w:pPr>
      <w:bookmarkStart w:id="14" w:name="_Toc72918416"/>
      <w:r>
        <w:lastRenderedPageBreak/>
        <w:t>Proposed amendments to TGO</w:t>
      </w:r>
      <w:r w:rsidR="006B361E">
        <w:t xml:space="preserve"> </w:t>
      </w:r>
      <w:r>
        <w:t>108</w:t>
      </w:r>
      <w:bookmarkEnd w:id="14"/>
    </w:p>
    <w:p w14:paraId="2DE94B1F" w14:textId="65C5B718" w:rsidR="00345884" w:rsidRDefault="00314275" w:rsidP="00AF6032">
      <w:pPr>
        <w:spacing w:after="120"/>
      </w:pPr>
      <w:r>
        <w:t>TGO 108</w:t>
      </w:r>
      <w:r w:rsidR="00345884">
        <w:t xml:space="preserve"> largely supersedes </w:t>
      </w:r>
      <w:hyperlink r:id="rId35" w:history="1">
        <w:r w:rsidR="00345884" w:rsidRPr="009C3D54">
          <w:rPr>
            <w:rStyle w:val="Hyperlink"/>
          </w:rPr>
          <w:t>TGO 88</w:t>
        </w:r>
      </w:hyperlink>
      <w:r w:rsidR="00345884">
        <w:t xml:space="preserve"> and specifies numerous aspects around donor </w:t>
      </w:r>
      <w:r w:rsidR="00802A86">
        <w:t>eligibility</w:t>
      </w:r>
      <w:r w:rsidR="00345884">
        <w:t>:</w:t>
      </w:r>
    </w:p>
    <w:p w14:paraId="69F3B927" w14:textId="77777777" w:rsidR="00345884" w:rsidRDefault="00345884" w:rsidP="00AF6032">
      <w:pPr>
        <w:numPr>
          <w:ilvl w:val="0"/>
          <w:numId w:val="24"/>
        </w:numPr>
        <w:spacing w:after="120"/>
      </w:pPr>
      <w:r>
        <w:t>social and medical history</w:t>
      </w:r>
    </w:p>
    <w:p w14:paraId="461305A7" w14:textId="77777777" w:rsidR="00345884" w:rsidRDefault="00345884" w:rsidP="00AF6032">
      <w:pPr>
        <w:numPr>
          <w:ilvl w:val="0"/>
          <w:numId w:val="24"/>
        </w:numPr>
        <w:spacing w:after="120"/>
      </w:pPr>
      <w:r>
        <w:t>physical assessment</w:t>
      </w:r>
    </w:p>
    <w:p w14:paraId="62CCB481" w14:textId="77777777" w:rsidR="00345884" w:rsidRDefault="00345884" w:rsidP="00AF6032">
      <w:pPr>
        <w:numPr>
          <w:ilvl w:val="0"/>
          <w:numId w:val="24"/>
        </w:numPr>
        <w:spacing w:after="120"/>
      </w:pPr>
      <w:r>
        <w:t>testing</w:t>
      </w:r>
    </w:p>
    <w:p w14:paraId="623594B9" w14:textId="77777777" w:rsidR="00345884" w:rsidRDefault="00345884" w:rsidP="00AF6032">
      <w:pPr>
        <w:numPr>
          <w:ilvl w:val="0"/>
          <w:numId w:val="24"/>
        </w:numPr>
        <w:spacing w:after="120"/>
      </w:pPr>
      <w:r>
        <w:t>deferral requirements</w:t>
      </w:r>
    </w:p>
    <w:p w14:paraId="2CF83944" w14:textId="7148365D" w:rsidR="005E1BA3" w:rsidRDefault="005E1BA3" w:rsidP="00AF6032">
      <w:pPr>
        <w:spacing w:after="120"/>
      </w:pPr>
      <w:r>
        <w:t>TGO 108 applies to:</w:t>
      </w:r>
    </w:p>
    <w:p w14:paraId="0DAFA1AA" w14:textId="449017C4" w:rsidR="005E1BA3" w:rsidRDefault="005E1BA3" w:rsidP="00AF6032">
      <w:pPr>
        <w:numPr>
          <w:ilvl w:val="0"/>
          <w:numId w:val="24"/>
        </w:numPr>
        <w:spacing w:after="120"/>
      </w:pPr>
      <w:r>
        <w:t>biologicals</w:t>
      </w:r>
    </w:p>
    <w:p w14:paraId="370E5C5E" w14:textId="131510FD" w:rsidR="005E1BA3" w:rsidRDefault="005E1BA3" w:rsidP="00AF6032">
      <w:pPr>
        <w:numPr>
          <w:ilvl w:val="0"/>
          <w:numId w:val="24"/>
        </w:numPr>
        <w:spacing w:after="120"/>
      </w:pPr>
      <w:r>
        <w:t>HCT materials</w:t>
      </w:r>
    </w:p>
    <w:p w14:paraId="2A397122" w14:textId="378B6F6A" w:rsidR="005E1BA3" w:rsidRDefault="005E1BA3" w:rsidP="00AF6032">
      <w:pPr>
        <w:numPr>
          <w:ilvl w:val="0"/>
          <w:numId w:val="24"/>
        </w:numPr>
        <w:spacing w:after="120"/>
      </w:pPr>
      <w:r>
        <w:t>blood</w:t>
      </w:r>
    </w:p>
    <w:p w14:paraId="7B3E07C7" w14:textId="47B23123" w:rsidR="005E1BA3" w:rsidRDefault="005E1BA3" w:rsidP="00AF6032">
      <w:pPr>
        <w:numPr>
          <w:ilvl w:val="0"/>
          <w:numId w:val="24"/>
        </w:numPr>
        <w:spacing w:after="120"/>
      </w:pPr>
      <w:r>
        <w:t>blood components</w:t>
      </w:r>
      <w:r w:rsidR="00BC10A7">
        <w:t xml:space="preserve"> (</w:t>
      </w:r>
      <w:r w:rsidR="00BC10A7" w:rsidRPr="0006710F">
        <w:t>including plasma for fractionation</w:t>
      </w:r>
      <w:r w:rsidR="00BC10A7">
        <w:t>)</w:t>
      </w:r>
    </w:p>
    <w:p w14:paraId="18ECCB41" w14:textId="2CFD8C23" w:rsidR="00345884" w:rsidRDefault="00345884" w:rsidP="00AF6032">
      <w:pPr>
        <w:spacing w:after="120"/>
      </w:pPr>
      <w:r>
        <w:t>Appendix 2 contains:</w:t>
      </w:r>
    </w:p>
    <w:p w14:paraId="4F3E2E97" w14:textId="2A25B4BA" w:rsidR="00345884" w:rsidRDefault="00345884" w:rsidP="00AF6032">
      <w:pPr>
        <w:numPr>
          <w:ilvl w:val="0"/>
          <w:numId w:val="24"/>
        </w:numPr>
        <w:spacing w:after="120"/>
      </w:pPr>
      <w:r>
        <w:t>draft TGO 108</w:t>
      </w:r>
      <w:r w:rsidR="00AD1EC0">
        <w:t xml:space="preserve"> legislative standard</w:t>
      </w:r>
    </w:p>
    <w:p w14:paraId="1F8E369E" w14:textId="1E2D02A7" w:rsidR="00345884" w:rsidRDefault="00345884" w:rsidP="00AF6032">
      <w:pPr>
        <w:numPr>
          <w:ilvl w:val="0"/>
          <w:numId w:val="24"/>
        </w:numPr>
        <w:spacing w:after="120"/>
      </w:pPr>
      <w:r>
        <w:t xml:space="preserve">draft </w:t>
      </w:r>
      <w:r w:rsidR="00AD1EC0">
        <w:t xml:space="preserve">TGO 108 </w:t>
      </w:r>
      <w:r>
        <w:t>guidance document</w:t>
      </w:r>
    </w:p>
    <w:p w14:paraId="2DD2041F" w14:textId="77777777" w:rsidR="00345884" w:rsidRDefault="00345884" w:rsidP="00AF6032">
      <w:pPr>
        <w:numPr>
          <w:ilvl w:val="0"/>
          <w:numId w:val="24"/>
        </w:numPr>
        <w:spacing w:after="120"/>
      </w:pPr>
      <w:r>
        <w:t>clause-based mapping document, which shows how the requirements in TGO 108 arose from TGO 88</w:t>
      </w:r>
    </w:p>
    <w:p w14:paraId="473A70E2" w14:textId="71E69DEA" w:rsidR="0059732C" w:rsidRDefault="0059732C" w:rsidP="0059732C">
      <w:pPr>
        <w:pStyle w:val="Heading3"/>
      </w:pPr>
      <w:bookmarkStart w:id="15" w:name="_Toc72918417"/>
      <w:r>
        <w:t>1. Exemption for autologous HCT products</w:t>
      </w:r>
      <w:bookmarkEnd w:id="15"/>
    </w:p>
    <w:p w14:paraId="2DFD8BD9" w14:textId="609ECD64" w:rsidR="00DA38BB" w:rsidRDefault="00DA38BB" w:rsidP="00DA38BB">
      <w:pPr>
        <w:pStyle w:val="Heading4"/>
      </w:pPr>
      <w:r>
        <w:t>Background</w:t>
      </w:r>
    </w:p>
    <w:p w14:paraId="6D67C53C" w14:textId="77777777" w:rsidR="0059732C" w:rsidRDefault="004A0B30" w:rsidP="0059732C">
      <w:pPr>
        <w:spacing w:before="240" w:after="240" w:line="240" w:lineRule="auto"/>
      </w:pPr>
      <w:r w:rsidRPr="004A0B30">
        <w:t xml:space="preserve">Following legislative changes in 2018, </w:t>
      </w:r>
      <w:hyperlink r:id="rId36" w:history="1">
        <w:r w:rsidRPr="004A0B30">
          <w:rPr>
            <w:color w:val="0000FF"/>
            <w:u w:val="single"/>
          </w:rPr>
          <w:t>TGA increased regulatory oversight for autologous HCT products</w:t>
        </w:r>
      </w:hyperlink>
      <w:r w:rsidRPr="004A0B30">
        <w:t xml:space="preserve">. The level </w:t>
      </w:r>
      <w:r w:rsidR="0059732C">
        <w:t>of regulation of autologous HCT products</w:t>
      </w:r>
      <w:r w:rsidRPr="004A0B30">
        <w:t xml:space="preserve"> varies </w:t>
      </w:r>
      <w:r w:rsidR="0059732C">
        <w:t>depending on criteria including</w:t>
      </w:r>
      <w:r w:rsidRPr="004A0B30">
        <w:t xml:space="preserve"> the level of external governance, clinical oversight, the manufacturing process and the intended use of the product. Thus, autologous HCT products could be either: (a) excluded from regulation, (b) regulated with exemp</w:t>
      </w:r>
      <w:r w:rsidR="0059732C">
        <w:t xml:space="preserve">tions, or (c) fully regulated. </w:t>
      </w:r>
    </w:p>
    <w:p w14:paraId="35A8A91A" w14:textId="326F283F" w:rsidR="004A0B30" w:rsidRPr="0059732C" w:rsidRDefault="004A0B30" w:rsidP="0059732C">
      <w:pPr>
        <w:spacing w:before="240" w:after="240" w:line="240" w:lineRule="auto"/>
      </w:pPr>
      <w:r w:rsidRPr="0059732C">
        <w:t>TGO 88 currently exempts blood components collected, manufactured and administered by a medical practitioner from its requirements.</w:t>
      </w:r>
    </w:p>
    <w:p w14:paraId="01ED3EB4" w14:textId="34C99D6A" w:rsidR="00CC67E1" w:rsidRDefault="00345884" w:rsidP="00CC67E1">
      <w:pPr>
        <w:pStyle w:val="Heading4"/>
      </w:pPr>
      <w:r>
        <w:t>Proposal</w:t>
      </w:r>
    </w:p>
    <w:p w14:paraId="721A9E6B" w14:textId="77777777" w:rsidR="0059732C" w:rsidRDefault="004A0B30" w:rsidP="004A0B30">
      <w:r>
        <w:t xml:space="preserve">The remade TGO 108 specifies minimum donor screening criteria for minimising infectious disease transmission from donor to recipient. Autologous HCT products have an inherently </w:t>
      </w:r>
      <w:r w:rsidRPr="002574BA">
        <w:t>lower risk of transmitting infectious diseases than those used for allogeneic purposes given they are for use within the same indiv</w:t>
      </w:r>
      <w:r>
        <w:t xml:space="preserve">idual, not another individual. </w:t>
      </w:r>
      <w:r w:rsidRPr="00822207">
        <w:t xml:space="preserve">Thus, we propose </w:t>
      </w:r>
      <w:r>
        <w:t xml:space="preserve">that TGO 108 not apply to </w:t>
      </w:r>
      <w:r w:rsidRPr="00822207">
        <w:t>autologous HCT products</w:t>
      </w:r>
      <w:r>
        <w:t xml:space="preserve"> where the</w:t>
      </w:r>
      <w:r w:rsidRPr="00822207">
        <w:t xml:space="preserve"> collection and administration is under the professional supervision of a me</w:t>
      </w:r>
      <w:r w:rsidR="0059732C">
        <w:t>dical or dental practitioner.</w:t>
      </w:r>
    </w:p>
    <w:p w14:paraId="19CA8DEB" w14:textId="3C88E768" w:rsidR="004A0B30" w:rsidRDefault="00A353E5" w:rsidP="004A0B30">
      <w:r>
        <w:t xml:space="preserve">Although autologous HCT products have a </w:t>
      </w:r>
      <w:r w:rsidRPr="002574BA">
        <w:t>lower risk of transmitting infectio</w:t>
      </w:r>
      <w:r>
        <w:t xml:space="preserve">us diseases than their </w:t>
      </w:r>
      <w:r w:rsidRPr="002574BA">
        <w:t xml:space="preserve">allogeneic </w:t>
      </w:r>
      <w:r>
        <w:t>counterparts, t</w:t>
      </w:r>
      <w:r w:rsidR="004A0B30" w:rsidRPr="00F5147D">
        <w:t>here are</w:t>
      </w:r>
      <w:r>
        <w:t xml:space="preserve"> nonetheless</w:t>
      </w:r>
      <w:r w:rsidR="004A0B30" w:rsidRPr="00F5147D">
        <w:t xml:space="preserve"> </w:t>
      </w:r>
      <w:r w:rsidR="004A0B30" w:rsidRPr="003E7109">
        <w:t>risks</w:t>
      </w:r>
      <w:r w:rsidR="004A0B30" w:rsidRPr="002574BA">
        <w:t xml:space="preserve"> associated with contamination or cross-contamination of such products or othe</w:t>
      </w:r>
      <w:r w:rsidR="004A0B30">
        <w:t xml:space="preserve">r products during manufacture. </w:t>
      </w:r>
      <w:r>
        <w:t>In order to efficiently and effectively mitigate these risks</w:t>
      </w:r>
      <w:r w:rsidR="004A0B30">
        <w:t>, we propose</w:t>
      </w:r>
      <w:r w:rsidR="00AF672B">
        <w:t xml:space="preserve"> </w:t>
      </w:r>
      <w:r w:rsidR="004A0B30">
        <w:t>the following regulatory re</w:t>
      </w:r>
      <w:r>
        <w:t>quirements</w:t>
      </w:r>
      <w:r w:rsidR="004A0B30">
        <w:t xml:space="preserve">: </w:t>
      </w:r>
    </w:p>
    <w:p w14:paraId="2FE07F99" w14:textId="04154759" w:rsidR="001C0714" w:rsidRDefault="001C0714" w:rsidP="001C0714">
      <w:pPr>
        <w:numPr>
          <w:ilvl w:val="0"/>
          <w:numId w:val="24"/>
        </w:numPr>
      </w:pPr>
      <w:r>
        <w:lastRenderedPageBreak/>
        <w:t>i</w:t>
      </w:r>
      <w:r w:rsidR="0059732C">
        <w:t xml:space="preserve">n </w:t>
      </w:r>
      <w:r w:rsidR="00A353E5">
        <w:t xml:space="preserve">the </w:t>
      </w:r>
      <w:r w:rsidR="0059732C">
        <w:t>case of ‘</w:t>
      </w:r>
      <w:r w:rsidR="003A014A">
        <w:t xml:space="preserve">autologous HCT products </w:t>
      </w:r>
      <w:r w:rsidR="003A014A" w:rsidRPr="002046AB">
        <w:t>regulated with exemptions</w:t>
      </w:r>
      <w:r w:rsidR="003A014A">
        <w:t>’</w:t>
      </w:r>
      <w:r w:rsidR="0059732C">
        <w:t>:</w:t>
      </w:r>
      <w:r w:rsidR="003A014A">
        <w:rPr>
          <w:rStyle w:val="FootnoteReference"/>
        </w:rPr>
        <w:footnoteReference w:id="2"/>
      </w:r>
    </w:p>
    <w:p w14:paraId="1F4FAEF6" w14:textId="1B94BFB1" w:rsidR="001C0714" w:rsidRDefault="001C0714" w:rsidP="001C0714">
      <w:pPr>
        <w:pStyle w:val="ListBullet2"/>
        <w:ind w:left="1134" w:hanging="425"/>
      </w:pPr>
      <w:r>
        <w:t xml:space="preserve">These products can only be </w:t>
      </w:r>
      <w:r w:rsidRPr="002046AB">
        <w:t xml:space="preserve">minimally manipulated, </w:t>
      </w:r>
      <w:r>
        <w:t xml:space="preserve">deployed </w:t>
      </w:r>
      <w:r w:rsidRPr="002046AB">
        <w:t xml:space="preserve">for homologous use, for a </w:t>
      </w:r>
      <w:r>
        <w:t xml:space="preserve">single indication in a </w:t>
      </w:r>
      <w:r w:rsidRPr="002046AB">
        <w:t>single clinical procedure</w:t>
      </w:r>
      <w:r>
        <w:t xml:space="preserve">, and manufactured and administered under high-level clinical oversight. These criteria clarify </w:t>
      </w:r>
      <w:r w:rsidRPr="002046AB">
        <w:t>the boundaries between clinical practice</w:t>
      </w:r>
      <w:r>
        <w:t>, which is already regulated to manage such risks,</w:t>
      </w:r>
      <w:r w:rsidRPr="002046AB">
        <w:t xml:space="preserve"> and therapeutic goods regulations</w:t>
      </w:r>
      <w:r>
        <w:t>. TGA requirements such as adverse event reporting and recalls continue to apply. It is proposed that TGO 107 and TGO 109 will not apply to these products</w:t>
      </w:r>
      <w:r w:rsidRPr="00711C6D">
        <w:t>; see proposed amendments to TGO 107 and TGO 109</w:t>
      </w:r>
      <w:r>
        <w:t>.</w:t>
      </w:r>
    </w:p>
    <w:p w14:paraId="35FAA96E" w14:textId="599BC188" w:rsidR="0059732C" w:rsidRDefault="001C0714" w:rsidP="001C0714">
      <w:pPr>
        <w:numPr>
          <w:ilvl w:val="0"/>
          <w:numId w:val="24"/>
        </w:numPr>
      </w:pPr>
      <w:r>
        <w:t>i</w:t>
      </w:r>
      <w:r w:rsidR="0059732C">
        <w:t>n the case of</w:t>
      </w:r>
      <w:r w:rsidR="003A014A">
        <w:t xml:space="preserve"> fully reg</w:t>
      </w:r>
      <w:r w:rsidR="0059732C">
        <w:t>ulated autologous HCT products:</w:t>
      </w:r>
    </w:p>
    <w:p w14:paraId="4283D70B" w14:textId="33D5F6D8" w:rsidR="003A014A" w:rsidRDefault="001C0714" w:rsidP="001C0714">
      <w:pPr>
        <w:pStyle w:val="ListBullet2"/>
        <w:ind w:left="1134" w:hanging="425"/>
      </w:pPr>
      <w:r>
        <w:t>To consider this risk, the remade TGO 109 includes a section titled: ‘</w:t>
      </w:r>
      <w:r w:rsidRPr="00220E0D">
        <w:t>Diseases and conditions that may compromise biologicals</w:t>
      </w:r>
      <w:r>
        <w:t xml:space="preserve">’. This section is reworded from TGO 88 sections 9(13-15) and clarifies that where a risk of </w:t>
      </w:r>
      <w:r w:rsidRPr="003A4F6D">
        <w:t xml:space="preserve">contamination or cross-contamination </w:t>
      </w:r>
      <w:r>
        <w:t xml:space="preserve">of other products </w:t>
      </w:r>
      <w:r w:rsidRPr="003A4F6D">
        <w:t>manufacture</w:t>
      </w:r>
      <w:r>
        <w:t>d at the same facility (amongst other factors that may affect the quality, safety or efficacy) is possible, any or all the donor screening requirements specified in TGO 108 can be applied. This is in addition to the general manufacturing requirements which have been transferred from TGO 88 to TGO 109. Further, the requirements of donor traceability from TGO 87 will continue to apply to such products via TGO 107. GMP requirements also apply to these products.</w:t>
      </w:r>
      <w:r w:rsidR="003A014A">
        <w:t xml:space="preserve"> </w:t>
      </w:r>
    </w:p>
    <w:tbl>
      <w:tblPr>
        <w:tblW w:w="9214" w:type="dxa"/>
        <w:tblLayout w:type="fixed"/>
        <w:tblCellMar>
          <w:left w:w="0" w:type="dxa"/>
          <w:right w:w="0" w:type="dxa"/>
        </w:tblCellMar>
        <w:tblLook w:val="04A0" w:firstRow="1" w:lastRow="0" w:firstColumn="1" w:lastColumn="0" w:noHBand="0" w:noVBand="1"/>
      </w:tblPr>
      <w:tblGrid>
        <w:gridCol w:w="1134"/>
        <w:gridCol w:w="8080"/>
      </w:tblGrid>
      <w:tr w:rsidR="00105686" w:rsidRPr="00832BAD" w14:paraId="52BD31F2" w14:textId="77777777" w:rsidTr="00AF6032">
        <w:trPr>
          <w:trHeight w:val="2820"/>
        </w:trPr>
        <w:tc>
          <w:tcPr>
            <w:tcW w:w="1134" w:type="dxa"/>
            <w:vAlign w:val="center"/>
          </w:tcPr>
          <w:p w14:paraId="359A7C07" w14:textId="77777777" w:rsidR="00105686" w:rsidRPr="00832BAD" w:rsidRDefault="00105686" w:rsidP="00105686">
            <w:r w:rsidRPr="00832BAD">
              <w:rPr>
                <w:noProof/>
                <w:lang w:eastAsia="en-AU"/>
              </w:rPr>
              <w:drawing>
                <wp:inline distT="0" distB="0" distL="0" distR="0" wp14:anchorId="3F31EE20" wp14:editId="798919F6">
                  <wp:extent cx="487681" cy="487681"/>
                  <wp:effectExtent l="19050" t="0" r="7619" b="0"/>
                  <wp:docPr id="12"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37" cstate="print"/>
                          <a:stretch>
                            <a:fillRect/>
                          </a:stretch>
                        </pic:blipFill>
                        <pic:spPr>
                          <a:xfrm>
                            <a:off x="0" y="0"/>
                            <a:ext cx="487681" cy="487681"/>
                          </a:xfrm>
                          <a:prstGeom prst="rect">
                            <a:avLst/>
                          </a:prstGeom>
                        </pic:spPr>
                      </pic:pic>
                    </a:graphicData>
                  </a:graphic>
                </wp:inline>
              </w:drawing>
            </w:r>
          </w:p>
        </w:tc>
        <w:tc>
          <w:tcPr>
            <w:tcW w:w="8080" w:type="dxa"/>
            <w:shd w:val="clear" w:color="auto" w:fill="EAEAEA"/>
            <w:tcMar>
              <w:top w:w="170" w:type="dxa"/>
              <w:left w:w="170" w:type="dxa"/>
              <w:bottom w:w="170" w:type="dxa"/>
              <w:right w:w="170" w:type="dxa"/>
            </w:tcMar>
            <w:vAlign w:val="center"/>
          </w:tcPr>
          <w:p w14:paraId="0294EDBE" w14:textId="0D7DC93C" w:rsidR="00105686" w:rsidRDefault="00105686" w:rsidP="00AF6032">
            <w:pPr>
              <w:pStyle w:val="ListBullet3"/>
              <w:numPr>
                <w:ilvl w:val="0"/>
                <w:numId w:val="0"/>
              </w:numPr>
              <w:spacing w:after="120" w:line="240" w:lineRule="auto"/>
              <w:ind w:left="119"/>
            </w:pPr>
            <w:r>
              <w:t>GMP</w:t>
            </w:r>
            <w:r w:rsidRPr="005323CD">
              <w:t xml:space="preserve"> requirements continue to apply</w:t>
            </w:r>
            <w:r w:rsidR="003A47B0">
              <w:t xml:space="preserve"> for autologous HCT products that do not meet</w:t>
            </w:r>
            <w:r w:rsidR="00276557">
              <w:t xml:space="preserve"> the</w:t>
            </w:r>
            <w:r w:rsidR="003A47B0">
              <w:t xml:space="preserve"> </w:t>
            </w:r>
            <w:r w:rsidR="00220E0D">
              <w:t>‘autologous HCT products regulated with</w:t>
            </w:r>
            <w:r w:rsidR="003A47B0">
              <w:t xml:space="preserve"> exemption</w:t>
            </w:r>
            <w:r w:rsidR="00220E0D">
              <w:t>s’</w:t>
            </w:r>
            <w:r w:rsidR="003A47B0">
              <w:t xml:space="preserve"> criteria. These GMP requirements</w:t>
            </w:r>
            <w:r w:rsidRPr="005323CD">
              <w:t xml:space="preserve"> include measures for </w:t>
            </w:r>
            <w:r>
              <w:t>the minimisation of contamination or cross</w:t>
            </w:r>
            <w:r w:rsidRPr="005323CD">
              <w:t xml:space="preserve">-contamination of </w:t>
            </w:r>
            <w:r w:rsidRPr="00061DBE">
              <w:t>premises, equipment</w:t>
            </w:r>
            <w:r w:rsidR="003A47B0">
              <w:t>,</w:t>
            </w:r>
            <w:r w:rsidRPr="00061DBE">
              <w:t xml:space="preserve"> and of any other therapeutic goods that are manufactured at the shared facility. Other areas that need to be considered are personnel working in areas where</w:t>
            </w:r>
            <w:r w:rsidRPr="005323CD">
              <w:t xml:space="preserve"> con</w:t>
            </w:r>
            <w:r>
              <w:t>tamination may be an issue (for example</w:t>
            </w:r>
            <w:r w:rsidRPr="005323CD">
              <w:t>, clean areas or areas where infectiou</w:t>
            </w:r>
            <w:r>
              <w:t xml:space="preserve">s materials are handled) – such personnel must be given specific training. For further information, refer: </w:t>
            </w:r>
          </w:p>
          <w:p w14:paraId="2671334B" w14:textId="08329D25" w:rsidR="00105686" w:rsidRDefault="00CC4766" w:rsidP="00AF6032">
            <w:pPr>
              <w:pStyle w:val="ListBullet3"/>
              <w:numPr>
                <w:ilvl w:val="0"/>
                <w:numId w:val="0"/>
              </w:numPr>
              <w:spacing w:after="120" w:line="240" w:lineRule="auto"/>
              <w:ind w:left="119"/>
            </w:pPr>
            <w:hyperlink r:id="rId38" w:history="1">
              <w:r w:rsidR="005F4969" w:rsidRPr="00EB7A33">
                <w:rPr>
                  <w:rStyle w:val="Hyperlink"/>
                </w:rPr>
                <w:t>https://www.tga.gov.au/manufacturing-biologicals</w:t>
              </w:r>
            </w:hyperlink>
            <w:r w:rsidR="00105686">
              <w:t xml:space="preserve"> </w:t>
            </w:r>
          </w:p>
          <w:p w14:paraId="5FC99099" w14:textId="77777777" w:rsidR="00105686" w:rsidRPr="00832BAD" w:rsidRDefault="00CC4766" w:rsidP="00AF6032">
            <w:pPr>
              <w:pStyle w:val="ListBullet3"/>
              <w:numPr>
                <w:ilvl w:val="0"/>
                <w:numId w:val="0"/>
              </w:numPr>
              <w:spacing w:after="120" w:line="240" w:lineRule="auto"/>
              <w:ind w:left="119"/>
            </w:pPr>
            <w:hyperlink r:id="rId39" w:history="1">
              <w:r w:rsidR="00105686" w:rsidRPr="00CA3D88">
                <w:rPr>
                  <w:rStyle w:val="Hyperlink"/>
                </w:rPr>
                <w:t>https://www.tga.gov.au/manufacturing-blood-and-blood-components</w:t>
              </w:r>
            </w:hyperlink>
          </w:p>
        </w:tc>
      </w:tr>
    </w:tbl>
    <w:p w14:paraId="6F727A3F" w14:textId="201E7816" w:rsidR="00105686" w:rsidRDefault="00105686" w:rsidP="00345884">
      <w:r w:rsidRPr="00061DBE">
        <w:t xml:space="preserve">This </w:t>
      </w:r>
      <w:r w:rsidR="00253709">
        <w:t xml:space="preserve">proposed </w:t>
      </w:r>
      <w:r w:rsidRPr="00061DBE">
        <w:t xml:space="preserve">change </w:t>
      </w:r>
      <w:r>
        <w:t xml:space="preserve">is </w:t>
      </w:r>
      <w:r w:rsidR="00041B58">
        <w:t>likely to minimise regulatory</w:t>
      </w:r>
      <w:r w:rsidRPr="007576CC">
        <w:rPr>
          <w:b/>
        </w:rPr>
        <w:t xml:space="preserve"> impact</w:t>
      </w:r>
      <w:r w:rsidRPr="00061DBE">
        <w:t xml:space="preserve"> on </w:t>
      </w:r>
      <w:r w:rsidR="00041B58">
        <w:t xml:space="preserve">affected </w:t>
      </w:r>
      <w:r w:rsidRPr="00061DBE">
        <w:t>sponsors</w:t>
      </w:r>
      <w:r w:rsidR="00041B58">
        <w:t xml:space="preserve">. </w:t>
      </w:r>
      <w:r>
        <w:t>I</w:t>
      </w:r>
      <w:r w:rsidRPr="00061DBE">
        <w:t xml:space="preserve">f </w:t>
      </w:r>
      <w:r>
        <w:t xml:space="preserve">the </w:t>
      </w:r>
      <w:r w:rsidRPr="00061DBE">
        <w:t>quality and safety</w:t>
      </w:r>
      <w:r>
        <w:t xml:space="preserve"> of the HCT product</w:t>
      </w:r>
      <w:r w:rsidRPr="00061DBE">
        <w:t xml:space="preserve"> is </w:t>
      </w:r>
      <w:r>
        <w:t>maintained,</w:t>
      </w:r>
      <w:r w:rsidRPr="00061DBE">
        <w:t xml:space="preserve"> </w:t>
      </w:r>
      <w:r w:rsidR="00D151B0">
        <w:t xml:space="preserve">and compliance with TGO 109 is demonstrated, </w:t>
      </w:r>
      <w:r>
        <w:t>s</w:t>
      </w:r>
      <w:r w:rsidRPr="00061DBE">
        <w:t xml:space="preserve">ponsors of autologous HCT </w:t>
      </w:r>
      <w:r w:rsidR="00D151B0">
        <w:t xml:space="preserve">products </w:t>
      </w:r>
      <w:r w:rsidR="00041B58">
        <w:t xml:space="preserve">will </w:t>
      </w:r>
      <w:r w:rsidRPr="00061DBE">
        <w:t>no longer require</w:t>
      </w:r>
      <w:r>
        <w:t xml:space="preserve"> donor screening.</w:t>
      </w:r>
    </w:p>
    <w:tbl>
      <w:tblPr>
        <w:tblpPr w:leftFromText="180" w:rightFromText="180" w:vertAnchor="text" w:horzAnchor="margin" w:tblpY="98"/>
        <w:tblW w:w="9213" w:type="dxa"/>
        <w:tblLayout w:type="fixed"/>
        <w:tblCellMar>
          <w:left w:w="0" w:type="dxa"/>
          <w:right w:w="0" w:type="dxa"/>
        </w:tblCellMar>
        <w:tblLook w:val="04A0" w:firstRow="1" w:lastRow="0" w:firstColumn="1" w:lastColumn="0" w:noHBand="0" w:noVBand="1"/>
      </w:tblPr>
      <w:tblGrid>
        <w:gridCol w:w="1134"/>
        <w:gridCol w:w="8079"/>
      </w:tblGrid>
      <w:tr w:rsidR="00105686" w:rsidRPr="00796BC5" w14:paraId="23A02024" w14:textId="77777777" w:rsidTr="00AF6032">
        <w:trPr>
          <w:trHeight w:val="737"/>
        </w:trPr>
        <w:tc>
          <w:tcPr>
            <w:tcW w:w="1134" w:type="dxa"/>
            <w:vAlign w:val="center"/>
          </w:tcPr>
          <w:p w14:paraId="740B0482" w14:textId="77777777" w:rsidR="00105686" w:rsidRPr="00796BC5" w:rsidRDefault="00105686" w:rsidP="00AF6032">
            <w:pPr>
              <w:rPr>
                <w:bCs/>
              </w:rPr>
            </w:pPr>
            <w:r w:rsidRPr="00796BC5">
              <w:rPr>
                <w:bCs/>
                <w:noProof/>
                <w:lang w:eastAsia="en-AU"/>
              </w:rPr>
              <w:drawing>
                <wp:inline distT="0" distB="0" distL="0" distR="0" wp14:anchorId="50FDCC56" wp14:editId="3394DA9E">
                  <wp:extent cx="489600" cy="489600"/>
                  <wp:effectExtent l="0" t="0" r="5715"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ceyg\AppData\Local\Microsoft\Windows\Temporary Internet Files\Content.IE5\1L6LQT4S\1390060157[1].png"/>
                          <pic:cNvPicPr>
                            <a:picLocks noChangeAspect="1" noChangeArrowheads="1"/>
                          </pic:cNvPicPr>
                        </pic:nvPicPr>
                        <pic:blipFill>
                          <a:blip r:embed="rId34" cstate="print">
                            <a:extLst>
                              <a:ext uri="{28A0092B-C50C-407E-A947-70E740481C1C}">
                                <a14:useLocalDpi xmlns:a14="http://schemas.microsoft.com/office/drawing/2010/main" val="0"/>
                              </a:ext>
                            </a:extLst>
                          </a:blip>
                          <a:stretch>
                            <a:fillRect/>
                          </a:stretch>
                        </pic:blipFill>
                        <pic:spPr bwMode="auto">
                          <a:xfrm>
                            <a:off x="0" y="0"/>
                            <a:ext cx="489600" cy="489600"/>
                          </a:xfrm>
                          <a:prstGeom prst="rect">
                            <a:avLst/>
                          </a:prstGeom>
                          <a:noFill/>
                          <a:ln>
                            <a:noFill/>
                          </a:ln>
                        </pic:spPr>
                      </pic:pic>
                    </a:graphicData>
                  </a:graphic>
                </wp:inline>
              </w:drawing>
            </w:r>
          </w:p>
        </w:tc>
        <w:tc>
          <w:tcPr>
            <w:tcW w:w="8079" w:type="dxa"/>
            <w:shd w:val="clear" w:color="auto" w:fill="EAEAEA"/>
            <w:tcMar>
              <w:top w:w="170" w:type="dxa"/>
              <w:left w:w="170" w:type="dxa"/>
              <w:bottom w:w="170" w:type="dxa"/>
              <w:right w:w="170" w:type="dxa"/>
            </w:tcMar>
          </w:tcPr>
          <w:p w14:paraId="058F56CF" w14:textId="7C8968B6" w:rsidR="002C4508" w:rsidRDefault="00105686" w:rsidP="00AF6032">
            <w:pPr>
              <w:spacing w:after="0"/>
              <w:rPr>
                <w:b/>
                <w:bCs/>
              </w:rPr>
            </w:pPr>
            <w:r w:rsidRPr="001F2155">
              <w:rPr>
                <w:b/>
                <w:bCs/>
              </w:rPr>
              <w:t xml:space="preserve">Question </w:t>
            </w:r>
            <w:r w:rsidR="001F2155" w:rsidRPr="001F2155">
              <w:rPr>
                <w:b/>
                <w:bCs/>
              </w:rPr>
              <w:t>4</w:t>
            </w:r>
            <w:r w:rsidRPr="001F2155">
              <w:rPr>
                <w:b/>
                <w:bCs/>
              </w:rPr>
              <w:t xml:space="preserve">: </w:t>
            </w:r>
            <w:r w:rsidR="002C4508" w:rsidRPr="002C4508">
              <w:rPr>
                <w:b/>
                <w:bCs/>
              </w:rPr>
              <w:t xml:space="preserve">Do you agree that the specified requirements in the proposed Order related to the following don’t need to be mandated for autologous HCT products when there is medical or dental practitioner oversight for collection and administration? </w:t>
            </w:r>
          </w:p>
          <w:p w14:paraId="377F7F4E" w14:textId="5B988767" w:rsidR="002C4508" w:rsidRPr="002C4508" w:rsidRDefault="002C4508" w:rsidP="00AF6032">
            <w:pPr>
              <w:pStyle w:val="ListParagraph"/>
              <w:numPr>
                <w:ilvl w:val="0"/>
                <w:numId w:val="34"/>
              </w:numPr>
              <w:spacing w:before="0" w:after="0"/>
              <w:ind w:left="714" w:hanging="357"/>
              <w:contextualSpacing w:val="0"/>
              <w:rPr>
                <w:b/>
                <w:bCs/>
              </w:rPr>
            </w:pPr>
            <w:r w:rsidRPr="002C4508">
              <w:rPr>
                <w:b/>
                <w:bCs/>
              </w:rPr>
              <w:t>donor social and medical history</w:t>
            </w:r>
          </w:p>
          <w:p w14:paraId="3143962D" w14:textId="77777777" w:rsidR="002C4508" w:rsidRPr="002C4508" w:rsidRDefault="002C4508" w:rsidP="00AF6032">
            <w:pPr>
              <w:pStyle w:val="ListParagraph"/>
              <w:numPr>
                <w:ilvl w:val="0"/>
                <w:numId w:val="34"/>
              </w:numPr>
              <w:spacing w:before="0" w:after="0"/>
              <w:ind w:left="714" w:hanging="357"/>
              <w:contextualSpacing w:val="0"/>
              <w:rPr>
                <w:b/>
                <w:bCs/>
              </w:rPr>
            </w:pPr>
            <w:r w:rsidRPr="002C4508">
              <w:rPr>
                <w:b/>
                <w:bCs/>
              </w:rPr>
              <w:t>donor physical assessment</w:t>
            </w:r>
          </w:p>
          <w:p w14:paraId="08E507BB" w14:textId="77777777" w:rsidR="002C4508" w:rsidRPr="002C4508" w:rsidRDefault="002C4508" w:rsidP="00AF6032">
            <w:pPr>
              <w:pStyle w:val="ListParagraph"/>
              <w:numPr>
                <w:ilvl w:val="0"/>
                <w:numId w:val="34"/>
              </w:numPr>
              <w:spacing w:before="0" w:after="0"/>
              <w:ind w:left="714" w:hanging="357"/>
              <w:contextualSpacing w:val="0"/>
              <w:rPr>
                <w:b/>
                <w:bCs/>
              </w:rPr>
            </w:pPr>
            <w:r w:rsidRPr="002C4508">
              <w:rPr>
                <w:b/>
                <w:bCs/>
              </w:rPr>
              <w:t>donor deferral and testing requirements.</w:t>
            </w:r>
          </w:p>
          <w:p w14:paraId="46E7897F" w14:textId="6759FFC9" w:rsidR="001F2155" w:rsidRPr="001F2155" w:rsidRDefault="001F2155" w:rsidP="00AF6032">
            <w:pPr>
              <w:spacing w:after="120"/>
              <w:rPr>
                <w:b/>
                <w:bCs/>
              </w:rPr>
            </w:pPr>
            <w:r>
              <w:rPr>
                <w:b/>
                <w:bCs/>
              </w:rPr>
              <w:t xml:space="preserve">Question 5: </w:t>
            </w:r>
            <w:r w:rsidRPr="001F2155">
              <w:rPr>
                <w:b/>
                <w:bCs/>
              </w:rPr>
              <w:t>If this proposed change affects you, please explain how.</w:t>
            </w:r>
          </w:p>
          <w:p w14:paraId="0189EEF0" w14:textId="1FECEF62" w:rsidR="00105686" w:rsidRPr="00796BC5" w:rsidRDefault="00105686" w:rsidP="00AF6032">
            <w:pPr>
              <w:spacing w:after="0"/>
              <w:rPr>
                <w:bCs/>
              </w:rPr>
            </w:pPr>
            <w:r w:rsidRPr="00796BC5">
              <w:rPr>
                <w:bCs/>
              </w:rPr>
              <w:t>Note: TGO</w:t>
            </w:r>
            <w:r>
              <w:rPr>
                <w:bCs/>
              </w:rPr>
              <w:t xml:space="preserve"> </w:t>
            </w:r>
            <w:r w:rsidR="00DE41E3">
              <w:rPr>
                <w:bCs/>
              </w:rPr>
              <w:t xml:space="preserve">109 and GMP requirements, amongst other regulatory requirements, </w:t>
            </w:r>
            <w:r w:rsidRPr="00796BC5">
              <w:rPr>
                <w:bCs/>
              </w:rPr>
              <w:t xml:space="preserve">will </w:t>
            </w:r>
            <w:r>
              <w:rPr>
                <w:bCs/>
              </w:rPr>
              <w:t xml:space="preserve">still </w:t>
            </w:r>
            <w:r w:rsidRPr="00796BC5">
              <w:rPr>
                <w:bCs/>
              </w:rPr>
              <w:t>a</w:t>
            </w:r>
            <w:r>
              <w:rPr>
                <w:bCs/>
              </w:rPr>
              <w:t>pply to autologous HCT products</w:t>
            </w:r>
            <w:r w:rsidR="003A47B0">
              <w:t xml:space="preserve"> whose manufacture involves more than minimal manipulation</w:t>
            </w:r>
            <w:r>
              <w:rPr>
                <w:bCs/>
              </w:rPr>
              <w:t>.</w:t>
            </w:r>
          </w:p>
        </w:tc>
      </w:tr>
    </w:tbl>
    <w:p w14:paraId="2B7C98BD" w14:textId="0D2038F4" w:rsidR="00E20088" w:rsidRPr="00E20088" w:rsidRDefault="00CC67E1" w:rsidP="00CC67E1">
      <w:pPr>
        <w:pStyle w:val="Heading3"/>
      </w:pPr>
      <w:bookmarkStart w:id="16" w:name="_Toc72918418"/>
      <w:r w:rsidRPr="00DA38BB">
        <w:lastRenderedPageBreak/>
        <w:t>2.</w:t>
      </w:r>
      <w:r w:rsidR="000639DD">
        <w:t xml:space="preserve"> </w:t>
      </w:r>
      <w:r w:rsidR="00BC3A14">
        <w:t xml:space="preserve">Donor deferral exemption </w:t>
      </w:r>
      <w:r w:rsidR="00DA38BB">
        <w:t>for d</w:t>
      </w:r>
      <w:r w:rsidR="00E20088" w:rsidRPr="00DA38BB">
        <w:t xml:space="preserve">irected </w:t>
      </w:r>
      <w:r w:rsidR="00194D96" w:rsidRPr="00DA38BB">
        <w:t>a</w:t>
      </w:r>
      <w:r w:rsidR="00E20088" w:rsidRPr="00DA38BB">
        <w:t>llogen</w:t>
      </w:r>
      <w:r w:rsidR="00684411">
        <w:t>e</w:t>
      </w:r>
      <w:r w:rsidR="00E20088" w:rsidRPr="00DA38BB">
        <w:t>ic HCT products</w:t>
      </w:r>
      <w:bookmarkEnd w:id="16"/>
    </w:p>
    <w:p w14:paraId="2307736F" w14:textId="77777777" w:rsidR="00DA38BB" w:rsidRDefault="00DA38BB" w:rsidP="00DA38BB">
      <w:pPr>
        <w:pStyle w:val="Heading4"/>
      </w:pPr>
      <w:r>
        <w:t>Background</w:t>
      </w:r>
    </w:p>
    <w:p w14:paraId="1902E79C" w14:textId="0E51E788" w:rsidR="003A47B0" w:rsidRDefault="00FE52D2" w:rsidP="00F367C1">
      <w:r>
        <w:t>D</w:t>
      </w:r>
      <w:r w:rsidR="00B41DE2">
        <w:t>irected allogeneic</w:t>
      </w:r>
      <w:r w:rsidR="00A63D77">
        <w:t xml:space="preserve"> HCT products are those </w:t>
      </w:r>
      <w:r>
        <w:t xml:space="preserve">manufactured from </w:t>
      </w:r>
      <w:r w:rsidR="00A353E5">
        <w:t xml:space="preserve">the </w:t>
      </w:r>
      <w:r>
        <w:t xml:space="preserve">HCT material of </w:t>
      </w:r>
      <w:r w:rsidR="00377786">
        <w:t xml:space="preserve">a </w:t>
      </w:r>
      <w:r>
        <w:t>donor</w:t>
      </w:r>
      <w:r w:rsidR="00377786">
        <w:t>,</w:t>
      </w:r>
      <w:r>
        <w:t xml:space="preserve"> </w:t>
      </w:r>
      <w:r w:rsidR="00A353E5">
        <w:t xml:space="preserve">and are </w:t>
      </w:r>
      <w:r>
        <w:t>only for a designated patient</w:t>
      </w:r>
      <w:r w:rsidR="0059732C">
        <w:t xml:space="preserve"> with a pre-existing condition. </w:t>
      </w:r>
      <w:r w:rsidR="00377786">
        <w:t xml:space="preserve">The </w:t>
      </w:r>
      <w:r>
        <w:t xml:space="preserve">collection of HCT material and administration </w:t>
      </w:r>
      <w:r w:rsidR="00377786">
        <w:t xml:space="preserve">of such </w:t>
      </w:r>
      <w:r>
        <w:t>HCT product</w:t>
      </w:r>
      <w:r w:rsidR="00A63D77">
        <w:t>s</w:t>
      </w:r>
      <w:r>
        <w:t xml:space="preserve"> are </w:t>
      </w:r>
      <w:r w:rsidR="00377786">
        <w:t xml:space="preserve">under </w:t>
      </w:r>
      <w:r w:rsidR="00A63D77">
        <w:t xml:space="preserve">the </w:t>
      </w:r>
      <w:r w:rsidR="00377786">
        <w:t>professional</w:t>
      </w:r>
      <w:r>
        <w:t xml:space="preserve"> supervision of dental or medical practitioner</w:t>
      </w:r>
      <w:r w:rsidR="00377786">
        <w:t xml:space="preserve">. </w:t>
      </w:r>
    </w:p>
    <w:p w14:paraId="03C32547" w14:textId="77777777" w:rsidR="00377786" w:rsidRPr="00A00CEC" w:rsidRDefault="00377786" w:rsidP="00377786">
      <w:r w:rsidRPr="002574BA">
        <w:t xml:space="preserve">TGO 88 currently exempts blood components collected, manufactured and administered by </w:t>
      </w:r>
      <w:r>
        <w:t>a medical practitioner from its requirements</w:t>
      </w:r>
      <w:r w:rsidRPr="002574BA">
        <w:t>.</w:t>
      </w:r>
      <w:r>
        <w:t xml:space="preserve"> </w:t>
      </w:r>
    </w:p>
    <w:p w14:paraId="2E470C72" w14:textId="38841ED8" w:rsidR="00DA38BB" w:rsidRDefault="00DA38BB" w:rsidP="00DA38BB">
      <w:pPr>
        <w:pStyle w:val="Heading4"/>
      </w:pPr>
      <w:r>
        <w:t>Proposal</w:t>
      </w:r>
    </w:p>
    <w:p w14:paraId="781D8427" w14:textId="1FD75926" w:rsidR="003A014A" w:rsidRDefault="003A014A" w:rsidP="00B41DE2">
      <w:r w:rsidRPr="00DF2F12">
        <w:t>The remade TGO 108 specifies minimum donor screening criteria for minimising infectious disease transmission from donor to recipient.</w:t>
      </w:r>
      <w:r>
        <w:t xml:space="preserve"> There is a </w:t>
      </w:r>
      <w:r w:rsidRPr="002574BA">
        <w:t>risk of transmitting infectious diseases</w:t>
      </w:r>
      <w:r>
        <w:t xml:space="preserve"> from donor to recipient with HCT products </w:t>
      </w:r>
      <w:r w:rsidRPr="002574BA">
        <w:t>for allogeneic purposes</w:t>
      </w:r>
      <w:r>
        <w:t xml:space="preserve"> </w:t>
      </w:r>
      <w:r w:rsidRPr="002574BA">
        <w:t xml:space="preserve">given they are for use </w:t>
      </w:r>
      <w:r>
        <w:t>in different</w:t>
      </w:r>
      <w:r w:rsidRPr="002574BA">
        <w:t xml:space="preserve"> indiv</w:t>
      </w:r>
      <w:r>
        <w:t xml:space="preserve">iduals. However, in the case of directed allogenic HCT products, the donor deferral criteria is a clinical decision based on </w:t>
      </w:r>
      <w:r w:rsidR="00A353E5">
        <w:t xml:space="preserve">a </w:t>
      </w:r>
      <w:r>
        <w:t>risk-benefit assessment for that particular patient. Thus, we propose to exempt directed allogenic HCT products from donor deferral criteria.</w:t>
      </w:r>
    </w:p>
    <w:p w14:paraId="673F640E" w14:textId="6A247D3B" w:rsidR="003A014A" w:rsidRDefault="003A014A" w:rsidP="00B41DE2">
      <w:r w:rsidRPr="00061DBE">
        <w:t>This change</w:t>
      </w:r>
      <w:r>
        <w:t xml:space="preserve"> clarifies the exemption for</w:t>
      </w:r>
      <w:r w:rsidRPr="00061DBE">
        <w:t xml:space="preserve"> </w:t>
      </w:r>
      <w:r>
        <w:t xml:space="preserve">directed allogeneic </w:t>
      </w:r>
      <w:r w:rsidRPr="00061DBE">
        <w:t>HCT products</w:t>
      </w:r>
      <w:r>
        <w:t xml:space="preserve"> by extending it from blood components to </w:t>
      </w:r>
      <w:r w:rsidRPr="00C71A50">
        <w:rPr>
          <w:b/>
        </w:rPr>
        <w:t>all HCT products</w:t>
      </w:r>
      <w:r>
        <w:t>. The collection of donor social and medical history, physical assessment and testing, and the provision of outcomes to the treating medical or dental practitioner is still required.</w:t>
      </w:r>
    </w:p>
    <w:p w14:paraId="526ACF4D" w14:textId="697DD53E" w:rsidR="003A014A" w:rsidRDefault="00A353E5" w:rsidP="003A014A">
      <w:r>
        <w:t>T</w:t>
      </w:r>
      <w:r w:rsidRPr="00F5147D">
        <w:t>here are</w:t>
      </w:r>
      <w:r>
        <w:t xml:space="preserve"> nonetheless</w:t>
      </w:r>
      <w:r w:rsidRPr="00F5147D">
        <w:t xml:space="preserve"> </w:t>
      </w:r>
      <w:r w:rsidRPr="003E7109">
        <w:t>risks</w:t>
      </w:r>
      <w:r w:rsidRPr="002574BA">
        <w:t xml:space="preserve"> associated with contamination or cross-contamination of such products or othe</w:t>
      </w:r>
      <w:r>
        <w:t>r products during manufacture. To consider this risk, t</w:t>
      </w:r>
      <w:r w:rsidR="003A014A" w:rsidRPr="00E74A11">
        <w:t>he remade TGO 109 includes a section</w:t>
      </w:r>
      <w:r>
        <w:t xml:space="preserve"> titled:</w:t>
      </w:r>
      <w:r w:rsidR="003A014A" w:rsidRPr="00E74A11">
        <w:t xml:space="preserve"> ‘Diseases and conditions that may compromise bi</w:t>
      </w:r>
      <w:r>
        <w:t xml:space="preserve">ologicals’. </w:t>
      </w:r>
      <w:r w:rsidR="003A014A" w:rsidRPr="00E74A11">
        <w:t>This section is reworded from TGO 88 sections 9(13-15) and clarifies that where a risk of contamination or cross-contamination of other products manufactured at the same facility (amongst other factors that may affect the quality, safety or efficacy) is possible, any or all the donor screening requirements specif</w:t>
      </w:r>
      <w:r>
        <w:t xml:space="preserve">ied in TGO 108 can be applied. </w:t>
      </w:r>
      <w:r w:rsidR="003A014A" w:rsidRPr="00E74A11">
        <w:t>This is in addition to the general manufacturing requirements transferred from TGO 88 to TGO 109. Further, the requirements of donor traceability from TGO 87 will continue to apply</w:t>
      </w:r>
      <w:r>
        <w:t xml:space="preserve"> to such products via TGO 107. GMP requirements also apply to these products</w:t>
      </w:r>
      <w:r w:rsidR="003A014A" w:rsidRPr="00E74A11">
        <w:t xml:space="preserve">.  </w:t>
      </w:r>
    </w:p>
    <w:tbl>
      <w:tblPr>
        <w:tblW w:w="9072" w:type="dxa"/>
        <w:tblLayout w:type="fixed"/>
        <w:tblCellMar>
          <w:left w:w="0" w:type="dxa"/>
          <w:right w:w="0" w:type="dxa"/>
        </w:tblCellMar>
        <w:tblLook w:val="04A0" w:firstRow="1" w:lastRow="0" w:firstColumn="1" w:lastColumn="0" w:noHBand="0" w:noVBand="1"/>
      </w:tblPr>
      <w:tblGrid>
        <w:gridCol w:w="1134"/>
        <w:gridCol w:w="7938"/>
      </w:tblGrid>
      <w:tr w:rsidR="00B41DE2" w:rsidRPr="00832BAD" w14:paraId="19BF4918" w14:textId="77777777" w:rsidTr="00E0564F">
        <w:tc>
          <w:tcPr>
            <w:tcW w:w="1134" w:type="dxa"/>
            <w:vAlign w:val="center"/>
          </w:tcPr>
          <w:p w14:paraId="034BE59B" w14:textId="69CBA39C" w:rsidR="00B41DE2" w:rsidRPr="00832BAD" w:rsidRDefault="00B41DE2" w:rsidP="00E0564F">
            <w:r w:rsidRPr="00832BAD">
              <w:rPr>
                <w:noProof/>
                <w:lang w:eastAsia="en-AU"/>
              </w:rPr>
              <w:drawing>
                <wp:inline distT="0" distB="0" distL="0" distR="0" wp14:anchorId="41F5C17E" wp14:editId="0C0CD312">
                  <wp:extent cx="487681" cy="487681"/>
                  <wp:effectExtent l="19050" t="0" r="7619" b="0"/>
                  <wp:docPr id="3"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37" cstate="print"/>
                          <a:stretch>
                            <a:fillRect/>
                          </a:stretch>
                        </pic:blipFill>
                        <pic:spPr>
                          <a:xfrm>
                            <a:off x="0" y="0"/>
                            <a:ext cx="487681" cy="487681"/>
                          </a:xfrm>
                          <a:prstGeom prst="rect">
                            <a:avLst/>
                          </a:prstGeom>
                        </pic:spPr>
                      </pic:pic>
                    </a:graphicData>
                  </a:graphic>
                </wp:inline>
              </w:drawing>
            </w:r>
          </w:p>
        </w:tc>
        <w:tc>
          <w:tcPr>
            <w:tcW w:w="7938" w:type="dxa"/>
            <w:shd w:val="clear" w:color="auto" w:fill="EAEAEA"/>
            <w:tcMar>
              <w:top w:w="170" w:type="dxa"/>
              <w:left w:w="170" w:type="dxa"/>
              <w:bottom w:w="170" w:type="dxa"/>
              <w:right w:w="170" w:type="dxa"/>
            </w:tcMar>
            <w:vAlign w:val="center"/>
          </w:tcPr>
          <w:p w14:paraId="11B41DC9" w14:textId="22F8F95A" w:rsidR="00B41DE2" w:rsidRDefault="00B41DE2" w:rsidP="00AF6032">
            <w:pPr>
              <w:pStyle w:val="ListBullet3"/>
              <w:numPr>
                <w:ilvl w:val="0"/>
                <w:numId w:val="0"/>
              </w:numPr>
              <w:spacing w:after="120"/>
              <w:ind w:left="119"/>
            </w:pPr>
            <w:r>
              <w:t>GMP</w:t>
            </w:r>
            <w:r w:rsidRPr="005323CD">
              <w:t xml:space="preserve"> requirements continue to apply</w:t>
            </w:r>
            <w:r>
              <w:t xml:space="preserve"> for directed allogeneic HCT products. These GMP requirements</w:t>
            </w:r>
            <w:r w:rsidRPr="005323CD">
              <w:t xml:space="preserve"> include measures for </w:t>
            </w:r>
            <w:r>
              <w:t>the minimisation of contamination or cross</w:t>
            </w:r>
            <w:r w:rsidRPr="005323CD">
              <w:t xml:space="preserve">-contamination of </w:t>
            </w:r>
            <w:r w:rsidRPr="00061DBE">
              <w:t>premises, equipment</w:t>
            </w:r>
            <w:r>
              <w:t>,</w:t>
            </w:r>
            <w:r w:rsidRPr="00061DBE">
              <w:t xml:space="preserve"> and of any other therapeutic goods that are manufactured at the shared facility. Other areas that need to be considered are personnel working in areas where</w:t>
            </w:r>
            <w:r w:rsidRPr="005323CD">
              <w:t xml:space="preserve"> con</w:t>
            </w:r>
            <w:r>
              <w:t>tamination may be an issue (for example</w:t>
            </w:r>
            <w:r w:rsidRPr="005323CD">
              <w:t>, clean areas or areas where infectiou</w:t>
            </w:r>
            <w:r>
              <w:t xml:space="preserve">s materials are handled) – such personnel must be given specific training. For further information, refer: </w:t>
            </w:r>
          </w:p>
          <w:p w14:paraId="45E7646C" w14:textId="77777777" w:rsidR="00B41DE2" w:rsidRDefault="00CC4766" w:rsidP="00AF6032">
            <w:pPr>
              <w:pStyle w:val="ListBullet3"/>
              <w:numPr>
                <w:ilvl w:val="0"/>
                <w:numId w:val="0"/>
              </w:numPr>
              <w:spacing w:after="120"/>
              <w:ind w:left="119"/>
            </w:pPr>
            <w:hyperlink r:id="rId40" w:history="1">
              <w:r w:rsidR="00B41DE2" w:rsidRPr="00EB7A33">
                <w:rPr>
                  <w:rStyle w:val="Hyperlink"/>
                </w:rPr>
                <w:t>https://www.tga.gov.au/manufacturing-biologicals</w:t>
              </w:r>
            </w:hyperlink>
            <w:r w:rsidR="00B41DE2">
              <w:t xml:space="preserve"> </w:t>
            </w:r>
          </w:p>
          <w:p w14:paraId="59046C65" w14:textId="77777777" w:rsidR="00B41DE2" w:rsidRPr="00832BAD" w:rsidRDefault="00CC4766" w:rsidP="00AF6032">
            <w:pPr>
              <w:pStyle w:val="ListBullet3"/>
              <w:numPr>
                <w:ilvl w:val="0"/>
                <w:numId w:val="0"/>
              </w:numPr>
              <w:spacing w:after="120"/>
              <w:ind w:left="119"/>
            </w:pPr>
            <w:hyperlink r:id="rId41" w:history="1">
              <w:r w:rsidR="00B41DE2" w:rsidRPr="00CA3D88">
                <w:rPr>
                  <w:rStyle w:val="Hyperlink"/>
                </w:rPr>
                <w:t>https://www.tga.gov.au/manufacturing-blood-and-blood-components</w:t>
              </w:r>
            </w:hyperlink>
          </w:p>
        </w:tc>
      </w:tr>
    </w:tbl>
    <w:p w14:paraId="7505C684" w14:textId="6FE720CD" w:rsidR="00B41DE2" w:rsidRDefault="00B41DE2" w:rsidP="00B41DE2">
      <w:r>
        <w:t>As with</w:t>
      </w:r>
      <w:r w:rsidR="00253709">
        <w:t xml:space="preserve"> the proposed change for</w:t>
      </w:r>
      <w:r>
        <w:t xml:space="preserve"> autologous HCT products, t</w:t>
      </w:r>
      <w:r w:rsidRPr="00061DBE">
        <w:t xml:space="preserve">his change </w:t>
      </w:r>
      <w:r>
        <w:t xml:space="preserve">is </w:t>
      </w:r>
      <w:r w:rsidR="00041B58">
        <w:t xml:space="preserve">likely to reduce the regulatory </w:t>
      </w:r>
      <w:r w:rsidRPr="007576CC">
        <w:rPr>
          <w:b/>
        </w:rPr>
        <w:t>impact</w:t>
      </w:r>
      <w:r w:rsidRPr="00061DBE">
        <w:t xml:space="preserve"> on</w:t>
      </w:r>
      <w:r w:rsidR="00041B58">
        <w:t xml:space="preserve"> affected</w:t>
      </w:r>
      <w:r w:rsidRPr="00061DBE">
        <w:t xml:space="preserve"> sponsors</w:t>
      </w:r>
      <w:r>
        <w:t>.</w:t>
      </w:r>
    </w:p>
    <w:tbl>
      <w:tblPr>
        <w:tblpPr w:leftFromText="180" w:rightFromText="180" w:vertAnchor="text" w:horzAnchor="margin" w:tblpY="98"/>
        <w:tblW w:w="9214" w:type="dxa"/>
        <w:tblLayout w:type="fixed"/>
        <w:tblCellMar>
          <w:left w:w="0" w:type="dxa"/>
          <w:right w:w="0" w:type="dxa"/>
        </w:tblCellMar>
        <w:tblLook w:val="04A0" w:firstRow="1" w:lastRow="0" w:firstColumn="1" w:lastColumn="0" w:noHBand="0" w:noVBand="1"/>
      </w:tblPr>
      <w:tblGrid>
        <w:gridCol w:w="1134"/>
        <w:gridCol w:w="8080"/>
      </w:tblGrid>
      <w:tr w:rsidR="00B41DE2" w:rsidRPr="00796BC5" w14:paraId="240B91A3" w14:textId="77777777" w:rsidTr="00647AB5">
        <w:trPr>
          <w:trHeight w:val="2098"/>
        </w:trPr>
        <w:tc>
          <w:tcPr>
            <w:tcW w:w="1134" w:type="dxa"/>
            <w:vAlign w:val="center"/>
          </w:tcPr>
          <w:p w14:paraId="799D9D93" w14:textId="77777777" w:rsidR="00B41DE2" w:rsidRPr="00796BC5" w:rsidRDefault="00B41DE2" w:rsidP="00E0564F">
            <w:pPr>
              <w:rPr>
                <w:bCs/>
              </w:rPr>
            </w:pPr>
            <w:r w:rsidRPr="00796BC5">
              <w:rPr>
                <w:bCs/>
                <w:noProof/>
                <w:lang w:eastAsia="en-AU"/>
              </w:rPr>
              <w:lastRenderedPageBreak/>
              <w:drawing>
                <wp:inline distT="0" distB="0" distL="0" distR="0" wp14:anchorId="043A664D" wp14:editId="4F7339C4">
                  <wp:extent cx="489600" cy="489600"/>
                  <wp:effectExtent l="0" t="0" r="571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ceyg\AppData\Local\Microsoft\Windows\Temporary Internet Files\Content.IE5\1L6LQT4S\1390060157[1].png"/>
                          <pic:cNvPicPr>
                            <a:picLocks noChangeAspect="1" noChangeArrowheads="1"/>
                          </pic:cNvPicPr>
                        </pic:nvPicPr>
                        <pic:blipFill>
                          <a:blip r:embed="rId34" cstate="print">
                            <a:extLst>
                              <a:ext uri="{28A0092B-C50C-407E-A947-70E740481C1C}">
                                <a14:useLocalDpi xmlns:a14="http://schemas.microsoft.com/office/drawing/2010/main" val="0"/>
                              </a:ext>
                            </a:extLst>
                          </a:blip>
                          <a:stretch>
                            <a:fillRect/>
                          </a:stretch>
                        </pic:blipFill>
                        <pic:spPr bwMode="auto">
                          <a:xfrm>
                            <a:off x="0" y="0"/>
                            <a:ext cx="489600" cy="489600"/>
                          </a:xfrm>
                          <a:prstGeom prst="rect">
                            <a:avLst/>
                          </a:prstGeom>
                          <a:noFill/>
                          <a:ln>
                            <a:noFill/>
                          </a:ln>
                        </pic:spPr>
                      </pic:pic>
                    </a:graphicData>
                  </a:graphic>
                </wp:inline>
              </w:drawing>
            </w:r>
          </w:p>
        </w:tc>
        <w:tc>
          <w:tcPr>
            <w:tcW w:w="8080" w:type="dxa"/>
            <w:shd w:val="clear" w:color="auto" w:fill="EAEAEA"/>
            <w:tcMar>
              <w:top w:w="170" w:type="dxa"/>
              <w:left w:w="170" w:type="dxa"/>
              <w:bottom w:w="170" w:type="dxa"/>
              <w:right w:w="170" w:type="dxa"/>
            </w:tcMar>
          </w:tcPr>
          <w:p w14:paraId="2EB318B3" w14:textId="263C7D89" w:rsidR="00B41DE2" w:rsidRPr="001F2155" w:rsidRDefault="00B41DE2" w:rsidP="00E0564F">
            <w:pPr>
              <w:rPr>
                <w:b/>
                <w:bCs/>
              </w:rPr>
            </w:pPr>
            <w:r w:rsidRPr="001F2155">
              <w:rPr>
                <w:b/>
                <w:bCs/>
              </w:rPr>
              <w:t xml:space="preserve">Question </w:t>
            </w:r>
            <w:r w:rsidR="001F2155" w:rsidRPr="001F2155">
              <w:rPr>
                <w:b/>
                <w:bCs/>
              </w:rPr>
              <w:t>6</w:t>
            </w:r>
            <w:r w:rsidRPr="001F2155">
              <w:rPr>
                <w:b/>
                <w:bCs/>
              </w:rPr>
              <w:t xml:space="preserve">: </w:t>
            </w:r>
            <w:r w:rsidR="002C4508" w:rsidRPr="007C1C7A">
              <w:rPr>
                <w:bCs/>
              </w:rPr>
              <w:t xml:space="preserve"> </w:t>
            </w:r>
            <w:r w:rsidR="002C4508" w:rsidRPr="002C4508">
              <w:rPr>
                <w:b/>
                <w:bCs/>
              </w:rPr>
              <w:t>Do you agree that donor deferral requirements don’t need to be mandated for directed allogeneic HCT products when there is medical or dental practitioner oversight for collection and administration?</w:t>
            </w:r>
            <w:r w:rsidR="002C4508" w:rsidRPr="007C1C7A">
              <w:rPr>
                <w:bCs/>
              </w:rPr>
              <w:t xml:space="preserve"> </w:t>
            </w:r>
          </w:p>
          <w:p w14:paraId="372D2D42" w14:textId="1E15C26B" w:rsidR="001F2155" w:rsidRPr="001F2155" w:rsidRDefault="001F2155" w:rsidP="00E0564F">
            <w:pPr>
              <w:rPr>
                <w:b/>
                <w:bCs/>
              </w:rPr>
            </w:pPr>
            <w:r w:rsidRPr="001F2155">
              <w:rPr>
                <w:b/>
                <w:bCs/>
              </w:rPr>
              <w:t>Question 7: If this proposed change affects you, please explain how.</w:t>
            </w:r>
          </w:p>
          <w:p w14:paraId="27C74E17" w14:textId="01D08427" w:rsidR="00B41DE2" w:rsidRPr="00796BC5" w:rsidRDefault="00B41DE2" w:rsidP="00AF6032">
            <w:pPr>
              <w:spacing w:after="0"/>
              <w:rPr>
                <w:bCs/>
              </w:rPr>
            </w:pPr>
            <w:r w:rsidRPr="00796BC5">
              <w:rPr>
                <w:bCs/>
              </w:rPr>
              <w:t>Note: TGO</w:t>
            </w:r>
            <w:r>
              <w:rPr>
                <w:bCs/>
              </w:rPr>
              <w:t xml:space="preserve"> </w:t>
            </w:r>
            <w:r w:rsidR="00DE41E3">
              <w:rPr>
                <w:bCs/>
              </w:rPr>
              <w:t xml:space="preserve">109 and GMP requirements, </w:t>
            </w:r>
            <w:r w:rsidR="006173C4">
              <w:rPr>
                <w:bCs/>
              </w:rPr>
              <w:t>amongst other regulatory requirements</w:t>
            </w:r>
            <w:r w:rsidR="00DE41E3">
              <w:rPr>
                <w:bCs/>
              </w:rPr>
              <w:t>,</w:t>
            </w:r>
            <w:r w:rsidR="006173C4">
              <w:rPr>
                <w:bCs/>
              </w:rPr>
              <w:t xml:space="preserve"> </w:t>
            </w:r>
            <w:r w:rsidRPr="00796BC5">
              <w:rPr>
                <w:bCs/>
              </w:rPr>
              <w:t xml:space="preserve">will </w:t>
            </w:r>
            <w:r>
              <w:rPr>
                <w:bCs/>
              </w:rPr>
              <w:t xml:space="preserve">still </w:t>
            </w:r>
            <w:r w:rsidRPr="00796BC5">
              <w:rPr>
                <w:bCs/>
              </w:rPr>
              <w:t>a</w:t>
            </w:r>
            <w:r>
              <w:rPr>
                <w:bCs/>
              </w:rPr>
              <w:t>pply to directed allogeneic HCT products</w:t>
            </w:r>
            <w:r>
              <w:t xml:space="preserve"> whose manufacture involves more than minimal manipulation</w:t>
            </w:r>
            <w:r>
              <w:rPr>
                <w:bCs/>
              </w:rPr>
              <w:t>.</w:t>
            </w:r>
          </w:p>
        </w:tc>
      </w:tr>
    </w:tbl>
    <w:p w14:paraId="5C95EDE1" w14:textId="61567241" w:rsidR="00987248" w:rsidRDefault="009B13D5" w:rsidP="00647AB5">
      <w:pPr>
        <w:pStyle w:val="Heading3"/>
        <w:spacing w:before="400"/>
      </w:pPr>
      <w:bookmarkStart w:id="17" w:name="_Toc72918419"/>
      <w:r>
        <w:t>3</w:t>
      </w:r>
      <w:r w:rsidR="00D0307F">
        <w:t xml:space="preserve">. </w:t>
      </w:r>
      <w:r w:rsidR="00DA38BB">
        <w:t xml:space="preserve">Deferral period for </w:t>
      </w:r>
      <w:r w:rsidR="00987248" w:rsidRPr="000D11BA">
        <w:t>donor</w:t>
      </w:r>
      <w:r w:rsidR="00FF7DF8" w:rsidRPr="000D11BA">
        <w:t>s</w:t>
      </w:r>
      <w:r w:rsidR="00987248" w:rsidRPr="000D11BA">
        <w:t xml:space="preserve"> with high-risk sexual behaviour</w:t>
      </w:r>
      <w:bookmarkEnd w:id="17"/>
    </w:p>
    <w:p w14:paraId="53CC6473" w14:textId="77777777" w:rsidR="00DA38BB" w:rsidRDefault="00DA38BB" w:rsidP="00647AB5">
      <w:pPr>
        <w:pStyle w:val="Heading4"/>
        <w:spacing w:before="240"/>
      </w:pPr>
      <w:r>
        <w:t>Background</w:t>
      </w:r>
    </w:p>
    <w:p w14:paraId="660ED448" w14:textId="23A704AC" w:rsidR="00DA38BB" w:rsidRDefault="00686C4F" w:rsidP="0051007C">
      <w:r w:rsidRPr="0051007C">
        <w:t>TGA</w:t>
      </w:r>
      <w:r>
        <w:t xml:space="preserve"> recently</w:t>
      </w:r>
      <w:r w:rsidRPr="0051007C">
        <w:t xml:space="preserve"> granted </w:t>
      </w:r>
      <w:r>
        <w:t xml:space="preserve">an </w:t>
      </w:r>
      <w:r w:rsidRPr="0051007C">
        <w:t>exemption</w:t>
      </w:r>
      <w:r>
        <w:t xml:space="preserve"> </w:t>
      </w:r>
      <w:r w:rsidRPr="0051007C">
        <w:t xml:space="preserve">to </w:t>
      </w:r>
      <w:r>
        <w:t xml:space="preserve">Australian Red Cross </w:t>
      </w:r>
      <w:r w:rsidRPr="0051007C">
        <w:t xml:space="preserve">Lifeblood </w:t>
      </w:r>
      <w:r w:rsidRPr="0051007C">
        <w:rPr>
          <w:iCs/>
        </w:rPr>
        <w:t xml:space="preserve">to reduce the </w:t>
      </w:r>
      <w:r>
        <w:rPr>
          <w:iCs/>
        </w:rPr>
        <w:t xml:space="preserve">donor </w:t>
      </w:r>
      <w:r w:rsidRPr="0051007C">
        <w:rPr>
          <w:iCs/>
        </w:rPr>
        <w:t xml:space="preserve">deferral period </w:t>
      </w:r>
      <w:r>
        <w:rPr>
          <w:iCs/>
        </w:rPr>
        <w:t>for blood/</w:t>
      </w:r>
      <w:r w:rsidRPr="0051007C">
        <w:rPr>
          <w:iCs/>
        </w:rPr>
        <w:t>pla</w:t>
      </w:r>
      <w:r>
        <w:rPr>
          <w:iCs/>
        </w:rPr>
        <w:t>sma donors with high-risk</w:t>
      </w:r>
      <w:r w:rsidRPr="0051007C">
        <w:rPr>
          <w:iCs/>
        </w:rPr>
        <w:t xml:space="preserve"> sexual </w:t>
      </w:r>
      <w:r>
        <w:rPr>
          <w:iCs/>
        </w:rPr>
        <w:t>behaviours</w:t>
      </w:r>
      <w:r w:rsidRPr="0051007C">
        <w:rPr>
          <w:iCs/>
        </w:rPr>
        <w:t xml:space="preserve"> from 12</w:t>
      </w:r>
      <w:r>
        <w:rPr>
          <w:iCs/>
        </w:rPr>
        <w:t xml:space="preserve"> months</w:t>
      </w:r>
      <w:r w:rsidRPr="0051007C">
        <w:rPr>
          <w:iCs/>
        </w:rPr>
        <w:t xml:space="preserve"> to </w:t>
      </w:r>
      <w:r w:rsidR="001F2155">
        <w:rPr>
          <w:iCs/>
        </w:rPr>
        <w:t>3</w:t>
      </w:r>
      <w:r w:rsidR="00DC2586">
        <w:rPr>
          <w:iCs/>
        </w:rPr>
        <w:t xml:space="preserve"> </w:t>
      </w:r>
      <w:r w:rsidRPr="0051007C">
        <w:rPr>
          <w:iCs/>
        </w:rPr>
        <w:t>months since the last sexual contact</w:t>
      </w:r>
      <w:r w:rsidRPr="0051007C">
        <w:t>.</w:t>
      </w:r>
      <w:r w:rsidRPr="0051007C">
        <w:rPr>
          <w:lang w:val="en"/>
        </w:rPr>
        <w:t xml:space="preserve"> Th</w:t>
      </w:r>
      <w:r>
        <w:rPr>
          <w:lang w:val="en"/>
        </w:rPr>
        <w:t xml:space="preserve">is exemption </w:t>
      </w:r>
      <w:r w:rsidR="00E750A9">
        <w:rPr>
          <w:lang w:val="en"/>
        </w:rPr>
        <w:t xml:space="preserve">was </w:t>
      </w:r>
      <w:r>
        <w:rPr>
          <w:lang w:val="en"/>
        </w:rPr>
        <w:t>based on a risk analysis</w:t>
      </w:r>
      <w:r w:rsidRPr="0051007C">
        <w:rPr>
          <w:lang w:val="en"/>
        </w:rPr>
        <w:t xml:space="preserve"> </w:t>
      </w:r>
      <w:r>
        <w:rPr>
          <w:lang w:val="en"/>
        </w:rPr>
        <w:t>and used</w:t>
      </w:r>
      <w:r w:rsidRPr="0051007C">
        <w:rPr>
          <w:lang w:val="en"/>
        </w:rPr>
        <w:t xml:space="preserve"> scientific, clinical and epidemiologi</w:t>
      </w:r>
      <w:r>
        <w:rPr>
          <w:lang w:val="en"/>
        </w:rPr>
        <w:t xml:space="preserve">cal data submitted by Lifeblood, </w:t>
      </w:r>
      <w:r w:rsidRPr="0051007C">
        <w:rPr>
          <w:lang w:val="en"/>
        </w:rPr>
        <w:t>and informed by data from other countries.</w:t>
      </w:r>
      <w:r>
        <w:t xml:space="preserve"> The analysis showed that</w:t>
      </w:r>
      <w:r w:rsidRPr="0051007C">
        <w:t xml:space="preserve"> the major</w:t>
      </w:r>
      <w:r>
        <w:t>ity of the transfusion-transmitted infection</w:t>
      </w:r>
      <w:r w:rsidRPr="0051007C">
        <w:t xml:space="preserve"> risk comes from donors with new</w:t>
      </w:r>
      <w:r>
        <w:t xml:space="preserve">ly-acquired blood </w:t>
      </w:r>
      <w:r w:rsidRPr="0051007C">
        <w:t xml:space="preserve">borne infections donating during the </w:t>
      </w:r>
      <w:r>
        <w:t xml:space="preserve">so-called ‘window period’. </w:t>
      </w:r>
      <w:r w:rsidRPr="0051007C">
        <w:t>To minimise this risk</w:t>
      </w:r>
      <w:r>
        <w:t>,</w:t>
      </w:r>
      <w:r w:rsidRPr="0051007C">
        <w:t xml:space="preserve"> </w:t>
      </w:r>
      <w:r w:rsidR="00E750A9">
        <w:t>a</w:t>
      </w:r>
      <w:r>
        <w:t xml:space="preserve"> </w:t>
      </w:r>
      <w:r w:rsidR="00041B58">
        <w:t>three</w:t>
      </w:r>
      <w:r>
        <w:t xml:space="preserve"> month</w:t>
      </w:r>
      <w:r w:rsidRPr="0051007C">
        <w:t xml:space="preserve"> donor deferral period </w:t>
      </w:r>
      <w:r>
        <w:t>is acceptable</w:t>
      </w:r>
      <w:r w:rsidR="00E374E2">
        <w:t xml:space="preserve"> provided</w:t>
      </w:r>
      <w:r>
        <w:t xml:space="preserve"> donor testing</w:t>
      </w:r>
      <w:r w:rsidR="003F2B4D">
        <w:t xml:space="preserve"> includes </w:t>
      </w:r>
      <w:r w:rsidR="004C04BA">
        <w:t>nucleic acid testing (</w:t>
      </w:r>
      <w:r w:rsidR="003F2B4D">
        <w:t>NAT</w:t>
      </w:r>
      <w:r w:rsidR="004C04BA">
        <w:t>)</w:t>
      </w:r>
      <w:r w:rsidR="008A40B6">
        <w:t xml:space="preserve"> for HIV-1/2, HBV and HCV</w:t>
      </w:r>
      <w:r>
        <w:t>.</w:t>
      </w:r>
    </w:p>
    <w:p w14:paraId="453FD399" w14:textId="1EF2067D" w:rsidR="00DA38BB" w:rsidRDefault="00DA38BB" w:rsidP="00AF6032">
      <w:pPr>
        <w:pStyle w:val="Heading4"/>
        <w:spacing w:before="300"/>
      </w:pPr>
      <w:r>
        <w:t>Proposal</w:t>
      </w:r>
    </w:p>
    <w:p w14:paraId="36490B5C" w14:textId="5C0DDDFD" w:rsidR="00105686" w:rsidRDefault="004265EF" w:rsidP="00105686">
      <w:r w:rsidRPr="0051007C">
        <w:t>It is proposed to extend the exemption for donors</w:t>
      </w:r>
      <w:r>
        <w:t xml:space="preserve"> </w:t>
      </w:r>
      <w:r>
        <w:rPr>
          <w:iCs/>
        </w:rPr>
        <w:t>with high-risk</w:t>
      </w:r>
      <w:r w:rsidRPr="0051007C">
        <w:rPr>
          <w:iCs/>
        </w:rPr>
        <w:t xml:space="preserve"> sexual </w:t>
      </w:r>
      <w:r>
        <w:rPr>
          <w:iCs/>
        </w:rPr>
        <w:t>behaviours</w:t>
      </w:r>
      <w:r w:rsidRPr="0051007C">
        <w:rPr>
          <w:iCs/>
        </w:rPr>
        <w:t xml:space="preserve"> from 12</w:t>
      </w:r>
      <w:r>
        <w:rPr>
          <w:iCs/>
        </w:rPr>
        <w:t xml:space="preserve"> months</w:t>
      </w:r>
      <w:r w:rsidRPr="0051007C">
        <w:rPr>
          <w:iCs/>
        </w:rPr>
        <w:t xml:space="preserve"> to </w:t>
      </w:r>
      <w:r w:rsidR="001F2155">
        <w:rPr>
          <w:iCs/>
        </w:rPr>
        <w:t>3</w:t>
      </w:r>
      <w:r w:rsidRPr="0051007C">
        <w:rPr>
          <w:iCs/>
        </w:rPr>
        <w:t xml:space="preserve"> months since the last sexual contact</w:t>
      </w:r>
      <w:r>
        <w:t xml:space="preserve"> to all HCT material, that is, not just blood/plasma. This exemption is provided these donors are screened as per requirements specified in TGO 108, that is, where donor testing includes NAT.</w:t>
      </w:r>
    </w:p>
    <w:tbl>
      <w:tblPr>
        <w:tblpPr w:leftFromText="180" w:rightFromText="180" w:vertAnchor="text" w:horzAnchor="margin" w:tblpY="98"/>
        <w:tblW w:w="9214" w:type="dxa"/>
        <w:tblLayout w:type="fixed"/>
        <w:tblCellMar>
          <w:left w:w="0" w:type="dxa"/>
          <w:right w:w="0" w:type="dxa"/>
        </w:tblCellMar>
        <w:tblLook w:val="04A0" w:firstRow="1" w:lastRow="0" w:firstColumn="1" w:lastColumn="0" w:noHBand="0" w:noVBand="1"/>
      </w:tblPr>
      <w:tblGrid>
        <w:gridCol w:w="1134"/>
        <w:gridCol w:w="8080"/>
      </w:tblGrid>
      <w:tr w:rsidR="00105686" w:rsidRPr="00796BC5" w14:paraId="0B1C10B3" w14:textId="77777777" w:rsidTr="00AF6032">
        <w:trPr>
          <w:trHeight w:val="1669"/>
        </w:trPr>
        <w:tc>
          <w:tcPr>
            <w:tcW w:w="1134" w:type="dxa"/>
            <w:vAlign w:val="center"/>
          </w:tcPr>
          <w:p w14:paraId="2B459719" w14:textId="77777777" w:rsidR="00105686" w:rsidRPr="00796BC5" w:rsidRDefault="00105686" w:rsidP="00105686">
            <w:pPr>
              <w:rPr>
                <w:bCs/>
              </w:rPr>
            </w:pPr>
            <w:r w:rsidRPr="00796BC5">
              <w:rPr>
                <w:bCs/>
                <w:noProof/>
                <w:lang w:eastAsia="en-AU"/>
              </w:rPr>
              <w:drawing>
                <wp:inline distT="0" distB="0" distL="0" distR="0" wp14:anchorId="39016FF9" wp14:editId="073179C7">
                  <wp:extent cx="489600" cy="489600"/>
                  <wp:effectExtent l="0" t="0" r="5715" b="57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ceyg\AppData\Local\Microsoft\Windows\Temporary Internet Files\Content.IE5\1L6LQT4S\1390060157[1].png"/>
                          <pic:cNvPicPr>
                            <a:picLocks noChangeAspect="1" noChangeArrowheads="1"/>
                          </pic:cNvPicPr>
                        </pic:nvPicPr>
                        <pic:blipFill>
                          <a:blip r:embed="rId34" cstate="print">
                            <a:extLst>
                              <a:ext uri="{28A0092B-C50C-407E-A947-70E740481C1C}">
                                <a14:useLocalDpi xmlns:a14="http://schemas.microsoft.com/office/drawing/2010/main" val="0"/>
                              </a:ext>
                            </a:extLst>
                          </a:blip>
                          <a:stretch>
                            <a:fillRect/>
                          </a:stretch>
                        </pic:blipFill>
                        <pic:spPr bwMode="auto">
                          <a:xfrm>
                            <a:off x="0" y="0"/>
                            <a:ext cx="489600" cy="489600"/>
                          </a:xfrm>
                          <a:prstGeom prst="rect">
                            <a:avLst/>
                          </a:prstGeom>
                          <a:noFill/>
                          <a:ln>
                            <a:noFill/>
                          </a:ln>
                        </pic:spPr>
                      </pic:pic>
                    </a:graphicData>
                  </a:graphic>
                </wp:inline>
              </w:drawing>
            </w:r>
          </w:p>
        </w:tc>
        <w:tc>
          <w:tcPr>
            <w:tcW w:w="8080" w:type="dxa"/>
            <w:shd w:val="clear" w:color="auto" w:fill="EAEAEA"/>
            <w:tcMar>
              <w:top w:w="170" w:type="dxa"/>
              <w:left w:w="170" w:type="dxa"/>
              <w:bottom w:w="170" w:type="dxa"/>
              <w:right w:w="170" w:type="dxa"/>
            </w:tcMar>
          </w:tcPr>
          <w:p w14:paraId="70FD182E" w14:textId="5C28F4B7" w:rsidR="00105686" w:rsidRPr="001F2155" w:rsidRDefault="00105686" w:rsidP="00AF6032">
            <w:pPr>
              <w:spacing w:after="120" w:line="240" w:lineRule="auto"/>
              <w:rPr>
                <w:b/>
                <w:bCs/>
              </w:rPr>
            </w:pPr>
            <w:r w:rsidRPr="001F2155">
              <w:rPr>
                <w:b/>
                <w:bCs/>
              </w:rPr>
              <w:t xml:space="preserve">Question </w:t>
            </w:r>
            <w:r w:rsidR="001F2155" w:rsidRPr="001F2155">
              <w:rPr>
                <w:b/>
                <w:bCs/>
              </w:rPr>
              <w:t>8</w:t>
            </w:r>
            <w:r w:rsidRPr="001F2155">
              <w:rPr>
                <w:b/>
                <w:bCs/>
              </w:rPr>
              <w:t xml:space="preserve">: </w:t>
            </w:r>
            <w:r w:rsidR="002D10E1" w:rsidRPr="007C1C7A">
              <w:rPr>
                <w:bCs/>
              </w:rPr>
              <w:t xml:space="preserve"> </w:t>
            </w:r>
            <w:r w:rsidR="002D10E1" w:rsidRPr="002D10E1">
              <w:rPr>
                <w:b/>
                <w:bCs/>
              </w:rPr>
              <w:t>Do you agree that the deferral period for donors with high-risk sexual risk behaviours can be reduced from 12 months to three months for all HCT donors provided that donor testing is the same as for blood donors and includes NAT?</w:t>
            </w:r>
            <w:r w:rsidR="002D10E1" w:rsidRPr="007C1C7A">
              <w:rPr>
                <w:bCs/>
              </w:rPr>
              <w:t xml:space="preserve"> </w:t>
            </w:r>
          </w:p>
          <w:p w14:paraId="684DC8C5" w14:textId="636EA8BE" w:rsidR="001F2155" w:rsidRPr="00105686" w:rsidRDefault="001F2155" w:rsidP="00AF6032">
            <w:pPr>
              <w:spacing w:after="120" w:line="240" w:lineRule="auto"/>
              <w:rPr>
                <w:b/>
                <w:bCs/>
              </w:rPr>
            </w:pPr>
            <w:r>
              <w:rPr>
                <w:b/>
                <w:bCs/>
              </w:rPr>
              <w:t xml:space="preserve">Question 9: </w:t>
            </w:r>
            <w:r w:rsidRPr="001F2155">
              <w:rPr>
                <w:b/>
                <w:bCs/>
              </w:rPr>
              <w:t>If this proposed change affects you, please explain how</w:t>
            </w:r>
            <w:r>
              <w:rPr>
                <w:b/>
                <w:bCs/>
              </w:rPr>
              <w:t>.</w:t>
            </w:r>
          </w:p>
        </w:tc>
      </w:tr>
    </w:tbl>
    <w:p w14:paraId="5BCAB0F4" w14:textId="2A78A35A" w:rsidR="00D0307F" w:rsidRDefault="00105686" w:rsidP="00647AB5">
      <w:pPr>
        <w:pStyle w:val="Heading3"/>
        <w:spacing w:before="400"/>
      </w:pPr>
      <w:bookmarkStart w:id="18" w:name="_Toc72918420"/>
      <w:r>
        <w:t xml:space="preserve">4. </w:t>
      </w:r>
      <w:r w:rsidR="00093C3F">
        <w:t>M</w:t>
      </w:r>
      <w:r w:rsidR="00D0307F">
        <w:t>alaria donor deferral criteria</w:t>
      </w:r>
      <w:bookmarkEnd w:id="18"/>
    </w:p>
    <w:p w14:paraId="6D2BF797" w14:textId="77777777" w:rsidR="00DA38BB" w:rsidRDefault="00DA38BB" w:rsidP="00647AB5">
      <w:pPr>
        <w:pStyle w:val="Heading4"/>
        <w:spacing w:before="240"/>
      </w:pPr>
      <w:r>
        <w:t>Background</w:t>
      </w:r>
    </w:p>
    <w:p w14:paraId="5AE9AC58" w14:textId="630254D8" w:rsidR="00DA38BB" w:rsidRDefault="00B74E41" w:rsidP="00647AB5">
      <w:pPr>
        <w:spacing w:after="0"/>
      </w:pPr>
      <w:r>
        <w:t>TGO 88</w:t>
      </w:r>
      <w:r w:rsidRPr="00F84512">
        <w:t xml:space="preserve"> defers donors who have</w:t>
      </w:r>
      <w:r>
        <w:t xml:space="preserve"> had</w:t>
      </w:r>
      <w:r w:rsidRPr="00F84512">
        <w:t xml:space="preserve"> </w:t>
      </w:r>
      <w:r>
        <w:t xml:space="preserve">potential </w:t>
      </w:r>
      <w:r w:rsidRPr="00F84512">
        <w:t xml:space="preserve">exposure to malaria unless they test negative with </w:t>
      </w:r>
      <w:r w:rsidRPr="00711C6D">
        <w:t>a validated immunological test.</w:t>
      </w:r>
      <w:r w:rsidR="007576CC" w:rsidRPr="00711C6D">
        <w:rPr>
          <w:rStyle w:val="FootnoteReference"/>
        </w:rPr>
        <w:footnoteReference w:id="3"/>
      </w:r>
      <w:r w:rsidR="004265EF" w:rsidRPr="00711C6D">
        <w:t xml:space="preserve"> </w:t>
      </w:r>
      <w:r w:rsidR="006F7C11" w:rsidRPr="00711C6D">
        <w:t>TGA acknowledges that clearance of malarial parasites from HCT materials could be an alternative to this</w:t>
      </w:r>
      <w:r w:rsidR="004265EF" w:rsidRPr="007F47CB">
        <w:t xml:space="preserve"> requirement. </w:t>
      </w:r>
      <w:r w:rsidRPr="007F47CB">
        <w:t xml:space="preserve">Recognising the sensitivity of the malaria parasite to gamma irradiation, HCT material subjected to </w:t>
      </w:r>
      <w:r w:rsidR="004265EF" w:rsidRPr="007F47CB">
        <w:t xml:space="preserve">irradiation with ≥ </w:t>
      </w:r>
      <w:r w:rsidRPr="007F47CB">
        <w:t xml:space="preserve">25 </w:t>
      </w:r>
      <w:r w:rsidR="004265EF" w:rsidRPr="007F47CB">
        <w:t>kGy</w:t>
      </w:r>
      <w:r w:rsidRPr="007F47CB">
        <w:t xml:space="preserve"> during manufacture of the HCT product</w:t>
      </w:r>
      <w:r>
        <w:t xml:space="preserve"> appears sufficient to clear malaria parasites. Similarly, if the HCT product </w:t>
      </w:r>
      <w:r w:rsidR="000C7B8A">
        <w:t xml:space="preserve">from such a donor </w:t>
      </w:r>
      <w:r>
        <w:t xml:space="preserve">will be terminally sterilised, </w:t>
      </w:r>
      <w:r w:rsidR="000C7B8A">
        <w:t xml:space="preserve">the risk of malaria transmission is </w:t>
      </w:r>
      <w:r w:rsidR="005323D9">
        <w:t xml:space="preserve">likely </w:t>
      </w:r>
      <w:r w:rsidR="000C7B8A">
        <w:t>low.</w:t>
      </w:r>
    </w:p>
    <w:p w14:paraId="24249117" w14:textId="00831019" w:rsidR="00DA38BB" w:rsidRDefault="00DA38BB" w:rsidP="00DA38BB">
      <w:pPr>
        <w:pStyle w:val="Heading4"/>
      </w:pPr>
      <w:r>
        <w:lastRenderedPageBreak/>
        <w:t>Proposal</w:t>
      </w:r>
    </w:p>
    <w:p w14:paraId="3916FDDE" w14:textId="2213EF60" w:rsidR="00244EAE" w:rsidRDefault="00244EAE" w:rsidP="00D07682">
      <w:r>
        <w:t xml:space="preserve">We propose that </w:t>
      </w:r>
      <w:r w:rsidR="00B51B04" w:rsidRPr="00244EAE">
        <w:t xml:space="preserve">donors </w:t>
      </w:r>
      <w:r w:rsidR="00B74E41" w:rsidRPr="00F84512">
        <w:t>who have</w:t>
      </w:r>
      <w:r w:rsidR="00B74E41">
        <w:t xml:space="preserve"> had</w:t>
      </w:r>
      <w:r w:rsidR="00B74E41" w:rsidRPr="00F84512">
        <w:t xml:space="preserve"> </w:t>
      </w:r>
      <w:r w:rsidR="00B74E41">
        <w:t xml:space="preserve">potential </w:t>
      </w:r>
      <w:r w:rsidR="00B74E41" w:rsidRPr="00F84512">
        <w:t xml:space="preserve">exposure to malaria </w:t>
      </w:r>
      <w:r w:rsidR="00027C2D">
        <w:t xml:space="preserve">may be </w:t>
      </w:r>
      <w:r w:rsidR="00027C2D" w:rsidRPr="00244EAE">
        <w:t>accept</w:t>
      </w:r>
      <w:r w:rsidR="00027C2D">
        <w:t>ed</w:t>
      </w:r>
      <w:r w:rsidR="00027C2D" w:rsidRPr="00244EAE">
        <w:t xml:space="preserve"> </w:t>
      </w:r>
      <w:r w:rsidR="00B51B04" w:rsidRPr="00244EAE">
        <w:t>wi</w:t>
      </w:r>
      <w:r w:rsidR="00B51B04">
        <w:t>thout a</w:t>
      </w:r>
      <w:r w:rsidR="00A60D86">
        <w:t>ny</w:t>
      </w:r>
      <w:r w:rsidR="00B51B04">
        <w:t xml:space="preserve"> deferral period </w:t>
      </w:r>
      <w:r w:rsidR="00B51B04" w:rsidRPr="00244EAE">
        <w:t xml:space="preserve">if the </w:t>
      </w:r>
      <w:r w:rsidR="00B51B04">
        <w:t>HCT material</w:t>
      </w:r>
      <w:r w:rsidR="00B74E41">
        <w:t xml:space="preserve"> </w:t>
      </w:r>
      <w:r w:rsidR="004265EF">
        <w:t xml:space="preserve">will, </w:t>
      </w:r>
      <w:r w:rsidR="006F7C11">
        <w:t>during manufacture</w:t>
      </w:r>
      <w:r w:rsidR="004265EF">
        <w:t>,</w:t>
      </w:r>
      <w:r w:rsidR="006F7C11">
        <w:t xml:space="preserve"> have additional treatme</w:t>
      </w:r>
      <w:r w:rsidR="004265EF">
        <w:t xml:space="preserve">nts of </w:t>
      </w:r>
      <w:r w:rsidR="000C7B8A">
        <w:t>either:</w:t>
      </w:r>
    </w:p>
    <w:p w14:paraId="5DD99C31" w14:textId="391DBB8F" w:rsidR="004265EF" w:rsidRDefault="009765AC" w:rsidP="004265EF">
      <w:pPr>
        <w:numPr>
          <w:ilvl w:val="0"/>
          <w:numId w:val="24"/>
        </w:numPr>
      </w:pPr>
      <w:r w:rsidRPr="00B74E41">
        <w:t xml:space="preserve">a </w:t>
      </w:r>
      <w:r w:rsidR="00FC4C00" w:rsidRPr="00B74E41">
        <w:t xml:space="preserve">terminal sterilisation process </w:t>
      </w:r>
      <w:r w:rsidRPr="00B74E41">
        <w:t xml:space="preserve">during </w:t>
      </w:r>
      <w:r w:rsidR="00FC4C00" w:rsidRPr="00B74E41">
        <w:t>manufacture of the HCT product</w:t>
      </w:r>
      <w:r w:rsidR="00112EB5">
        <w:t xml:space="preserve">, which must be validated to ensure a maximal </w:t>
      </w:r>
      <w:r w:rsidR="004265EF">
        <w:t>sterility assurance level of 10</w:t>
      </w:r>
      <w:r w:rsidR="004265EF" w:rsidRPr="007A6E5C">
        <w:rPr>
          <w:vertAlign w:val="superscript"/>
        </w:rPr>
        <w:t>-6</w:t>
      </w:r>
    </w:p>
    <w:p w14:paraId="2EAE9441" w14:textId="5A565E80" w:rsidR="008A40B6" w:rsidRDefault="004265EF" w:rsidP="004265EF">
      <w:pPr>
        <w:numPr>
          <w:ilvl w:val="0"/>
          <w:numId w:val="24"/>
        </w:numPr>
      </w:pPr>
      <w:r>
        <w:t>≥ 25 kGy of gamma irradiation as an additional manufacturing step</w:t>
      </w:r>
    </w:p>
    <w:tbl>
      <w:tblPr>
        <w:tblpPr w:leftFromText="180" w:rightFromText="180" w:vertAnchor="text" w:horzAnchor="margin" w:tblpY="98"/>
        <w:tblW w:w="9072" w:type="dxa"/>
        <w:tblLayout w:type="fixed"/>
        <w:tblCellMar>
          <w:left w:w="0" w:type="dxa"/>
          <w:right w:w="0" w:type="dxa"/>
        </w:tblCellMar>
        <w:tblLook w:val="04A0" w:firstRow="1" w:lastRow="0" w:firstColumn="1" w:lastColumn="0" w:noHBand="0" w:noVBand="1"/>
      </w:tblPr>
      <w:tblGrid>
        <w:gridCol w:w="1134"/>
        <w:gridCol w:w="7938"/>
      </w:tblGrid>
      <w:tr w:rsidR="00105686" w:rsidRPr="00796BC5" w14:paraId="612B6A11" w14:textId="77777777" w:rsidTr="00105686">
        <w:trPr>
          <w:trHeight w:val="821"/>
        </w:trPr>
        <w:tc>
          <w:tcPr>
            <w:tcW w:w="1134" w:type="dxa"/>
            <w:vAlign w:val="center"/>
          </w:tcPr>
          <w:p w14:paraId="735E1AD6" w14:textId="77777777" w:rsidR="00105686" w:rsidRPr="00796BC5" w:rsidRDefault="00105686" w:rsidP="00105686">
            <w:pPr>
              <w:rPr>
                <w:bCs/>
              </w:rPr>
            </w:pPr>
            <w:r w:rsidRPr="00796BC5">
              <w:rPr>
                <w:bCs/>
                <w:noProof/>
                <w:lang w:eastAsia="en-AU"/>
              </w:rPr>
              <w:drawing>
                <wp:inline distT="0" distB="0" distL="0" distR="0" wp14:anchorId="299736CE" wp14:editId="291E4212">
                  <wp:extent cx="489600" cy="489600"/>
                  <wp:effectExtent l="0" t="0" r="5715" b="571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ceyg\AppData\Local\Microsoft\Windows\Temporary Internet Files\Content.IE5\1L6LQT4S\1390060157[1].png"/>
                          <pic:cNvPicPr>
                            <a:picLocks noChangeAspect="1" noChangeArrowheads="1"/>
                          </pic:cNvPicPr>
                        </pic:nvPicPr>
                        <pic:blipFill>
                          <a:blip r:embed="rId34" cstate="print">
                            <a:extLst>
                              <a:ext uri="{28A0092B-C50C-407E-A947-70E740481C1C}">
                                <a14:useLocalDpi xmlns:a14="http://schemas.microsoft.com/office/drawing/2010/main" val="0"/>
                              </a:ext>
                            </a:extLst>
                          </a:blip>
                          <a:stretch>
                            <a:fillRect/>
                          </a:stretch>
                        </pic:blipFill>
                        <pic:spPr bwMode="auto">
                          <a:xfrm>
                            <a:off x="0" y="0"/>
                            <a:ext cx="489600" cy="489600"/>
                          </a:xfrm>
                          <a:prstGeom prst="rect">
                            <a:avLst/>
                          </a:prstGeom>
                          <a:noFill/>
                          <a:ln>
                            <a:noFill/>
                          </a:ln>
                        </pic:spPr>
                      </pic:pic>
                    </a:graphicData>
                  </a:graphic>
                </wp:inline>
              </w:drawing>
            </w:r>
          </w:p>
        </w:tc>
        <w:tc>
          <w:tcPr>
            <w:tcW w:w="7938" w:type="dxa"/>
            <w:shd w:val="clear" w:color="auto" w:fill="EAEAEA"/>
            <w:tcMar>
              <w:top w:w="170" w:type="dxa"/>
              <w:left w:w="170" w:type="dxa"/>
              <w:bottom w:w="170" w:type="dxa"/>
              <w:right w:w="170" w:type="dxa"/>
            </w:tcMar>
          </w:tcPr>
          <w:p w14:paraId="7C3871F5" w14:textId="3D81C967" w:rsidR="00105686" w:rsidRPr="001F2155" w:rsidRDefault="00105686" w:rsidP="00105686">
            <w:pPr>
              <w:rPr>
                <w:b/>
                <w:bCs/>
              </w:rPr>
            </w:pPr>
            <w:r w:rsidRPr="001F2155">
              <w:rPr>
                <w:b/>
                <w:bCs/>
              </w:rPr>
              <w:t xml:space="preserve">Question </w:t>
            </w:r>
            <w:r w:rsidR="001F2155" w:rsidRPr="001F2155">
              <w:rPr>
                <w:b/>
                <w:bCs/>
              </w:rPr>
              <w:t>10</w:t>
            </w:r>
            <w:r w:rsidRPr="001F2155">
              <w:rPr>
                <w:b/>
                <w:bCs/>
              </w:rPr>
              <w:t xml:space="preserve">: </w:t>
            </w:r>
            <w:r w:rsidR="001F2155" w:rsidRPr="001F2155">
              <w:rPr>
                <w:b/>
                <w:bCs/>
              </w:rPr>
              <w:t>Do you agree that donors who have had potential exposure to malaria may be accepted without any deferral period if the HCT material will, during manufacture, have additional treatments of either</w:t>
            </w:r>
            <w:r w:rsidR="00AF672B" w:rsidRPr="001F2155">
              <w:rPr>
                <w:b/>
                <w:bCs/>
              </w:rPr>
              <w:t>:</w:t>
            </w:r>
          </w:p>
          <w:p w14:paraId="7604C31F" w14:textId="79C836C1" w:rsidR="00AF672B" w:rsidRPr="001F2155" w:rsidRDefault="001F2155" w:rsidP="00647AB5">
            <w:pPr>
              <w:pStyle w:val="ListParagraph"/>
              <w:numPr>
                <w:ilvl w:val="0"/>
                <w:numId w:val="33"/>
              </w:numPr>
              <w:ind w:left="673" w:hanging="425"/>
              <w:rPr>
                <w:b/>
                <w:bCs/>
              </w:rPr>
            </w:pPr>
            <w:r w:rsidRPr="001F2155">
              <w:rPr>
                <w:b/>
                <w:bCs/>
              </w:rPr>
              <w:t xml:space="preserve">a terminal sterilisation process during manufacture of the HCT product, which must be validated to ensure a maximal sterility assurance level of </w:t>
            </w:r>
            <w:r w:rsidR="00AF672B" w:rsidRPr="001F2155">
              <w:rPr>
                <w:b/>
                <w:bCs/>
              </w:rPr>
              <w:t>10</w:t>
            </w:r>
            <w:r w:rsidR="00AF672B" w:rsidRPr="001F2155">
              <w:rPr>
                <w:b/>
                <w:bCs/>
                <w:vertAlign w:val="superscript"/>
              </w:rPr>
              <w:t>-6</w:t>
            </w:r>
            <w:r w:rsidR="00AF672B" w:rsidRPr="001F2155">
              <w:rPr>
                <w:b/>
                <w:bCs/>
              </w:rPr>
              <w:t>; or</w:t>
            </w:r>
          </w:p>
          <w:p w14:paraId="4A7048D7" w14:textId="5EB3C96E" w:rsidR="00AF672B" w:rsidRPr="001F2155" w:rsidRDefault="00AF672B" w:rsidP="00647AB5">
            <w:pPr>
              <w:pStyle w:val="ListParagraph"/>
              <w:numPr>
                <w:ilvl w:val="0"/>
                <w:numId w:val="33"/>
              </w:numPr>
              <w:ind w:left="673" w:hanging="425"/>
              <w:rPr>
                <w:b/>
                <w:bCs/>
              </w:rPr>
            </w:pPr>
            <w:r w:rsidRPr="001F2155">
              <w:rPr>
                <w:b/>
              </w:rPr>
              <w:t xml:space="preserve">≥ 25 kGy of </w:t>
            </w:r>
            <w:r w:rsidR="001F2155" w:rsidRPr="001F2155">
              <w:rPr>
                <w:b/>
              </w:rPr>
              <w:t>gamma irradiation as an additional manufacturing step</w:t>
            </w:r>
            <w:r w:rsidRPr="001F2155">
              <w:rPr>
                <w:b/>
              </w:rPr>
              <w:t>?</w:t>
            </w:r>
          </w:p>
          <w:p w14:paraId="1C78CBB4" w14:textId="3D2B5CCC" w:rsidR="00105686" w:rsidRPr="00AF672B" w:rsidRDefault="001F2155" w:rsidP="001F2155">
            <w:pPr>
              <w:rPr>
                <w:b/>
                <w:bCs/>
              </w:rPr>
            </w:pPr>
            <w:r>
              <w:rPr>
                <w:b/>
              </w:rPr>
              <w:t xml:space="preserve">Question 11: </w:t>
            </w:r>
            <w:r>
              <w:rPr>
                <w:b/>
                <w:bCs/>
              </w:rPr>
              <w:t xml:space="preserve">If </w:t>
            </w:r>
            <w:r w:rsidRPr="001F2155">
              <w:rPr>
                <w:b/>
                <w:bCs/>
              </w:rPr>
              <w:t>this proposed change affects you, please explain how</w:t>
            </w:r>
            <w:r>
              <w:rPr>
                <w:b/>
                <w:bCs/>
              </w:rPr>
              <w:t>.</w:t>
            </w:r>
          </w:p>
        </w:tc>
      </w:tr>
    </w:tbl>
    <w:p w14:paraId="1E233EAE" w14:textId="526F9D74" w:rsidR="006316C5" w:rsidRPr="00B45AE0" w:rsidRDefault="00D0307F" w:rsidP="00D0307F">
      <w:pPr>
        <w:pStyle w:val="Heading3"/>
      </w:pPr>
      <w:bookmarkStart w:id="19" w:name="_Toc72918421"/>
      <w:r>
        <w:t xml:space="preserve">5. </w:t>
      </w:r>
      <w:r w:rsidR="00093C3F">
        <w:t>R</w:t>
      </w:r>
      <w:r w:rsidR="0026338B">
        <w:t>equirements</w:t>
      </w:r>
      <w:r w:rsidR="00E750A9">
        <w:t xml:space="preserve"> for</w:t>
      </w:r>
      <w:r w:rsidR="006316C5" w:rsidRPr="008C5480">
        <w:t xml:space="preserve"> cornea only donor</w:t>
      </w:r>
      <w:r w:rsidR="0026338B">
        <w:t>s</w:t>
      </w:r>
      <w:bookmarkEnd w:id="19"/>
      <w:r w:rsidR="006316C5" w:rsidRPr="008C5480">
        <w:t xml:space="preserve"> </w:t>
      </w:r>
    </w:p>
    <w:p w14:paraId="2B6D322E" w14:textId="77777777" w:rsidR="00DA38BB" w:rsidRDefault="00DA38BB" w:rsidP="00DA38BB">
      <w:pPr>
        <w:pStyle w:val="Heading4"/>
      </w:pPr>
      <w:r>
        <w:t>Background</w:t>
      </w:r>
    </w:p>
    <w:p w14:paraId="7916CD10" w14:textId="01A8D923" w:rsidR="005F39D6" w:rsidRDefault="004112CE" w:rsidP="005F39D6">
      <w:r>
        <w:t>TGO 88</w:t>
      </w:r>
      <w:r w:rsidR="005F39D6">
        <w:t xml:space="preserve"> requires that donors whose ocular tissue will be released for supply solely for the purpose of corneal transplantation (‘cornea only donors’) only need to be serology tested for HIV-1/2, HCV and HBV (h</w:t>
      </w:r>
      <w:r w:rsidR="005F39D6" w:rsidRPr="00F35D9B">
        <w:t>ep</w:t>
      </w:r>
      <w:r w:rsidR="005F39D6">
        <w:t>ati</w:t>
      </w:r>
      <w:r w:rsidR="007576CC">
        <w:t>tis B surface antigen [HBsAg]).</w:t>
      </w:r>
      <w:r w:rsidR="007576CC">
        <w:rPr>
          <w:rStyle w:val="FootnoteReference"/>
        </w:rPr>
        <w:footnoteReference w:id="4"/>
      </w:r>
      <w:r w:rsidR="007576CC">
        <w:t xml:space="preserve"> </w:t>
      </w:r>
      <w:r w:rsidR="005F39D6">
        <w:t xml:space="preserve">Consequently, for </w:t>
      </w:r>
      <w:r w:rsidR="000639DD">
        <w:t>‘</w:t>
      </w:r>
      <w:r w:rsidR="005F39D6">
        <w:t>cornea only donors</w:t>
      </w:r>
      <w:r w:rsidR="000639DD">
        <w:t>’</w:t>
      </w:r>
      <w:r w:rsidR="005F39D6">
        <w:t xml:space="preserve">, TGO </w:t>
      </w:r>
      <w:r>
        <w:t>88</w:t>
      </w:r>
      <w:r w:rsidR="005F39D6">
        <w:t xml:space="preserve"> exempts serological testing for HTLV-1/2 and syphilis, and NAT for HIV, HCV and HBV.</w:t>
      </w:r>
    </w:p>
    <w:p w14:paraId="2CF74CC5" w14:textId="11BE3F51" w:rsidR="005F39D6" w:rsidRDefault="005F39D6" w:rsidP="00CC782E">
      <w:r>
        <w:t xml:space="preserve">These exemptions are inconsistent with international best practice for eye banking establishments. The risk of infectious disease transmission from </w:t>
      </w:r>
      <w:r w:rsidR="000639DD">
        <w:t>‘</w:t>
      </w:r>
      <w:r>
        <w:t>cornea only donors</w:t>
      </w:r>
      <w:r w:rsidR="000639DD">
        <w:t>’</w:t>
      </w:r>
      <w:r>
        <w:t xml:space="preserve"> is similar to all other ocular tissue donors. Although the corneal tissue is avascular, </w:t>
      </w:r>
      <w:r w:rsidRPr="008925ED">
        <w:t xml:space="preserve">neural and immune </w:t>
      </w:r>
      <w:r>
        <w:t>cells</w:t>
      </w:r>
      <w:r w:rsidRPr="008925ED">
        <w:t xml:space="preserve"> </w:t>
      </w:r>
      <w:r>
        <w:t>may remain</w:t>
      </w:r>
      <w:r w:rsidRPr="008925ED">
        <w:t>,</w:t>
      </w:r>
      <w:r>
        <w:t xml:space="preserve"> which poses a</w:t>
      </w:r>
      <w:r w:rsidRPr="008925ED">
        <w:t xml:space="preserve"> risk of viral carriage. Further, corneas may be supplied with a scleral </w:t>
      </w:r>
      <w:r>
        <w:t xml:space="preserve">rim, </w:t>
      </w:r>
      <w:r w:rsidRPr="008925ED">
        <w:t>which is vascularised</w:t>
      </w:r>
      <w:r>
        <w:t>.</w:t>
      </w:r>
    </w:p>
    <w:p w14:paraId="645AA86E" w14:textId="44F2E7C0" w:rsidR="00DA38BB" w:rsidRDefault="00DA38BB" w:rsidP="00DA38BB">
      <w:pPr>
        <w:pStyle w:val="Heading4"/>
      </w:pPr>
      <w:r>
        <w:t>Proposal</w:t>
      </w:r>
    </w:p>
    <w:p w14:paraId="33B50D12" w14:textId="580C64AC" w:rsidR="00105686" w:rsidRDefault="005F39D6" w:rsidP="00105686">
      <w:r>
        <w:t xml:space="preserve">We propose that for </w:t>
      </w:r>
      <w:r w:rsidR="000639DD">
        <w:t>‘</w:t>
      </w:r>
      <w:r>
        <w:t>cornea only donors</w:t>
      </w:r>
      <w:r w:rsidR="000639DD">
        <w:t>’</w:t>
      </w:r>
      <w:r>
        <w:t xml:space="preserve">, serological testing for HTLV-1/2 and syphilis is mandated, along with NAT for HIV, HCV and HBV, in order to establish </w:t>
      </w:r>
      <w:r w:rsidR="00836667">
        <w:t xml:space="preserve">their </w:t>
      </w:r>
      <w:r>
        <w:t xml:space="preserve">donor eligibility. </w:t>
      </w:r>
      <w:r w:rsidR="000206D0">
        <w:t xml:space="preserve">A </w:t>
      </w:r>
      <w:r w:rsidR="004C04BA">
        <w:t>12</w:t>
      </w:r>
      <w:r>
        <w:t xml:space="preserve">-month </w:t>
      </w:r>
      <w:r w:rsidR="000206D0">
        <w:t xml:space="preserve">transition </w:t>
      </w:r>
      <w:r w:rsidR="00F35D9B">
        <w:t>period</w:t>
      </w:r>
      <w:r>
        <w:t xml:space="preserve"> for these testing requirements</w:t>
      </w:r>
      <w:r w:rsidR="00F35D9B">
        <w:t xml:space="preserve"> is also proposed (see below)</w:t>
      </w:r>
      <w:r>
        <w:t>.</w:t>
      </w:r>
    </w:p>
    <w:tbl>
      <w:tblPr>
        <w:tblpPr w:leftFromText="180" w:rightFromText="180" w:vertAnchor="text" w:horzAnchor="margin" w:tblpY="98"/>
        <w:tblW w:w="9072" w:type="dxa"/>
        <w:tblLayout w:type="fixed"/>
        <w:tblCellMar>
          <w:left w:w="0" w:type="dxa"/>
          <w:right w:w="0" w:type="dxa"/>
        </w:tblCellMar>
        <w:tblLook w:val="04A0" w:firstRow="1" w:lastRow="0" w:firstColumn="1" w:lastColumn="0" w:noHBand="0" w:noVBand="1"/>
      </w:tblPr>
      <w:tblGrid>
        <w:gridCol w:w="1134"/>
        <w:gridCol w:w="7938"/>
      </w:tblGrid>
      <w:tr w:rsidR="00105686" w:rsidRPr="00796BC5" w14:paraId="55E13526" w14:textId="77777777" w:rsidTr="00105686">
        <w:trPr>
          <w:trHeight w:val="821"/>
        </w:trPr>
        <w:tc>
          <w:tcPr>
            <w:tcW w:w="1134" w:type="dxa"/>
            <w:vAlign w:val="center"/>
          </w:tcPr>
          <w:p w14:paraId="43C33C03" w14:textId="77777777" w:rsidR="00105686" w:rsidRPr="00796BC5" w:rsidRDefault="00105686" w:rsidP="00105686">
            <w:pPr>
              <w:rPr>
                <w:bCs/>
              </w:rPr>
            </w:pPr>
            <w:r w:rsidRPr="00796BC5">
              <w:rPr>
                <w:bCs/>
                <w:noProof/>
                <w:lang w:eastAsia="en-AU"/>
              </w:rPr>
              <w:drawing>
                <wp:inline distT="0" distB="0" distL="0" distR="0" wp14:anchorId="6F15C07F" wp14:editId="3086CB6A">
                  <wp:extent cx="489600" cy="489600"/>
                  <wp:effectExtent l="0" t="0" r="5715"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ceyg\AppData\Local\Microsoft\Windows\Temporary Internet Files\Content.IE5\1L6LQT4S\1390060157[1].png"/>
                          <pic:cNvPicPr>
                            <a:picLocks noChangeAspect="1" noChangeArrowheads="1"/>
                          </pic:cNvPicPr>
                        </pic:nvPicPr>
                        <pic:blipFill>
                          <a:blip r:embed="rId34" cstate="print">
                            <a:extLst>
                              <a:ext uri="{28A0092B-C50C-407E-A947-70E740481C1C}">
                                <a14:useLocalDpi xmlns:a14="http://schemas.microsoft.com/office/drawing/2010/main" val="0"/>
                              </a:ext>
                            </a:extLst>
                          </a:blip>
                          <a:stretch>
                            <a:fillRect/>
                          </a:stretch>
                        </pic:blipFill>
                        <pic:spPr bwMode="auto">
                          <a:xfrm>
                            <a:off x="0" y="0"/>
                            <a:ext cx="489600" cy="489600"/>
                          </a:xfrm>
                          <a:prstGeom prst="rect">
                            <a:avLst/>
                          </a:prstGeom>
                          <a:noFill/>
                          <a:ln>
                            <a:noFill/>
                          </a:ln>
                        </pic:spPr>
                      </pic:pic>
                    </a:graphicData>
                  </a:graphic>
                </wp:inline>
              </w:drawing>
            </w:r>
          </w:p>
        </w:tc>
        <w:tc>
          <w:tcPr>
            <w:tcW w:w="7938" w:type="dxa"/>
            <w:shd w:val="clear" w:color="auto" w:fill="EAEAEA"/>
            <w:tcMar>
              <w:top w:w="170" w:type="dxa"/>
              <w:left w:w="170" w:type="dxa"/>
              <w:bottom w:w="170" w:type="dxa"/>
              <w:right w:w="170" w:type="dxa"/>
            </w:tcMar>
          </w:tcPr>
          <w:p w14:paraId="7EDF45EB" w14:textId="75DB6B73" w:rsidR="00105686" w:rsidRPr="001F2155" w:rsidRDefault="00105686" w:rsidP="00AF672B">
            <w:pPr>
              <w:rPr>
                <w:b/>
                <w:bCs/>
              </w:rPr>
            </w:pPr>
            <w:r w:rsidRPr="001F2155">
              <w:rPr>
                <w:b/>
                <w:bCs/>
              </w:rPr>
              <w:t xml:space="preserve">Question </w:t>
            </w:r>
            <w:r w:rsidR="001F2155" w:rsidRPr="001F2155">
              <w:rPr>
                <w:b/>
                <w:bCs/>
              </w:rPr>
              <w:t>12</w:t>
            </w:r>
            <w:r w:rsidRPr="001F2155">
              <w:rPr>
                <w:b/>
                <w:bCs/>
              </w:rPr>
              <w:t xml:space="preserve">: </w:t>
            </w:r>
            <w:r w:rsidR="001F2155" w:rsidRPr="001F2155">
              <w:rPr>
                <w:b/>
              </w:rPr>
              <w:t>Do you agree that ‘cornea only donors’ must also be serologically tested for HTLV-1/2 and syphilis, and NAT for HIV, HCV and HBV, in order to establish their donor eligibility</w:t>
            </w:r>
            <w:r w:rsidR="00101C8D" w:rsidRPr="001F2155">
              <w:rPr>
                <w:b/>
                <w:bCs/>
              </w:rPr>
              <w:t>?</w:t>
            </w:r>
          </w:p>
          <w:p w14:paraId="045BEEB4" w14:textId="3D65FE7A" w:rsidR="001F2155" w:rsidRPr="00105686" w:rsidRDefault="001F2155" w:rsidP="00AF672B">
            <w:pPr>
              <w:rPr>
                <w:b/>
              </w:rPr>
            </w:pPr>
            <w:r w:rsidRPr="001F2155">
              <w:rPr>
                <w:b/>
                <w:bCs/>
              </w:rPr>
              <w:t>Question 13: If this proposed change affects you, please explain how.</w:t>
            </w:r>
          </w:p>
        </w:tc>
      </w:tr>
    </w:tbl>
    <w:p w14:paraId="0245CDBA" w14:textId="4C2C4679" w:rsidR="00303CB4" w:rsidRPr="00B45AE0" w:rsidRDefault="00303CB4" w:rsidP="00D0307F">
      <w:pPr>
        <w:pStyle w:val="Heading3"/>
      </w:pPr>
      <w:bookmarkStart w:id="20" w:name="_Toc72918422"/>
      <w:r>
        <w:lastRenderedPageBreak/>
        <w:t>6</w:t>
      </w:r>
      <w:r w:rsidR="00D0307F">
        <w:t>.</w:t>
      </w:r>
      <w:r w:rsidRPr="00B45AE0">
        <w:t xml:space="preserve"> </w:t>
      </w:r>
      <w:r w:rsidR="00093C3F">
        <w:t>R</w:t>
      </w:r>
      <w:r>
        <w:t>equirements</w:t>
      </w:r>
      <w:r w:rsidRPr="008C5480">
        <w:t xml:space="preserve"> </w:t>
      </w:r>
      <w:r w:rsidR="00861F90">
        <w:t>for plasma for fractionation only</w:t>
      </w:r>
      <w:r w:rsidRPr="008C5480">
        <w:t xml:space="preserve"> donor</w:t>
      </w:r>
      <w:r>
        <w:t>s</w:t>
      </w:r>
      <w:bookmarkEnd w:id="20"/>
      <w:r w:rsidRPr="008C5480">
        <w:t xml:space="preserve"> </w:t>
      </w:r>
    </w:p>
    <w:p w14:paraId="78615547" w14:textId="77777777" w:rsidR="00DA38BB" w:rsidRDefault="00DA38BB" w:rsidP="00DA38BB">
      <w:pPr>
        <w:pStyle w:val="Heading4"/>
      </w:pPr>
      <w:r>
        <w:t>Background</w:t>
      </w:r>
    </w:p>
    <w:p w14:paraId="424F5187" w14:textId="72091DB7" w:rsidR="00836667" w:rsidRDefault="00836667" w:rsidP="00303CB4">
      <w:r>
        <w:t>TGO 88 requires that donors whose HCT material will be used solely for the purpose of plasma for fractionation (‘plasma for fractionation only donors’) only need to be serology tested for HIV-1/2, HCV and HBV (h</w:t>
      </w:r>
      <w:r w:rsidRPr="00F35D9B">
        <w:t>ep</w:t>
      </w:r>
      <w:r>
        <w:t>atitis B surface antigen [HBsAg]), and NAT for HIV-1/2 and HCV.</w:t>
      </w:r>
      <w:r w:rsidR="0088289E">
        <w:rPr>
          <w:rStyle w:val="FootnoteReference"/>
        </w:rPr>
        <w:footnoteReference w:id="5"/>
      </w:r>
      <w:r w:rsidRPr="001A11BD">
        <w:t xml:space="preserve"> </w:t>
      </w:r>
      <w:r>
        <w:t xml:space="preserve">Consequently, for </w:t>
      </w:r>
      <w:r w:rsidR="000639DD">
        <w:t>‘</w:t>
      </w:r>
      <w:r>
        <w:t>plasma for fractionation only donors</w:t>
      </w:r>
      <w:r w:rsidR="000639DD">
        <w:t>’</w:t>
      </w:r>
      <w:r>
        <w:t xml:space="preserve">, TGO </w:t>
      </w:r>
      <w:r w:rsidR="0088289E">
        <w:t>88</w:t>
      </w:r>
      <w:r>
        <w:t xml:space="preserve"> exempts NAT for HBV.</w:t>
      </w:r>
    </w:p>
    <w:p w14:paraId="5D2ABD82" w14:textId="69455826" w:rsidR="00836667" w:rsidRDefault="00836667" w:rsidP="00303CB4">
      <w:r>
        <w:t>This exemption is inconsistent with international best practice. Currently, NAT</w:t>
      </w:r>
      <w:r w:rsidRPr="00861F90">
        <w:t xml:space="preserve"> for HBV DNA is mandated by the </w:t>
      </w:r>
      <w:r>
        <w:t xml:space="preserve">US Food and Drug Administration </w:t>
      </w:r>
      <w:r w:rsidRPr="00861F90">
        <w:t>and</w:t>
      </w:r>
      <w:r w:rsidR="00884757">
        <w:t xml:space="preserve"> recommended by</w:t>
      </w:r>
      <w:r w:rsidRPr="00861F90">
        <w:t xml:space="preserve"> </w:t>
      </w:r>
      <w:r>
        <w:t>World Health Organization</w:t>
      </w:r>
      <w:r w:rsidRPr="00861F90">
        <w:t xml:space="preserve"> where its implementation is likely to shorten the window period of detection and potentially identify HBsAg negative occult infection</w:t>
      </w:r>
      <w:r>
        <w:t>.</w:t>
      </w:r>
    </w:p>
    <w:p w14:paraId="78D34D0C" w14:textId="05A0B167" w:rsidR="00DA38BB" w:rsidRDefault="00DA38BB" w:rsidP="00DA38BB">
      <w:pPr>
        <w:pStyle w:val="Heading4"/>
      </w:pPr>
      <w:r>
        <w:t>Proposal</w:t>
      </w:r>
    </w:p>
    <w:p w14:paraId="1A9E2C8F" w14:textId="1512361B" w:rsidR="00105686" w:rsidRPr="00974C9F" w:rsidRDefault="00836667" w:rsidP="00105686">
      <w:r>
        <w:t xml:space="preserve">We propose to remove this exemption such that </w:t>
      </w:r>
      <w:r w:rsidR="004265EF">
        <w:t xml:space="preserve">NAT </w:t>
      </w:r>
      <w:r w:rsidR="00CC5F04">
        <w:t xml:space="preserve">for HBV is mandated </w:t>
      </w:r>
      <w:r>
        <w:t xml:space="preserve">for </w:t>
      </w:r>
      <w:r w:rsidR="000639DD">
        <w:t>‘</w:t>
      </w:r>
      <w:r>
        <w:t>plasma for fractionation only donors</w:t>
      </w:r>
      <w:r w:rsidR="000639DD">
        <w:t>’</w:t>
      </w:r>
      <w:r>
        <w:t xml:space="preserve"> to establish </w:t>
      </w:r>
      <w:r w:rsidR="00CC5F04">
        <w:t>their</w:t>
      </w:r>
      <w:r>
        <w:t xml:space="preserve"> el</w:t>
      </w:r>
      <w:r w:rsidR="004265EF">
        <w:t>igibility.</w:t>
      </w:r>
    </w:p>
    <w:tbl>
      <w:tblPr>
        <w:tblpPr w:leftFromText="180" w:rightFromText="180" w:vertAnchor="text" w:horzAnchor="margin" w:tblpY="98"/>
        <w:tblW w:w="9072" w:type="dxa"/>
        <w:tblLayout w:type="fixed"/>
        <w:tblCellMar>
          <w:left w:w="0" w:type="dxa"/>
          <w:right w:w="0" w:type="dxa"/>
        </w:tblCellMar>
        <w:tblLook w:val="04A0" w:firstRow="1" w:lastRow="0" w:firstColumn="1" w:lastColumn="0" w:noHBand="0" w:noVBand="1"/>
      </w:tblPr>
      <w:tblGrid>
        <w:gridCol w:w="1134"/>
        <w:gridCol w:w="7938"/>
      </w:tblGrid>
      <w:tr w:rsidR="00105686" w:rsidRPr="00796BC5" w14:paraId="115BCEF0" w14:textId="77777777" w:rsidTr="00105686">
        <w:trPr>
          <w:trHeight w:val="964"/>
        </w:trPr>
        <w:tc>
          <w:tcPr>
            <w:tcW w:w="1134" w:type="dxa"/>
            <w:vAlign w:val="center"/>
          </w:tcPr>
          <w:p w14:paraId="412031A8" w14:textId="77777777" w:rsidR="00105686" w:rsidRPr="00796BC5" w:rsidRDefault="00105686" w:rsidP="00105686">
            <w:pPr>
              <w:rPr>
                <w:bCs/>
              </w:rPr>
            </w:pPr>
            <w:r w:rsidRPr="00796BC5">
              <w:rPr>
                <w:bCs/>
                <w:noProof/>
                <w:lang w:eastAsia="en-AU"/>
              </w:rPr>
              <w:drawing>
                <wp:inline distT="0" distB="0" distL="0" distR="0" wp14:anchorId="51265550" wp14:editId="46A3CFA7">
                  <wp:extent cx="489600" cy="489600"/>
                  <wp:effectExtent l="0" t="0" r="5715" b="571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ceyg\AppData\Local\Microsoft\Windows\Temporary Internet Files\Content.IE5\1L6LQT4S\1390060157[1].png"/>
                          <pic:cNvPicPr>
                            <a:picLocks noChangeAspect="1" noChangeArrowheads="1"/>
                          </pic:cNvPicPr>
                        </pic:nvPicPr>
                        <pic:blipFill>
                          <a:blip r:embed="rId34" cstate="print">
                            <a:extLst>
                              <a:ext uri="{28A0092B-C50C-407E-A947-70E740481C1C}">
                                <a14:useLocalDpi xmlns:a14="http://schemas.microsoft.com/office/drawing/2010/main" val="0"/>
                              </a:ext>
                            </a:extLst>
                          </a:blip>
                          <a:stretch>
                            <a:fillRect/>
                          </a:stretch>
                        </pic:blipFill>
                        <pic:spPr bwMode="auto">
                          <a:xfrm>
                            <a:off x="0" y="0"/>
                            <a:ext cx="489600" cy="489600"/>
                          </a:xfrm>
                          <a:prstGeom prst="rect">
                            <a:avLst/>
                          </a:prstGeom>
                          <a:noFill/>
                          <a:ln>
                            <a:noFill/>
                          </a:ln>
                        </pic:spPr>
                      </pic:pic>
                    </a:graphicData>
                  </a:graphic>
                </wp:inline>
              </w:drawing>
            </w:r>
          </w:p>
        </w:tc>
        <w:tc>
          <w:tcPr>
            <w:tcW w:w="7938" w:type="dxa"/>
            <w:shd w:val="clear" w:color="auto" w:fill="EAEAEA"/>
            <w:tcMar>
              <w:top w:w="170" w:type="dxa"/>
              <w:left w:w="170" w:type="dxa"/>
              <w:bottom w:w="170" w:type="dxa"/>
              <w:right w:w="170" w:type="dxa"/>
            </w:tcMar>
          </w:tcPr>
          <w:p w14:paraId="2CBB5BD7" w14:textId="02E511B0" w:rsidR="00105686" w:rsidRPr="001F2155" w:rsidRDefault="001F2155" w:rsidP="00711C6D">
            <w:pPr>
              <w:rPr>
                <w:b/>
                <w:bCs/>
              </w:rPr>
            </w:pPr>
            <w:r w:rsidRPr="001F2155">
              <w:rPr>
                <w:b/>
                <w:bCs/>
              </w:rPr>
              <w:t>Question 14</w:t>
            </w:r>
            <w:r w:rsidR="00105686" w:rsidRPr="001F2155">
              <w:rPr>
                <w:b/>
                <w:bCs/>
              </w:rPr>
              <w:t xml:space="preserve">: </w:t>
            </w:r>
            <w:r w:rsidRPr="001F2155">
              <w:rPr>
                <w:b/>
              </w:rPr>
              <w:t>Do you agree that ‘plasma for fractionation only donors’ must undergo NAT for HBV in order to establish their donor eligibility</w:t>
            </w:r>
            <w:r w:rsidR="00101C8D" w:rsidRPr="001F2155">
              <w:rPr>
                <w:b/>
                <w:bCs/>
              </w:rPr>
              <w:t>?</w:t>
            </w:r>
          </w:p>
          <w:p w14:paraId="0B1DCD5B" w14:textId="72D1D2CD" w:rsidR="001F2155" w:rsidRPr="00105686" w:rsidRDefault="001F2155" w:rsidP="00711C6D">
            <w:pPr>
              <w:rPr>
                <w:b/>
              </w:rPr>
            </w:pPr>
            <w:r w:rsidRPr="001F2155">
              <w:rPr>
                <w:b/>
                <w:bCs/>
              </w:rPr>
              <w:t>Question 15: If this proposed change affects you, please explain how.</w:t>
            </w:r>
          </w:p>
        </w:tc>
      </w:tr>
    </w:tbl>
    <w:p w14:paraId="7CCB1E50" w14:textId="5109D227" w:rsidR="00C56F96" w:rsidRPr="000206D0" w:rsidRDefault="00DA38BB" w:rsidP="00D0307F">
      <w:pPr>
        <w:pStyle w:val="Heading3"/>
      </w:pPr>
      <w:bookmarkStart w:id="21" w:name="_Toc72918423"/>
      <w:r>
        <w:t>7. T</w:t>
      </w:r>
      <w:r w:rsidR="00C56F96" w:rsidRPr="000206D0">
        <w:t>ransition period</w:t>
      </w:r>
      <w:bookmarkEnd w:id="21"/>
    </w:p>
    <w:p w14:paraId="50B2750C" w14:textId="2B1EBFA2" w:rsidR="00105686" w:rsidRDefault="00C56F96" w:rsidP="00105686">
      <w:r>
        <w:t xml:space="preserve">It is proposed to allow sponsors </w:t>
      </w:r>
      <w:r w:rsidR="004265EF">
        <w:t>a 12</w:t>
      </w:r>
      <w:r w:rsidR="00B74E41">
        <w:t xml:space="preserve">-month transition period </w:t>
      </w:r>
      <w:r w:rsidR="00E750A9">
        <w:t>for any</w:t>
      </w:r>
      <w:r>
        <w:t xml:space="preserve"> proposed </w:t>
      </w:r>
      <w:r w:rsidR="004265EF">
        <w:t>change</w:t>
      </w:r>
      <w:r>
        <w:t xml:space="preserve"> in donor testing requirement</w:t>
      </w:r>
      <w:r w:rsidR="00E750A9">
        <w:t xml:space="preserve">s, </w:t>
      </w:r>
      <w:r w:rsidR="0065563D">
        <w:t>including</w:t>
      </w:r>
      <w:r w:rsidR="00E750A9">
        <w:t xml:space="preserve"> </w:t>
      </w:r>
      <w:r w:rsidRPr="00C56F96">
        <w:t xml:space="preserve">serological testing </w:t>
      </w:r>
      <w:r w:rsidR="00B74E41">
        <w:t xml:space="preserve">for HTLV-1/2 and syphilis; </w:t>
      </w:r>
      <w:r w:rsidR="00566AC1">
        <w:t>NAT for HIV, HCV and HBV (</w:t>
      </w:r>
      <w:r w:rsidR="000639DD">
        <w:t>‘</w:t>
      </w:r>
      <w:r w:rsidRPr="00C56F96">
        <w:t>cornea only donors</w:t>
      </w:r>
      <w:r w:rsidR="000639DD">
        <w:t>’</w:t>
      </w:r>
      <w:r w:rsidR="00566AC1">
        <w:t>)</w:t>
      </w:r>
      <w:r w:rsidR="00B74E41">
        <w:t xml:space="preserve">; </w:t>
      </w:r>
      <w:r w:rsidR="004265EF">
        <w:t xml:space="preserve">and </w:t>
      </w:r>
      <w:r w:rsidR="00566AC1">
        <w:t>NAT for HBV (</w:t>
      </w:r>
      <w:r w:rsidR="000639DD">
        <w:t>‘</w:t>
      </w:r>
      <w:r w:rsidRPr="00C56F96">
        <w:t>plasma</w:t>
      </w:r>
      <w:r w:rsidR="00B74E41">
        <w:t xml:space="preserve"> for fractionation only donors</w:t>
      </w:r>
      <w:r w:rsidR="000639DD">
        <w:t>’</w:t>
      </w:r>
      <w:r w:rsidR="00566AC1">
        <w:t>)</w:t>
      </w:r>
      <w:r w:rsidR="00B74E41">
        <w:t>.</w:t>
      </w:r>
    </w:p>
    <w:tbl>
      <w:tblPr>
        <w:tblpPr w:leftFromText="180" w:rightFromText="180" w:vertAnchor="text" w:horzAnchor="margin" w:tblpY="98"/>
        <w:tblW w:w="9072" w:type="dxa"/>
        <w:tblLayout w:type="fixed"/>
        <w:tblCellMar>
          <w:left w:w="0" w:type="dxa"/>
          <w:right w:w="0" w:type="dxa"/>
        </w:tblCellMar>
        <w:tblLook w:val="04A0" w:firstRow="1" w:lastRow="0" w:firstColumn="1" w:lastColumn="0" w:noHBand="0" w:noVBand="1"/>
      </w:tblPr>
      <w:tblGrid>
        <w:gridCol w:w="1134"/>
        <w:gridCol w:w="7938"/>
      </w:tblGrid>
      <w:tr w:rsidR="00105686" w:rsidRPr="00796BC5" w14:paraId="42658316" w14:textId="77777777" w:rsidTr="00105686">
        <w:trPr>
          <w:trHeight w:val="964"/>
        </w:trPr>
        <w:tc>
          <w:tcPr>
            <w:tcW w:w="1134" w:type="dxa"/>
            <w:vAlign w:val="center"/>
          </w:tcPr>
          <w:p w14:paraId="6941203A" w14:textId="77777777" w:rsidR="00105686" w:rsidRPr="00796BC5" w:rsidRDefault="00105686" w:rsidP="00105686">
            <w:pPr>
              <w:rPr>
                <w:bCs/>
              </w:rPr>
            </w:pPr>
            <w:r w:rsidRPr="00796BC5">
              <w:rPr>
                <w:bCs/>
                <w:noProof/>
                <w:lang w:eastAsia="en-AU"/>
              </w:rPr>
              <w:drawing>
                <wp:inline distT="0" distB="0" distL="0" distR="0" wp14:anchorId="24BCAE06" wp14:editId="756CDD37">
                  <wp:extent cx="489600" cy="489600"/>
                  <wp:effectExtent l="0" t="0" r="5715" b="571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ceyg\AppData\Local\Microsoft\Windows\Temporary Internet Files\Content.IE5\1L6LQT4S\1390060157[1].png"/>
                          <pic:cNvPicPr>
                            <a:picLocks noChangeAspect="1" noChangeArrowheads="1"/>
                          </pic:cNvPicPr>
                        </pic:nvPicPr>
                        <pic:blipFill>
                          <a:blip r:embed="rId34" cstate="print">
                            <a:extLst>
                              <a:ext uri="{28A0092B-C50C-407E-A947-70E740481C1C}">
                                <a14:useLocalDpi xmlns:a14="http://schemas.microsoft.com/office/drawing/2010/main" val="0"/>
                              </a:ext>
                            </a:extLst>
                          </a:blip>
                          <a:stretch>
                            <a:fillRect/>
                          </a:stretch>
                        </pic:blipFill>
                        <pic:spPr bwMode="auto">
                          <a:xfrm>
                            <a:off x="0" y="0"/>
                            <a:ext cx="489600" cy="489600"/>
                          </a:xfrm>
                          <a:prstGeom prst="rect">
                            <a:avLst/>
                          </a:prstGeom>
                          <a:noFill/>
                          <a:ln>
                            <a:noFill/>
                          </a:ln>
                        </pic:spPr>
                      </pic:pic>
                    </a:graphicData>
                  </a:graphic>
                </wp:inline>
              </w:drawing>
            </w:r>
          </w:p>
        </w:tc>
        <w:tc>
          <w:tcPr>
            <w:tcW w:w="7938" w:type="dxa"/>
            <w:shd w:val="clear" w:color="auto" w:fill="EAEAEA"/>
            <w:tcMar>
              <w:top w:w="170" w:type="dxa"/>
              <w:left w:w="170" w:type="dxa"/>
              <w:bottom w:w="170" w:type="dxa"/>
              <w:right w:w="170" w:type="dxa"/>
            </w:tcMar>
          </w:tcPr>
          <w:p w14:paraId="237011E6" w14:textId="42AD2096" w:rsidR="00105686" w:rsidRPr="001F2155" w:rsidRDefault="001F2155" w:rsidP="00711C6D">
            <w:pPr>
              <w:rPr>
                <w:b/>
                <w:bCs/>
              </w:rPr>
            </w:pPr>
            <w:r w:rsidRPr="001F2155">
              <w:rPr>
                <w:b/>
                <w:bCs/>
              </w:rPr>
              <w:t>Question 16</w:t>
            </w:r>
            <w:r w:rsidR="00105686" w:rsidRPr="001F2155">
              <w:rPr>
                <w:b/>
                <w:bCs/>
              </w:rPr>
              <w:t xml:space="preserve">: </w:t>
            </w:r>
            <w:r w:rsidRPr="001F2155">
              <w:rPr>
                <w:b/>
                <w:bCs/>
              </w:rPr>
              <w:t>Do you agree that a 12-month transition period from the commencement date of TGO 108 (30 September 2021) is sufficient to allow sponsors to comply with any change in donor testing requirements (‘cornea only donors’ and ‘plasma for fractionation only donors’)?</w:t>
            </w:r>
          </w:p>
          <w:p w14:paraId="027E4D3B" w14:textId="2E1D1490" w:rsidR="001F2155" w:rsidRPr="00551129" w:rsidRDefault="001F2155" w:rsidP="00711C6D">
            <w:pPr>
              <w:rPr>
                <w:b/>
                <w:bCs/>
              </w:rPr>
            </w:pPr>
            <w:r w:rsidRPr="001F2155">
              <w:rPr>
                <w:b/>
                <w:bCs/>
              </w:rPr>
              <w:t>Question 17: If no, please explain why.</w:t>
            </w:r>
          </w:p>
        </w:tc>
      </w:tr>
    </w:tbl>
    <w:p w14:paraId="1378679B" w14:textId="23D01D7B" w:rsidR="00551129" w:rsidRPr="000206D0" w:rsidRDefault="00551129" w:rsidP="00551129">
      <w:pPr>
        <w:pStyle w:val="Heading3"/>
      </w:pPr>
      <w:bookmarkStart w:id="22" w:name="_Toc72918424"/>
      <w:r>
        <w:t>8. Other issues</w:t>
      </w:r>
      <w:bookmarkEnd w:id="22"/>
    </w:p>
    <w:p w14:paraId="2E2A72A0" w14:textId="4DC795A5" w:rsidR="00B73BD8" w:rsidRDefault="0008490C" w:rsidP="00551129">
      <w:r>
        <w:t>No other major changes are proposed for TGO 108. W</w:t>
      </w:r>
      <w:r w:rsidRPr="0008490C">
        <w:t>e welcome any suggestions and other comments to improve</w:t>
      </w:r>
      <w:r>
        <w:t xml:space="preserve"> the changes proposed in TGO 108</w:t>
      </w:r>
      <w:r w:rsidRPr="0008490C">
        <w:t xml:space="preserve"> and its associated guidance</w:t>
      </w:r>
      <w:r>
        <w:t>.</w:t>
      </w:r>
    </w:p>
    <w:tbl>
      <w:tblPr>
        <w:tblpPr w:leftFromText="180" w:rightFromText="180" w:vertAnchor="text" w:horzAnchor="margin" w:tblpY="98"/>
        <w:tblW w:w="9209" w:type="dxa"/>
        <w:tblLayout w:type="fixed"/>
        <w:tblCellMar>
          <w:left w:w="0" w:type="dxa"/>
          <w:right w:w="0" w:type="dxa"/>
        </w:tblCellMar>
        <w:tblLook w:val="04A0" w:firstRow="1" w:lastRow="0" w:firstColumn="1" w:lastColumn="0" w:noHBand="0" w:noVBand="1"/>
      </w:tblPr>
      <w:tblGrid>
        <w:gridCol w:w="1134"/>
        <w:gridCol w:w="8075"/>
      </w:tblGrid>
      <w:tr w:rsidR="00551129" w:rsidRPr="00796BC5" w14:paraId="45D18417" w14:textId="77777777" w:rsidTr="00647AB5">
        <w:trPr>
          <w:trHeight w:val="104"/>
        </w:trPr>
        <w:tc>
          <w:tcPr>
            <w:tcW w:w="1134" w:type="dxa"/>
            <w:vAlign w:val="center"/>
          </w:tcPr>
          <w:p w14:paraId="684C385F" w14:textId="4C93B5D2" w:rsidR="00551129" w:rsidRPr="00796BC5" w:rsidRDefault="001F7142" w:rsidP="00647AB5">
            <w:pPr>
              <w:rPr>
                <w:bCs/>
              </w:rPr>
            </w:pPr>
            <w:r w:rsidRPr="00796BC5">
              <w:rPr>
                <w:bCs/>
                <w:noProof/>
                <w:lang w:eastAsia="en-AU"/>
              </w:rPr>
              <w:drawing>
                <wp:anchor distT="0" distB="0" distL="114300" distR="114300" simplePos="0" relativeHeight="251658240" behindDoc="1" locked="0" layoutInCell="1" allowOverlap="1" wp14:anchorId="56ED0B52" wp14:editId="06C83D18">
                  <wp:simplePos x="0" y="0"/>
                  <wp:positionH relativeFrom="column">
                    <wp:posOffset>1905</wp:posOffset>
                  </wp:positionH>
                  <wp:positionV relativeFrom="paragraph">
                    <wp:posOffset>-5715</wp:posOffset>
                  </wp:positionV>
                  <wp:extent cx="489585" cy="489585"/>
                  <wp:effectExtent l="0" t="0" r="5715" b="57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ceyg\AppData\Local\Microsoft\Windows\Temporary Internet Files\Content.IE5\1L6LQT4S\1390060157[1].png"/>
                          <pic:cNvPicPr>
                            <a:picLocks noChangeAspect="1" noChangeArrowheads="1"/>
                          </pic:cNvPicPr>
                        </pic:nvPicPr>
                        <pic:blipFill>
                          <a:blip r:embed="rId34" cstate="print">
                            <a:extLst>
                              <a:ext uri="{28A0092B-C50C-407E-A947-70E740481C1C}">
                                <a14:useLocalDpi xmlns:a14="http://schemas.microsoft.com/office/drawing/2010/main" val="0"/>
                              </a:ext>
                            </a:extLst>
                          </a:blip>
                          <a:stretch>
                            <a:fillRect/>
                          </a:stretch>
                        </pic:blipFill>
                        <pic:spPr bwMode="auto">
                          <a:xfrm>
                            <a:off x="0" y="0"/>
                            <a:ext cx="489585" cy="4895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shd w:val="clear" w:color="auto" w:fill="EAEAEA"/>
            <w:tcMar>
              <w:top w:w="170" w:type="dxa"/>
              <w:left w:w="170" w:type="dxa"/>
              <w:bottom w:w="170" w:type="dxa"/>
              <w:right w:w="170" w:type="dxa"/>
            </w:tcMar>
            <w:vAlign w:val="center"/>
          </w:tcPr>
          <w:p w14:paraId="6BC6D475" w14:textId="3A55C27C" w:rsidR="00B73BD8" w:rsidRPr="004F1306" w:rsidRDefault="00551129" w:rsidP="00647AB5">
            <w:pPr>
              <w:spacing w:after="120" w:line="240" w:lineRule="auto"/>
              <w:rPr>
                <w:b/>
                <w:bCs/>
              </w:rPr>
            </w:pPr>
            <w:r>
              <w:rPr>
                <w:b/>
                <w:bCs/>
              </w:rPr>
              <w:t xml:space="preserve">Question </w:t>
            </w:r>
            <w:r w:rsidR="001F2155">
              <w:rPr>
                <w:b/>
                <w:bCs/>
              </w:rPr>
              <w:t>18</w:t>
            </w:r>
            <w:r w:rsidR="00AF5522">
              <w:rPr>
                <w:b/>
                <w:bCs/>
              </w:rPr>
              <w:t>:</w:t>
            </w:r>
            <w:r w:rsidR="001F2155" w:rsidRPr="001F2155">
              <w:rPr>
                <w:b/>
                <w:bCs/>
              </w:rPr>
              <w:t xml:space="preserve"> Please tell us any other suggestions or comments that you believe will improve the proposed T</w:t>
            </w:r>
            <w:r w:rsidR="001F2155">
              <w:rPr>
                <w:b/>
                <w:bCs/>
              </w:rPr>
              <w:t>GO 108</w:t>
            </w:r>
            <w:r w:rsidR="001F2155" w:rsidRPr="001F2155">
              <w:rPr>
                <w:b/>
                <w:bCs/>
              </w:rPr>
              <w:t xml:space="preserve"> and its associated guidance.</w:t>
            </w:r>
          </w:p>
        </w:tc>
      </w:tr>
    </w:tbl>
    <w:p w14:paraId="74B8A958" w14:textId="1756D754" w:rsidR="00C72EC2" w:rsidRDefault="00C72EC2" w:rsidP="00D0307F">
      <w:pPr>
        <w:pStyle w:val="Heading2"/>
      </w:pPr>
      <w:bookmarkStart w:id="23" w:name="_Toc72918425"/>
      <w:r>
        <w:lastRenderedPageBreak/>
        <w:t>Proposed amendments to TGO</w:t>
      </w:r>
      <w:r w:rsidR="005479AC">
        <w:t xml:space="preserve"> </w:t>
      </w:r>
      <w:r>
        <w:t>109</w:t>
      </w:r>
      <w:bookmarkEnd w:id="23"/>
    </w:p>
    <w:p w14:paraId="438CC8EA" w14:textId="7B0683DE" w:rsidR="009C3D54" w:rsidRDefault="009C3D54" w:rsidP="009B13D5">
      <w:r>
        <w:t xml:space="preserve">TGO 109 largely supersedes the tissue-specific standards in </w:t>
      </w:r>
      <w:hyperlink r:id="rId42" w:history="1">
        <w:r w:rsidRPr="009C3D54">
          <w:rPr>
            <w:rStyle w:val="Hyperlink"/>
          </w:rPr>
          <w:t>TGO 83</w:t>
        </w:r>
      </w:hyperlink>
      <w:r>
        <w:t xml:space="preserve"> (musculoskeletal tissue), </w:t>
      </w:r>
      <w:hyperlink r:id="rId43" w:history="1">
        <w:r w:rsidRPr="009C3D54">
          <w:rPr>
            <w:rStyle w:val="Hyperlink"/>
          </w:rPr>
          <w:t>TGO 84</w:t>
        </w:r>
      </w:hyperlink>
      <w:r>
        <w:t xml:space="preserve"> (cardiovascular tissue), </w:t>
      </w:r>
      <w:hyperlink r:id="rId44" w:history="1">
        <w:r w:rsidRPr="009C3D54">
          <w:rPr>
            <w:rStyle w:val="Hyperlink"/>
          </w:rPr>
          <w:t>TGO 85</w:t>
        </w:r>
      </w:hyperlink>
      <w:r>
        <w:t xml:space="preserve"> (ocular tissue) and </w:t>
      </w:r>
      <w:hyperlink r:id="rId45" w:history="1">
        <w:r w:rsidRPr="009C3D54">
          <w:rPr>
            <w:rStyle w:val="Hyperlink"/>
          </w:rPr>
          <w:t>TGO 86</w:t>
        </w:r>
      </w:hyperlink>
      <w:r>
        <w:t xml:space="preserve"> (skin) and specifies general manufacturing requirements for biologicals. </w:t>
      </w:r>
    </w:p>
    <w:p w14:paraId="43FDC3F3" w14:textId="44D933BE" w:rsidR="00112EB5" w:rsidRDefault="00112EB5" w:rsidP="001F7142">
      <w:pPr>
        <w:spacing w:after="120"/>
      </w:pPr>
      <w:r>
        <w:t xml:space="preserve">TGO 109 consists of </w:t>
      </w:r>
      <w:r w:rsidR="00566AC1">
        <w:t xml:space="preserve">two </w:t>
      </w:r>
      <w:r>
        <w:t>distinct parts:</w:t>
      </w:r>
    </w:p>
    <w:p w14:paraId="431826BD" w14:textId="576856DF" w:rsidR="00112EB5" w:rsidRDefault="00112EB5" w:rsidP="001F7142">
      <w:pPr>
        <w:numPr>
          <w:ilvl w:val="0"/>
          <w:numId w:val="24"/>
        </w:numPr>
        <w:spacing w:after="120"/>
      </w:pPr>
      <w:r>
        <w:t>Part 2: applies to all biologicals and includes general requirements from TGO 88 such as critical materials and microbial controls</w:t>
      </w:r>
    </w:p>
    <w:p w14:paraId="58D9A039" w14:textId="0E93B2D6" w:rsidR="00112EB5" w:rsidRDefault="007576CC" w:rsidP="00112EB5">
      <w:pPr>
        <w:numPr>
          <w:ilvl w:val="0"/>
          <w:numId w:val="24"/>
        </w:numPr>
      </w:pPr>
      <w:r>
        <w:t xml:space="preserve">Parts 3 to </w:t>
      </w:r>
      <w:r w:rsidR="00112EB5">
        <w:t>7: specify requirements for specific tissue types from current TGOs 83-86</w:t>
      </w:r>
      <w:r w:rsidR="00CC5F04">
        <w:t xml:space="preserve"> and a new standard for amnion products</w:t>
      </w:r>
    </w:p>
    <w:p w14:paraId="758A9649" w14:textId="64171DF6" w:rsidR="0088661D" w:rsidRDefault="00112EB5" w:rsidP="0088661D">
      <w:r>
        <w:t xml:space="preserve">The intent of the remade TGO 109 </w:t>
      </w:r>
      <w:r w:rsidR="0088661D">
        <w:t>is to formalise and cl</w:t>
      </w:r>
      <w:r>
        <w:t>arify requirements to which sponsors already adhere</w:t>
      </w:r>
      <w:r w:rsidR="004265EF">
        <w:t>.</w:t>
      </w:r>
    </w:p>
    <w:p w14:paraId="70C29647" w14:textId="00C94549" w:rsidR="005E1BA3" w:rsidRDefault="005E1BA3" w:rsidP="001F7142">
      <w:pPr>
        <w:spacing w:after="120"/>
      </w:pPr>
      <w:r>
        <w:t>TGO 109 applies to:</w:t>
      </w:r>
    </w:p>
    <w:p w14:paraId="4473BB4A" w14:textId="559A3A4E" w:rsidR="005E1BA3" w:rsidRDefault="00BC10A7" w:rsidP="001F7142">
      <w:pPr>
        <w:numPr>
          <w:ilvl w:val="0"/>
          <w:numId w:val="24"/>
        </w:numPr>
        <w:spacing w:after="120"/>
      </w:pPr>
      <w:r>
        <w:t>b</w:t>
      </w:r>
      <w:r w:rsidR="005E1BA3">
        <w:t>iologicals</w:t>
      </w:r>
      <w:r w:rsidR="00DF2F12" w:rsidRPr="00DF2F12">
        <w:t xml:space="preserve"> </w:t>
      </w:r>
    </w:p>
    <w:p w14:paraId="40925AB4" w14:textId="4C0AEF92" w:rsidR="00DF2F12" w:rsidRDefault="005E1BA3" w:rsidP="00DF2F12">
      <w:pPr>
        <w:numPr>
          <w:ilvl w:val="0"/>
          <w:numId w:val="24"/>
        </w:numPr>
      </w:pPr>
      <w:r>
        <w:t>HCT materials</w:t>
      </w:r>
    </w:p>
    <w:p w14:paraId="04B41A94" w14:textId="505D7D57" w:rsidR="00DF2F12" w:rsidRPr="00DF2F12" w:rsidRDefault="00DF2F12" w:rsidP="00DF2F12">
      <w:r>
        <w:t xml:space="preserve">TGO 109 </w:t>
      </w:r>
      <w:r w:rsidRPr="00DF2F12">
        <w:t xml:space="preserve">does not apply </w:t>
      </w:r>
      <w:r w:rsidR="008F42BD">
        <w:t xml:space="preserve">to </w:t>
      </w:r>
      <w:r w:rsidRPr="00DF2F12">
        <w:t xml:space="preserve">autologous HCT regulated with exemptions specified in </w:t>
      </w:r>
      <w:r w:rsidR="008C1094">
        <w:t>I</w:t>
      </w:r>
      <w:r w:rsidRPr="00DF2F12">
        <w:t xml:space="preserve">tem 13, Schedule 5A of Therapeutic Goods Regulations 1990. These amendments to </w:t>
      </w:r>
      <w:r w:rsidR="008F42BD">
        <w:t>the</w:t>
      </w:r>
      <w:r w:rsidRPr="00DF2F12">
        <w:t xml:space="preserve"> regulations were implemented in 2018.</w:t>
      </w:r>
    </w:p>
    <w:p w14:paraId="1278990F" w14:textId="49FF598D" w:rsidR="003B750F" w:rsidRDefault="003B750F" w:rsidP="001F7142">
      <w:pPr>
        <w:spacing w:after="120"/>
      </w:pPr>
      <w:r>
        <w:t>Appendix 3 contains:</w:t>
      </w:r>
    </w:p>
    <w:p w14:paraId="3794853A" w14:textId="3069681D" w:rsidR="003B750F" w:rsidRDefault="003B750F" w:rsidP="001F7142">
      <w:pPr>
        <w:numPr>
          <w:ilvl w:val="0"/>
          <w:numId w:val="24"/>
        </w:numPr>
        <w:spacing w:after="120"/>
      </w:pPr>
      <w:r>
        <w:t>draft TGO 109 legislative standard</w:t>
      </w:r>
    </w:p>
    <w:p w14:paraId="57C7E56D" w14:textId="11169F1C" w:rsidR="003B750F" w:rsidRDefault="003B750F" w:rsidP="001F7142">
      <w:pPr>
        <w:numPr>
          <w:ilvl w:val="0"/>
          <w:numId w:val="24"/>
        </w:numPr>
        <w:spacing w:after="120"/>
      </w:pPr>
      <w:r>
        <w:t>draft TGO 109 guidance document</w:t>
      </w:r>
    </w:p>
    <w:p w14:paraId="08C62A68" w14:textId="1F5EB2BD" w:rsidR="003B750F" w:rsidRPr="0006710F" w:rsidRDefault="003B750F" w:rsidP="0088661D">
      <w:pPr>
        <w:numPr>
          <w:ilvl w:val="0"/>
          <w:numId w:val="24"/>
        </w:numPr>
      </w:pPr>
      <w:r>
        <w:t>clause-based mapping document, which shows how the requirements in TGO 109 arose from TGOs 83, 84, 85, 86 and 88</w:t>
      </w:r>
    </w:p>
    <w:p w14:paraId="7B663F12" w14:textId="1271DAC0" w:rsidR="00C72EC2" w:rsidRDefault="00D0307F" w:rsidP="00D0307F">
      <w:pPr>
        <w:pStyle w:val="Heading3"/>
      </w:pPr>
      <w:bookmarkStart w:id="24" w:name="_Toc72918426"/>
      <w:r>
        <w:t xml:space="preserve">1. </w:t>
      </w:r>
      <w:r w:rsidR="00C72EC2" w:rsidRPr="00C72EC2">
        <w:t>Diseases and conditions that may compromise biologicals</w:t>
      </w:r>
      <w:bookmarkEnd w:id="24"/>
    </w:p>
    <w:p w14:paraId="65203456" w14:textId="77777777" w:rsidR="00112EB5" w:rsidRDefault="00112EB5" w:rsidP="00112EB5">
      <w:pPr>
        <w:pStyle w:val="Heading4"/>
      </w:pPr>
      <w:r>
        <w:t>Background</w:t>
      </w:r>
    </w:p>
    <w:p w14:paraId="2F7A2F00" w14:textId="42537972" w:rsidR="00A2112D" w:rsidRPr="00A2112D" w:rsidRDefault="00F73CD9" w:rsidP="00A2112D">
      <w:r w:rsidRPr="00A2112D">
        <w:t>While the purpose of TGO 108 is donor screening and the minimisation of transmission of infectious diseases, TGO 109 specifies parameters that affect the quality of the finished product. TGO 88 notes</w:t>
      </w:r>
      <w:r w:rsidR="00A2112D">
        <w:t xml:space="preserve"> </w:t>
      </w:r>
      <w:r w:rsidRPr="00A2112D">
        <w:t>that a biological must not be manufactured from a donor known to have a disease or condition that may compromise the quality, safety or efficacy of the th</w:t>
      </w:r>
      <w:r w:rsidR="00A2112D" w:rsidRPr="00A2112D">
        <w:t>erapeutic good unless criteria for donor acceptance are based on</w:t>
      </w:r>
      <w:r w:rsidR="00A2112D">
        <w:t xml:space="preserve"> validated</w:t>
      </w:r>
      <w:r w:rsidR="00A2112D" w:rsidRPr="00A2112D">
        <w:t xml:space="preserve"> data </w:t>
      </w:r>
      <w:r w:rsidR="00A2112D">
        <w:t>or a medical officer accepts the donor.</w:t>
      </w:r>
      <w:r w:rsidR="0088289E">
        <w:rPr>
          <w:rStyle w:val="FootnoteReference"/>
        </w:rPr>
        <w:footnoteReference w:id="6"/>
      </w:r>
    </w:p>
    <w:p w14:paraId="791A7DCF" w14:textId="185FBDE7" w:rsidR="00112EB5" w:rsidRDefault="00112EB5" w:rsidP="00112EB5">
      <w:pPr>
        <w:pStyle w:val="Heading4"/>
      </w:pPr>
      <w:r>
        <w:t>Proposal</w:t>
      </w:r>
    </w:p>
    <w:p w14:paraId="60D3065D" w14:textId="323AAB8D" w:rsidR="00C72EC2" w:rsidRDefault="0025003A" w:rsidP="00A2112D">
      <w:r w:rsidRPr="00A2112D">
        <w:t xml:space="preserve">This </w:t>
      </w:r>
      <w:r w:rsidR="001A7020">
        <w:t>requirement</w:t>
      </w:r>
      <w:r w:rsidRPr="00A2112D">
        <w:t xml:space="preserve"> </w:t>
      </w:r>
      <w:r w:rsidR="00A2112D" w:rsidRPr="00A2112D">
        <w:t>has been reworded to clarify the intent</w:t>
      </w:r>
      <w:r w:rsidR="001A7020">
        <w:t xml:space="preserve"> and </w:t>
      </w:r>
      <w:r w:rsidR="006173C4">
        <w:t xml:space="preserve">transferred </w:t>
      </w:r>
      <w:r w:rsidR="001A7020">
        <w:t>from TGO</w:t>
      </w:r>
      <w:r w:rsidR="004265EF">
        <w:t xml:space="preserve"> </w:t>
      </w:r>
      <w:r w:rsidR="001A7020">
        <w:t>88 to TGO 109</w:t>
      </w:r>
      <w:r w:rsidR="00A2112D" w:rsidRPr="00A2112D">
        <w:t>. S</w:t>
      </w:r>
      <w:r w:rsidR="00A2112D">
        <w:t>ponsors must continue to</w:t>
      </w:r>
      <w:r w:rsidR="00112EB5" w:rsidRPr="00A2112D">
        <w:t xml:space="preserve"> consider any donor </w:t>
      </w:r>
      <w:r w:rsidRPr="00A2112D">
        <w:t>disease</w:t>
      </w:r>
      <w:r w:rsidR="00112EB5" w:rsidRPr="00A2112D">
        <w:t>s</w:t>
      </w:r>
      <w:r w:rsidRPr="00A2112D">
        <w:t xml:space="preserve"> or conditions that may affect </w:t>
      </w:r>
      <w:r w:rsidR="00112EB5" w:rsidRPr="00A2112D">
        <w:t xml:space="preserve">the </w:t>
      </w:r>
      <w:r w:rsidRPr="00A2112D">
        <w:t>quality, safety or efficacy of the biological</w:t>
      </w:r>
      <w:r w:rsidR="00AB550D" w:rsidRPr="00A2112D">
        <w:t>. This</w:t>
      </w:r>
      <w:r w:rsidR="00E36379" w:rsidRPr="00A2112D">
        <w:t xml:space="preserve"> </w:t>
      </w:r>
      <w:r w:rsidR="00112EB5" w:rsidRPr="00A2112D">
        <w:t>includes</w:t>
      </w:r>
      <w:r w:rsidR="00E36379" w:rsidRPr="00A2112D">
        <w:t xml:space="preserve"> d</w:t>
      </w:r>
      <w:r w:rsidR="00112EB5" w:rsidRPr="00A2112D">
        <w:t xml:space="preserve">iseases such as infections, malignancies, </w:t>
      </w:r>
      <w:r w:rsidR="00E36379" w:rsidRPr="00A2112D">
        <w:t>degenerative neurologic</w:t>
      </w:r>
      <w:r w:rsidR="00112EB5" w:rsidRPr="00A2112D">
        <w:t>al</w:t>
      </w:r>
      <w:r w:rsidR="00E36379" w:rsidRPr="00A2112D">
        <w:t xml:space="preserve"> disorders</w:t>
      </w:r>
      <w:r w:rsidR="00AB550D" w:rsidRPr="00A2112D">
        <w:t>,</w:t>
      </w:r>
      <w:r w:rsidR="00E36379" w:rsidRPr="00A2112D">
        <w:t xml:space="preserve"> </w:t>
      </w:r>
      <w:r w:rsidR="00112EB5" w:rsidRPr="00A2112D">
        <w:t xml:space="preserve">and </w:t>
      </w:r>
      <w:r w:rsidR="00E36379" w:rsidRPr="00A2112D">
        <w:t>card</w:t>
      </w:r>
      <w:r w:rsidR="00112EB5" w:rsidRPr="00A2112D">
        <w:t>iac conditions</w:t>
      </w:r>
      <w:r w:rsidR="00E36379" w:rsidRPr="00A2112D">
        <w:t xml:space="preserve">. </w:t>
      </w:r>
      <w:r w:rsidR="00AB550D" w:rsidRPr="00A2112D">
        <w:t>This also</w:t>
      </w:r>
      <w:r w:rsidR="00E36379" w:rsidRPr="00A2112D">
        <w:t xml:space="preserve"> includes any </w:t>
      </w:r>
      <w:r w:rsidR="000B6298" w:rsidRPr="00A2112D">
        <w:t xml:space="preserve">donor </w:t>
      </w:r>
      <w:r w:rsidR="00E36379" w:rsidRPr="00A2112D">
        <w:t>treatment</w:t>
      </w:r>
      <w:r w:rsidR="000B6298" w:rsidRPr="00A2112D">
        <w:t>s</w:t>
      </w:r>
      <w:r w:rsidR="00E36379" w:rsidRPr="00A2112D">
        <w:t xml:space="preserve"> or </w:t>
      </w:r>
      <w:r w:rsidR="000B6298" w:rsidRPr="00A2112D">
        <w:t xml:space="preserve">medications, along with </w:t>
      </w:r>
      <w:r w:rsidR="00E36379" w:rsidRPr="00A2112D">
        <w:t>b</w:t>
      </w:r>
      <w:r w:rsidRPr="00A2112D">
        <w:t>ehavioural risk factors</w:t>
      </w:r>
      <w:r w:rsidR="00E36379" w:rsidRPr="00A2112D">
        <w:t xml:space="preserve"> such as</w:t>
      </w:r>
      <w:r w:rsidRPr="00A2112D">
        <w:t xml:space="preserve"> e</w:t>
      </w:r>
      <w:r w:rsidR="00BE025B" w:rsidRPr="00A2112D">
        <w:t xml:space="preserve">xcessive alcohol consumption, </w:t>
      </w:r>
      <w:r w:rsidRPr="00A2112D">
        <w:t xml:space="preserve">smoking </w:t>
      </w:r>
      <w:r w:rsidR="00AB550D" w:rsidRPr="00A2112D">
        <w:t xml:space="preserve">or </w:t>
      </w:r>
      <w:r w:rsidR="000B6298" w:rsidRPr="00A2112D">
        <w:t xml:space="preserve">illicit drug use. It </w:t>
      </w:r>
      <w:r w:rsidR="00E36379" w:rsidRPr="00A2112D">
        <w:t xml:space="preserve">also </w:t>
      </w:r>
      <w:r w:rsidRPr="00A2112D">
        <w:t>include</w:t>
      </w:r>
      <w:r w:rsidR="000B6298" w:rsidRPr="00A2112D">
        <w:t>s</w:t>
      </w:r>
      <w:r w:rsidRPr="00A2112D">
        <w:t xml:space="preserve"> </w:t>
      </w:r>
      <w:r w:rsidR="00AB550D" w:rsidRPr="00A2112D">
        <w:t>pregnancy, age</w:t>
      </w:r>
      <w:r w:rsidR="00A2112D" w:rsidRPr="00A2112D">
        <w:t xml:space="preserve"> limits</w:t>
      </w:r>
      <w:r w:rsidR="000B6298" w:rsidRPr="00A2112D">
        <w:t>,</w:t>
      </w:r>
      <w:r w:rsidR="00AB550D" w:rsidRPr="00A2112D">
        <w:t xml:space="preserve"> or </w:t>
      </w:r>
      <w:r w:rsidR="000B6298" w:rsidRPr="00A2112D">
        <w:t xml:space="preserve">any </w:t>
      </w:r>
      <w:r w:rsidR="00AB550D" w:rsidRPr="00A2112D">
        <w:t xml:space="preserve">relevant </w:t>
      </w:r>
      <w:r w:rsidR="000B6298" w:rsidRPr="00A2112D">
        <w:t xml:space="preserve">donor </w:t>
      </w:r>
      <w:r w:rsidRPr="00A2112D">
        <w:t xml:space="preserve">social or </w:t>
      </w:r>
      <w:r w:rsidR="00BE025B" w:rsidRPr="00A2112D">
        <w:t>medical history</w:t>
      </w:r>
      <w:r w:rsidR="00E36379" w:rsidRPr="00A2112D">
        <w:t>.</w:t>
      </w:r>
    </w:p>
    <w:p w14:paraId="2A964104" w14:textId="2252BC2A" w:rsidR="00A2112D" w:rsidRDefault="00D40A19" w:rsidP="00105686">
      <w:r>
        <w:lastRenderedPageBreak/>
        <w:t xml:space="preserve">This section </w:t>
      </w:r>
      <w:r w:rsidR="000B6298">
        <w:t xml:space="preserve">underscores the </w:t>
      </w:r>
      <w:r>
        <w:t xml:space="preserve">quality </w:t>
      </w:r>
      <w:r w:rsidR="000B6298">
        <w:t xml:space="preserve">of a HCT material </w:t>
      </w:r>
      <w:r>
        <w:t>used</w:t>
      </w:r>
      <w:r w:rsidR="000B6298">
        <w:t xml:space="preserve"> in manufacture of a biological. M</w:t>
      </w:r>
      <w:r>
        <w:t>anufacturer</w:t>
      </w:r>
      <w:r w:rsidR="000B6298">
        <w:t>s</w:t>
      </w:r>
      <w:r>
        <w:t xml:space="preserve"> must consider any</w:t>
      </w:r>
      <w:r w:rsidR="00AB550D">
        <w:t xml:space="preserve"> diseases or</w:t>
      </w:r>
      <w:r>
        <w:t xml:space="preserve"> conditions that </w:t>
      </w:r>
      <w:r w:rsidR="001714A1">
        <w:t>affect the final product</w:t>
      </w:r>
      <w:r w:rsidR="005E1BA3">
        <w:t>, irrespective of</w:t>
      </w:r>
      <w:r w:rsidR="000B6298">
        <w:t xml:space="preserve"> exemptions</w:t>
      </w:r>
      <w:r w:rsidR="00C5334A">
        <w:t xml:space="preserve"> in TGO</w:t>
      </w:r>
      <w:r w:rsidR="00137FED">
        <w:t xml:space="preserve"> </w:t>
      </w:r>
      <w:r w:rsidR="00C5334A">
        <w:t>108</w:t>
      </w:r>
      <w:r w:rsidR="004F1306">
        <w:t>.</w:t>
      </w:r>
    </w:p>
    <w:p w14:paraId="4F06C109" w14:textId="18B7A2C9" w:rsidR="007A6E5C" w:rsidRPr="00A2112D" w:rsidRDefault="007A6E5C" w:rsidP="007A6E5C">
      <w:r>
        <w:rPr>
          <w:b/>
        </w:rPr>
        <w:t>Since there is no change to the intent of this existing requirement, t</w:t>
      </w:r>
      <w:r w:rsidRPr="00A2112D">
        <w:rPr>
          <w:b/>
        </w:rPr>
        <w:t xml:space="preserve">his change </w:t>
      </w:r>
      <w:r w:rsidR="00041B58">
        <w:rPr>
          <w:b/>
        </w:rPr>
        <w:t xml:space="preserve">is unlikely to </w:t>
      </w:r>
      <w:r w:rsidRPr="00A2112D">
        <w:rPr>
          <w:b/>
        </w:rPr>
        <w:t xml:space="preserve">impact </w:t>
      </w:r>
      <w:r w:rsidR="00041B58">
        <w:rPr>
          <w:b/>
        </w:rPr>
        <w:t xml:space="preserve">affected </w:t>
      </w:r>
      <w:r w:rsidRPr="00A2112D">
        <w:rPr>
          <w:b/>
        </w:rPr>
        <w:t>sponsors.</w:t>
      </w:r>
      <w:r w:rsidRPr="00A2112D">
        <w:t xml:space="preserve"> Sponsors will continue to demonstrate compliance by including a specified list of diseases or conditions in </w:t>
      </w:r>
      <w:r>
        <w:t xml:space="preserve">their </w:t>
      </w:r>
      <w:r w:rsidRPr="00A2112D">
        <w:t>dossiers</w:t>
      </w:r>
      <w:r>
        <w:t>.</w:t>
      </w:r>
    </w:p>
    <w:p w14:paraId="688A2285" w14:textId="77777777" w:rsidR="007A6E5C" w:rsidRDefault="007A6E5C" w:rsidP="007A6E5C">
      <w:pPr>
        <w:pStyle w:val="Heading3"/>
      </w:pPr>
      <w:bookmarkStart w:id="25" w:name="_Toc72918427"/>
      <w:r>
        <w:t>2. Processing completion timeframes for cardiovascular tissue</w:t>
      </w:r>
      <w:bookmarkEnd w:id="25"/>
    </w:p>
    <w:p w14:paraId="759F1BB8" w14:textId="77777777" w:rsidR="000B6298" w:rsidRDefault="000B6298" w:rsidP="000B6298">
      <w:pPr>
        <w:pStyle w:val="Heading4"/>
      </w:pPr>
      <w:r>
        <w:t>Background</w:t>
      </w:r>
    </w:p>
    <w:p w14:paraId="73F7680A" w14:textId="299BD15E" w:rsidR="000B6298" w:rsidRPr="00A2112D" w:rsidRDefault="00A2112D" w:rsidP="00A2112D">
      <w:r w:rsidRPr="00A2112D">
        <w:t xml:space="preserve">TGO 84 specifies collection and processing timeframes </w:t>
      </w:r>
      <w:r>
        <w:t>for cardiovascular tissue</w:t>
      </w:r>
      <w:r w:rsidR="0088289E">
        <w:rPr>
          <w:rStyle w:val="FootnoteReference"/>
        </w:rPr>
        <w:footnoteReference w:id="7"/>
      </w:r>
      <w:r>
        <w:t xml:space="preserve"> </w:t>
      </w:r>
      <w:r w:rsidRPr="00A2112D">
        <w:t>but does not mandate the processing completion timeframes. The completi</w:t>
      </w:r>
      <w:r w:rsidR="006F758E">
        <w:t>on timeframes are critical to en</w:t>
      </w:r>
      <w:r w:rsidRPr="00A2112D">
        <w:t xml:space="preserve">sure the quality and safety of the </w:t>
      </w:r>
      <w:r>
        <w:t>cardiovascular</w:t>
      </w:r>
      <w:r w:rsidRPr="00A2112D">
        <w:t xml:space="preserve"> </w:t>
      </w:r>
      <w:r>
        <w:t xml:space="preserve">tissue for its </w:t>
      </w:r>
      <w:r w:rsidRPr="00A2112D">
        <w:t>intended use.</w:t>
      </w:r>
    </w:p>
    <w:p w14:paraId="755F2DC2" w14:textId="77777777" w:rsidR="000B6298" w:rsidRDefault="000B6298" w:rsidP="000B6298">
      <w:pPr>
        <w:pStyle w:val="Heading4"/>
      </w:pPr>
      <w:r>
        <w:t>Proposal</w:t>
      </w:r>
    </w:p>
    <w:p w14:paraId="7A0B9F73" w14:textId="387315A8" w:rsidR="00105686" w:rsidRPr="00A2112D" w:rsidRDefault="00FE36F0" w:rsidP="00A2112D">
      <w:r w:rsidRPr="00A2112D">
        <w:t xml:space="preserve">We propose to </w:t>
      </w:r>
      <w:r w:rsidR="007576CC">
        <w:t>specify</w:t>
      </w:r>
      <w:r w:rsidRPr="00A2112D">
        <w:t xml:space="preserve"> that </w:t>
      </w:r>
      <w:r w:rsidR="00A2112D" w:rsidRPr="00A2112D">
        <w:t xml:space="preserve">the </w:t>
      </w:r>
      <w:r w:rsidRPr="00A2112D">
        <w:t>processing of human cardio</w:t>
      </w:r>
      <w:r w:rsidR="00DF74A8" w:rsidRPr="00A2112D">
        <w:t xml:space="preserve">vascular tissue product must be </w:t>
      </w:r>
      <w:r w:rsidRPr="00A2112D">
        <w:t>completed within 72 hours of asystole or coll</w:t>
      </w:r>
      <w:r w:rsidR="00A2112D" w:rsidRPr="00A2112D">
        <w:t xml:space="preserve">ection of the </w:t>
      </w:r>
      <w:r w:rsidRPr="00A2112D">
        <w:t xml:space="preserve">tissue. </w:t>
      </w:r>
      <w:r w:rsidR="00A2112D" w:rsidRPr="00A2112D">
        <w:t xml:space="preserve">This is </w:t>
      </w:r>
      <w:r w:rsidR="007272DF">
        <w:t xml:space="preserve">consistent with recent </w:t>
      </w:r>
      <w:r w:rsidR="00F46B59" w:rsidRPr="00A2112D">
        <w:t>recommendations in</w:t>
      </w:r>
      <w:r w:rsidRPr="00A2112D">
        <w:t xml:space="preserve"> </w:t>
      </w:r>
      <w:r w:rsidR="007272DF">
        <w:t xml:space="preserve">the </w:t>
      </w:r>
      <w:r w:rsidRPr="00A2112D">
        <w:t xml:space="preserve">Council of Europe’s </w:t>
      </w:r>
      <w:hyperlink r:id="rId46" w:history="1">
        <w:r w:rsidRPr="00A2112D">
          <w:rPr>
            <w:rStyle w:val="Hyperlink"/>
          </w:rPr>
          <w:t>4th Edition of the Guide to the quality and safety of tissues and cells for human application (2019)</w:t>
        </w:r>
      </w:hyperlink>
      <w:r w:rsidRPr="00A2112D">
        <w:t xml:space="preserve"> </w:t>
      </w:r>
      <w:r w:rsidR="00F46B59" w:rsidRPr="00A2112D">
        <w:t>which states that</w:t>
      </w:r>
      <w:r w:rsidRPr="00A2112D">
        <w:t xml:space="preserve"> entire manufacturing process (completion of cryopreservation) should be completed within 72 hours of asystole.</w:t>
      </w:r>
      <w:r w:rsidR="00F46B59" w:rsidRPr="00A2112D">
        <w:t xml:space="preserve"> </w:t>
      </w:r>
      <w:r w:rsidRPr="00A2112D">
        <w:t>Manufacturing timeframes longer than this should be justified and validated to ensure that the quality and safety of the allograft ti</w:t>
      </w:r>
      <w:r w:rsidR="00A317C2" w:rsidRPr="00A2112D">
        <w:t>ssue is not adversely affected.</w:t>
      </w:r>
    </w:p>
    <w:tbl>
      <w:tblPr>
        <w:tblpPr w:leftFromText="180" w:rightFromText="180" w:vertAnchor="text" w:horzAnchor="margin" w:tblpY="98"/>
        <w:tblW w:w="9072" w:type="dxa"/>
        <w:tblLayout w:type="fixed"/>
        <w:tblCellMar>
          <w:left w:w="0" w:type="dxa"/>
          <w:right w:w="0" w:type="dxa"/>
        </w:tblCellMar>
        <w:tblLook w:val="04A0" w:firstRow="1" w:lastRow="0" w:firstColumn="1" w:lastColumn="0" w:noHBand="0" w:noVBand="1"/>
      </w:tblPr>
      <w:tblGrid>
        <w:gridCol w:w="1134"/>
        <w:gridCol w:w="7938"/>
      </w:tblGrid>
      <w:tr w:rsidR="00105686" w:rsidRPr="00796BC5" w14:paraId="7ABE0315" w14:textId="77777777" w:rsidTr="00105686">
        <w:trPr>
          <w:trHeight w:val="964"/>
        </w:trPr>
        <w:tc>
          <w:tcPr>
            <w:tcW w:w="1134" w:type="dxa"/>
            <w:vAlign w:val="center"/>
          </w:tcPr>
          <w:p w14:paraId="2AF102E1" w14:textId="77777777" w:rsidR="00105686" w:rsidRPr="00796BC5" w:rsidRDefault="00105686" w:rsidP="00105686">
            <w:pPr>
              <w:rPr>
                <w:bCs/>
              </w:rPr>
            </w:pPr>
            <w:r w:rsidRPr="00796BC5">
              <w:rPr>
                <w:bCs/>
                <w:noProof/>
                <w:lang w:eastAsia="en-AU"/>
              </w:rPr>
              <w:drawing>
                <wp:inline distT="0" distB="0" distL="0" distR="0" wp14:anchorId="3B4599D0" wp14:editId="782A89D7">
                  <wp:extent cx="489600" cy="489600"/>
                  <wp:effectExtent l="0" t="0" r="5715" b="571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ceyg\AppData\Local\Microsoft\Windows\Temporary Internet Files\Content.IE5\1L6LQT4S\1390060157[1].png"/>
                          <pic:cNvPicPr>
                            <a:picLocks noChangeAspect="1" noChangeArrowheads="1"/>
                          </pic:cNvPicPr>
                        </pic:nvPicPr>
                        <pic:blipFill>
                          <a:blip r:embed="rId34" cstate="print">
                            <a:extLst>
                              <a:ext uri="{28A0092B-C50C-407E-A947-70E740481C1C}">
                                <a14:useLocalDpi xmlns:a14="http://schemas.microsoft.com/office/drawing/2010/main" val="0"/>
                              </a:ext>
                            </a:extLst>
                          </a:blip>
                          <a:stretch>
                            <a:fillRect/>
                          </a:stretch>
                        </pic:blipFill>
                        <pic:spPr bwMode="auto">
                          <a:xfrm>
                            <a:off x="0" y="0"/>
                            <a:ext cx="489600" cy="489600"/>
                          </a:xfrm>
                          <a:prstGeom prst="rect">
                            <a:avLst/>
                          </a:prstGeom>
                          <a:noFill/>
                          <a:ln>
                            <a:noFill/>
                          </a:ln>
                        </pic:spPr>
                      </pic:pic>
                    </a:graphicData>
                  </a:graphic>
                </wp:inline>
              </w:drawing>
            </w:r>
          </w:p>
        </w:tc>
        <w:tc>
          <w:tcPr>
            <w:tcW w:w="7938" w:type="dxa"/>
            <w:shd w:val="clear" w:color="auto" w:fill="EAEAEA"/>
            <w:tcMar>
              <w:top w:w="170" w:type="dxa"/>
              <w:left w:w="170" w:type="dxa"/>
              <w:bottom w:w="170" w:type="dxa"/>
              <w:right w:w="170" w:type="dxa"/>
            </w:tcMar>
          </w:tcPr>
          <w:p w14:paraId="6C42599F" w14:textId="77777777" w:rsidR="00105686" w:rsidRPr="00FB7E34" w:rsidRDefault="00105686" w:rsidP="00AF672B">
            <w:pPr>
              <w:rPr>
                <w:b/>
                <w:bCs/>
              </w:rPr>
            </w:pPr>
            <w:r w:rsidRPr="00FB7E34">
              <w:rPr>
                <w:b/>
                <w:bCs/>
              </w:rPr>
              <w:t xml:space="preserve">Question </w:t>
            </w:r>
            <w:r w:rsidR="004F1306" w:rsidRPr="00FB7E34">
              <w:rPr>
                <w:b/>
                <w:bCs/>
              </w:rPr>
              <w:t>1</w:t>
            </w:r>
            <w:r w:rsidR="001F2155" w:rsidRPr="00FB7E34">
              <w:rPr>
                <w:b/>
                <w:bCs/>
              </w:rPr>
              <w:t>9</w:t>
            </w:r>
            <w:r w:rsidRPr="00FB7E34">
              <w:rPr>
                <w:b/>
                <w:bCs/>
              </w:rPr>
              <w:t xml:space="preserve">: </w:t>
            </w:r>
            <w:r w:rsidR="001F2155" w:rsidRPr="00FB7E34">
              <w:rPr>
                <w:b/>
                <w:bCs/>
                <w:noProof/>
                <w:lang w:eastAsia="en-AU"/>
              </w:rPr>
              <w:t>Do you agree that completion of processing timeframes should be mandated for human cardiovascular tissue products</w:t>
            </w:r>
            <w:r w:rsidR="008C1094" w:rsidRPr="00FB7E34">
              <w:rPr>
                <w:b/>
                <w:bCs/>
              </w:rPr>
              <w:t>?</w:t>
            </w:r>
          </w:p>
          <w:p w14:paraId="03E17123" w14:textId="42726889" w:rsidR="001F2155" w:rsidRPr="008C1094" w:rsidRDefault="001F2155" w:rsidP="00AF5522">
            <w:pPr>
              <w:rPr>
                <w:b/>
                <w:bCs/>
              </w:rPr>
            </w:pPr>
            <w:r w:rsidRPr="00FB7E34">
              <w:rPr>
                <w:b/>
                <w:bCs/>
              </w:rPr>
              <w:t xml:space="preserve">Question 20: </w:t>
            </w:r>
            <w:r w:rsidRPr="00FB7E34">
              <w:rPr>
                <w:b/>
                <w:bCs/>
                <w:noProof/>
                <w:lang w:eastAsia="en-AU"/>
              </w:rPr>
              <w:t xml:space="preserve">If </w:t>
            </w:r>
            <w:r w:rsidR="00AF5522">
              <w:rPr>
                <w:b/>
                <w:bCs/>
                <w:noProof/>
                <w:lang w:eastAsia="en-AU"/>
              </w:rPr>
              <w:t>yes</w:t>
            </w:r>
            <w:r w:rsidRPr="00FB7E34">
              <w:rPr>
                <w:b/>
                <w:bCs/>
                <w:noProof/>
                <w:lang w:eastAsia="en-AU"/>
              </w:rPr>
              <w:t>, do you also agree that processing should be completed within 72 hours of collection unless otherwise validated</w:t>
            </w:r>
            <w:r w:rsidR="00FB7E34" w:rsidRPr="00FB7E34">
              <w:rPr>
                <w:b/>
                <w:bCs/>
                <w:noProof/>
                <w:lang w:eastAsia="en-AU"/>
              </w:rPr>
              <w:t>?</w:t>
            </w:r>
          </w:p>
        </w:tc>
      </w:tr>
    </w:tbl>
    <w:p w14:paraId="5878A2FC" w14:textId="42F02817" w:rsidR="008C1094" w:rsidRPr="000206D0" w:rsidRDefault="008C1094" w:rsidP="008C1094">
      <w:pPr>
        <w:pStyle w:val="Heading3"/>
      </w:pPr>
      <w:bookmarkStart w:id="26" w:name="_Toc72918428"/>
      <w:r>
        <w:t>3. Other issues</w:t>
      </w:r>
      <w:bookmarkEnd w:id="26"/>
    </w:p>
    <w:p w14:paraId="77B9DF0E" w14:textId="163F462A" w:rsidR="00B73BD8" w:rsidRDefault="00D829A8" w:rsidP="008C1094">
      <w:r>
        <w:t>No other major c</w:t>
      </w:r>
      <w:r w:rsidR="00B73BD8">
        <w:t>hange</w:t>
      </w:r>
      <w:r w:rsidR="0008490C">
        <w:t>s are proposed for TGO 109. W</w:t>
      </w:r>
      <w:r w:rsidR="0008490C" w:rsidRPr="0008490C">
        <w:t>e welcome any suggestions and other comments to improve</w:t>
      </w:r>
      <w:r w:rsidR="0008490C">
        <w:t xml:space="preserve"> the changes proposed in TGO 109</w:t>
      </w:r>
      <w:r w:rsidR="0008490C" w:rsidRPr="0008490C">
        <w:t xml:space="preserve"> and its associated guidance</w:t>
      </w:r>
      <w:r w:rsidR="0008490C">
        <w:t>.</w:t>
      </w:r>
    </w:p>
    <w:tbl>
      <w:tblPr>
        <w:tblpPr w:leftFromText="180" w:rightFromText="180" w:vertAnchor="text" w:horzAnchor="margin" w:tblpY="98"/>
        <w:tblW w:w="9072" w:type="dxa"/>
        <w:tblLayout w:type="fixed"/>
        <w:tblCellMar>
          <w:left w:w="0" w:type="dxa"/>
          <w:right w:w="0" w:type="dxa"/>
        </w:tblCellMar>
        <w:tblLook w:val="04A0" w:firstRow="1" w:lastRow="0" w:firstColumn="1" w:lastColumn="0" w:noHBand="0" w:noVBand="1"/>
      </w:tblPr>
      <w:tblGrid>
        <w:gridCol w:w="1134"/>
        <w:gridCol w:w="7938"/>
      </w:tblGrid>
      <w:tr w:rsidR="008C1094" w:rsidRPr="00796BC5" w14:paraId="2384952A" w14:textId="77777777" w:rsidTr="004A0B30">
        <w:trPr>
          <w:trHeight w:val="964"/>
        </w:trPr>
        <w:tc>
          <w:tcPr>
            <w:tcW w:w="1134" w:type="dxa"/>
            <w:vAlign w:val="center"/>
          </w:tcPr>
          <w:p w14:paraId="67795BF7" w14:textId="77777777" w:rsidR="008C1094" w:rsidRPr="00796BC5" w:rsidRDefault="008C1094" w:rsidP="004A0B30">
            <w:pPr>
              <w:rPr>
                <w:bCs/>
              </w:rPr>
            </w:pPr>
            <w:r w:rsidRPr="00796BC5">
              <w:rPr>
                <w:bCs/>
                <w:noProof/>
                <w:lang w:eastAsia="en-AU"/>
              </w:rPr>
              <w:drawing>
                <wp:inline distT="0" distB="0" distL="0" distR="0" wp14:anchorId="33EE54AF" wp14:editId="59338F18">
                  <wp:extent cx="489600" cy="489600"/>
                  <wp:effectExtent l="0" t="0" r="5715"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ceyg\AppData\Local\Microsoft\Windows\Temporary Internet Files\Content.IE5\1L6LQT4S\1390060157[1].png"/>
                          <pic:cNvPicPr>
                            <a:picLocks noChangeAspect="1" noChangeArrowheads="1"/>
                          </pic:cNvPicPr>
                        </pic:nvPicPr>
                        <pic:blipFill>
                          <a:blip r:embed="rId34" cstate="print">
                            <a:extLst>
                              <a:ext uri="{28A0092B-C50C-407E-A947-70E740481C1C}">
                                <a14:useLocalDpi xmlns:a14="http://schemas.microsoft.com/office/drawing/2010/main" val="0"/>
                              </a:ext>
                            </a:extLst>
                          </a:blip>
                          <a:stretch>
                            <a:fillRect/>
                          </a:stretch>
                        </pic:blipFill>
                        <pic:spPr bwMode="auto">
                          <a:xfrm>
                            <a:off x="0" y="0"/>
                            <a:ext cx="489600" cy="489600"/>
                          </a:xfrm>
                          <a:prstGeom prst="rect">
                            <a:avLst/>
                          </a:prstGeom>
                          <a:noFill/>
                          <a:ln>
                            <a:noFill/>
                          </a:ln>
                        </pic:spPr>
                      </pic:pic>
                    </a:graphicData>
                  </a:graphic>
                </wp:inline>
              </w:drawing>
            </w:r>
          </w:p>
        </w:tc>
        <w:tc>
          <w:tcPr>
            <w:tcW w:w="7938" w:type="dxa"/>
            <w:shd w:val="clear" w:color="auto" w:fill="EAEAEA"/>
            <w:tcMar>
              <w:top w:w="170" w:type="dxa"/>
              <w:left w:w="170" w:type="dxa"/>
              <w:bottom w:w="170" w:type="dxa"/>
              <w:right w:w="170" w:type="dxa"/>
            </w:tcMar>
          </w:tcPr>
          <w:p w14:paraId="35CA0DEA" w14:textId="51A55CF9" w:rsidR="00B73BD8" w:rsidRPr="004F1306" w:rsidRDefault="00B73BD8" w:rsidP="00A14B19">
            <w:pPr>
              <w:rPr>
                <w:b/>
                <w:bCs/>
              </w:rPr>
            </w:pPr>
            <w:r>
              <w:rPr>
                <w:b/>
                <w:bCs/>
              </w:rPr>
              <w:t xml:space="preserve">Question </w:t>
            </w:r>
            <w:r w:rsidR="00FB7E34">
              <w:rPr>
                <w:b/>
                <w:bCs/>
              </w:rPr>
              <w:t>21</w:t>
            </w:r>
            <w:r>
              <w:rPr>
                <w:b/>
                <w:bCs/>
              </w:rPr>
              <w:t xml:space="preserve">: </w:t>
            </w:r>
            <w:r w:rsidR="001F2155" w:rsidRPr="001F2155">
              <w:rPr>
                <w:b/>
                <w:bCs/>
              </w:rPr>
              <w:t>Please tell us any other suggestions or comments that you believe will improve the proposed TGO 10</w:t>
            </w:r>
            <w:r w:rsidR="001F2155">
              <w:rPr>
                <w:b/>
                <w:bCs/>
              </w:rPr>
              <w:t>9</w:t>
            </w:r>
            <w:r w:rsidR="001F2155" w:rsidRPr="001F2155">
              <w:rPr>
                <w:b/>
                <w:bCs/>
              </w:rPr>
              <w:t xml:space="preserve"> and its associated guidance.</w:t>
            </w:r>
          </w:p>
        </w:tc>
      </w:tr>
    </w:tbl>
    <w:p w14:paraId="34439CB8" w14:textId="7AECB514" w:rsidR="00C56F96" w:rsidRDefault="00D0307F" w:rsidP="00D0307F">
      <w:pPr>
        <w:pStyle w:val="Heading2"/>
      </w:pPr>
      <w:bookmarkStart w:id="27" w:name="_Toc72918429"/>
      <w:r>
        <w:lastRenderedPageBreak/>
        <w:t>Merging</w:t>
      </w:r>
      <w:r w:rsidR="00C56F96" w:rsidRPr="00C56F96">
        <w:t xml:space="preserve"> </w:t>
      </w:r>
      <w:r>
        <w:t>legislative i</w:t>
      </w:r>
      <w:r w:rsidR="000206D0">
        <w:t>nstruments</w:t>
      </w:r>
      <w:bookmarkEnd w:id="27"/>
    </w:p>
    <w:p w14:paraId="0B7716BC" w14:textId="2B4EE35F" w:rsidR="00A2112D" w:rsidRPr="00A2112D" w:rsidRDefault="007A6E5C" w:rsidP="00105686">
      <w:pPr>
        <w:rPr>
          <w:u w:val="single"/>
        </w:rPr>
      </w:pPr>
      <w:r>
        <w:t>For the purposes of clarity and simplicity, w</w:t>
      </w:r>
      <w:r w:rsidR="000206D0" w:rsidRPr="000206D0">
        <w:t>e propose</w:t>
      </w:r>
      <w:r w:rsidR="001A7020">
        <w:t xml:space="preserve"> </w:t>
      </w:r>
      <w:r w:rsidR="000206D0" w:rsidRPr="000206D0">
        <w:t xml:space="preserve">to merge the </w:t>
      </w:r>
      <w:hyperlink r:id="rId47" w:history="1">
        <w:r w:rsidR="000206D0" w:rsidRPr="000206D0">
          <w:rPr>
            <w:rStyle w:val="Hyperlink"/>
          </w:rPr>
          <w:t>Therapeutic Goods (Things that are not Biologicals) Determination No. 1 of 2011</w:t>
        </w:r>
      </w:hyperlink>
      <w:r w:rsidR="00A2112D">
        <w:t xml:space="preserve"> </w:t>
      </w:r>
      <w:r w:rsidR="000206D0" w:rsidRPr="000206D0">
        <w:t xml:space="preserve">with the </w:t>
      </w:r>
      <w:hyperlink r:id="rId48" w:history="1">
        <w:r w:rsidR="000206D0" w:rsidRPr="000206D0">
          <w:rPr>
            <w:rStyle w:val="Hyperlink"/>
          </w:rPr>
          <w:t>Therapeutic Goods (Things that are Biologicals) Specification 2019</w:t>
        </w:r>
      </w:hyperlink>
      <w:r w:rsidR="00A2112D">
        <w:t xml:space="preserve">. This </w:t>
      </w:r>
      <w:r>
        <w:t xml:space="preserve">change involves no substantive changes and is instead simply the drafting of </w:t>
      </w:r>
      <w:r w:rsidR="00A2112D">
        <w:t>a single legislative</w:t>
      </w:r>
      <w:r w:rsidR="007576CC">
        <w:t xml:space="preserve"> instrument that defines whether a material is or is not a biological.</w:t>
      </w:r>
    </w:p>
    <w:p w14:paraId="5B421EF2" w14:textId="0F6E09B5" w:rsidR="00105686" w:rsidRDefault="000206D0" w:rsidP="00105686">
      <w:r w:rsidRPr="000206D0">
        <w:t xml:space="preserve">A copy of the proposed new </w:t>
      </w:r>
      <w:r>
        <w:t>legislative instrument</w:t>
      </w:r>
      <w:r w:rsidRPr="000206D0">
        <w:t xml:space="preserve"> is in Appendix </w:t>
      </w:r>
      <w:r>
        <w:t>4</w:t>
      </w:r>
      <w:r w:rsidR="00105686">
        <w:t>.</w:t>
      </w:r>
    </w:p>
    <w:tbl>
      <w:tblPr>
        <w:tblpPr w:leftFromText="180" w:rightFromText="180" w:vertAnchor="text" w:horzAnchor="margin" w:tblpY="98"/>
        <w:tblW w:w="9072" w:type="dxa"/>
        <w:tblLayout w:type="fixed"/>
        <w:tblCellMar>
          <w:left w:w="0" w:type="dxa"/>
          <w:right w:w="0" w:type="dxa"/>
        </w:tblCellMar>
        <w:tblLook w:val="04A0" w:firstRow="1" w:lastRow="0" w:firstColumn="1" w:lastColumn="0" w:noHBand="0" w:noVBand="1"/>
      </w:tblPr>
      <w:tblGrid>
        <w:gridCol w:w="1134"/>
        <w:gridCol w:w="7938"/>
      </w:tblGrid>
      <w:tr w:rsidR="00105686" w:rsidRPr="00796BC5" w14:paraId="27A9C56A" w14:textId="77777777" w:rsidTr="00FB7E34">
        <w:trPr>
          <w:trHeight w:val="830"/>
        </w:trPr>
        <w:tc>
          <w:tcPr>
            <w:tcW w:w="1134" w:type="dxa"/>
            <w:vAlign w:val="center"/>
          </w:tcPr>
          <w:p w14:paraId="12AA1524" w14:textId="77777777" w:rsidR="00105686" w:rsidRPr="00796BC5" w:rsidRDefault="00105686" w:rsidP="00105686">
            <w:pPr>
              <w:rPr>
                <w:bCs/>
              </w:rPr>
            </w:pPr>
            <w:r w:rsidRPr="00796BC5">
              <w:rPr>
                <w:bCs/>
                <w:noProof/>
                <w:lang w:eastAsia="en-AU"/>
              </w:rPr>
              <w:drawing>
                <wp:inline distT="0" distB="0" distL="0" distR="0" wp14:anchorId="2A5DCCFA" wp14:editId="6B8D59ED">
                  <wp:extent cx="489600" cy="489600"/>
                  <wp:effectExtent l="0" t="0" r="5715" b="571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ceyg\AppData\Local\Microsoft\Windows\Temporary Internet Files\Content.IE5\1L6LQT4S\1390060157[1].png"/>
                          <pic:cNvPicPr>
                            <a:picLocks noChangeAspect="1" noChangeArrowheads="1"/>
                          </pic:cNvPicPr>
                        </pic:nvPicPr>
                        <pic:blipFill>
                          <a:blip r:embed="rId34" cstate="print">
                            <a:extLst>
                              <a:ext uri="{28A0092B-C50C-407E-A947-70E740481C1C}">
                                <a14:useLocalDpi xmlns:a14="http://schemas.microsoft.com/office/drawing/2010/main" val="0"/>
                              </a:ext>
                            </a:extLst>
                          </a:blip>
                          <a:stretch>
                            <a:fillRect/>
                          </a:stretch>
                        </pic:blipFill>
                        <pic:spPr bwMode="auto">
                          <a:xfrm>
                            <a:off x="0" y="0"/>
                            <a:ext cx="489600" cy="489600"/>
                          </a:xfrm>
                          <a:prstGeom prst="rect">
                            <a:avLst/>
                          </a:prstGeom>
                          <a:noFill/>
                          <a:ln>
                            <a:noFill/>
                          </a:ln>
                        </pic:spPr>
                      </pic:pic>
                    </a:graphicData>
                  </a:graphic>
                </wp:inline>
              </w:drawing>
            </w:r>
          </w:p>
        </w:tc>
        <w:tc>
          <w:tcPr>
            <w:tcW w:w="7938" w:type="dxa"/>
            <w:shd w:val="clear" w:color="auto" w:fill="EAEAEA"/>
            <w:tcMar>
              <w:top w:w="170" w:type="dxa"/>
              <w:left w:w="170" w:type="dxa"/>
              <w:bottom w:w="170" w:type="dxa"/>
              <w:right w:w="170" w:type="dxa"/>
            </w:tcMar>
          </w:tcPr>
          <w:p w14:paraId="03E5F30C" w14:textId="7937999A" w:rsidR="00B73BD8" w:rsidRPr="00FB7E34" w:rsidRDefault="00FB7E34" w:rsidP="001F2155">
            <w:pPr>
              <w:rPr>
                <w:b/>
                <w:bCs/>
              </w:rPr>
            </w:pPr>
            <w:r w:rsidRPr="00FB7E34">
              <w:rPr>
                <w:b/>
                <w:bCs/>
              </w:rPr>
              <w:t>Question 22</w:t>
            </w:r>
            <w:r w:rsidR="00105686" w:rsidRPr="00FB7E34">
              <w:rPr>
                <w:b/>
                <w:bCs/>
              </w:rPr>
              <w:t xml:space="preserve">: </w:t>
            </w:r>
            <w:r w:rsidR="001F2155" w:rsidRPr="00FB7E34">
              <w:rPr>
                <w:b/>
                <w:bCs/>
              </w:rPr>
              <w:t xml:space="preserve">Please </w:t>
            </w:r>
            <w:r w:rsidRPr="00FB7E34">
              <w:rPr>
                <w:b/>
                <w:bCs/>
              </w:rPr>
              <w:t>tell us if you have any comments on the draft legislative instrument.</w:t>
            </w:r>
          </w:p>
        </w:tc>
      </w:tr>
    </w:tbl>
    <w:p w14:paraId="225ECFE2" w14:textId="77777777" w:rsidR="00364C6A" w:rsidRPr="00A83877" w:rsidRDefault="00364C6A" w:rsidP="00D0307F">
      <w:pPr>
        <w:pStyle w:val="Heading2"/>
      </w:pPr>
      <w:bookmarkStart w:id="28" w:name="_Toc63843077"/>
      <w:bookmarkStart w:id="29" w:name="_Toc72918430"/>
      <w:bookmarkStart w:id="30" w:name="_Toc61239964"/>
      <w:r w:rsidRPr="00A83877">
        <w:t>Providing feedback</w:t>
      </w:r>
      <w:bookmarkEnd w:id="28"/>
      <w:bookmarkEnd w:id="29"/>
    </w:p>
    <w:p w14:paraId="2A59C4CE" w14:textId="14A5A363" w:rsidR="00364C6A" w:rsidRPr="00A0236B" w:rsidRDefault="00364C6A" w:rsidP="00364C6A">
      <w:r w:rsidRPr="00C30879">
        <w:t xml:space="preserve">TGA is seeking feedback on the suitability and potential </w:t>
      </w:r>
      <w:r w:rsidR="00041B58">
        <w:t xml:space="preserve">regulatory </w:t>
      </w:r>
      <w:r w:rsidRPr="00C30879">
        <w:t xml:space="preserve">impact that any proposed </w:t>
      </w:r>
      <w:r>
        <w:t xml:space="preserve">amendments may have on </w:t>
      </w:r>
      <w:r w:rsidR="00041B58">
        <w:t xml:space="preserve">affected </w:t>
      </w:r>
      <w:r w:rsidRPr="00C30879">
        <w:t xml:space="preserve">stakeholders. </w:t>
      </w:r>
      <w:r w:rsidRPr="00A0236B">
        <w:t xml:space="preserve">We invite you to provide your feedback by completing our online survey on the </w:t>
      </w:r>
      <w:hyperlink r:id="rId49" w:history="1">
        <w:r w:rsidRPr="00A0236B">
          <w:rPr>
            <w:rStyle w:val="Hyperlink"/>
          </w:rPr>
          <w:t>Department of Health’s Consultation Hub</w:t>
        </w:r>
      </w:hyperlink>
      <w:r>
        <w:t>.</w:t>
      </w:r>
    </w:p>
    <w:p w14:paraId="50DFD30C" w14:textId="77777777" w:rsidR="00364C6A" w:rsidRPr="00A0236B" w:rsidRDefault="00364C6A" w:rsidP="00364C6A">
      <w:r w:rsidRPr="00A0236B">
        <w:t>All responses will be pu</w:t>
      </w:r>
      <w:r>
        <w:t xml:space="preserve">blished on the TGA website </w:t>
      </w:r>
      <w:r w:rsidRPr="00A0236B">
        <w:t xml:space="preserve">unless you specifically request that your response be kept confidential. </w:t>
      </w:r>
    </w:p>
    <w:p w14:paraId="60655F17" w14:textId="79771E0D" w:rsidR="00DF74A8" w:rsidRPr="00BB5F9E" w:rsidRDefault="00DF74A8" w:rsidP="00D0307F">
      <w:pPr>
        <w:pStyle w:val="Heading2"/>
      </w:pPr>
      <w:bookmarkStart w:id="31" w:name="_Toc22807726"/>
      <w:bookmarkStart w:id="32" w:name="_Toc72918431"/>
      <w:bookmarkStart w:id="33" w:name="_Toc63843078"/>
      <w:bookmarkEnd w:id="30"/>
      <w:r>
        <w:t>C</w:t>
      </w:r>
      <w:r w:rsidRPr="00BB5F9E">
        <w:t>ommencement</w:t>
      </w:r>
      <w:bookmarkEnd w:id="31"/>
      <w:r w:rsidR="007576CC">
        <w:t xml:space="preserve"> date</w:t>
      </w:r>
      <w:bookmarkEnd w:id="32"/>
    </w:p>
    <w:p w14:paraId="492F35F4" w14:textId="02BFAE15" w:rsidR="005F4969" w:rsidRPr="006F758E" w:rsidRDefault="006F758E" w:rsidP="00DF74A8">
      <w:r>
        <w:t xml:space="preserve">The </w:t>
      </w:r>
      <w:r w:rsidR="00DF74A8" w:rsidRPr="006F758E">
        <w:t xml:space="preserve">commencement date of </w:t>
      </w:r>
      <w:r>
        <w:t xml:space="preserve">the new legislative instruments will be </w:t>
      </w:r>
      <w:r w:rsidR="00DF74A8" w:rsidRPr="006F758E">
        <w:t>30 September 2021</w:t>
      </w:r>
      <w:r>
        <w:t>, with publication of the finalised instruments beforehand.</w:t>
      </w:r>
    </w:p>
    <w:p w14:paraId="2BFDE12E" w14:textId="2B806D9B" w:rsidR="00DF74A8" w:rsidRPr="004403A3" w:rsidRDefault="00DF74A8" w:rsidP="00DF74A8">
      <w:r w:rsidRPr="000801D6">
        <w:t>A</w:t>
      </w:r>
      <w:r w:rsidR="006F758E">
        <w:t>ny</w:t>
      </w:r>
      <w:r w:rsidRPr="000801D6">
        <w:t xml:space="preserve"> transition period will be introduced</w:t>
      </w:r>
      <w:r w:rsidR="006F758E">
        <w:t xml:space="preserve"> </w:t>
      </w:r>
      <w:r>
        <w:t>where necessary</w:t>
      </w:r>
      <w:r w:rsidR="005F4969">
        <w:t xml:space="preserve"> and</w:t>
      </w:r>
      <w:r>
        <w:t xml:space="preserve"> based on the out</w:t>
      </w:r>
      <w:r w:rsidR="007576CC">
        <w:t xml:space="preserve">comes of our </w:t>
      </w:r>
      <w:r w:rsidR="005F4969">
        <w:t>consultation</w:t>
      </w:r>
      <w:r>
        <w:t>.</w:t>
      </w:r>
    </w:p>
    <w:p w14:paraId="35B066C0" w14:textId="5E7FFAA3" w:rsidR="00364C6A" w:rsidRPr="00A83877" w:rsidRDefault="00364C6A" w:rsidP="00D0307F">
      <w:pPr>
        <w:pStyle w:val="Heading2"/>
      </w:pPr>
      <w:bookmarkStart w:id="34" w:name="_Toc72918432"/>
      <w:r w:rsidRPr="00A83877">
        <w:t>What happens next</w:t>
      </w:r>
      <w:bookmarkEnd w:id="33"/>
      <w:bookmarkEnd w:id="34"/>
    </w:p>
    <w:p w14:paraId="4B62A319" w14:textId="555143AA" w:rsidR="00364C6A" w:rsidRDefault="004D5282" w:rsidP="00364C6A">
      <w:r w:rsidRPr="004D5282">
        <w:t xml:space="preserve">Submissions will be reviewed by the TGA and a summary of the submissions will be posted on this website. A decision about </w:t>
      </w:r>
      <w:r w:rsidR="001C0714">
        <w:t>re</w:t>
      </w:r>
      <w:r w:rsidRPr="004D5282">
        <w:t xml:space="preserve">making the </w:t>
      </w:r>
      <w:r w:rsidR="001C0714">
        <w:t>TGOs will be made</w:t>
      </w:r>
      <w:r w:rsidRPr="004D5282">
        <w:t xml:space="preserve"> after s</w:t>
      </w:r>
      <w:r>
        <w:t>ubmissions have been considered</w:t>
      </w:r>
      <w:r w:rsidR="00364C6A" w:rsidRPr="00A83877">
        <w:t xml:space="preserve">. </w:t>
      </w:r>
    </w:p>
    <w:p w14:paraId="2217DDA3" w14:textId="480E4AFE" w:rsidR="00364C6A" w:rsidRPr="006C6F97" w:rsidRDefault="00364C6A" w:rsidP="00364C6A">
      <w:pPr>
        <w:rPr>
          <w:b/>
          <w:bCs/>
        </w:rPr>
      </w:pPr>
      <w:r>
        <w:t xml:space="preserve">Sponsors of existing HCT products will be required to submit a single </w:t>
      </w:r>
      <w:hyperlink r:id="rId50" w:history="1">
        <w:r>
          <w:rPr>
            <w:rStyle w:val="Hyperlink"/>
          </w:rPr>
          <w:t>n</w:t>
        </w:r>
        <w:r w:rsidRPr="00D7618A">
          <w:rPr>
            <w:rStyle w:val="Hyperlink"/>
          </w:rPr>
          <w:t>otification for included biologicals</w:t>
        </w:r>
      </w:hyperlink>
      <w:r>
        <w:t xml:space="preserve"> to confirm their ongoing compliance</w:t>
      </w:r>
      <w:r w:rsidR="007C0584">
        <w:t xml:space="preserve"> after these TGOs are remade</w:t>
      </w:r>
      <w:r w:rsidR="004F1306">
        <w:t>.</w:t>
      </w:r>
    </w:p>
    <w:p w14:paraId="76F133D5" w14:textId="77777777" w:rsidR="004F1306" w:rsidRDefault="004F1306">
      <w:pPr>
        <w:spacing w:before="0" w:after="0" w:line="240" w:lineRule="auto"/>
        <w:rPr>
          <w:rFonts w:ascii="Arial" w:eastAsia="Times New Roman" w:hAnsi="Arial"/>
          <w:b/>
          <w:bCs/>
          <w:sz w:val="38"/>
          <w:szCs w:val="38"/>
        </w:rPr>
      </w:pPr>
      <w:r>
        <w:br w:type="page"/>
      </w:r>
    </w:p>
    <w:p w14:paraId="06CF3392" w14:textId="76D22563" w:rsidR="00D0307F" w:rsidRDefault="00D0307F" w:rsidP="00D0307F">
      <w:pPr>
        <w:pStyle w:val="Heading2"/>
      </w:pPr>
      <w:bookmarkStart w:id="35" w:name="_Toc72918433"/>
      <w:r>
        <w:lastRenderedPageBreak/>
        <w:t>Appendices</w:t>
      </w:r>
      <w:bookmarkEnd w:id="35"/>
    </w:p>
    <w:p w14:paraId="60104AC2" w14:textId="1C99C6A2" w:rsidR="00E20088" w:rsidRDefault="00E20088" w:rsidP="00D0307F">
      <w:pPr>
        <w:pStyle w:val="Heading3"/>
      </w:pPr>
      <w:bookmarkStart w:id="36" w:name="_Toc72918434"/>
      <w:r>
        <w:t>Appendix</w:t>
      </w:r>
      <w:r w:rsidR="00C47D89">
        <w:t xml:space="preserve"> 1: </w:t>
      </w:r>
      <w:r w:rsidR="0088661D">
        <w:t xml:space="preserve">Proposed </w:t>
      </w:r>
      <w:r w:rsidR="00806CC8">
        <w:t>a</w:t>
      </w:r>
      <w:r w:rsidR="0088661D">
        <w:t>mendments to TGO</w:t>
      </w:r>
      <w:r w:rsidR="00806CC8">
        <w:t xml:space="preserve"> </w:t>
      </w:r>
      <w:r w:rsidR="0088661D">
        <w:t>107</w:t>
      </w:r>
      <w:bookmarkEnd w:id="36"/>
    </w:p>
    <w:p w14:paraId="3D96FAAA" w14:textId="77777777" w:rsidR="001C0714" w:rsidRDefault="003B750F" w:rsidP="00AF5522">
      <w:pPr>
        <w:numPr>
          <w:ilvl w:val="0"/>
          <w:numId w:val="24"/>
        </w:numPr>
      </w:pPr>
      <w:r w:rsidRPr="00AF5522">
        <w:t>D</w:t>
      </w:r>
      <w:r w:rsidR="00C56F96" w:rsidRPr="00AF5522">
        <w:t xml:space="preserve">raft </w:t>
      </w:r>
      <w:r w:rsidR="00DF74A8" w:rsidRPr="001C0714">
        <w:rPr>
          <w:i/>
        </w:rPr>
        <w:t>Therapeutic Goods (Standard for Biologicals—Labelling Requirements) (TGO 107) Order 2021</w:t>
      </w:r>
    </w:p>
    <w:p w14:paraId="092E787A" w14:textId="77777777" w:rsidR="001C0714" w:rsidRDefault="003B750F" w:rsidP="00AF5522">
      <w:pPr>
        <w:numPr>
          <w:ilvl w:val="0"/>
          <w:numId w:val="24"/>
        </w:numPr>
      </w:pPr>
      <w:r w:rsidRPr="00AF5522">
        <w:t>D</w:t>
      </w:r>
      <w:r w:rsidR="00C56F96" w:rsidRPr="00AF5522">
        <w:t xml:space="preserve">raft </w:t>
      </w:r>
      <w:r w:rsidR="0088661D" w:rsidRPr="00AF5522">
        <w:t>TGO 107 Guidance</w:t>
      </w:r>
    </w:p>
    <w:p w14:paraId="6BD3B25F" w14:textId="150202B4" w:rsidR="0088661D" w:rsidRPr="00AF5522" w:rsidRDefault="0088661D" w:rsidP="00AF5522">
      <w:pPr>
        <w:numPr>
          <w:ilvl w:val="0"/>
          <w:numId w:val="24"/>
        </w:numPr>
      </w:pPr>
      <w:r w:rsidRPr="00AF5522">
        <w:t>Mapping document, which tracks the requirements specified in TGO</w:t>
      </w:r>
      <w:r w:rsidR="003B750F" w:rsidRPr="00AF5522">
        <w:t xml:space="preserve"> </w:t>
      </w:r>
      <w:r w:rsidRPr="00AF5522">
        <w:t>107 from TGO</w:t>
      </w:r>
      <w:r w:rsidR="003B750F" w:rsidRPr="00AF5522">
        <w:t xml:space="preserve"> </w:t>
      </w:r>
      <w:r w:rsidRPr="00AF5522">
        <w:t>87</w:t>
      </w:r>
    </w:p>
    <w:p w14:paraId="65B9331C" w14:textId="01DC4F09" w:rsidR="00B021A6" w:rsidRDefault="00C47D89" w:rsidP="00D0307F">
      <w:pPr>
        <w:pStyle w:val="Heading3"/>
      </w:pPr>
      <w:bookmarkStart w:id="37" w:name="_Toc72918435"/>
      <w:r>
        <w:t xml:space="preserve">Appendix 2: </w:t>
      </w:r>
      <w:r w:rsidR="00C56F96" w:rsidRPr="00C56F96">
        <w:t xml:space="preserve">Proposed </w:t>
      </w:r>
      <w:r w:rsidR="00806CC8">
        <w:t>a</w:t>
      </w:r>
      <w:r w:rsidR="00C56F96" w:rsidRPr="00C56F96">
        <w:t>mendments to TGO</w:t>
      </w:r>
      <w:r w:rsidR="00806CC8">
        <w:t xml:space="preserve"> </w:t>
      </w:r>
      <w:r w:rsidR="00C56F96" w:rsidRPr="00C56F96">
        <w:t>10</w:t>
      </w:r>
      <w:r w:rsidR="00C56F96">
        <w:t>8</w:t>
      </w:r>
      <w:bookmarkEnd w:id="37"/>
    </w:p>
    <w:p w14:paraId="76769315" w14:textId="77777777" w:rsidR="001C0714" w:rsidRDefault="00C56F96" w:rsidP="00AF5522">
      <w:pPr>
        <w:numPr>
          <w:ilvl w:val="0"/>
          <w:numId w:val="24"/>
        </w:numPr>
      </w:pPr>
      <w:r w:rsidRPr="00AF5522">
        <w:t xml:space="preserve">Draft </w:t>
      </w:r>
      <w:r w:rsidR="0088661D" w:rsidRPr="001C0714">
        <w:rPr>
          <w:i/>
        </w:rPr>
        <w:t>Therapeutic Goods (Standard for Human Cell and</w:t>
      </w:r>
      <w:r w:rsidR="003B750F" w:rsidRPr="001C0714">
        <w:rPr>
          <w:i/>
        </w:rPr>
        <w:t xml:space="preserve"> Tissue Products—Donor Screening</w:t>
      </w:r>
      <w:r w:rsidR="0088661D" w:rsidRPr="001C0714">
        <w:rPr>
          <w:i/>
        </w:rPr>
        <w:t xml:space="preserve"> Requirements) (TGO 108) Order 2021</w:t>
      </w:r>
    </w:p>
    <w:p w14:paraId="6BDA7CDB" w14:textId="77777777" w:rsidR="001C0714" w:rsidRDefault="00C56F96" w:rsidP="00AF5522">
      <w:pPr>
        <w:numPr>
          <w:ilvl w:val="0"/>
          <w:numId w:val="24"/>
        </w:numPr>
      </w:pPr>
      <w:r w:rsidRPr="00AF5522">
        <w:t xml:space="preserve">Draft </w:t>
      </w:r>
      <w:r w:rsidR="0088661D" w:rsidRPr="00AF5522">
        <w:t>TGO 108 Guidance</w:t>
      </w:r>
    </w:p>
    <w:p w14:paraId="3AEB9091" w14:textId="538D3942" w:rsidR="00C56F96" w:rsidRPr="00AF5522" w:rsidRDefault="00C56F96" w:rsidP="00AF5522">
      <w:pPr>
        <w:numPr>
          <w:ilvl w:val="0"/>
          <w:numId w:val="24"/>
        </w:numPr>
      </w:pPr>
      <w:r w:rsidRPr="00AF5522">
        <w:t>Mapping document, which tracks the requirements specified in TGO</w:t>
      </w:r>
      <w:r w:rsidR="003B750F" w:rsidRPr="00AF5522">
        <w:t xml:space="preserve"> </w:t>
      </w:r>
      <w:r w:rsidRPr="00AF5522">
        <w:t>108 from TGO</w:t>
      </w:r>
      <w:r w:rsidR="003B750F" w:rsidRPr="00AF5522">
        <w:t xml:space="preserve"> </w:t>
      </w:r>
      <w:r w:rsidRPr="00AF5522">
        <w:t>88</w:t>
      </w:r>
    </w:p>
    <w:p w14:paraId="6451CD1E" w14:textId="6E21E6B5" w:rsidR="00B021A6" w:rsidRDefault="00C47D89" w:rsidP="00D0307F">
      <w:pPr>
        <w:pStyle w:val="Heading3"/>
      </w:pPr>
      <w:bookmarkStart w:id="38" w:name="_Toc72918436"/>
      <w:r>
        <w:t xml:space="preserve">Appendix 3: </w:t>
      </w:r>
      <w:r w:rsidR="00C56F96" w:rsidRPr="00C56F96">
        <w:t xml:space="preserve">Proposed </w:t>
      </w:r>
      <w:r w:rsidR="00806CC8">
        <w:t>a</w:t>
      </w:r>
      <w:r w:rsidR="00C56F96" w:rsidRPr="00C56F96">
        <w:t>mendments to TGO</w:t>
      </w:r>
      <w:r w:rsidR="00806CC8">
        <w:t xml:space="preserve"> </w:t>
      </w:r>
      <w:r w:rsidR="00C56F96" w:rsidRPr="00C56F96">
        <w:t>10</w:t>
      </w:r>
      <w:r w:rsidR="00C56F96">
        <w:t>9</w:t>
      </w:r>
      <w:bookmarkEnd w:id="38"/>
    </w:p>
    <w:p w14:paraId="2CF655D4" w14:textId="77777777" w:rsidR="001C0714" w:rsidRDefault="00C56F96" w:rsidP="00AF5522">
      <w:pPr>
        <w:numPr>
          <w:ilvl w:val="0"/>
          <w:numId w:val="24"/>
        </w:numPr>
      </w:pPr>
      <w:r w:rsidRPr="00AF5522">
        <w:t xml:space="preserve">Draft </w:t>
      </w:r>
      <w:r w:rsidR="0088661D" w:rsidRPr="001C0714">
        <w:rPr>
          <w:i/>
        </w:rPr>
        <w:t>Therapeutic Goods (Standard for Biologicals) (TGO 109) Order 2021</w:t>
      </w:r>
    </w:p>
    <w:p w14:paraId="6F9BE1AA" w14:textId="77777777" w:rsidR="001C0714" w:rsidRDefault="00C56F96" w:rsidP="00AF5522">
      <w:pPr>
        <w:numPr>
          <w:ilvl w:val="0"/>
          <w:numId w:val="24"/>
        </w:numPr>
      </w:pPr>
      <w:r w:rsidRPr="00AF5522">
        <w:t xml:space="preserve">Draft </w:t>
      </w:r>
      <w:r w:rsidR="0088661D" w:rsidRPr="00AF5522">
        <w:t>TGO 109 Guidance</w:t>
      </w:r>
    </w:p>
    <w:p w14:paraId="56A6FF3D" w14:textId="7FA171E9" w:rsidR="00C56F96" w:rsidRPr="00AF5522" w:rsidRDefault="00C56F96" w:rsidP="00AF5522">
      <w:pPr>
        <w:numPr>
          <w:ilvl w:val="0"/>
          <w:numId w:val="24"/>
        </w:numPr>
      </w:pPr>
      <w:r w:rsidRPr="00AF5522">
        <w:t>Mapping document, which tracks the requirements specified in TGO</w:t>
      </w:r>
      <w:r w:rsidR="003B750F" w:rsidRPr="00AF5522">
        <w:t xml:space="preserve"> </w:t>
      </w:r>
      <w:r w:rsidRPr="00AF5522">
        <w:t>109 from TGO</w:t>
      </w:r>
      <w:r w:rsidR="003B750F" w:rsidRPr="00AF5522">
        <w:t xml:space="preserve">s </w:t>
      </w:r>
      <w:r w:rsidRPr="00AF5522">
        <w:t>83,</w:t>
      </w:r>
      <w:r w:rsidR="003B750F" w:rsidRPr="00AF5522">
        <w:t xml:space="preserve"> </w:t>
      </w:r>
      <w:r w:rsidRPr="00AF5522">
        <w:t>84,</w:t>
      </w:r>
      <w:r w:rsidR="003B750F" w:rsidRPr="00AF5522">
        <w:t xml:space="preserve"> </w:t>
      </w:r>
      <w:r w:rsidRPr="00AF5522">
        <w:t>85,</w:t>
      </w:r>
      <w:r w:rsidR="003B750F" w:rsidRPr="00AF5522">
        <w:t xml:space="preserve"> </w:t>
      </w:r>
      <w:r w:rsidRPr="00AF5522">
        <w:t>86 and 88</w:t>
      </w:r>
    </w:p>
    <w:p w14:paraId="55ADB21A" w14:textId="08729B45" w:rsidR="001C0714" w:rsidRDefault="0088661D" w:rsidP="001C0714">
      <w:pPr>
        <w:pStyle w:val="Heading3"/>
      </w:pPr>
      <w:bookmarkStart w:id="39" w:name="_Toc72918437"/>
      <w:r>
        <w:t xml:space="preserve">Appendix 4: </w:t>
      </w:r>
      <w:r w:rsidR="00C56F96">
        <w:t xml:space="preserve">Proposed </w:t>
      </w:r>
      <w:r w:rsidR="00806CC8">
        <w:t>a</w:t>
      </w:r>
      <w:r w:rsidR="00C56F96">
        <w:t>mendments to legislative instrument</w:t>
      </w:r>
      <w:r w:rsidR="00806CC8">
        <w:t>s</w:t>
      </w:r>
      <w:bookmarkEnd w:id="39"/>
    </w:p>
    <w:p w14:paraId="5E3ABC0A" w14:textId="38539D39" w:rsidR="0088661D" w:rsidRPr="00AF5522" w:rsidRDefault="00C56F96" w:rsidP="00AF5522">
      <w:pPr>
        <w:numPr>
          <w:ilvl w:val="0"/>
          <w:numId w:val="24"/>
        </w:numPr>
      </w:pPr>
      <w:r w:rsidRPr="00AF5522">
        <w:t xml:space="preserve">Draft </w:t>
      </w:r>
      <w:r w:rsidR="0088661D" w:rsidRPr="001C0714">
        <w:rPr>
          <w:i/>
        </w:rPr>
        <w:t>Therapeutic Goods (Biologicals—Specified Things) Instrument 2021</w:t>
      </w:r>
    </w:p>
    <w:p w14:paraId="2DDFE2D7" w14:textId="2879ABA4" w:rsidR="0088661D" w:rsidRPr="00AE4C7D" w:rsidRDefault="0088661D" w:rsidP="00AE4C7D"/>
    <w:p w14:paraId="16823FAD" w14:textId="22E2A2AE" w:rsidR="007C5D9D" w:rsidRDefault="007C5D9D" w:rsidP="007C5D9D">
      <w:pPr>
        <w:rPr>
          <w:szCs w:val="22"/>
        </w:rPr>
      </w:pPr>
      <w:bookmarkStart w:id="40" w:name="_Apppendix_1:_Guidance"/>
      <w:bookmarkStart w:id="41" w:name="_Toc22654191"/>
      <w:bookmarkEnd w:id="40"/>
    </w:p>
    <w:bookmarkEnd w:id="1"/>
    <w:bookmarkEnd w:id="41"/>
    <w:p w14:paraId="2B8A5DC5" w14:textId="77777777" w:rsidR="00BA6FF1" w:rsidRPr="009401F6" w:rsidRDefault="00BA6FF1" w:rsidP="000B0A78">
      <w:pPr>
        <w:pStyle w:val="NonTOCheading2"/>
      </w:pPr>
      <w:r w:rsidRPr="009401F6">
        <w:lastRenderedPageBreak/>
        <w:t>Version history</w:t>
      </w:r>
    </w:p>
    <w:tbl>
      <w:tblPr>
        <w:tblStyle w:val="TableTGAblack"/>
        <w:tblW w:w="9038" w:type="dxa"/>
        <w:tblLayout w:type="fixed"/>
        <w:tblLook w:val="04A0" w:firstRow="1" w:lastRow="0" w:firstColumn="1" w:lastColumn="0" w:noHBand="0" w:noVBand="1"/>
      </w:tblPr>
      <w:tblGrid>
        <w:gridCol w:w="1276"/>
        <w:gridCol w:w="2972"/>
        <w:gridCol w:w="2982"/>
        <w:gridCol w:w="1808"/>
      </w:tblGrid>
      <w:tr w:rsidR="00BA6FF1" w:rsidRPr="009401F6" w14:paraId="0B34D312" w14:textId="77777777" w:rsidTr="009B32A4">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276" w:type="dxa"/>
          </w:tcPr>
          <w:p w14:paraId="763C2A93" w14:textId="77777777" w:rsidR="00BA6FF1" w:rsidRPr="009401F6" w:rsidRDefault="00BA6FF1" w:rsidP="0064621C">
            <w:r w:rsidRPr="009401F6">
              <w:t>Version</w:t>
            </w:r>
          </w:p>
        </w:tc>
        <w:tc>
          <w:tcPr>
            <w:tcW w:w="2972" w:type="dxa"/>
          </w:tcPr>
          <w:p w14:paraId="7D3A4BB3" w14:textId="77777777" w:rsidR="00BA6FF1" w:rsidRPr="009401F6" w:rsidRDefault="00BA6FF1" w:rsidP="0064621C">
            <w:pPr>
              <w:cnfStyle w:val="100000000000" w:firstRow="1" w:lastRow="0" w:firstColumn="0" w:lastColumn="0" w:oddVBand="0" w:evenVBand="0" w:oddHBand="0" w:evenHBand="0" w:firstRowFirstColumn="0" w:firstRowLastColumn="0" w:lastRowFirstColumn="0" w:lastRowLastColumn="0"/>
            </w:pPr>
            <w:r w:rsidRPr="009401F6">
              <w:t>Description of change</w:t>
            </w:r>
          </w:p>
        </w:tc>
        <w:tc>
          <w:tcPr>
            <w:tcW w:w="2982" w:type="dxa"/>
          </w:tcPr>
          <w:p w14:paraId="40770D6F" w14:textId="77777777" w:rsidR="00BA6FF1" w:rsidRPr="009401F6" w:rsidRDefault="00BA6FF1" w:rsidP="0064621C">
            <w:pPr>
              <w:cnfStyle w:val="100000000000" w:firstRow="1" w:lastRow="0" w:firstColumn="0" w:lastColumn="0" w:oddVBand="0" w:evenVBand="0" w:oddHBand="0" w:evenHBand="0" w:firstRowFirstColumn="0" w:firstRowLastColumn="0" w:lastRowFirstColumn="0" w:lastRowLastColumn="0"/>
            </w:pPr>
            <w:r w:rsidRPr="009401F6">
              <w:t>Author</w:t>
            </w:r>
          </w:p>
        </w:tc>
        <w:tc>
          <w:tcPr>
            <w:tcW w:w="1808" w:type="dxa"/>
          </w:tcPr>
          <w:p w14:paraId="324B3B75" w14:textId="77777777" w:rsidR="00BA6FF1" w:rsidRPr="009401F6" w:rsidRDefault="00BA6FF1" w:rsidP="0064621C">
            <w:pPr>
              <w:cnfStyle w:val="100000000000" w:firstRow="1" w:lastRow="0" w:firstColumn="0" w:lastColumn="0" w:oddVBand="0" w:evenVBand="0" w:oddHBand="0" w:evenHBand="0" w:firstRowFirstColumn="0" w:firstRowLastColumn="0" w:lastRowFirstColumn="0" w:lastRowLastColumn="0"/>
            </w:pPr>
            <w:r w:rsidRPr="009401F6">
              <w:t>Effective date</w:t>
            </w:r>
          </w:p>
        </w:tc>
      </w:tr>
      <w:tr w:rsidR="00BA6FF1" w:rsidRPr="009401F6" w14:paraId="2A014632" w14:textId="77777777" w:rsidTr="009B32A4">
        <w:trPr>
          <w:cantSplit w:val="0"/>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04920BAC" w14:textId="77777777" w:rsidR="00BA6FF1" w:rsidRPr="009401F6" w:rsidRDefault="00BA6FF1" w:rsidP="0064621C">
            <w:r w:rsidRPr="009401F6">
              <w:t>V1.0</w:t>
            </w:r>
          </w:p>
        </w:tc>
        <w:tc>
          <w:tcPr>
            <w:tcW w:w="2972" w:type="dxa"/>
          </w:tcPr>
          <w:p w14:paraId="71D66673" w14:textId="77777777" w:rsidR="00BA6FF1" w:rsidRPr="009401F6" w:rsidRDefault="00BA6FF1" w:rsidP="0064621C">
            <w:pPr>
              <w:cnfStyle w:val="000000000000" w:firstRow="0" w:lastRow="0" w:firstColumn="0" w:lastColumn="0" w:oddVBand="0" w:evenVBand="0" w:oddHBand="0" w:evenHBand="0" w:firstRowFirstColumn="0" w:firstRowLastColumn="0" w:lastRowFirstColumn="0" w:lastRowLastColumn="0"/>
            </w:pPr>
            <w:r w:rsidRPr="009401F6">
              <w:t>Original publication</w:t>
            </w:r>
          </w:p>
        </w:tc>
        <w:tc>
          <w:tcPr>
            <w:tcW w:w="2982" w:type="dxa"/>
          </w:tcPr>
          <w:p w14:paraId="492546FB" w14:textId="642C933F" w:rsidR="00BA6FF1" w:rsidRPr="00884757" w:rsidRDefault="009B32A4" w:rsidP="0064621C">
            <w:pPr>
              <w:cnfStyle w:val="000000000000" w:firstRow="0" w:lastRow="0" w:firstColumn="0" w:lastColumn="0" w:oddVBand="0" w:evenVBand="0" w:oddHBand="0" w:evenHBand="0" w:firstRowFirstColumn="0" w:firstRowLastColumn="0" w:lastRowFirstColumn="0" w:lastRowLastColumn="0"/>
            </w:pPr>
            <w:r w:rsidRPr="00884757">
              <w:t xml:space="preserve">Biological Sciences Section, </w:t>
            </w:r>
            <w:r w:rsidR="00BE7DDA" w:rsidRPr="00884757">
              <w:t>Scientific Evaluation Branch</w:t>
            </w:r>
          </w:p>
        </w:tc>
        <w:tc>
          <w:tcPr>
            <w:tcW w:w="1808" w:type="dxa"/>
          </w:tcPr>
          <w:p w14:paraId="3620F91B" w14:textId="59587719" w:rsidR="00BA6FF1" w:rsidRPr="00884757" w:rsidRDefault="00884757" w:rsidP="00075446">
            <w:pPr>
              <w:cnfStyle w:val="000000000000" w:firstRow="0" w:lastRow="0" w:firstColumn="0" w:lastColumn="0" w:oddVBand="0" w:evenVBand="0" w:oddHBand="0" w:evenHBand="0" w:firstRowFirstColumn="0" w:firstRowLastColumn="0" w:lastRowFirstColumn="0" w:lastRowLastColumn="0"/>
            </w:pPr>
            <w:r w:rsidRPr="00884757">
              <w:t xml:space="preserve">May </w:t>
            </w:r>
            <w:r w:rsidR="009B32A4" w:rsidRPr="00884757">
              <w:t>2021</w:t>
            </w:r>
          </w:p>
        </w:tc>
      </w:tr>
    </w:tbl>
    <w:p w14:paraId="0DEEA749" w14:textId="77777777" w:rsidR="009978EB" w:rsidRDefault="00F273AE" w:rsidP="00F273AE">
      <w:pPr>
        <w:sectPr w:rsidR="009978EB" w:rsidSect="001F7142">
          <w:footerReference w:type="default" r:id="rId51"/>
          <w:headerReference w:type="first" r:id="rId52"/>
          <w:footerReference w:type="first" r:id="rId53"/>
          <w:type w:val="continuous"/>
          <w:pgSz w:w="11906" w:h="16838" w:code="9"/>
          <w:pgMar w:top="1530" w:right="1133" w:bottom="1134" w:left="1418" w:header="998" w:footer="169" w:gutter="0"/>
          <w:cols w:space="708"/>
          <w:titlePg/>
          <w:docGrid w:linePitch="360"/>
        </w:sectPr>
      </w:pPr>
      <w:r>
        <w:br w:type="page"/>
      </w:r>
    </w:p>
    <w:p w14:paraId="17945B10" w14:textId="77777777" w:rsidR="00F273AE" w:rsidRPr="009401F6" w:rsidRDefault="00F273AE" w:rsidP="00B26F19">
      <w:pPr>
        <w:pStyle w:val="Footer"/>
        <w:spacing w:before="11360"/>
      </w:pPr>
    </w:p>
    <w:tbl>
      <w:tblPr>
        <w:tblpPr w:leftFromText="180" w:rightFromText="180" w:vertAnchor="text" w:horzAnchor="margin" w:tblpY="100"/>
        <w:tblW w:w="9145" w:type="dxa"/>
        <w:tblLayout w:type="fixed"/>
        <w:tblCellMar>
          <w:left w:w="0" w:type="dxa"/>
          <w:right w:w="0" w:type="dxa"/>
        </w:tblCellMar>
        <w:tblLook w:val="04A0" w:firstRow="1" w:lastRow="0" w:firstColumn="1" w:lastColumn="0" w:noHBand="0" w:noVBand="1"/>
      </w:tblPr>
      <w:tblGrid>
        <w:gridCol w:w="9145"/>
      </w:tblGrid>
      <w:tr w:rsidR="00B26F19" w:rsidRPr="009401F6" w14:paraId="1D226E7D" w14:textId="77777777" w:rsidTr="00B26F19">
        <w:trPr>
          <w:trHeight w:hRule="exact" w:val="565"/>
        </w:trPr>
        <w:tc>
          <w:tcPr>
            <w:tcW w:w="9145" w:type="dxa"/>
          </w:tcPr>
          <w:p w14:paraId="3176297D" w14:textId="77777777" w:rsidR="00B26F19" w:rsidRPr="009401F6" w:rsidRDefault="00B26F19" w:rsidP="00B26F19">
            <w:pPr>
              <w:pStyle w:val="TGASignoff"/>
            </w:pPr>
            <w:r w:rsidRPr="009401F6">
              <w:t>Therapeutic Goods Administration</w:t>
            </w:r>
          </w:p>
        </w:tc>
      </w:tr>
      <w:tr w:rsidR="00B26F19" w:rsidRPr="009401F6" w14:paraId="2005C818" w14:textId="77777777" w:rsidTr="00B26F19">
        <w:trPr>
          <w:trHeight w:val="963"/>
        </w:trPr>
        <w:tc>
          <w:tcPr>
            <w:tcW w:w="9145" w:type="dxa"/>
            <w:tcMar>
              <w:top w:w="28" w:type="dxa"/>
            </w:tcMar>
          </w:tcPr>
          <w:p w14:paraId="4CF56F3A" w14:textId="77777777" w:rsidR="00B26F19" w:rsidRPr="009401F6" w:rsidRDefault="00B26F19" w:rsidP="00B26F19">
            <w:pPr>
              <w:pStyle w:val="Address"/>
              <w:jc w:val="center"/>
            </w:pPr>
            <w:r w:rsidRPr="009401F6">
              <w:t>PO Box 100 Woden ACT 2606 Australia</w:t>
            </w:r>
          </w:p>
          <w:p w14:paraId="7EB8D849" w14:textId="77777777" w:rsidR="00B26F19" w:rsidRPr="009401F6" w:rsidRDefault="00B26F19" w:rsidP="00B26F19">
            <w:pPr>
              <w:pStyle w:val="Address"/>
              <w:jc w:val="center"/>
            </w:pPr>
            <w:r w:rsidRPr="009401F6">
              <w:t xml:space="preserve">Email: </w:t>
            </w:r>
            <w:hyperlink r:id="rId54" w:history="1">
              <w:r w:rsidRPr="009401F6">
                <w:rPr>
                  <w:rStyle w:val="Hyperlink"/>
                </w:rPr>
                <w:t>info@tga.gov.au</w:t>
              </w:r>
            </w:hyperlink>
            <w:r w:rsidRPr="009401F6">
              <w:t xml:space="preserve">  Phone: 1800 020 653  Fax: 02 62</w:t>
            </w:r>
            <w:r>
              <w:t>0</w:t>
            </w:r>
            <w:r w:rsidRPr="009401F6">
              <w:t xml:space="preserve">3 </w:t>
            </w:r>
            <w:r>
              <w:t>1</w:t>
            </w:r>
            <w:r w:rsidRPr="009401F6">
              <w:t>605</w:t>
            </w:r>
          </w:p>
          <w:p w14:paraId="144E6F05" w14:textId="77777777" w:rsidR="00B26F19" w:rsidRPr="009401F6" w:rsidRDefault="00CC4766" w:rsidP="00B26F19">
            <w:pPr>
              <w:pStyle w:val="Address"/>
              <w:spacing w:line="260" w:lineRule="atLeast"/>
              <w:jc w:val="center"/>
              <w:rPr>
                <w:rStyle w:val="Hyperlink"/>
                <w:b/>
              </w:rPr>
            </w:pPr>
            <w:hyperlink r:id="rId55" w:history="1">
              <w:r w:rsidR="00B26F19" w:rsidRPr="009401F6">
                <w:rPr>
                  <w:rStyle w:val="Hyperlink"/>
                  <w:b/>
                </w:rPr>
                <w:t>https://www.tga.gov.au</w:t>
              </w:r>
            </w:hyperlink>
          </w:p>
        </w:tc>
      </w:tr>
      <w:tr w:rsidR="00B26F19" w:rsidRPr="009401F6" w14:paraId="7D518A22" w14:textId="77777777" w:rsidTr="00B26F19">
        <w:trPr>
          <w:trHeight w:val="251"/>
        </w:trPr>
        <w:tc>
          <w:tcPr>
            <w:tcW w:w="9145" w:type="dxa"/>
            <w:tcMar>
              <w:top w:w="28" w:type="dxa"/>
            </w:tcMar>
          </w:tcPr>
          <w:p w14:paraId="18D9F9D1" w14:textId="77777777" w:rsidR="00B26F19" w:rsidRPr="009401F6" w:rsidRDefault="00B26F19" w:rsidP="00B26F19">
            <w:pPr>
              <w:pStyle w:val="Address"/>
              <w:jc w:val="center"/>
            </w:pPr>
            <w:r w:rsidRPr="009401F6">
              <w:t>Reference/Publication #</w:t>
            </w:r>
          </w:p>
        </w:tc>
      </w:tr>
    </w:tbl>
    <w:p w14:paraId="3C2D37EF" w14:textId="77777777" w:rsidR="0084580B" w:rsidRPr="009401F6" w:rsidRDefault="0084580B" w:rsidP="00C259B8"/>
    <w:sectPr w:rsidR="0084580B" w:rsidRPr="009401F6" w:rsidSect="009978EB">
      <w:headerReference w:type="first" r:id="rId56"/>
      <w:footerReference w:type="first" r:id="rId57"/>
      <w:pgSz w:w="11906" w:h="16838" w:code="9"/>
      <w:pgMar w:top="1530" w:right="1418" w:bottom="1361" w:left="1418" w:header="99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497C97" w14:textId="77777777" w:rsidR="00AF6032" w:rsidRDefault="00AF6032" w:rsidP="00C40A36">
      <w:pPr>
        <w:spacing w:after="0"/>
      </w:pPr>
      <w:r>
        <w:separator/>
      </w:r>
    </w:p>
    <w:p w14:paraId="113D5432" w14:textId="77777777" w:rsidR="00AF6032" w:rsidRDefault="00AF6032"/>
  </w:endnote>
  <w:endnote w:type="continuationSeparator" w:id="0">
    <w:p w14:paraId="6EFFEE52" w14:textId="77777777" w:rsidR="00AF6032" w:rsidRDefault="00AF6032" w:rsidP="00C40A36">
      <w:pPr>
        <w:spacing w:after="0"/>
      </w:pPr>
      <w:r>
        <w:continuationSeparator/>
      </w:r>
    </w:p>
    <w:p w14:paraId="6B66C47C" w14:textId="77777777" w:rsidR="00AF6032" w:rsidRDefault="00AF60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ACFFCFA" w:usb2="00000016" w:usb3="00000000" w:csb0="00100001" w:csb1="00000000"/>
  </w:font>
  <w:font w:name="MingLiU">
    <w:altName w:val="細明體"/>
    <w:panose1 w:val="02010609000101010101"/>
    <w:charset w:val="88"/>
    <w:family w:val="modern"/>
    <w:pitch w:val="fixed"/>
    <w:sig w:usb0="A00002FF" w:usb1="2A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379D2" w14:textId="77777777" w:rsidR="00CC4766" w:rsidRDefault="00CC47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F6F73" w14:textId="77777777" w:rsidR="00AF6032" w:rsidRDefault="00AF6032" w:rsidP="00A3654F">
    <w:pPr>
      <w:pStyle w:val="Footer"/>
      <w:tabs>
        <w:tab w:val="left" w:pos="7620"/>
        <w:tab w:val="right" w:pos="8504"/>
      </w:tabs>
      <w:rPr>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3758"/>
    </w:tblGrid>
    <w:tr w:rsidR="00AF6032" w:rsidRPr="00257138" w14:paraId="3BC07893" w14:textId="77777777" w:rsidTr="00884757">
      <w:trPr>
        <w:trHeight w:val="423"/>
      </w:trPr>
      <w:tc>
        <w:tcPr>
          <w:tcW w:w="4962" w:type="dxa"/>
          <w:tcBorders>
            <w:top w:val="single" w:sz="4" w:space="0" w:color="auto"/>
          </w:tcBorders>
        </w:tcPr>
        <w:p w14:paraId="266344A7" w14:textId="77777777" w:rsidR="00AF6032" w:rsidRDefault="00AF6032" w:rsidP="008D4740">
          <w:pPr>
            <w:pStyle w:val="Footer"/>
          </w:pPr>
        </w:p>
        <w:p w14:paraId="494D8525" w14:textId="3CC67E31" w:rsidR="00AF6032" w:rsidRPr="00257138" w:rsidRDefault="00AF6032" w:rsidP="009B15F1">
          <w:pPr>
            <w:pStyle w:val="Footer"/>
          </w:pPr>
          <w:r w:rsidRPr="00DE41E3">
            <w:t>Remaking of standards and legislative instruments for human cell and tissue (HCT) products, blood and blood components</w:t>
          </w:r>
          <w:r>
            <w:br/>
          </w:r>
          <w:r w:rsidRPr="00257138">
            <w:t>V1.</w:t>
          </w:r>
          <w:r>
            <w:t>0 May 2021</w:t>
          </w:r>
        </w:p>
      </w:tc>
      <w:tc>
        <w:tcPr>
          <w:tcW w:w="3758" w:type="dxa"/>
          <w:tcBorders>
            <w:top w:val="single" w:sz="4" w:space="0" w:color="auto"/>
          </w:tcBorders>
        </w:tcPr>
        <w:sdt>
          <w:sdtPr>
            <w:id w:val="-1731298990"/>
            <w:docPartObj>
              <w:docPartGallery w:val="Page Numbers (Top of Page)"/>
              <w:docPartUnique/>
            </w:docPartObj>
          </w:sdtPr>
          <w:sdtEndPr/>
          <w:sdtContent>
            <w:p w14:paraId="3DF9CB69" w14:textId="77777777" w:rsidR="00AF6032" w:rsidRDefault="00AF6032" w:rsidP="008D4740">
              <w:pPr>
                <w:pStyle w:val="Footer"/>
                <w:jc w:val="right"/>
              </w:pPr>
            </w:p>
            <w:p w14:paraId="32FD555C" w14:textId="7BF7F226" w:rsidR="00AF6032" w:rsidRPr="00257138" w:rsidRDefault="00AF6032" w:rsidP="008D4740">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CC4766">
                <w:fldChar w:fldCharType="begin"/>
              </w:r>
              <w:r w:rsidR="00CC4766">
                <w:instrText xml:space="preserve"> NUMPAGES  </w:instrText>
              </w:r>
              <w:r w:rsidR="00CC4766">
                <w:fldChar w:fldCharType="separate"/>
              </w:r>
              <w:r>
                <w:rPr>
                  <w:noProof/>
                </w:rPr>
                <w:t>23</w:t>
              </w:r>
              <w:r w:rsidR="00CC4766">
                <w:rPr>
                  <w:noProof/>
                </w:rPr>
                <w:fldChar w:fldCharType="end"/>
              </w:r>
            </w:p>
          </w:sdtContent>
        </w:sdt>
      </w:tc>
    </w:tr>
    <w:tr w:rsidR="00AF6032" w:rsidRPr="00257138" w14:paraId="0CFC4948" w14:textId="77777777" w:rsidTr="00884757">
      <w:trPr>
        <w:trHeight w:val="263"/>
      </w:trPr>
      <w:tc>
        <w:tcPr>
          <w:tcW w:w="4962" w:type="dxa"/>
        </w:tcPr>
        <w:p w14:paraId="61DE642F" w14:textId="3C041D28" w:rsidR="00AF6032" w:rsidRPr="00257138" w:rsidRDefault="00AF6032" w:rsidP="008D4740">
          <w:pPr>
            <w:pStyle w:val="Footer"/>
          </w:pPr>
        </w:p>
      </w:tc>
      <w:tc>
        <w:tcPr>
          <w:tcW w:w="3758" w:type="dxa"/>
        </w:tcPr>
        <w:p w14:paraId="2BB6558A" w14:textId="77777777" w:rsidR="00AF6032" w:rsidRPr="00257138" w:rsidRDefault="00AF6032" w:rsidP="008D4740">
          <w:pPr>
            <w:pStyle w:val="Footer"/>
            <w:jc w:val="right"/>
          </w:pPr>
        </w:p>
      </w:tc>
    </w:tr>
  </w:tbl>
  <w:p w14:paraId="459400D5" w14:textId="77777777" w:rsidR="00AF6032" w:rsidRPr="00826007" w:rsidRDefault="00AF6032" w:rsidP="00A3654F">
    <w:pPr>
      <w:pStyle w:val="Footer"/>
      <w:tabs>
        <w:tab w:val="left" w:pos="7620"/>
        <w:tab w:val="right" w:pos="8504"/>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C2C8A" w14:textId="77777777" w:rsidR="00AF6032" w:rsidRDefault="00AF6032" w:rsidP="00FF7B50">
    <w:pPr>
      <w:pStyle w:val="Footer"/>
      <w:ind w:left="-1757" w:right="-227"/>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402"/>
    </w:tblGrid>
    <w:tr w:rsidR="00AF6032" w:rsidRPr="00257138" w14:paraId="640BE50A" w14:textId="77777777" w:rsidTr="00AD722D">
      <w:trPr>
        <w:trHeight w:val="423"/>
      </w:trPr>
      <w:tc>
        <w:tcPr>
          <w:tcW w:w="5778" w:type="dxa"/>
        </w:tcPr>
        <w:p w14:paraId="54CEA271" w14:textId="27A0ECC3" w:rsidR="00AF6032" w:rsidRPr="00257138" w:rsidRDefault="00AF6032" w:rsidP="00884757">
          <w:pPr>
            <w:pStyle w:val="Footer"/>
            <w:spacing w:before="120" w:after="120"/>
          </w:pPr>
          <w:r w:rsidRPr="00DE41E3">
            <w:t>Remaking of standards and legislative instruments for human cell and tissue (HCT) products, blood and blood components</w:t>
          </w:r>
          <w:r>
            <w:br/>
          </w:r>
          <w:r w:rsidRPr="00257138">
            <w:t>V1.</w:t>
          </w:r>
          <w:r>
            <w:t>0 May 2021</w:t>
          </w:r>
        </w:p>
      </w:tc>
      <w:tc>
        <w:tcPr>
          <w:tcW w:w="3402" w:type="dxa"/>
        </w:tcPr>
        <w:sdt>
          <w:sdtPr>
            <w:id w:val="159746290"/>
            <w:docPartObj>
              <w:docPartGallery w:val="Page Numbers (Top of Page)"/>
              <w:docPartUnique/>
            </w:docPartObj>
          </w:sdtPr>
          <w:sdtEndPr/>
          <w:sdtContent>
            <w:p w14:paraId="163AAD02" w14:textId="73B58C09" w:rsidR="00AF6032" w:rsidRPr="00257138" w:rsidRDefault="00AF6032" w:rsidP="00EE1482">
              <w:pPr>
                <w:pStyle w:val="Footer"/>
                <w:spacing w:before="120" w:after="120"/>
                <w:jc w:val="right"/>
              </w:pPr>
              <w:r w:rsidRPr="00257138">
                <w:t xml:space="preserve">Page </w:t>
              </w:r>
              <w:r>
                <w:fldChar w:fldCharType="begin"/>
              </w:r>
              <w:r>
                <w:instrText xml:space="preserve"> PAGE </w:instrText>
              </w:r>
              <w:r>
                <w:fldChar w:fldCharType="separate"/>
              </w:r>
              <w:r w:rsidR="00CC4766">
                <w:rPr>
                  <w:noProof/>
                </w:rPr>
                <w:t>19</w:t>
              </w:r>
              <w:r>
                <w:rPr>
                  <w:noProof/>
                </w:rPr>
                <w:fldChar w:fldCharType="end"/>
              </w:r>
              <w:r w:rsidRPr="00257138">
                <w:t xml:space="preserve"> of </w:t>
              </w:r>
              <w:r w:rsidR="00CC4766">
                <w:fldChar w:fldCharType="begin"/>
              </w:r>
              <w:r w:rsidR="00CC4766">
                <w:instrText xml:space="preserve"> NUMPAGES  </w:instrText>
              </w:r>
              <w:r w:rsidR="00CC4766">
                <w:fldChar w:fldCharType="separate"/>
              </w:r>
              <w:r w:rsidR="00CC4766">
                <w:rPr>
                  <w:noProof/>
                </w:rPr>
                <w:t>20</w:t>
              </w:r>
              <w:r w:rsidR="00CC4766">
                <w:rPr>
                  <w:noProof/>
                </w:rPr>
                <w:fldChar w:fldCharType="end"/>
              </w:r>
            </w:p>
          </w:sdtContent>
        </w:sdt>
      </w:tc>
    </w:tr>
  </w:tbl>
  <w:p w14:paraId="375E9D21" w14:textId="77777777" w:rsidR="00AF6032" w:rsidRPr="00AF6032" w:rsidRDefault="00AF6032" w:rsidP="00AF6032">
    <w:pPr>
      <w:pStyle w:val="Footer"/>
      <w:tabs>
        <w:tab w:val="left" w:pos="7620"/>
        <w:tab w:val="right" w:pos="8504"/>
      </w:tabs>
      <w:jc w:val="center"/>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224"/>
    </w:tblGrid>
    <w:tr w:rsidR="00AF6032" w:rsidRPr="00257138" w14:paraId="344B855D" w14:textId="77777777" w:rsidTr="00F25628">
      <w:trPr>
        <w:trHeight w:val="423"/>
      </w:trPr>
      <w:tc>
        <w:tcPr>
          <w:tcW w:w="6062" w:type="dxa"/>
        </w:tcPr>
        <w:p w14:paraId="0B0E99A8" w14:textId="6A571636" w:rsidR="00AF6032" w:rsidRPr="00257138" w:rsidRDefault="00AF6032" w:rsidP="00884757">
          <w:pPr>
            <w:pStyle w:val="Footer"/>
            <w:spacing w:before="120" w:after="120"/>
          </w:pPr>
          <w:r w:rsidRPr="00DE41E3">
            <w:t>Remaking of standards and legislative instruments for human cell and tissue (HCT) products, blood and blood components</w:t>
          </w:r>
          <w:r>
            <w:br/>
          </w:r>
          <w:r w:rsidRPr="00257138">
            <w:t>V1.</w:t>
          </w:r>
          <w:r>
            <w:t>0 May 2021</w:t>
          </w:r>
        </w:p>
      </w:tc>
      <w:tc>
        <w:tcPr>
          <w:tcW w:w="3224" w:type="dxa"/>
        </w:tcPr>
        <w:sdt>
          <w:sdtPr>
            <w:id w:val="-1359508929"/>
            <w:docPartObj>
              <w:docPartGallery w:val="Page Numbers (Top of Page)"/>
              <w:docPartUnique/>
            </w:docPartObj>
          </w:sdtPr>
          <w:sdtEndPr/>
          <w:sdtContent>
            <w:p w14:paraId="4A297A74" w14:textId="35324375" w:rsidR="00AF6032" w:rsidRPr="00257138" w:rsidRDefault="00AF6032" w:rsidP="00F25628">
              <w:pPr>
                <w:pStyle w:val="Footer"/>
                <w:spacing w:before="120" w:after="120"/>
                <w:jc w:val="right"/>
              </w:pPr>
              <w:r w:rsidRPr="00257138">
                <w:t xml:space="preserve">Page </w:t>
              </w:r>
              <w:r>
                <w:fldChar w:fldCharType="begin"/>
              </w:r>
              <w:r>
                <w:instrText xml:space="preserve"> PAGE </w:instrText>
              </w:r>
              <w:r>
                <w:fldChar w:fldCharType="separate"/>
              </w:r>
              <w:r w:rsidR="00CC4766">
                <w:rPr>
                  <w:noProof/>
                </w:rPr>
                <w:t>2</w:t>
              </w:r>
              <w:r>
                <w:rPr>
                  <w:noProof/>
                </w:rPr>
                <w:fldChar w:fldCharType="end"/>
              </w:r>
              <w:r w:rsidRPr="00257138">
                <w:t xml:space="preserve"> of </w:t>
              </w:r>
              <w:r w:rsidR="00CC4766">
                <w:fldChar w:fldCharType="begin"/>
              </w:r>
              <w:r w:rsidR="00CC4766">
                <w:instrText xml:space="preserve"> NUMPAGES  </w:instrText>
              </w:r>
              <w:r w:rsidR="00CC4766">
                <w:fldChar w:fldCharType="separate"/>
              </w:r>
              <w:r w:rsidR="00CC4766">
                <w:rPr>
                  <w:noProof/>
                </w:rPr>
                <w:t>20</w:t>
              </w:r>
              <w:r w:rsidR="00CC4766">
                <w:rPr>
                  <w:noProof/>
                </w:rPr>
                <w:fldChar w:fldCharType="end"/>
              </w:r>
            </w:p>
          </w:sdtContent>
        </w:sdt>
      </w:tc>
    </w:tr>
  </w:tbl>
  <w:p w14:paraId="504816BA" w14:textId="77777777" w:rsidR="00AF6032" w:rsidRPr="00F8404D" w:rsidRDefault="00AF6032" w:rsidP="00F8404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9"/>
      <w:gridCol w:w="3151"/>
    </w:tblGrid>
    <w:tr w:rsidR="00AF6032" w:rsidRPr="00257138" w14:paraId="70B5010B" w14:textId="77777777" w:rsidTr="00C259B8">
      <w:trPr>
        <w:trHeight w:val="279"/>
      </w:trPr>
      <w:tc>
        <w:tcPr>
          <w:tcW w:w="6062" w:type="dxa"/>
        </w:tcPr>
        <w:p w14:paraId="793F8C01" w14:textId="77777777" w:rsidR="00AF6032" w:rsidRPr="00257138" w:rsidRDefault="00AF6032" w:rsidP="00F25628">
          <w:pPr>
            <w:pStyle w:val="Footer"/>
            <w:spacing w:before="120" w:after="120"/>
          </w:pPr>
        </w:p>
      </w:tc>
      <w:tc>
        <w:tcPr>
          <w:tcW w:w="3224" w:type="dxa"/>
        </w:tcPr>
        <w:p w14:paraId="15EAEDE4" w14:textId="77777777" w:rsidR="00AF6032" w:rsidRPr="00257138" w:rsidRDefault="00AF6032" w:rsidP="00F25628">
          <w:pPr>
            <w:pStyle w:val="Footer"/>
            <w:spacing w:before="120" w:after="120"/>
            <w:jc w:val="right"/>
          </w:pPr>
        </w:p>
      </w:tc>
    </w:tr>
  </w:tbl>
  <w:p w14:paraId="6AF5EC31" w14:textId="77777777" w:rsidR="00AF6032" w:rsidRPr="00F8404D" w:rsidRDefault="00AF6032" w:rsidP="00F84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C8611" w14:textId="77777777" w:rsidR="00AF6032" w:rsidRDefault="00AF6032" w:rsidP="00FE1941">
      <w:pPr>
        <w:spacing w:after="0"/>
      </w:pPr>
      <w:r>
        <w:separator/>
      </w:r>
    </w:p>
  </w:footnote>
  <w:footnote w:type="continuationSeparator" w:id="0">
    <w:p w14:paraId="71386EEC" w14:textId="77777777" w:rsidR="00AF6032" w:rsidRDefault="00AF6032" w:rsidP="00C40A36">
      <w:pPr>
        <w:spacing w:after="0"/>
      </w:pPr>
      <w:r>
        <w:continuationSeparator/>
      </w:r>
    </w:p>
    <w:p w14:paraId="1D0436CB" w14:textId="77777777" w:rsidR="00AF6032" w:rsidRDefault="00AF6032"/>
  </w:footnote>
  <w:footnote w:id="1">
    <w:p w14:paraId="4DE5515E" w14:textId="44E9C844" w:rsidR="00AF6032" w:rsidRDefault="00AF6032">
      <w:pPr>
        <w:pStyle w:val="FootnoteText"/>
      </w:pPr>
      <w:r>
        <w:rPr>
          <w:rStyle w:val="FootnoteReference"/>
        </w:rPr>
        <w:footnoteRef/>
      </w:r>
      <w:r>
        <w:t xml:space="preserve"> Schedule 5A, Item 13.</w:t>
      </w:r>
    </w:p>
  </w:footnote>
  <w:footnote w:id="2">
    <w:p w14:paraId="13B0ECE9" w14:textId="2814EEC2" w:rsidR="00AF6032" w:rsidRDefault="00AF6032" w:rsidP="003A014A">
      <w:pPr>
        <w:pStyle w:val="FootnoteText"/>
      </w:pPr>
      <w:r>
        <w:rPr>
          <w:rStyle w:val="FootnoteReference"/>
        </w:rPr>
        <w:footnoteRef/>
      </w:r>
      <w:r>
        <w:t xml:space="preserve"> </w:t>
      </w:r>
      <w:r w:rsidRPr="004F1306">
        <w:rPr>
          <w:i/>
        </w:rPr>
        <w:t>Therapeutic Goods Regulations 1990</w:t>
      </w:r>
      <w:r>
        <w:t>, Schedule 5A, Item 13.</w:t>
      </w:r>
    </w:p>
  </w:footnote>
  <w:footnote w:id="3">
    <w:p w14:paraId="4C92F3E2" w14:textId="6084937D" w:rsidR="00AF6032" w:rsidRDefault="00AF6032">
      <w:pPr>
        <w:pStyle w:val="FootnoteText"/>
      </w:pPr>
      <w:r>
        <w:rPr>
          <w:rStyle w:val="FootnoteReference"/>
        </w:rPr>
        <w:footnoteRef/>
      </w:r>
      <w:r>
        <w:t xml:space="preserve"> Section 9 and Table 1.</w:t>
      </w:r>
    </w:p>
  </w:footnote>
  <w:footnote w:id="4">
    <w:p w14:paraId="59BA6C6D" w14:textId="0AF7B914" w:rsidR="00AF6032" w:rsidRDefault="00AF6032">
      <w:pPr>
        <w:pStyle w:val="FootnoteText"/>
      </w:pPr>
      <w:r>
        <w:rPr>
          <w:rStyle w:val="FootnoteReference"/>
        </w:rPr>
        <w:footnoteRef/>
      </w:r>
      <w:r>
        <w:t xml:space="preserve"> Section 11 and Table 3.</w:t>
      </w:r>
    </w:p>
  </w:footnote>
  <w:footnote w:id="5">
    <w:p w14:paraId="022A4CE6" w14:textId="0D4C0301" w:rsidR="00AF6032" w:rsidRDefault="00AF6032">
      <w:pPr>
        <w:pStyle w:val="FootnoteText"/>
      </w:pPr>
      <w:r>
        <w:rPr>
          <w:rStyle w:val="FootnoteReference"/>
        </w:rPr>
        <w:footnoteRef/>
      </w:r>
      <w:r>
        <w:t xml:space="preserve"> Section 9 and Table 3.</w:t>
      </w:r>
    </w:p>
  </w:footnote>
  <w:footnote w:id="6">
    <w:p w14:paraId="00B36414" w14:textId="7ABAE60D" w:rsidR="00AF6032" w:rsidRDefault="00AF6032">
      <w:pPr>
        <w:pStyle w:val="FootnoteText"/>
      </w:pPr>
      <w:r>
        <w:rPr>
          <w:rStyle w:val="FootnoteReference"/>
        </w:rPr>
        <w:footnoteRef/>
      </w:r>
      <w:r>
        <w:t xml:space="preserve"> Section 9.</w:t>
      </w:r>
    </w:p>
  </w:footnote>
  <w:footnote w:id="7">
    <w:p w14:paraId="59BBBFC4" w14:textId="1329E20B" w:rsidR="00AF6032" w:rsidRDefault="00AF6032">
      <w:pPr>
        <w:pStyle w:val="FootnoteText"/>
      </w:pPr>
      <w:r>
        <w:rPr>
          <w:rStyle w:val="FootnoteReference"/>
        </w:rPr>
        <w:footnoteRef/>
      </w:r>
      <w:r>
        <w:t xml:space="preserve"> Section 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C474A" w14:textId="77777777" w:rsidR="00CC4766" w:rsidRDefault="00CC47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8E975" w14:textId="77777777" w:rsidR="00AF6032" w:rsidRPr="00920FF4" w:rsidRDefault="00AF6032" w:rsidP="00920FF4">
    <w:pPr>
      <w:pStyle w:val="Header"/>
    </w:pPr>
    <w:r>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04AB2" w14:textId="77777777" w:rsidR="00AF6032" w:rsidRPr="00E32326" w:rsidRDefault="00AF6032" w:rsidP="00F202AB">
    <w:r w:rsidRPr="00F3255D">
      <w:rPr>
        <w:noProof/>
        <w:lang w:eastAsia="en-AU"/>
      </w:rPr>
      <w:drawing>
        <wp:anchor distT="0" distB="0" distL="114300" distR="114300" simplePos="0" relativeHeight="251657728" behindDoc="0" locked="0" layoutInCell="1" allowOverlap="1" wp14:anchorId="3202D54B" wp14:editId="31BD73D1">
          <wp:simplePos x="0" y="0"/>
          <wp:positionH relativeFrom="column">
            <wp:posOffset>-195580</wp:posOffset>
          </wp:positionH>
          <wp:positionV relativeFrom="paragraph">
            <wp:posOffset>-62230</wp:posOffset>
          </wp:positionV>
          <wp:extent cx="3524250" cy="1209675"/>
          <wp:effectExtent l="19050" t="0" r="0" b="0"/>
          <wp:wrapTopAndBottom/>
          <wp:docPr id="1"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1"/>
                  <a:srcRect/>
                  <a:stretch>
                    <a:fillRect/>
                  </a:stretch>
                </pic:blipFill>
                <pic:spPr bwMode="auto">
                  <a:xfrm>
                    <a:off x="0" y="0"/>
                    <a:ext cx="3524250" cy="1209675"/>
                  </a:xfrm>
                  <a:prstGeom prst="rect">
                    <a:avLst/>
                  </a:prstGeom>
                  <a:noFill/>
                  <a:ln w="9525">
                    <a:noFill/>
                    <a:miter lim="800000"/>
                    <a:headEnd/>
                    <a:tailEnd/>
                  </a:ln>
                </pic:spPr>
              </pic:pic>
            </a:graphicData>
          </a:graphic>
        </wp:anchor>
      </w:drawing>
    </w:r>
  </w:p>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AF6032" w:rsidRPr="00FF7B50" w14:paraId="3165721A" w14:textId="77777777" w:rsidTr="0064621C">
      <w:trPr>
        <w:trHeight w:hRule="exact" w:val="8845"/>
      </w:trPr>
      <w:tc>
        <w:tcPr>
          <w:tcW w:w="11964" w:type="dxa"/>
        </w:tcPr>
        <w:p w14:paraId="487E53E6" w14:textId="77777777" w:rsidR="00AF6032" w:rsidRPr="00FF7B50" w:rsidRDefault="00CC4766" w:rsidP="00AE0320">
          <w:pPr>
            <w:pStyle w:val="Header"/>
            <w:ind w:left="-57"/>
            <w:jc w:val="left"/>
            <w:rPr>
              <w:noProof/>
              <w:lang w:eastAsia="en-AU"/>
            </w:rPr>
          </w:pPr>
          <w:sdt>
            <w:sdtPr>
              <w:rPr>
                <w:noProof/>
                <w:lang w:eastAsia="en-AU"/>
              </w:rPr>
              <w:id w:val="-1469584184"/>
              <w:showingPlcHdr/>
              <w:picture/>
            </w:sdtPr>
            <w:sdtEndPr/>
            <w:sdtContent>
              <w:r w:rsidR="00AF6032" w:rsidRPr="00FF7B50">
                <w:rPr>
                  <w:noProof/>
                  <w:lang w:eastAsia="en-AU"/>
                </w:rPr>
                <w:drawing>
                  <wp:inline distT="0" distB="0" distL="0" distR="0" wp14:anchorId="4C10DD09" wp14:editId="3DFC8061">
                    <wp:extent cx="7610475" cy="5638800"/>
                    <wp:effectExtent l="1905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srcRect/>
                            <a:stretch>
                              <a:fillRect/>
                            </a:stretch>
                          </pic:blipFill>
                          <pic:spPr bwMode="auto">
                            <a:xfrm>
                              <a:off x="0" y="0"/>
                              <a:ext cx="7610475" cy="5638800"/>
                            </a:xfrm>
                            <a:prstGeom prst="rect">
                              <a:avLst/>
                            </a:prstGeom>
                            <a:noFill/>
                            <a:ln w="9525">
                              <a:noFill/>
                              <a:miter lim="800000"/>
                              <a:headEnd/>
                              <a:tailEnd/>
                            </a:ln>
                          </pic:spPr>
                        </pic:pic>
                      </a:graphicData>
                    </a:graphic>
                  </wp:inline>
                </w:drawing>
              </w:r>
            </w:sdtContent>
          </w:sdt>
        </w:p>
      </w:tc>
    </w:tr>
  </w:tbl>
  <w:p w14:paraId="1BD7173B" w14:textId="77777777" w:rsidR="00AF6032" w:rsidRPr="00E32326" w:rsidRDefault="00AF6032" w:rsidP="00F202AB">
    <w:r>
      <w:rPr>
        <w:noProof/>
        <w:lang w:eastAsia="en-AU"/>
      </w:rPr>
      <w:drawing>
        <wp:anchor distT="0" distB="0" distL="114300" distR="114300" simplePos="0" relativeHeight="251656704" behindDoc="0" locked="0" layoutInCell="0" allowOverlap="1" wp14:anchorId="1AD5E87A" wp14:editId="1B443EA1">
          <wp:simplePos x="0" y="0"/>
          <wp:positionH relativeFrom="column">
            <wp:posOffset>-900430</wp:posOffset>
          </wp:positionH>
          <wp:positionV relativeFrom="page">
            <wp:posOffset>4171950</wp:posOffset>
          </wp:positionV>
          <wp:extent cx="7600950" cy="2457450"/>
          <wp:effectExtent l="19050" t="0" r="0" b="0"/>
          <wp:wrapNone/>
          <wp:docPr id="6" name="Picture 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letct\Desktop\TGA-Swoosh-w-Wordmark-Green-CMYK.gif"/>
                  <pic:cNvPicPr>
                    <a:picLocks noChangeAspect="1" noChangeArrowheads="1"/>
                  </pic:cNvPicPr>
                </pic:nvPicPr>
                <pic:blipFill>
                  <a:blip r:embed="rId3" cstate="print"/>
                  <a:srcRect/>
                  <a:stretch>
                    <a:fillRect/>
                  </a:stretch>
                </pic:blipFill>
                <pic:spPr bwMode="auto">
                  <a:xfrm>
                    <a:off x="0" y="0"/>
                    <a:ext cx="7600950" cy="2457450"/>
                  </a:xfrm>
                  <a:prstGeom prst="rect">
                    <a:avLst/>
                  </a:prstGeom>
                  <a:noFill/>
                  <a:ln w="9525">
                    <a:noFill/>
                    <a:miter lim="800000"/>
                    <a:headEnd/>
                    <a:tailEnd/>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333C2" w14:textId="004662A5" w:rsidR="00AF6032" w:rsidRPr="00252C0A" w:rsidRDefault="00AF6032" w:rsidP="00252C0A">
    <w:pPr>
      <w:pStyle w:val="Header"/>
      <w:pBdr>
        <w:bottom w:val="none" w:sz="0" w:space="0" w:color="auto"/>
      </w:pBdr>
      <w:jc w:val="lef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C1230" w14:textId="77777777" w:rsidR="00AF6032" w:rsidRPr="009978EB" w:rsidRDefault="00AF6032" w:rsidP="009978EB">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FD25E0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5D25AF"/>
    <w:multiLevelType w:val="hybridMultilevel"/>
    <w:tmpl w:val="CF4AC0BE"/>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F502A8"/>
    <w:multiLevelType w:val="hybridMultilevel"/>
    <w:tmpl w:val="CD34BB9A"/>
    <w:lvl w:ilvl="0" w:tplc="842AA74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8F13E9"/>
    <w:multiLevelType w:val="multilevel"/>
    <w:tmpl w:val="E8161520"/>
    <w:styleLink w:val="ListBullets"/>
    <w:lvl w:ilvl="0">
      <w:start w:val="1"/>
      <w:numFmt w:val="lowerRoman"/>
      <w:pStyle w:val="ListBullet"/>
      <w:lvlText w:val="(%1)"/>
      <w:lvlJc w:val="left"/>
      <w:pPr>
        <w:ind w:left="360" w:hanging="360"/>
      </w:pPr>
      <w:rPr>
        <w:rFonts w:hint="default"/>
      </w:rPr>
    </w:lvl>
    <w:lvl w:ilvl="1">
      <w:start w:val="1"/>
      <w:numFmt w:val="bullet"/>
      <w:pStyle w:val="ListBullet2"/>
      <w:lvlText w:val="–"/>
      <w:lvlJc w:val="left"/>
      <w:pPr>
        <w:ind w:left="720" w:hanging="360"/>
      </w:pPr>
      <w:rPr>
        <w:rFonts w:ascii="Arial" w:hAnsi="Arial" w:hint="default"/>
      </w:rPr>
    </w:lvl>
    <w:lvl w:ilvl="2">
      <w:start w:val="1"/>
      <w:numFmt w:val="decimal"/>
      <w:pStyle w:val="ListBullet3"/>
      <w:lvlText w:val="%3)"/>
      <w:lvlJc w:val="left"/>
      <w:pPr>
        <w:ind w:left="1080" w:hanging="360"/>
      </w:pPr>
      <w:rPr>
        <w:b w:val="0"/>
        <w:i w:val="0"/>
        <w:strike w:val="0"/>
        <w:dstrike w:val="0"/>
        <w:color w:val="000000"/>
        <w:sz w:val="24"/>
        <w:szCs w:val="24"/>
        <w:u w:val="none" w:color="000000"/>
        <w:bdr w:val="none" w:sz="0" w:space="0" w:color="auto"/>
        <w:shd w:val="clear" w:color="auto" w:fill="auto"/>
        <w:vertAlign w:val="baseline"/>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1B617FF9"/>
    <w:multiLevelType w:val="hybridMultilevel"/>
    <w:tmpl w:val="93D6F2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3B3E8A"/>
    <w:multiLevelType w:val="hybridMultilevel"/>
    <w:tmpl w:val="ECC61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CC4458"/>
    <w:multiLevelType w:val="hybridMultilevel"/>
    <w:tmpl w:val="5642AF3A"/>
    <w:lvl w:ilvl="0" w:tplc="0CE6252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A64672C"/>
    <w:multiLevelType w:val="hybridMultilevel"/>
    <w:tmpl w:val="C47A2316"/>
    <w:lvl w:ilvl="0" w:tplc="59FCB1F2">
      <w:start w:val="1"/>
      <w:numFmt w:val="lowerLetter"/>
      <w:lvlText w:val="(%1)"/>
      <w:lvlJc w:val="left"/>
      <w:pPr>
        <w:ind w:left="720" w:hanging="360"/>
      </w:pPr>
      <w:rPr>
        <w:rFonts w:ascii="Cambria" w:eastAsia="Cambria" w:hAnsi="Cambria"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5C465B0"/>
    <w:multiLevelType w:val="hybridMultilevel"/>
    <w:tmpl w:val="9EA0C6A2"/>
    <w:lvl w:ilvl="0" w:tplc="F244B8EA">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BF68B7"/>
    <w:multiLevelType w:val="hybridMultilevel"/>
    <w:tmpl w:val="64989270"/>
    <w:lvl w:ilvl="0" w:tplc="DECCC5C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0A53C74"/>
    <w:multiLevelType w:val="hybridMultilevel"/>
    <w:tmpl w:val="97309D44"/>
    <w:lvl w:ilvl="0" w:tplc="8960CF2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6D94740"/>
    <w:multiLevelType w:val="hybridMultilevel"/>
    <w:tmpl w:val="29D2B1C2"/>
    <w:lvl w:ilvl="0" w:tplc="EEF278D8">
      <w:start w:val="1"/>
      <w:numFmt w:val="lowerLetter"/>
      <w:lvlText w:val="(%1)"/>
      <w:lvlJc w:val="left"/>
      <w:pPr>
        <w:ind w:left="405" w:hanging="360"/>
      </w:pPr>
      <w:rPr>
        <w:rFonts w:ascii="Cambria" w:eastAsia="Cambria" w:hAnsi="Cambria" w:cs="Times New Roman"/>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13" w15:restartNumberingAfterBreak="0">
    <w:nsid w:val="46E46259"/>
    <w:multiLevelType w:val="hybridMultilevel"/>
    <w:tmpl w:val="863E76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8D432BA"/>
    <w:multiLevelType w:val="multilevel"/>
    <w:tmpl w:val="1EB8F8D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09003E"/>
    <w:multiLevelType w:val="hybridMultilevel"/>
    <w:tmpl w:val="3B687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11B1716"/>
    <w:multiLevelType w:val="hybridMultilevel"/>
    <w:tmpl w:val="64989270"/>
    <w:lvl w:ilvl="0" w:tplc="DECCC5C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368620B"/>
    <w:multiLevelType w:val="hybridMultilevel"/>
    <w:tmpl w:val="B9A6C5CA"/>
    <w:lvl w:ilvl="0" w:tplc="26A88534">
      <w:start w:val="1"/>
      <w:numFmt w:val="decimal"/>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8" w15:restartNumberingAfterBreak="0">
    <w:nsid w:val="64113944"/>
    <w:multiLevelType w:val="hybridMultilevel"/>
    <w:tmpl w:val="AB9E3F82"/>
    <w:lvl w:ilvl="0" w:tplc="FB544EB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488724E"/>
    <w:multiLevelType w:val="multilevel"/>
    <w:tmpl w:val="1EB8F8D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456429"/>
    <w:multiLevelType w:val="multilevel"/>
    <w:tmpl w:val="0576E52C"/>
    <w:lvl w:ilvl="0">
      <w:start w:val="1"/>
      <w:numFmt w:val="decimal"/>
      <w:pStyle w:val="ListNumber"/>
      <w:lvlText w:val="%1."/>
      <w:lvlJc w:val="left"/>
      <w:pPr>
        <w:ind w:left="369" w:hanging="369"/>
      </w:pPr>
      <w:rPr>
        <w:rFonts w:ascii="Times New Roman" w:hAnsi="Times New Roman" w:cs="Times New Roman" w:hint="default"/>
        <w:color w:val="auto"/>
        <w:sz w:val="24"/>
        <w:szCs w:val="24"/>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21" w15:restartNumberingAfterBreak="0">
    <w:nsid w:val="766A07CE"/>
    <w:multiLevelType w:val="hybridMultilevel"/>
    <w:tmpl w:val="B9A6C5CA"/>
    <w:lvl w:ilvl="0" w:tplc="26A88534">
      <w:start w:val="1"/>
      <w:numFmt w:val="decimal"/>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2" w15:restartNumberingAfterBreak="0">
    <w:nsid w:val="77501674"/>
    <w:multiLevelType w:val="multilevel"/>
    <w:tmpl w:val="41584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DF063B"/>
    <w:multiLevelType w:val="hybridMultilevel"/>
    <w:tmpl w:val="ADE47068"/>
    <w:lvl w:ilvl="0" w:tplc="D0640CF4">
      <w:start w:val="1"/>
      <w:numFmt w:val="lowerLetter"/>
      <w:lvlText w:val="(%1)"/>
      <w:lvlJc w:val="left"/>
      <w:pPr>
        <w:ind w:left="720" w:hanging="360"/>
      </w:pPr>
      <w:rPr>
        <w:rFonts w:ascii="Cambria" w:eastAsia="Cambria" w:hAnsi="Cambria"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E7E79A3"/>
    <w:multiLevelType w:val="hybridMultilevel"/>
    <w:tmpl w:val="64989270"/>
    <w:lvl w:ilvl="0" w:tplc="DECCC5C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3"/>
  </w:num>
  <w:num w:numId="3">
    <w:abstractNumId w:val="4"/>
  </w:num>
  <w:num w:numId="4">
    <w:abstractNumId w:val="3"/>
  </w:num>
  <w:num w:numId="5">
    <w:abstractNumId w:val="8"/>
  </w:num>
  <w:num w:numId="6">
    <w:abstractNumId w:val="12"/>
  </w:num>
  <w:num w:numId="7">
    <w:abstractNumId w:val="18"/>
  </w:num>
  <w:num w:numId="8">
    <w:abstractNumId w:val="13"/>
  </w:num>
  <w:num w:numId="9">
    <w:abstractNumId w:val="14"/>
  </w:num>
  <w:num w:numId="10">
    <w:abstractNumId w:val="2"/>
  </w:num>
  <w:num w:numId="11">
    <w:abstractNumId w:val="20"/>
  </w:num>
  <w:num w:numId="12">
    <w:abstractNumId w:val="21"/>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6"/>
  </w:num>
  <w:num w:numId="23">
    <w:abstractNumId w:val="0"/>
  </w:num>
  <w:num w:numId="24">
    <w:abstractNumId w:val="1"/>
  </w:num>
  <w:num w:numId="25">
    <w:abstractNumId w:val="17"/>
  </w:num>
  <w:num w:numId="26">
    <w:abstractNumId w:val="11"/>
  </w:num>
  <w:num w:numId="27">
    <w:abstractNumId w:val="23"/>
  </w:num>
  <w:num w:numId="28">
    <w:abstractNumId w:val="22"/>
  </w:num>
  <w:num w:numId="29">
    <w:abstractNumId w:val="9"/>
  </w:num>
  <w:num w:numId="30">
    <w:abstractNumId w:val="10"/>
  </w:num>
  <w:num w:numId="31">
    <w:abstractNumId w:val="16"/>
  </w:num>
  <w:num w:numId="32">
    <w:abstractNumId w:val="24"/>
  </w:num>
  <w:num w:numId="33">
    <w:abstractNumId w:val="7"/>
  </w:num>
  <w:num w:numId="34">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removePersonalInformation/>
  <w:removeDateAndTime/>
  <w:displayBackgroundShape/>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73057"/>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B42"/>
    <w:rsid w:val="00000921"/>
    <w:rsid w:val="00002031"/>
    <w:rsid w:val="00004734"/>
    <w:rsid w:val="00006B22"/>
    <w:rsid w:val="00007BEC"/>
    <w:rsid w:val="00010919"/>
    <w:rsid w:val="00010BF1"/>
    <w:rsid w:val="0001198A"/>
    <w:rsid w:val="0001276A"/>
    <w:rsid w:val="0001299D"/>
    <w:rsid w:val="00012B9D"/>
    <w:rsid w:val="0001497B"/>
    <w:rsid w:val="00014A4A"/>
    <w:rsid w:val="00016107"/>
    <w:rsid w:val="00016516"/>
    <w:rsid w:val="0001671F"/>
    <w:rsid w:val="000206D0"/>
    <w:rsid w:val="00021B23"/>
    <w:rsid w:val="00022150"/>
    <w:rsid w:val="0002444B"/>
    <w:rsid w:val="000246AE"/>
    <w:rsid w:val="00025C67"/>
    <w:rsid w:val="00026CE0"/>
    <w:rsid w:val="00026DE1"/>
    <w:rsid w:val="00027984"/>
    <w:rsid w:val="00027C2D"/>
    <w:rsid w:val="00030C3B"/>
    <w:rsid w:val="00030D67"/>
    <w:rsid w:val="00030FAA"/>
    <w:rsid w:val="0003306D"/>
    <w:rsid w:val="00034F17"/>
    <w:rsid w:val="00036074"/>
    <w:rsid w:val="00036371"/>
    <w:rsid w:val="00037C1C"/>
    <w:rsid w:val="00040FFA"/>
    <w:rsid w:val="000413E5"/>
    <w:rsid w:val="000417A7"/>
    <w:rsid w:val="00041B58"/>
    <w:rsid w:val="00043081"/>
    <w:rsid w:val="00043635"/>
    <w:rsid w:val="00046F64"/>
    <w:rsid w:val="000503E7"/>
    <w:rsid w:val="000506D0"/>
    <w:rsid w:val="00050BF2"/>
    <w:rsid w:val="00050EEF"/>
    <w:rsid w:val="00051932"/>
    <w:rsid w:val="00052994"/>
    <w:rsid w:val="00052E09"/>
    <w:rsid w:val="00053891"/>
    <w:rsid w:val="000539EE"/>
    <w:rsid w:val="00053F4A"/>
    <w:rsid w:val="0005448B"/>
    <w:rsid w:val="00054DD6"/>
    <w:rsid w:val="00055129"/>
    <w:rsid w:val="0005549F"/>
    <w:rsid w:val="000554B4"/>
    <w:rsid w:val="0005559E"/>
    <w:rsid w:val="00061E51"/>
    <w:rsid w:val="00062085"/>
    <w:rsid w:val="00062551"/>
    <w:rsid w:val="00063028"/>
    <w:rsid w:val="000639DD"/>
    <w:rsid w:val="00063D77"/>
    <w:rsid w:val="0006710F"/>
    <w:rsid w:val="00070201"/>
    <w:rsid w:val="00070C00"/>
    <w:rsid w:val="000719D7"/>
    <w:rsid w:val="00071DCA"/>
    <w:rsid w:val="0007244A"/>
    <w:rsid w:val="00072998"/>
    <w:rsid w:val="00072DC5"/>
    <w:rsid w:val="0007368E"/>
    <w:rsid w:val="0007424C"/>
    <w:rsid w:val="00075446"/>
    <w:rsid w:val="00075559"/>
    <w:rsid w:val="000767BF"/>
    <w:rsid w:val="00076BAF"/>
    <w:rsid w:val="00076CD1"/>
    <w:rsid w:val="00077775"/>
    <w:rsid w:val="00077B87"/>
    <w:rsid w:val="000801D6"/>
    <w:rsid w:val="00080253"/>
    <w:rsid w:val="0008107A"/>
    <w:rsid w:val="0008139B"/>
    <w:rsid w:val="00082AEF"/>
    <w:rsid w:val="000830DB"/>
    <w:rsid w:val="0008490C"/>
    <w:rsid w:val="000864C8"/>
    <w:rsid w:val="0009040A"/>
    <w:rsid w:val="00090471"/>
    <w:rsid w:val="00090AC0"/>
    <w:rsid w:val="00091515"/>
    <w:rsid w:val="0009247F"/>
    <w:rsid w:val="000929D3"/>
    <w:rsid w:val="00093C3F"/>
    <w:rsid w:val="00093E4F"/>
    <w:rsid w:val="00094AE8"/>
    <w:rsid w:val="00094AFD"/>
    <w:rsid w:val="000958DF"/>
    <w:rsid w:val="000977C4"/>
    <w:rsid w:val="000A06A3"/>
    <w:rsid w:val="000A0922"/>
    <w:rsid w:val="000A0965"/>
    <w:rsid w:val="000A14EF"/>
    <w:rsid w:val="000A168B"/>
    <w:rsid w:val="000A19A3"/>
    <w:rsid w:val="000A231C"/>
    <w:rsid w:val="000A4B38"/>
    <w:rsid w:val="000A4CAA"/>
    <w:rsid w:val="000A629C"/>
    <w:rsid w:val="000A650A"/>
    <w:rsid w:val="000B0A5D"/>
    <w:rsid w:val="000B0A78"/>
    <w:rsid w:val="000B0E34"/>
    <w:rsid w:val="000B19F0"/>
    <w:rsid w:val="000B2352"/>
    <w:rsid w:val="000B3251"/>
    <w:rsid w:val="000B3532"/>
    <w:rsid w:val="000B3A75"/>
    <w:rsid w:val="000B4EC9"/>
    <w:rsid w:val="000B4FC9"/>
    <w:rsid w:val="000B6298"/>
    <w:rsid w:val="000B6BDD"/>
    <w:rsid w:val="000B6C27"/>
    <w:rsid w:val="000B6F41"/>
    <w:rsid w:val="000B7084"/>
    <w:rsid w:val="000B710B"/>
    <w:rsid w:val="000B7FB8"/>
    <w:rsid w:val="000C21D7"/>
    <w:rsid w:val="000C346D"/>
    <w:rsid w:val="000C3BB2"/>
    <w:rsid w:val="000C556F"/>
    <w:rsid w:val="000C5A31"/>
    <w:rsid w:val="000C78EB"/>
    <w:rsid w:val="000C7B8A"/>
    <w:rsid w:val="000C7BC8"/>
    <w:rsid w:val="000D0484"/>
    <w:rsid w:val="000D0501"/>
    <w:rsid w:val="000D0DE6"/>
    <w:rsid w:val="000D11BA"/>
    <w:rsid w:val="000D20A6"/>
    <w:rsid w:val="000D2594"/>
    <w:rsid w:val="000D391B"/>
    <w:rsid w:val="000D3D6D"/>
    <w:rsid w:val="000D4FC7"/>
    <w:rsid w:val="000D5BD5"/>
    <w:rsid w:val="000D6EDC"/>
    <w:rsid w:val="000D7EE3"/>
    <w:rsid w:val="000E1F22"/>
    <w:rsid w:val="000E1F65"/>
    <w:rsid w:val="000E2600"/>
    <w:rsid w:val="000E42DD"/>
    <w:rsid w:val="000E43F2"/>
    <w:rsid w:val="000E4533"/>
    <w:rsid w:val="000E6085"/>
    <w:rsid w:val="000E6EA7"/>
    <w:rsid w:val="000E7C6D"/>
    <w:rsid w:val="000F2E20"/>
    <w:rsid w:val="000F2F25"/>
    <w:rsid w:val="000F3E6E"/>
    <w:rsid w:val="000F46F4"/>
    <w:rsid w:val="000F4869"/>
    <w:rsid w:val="000F5B42"/>
    <w:rsid w:val="000F6E6F"/>
    <w:rsid w:val="000F76CF"/>
    <w:rsid w:val="001003F2"/>
    <w:rsid w:val="00100FA7"/>
    <w:rsid w:val="00101C8D"/>
    <w:rsid w:val="00101D39"/>
    <w:rsid w:val="00102A6C"/>
    <w:rsid w:val="001032D3"/>
    <w:rsid w:val="00105686"/>
    <w:rsid w:val="0010601F"/>
    <w:rsid w:val="0010645B"/>
    <w:rsid w:val="00107378"/>
    <w:rsid w:val="0010755C"/>
    <w:rsid w:val="0011023F"/>
    <w:rsid w:val="00110A1E"/>
    <w:rsid w:val="00110EA5"/>
    <w:rsid w:val="001119DF"/>
    <w:rsid w:val="00112EB5"/>
    <w:rsid w:val="001151C2"/>
    <w:rsid w:val="00115240"/>
    <w:rsid w:val="0011626C"/>
    <w:rsid w:val="00116385"/>
    <w:rsid w:val="0011723A"/>
    <w:rsid w:val="00120582"/>
    <w:rsid w:val="00121DED"/>
    <w:rsid w:val="00121F0D"/>
    <w:rsid w:val="001221F0"/>
    <w:rsid w:val="001229F4"/>
    <w:rsid w:val="00123490"/>
    <w:rsid w:val="0012450A"/>
    <w:rsid w:val="00125091"/>
    <w:rsid w:val="00125318"/>
    <w:rsid w:val="00125667"/>
    <w:rsid w:val="00125755"/>
    <w:rsid w:val="00126E4C"/>
    <w:rsid w:val="001305A2"/>
    <w:rsid w:val="00133238"/>
    <w:rsid w:val="0013386B"/>
    <w:rsid w:val="001338DC"/>
    <w:rsid w:val="001343CD"/>
    <w:rsid w:val="00134E88"/>
    <w:rsid w:val="00135179"/>
    <w:rsid w:val="001358A0"/>
    <w:rsid w:val="00137FED"/>
    <w:rsid w:val="00140F0D"/>
    <w:rsid w:val="00140FE3"/>
    <w:rsid w:val="00141928"/>
    <w:rsid w:val="0014197B"/>
    <w:rsid w:val="00141C81"/>
    <w:rsid w:val="00143905"/>
    <w:rsid w:val="001447CD"/>
    <w:rsid w:val="00144E55"/>
    <w:rsid w:val="001516B1"/>
    <w:rsid w:val="00151B28"/>
    <w:rsid w:val="001525B4"/>
    <w:rsid w:val="00156316"/>
    <w:rsid w:val="001576A7"/>
    <w:rsid w:val="00160006"/>
    <w:rsid w:val="001604FC"/>
    <w:rsid w:val="0016410E"/>
    <w:rsid w:val="00165389"/>
    <w:rsid w:val="001667E7"/>
    <w:rsid w:val="001671E1"/>
    <w:rsid w:val="00167E5C"/>
    <w:rsid w:val="001702CD"/>
    <w:rsid w:val="001703EC"/>
    <w:rsid w:val="00170CED"/>
    <w:rsid w:val="001714A1"/>
    <w:rsid w:val="00171542"/>
    <w:rsid w:val="00171660"/>
    <w:rsid w:val="0017693F"/>
    <w:rsid w:val="00176A4A"/>
    <w:rsid w:val="0018110E"/>
    <w:rsid w:val="00181464"/>
    <w:rsid w:val="00181684"/>
    <w:rsid w:val="0018180B"/>
    <w:rsid w:val="00181CDB"/>
    <w:rsid w:val="00182260"/>
    <w:rsid w:val="001825E2"/>
    <w:rsid w:val="001829CB"/>
    <w:rsid w:val="001843C6"/>
    <w:rsid w:val="0018447B"/>
    <w:rsid w:val="001850E0"/>
    <w:rsid w:val="0018693C"/>
    <w:rsid w:val="00187A3B"/>
    <w:rsid w:val="001903D6"/>
    <w:rsid w:val="001906D9"/>
    <w:rsid w:val="00190D8C"/>
    <w:rsid w:val="0019255A"/>
    <w:rsid w:val="00192EAF"/>
    <w:rsid w:val="00193E47"/>
    <w:rsid w:val="001948DD"/>
    <w:rsid w:val="00194D96"/>
    <w:rsid w:val="00195250"/>
    <w:rsid w:val="001967B7"/>
    <w:rsid w:val="00197548"/>
    <w:rsid w:val="00197B58"/>
    <w:rsid w:val="001A0155"/>
    <w:rsid w:val="001A11BD"/>
    <w:rsid w:val="001A1737"/>
    <w:rsid w:val="001A4221"/>
    <w:rsid w:val="001A525F"/>
    <w:rsid w:val="001A5718"/>
    <w:rsid w:val="001A69AB"/>
    <w:rsid w:val="001A7020"/>
    <w:rsid w:val="001A739D"/>
    <w:rsid w:val="001B022E"/>
    <w:rsid w:val="001B09F9"/>
    <w:rsid w:val="001B0B03"/>
    <w:rsid w:val="001B1013"/>
    <w:rsid w:val="001B148F"/>
    <w:rsid w:val="001B2C13"/>
    <w:rsid w:val="001B3180"/>
    <w:rsid w:val="001B3532"/>
    <w:rsid w:val="001B3C8D"/>
    <w:rsid w:val="001B3FD7"/>
    <w:rsid w:val="001B404F"/>
    <w:rsid w:val="001B6448"/>
    <w:rsid w:val="001B6ED9"/>
    <w:rsid w:val="001C047A"/>
    <w:rsid w:val="001C0714"/>
    <w:rsid w:val="001C0735"/>
    <w:rsid w:val="001C0C9F"/>
    <w:rsid w:val="001C24C2"/>
    <w:rsid w:val="001C410A"/>
    <w:rsid w:val="001C5BF2"/>
    <w:rsid w:val="001C5DEA"/>
    <w:rsid w:val="001D01CC"/>
    <w:rsid w:val="001D050C"/>
    <w:rsid w:val="001D06D7"/>
    <w:rsid w:val="001D1E21"/>
    <w:rsid w:val="001D247A"/>
    <w:rsid w:val="001D2A78"/>
    <w:rsid w:val="001D480A"/>
    <w:rsid w:val="001D4A83"/>
    <w:rsid w:val="001D4F91"/>
    <w:rsid w:val="001D541F"/>
    <w:rsid w:val="001D5D14"/>
    <w:rsid w:val="001D68EA"/>
    <w:rsid w:val="001D7D17"/>
    <w:rsid w:val="001E032B"/>
    <w:rsid w:val="001E07CF"/>
    <w:rsid w:val="001E0F7E"/>
    <w:rsid w:val="001E12F4"/>
    <w:rsid w:val="001E465B"/>
    <w:rsid w:val="001E484D"/>
    <w:rsid w:val="001E59F1"/>
    <w:rsid w:val="001E5F3B"/>
    <w:rsid w:val="001E70FA"/>
    <w:rsid w:val="001E7175"/>
    <w:rsid w:val="001E794A"/>
    <w:rsid w:val="001F0520"/>
    <w:rsid w:val="001F20A0"/>
    <w:rsid w:val="001F214A"/>
    <w:rsid w:val="001F2155"/>
    <w:rsid w:val="001F3F80"/>
    <w:rsid w:val="001F4988"/>
    <w:rsid w:val="001F49EB"/>
    <w:rsid w:val="001F4CD5"/>
    <w:rsid w:val="001F6375"/>
    <w:rsid w:val="001F6CBA"/>
    <w:rsid w:val="001F7142"/>
    <w:rsid w:val="001F77A3"/>
    <w:rsid w:val="001F78B9"/>
    <w:rsid w:val="00200C33"/>
    <w:rsid w:val="00201337"/>
    <w:rsid w:val="00201D4E"/>
    <w:rsid w:val="0020243B"/>
    <w:rsid w:val="00203181"/>
    <w:rsid w:val="00203A62"/>
    <w:rsid w:val="00203B28"/>
    <w:rsid w:val="002046AB"/>
    <w:rsid w:val="0020473F"/>
    <w:rsid w:val="00204DC9"/>
    <w:rsid w:val="00207515"/>
    <w:rsid w:val="0021155A"/>
    <w:rsid w:val="00211C7B"/>
    <w:rsid w:val="002136A7"/>
    <w:rsid w:val="00214795"/>
    <w:rsid w:val="00220B8A"/>
    <w:rsid w:val="00220E0D"/>
    <w:rsid w:val="00220FDF"/>
    <w:rsid w:val="00220FEE"/>
    <w:rsid w:val="00221D39"/>
    <w:rsid w:val="002232C2"/>
    <w:rsid w:val="00223378"/>
    <w:rsid w:val="0022375E"/>
    <w:rsid w:val="00225657"/>
    <w:rsid w:val="002257F3"/>
    <w:rsid w:val="00225C6B"/>
    <w:rsid w:val="002302EC"/>
    <w:rsid w:val="002303B0"/>
    <w:rsid w:val="00230CB3"/>
    <w:rsid w:val="00230D3D"/>
    <w:rsid w:val="00230F12"/>
    <w:rsid w:val="002314E8"/>
    <w:rsid w:val="00232285"/>
    <w:rsid w:val="00233456"/>
    <w:rsid w:val="0023397F"/>
    <w:rsid w:val="002339A5"/>
    <w:rsid w:val="00233C2E"/>
    <w:rsid w:val="0023478B"/>
    <w:rsid w:val="00235A48"/>
    <w:rsid w:val="002366F7"/>
    <w:rsid w:val="00236911"/>
    <w:rsid w:val="00240C5C"/>
    <w:rsid w:val="0024143B"/>
    <w:rsid w:val="00241C0F"/>
    <w:rsid w:val="00242B3F"/>
    <w:rsid w:val="0024366B"/>
    <w:rsid w:val="002437E5"/>
    <w:rsid w:val="00244EAE"/>
    <w:rsid w:val="002452E7"/>
    <w:rsid w:val="00245F98"/>
    <w:rsid w:val="00246194"/>
    <w:rsid w:val="002470EA"/>
    <w:rsid w:val="002476F0"/>
    <w:rsid w:val="0025003A"/>
    <w:rsid w:val="002522D2"/>
    <w:rsid w:val="00252C0A"/>
    <w:rsid w:val="00252D57"/>
    <w:rsid w:val="00253709"/>
    <w:rsid w:val="002538AE"/>
    <w:rsid w:val="002541E7"/>
    <w:rsid w:val="002542EF"/>
    <w:rsid w:val="00254567"/>
    <w:rsid w:val="00254797"/>
    <w:rsid w:val="00254DED"/>
    <w:rsid w:val="00255C16"/>
    <w:rsid w:val="00256118"/>
    <w:rsid w:val="002569CC"/>
    <w:rsid w:val="00257138"/>
    <w:rsid w:val="002574BA"/>
    <w:rsid w:val="00257848"/>
    <w:rsid w:val="0026186B"/>
    <w:rsid w:val="0026338B"/>
    <w:rsid w:val="002634DC"/>
    <w:rsid w:val="00270451"/>
    <w:rsid w:val="0027060E"/>
    <w:rsid w:val="0027084A"/>
    <w:rsid w:val="00271109"/>
    <w:rsid w:val="00274AC6"/>
    <w:rsid w:val="00276557"/>
    <w:rsid w:val="00276F84"/>
    <w:rsid w:val="00277EF5"/>
    <w:rsid w:val="00280138"/>
    <w:rsid w:val="002817CD"/>
    <w:rsid w:val="00286434"/>
    <w:rsid w:val="00286C59"/>
    <w:rsid w:val="00294268"/>
    <w:rsid w:val="002942D1"/>
    <w:rsid w:val="002962CC"/>
    <w:rsid w:val="002A0556"/>
    <w:rsid w:val="002A0A30"/>
    <w:rsid w:val="002A0F8E"/>
    <w:rsid w:val="002A29C5"/>
    <w:rsid w:val="002A427D"/>
    <w:rsid w:val="002A6879"/>
    <w:rsid w:val="002A792B"/>
    <w:rsid w:val="002A7F6E"/>
    <w:rsid w:val="002B0448"/>
    <w:rsid w:val="002B096D"/>
    <w:rsid w:val="002B0C2E"/>
    <w:rsid w:val="002B10B4"/>
    <w:rsid w:val="002B1638"/>
    <w:rsid w:val="002B229D"/>
    <w:rsid w:val="002B3BF6"/>
    <w:rsid w:val="002B3F03"/>
    <w:rsid w:val="002B5C2D"/>
    <w:rsid w:val="002B5E0F"/>
    <w:rsid w:val="002B6043"/>
    <w:rsid w:val="002B6372"/>
    <w:rsid w:val="002B7828"/>
    <w:rsid w:val="002C11A7"/>
    <w:rsid w:val="002C14E1"/>
    <w:rsid w:val="002C1D7D"/>
    <w:rsid w:val="002C2511"/>
    <w:rsid w:val="002C2AB3"/>
    <w:rsid w:val="002C2C48"/>
    <w:rsid w:val="002C4508"/>
    <w:rsid w:val="002C4805"/>
    <w:rsid w:val="002C4F01"/>
    <w:rsid w:val="002C70C6"/>
    <w:rsid w:val="002D03FE"/>
    <w:rsid w:val="002D10E1"/>
    <w:rsid w:val="002D1EDF"/>
    <w:rsid w:val="002D3251"/>
    <w:rsid w:val="002D3A37"/>
    <w:rsid w:val="002D48B3"/>
    <w:rsid w:val="002D59E5"/>
    <w:rsid w:val="002D5BEE"/>
    <w:rsid w:val="002D5EDF"/>
    <w:rsid w:val="002D6C30"/>
    <w:rsid w:val="002D7515"/>
    <w:rsid w:val="002D7C0D"/>
    <w:rsid w:val="002E13C4"/>
    <w:rsid w:val="002E1774"/>
    <w:rsid w:val="002E2020"/>
    <w:rsid w:val="002E2C12"/>
    <w:rsid w:val="002E3CED"/>
    <w:rsid w:val="002E4AA5"/>
    <w:rsid w:val="002E4C9A"/>
    <w:rsid w:val="002E5320"/>
    <w:rsid w:val="002E5BBB"/>
    <w:rsid w:val="002E6512"/>
    <w:rsid w:val="002E6B22"/>
    <w:rsid w:val="002E7A95"/>
    <w:rsid w:val="002F11F8"/>
    <w:rsid w:val="002F27CD"/>
    <w:rsid w:val="002F2F49"/>
    <w:rsid w:val="002F367A"/>
    <w:rsid w:val="002F3F56"/>
    <w:rsid w:val="002F44B5"/>
    <w:rsid w:val="002F4714"/>
    <w:rsid w:val="002F4FD7"/>
    <w:rsid w:val="002F62F3"/>
    <w:rsid w:val="002F693C"/>
    <w:rsid w:val="00301E67"/>
    <w:rsid w:val="0030223D"/>
    <w:rsid w:val="003023E8"/>
    <w:rsid w:val="00303CB4"/>
    <w:rsid w:val="00304A57"/>
    <w:rsid w:val="00304FC0"/>
    <w:rsid w:val="003053C5"/>
    <w:rsid w:val="003062A4"/>
    <w:rsid w:val="00307DC9"/>
    <w:rsid w:val="00307F3E"/>
    <w:rsid w:val="003103C6"/>
    <w:rsid w:val="00311AC0"/>
    <w:rsid w:val="00311FC2"/>
    <w:rsid w:val="00312B37"/>
    <w:rsid w:val="00313A0D"/>
    <w:rsid w:val="00313D61"/>
    <w:rsid w:val="003140DE"/>
    <w:rsid w:val="00314275"/>
    <w:rsid w:val="00314F10"/>
    <w:rsid w:val="0031735E"/>
    <w:rsid w:val="003204DD"/>
    <w:rsid w:val="0032356C"/>
    <w:rsid w:val="00323EA4"/>
    <w:rsid w:val="003249D6"/>
    <w:rsid w:val="00325A4D"/>
    <w:rsid w:val="00326196"/>
    <w:rsid w:val="00326709"/>
    <w:rsid w:val="00326C26"/>
    <w:rsid w:val="003304C7"/>
    <w:rsid w:val="00331DBB"/>
    <w:rsid w:val="00332680"/>
    <w:rsid w:val="003339B1"/>
    <w:rsid w:val="0033434C"/>
    <w:rsid w:val="00334F1A"/>
    <w:rsid w:val="00335A39"/>
    <w:rsid w:val="00335DAF"/>
    <w:rsid w:val="00336EC6"/>
    <w:rsid w:val="00340A01"/>
    <w:rsid w:val="003414E2"/>
    <w:rsid w:val="00341BDD"/>
    <w:rsid w:val="00343517"/>
    <w:rsid w:val="003441EE"/>
    <w:rsid w:val="0034466B"/>
    <w:rsid w:val="00344D64"/>
    <w:rsid w:val="003450E6"/>
    <w:rsid w:val="00345526"/>
    <w:rsid w:val="00345884"/>
    <w:rsid w:val="00347F46"/>
    <w:rsid w:val="003503FE"/>
    <w:rsid w:val="003521E8"/>
    <w:rsid w:val="0035302A"/>
    <w:rsid w:val="0035633F"/>
    <w:rsid w:val="00357D4D"/>
    <w:rsid w:val="00360CA8"/>
    <w:rsid w:val="00360EE4"/>
    <w:rsid w:val="00361866"/>
    <w:rsid w:val="00361DC9"/>
    <w:rsid w:val="003624B7"/>
    <w:rsid w:val="003628F6"/>
    <w:rsid w:val="00363936"/>
    <w:rsid w:val="00364C6A"/>
    <w:rsid w:val="00365ADA"/>
    <w:rsid w:val="00365DDD"/>
    <w:rsid w:val="003664BF"/>
    <w:rsid w:val="0036657E"/>
    <w:rsid w:val="003677F9"/>
    <w:rsid w:val="003702A3"/>
    <w:rsid w:val="00371940"/>
    <w:rsid w:val="00371FDA"/>
    <w:rsid w:val="0037207D"/>
    <w:rsid w:val="00372125"/>
    <w:rsid w:val="003728F3"/>
    <w:rsid w:val="003749CA"/>
    <w:rsid w:val="00375716"/>
    <w:rsid w:val="00377154"/>
    <w:rsid w:val="0037716C"/>
    <w:rsid w:val="00377786"/>
    <w:rsid w:val="00380719"/>
    <w:rsid w:val="0038092C"/>
    <w:rsid w:val="00382F15"/>
    <w:rsid w:val="0038483D"/>
    <w:rsid w:val="00385A69"/>
    <w:rsid w:val="0038647E"/>
    <w:rsid w:val="00387A5A"/>
    <w:rsid w:val="00390900"/>
    <w:rsid w:val="00391300"/>
    <w:rsid w:val="00391946"/>
    <w:rsid w:val="00392DA0"/>
    <w:rsid w:val="0039437D"/>
    <w:rsid w:val="00395724"/>
    <w:rsid w:val="00395CBD"/>
    <w:rsid w:val="003969AB"/>
    <w:rsid w:val="003A014A"/>
    <w:rsid w:val="003A2022"/>
    <w:rsid w:val="003A21F9"/>
    <w:rsid w:val="003A2D94"/>
    <w:rsid w:val="003A35BD"/>
    <w:rsid w:val="003A47B0"/>
    <w:rsid w:val="003A4BD8"/>
    <w:rsid w:val="003A4F6D"/>
    <w:rsid w:val="003A5BA9"/>
    <w:rsid w:val="003A7287"/>
    <w:rsid w:val="003B00C5"/>
    <w:rsid w:val="003B35A1"/>
    <w:rsid w:val="003B3802"/>
    <w:rsid w:val="003B443E"/>
    <w:rsid w:val="003B62E8"/>
    <w:rsid w:val="003B6EFA"/>
    <w:rsid w:val="003B750F"/>
    <w:rsid w:val="003B7E39"/>
    <w:rsid w:val="003C1DE3"/>
    <w:rsid w:val="003C29D5"/>
    <w:rsid w:val="003C2EE3"/>
    <w:rsid w:val="003C30DC"/>
    <w:rsid w:val="003C3F90"/>
    <w:rsid w:val="003C4F26"/>
    <w:rsid w:val="003C5029"/>
    <w:rsid w:val="003C58DC"/>
    <w:rsid w:val="003C6B71"/>
    <w:rsid w:val="003C6DC8"/>
    <w:rsid w:val="003C6FCF"/>
    <w:rsid w:val="003C7461"/>
    <w:rsid w:val="003C7D2E"/>
    <w:rsid w:val="003D0CD9"/>
    <w:rsid w:val="003D1D10"/>
    <w:rsid w:val="003D2BF8"/>
    <w:rsid w:val="003D3751"/>
    <w:rsid w:val="003D3D38"/>
    <w:rsid w:val="003D4890"/>
    <w:rsid w:val="003D65C4"/>
    <w:rsid w:val="003E0970"/>
    <w:rsid w:val="003E0B10"/>
    <w:rsid w:val="003E1818"/>
    <w:rsid w:val="003E1868"/>
    <w:rsid w:val="003E1A62"/>
    <w:rsid w:val="003E2BD4"/>
    <w:rsid w:val="003E3208"/>
    <w:rsid w:val="003E3D34"/>
    <w:rsid w:val="003E6C77"/>
    <w:rsid w:val="003E6F1D"/>
    <w:rsid w:val="003E7109"/>
    <w:rsid w:val="003E7A53"/>
    <w:rsid w:val="003E7EAA"/>
    <w:rsid w:val="003F0210"/>
    <w:rsid w:val="003F06F7"/>
    <w:rsid w:val="003F0B04"/>
    <w:rsid w:val="003F0EEF"/>
    <w:rsid w:val="003F217E"/>
    <w:rsid w:val="003F2A1D"/>
    <w:rsid w:val="003F2B4D"/>
    <w:rsid w:val="003F337F"/>
    <w:rsid w:val="003F3918"/>
    <w:rsid w:val="003F5A4A"/>
    <w:rsid w:val="003F6F7D"/>
    <w:rsid w:val="004000D3"/>
    <w:rsid w:val="00400D44"/>
    <w:rsid w:val="00400F10"/>
    <w:rsid w:val="0040134E"/>
    <w:rsid w:val="00401DF2"/>
    <w:rsid w:val="004023DD"/>
    <w:rsid w:val="004032F0"/>
    <w:rsid w:val="004053FC"/>
    <w:rsid w:val="00405FE5"/>
    <w:rsid w:val="0040608B"/>
    <w:rsid w:val="00410839"/>
    <w:rsid w:val="00411011"/>
    <w:rsid w:val="004112CE"/>
    <w:rsid w:val="004112D7"/>
    <w:rsid w:val="00411E77"/>
    <w:rsid w:val="0041452B"/>
    <w:rsid w:val="0041490F"/>
    <w:rsid w:val="004150BB"/>
    <w:rsid w:val="004167B2"/>
    <w:rsid w:val="004169A8"/>
    <w:rsid w:val="004179E3"/>
    <w:rsid w:val="00417D2B"/>
    <w:rsid w:val="00420D11"/>
    <w:rsid w:val="00421585"/>
    <w:rsid w:val="004228EC"/>
    <w:rsid w:val="00423736"/>
    <w:rsid w:val="004239C0"/>
    <w:rsid w:val="00423AB4"/>
    <w:rsid w:val="00424707"/>
    <w:rsid w:val="004250A5"/>
    <w:rsid w:val="004265EF"/>
    <w:rsid w:val="00426DC5"/>
    <w:rsid w:val="00426EF4"/>
    <w:rsid w:val="004300CD"/>
    <w:rsid w:val="00430995"/>
    <w:rsid w:val="00432484"/>
    <w:rsid w:val="00433F83"/>
    <w:rsid w:val="0043465D"/>
    <w:rsid w:val="0044030D"/>
    <w:rsid w:val="004403A3"/>
    <w:rsid w:val="004409A8"/>
    <w:rsid w:val="00440A2D"/>
    <w:rsid w:val="00440AFB"/>
    <w:rsid w:val="00440B34"/>
    <w:rsid w:val="004414E4"/>
    <w:rsid w:val="0044310B"/>
    <w:rsid w:val="00443E7B"/>
    <w:rsid w:val="0044419C"/>
    <w:rsid w:val="00444BF8"/>
    <w:rsid w:val="004453F0"/>
    <w:rsid w:val="004456AB"/>
    <w:rsid w:val="004456CB"/>
    <w:rsid w:val="0044726D"/>
    <w:rsid w:val="00450063"/>
    <w:rsid w:val="004511DE"/>
    <w:rsid w:val="0045128B"/>
    <w:rsid w:val="00452669"/>
    <w:rsid w:val="004538C8"/>
    <w:rsid w:val="00455A6F"/>
    <w:rsid w:val="00455AF0"/>
    <w:rsid w:val="004564A7"/>
    <w:rsid w:val="00456733"/>
    <w:rsid w:val="00456889"/>
    <w:rsid w:val="00456DCB"/>
    <w:rsid w:val="004572A0"/>
    <w:rsid w:val="00460446"/>
    <w:rsid w:val="004604F3"/>
    <w:rsid w:val="00460649"/>
    <w:rsid w:val="004615D5"/>
    <w:rsid w:val="004617BF"/>
    <w:rsid w:val="00461EED"/>
    <w:rsid w:val="0046214B"/>
    <w:rsid w:val="004634F1"/>
    <w:rsid w:val="00463A3A"/>
    <w:rsid w:val="00464D91"/>
    <w:rsid w:val="00465166"/>
    <w:rsid w:val="00465E90"/>
    <w:rsid w:val="00466F9F"/>
    <w:rsid w:val="0046719C"/>
    <w:rsid w:val="00467210"/>
    <w:rsid w:val="0047140C"/>
    <w:rsid w:val="00471421"/>
    <w:rsid w:val="00474359"/>
    <w:rsid w:val="00474676"/>
    <w:rsid w:val="00474F94"/>
    <w:rsid w:val="00475410"/>
    <w:rsid w:val="00475AC4"/>
    <w:rsid w:val="0047772E"/>
    <w:rsid w:val="00477BB1"/>
    <w:rsid w:val="00480083"/>
    <w:rsid w:val="004820DF"/>
    <w:rsid w:val="0048238B"/>
    <w:rsid w:val="00482A41"/>
    <w:rsid w:val="00483D5B"/>
    <w:rsid w:val="0048453B"/>
    <w:rsid w:val="0048470E"/>
    <w:rsid w:val="004923FF"/>
    <w:rsid w:val="00492C1B"/>
    <w:rsid w:val="0049422C"/>
    <w:rsid w:val="00494E60"/>
    <w:rsid w:val="00495225"/>
    <w:rsid w:val="00495419"/>
    <w:rsid w:val="00496BAC"/>
    <w:rsid w:val="00496DD9"/>
    <w:rsid w:val="004972D3"/>
    <w:rsid w:val="00497B64"/>
    <w:rsid w:val="004A0214"/>
    <w:rsid w:val="004A0B30"/>
    <w:rsid w:val="004A14AC"/>
    <w:rsid w:val="004A35E6"/>
    <w:rsid w:val="004A3AF0"/>
    <w:rsid w:val="004A3C75"/>
    <w:rsid w:val="004A4D29"/>
    <w:rsid w:val="004A55FC"/>
    <w:rsid w:val="004A6920"/>
    <w:rsid w:val="004A6C76"/>
    <w:rsid w:val="004A711C"/>
    <w:rsid w:val="004A721E"/>
    <w:rsid w:val="004B0606"/>
    <w:rsid w:val="004B0AB0"/>
    <w:rsid w:val="004B16BE"/>
    <w:rsid w:val="004B183D"/>
    <w:rsid w:val="004B2409"/>
    <w:rsid w:val="004B3119"/>
    <w:rsid w:val="004B328A"/>
    <w:rsid w:val="004B478A"/>
    <w:rsid w:val="004B4A29"/>
    <w:rsid w:val="004B5A6B"/>
    <w:rsid w:val="004B5B59"/>
    <w:rsid w:val="004B5C29"/>
    <w:rsid w:val="004B5D5A"/>
    <w:rsid w:val="004B5E55"/>
    <w:rsid w:val="004B7730"/>
    <w:rsid w:val="004B7807"/>
    <w:rsid w:val="004B7B76"/>
    <w:rsid w:val="004C0070"/>
    <w:rsid w:val="004C04BA"/>
    <w:rsid w:val="004C06EB"/>
    <w:rsid w:val="004C1ACC"/>
    <w:rsid w:val="004C3E2C"/>
    <w:rsid w:val="004C55FF"/>
    <w:rsid w:val="004C61F7"/>
    <w:rsid w:val="004C740C"/>
    <w:rsid w:val="004C74B7"/>
    <w:rsid w:val="004C7580"/>
    <w:rsid w:val="004D0190"/>
    <w:rsid w:val="004D09A7"/>
    <w:rsid w:val="004D0F99"/>
    <w:rsid w:val="004D1093"/>
    <w:rsid w:val="004D1722"/>
    <w:rsid w:val="004D1ED4"/>
    <w:rsid w:val="004D25F2"/>
    <w:rsid w:val="004D48EE"/>
    <w:rsid w:val="004D51A6"/>
    <w:rsid w:val="004D5282"/>
    <w:rsid w:val="004D6BFA"/>
    <w:rsid w:val="004E0AED"/>
    <w:rsid w:val="004E5EEE"/>
    <w:rsid w:val="004E7A1B"/>
    <w:rsid w:val="004E7D2B"/>
    <w:rsid w:val="004E7EFF"/>
    <w:rsid w:val="004E7F12"/>
    <w:rsid w:val="004F0C8B"/>
    <w:rsid w:val="004F0F38"/>
    <w:rsid w:val="004F1306"/>
    <w:rsid w:val="004F1A46"/>
    <w:rsid w:val="004F263B"/>
    <w:rsid w:val="004F278B"/>
    <w:rsid w:val="004F2F5A"/>
    <w:rsid w:val="004F35F0"/>
    <w:rsid w:val="004F4D12"/>
    <w:rsid w:val="004F73F1"/>
    <w:rsid w:val="005009FA"/>
    <w:rsid w:val="005015B8"/>
    <w:rsid w:val="00501921"/>
    <w:rsid w:val="00502BD8"/>
    <w:rsid w:val="0050450A"/>
    <w:rsid w:val="00504DB0"/>
    <w:rsid w:val="005051C0"/>
    <w:rsid w:val="00507740"/>
    <w:rsid w:val="0051007C"/>
    <w:rsid w:val="00510620"/>
    <w:rsid w:val="00510765"/>
    <w:rsid w:val="00511904"/>
    <w:rsid w:val="00511E3B"/>
    <w:rsid w:val="00514CA5"/>
    <w:rsid w:val="00516485"/>
    <w:rsid w:val="005166FC"/>
    <w:rsid w:val="0051793A"/>
    <w:rsid w:val="00520532"/>
    <w:rsid w:val="00520FDB"/>
    <w:rsid w:val="00521479"/>
    <w:rsid w:val="00521B06"/>
    <w:rsid w:val="00522026"/>
    <w:rsid w:val="00522A0C"/>
    <w:rsid w:val="00524831"/>
    <w:rsid w:val="00524856"/>
    <w:rsid w:val="005250E0"/>
    <w:rsid w:val="00525658"/>
    <w:rsid w:val="00526F4A"/>
    <w:rsid w:val="00530354"/>
    <w:rsid w:val="00530DEA"/>
    <w:rsid w:val="00531B11"/>
    <w:rsid w:val="005323CD"/>
    <w:rsid w:val="005323D9"/>
    <w:rsid w:val="0053352D"/>
    <w:rsid w:val="00533DFA"/>
    <w:rsid w:val="00533F6F"/>
    <w:rsid w:val="00534F9E"/>
    <w:rsid w:val="0053629D"/>
    <w:rsid w:val="005379A6"/>
    <w:rsid w:val="0054129F"/>
    <w:rsid w:val="00542B07"/>
    <w:rsid w:val="0054335C"/>
    <w:rsid w:val="005434C6"/>
    <w:rsid w:val="00543B39"/>
    <w:rsid w:val="005448AE"/>
    <w:rsid w:val="00544B36"/>
    <w:rsid w:val="00544C10"/>
    <w:rsid w:val="005453BE"/>
    <w:rsid w:val="0054583D"/>
    <w:rsid w:val="00545865"/>
    <w:rsid w:val="005463B7"/>
    <w:rsid w:val="00546EDF"/>
    <w:rsid w:val="005477E7"/>
    <w:rsid w:val="005479AC"/>
    <w:rsid w:val="00547B62"/>
    <w:rsid w:val="00550096"/>
    <w:rsid w:val="005502A7"/>
    <w:rsid w:val="00550916"/>
    <w:rsid w:val="00551129"/>
    <w:rsid w:val="00551A0F"/>
    <w:rsid w:val="00551E73"/>
    <w:rsid w:val="005546BE"/>
    <w:rsid w:val="0055532D"/>
    <w:rsid w:val="00556410"/>
    <w:rsid w:val="00557FF9"/>
    <w:rsid w:val="005609E1"/>
    <w:rsid w:val="0056195B"/>
    <w:rsid w:val="00561D0B"/>
    <w:rsid w:val="00561FCA"/>
    <w:rsid w:val="0056248B"/>
    <w:rsid w:val="00563B42"/>
    <w:rsid w:val="00566AC1"/>
    <w:rsid w:val="005671B3"/>
    <w:rsid w:val="00567463"/>
    <w:rsid w:val="00567C32"/>
    <w:rsid w:val="0057130A"/>
    <w:rsid w:val="00571B30"/>
    <w:rsid w:val="00572617"/>
    <w:rsid w:val="0057495C"/>
    <w:rsid w:val="00576286"/>
    <w:rsid w:val="00576378"/>
    <w:rsid w:val="00577279"/>
    <w:rsid w:val="00577E38"/>
    <w:rsid w:val="0058381B"/>
    <w:rsid w:val="00583C8B"/>
    <w:rsid w:val="00583F83"/>
    <w:rsid w:val="0058490B"/>
    <w:rsid w:val="00585322"/>
    <w:rsid w:val="005854AA"/>
    <w:rsid w:val="00585BEE"/>
    <w:rsid w:val="0058601F"/>
    <w:rsid w:val="00587BB8"/>
    <w:rsid w:val="00591886"/>
    <w:rsid w:val="00593AD1"/>
    <w:rsid w:val="00593DBB"/>
    <w:rsid w:val="00593FE8"/>
    <w:rsid w:val="00594928"/>
    <w:rsid w:val="00594B77"/>
    <w:rsid w:val="00594D03"/>
    <w:rsid w:val="005956BF"/>
    <w:rsid w:val="00596BDB"/>
    <w:rsid w:val="00596CD0"/>
    <w:rsid w:val="0059732C"/>
    <w:rsid w:val="00597877"/>
    <w:rsid w:val="005A014D"/>
    <w:rsid w:val="005A0E15"/>
    <w:rsid w:val="005A1131"/>
    <w:rsid w:val="005A2D68"/>
    <w:rsid w:val="005A31B4"/>
    <w:rsid w:val="005A46C2"/>
    <w:rsid w:val="005A61CE"/>
    <w:rsid w:val="005A6467"/>
    <w:rsid w:val="005A6E29"/>
    <w:rsid w:val="005A6E5B"/>
    <w:rsid w:val="005A6F8D"/>
    <w:rsid w:val="005A7510"/>
    <w:rsid w:val="005B04FA"/>
    <w:rsid w:val="005B3B0D"/>
    <w:rsid w:val="005B3F3E"/>
    <w:rsid w:val="005B4929"/>
    <w:rsid w:val="005B49C9"/>
    <w:rsid w:val="005B510D"/>
    <w:rsid w:val="005B5825"/>
    <w:rsid w:val="005B5FE6"/>
    <w:rsid w:val="005B68D0"/>
    <w:rsid w:val="005C1377"/>
    <w:rsid w:val="005C1936"/>
    <w:rsid w:val="005C2737"/>
    <w:rsid w:val="005C3537"/>
    <w:rsid w:val="005C48D3"/>
    <w:rsid w:val="005C5570"/>
    <w:rsid w:val="005C79A4"/>
    <w:rsid w:val="005C7D29"/>
    <w:rsid w:val="005D077A"/>
    <w:rsid w:val="005D0C4A"/>
    <w:rsid w:val="005D1885"/>
    <w:rsid w:val="005D260D"/>
    <w:rsid w:val="005D2F86"/>
    <w:rsid w:val="005D38F2"/>
    <w:rsid w:val="005D4EA1"/>
    <w:rsid w:val="005D5442"/>
    <w:rsid w:val="005D554E"/>
    <w:rsid w:val="005D6958"/>
    <w:rsid w:val="005D6C96"/>
    <w:rsid w:val="005D6FE6"/>
    <w:rsid w:val="005D7582"/>
    <w:rsid w:val="005D7A00"/>
    <w:rsid w:val="005E024A"/>
    <w:rsid w:val="005E0816"/>
    <w:rsid w:val="005E1BA3"/>
    <w:rsid w:val="005E1E94"/>
    <w:rsid w:val="005E2FED"/>
    <w:rsid w:val="005E3A31"/>
    <w:rsid w:val="005E3CC7"/>
    <w:rsid w:val="005E40E8"/>
    <w:rsid w:val="005E6592"/>
    <w:rsid w:val="005E7D0A"/>
    <w:rsid w:val="005F0414"/>
    <w:rsid w:val="005F08B0"/>
    <w:rsid w:val="005F12F4"/>
    <w:rsid w:val="005F2026"/>
    <w:rsid w:val="005F2912"/>
    <w:rsid w:val="005F2C90"/>
    <w:rsid w:val="005F38B9"/>
    <w:rsid w:val="005F39D6"/>
    <w:rsid w:val="005F493D"/>
    <w:rsid w:val="005F4969"/>
    <w:rsid w:val="005F4F6E"/>
    <w:rsid w:val="005F7B7F"/>
    <w:rsid w:val="005F7B93"/>
    <w:rsid w:val="00601AFD"/>
    <w:rsid w:val="00602D3C"/>
    <w:rsid w:val="00603179"/>
    <w:rsid w:val="00603F6D"/>
    <w:rsid w:val="0060604B"/>
    <w:rsid w:val="00607C40"/>
    <w:rsid w:val="006111AB"/>
    <w:rsid w:val="0061185C"/>
    <w:rsid w:val="00611B57"/>
    <w:rsid w:val="00611CAC"/>
    <w:rsid w:val="00612586"/>
    <w:rsid w:val="0061273D"/>
    <w:rsid w:val="00613228"/>
    <w:rsid w:val="006134F0"/>
    <w:rsid w:val="00613F39"/>
    <w:rsid w:val="00616915"/>
    <w:rsid w:val="006173C4"/>
    <w:rsid w:val="006173EF"/>
    <w:rsid w:val="0061786C"/>
    <w:rsid w:val="00617EAC"/>
    <w:rsid w:val="00622C21"/>
    <w:rsid w:val="00623616"/>
    <w:rsid w:val="006239CD"/>
    <w:rsid w:val="00623D96"/>
    <w:rsid w:val="00626CC8"/>
    <w:rsid w:val="006305E2"/>
    <w:rsid w:val="006316C5"/>
    <w:rsid w:val="006323B0"/>
    <w:rsid w:val="00632B60"/>
    <w:rsid w:val="0063393A"/>
    <w:rsid w:val="00633E03"/>
    <w:rsid w:val="006344BA"/>
    <w:rsid w:val="00636643"/>
    <w:rsid w:val="00637EBD"/>
    <w:rsid w:val="00640190"/>
    <w:rsid w:val="006405A9"/>
    <w:rsid w:val="00640FC3"/>
    <w:rsid w:val="00642020"/>
    <w:rsid w:val="0064248C"/>
    <w:rsid w:val="00645756"/>
    <w:rsid w:val="0064621C"/>
    <w:rsid w:val="00646BA6"/>
    <w:rsid w:val="00647AB5"/>
    <w:rsid w:val="006506F0"/>
    <w:rsid w:val="00650880"/>
    <w:rsid w:val="00650E66"/>
    <w:rsid w:val="00650EF2"/>
    <w:rsid w:val="00651C87"/>
    <w:rsid w:val="00651D09"/>
    <w:rsid w:val="00652BD7"/>
    <w:rsid w:val="006530D0"/>
    <w:rsid w:val="0065337B"/>
    <w:rsid w:val="00653FBF"/>
    <w:rsid w:val="0065419D"/>
    <w:rsid w:val="0065421A"/>
    <w:rsid w:val="0065563D"/>
    <w:rsid w:val="006604D8"/>
    <w:rsid w:val="006613D9"/>
    <w:rsid w:val="00664A5B"/>
    <w:rsid w:val="00664D50"/>
    <w:rsid w:val="00665F8C"/>
    <w:rsid w:val="00667942"/>
    <w:rsid w:val="00667B4F"/>
    <w:rsid w:val="00667CE8"/>
    <w:rsid w:val="00671167"/>
    <w:rsid w:val="00671BBC"/>
    <w:rsid w:val="00671FA7"/>
    <w:rsid w:val="006736A3"/>
    <w:rsid w:val="00674CE1"/>
    <w:rsid w:val="00676886"/>
    <w:rsid w:val="006768EB"/>
    <w:rsid w:val="00676E74"/>
    <w:rsid w:val="00676EFA"/>
    <w:rsid w:val="00677860"/>
    <w:rsid w:val="006805F6"/>
    <w:rsid w:val="00680BDE"/>
    <w:rsid w:val="00680C08"/>
    <w:rsid w:val="00683C06"/>
    <w:rsid w:val="0068400C"/>
    <w:rsid w:val="00684411"/>
    <w:rsid w:val="006848B9"/>
    <w:rsid w:val="00685174"/>
    <w:rsid w:val="006854A1"/>
    <w:rsid w:val="00686C4F"/>
    <w:rsid w:val="0068741A"/>
    <w:rsid w:val="00691723"/>
    <w:rsid w:val="006920D7"/>
    <w:rsid w:val="00692ACF"/>
    <w:rsid w:val="006931B1"/>
    <w:rsid w:val="006935A8"/>
    <w:rsid w:val="006938AB"/>
    <w:rsid w:val="00693CDB"/>
    <w:rsid w:val="00693E2E"/>
    <w:rsid w:val="0069420C"/>
    <w:rsid w:val="00694409"/>
    <w:rsid w:val="006946FF"/>
    <w:rsid w:val="0069552A"/>
    <w:rsid w:val="00695589"/>
    <w:rsid w:val="006960DE"/>
    <w:rsid w:val="0069692A"/>
    <w:rsid w:val="00696B13"/>
    <w:rsid w:val="006978B2"/>
    <w:rsid w:val="006A0A23"/>
    <w:rsid w:val="006A1071"/>
    <w:rsid w:val="006A1512"/>
    <w:rsid w:val="006A15C0"/>
    <w:rsid w:val="006A3365"/>
    <w:rsid w:val="006A3CD3"/>
    <w:rsid w:val="006A607C"/>
    <w:rsid w:val="006A6D46"/>
    <w:rsid w:val="006B0267"/>
    <w:rsid w:val="006B188D"/>
    <w:rsid w:val="006B28ED"/>
    <w:rsid w:val="006B30F1"/>
    <w:rsid w:val="006B361E"/>
    <w:rsid w:val="006B39FD"/>
    <w:rsid w:val="006B4D35"/>
    <w:rsid w:val="006B56E5"/>
    <w:rsid w:val="006B5BFB"/>
    <w:rsid w:val="006C1055"/>
    <w:rsid w:val="006C1447"/>
    <w:rsid w:val="006C177D"/>
    <w:rsid w:val="006C1D59"/>
    <w:rsid w:val="006C1F3B"/>
    <w:rsid w:val="006C22CC"/>
    <w:rsid w:val="006C2952"/>
    <w:rsid w:val="006C3632"/>
    <w:rsid w:val="006C379D"/>
    <w:rsid w:val="006C38F8"/>
    <w:rsid w:val="006C3E2A"/>
    <w:rsid w:val="006C415B"/>
    <w:rsid w:val="006C4FF2"/>
    <w:rsid w:val="006C626D"/>
    <w:rsid w:val="006C642F"/>
    <w:rsid w:val="006C67E4"/>
    <w:rsid w:val="006C6EDB"/>
    <w:rsid w:val="006C6F97"/>
    <w:rsid w:val="006C7143"/>
    <w:rsid w:val="006C71F4"/>
    <w:rsid w:val="006C7249"/>
    <w:rsid w:val="006C7AA5"/>
    <w:rsid w:val="006D039E"/>
    <w:rsid w:val="006D03E5"/>
    <w:rsid w:val="006D0C3B"/>
    <w:rsid w:val="006D0DD2"/>
    <w:rsid w:val="006D0E7E"/>
    <w:rsid w:val="006D112A"/>
    <w:rsid w:val="006D2709"/>
    <w:rsid w:val="006D2E32"/>
    <w:rsid w:val="006D4A60"/>
    <w:rsid w:val="006D4E4C"/>
    <w:rsid w:val="006D560D"/>
    <w:rsid w:val="006D5D3E"/>
    <w:rsid w:val="006D64E9"/>
    <w:rsid w:val="006D7259"/>
    <w:rsid w:val="006E08B3"/>
    <w:rsid w:val="006E269F"/>
    <w:rsid w:val="006E26BA"/>
    <w:rsid w:val="006E2830"/>
    <w:rsid w:val="006E492D"/>
    <w:rsid w:val="006E5AB4"/>
    <w:rsid w:val="006E5F7C"/>
    <w:rsid w:val="006E6059"/>
    <w:rsid w:val="006E6192"/>
    <w:rsid w:val="006E6BC5"/>
    <w:rsid w:val="006E6C6D"/>
    <w:rsid w:val="006E77D5"/>
    <w:rsid w:val="006F00A6"/>
    <w:rsid w:val="006F0C94"/>
    <w:rsid w:val="006F1AD4"/>
    <w:rsid w:val="006F1D6A"/>
    <w:rsid w:val="006F1F4F"/>
    <w:rsid w:val="006F3AB7"/>
    <w:rsid w:val="006F498A"/>
    <w:rsid w:val="006F519F"/>
    <w:rsid w:val="006F572E"/>
    <w:rsid w:val="006F758E"/>
    <w:rsid w:val="006F7C11"/>
    <w:rsid w:val="006F7D5E"/>
    <w:rsid w:val="00702888"/>
    <w:rsid w:val="007028F5"/>
    <w:rsid w:val="00704546"/>
    <w:rsid w:val="007046D6"/>
    <w:rsid w:val="00704BC5"/>
    <w:rsid w:val="00705DB0"/>
    <w:rsid w:val="00706AFE"/>
    <w:rsid w:val="00707063"/>
    <w:rsid w:val="007101CA"/>
    <w:rsid w:val="0071039B"/>
    <w:rsid w:val="00710709"/>
    <w:rsid w:val="00710BAB"/>
    <w:rsid w:val="00711C6D"/>
    <w:rsid w:val="00712204"/>
    <w:rsid w:val="00712DB3"/>
    <w:rsid w:val="00713EC1"/>
    <w:rsid w:val="00714028"/>
    <w:rsid w:val="007147FF"/>
    <w:rsid w:val="007148BB"/>
    <w:rsid w:val="007150EB"/>
    <w:rsid w:val="00715DED"/>
    <w:rsid w:val="00716232"/>
    <w:rsid w:val="007172EB"/>
    <w:rsid w:val="00720358"/>
    <w:rsid w:val="0072231B"/>
    <w:rsid w:val="00722B0C"/>
    <w:rsid w:val="00722D0B"/>
    <w:rsid w:val="00724BF4"/>
    <w:rsid w:val="00725A8B"/>
    <w:rsid w:val="00725DEB"/>
    <w:rsid w:val="007272DF"/>
    <w:rsid w:val="00732477"/>
    <w:rsid w:val="00734F07"/>
    <w:rsid w:val="0073500B"/>
    <w:rsid w:val="007352AE"/>
    <w:rsid w:val="00736702"/>
    <w:rsid w:val="00736854"/>
    <w:rsid w:val="0073735C"/>
    <w:rsid w:val="007378A2"/>
    <w:rsid w:val="0074066C"/>
    <w:rsid w:val="00742004"/>
    <w:rsid w:val="0074236C"/>
    <w:rsid w:val="0074245E"/>
    <w:rsid w:val="0074253D"/>
    <w:rsid w:val="00742994"/>
    <w:rsid w:val="007429F6"/>
    <w:rsid w:val="007430AF"/>
    <w:rsid w:val="0074339C"/>
    <w:rsid w:val="00743782"/>
    <w:rsid w:val="0074429B"/>
    <w:rsid w:val="00745A55"/>
    <w:rsid w:val="00746B65"/>
    <w:rsid w:val="007477F8"/>
    <w:rsid w:val="00751B27"/>
    <w:rsid w:val="00751F01"/>
    <w:rsid w:val="00752228"/>
    <w:rsid w:val="007531AB"/>
    <w:rsid w:val="00755973"/>
    <w:rsid w:val="00756511"/>
    <w:rsid w:val="00756690"/>
    <w:rsid w:val="00756D49"/>
    <w:rsid w:val="00756EEE"/>
    <w:rsid w:val="007576CC"/>
    <w:rsid w:val="00760D9E"/>
    <w:rsid w:val="0076145D"/>
    <w:rsid w:val="007615BC"/>
    <w:rsid w:val="00761BDF"/>
    <w:rsid w:val="00762F05"/>
    <w:rsid w:val="00763336"/>
    <w:rsid w:val="00764EB9"/>
    <w:rsid w:val="00765152"/>
    <w:rsid w:val="007652FF"/>
    <w:rsid w:val="00766082"/>
    <w:rsid w:val="007663CF"/>
    <w:rsid w:val="00766F39"/>
    <w:rsid w:val="00767A95"/>
    <w:rsid w:val="00770B7C"/>
    <w:rsid w:val="00770DD1"/>
    <w:rsid w:val="007712EA"/>
    <w:rsid w:val="00771329"/>
    <w:rsid w:val="007724A5"/>
    <w:rsid w:val="007725C2"/>
    <w:rsid w:val="007732D3"/>
    <w:rsid w:val="00773EF7"/>
    <w:rsid w:val="00774E1D"/>
    <w:rsid w:val="00775831"/>
    <w:rsid w:val="00775D4D"/>
    <w:rsid w:val="0077675A"/>
    <w:rsid w:val="00777111"/>
    <w:rsid w:val="00780355"/>
    <w:rsid w:val="007804B3"/>
    <w:rsid w:val="007833DA"/>
    <w:rsid w:val="007836DD"/>
    <w:rsid w:val="0078472D"/>
    <w:rsid w:val="007848A4"/>
    <w:rsid w:val="00784E7F"/>
    <w:rsid w:val="00784FB2"/>
    <w:rsid w:val="00785721"/>
    <w:rsid w:val="00786DCE"/>
    <w:rsid w:val="00791C41"/>
    <w:rsid w:val="0079254B"/>
    <w:rsid w:val="00793A59"/>
    <w:rsid w:val="007940FE"/>
    <w:rsid w:val="00796BC5"/>
    <w:rsid w:val="007A15F0"/>
    <w:rsid w:val="007A2162"/>
    <w:rsid w:val="007A3277"/>
    <w:rsid w:val="007A6C38"/>
    <w:rsid w:val="007A6E5C"/>
    <w:rsid w:val="007A7C2C"/>
    <w:rsid w:val="007B0C99"/>
    <w:rsid w:val="007B1428"/>
    <w:rsid w:val="007B19C5"/>
    <w:rsid w:val="007B1C49"/>
    <w:rsid w:val="007B20BE"/>
    <w:rsid w:val="007B2226"/>
    <w:rsid w:val="007B29D2"/>
    <w:rsid w:val="007B2F59"/>
    <w:rsid w:val="007B302B"/>
    <w:rsid w:val="007B43ED"/>
    <w:rsid w:val="007B495D"/>
    <w:rsid w:val="007B4BF9"/>
    <w:rsid w:val="007B4F1C"/>
    <w:rsid w:val="007B532A"/>
    <w:rsid w:val="007B58BA"/>
    <w:rsid w:val="007C031A"/>
    <w:rsid w:val="007C0519"/>
    <w:rsid w:val="007C0584"/>
    <w:rsid w:val="007C0613"/>
    <w:rsid w:val="007C0D42"/>
    <w:rsid w:val="007C0F3D"/>
    <w:rsid w:val="007C1AF7"/>
    <w:rsid w:val="007C245D"/>
    <w:rsid w:val="007C4E69"/>
    <w:rsid w:val="007C5320"/>
    <w:rsid w:val="007C5D9D"/>
    <w:rsid w:val="007C60BE"/>
    <w:rsid w:val="007C61DD"/>
    <w:rsid w:val="007C6F44"/>
    <w:rsid w:val="007C7A6D"/>
    <w:rsid w:val="007C7B5B"/>
    <w:rsid w:val="007C7DC9"/>
    <w:rsid w:val="007D1F9D"/>
    <w:rsid w:val="007D3306"/>
    <w:rsid w:val="007D4FCD"/>
    <w:rsid w:val="007D523E"/>
    <w:rsid w:val="007D5DC8"/>
    <w:rsid w:val="007D656C"/>
    <w:rsid w:val="007D7AA7"/>
    <w:rsid w:val="007E0D29"/>
    <w:rsid w:val="007E1239"/>
    <w:rsid w:val="007E17BC"/>
    <w:rsid w:val="007E1B30"/>
    <w:rsid w:val="007E27A4"/>
    <w:rsid w:val="007E41C5"/>
    <w:rsid w:val="007E4F99"/>
    <w:rsid w:val="007E5C35"/>
    <w:rsid w:val="007E73E6"/>
    <w:rsid w:val="007E7611"/>
    <w:rsid w:val="007E7BF8"/>
    <w:rsid w:val="007E7C5F"/>
    <w:rsid w:val="007E7EF4"/>
    <w:rsid w:val="007F2FF0"/>
    <w:rsid w:val="007F40D8"/>
    <w:rsid w:val="007F41B0"/>
    <w:rsid w:val="007F47CB"/>
    <w:rsid w:val="007F4AB0"/>
    <w:rsid w:val="007F7F3F"/>
    <w:rsid w:val="00800A6D"/>
    <w:rsid w:val="008012FD"/>
    <w:rsid w:val="0080168D"/>
    <w:rsid w:val="00801F86"/>
    <w:rsid w:val="00802A86"/>
    <w:rsid w:val="008062F7"/>
    <w:rsid w:val="008066EA"/>
    <w:rsid w:val="00806CC8"/>
    <w:rsid w:val="008071C5"/>
    <w:rsid w:val="00807D5C"/>
    <w:rsid w:val="00810598"/>
    <w:rsid w:val="0081084C"/>
    <w:rsid w:val="00811166"/>
    <w:rsid w:val="00814165"/>
    <w:rsid w:val="008143CF"/>
    <w:rsid w:val="00814492"/>
    <w:rsid w:val="0081556B"/>
    <w:rsid w:val="008166C6"/>
    <w:rsid w:val="008171AA"/>
    <w:rsid w:val="0081782C"/>
    <w:rsid w:val="00820DF8"/>
    <w:rsid w:val="00821776"/>
    <w:rsid w:val="00821E03"/>
    <w:rsid w:val="00821E7E"/>
    <w:rsid w:val="00822207"/>
    <w:rsid w:val="00822BDC"/>
    <w:rsid w:val="00823777"/>
    <w:rsid w:val="00823AE4"/>
    <w:rsid w:val="008240C1"/>
    <w:rsid w:val="008246F4"/>
    <w:rsid w:val="00824F14"/>
    <w:rsid w:val="00825050"/>
    <w:rsid w:val="008251C2"/>
    <w:rsid w:val="0082542E"/>
    <w:rsid w:val="00825C6B"/>
    <w:rsid w:val="00826007"/>
    <w:rsid w:val="0082612A"/>
    <w:rsid w:val="008321F5"/>
    <w:rsid w:val="00832369"/>
    <w:rsid w:val="00832528"/>
    <w:rsid w:val="008326A4"/>
    <w:rsid w:val="00832BAD"/>
    <w:rsid w:val="00834660"/>
    <w:rsid w:val="00834C8E"/>
    <w:rsid w:val="00834F71"/>
    <w:rsid w:val="00835DDC"/>
    <w:rsid w:val="008363F3"/>
    <w:rsid w:val="00836667"/>
    <w:rsid w:val="00836BC2"/>
    <w:rsid w:val="00837751"/>
    <w:rsid w:val="00837C19"/>
    <w:rsid w:val="00840C28"/>
    <w:rsid w:val="00842165"/>
    <w:rsid w:val="008422BC"/>
    <w:rsid w:val="00842676"/>
    <w:rsid w:val="00843B68"/>
    <w:rsid w:val="0084580B"/>
    <w:rsid w:val="00845BCA"/>
    <w:rsid w:val="00846517"/>
    <w:rsid w:val="00846756"/>
    <w:rsid w:val="00847ABF"/>
    <w:rsid w:val="0085000C"/>
    <w:rsid w:val="0085058F"/>
    <w:rsid w:val="008512CD"/>
    <w:rsid w:val="008513C0"/>
    <w:rsid w:val="0085155A"/>
    <w:rsid w:val="00851954"/>
    <w:rsid w:val="008535E6"/>
    <w:rsid w:val="00853C8F"/>
    <w:rsid w:val="00855037"/>
    <w:rsid w:val="0085518D"/>
    <w:rsid w:val="00855366"/>
    <w:rsid w:val="0085556C"/>
    <w:rsid w:val="00855889"/>
    <w:rsid w:val="00856106"/>
    <w:rsid w:val="008563A2"/>
    <w:rsid w:val="0085641B"/>
    <w:rsid w:val="00857136"/>
    <w:rsid w:val="00857394"/>
    <w:rsid w:val="0085787B"/>
    <w:rsid w:val="00861271"/>
    <w:rsid w:val="00861355"/>
    <w:rsid w:val="00861873"/>
    <w:rsid w:val="00861F90"/>
    <w:rsid w:val="00862A2B"/>
    <w:rsid w:val="00863001"/>
    <w:rsid w:val="00863AFE"/>
    <w:rsid w:val="00863DE7"/>
    <w:rsid w:val="00864E09"/>
    <w:rsid w:val="0086581F"/>
    <w:rsid w:val="00866257"/>
    <w:rsid w:val="00870549"/>
    <w:rsid w:val="008707A3"/>
    <w:rsid w:val="00870B12"/>
    <w:rsid w:val="00871126"/>
    <w:rsid w:val="008723A4"/>
    <w:rsid w:val="00872501"/>
    <w:rsid w:val="00872663"/>
    <w:rsid w:val="00872DC4"/>
    <w:rsid w:val="0087372C"/>
    <w:rsid w:val="008740AE"/>
    <w:rsid w:val="00874359"/>
    <w:rsid w:val="008748ED"/>
    <w:rsid w:val="008752CE"/>
    <w:rsid w:val="00875B33"/>
    <w:rsid w:val="00880FFD"/>
    <w:rsid w:val="008815AB"/>
    <w:rsid w:val="0088199C"/>
    <w:rsid w:val="008821AA"/>
    <w:rsid w:val="0088289E"/>
    <w:rsid w:val="00882D5B"/>
    <w:rsid w:val="00884757"/>
    <w:rsid w:val="00885001"/>
    <w:rsid w:val="008855B8"/>
    <w:rsid w:val="00885ACE"/>
    <w:rsid w:val="0088661D"/>
    <w:rsid w:val="00887E47"/>
    <w:rsid w:val="00890353"/>
    <w:rsid w:val="008917E8"/>
    <w:rsid w:val="00891C1F"/>
    <w:rsid w:val="008925ED"/>
    <w:rsid w:val="0089272C"/>
    <w:rsid w:val="00896018"/>
    <w:rsid w:val="008978E6"/>
    <w:rsid w:val="008A06E2"/>
    <w:rsid w:val="008A07FF"/>
    <w:rsid w:val="008A1040"/>
    <w:rsid w:val="008A255A"/>
    <w:rsid w:val="008A2B9D"/>
    <w:rsid w:val="008A2F75"/>
    <w:rsid w:val="008A40B6"/>
    <w:rsid w:val="008A48F5"/>
    <w:rsid w:val="008A5E0B"/>
    <w:rsid w:val="008A5E18"/>
    <w:rsid w:val="008A6469"/>
    <w:rsid w:val="008A6C2A"/>
    <w:rsid w:val="008A6D59"/>
    <w:rsid w:val="008A6EDF"/>
    <w:rsid w:val="008B1E47"/>
    <w:rsid w:val="008B2256"/>
    <w:rsid w:val="008B2D31"/>
    <w:rsid w:val="008B2D62"/>
    <w:rsid w:val="008B2EC9"/>
    <w:rsid w:val="008B3BA7"/>
    <w:rsid w:val="008B3C6F"/>
    <w:rsid w:val="008B4086"/>
    <w:rsid w:val="008B43F8"/>
    <w:rsid w:val="008B4B03"/>
    <w:rsid w:val="008B530E"/>
    <w:rsid w:val="008B596F"/>
    <w:rsid w:val="008B65E4"/>
    <w:rsid w:val="008B69A9"/>
    <w:rsid w:val="008B6B7C"/>
    <w:rsid w:val="008B6F13"/>
    <w:rsid w:val="008B781E"/>
    <w:rsid w:val="008C0942"/>
    <w:rsid w:val="008C1094"/>
    <w:rsid w:val="008C12ED"/>
    <w:rsid w:val="008C1425"/>
    <w:rsid w:val="008C159F"/>
    <w:rsid w:val="008C1623"/>
    <w:rsid w:val="008C1731"/>
    <w:rsid w:val="008C1DA3"/>
    <w:rsid w:val="008C2C3E"/>
    <w:rsid w:val="008C2D6B"/>
    <w:rsid w:val="008C2EBF"/>
    <w:rsid w:val="008C3AD6"/>
    <w:rsid w:val="008C51A9"/>
    <w:rsid w:val="008C5480"/>
    <w:rsid w:val="008C56D9"/>
    <w:rsid w:val="008D046D"/>
    <w:rsid w:val="008D12E4"/>
    <w:rsid w:val="008D13FA"/>
    <w:rsid w:val="008D1591"/>
    <w:rsid w:val="008D2B09"/>
    <w:rsid w:val="008D3FC0"/>
    <w:rsid w:val="008D4740"/>
    <w:rsid w:val="008D53EA"/>
    <w:rsid w:val="008D5812"/>
    <w:rsid w:val="008E02A0"/>
    <w:rsid w:val="008E1B02"/>
    <w:rsid w:val="008E1EDB"/>
    <w:rsid w:val="008E2C3C"/>
    <w:rsid w:val="008E3803"/>
    <w:rsid w:val="008E4092"/>
    <w:rsid w:val="008E546B"/>
    <w:rsid w:val="008E6815"/>
    <w:rsid w:val="008E7B83"/>
    <w:rsid w:val="008F0457"/>
    <w:rsid w:val="008F0D28"/>
    <w:rsid w:val="008F18CB"/>
    <w:rsid w:val="008F19D4"/>
    <w:rsid w:val="008F1CCC"/>
    <w:rsid w:val="008F2563"/>
    <w:rsid w:val="008F2735"/>
    <w:rsid w:val="008F2967"/>
    <w:rsid w:val="008F2F12"/>
    <w:rsid w:val="008F407A"/>
    <w:rsid w:val="008F42BD"/>
    <w:rsid w:val="008F598F"/>
    <w:rsid w:val="008F7D8E"/>
    <w:rsid w:val="00900E68"/>
    <w:rsid w:val="009010F1"/>
    <w:rsid w:val="00902C4C"/>
    <w:rsid w:val="0090354E"/>
    <w:rsid w:val="00904EA2"/>
    <w:rsid w:val="00907461"/>
    <w:rsid w:val="00907ACE"/>
    <w:rsid w:val="00907D71"/>
    <w:rsid w:val="00907EEE"/>
    <w:rsid w:val="0091172A"/>
    <w:rsid w:val="00911D3C"/>
    <w:rsid w:val="009122AC"/>
    <w:rsid w:val="009129F3"/>
    <w:rsid w:val="00914832"/>
    <w:rsid w:val="00914C6B"/>
    <w:rsid w:val="009174A4"/>
    <w:rsid w:val="0091770B"/>
    <w:rsid w:val="009178F3"/>
    <w:rsid w:val="00920330"/>
    <w:rsid w:val="00920FF4"/>
    <w:rsid w:val="0092112D"/>
    <w:rsid w:val="009219D7"/>
    <w:rsid w:val="00922D53"/>
    <w:rsid w:val="00923214"/>
    <w:rsid w:val="00923315"/>
    <w:rsid w:val="00923B70"/>
    <w:rsid w:val="00925DC5"/>
    <w:rsid w:val="0092600B"/>
    <w:rsid w:val="00926B4A"/>
    <w:rsid w:val="00926BEC"/>
    <w:rsid w:val="00926DB3"/>
    <w:rsid w:val="00927D0C"/>
    <w:rsid w:val="00930237"/>
    <w:rsid w:val="00934397"/>
    <w:rsid w:val="00934DEA"/>
    <w:rsid w:val="00934FB3"/>
    <w:rsid w:val="00936D5B"/>
    <w:rsid w:val="009401F6"/>
    <w:rsid w:val="00940F44"/>
    <w:rsid w:val="00941988"/>
    <w:rsid w:val="00941C72"/>
    <w:rsid w:val="009432AC"/>
    <w:rsid w:val="00943892"/>
    <w:rsid w:val="009446DC"/>
    <w:rsid w:val="00945B78"/>
    <w:rsid w:val="00947597"/>
    <w:rsid w:val="00950602"/>
    <w:rsid w:val="00950645"/>
    <w:rsid w:val="00950C90"/>
    <w:rsid w:val="00952562"/>
    <w:rsid w:val="00952859"/>
    <w:rsid w:val="00952EBD"/>
    <w:rsid w:val="00957631"/>
    <w:rsid w:val="009612FA"/>
    <w:rsid w:val="00961CA0"/>
    <w:rsid w:val="00963341"/>
    <w:rsid w:val="009635F5"/>
    <w:rsid w:val="00963C08"/>
    <w:rsid w:val="00964750"/>
    <w:rsid w:val="00964899"/>
    <w:rsid w:val="00965679"/>
    <w:rsid w:val="00965F5F"/>
    <w:rsid w:val="00966642"/>
    <w:rsid w:val="00972E99"/>
    <w:rsid w:val="009731D0"/>
    <w:rsid w:val="00973EB6"/>
    <w:rsid w:val="0097404D"/>
    <w:rsid w:val="00974126"/>
    <w:rsid w:val="00974C9F"/>
    <w:rsid w:val="009765AC"/>
    <w:rsid w:val="009769B8"/>
    <w:rsid w:val="0097776F"/>
    <w:rsid w:val="00977C3A"/>
    <w:rsid w:val="0098032C"/>
    <w:rsid w:val="00980956"/>
    <w:rsid w:val="009824EE"/>
    <w:rsid w:val="00983B73"/>
    <w:rsid w:val="00983BAB"/>
    <w:rsid w:val="0098424E"/>
    <w:rsid w:val="00984367"/>
    <w:rsid w:val="009847BD"/>
    <w:rsid w:val="00987248"/>
    <w:rsid w:val="0099188D"/>
    <w:rsid w:val="009939D7"/>
    <w:rsid w:val="009954B4"/>
    <w:rsid w:val="00996532"/>
    <w:rsid w:val="0099655E"/>
    <w:rsid w:val="00996B3D"/>
    <w:rsid w:val="00997420"/>
    <w:rsid w:val="009978EB"/>
    <w:rsid w:val="009A09AA"/>
    <w:rsid w:val="009A1563"/>
    <w:rsid w:val="009A179D"/>
    <w:rsid w:val="009A1D9F"/>
    <w:rsid w:val="009A474D"/>
    <w:rsid w:val="009A4CED"/>
    <w:rsid w:val="009A5219"/>
    <w:rsid w:val="009A5B6F"/>
    <w:rsid w:val="009A638F"/>
    <w:rsid w:val="009A6A31"/>
    <w:rsid w:val="009A6C69"/>
    <w:rsid w:val="009B0420"/>
    <w:rsid w:val="009B0A6C"/>
    <w:rsid w:val="009B13D5"/>
    <w:rsid w:val="009B15F1"/>
    <w:rsid w:val="009B1D12"/>
    <w:rsid w:val="009B32A4"/>
    <w:rsid w:val="009B39FA"/>
    <w:rsid w:val="009B3A60"/>
    <w:rsid w:val="009B416B"/>
    <w:rsid w:val="009B4317"/>
    <w:rsid w:val="009B435A"/>
    <w:rsid w:val="009B44B0"/>
    <w:rsid w:val="009C1A1E"/>
    <w:rsid w:val="009C36E9"/>
    <w:rsid w:val="009C3876"/>
    <w:rsid w:val="009C3D54"/>
    <w:rsid w:val="009C3DA0"/>
    <w:rsid w:val="009C4BD5"/>
    <w:rsid w:val="009C5202"/>
    <w:rsid w:val="009C52E7"/>
    <w:rsid w:val="009C59F8"/>
    <w:rsid w:val="009C5B86"/>
    <w:rsid w:val="009C7E39"/>
    <w:rsid w:val="009D1CDA"/>
    <w:rsid w:val="009D2334"/>
    <w:rsid w:val="009D2E04"/>
    <w:rsid w:val="009D30B2"/>
    <w:rsid w:val="009D594E"/>
    <w:rsid w:val="009D7B77"/>
    <w:rsid w:val="009E0BB0"/>
    <w:rsid w:val="009E0FD4"/>
    <w:rsid w:val="009E2611"/>
    <w:rsid w:val="009E2D42"/>
    <w:rsid w:val="009E3FBB"/>
    <w:rsid w:val="009E43D1"/>
    <w:rsid w:val="009E6B40"/>
    <w:rsid w:val="009E71F4"/>
    <w:rsid w:val="009F018D"/>
    <w:rsid w:val="009F0230"/>
    <w:rsid w:val="009F1A69"/>
    <w:rsid w:val="009F2110"/>
    <w:rsid w:val="009F420E"/>
    <w:rsid w:val="009F63B4"/>
    <w:rsid w:val="009F76BE"/>
    <w:rsid w:val="009F7D61"/>
    <w:rsid w:val="00A00CEC"/>
    <w:rsid w:val="00A0236B"/>
    <w:rsid w:val="00A03613"/>
    <w:rsid w:val="00A0380F"/>
    <w:rsid w:val="00A052B5"/>
    <w:rsid w:val="00A0549F"/>
    <w:rsid w:val="00A06302"/>
    <w:rsid w:val="00A065D6"/>
    <w:rsid w:val="00A112FA"/>
    <w:rsid w:val="00A11398"/>
    <w:rsid w:val="00A1235B"/>
    <w:rsid w:val="00A12A2A"/>
    <w:rsid w:val="00A14B19"/>
    <w:rsid w:val="00A14DF7"/>
    <w:rsid w:val="00A164B0"/>
    <w:rsid w:val="00A16E4F"/>
    <w:rsid w:val="00A208F0"/>
    <w:rsid w:val="00A2112D"/>
    <w:rsid w:val="00A21C82"/>
    <w:rsid w:val="00A23F3C"/>
    <w:rsid w:val="00A240D4"/>
    <w:rsid w:val="00A24F23"/>
    <w:rsid w:val="00A260CE"/>
    <w:rsid w:val="00A26540"/>
    <w:rsid w:val="00A3006A"/>
    <w:rsid w:val="00A317C2"/>
    <w:rsid w:val="00A3246D"/>
    <w:rsid w:val="00A33783"/>
    <w:rsid w:val="00A348AF"/>
    <w:rsid w:val="00A353E5"/>
    <w:rsid w:val="00A35B00"/>
    <w:rsid w:val="00A3654F"/>
    <w:rsid w:val="00A368A8"/>
    <w:rsid w:val="00A36FA7"/>
    <w:rsid w:val="00A3737F"/>
    <w:rsid w:val="00A4083F"/>
    <w:rsid w:val="00A4442C"/>
    <w:rsid w:val="00A45005"/>
    <w:rsid w:val="00A46F95"/>
    <w:rsid w:val="00A475B7"/>
    <w:rsid w:val="00A47AF7"/>
    <w:rsid w:val="00A47C3E"/>
    <w:rsid w:val="00A50226"/>
    <w:rsid w:val="00A51860"/>
    <w:rsid w:val="00A51C22"/>
    <w:rsid w:val="00A533AE"/>
    <w:rsid w:val="00A539AC"/>
    <w:rsid w:val="00A53FDE"/>
    <w:rsid w:val="00A548B1"/>
    <w:rsid w:val="00A56488"/>
    <w:rsid w:val="00A56599"/>
    <w:rsid w:val="00A57371"/>
    <w:rsid w:val="00A60BAD"/>
    <w:rsid w:val="00A60D2E"/>
    <w:rsid w:val="00A60D86"/>
    <w:rsid w:val="00A61850"/>
    <w:rsid w:val="00A63D77"/>
    <w:rsid w:val="00A64387"/>
    <w:rsid w:val="00A65339"/>
    <w:rsid w:val="00A65510"/>
    <w:rsid w:val="00A66B27"/>
    <w:rsid w:val="00A7108E"/>
    <w:rsid w:val="00A736F3"/>
    <w:rsid w:val="00A737ED"/>
    <w:rsid w:val="00A73A8D"/>
    <w:rsid w:val="00A73B22"/>
    <w:rsid w:val="00A75387"/>
    <w:rsid w:val="00A7609C"/>
    <w:rsid w:val="00A76141"/>
    <w:rsid w:val="00A769F1"/>
    <w:rsid w:val="00A81170"/>
    <w:rsid w:val="00A815CD"/>
    <w:rsid w:val="00A81A89"/>
    <w:rsid w:val="00A8230F"/>
    <w:rsid w:val="00A82ED0"/>
    <w:rsid w:val="00A83063"/>
    <w:rsid w:val="00A83937"/>
    <w:rsid w:val="00A84503"/>
    <w:rsid w:val="00A85B04"/>
    <w:rsid w:val="00A85B1B"/>
    <w:rsid w:val="00A85E3F"/>
    <w:rsid w:val="00A86ECB"/>
    <w:rsid w:val="00A86FA6"/>
    <w:rsid w:val="00A86FC1"/>
    <w:rsid w:val="00A87334"/>
    <w:rsid w:val="00A8767F"/>
    <w:rsid w:val="00A87FB6"/>
    <w:rsid w:val="00A90727"/>
    <w:rsid w:val="00A91D5B"/>
    <w:rsid w:val="00A93841"/>
    <w:rsid w:val="00A94213"/>
    <w:rsid w:val="00A94A73"/>
    <w:rsid w:val="00A95286"/>
    <w:rsid w:val="00AA1389"/>
    <w:rsid w:val="00AA2538"/>
    <w:rsid w:val="00AA42A4"/>
    <w:rsid w:val="00AA4862"/>
    <w:rsid w:val="00AA487E"/>
    <w:rsid w:val="00AA5486"/>
    <w:rsid w:val="00AA5CB7"/>
    <w:rsid w:val="00AA689D"/>
    <w:rsid w:val="00AA6EA0"/>
    <w:rsid w:val="00AA702B"/>
    <w:rsid w:val="00AB000F"/>
    <w:rsid w:val="00AB501B"/>
    <w:rsid w:val="00AB537E"/>
    <w:rsid w:val="00AB550D"/>
    <w:rsid w:val="00AB657F"/>
    <w:rsid w:val="00AB6BF2"/>
    <w:rsid w:val="00AB6F47"/>
    <w:rsid w:val="00AB7D3D"/>
    <w:rsid w:val="00AC124B"/>
    <w:rsid w:val="00AC2B40"/>
    <w:rsid w:val="00AC2BB2"/>
    <w:rsid w:val="00AC2C3C"/>
    <w:rsid w:val="00AC3BD9"/>
    <w:rsid w:val="00AC472D"/>
    <w:rsid w:val="00AC48CC"/>
    <w:rsid w:val="00AC549B"/>
    <w:rsid w:val="00AC5909"/>
    <w:rsid w:val="00AC62E7"/>
    <w:rsid w:val="00AC674E"/>
    <w:rsid w:val="00AC6F2C"/>
    <w:rsid w:val="00AC7EB0"/>
    <w:rsid w:val="00AD0887"/>
    <w:rsid w:val="00AD09E8"/>
    <w:rsid w:val="00AD12BA"/>
    <w:rsid w:val="00AD1E04"/>
    <w:rsid w:val="00AD1EC0"/>
    <w:rsid w:val="00AD2081"/>
    <w:rsid w:val="00AD3B1A"/>
    <w:rsid w:val="00AD722D"/>
    <w:rsid w:val="00AD7731"/>
    <w:rsid w:val="00AE0320"/>
    <w:rsid w:val="00AE0D79"/>
    <w:rsid w:val="00AE191A"/>
    <w:rsid w:val="00AE1BFD"/>
    <w:rsid w:val="00AE2114"/>
    <w:rsid w:val="00AE2742"/>
    <w:rsid w:val="00AE33BE"/>
    <w:rsid w:val="00AE421D"/>
    <w:rsid w:val="00AE4C51"/>
    <w:rsid w:val="00AE4C7D"/>
    <w:rsid w:val="00AE5949"/>
    <w:rsid w:val="00AE643A"/>
    <w:rsid w:val="00AE65EB"/>
    <w:rsid w:val="00AE6DF5"/>
    <w:rsid w:val="00AE7389"/>
    <w:rsid w:val="00AE7C4A"/>
    <w:rsid w:val="00AE7ED7"/>
    <w:rsid w:val="00AF1D94"/>
    <w:rsid w:val="00AF4195"/>
    <w:rsid w:val="00AF44A0"/>
    <w:rsid w:val="00AF4A04"/>
    <w:rsid w:val="00AF4C28"/>
    <w:rsid w:val="00AF5522"/>
    <w:rsid w:val="00AF55F2"/>
    <w:rsid w:val="00AF6032"/>
    <w:rsid w:val="00AF60C5"/>
    <w:rsid w:val="00AF672B"/>
    <w:rsid w:val="00AF6F48"/>
    <w:rsid w:val="00AF7F50"/>
    <w:rsid w:val="00B00906"/>
    <w:rsid w:val="00B009C6"/>
    <w:rsid w:val="00B00AB7"/>
    <w:rsid w:val="00B00D35"/>
    <w:rsid w:val="00B01548"/>
    <w:rsid w:val="00B021A6"/>
    <w:rsid w:val="00B02DD2"/>
    <w:rsid w:val="00B039CF"/>
    <w:rsid w:val="00B03E7D"/>
    <w:rsid w:val="00B046C1"/>
    <w:rsid w:val="00B04721"/>
    <w:rsid w:val="00B04B1E"/>
    <w:rsid w:val="00B05625"/>
    <w:rsid w:val="00B06491"/>
    <w:rsid w:val="00B117C8"/>
    <w:rsid w:val="00B12F96"/>
    <w:rsid w:val="00B139CE"/>
    <w:rsid w:val="00B14329"/>
    <w:rsid w:val="00B153CB"/>
    <w:rsid w:val="00B21D29"/>
    <w:rsid w:val="00B21FC5"/>
    <w:rsid w:val="00B21FEE"/>
    <w:rsid w:val="00B22A9D"/>
    <w:rsid w:val="00B2306A"/>
    <w:rsid w:val="00B23073"/>
    <w:rsid w:val="00B230CD"/>
    <w:rsid w:val="00B25034"/>
    <w:rsid w:val="00B254FF"/>
    <w:rsid w:val="00B258B8"/>
    <w:rsid w:val="00B26F19"/>
    <w:rsid w:val="00B27916"/>
    <w:rsid w:val="00B27E83"/>
    <w:rsid w:val="00B3031A"/>
    <w:rsid w:val="00B33863"/>
    <w:rsid w:val="00B37D17"/>
    <w:rsid w:val="00B4175E"/>
    <w:rsid w:val="00B41DE2"/>
    <w:rsid w:val="00B42CFD"/>
    <w:rsid w:val="00B4302C"/>
    <w:rsid w:val="00B435EE"/>
    <w:rsid w:val="00B43703"/>
    <w:rsid w:val="00B43B53"/>
    <w:rsid w:val="00B447C5"/>
    <w:rsid w:val="00B44B9F"/>
    <w:rsid w:val="00B44D4D"/>
    <w:rsid w:val="00B45316"/>
    <w:rsid w:val="00B4548B"/>
    <w:rsid w:val="00B45AE0"/>
    <w:rsid w:val="00B465D0"/>
    <w:rsid w:val="00B46EDC"/>
    <w:rsid w:val="00B4779F"/>
    <w:rsid w:val="00B5093B"/>
    <w:rsid w:val="00B510E1"/>
    <w:rsid w:val="00B51B04"/>
    <w:rsid w:val="00B51E7A"/>
    <w:rsid w:val="00B52B00"/>
    <w:rsid w:val="00B5327F"/>
    <w:rsid w:val="00B53481"/>
    <w:rsid w:val="00B536EC"/>
    <w:rsid w:val="00B53A7A"/>
    <w:rsid w:val="00B5479A"/>
    <w:rsid w:val="00B548D1"/>
    <w:rsid w:val="00B54C25"/>
    <w:rsid w:val="00B56889"/>
    <w:rsid w:val="00B57F0B"/>
    <w:rsid w:val="00B600DA"/>
    <w:rsid w:val="00B6011A"/>
    <w:rsid w:val="00B60CE6"/>
    <w:rsid w:val="00B61913"/>
    <w:rsid w:val="00B62331"/>
    <w:rsid w:val="00B627D3"/>
    <w:rsid w:val="00B64D96"/>
    <w:rsid w:val="00B64F68"/>
    <w:rsid w:val="00B6587A"/>
    <w:rsid w:val="00B70CA8"/>
    <w:rsid w:val="00B71316"/>
    <w:rsid w:val="00B734F3"/>
    <w:rsid w:val="00B73ABD"/>
    <w:rsid w:val="00B73BD8"/>
    <w:rsid w:val="00B74E2E"/>
    <w:rsid w:val="00B74E41"/>
    <w:rsid w:val="00B76864"/>
    <w:rsid w:val="00B76B91"/>
    <w:rsid w:val="00B7703C"/>
    <w:rsid w:val="00B802FF"/>
    <w:rsid w:val="00B8059A"/>
    <w:rsid w:val="00B815B8"/>
    <w:rsid w:val="00B83C72"/>
    <w:rsid w:val="00B85116"/>
    <w:rsid w:val="00B8683D"/>
    <w:rsid w:val="00B86C5D"/>
    <w:rsid w:val="00B8753D"/>
    <w:rsid w:val="00B87A88"/>
    <w:rsid w:val="00B90B1B"/>
    <w:rsid w:val="00B90D84"/>
    <w:rsid w:val="00B90D97"/>
    <w:rsid w:val="00B913C9"/>
    <w:rsid w:val="00B914ED"/>
    <w:rsid w:val="00B92C72"/>
    <w:rsid w:val="00B936FD"/>
    <w:rsid w:val="00B944BE"/>
    <w:rsid w:val="00B949F8"/>
    <w:rsid w:val="00B94FEB"/>
    <w:rsid w:val="00B96E5B"/>
    <w:rsid w:val="00B97468"/>
    <w:rsid w:val="00BA14D4"/>
    <w:rsid w:val="00BA553B"/>
    <w:rsid w:val="00BA6FF1"/>
    <w:rsid w:val="00BA751C"/>
    <w:rsid w:val="00BB00DB"/>
    <w:rsid w:val="00BB0909"/>
    <w:rsid w:val="00BB0D04"/>
    <w:rsid w:val="00BB344A"/>
    <w:rsid w:val="00BB3AB9"/>
    <w:rsid w:val="00BB46CF"/>
    <w:rsid w:val="00BB479D"/>
    <w:rsid w:val="00BB5E19"/>
    <w:rsid w:val="00BB5F9E"/>
    <w:rsid w:val="00BB6529"/>
    <w:rsid w:val="00BB658C"/>
    <w:rsid w:val="00BC0667"/>
    <w:rsid w:val="00BC088C"/>
    <w:rsid w:val="00BC10A7"/>
    <w:rsid w:val="00BC11F3"/>
    <w:rsid w:val="00BC1CAB"/>
    <w:rsid w:val="00BC27A6"/>
    <w:rsid w:val="00BC2F4A"/>
    <w:rsid w:val="00BC3A14"/>
    <w:rsid w:val="00BC622A"/>
    <w:rsid w:val="00BC75C5"/>
    <w:rsid w:val="00BD0128"/>
    <w:rsid w:val="00BD04DF"/>
    <w:rsid w:val="00BD19C5"/>
    <w:rsid w:val="00BD286A"/>
    <w:rsid w:val="00BD28F4"/>
    <w:rsid w:val="00BD3E0A"/>
    <w:rsid w:val="00BD47DB"/>
    <w:rsid w:val="00BD622A"/>
    <w:rsid w:val="00BD6F8A"/>
    <w:rsid w:val="00BD71E2"/>
    <w:rsid w:val="00BE025B"/>
    <w:rsid w:val="00BE03E9"/>
    <w:rsid w:val="00BE0A78"/>
    <w:rsid w:val="00BE149B"/>
    <w:rsid w:val="00BE2FFD"/>
    <w:rsid w:val="00BE381C"/>
    <w:rsid w:val="00BE4A89"/>
    <w:rsid w:val="00BE6202"/>
    <w:rsid w:val="00BE70E5"/>
    <w:rsid w:val="00BE79F0"/>
    <w:rsid w:val="00BE7DDA"/>
    <w:rsid w:val="00BF046D"/>
    <w:rsid w:val="00BF0A52"/>
    <w:rsid w:val="00BF1AD1"/>
    <w:rsid w:val="00BF2D0C"/>
    <w:rsid w:val="00BF36AB"/>
    <w:rsid w:val="00BF477E"/>
    <w:rsid w:val="00BF55C1"/>
    <w:rsid w:val="00BF5D04"/>
    <w:rsid w:val="00BF65AA"/>
    <w:rsid w:val="00C008CF"/>
    <w:rsid w:val="00C01360"/>
    <w:rsid w:val="00C01A47"/>
    <w:rsid w:val="00C037B5"/>
    <w:rsid w:val="00C046F7"/>
    <w:rsid w:val="00C04E38"/>
    <w:rsid w:val="00C05BF3"/>
    <w:rsid w:val="00C06BA2"/>
    <w:rsid w:val="00C06CDD"/>
    <w:rsid w:val="00C077DC"/>
    <w:rsid w:val="00C113DD"/>
    <w:rsid w:val="00C11F37"/>
    <w:rsid w:val="00C13563"/>
    <w:rsid w:val="00C13F93"/>
    <w:rsid w:val="00C14021"/>
    <w:rsid w:val="00C145FB"/>
    <w:rsid w:val="00C14642"/>
    <w:rsid w:val="00C1610D"/>
    <w:rsid w:val="00C1663E"/>
    <w:rsid w:val="00C214C6"/>
    <w:rsid w:val="00C232F6"/>
    <w:rsid w:val="00C23D53"/>
    <w:rsid w:val="00C2415D"/>
    <w:rsid w:val="00C246D0"/>
    <w:rsid w:val="00C259B8"/>
    <w:rsid w:val="00C30879"/>
    <w:rsid w:val="00C33258"/>
    <w:rsid w:val="00C33899"/>
    <w:rsid w:val="00C339C6"/>
    <w:rsid w:val="00C33BF6"/>
    <w:rsid w:val="00C34559"/>
    <w:rsid w:val="00C35560"/>
    <w:rsid w:val="00C3571E"/>
    <w:rsid w:val="00C36570"/>
    <w:rsid w:val="00C37C2E"/>
    <w:rsid w:val="00C40457"/>
    <w:rsid w:val="00C404A6"/>
    <w:rsid w:val="00C4073D"/>
    <w:rsid w:val="00C40A36"/>
    <w:rsid w:val="00C41A4F"/>
    <w:rsid w:val="00C42028"/>
    <w:rsid w:val="00C44419"/>
    <w:rsid w:val="00C4565C"/>
    <w:rsid w:val="00C45E7B"/>
    <w:rsid w:val="00C45EE1"/>
    <w:rsid w:val="00C471B1"/>
    <w:rsid w:val="00C475AE"/>
    <w:rsid w:val="00C47783"/>
    <w:rsid w:val="00C47D89"/>
    <w:rsid w:val="00C5027D"/>
    <w:rsid w:val="00C51066"/>
    <w:rsid w:val="00C522DD"/>
    <w:rsid w:val="00C52BEE"/>
    <w:rsid w:val="00C5334A"/>
    <w:rsid w:val="00C5428B"/>
    <w:rsid w:val="00C5447B"/>
    <w:rsid w:val="00C56F96"/>
    <w:rsid w:val="00C6316B"/>
    <w:rsid w:val="00C634A9"/>
    <w:rsid w:val="00C639F2"/>
    <w:rsid w:val="00C64281"/>
    <w:rsid w:val="00C643F9"/>
    <w:rsid w:val="00C6497F"/>
    <w:rsid w:val="00C65463"/>
    <w:rsid w:val="00C67128"/>
    <w:rsid w:val="00C672A5"/>
    <w:rsid w:val="00C6779E"/>
    <w:rsid w:val="00C71A50"/>
    <w:rsid w:val="00C71EC6"/>
    <w:rsid w:val="00C72EC2"/>
    <w:rsid w:val="00C73D6C"/>
    <w:rsid w:val="00C74D04"/>
    <w:rsid w:val="00C754DA"/>
    <w:rsid w:val="00C755AD"/>
    <w:rsid w:val="00C766C7"/>
    <w:rsid w:val="00C772FF"/>
    <w:rsid w:val="00C77877"/>
    <w:rsid w:val="00C77ABC"/>
    <w:rsid w:val="00C77BC8"/>
    <w:rsid w:val="00C77CE3"/>
    <w:rsid w:val="00C801AF"/>
    <w:rsid w:val="00C80256"/>
    <w:rsid w:val="00C80A49"/>
    <w:rsid w:val="00C81F90"/>
    <w:rsid w:val="00C8231D"/>
    <w:rsid w:val="00C83318"/>
    <w:rsid w:val="00C86C93"/>
    <w:rsid w:val="00C9114A"/>
    <w:rsid w:val="00C91A90"/>
    <w:rsid w:val="00C9392B"/>
    <w:rsid w:val="00C94104"/>
    <w:rsid w:val="00C9650B"/>
    <w:rsid w:val="00C97075"/>
    <w:rsid w:val="00CA0F1C"/>
    <w:rsid w:val="00CA1A59"/>
    <w:rsid w:val="00CA1EA2"/>
    <w:rsid w:val="00CA26D0"/>
    <w:rsid w:val="00CA45F2"/>
    <w:rsid w:val="00CA5CBE"/>
    <w:rsid w:val="00CA6168"/>
    <w:rsid w:val="00CA66AF"/>
    <w:rsid w:val="00CA77CC"/>
    <w:rsid w:val="00CA7B55"/>
    <w:rsid w:val="00CB2CFD"/>
    <w:rsid w:val="00CB343E"/>
    <w:rsid w:val="00CB424D"/>
    <w:rsid w:val="00CB4440"/>
    <w:rsid w:val="00CB589B"/>
    <w:rsid w:val="00CB6BC0"/>
    <w:rsid w:val="00CB7151"/>
    <w:rsid w:val="00CC126B"/>
    <w:rsid w:val="00CC14E3"/>
    <w:rsid w:val="00CC1B7C"/>
    <w:rsid w:val="00CC2834"/>
    <w:rsid w:val="00CC3333"/>
    <w:rsid w:val="00CC37DC"/>
    <w:rsid w:val="00CC45C8"/>
    <w:rsid w:val="00CC46D3"/>
    <w:rsid w:val="00CC4766"/>
    <w:rsid w:val="00CC479C"/>
    <w:rsid w:val="00CC55F9"/>
    <w:rsid w:val="00CC55FE"/>
    <w:rsid w:val="00CC5B67"/>
    <w:rsid w:val="00CC5F04"/>
    <w:rsid w:val="00CC631B"/>
    <w:rsid w:val="00CC67E1"/>
    <w:rsid w:val="00CC6859"/>
    <w:rsid w:val="00CC6F69"/>
    <w:rsid w:val="00CC727F"/>
    <w:rsid w:val="00CC782E"/>
    <w:rsid w:val="00CD0F03"/>
    <w:rsid w:val="00CD0FEA"/>
    <w:rsid w:val="00CD1E79"/>
    <w:rsid w:val="00CD2699"/>
    <w:rsid w:val="00CD2CDF"/>
    <w:rsid w:val="00CD3355"/>
    <w:rsid w:val="00CD37C6"/>
    <w:rsid w:val="00CD3E28"/>
    <w:rsid w:val="00CD52A9"/>
    <w:rsid w:val="00CD72E3"/>
    <w:rsid w:val="00CD7871"/>
    <w:rsid w:val="00CE1FBA"/>
    <w:rsid w:val="00CE317C"/>
    <w:rsid w:val="00CE363C"/>
    <w:rsid w:val="00CE3B23"/>
    <w:rsid w:val="00CE472B"/>
    <w:rsid w:val="00CE4F09"/>
    <w:rsid w:val="00CE5BB0"/>
    <w:rsid w:val="00CE61C7"/>
    <w:rsid w:val="00CF145E"/>
    <w:rsid w:val="00CF15C3"/>
    <w:rsid w:val="00CF1A34"/>
    <w:rsid w:val="00CF2B6F"/>
    <w:rsid w:val="00CF2D1B"/>
    <w:rsid w:val="00CF2E05"/>
    <w:rsid w:val="00CF3014"/>
    <w:rsid w:val="00CF3409"/>
    <w:rsid w:val="00CF39AE"/>
    <w:rsid w:val="00CF5254"/>
    <w:rsid w:val="00CF5B9D"/>
    <w:rsid w:val="00CF6194"/>
    <w:rsid w:val="00CF62BE"/>
    <w:rsid w:val="00CF7F45"/>
    <w:rsid w:val="00D00BB3"/>
    <w:rsid w:val="00D0115B"/>
    <w:rsid w:val="00D011B5"/>
    <w:rsid w:val="00D01381"/>
    <w:rsid w:val="00D017ED"/>
    <w:rsid w:val="00D01C2A"/>
    <w:rsid w:val="00D01C64"/>
    <w:rsid w:val="00D01E9A"/>
    <w:rsid w:val="00D027A3"/>
    <w:rsid w:val="00D027A5"/>
    <w:rsid w:val="00D02CFD"/>
    <w:rsid w:val="00D0307F"/>
    <w:rsid w:val="00D04B5C"/>
    <w:rsid w:val="00D0584B"/>
    <w:rsid w:val="00D0609B"/>
    <w:rsid w:val="00D06870"/>
    <w:rsid w:val="00D07682"/>
    <w:rsid w:val="00D112DF"/>
    <w:rsid w:val="00D13805"/>
    <w:rsid w:val="00D14689"/>
    <w:rsid w:val="00D151B0"/>
    <w:rsid w:val="00D151E8"/>
    <w:rsid w:val="00D153B1"/>
    <w:rsid w:val="00D15951"/>
    <w:rsid w:val="00D163F7"/>
    <w:rsid w:val="00D224FE"/>
    <w:rsid w:val="00D229BA"/>
    <w:rsid w:val="00D26AB6"/>
    <w:rsid w:val="00D26AD3"/>
    <w:rsid w:val="00D26B84"/>
    <w:rsid w:val="00D30E53"/>
    <w:rsid w:val="00D30F3E"/>
    <w:rsid w:val="00D31292"/>
    <w:rsid w:val="00D32451"/>
    <w:rsid w:val="00D32B07"/>
    <w:rsid w:val="00D339E8"/>
    <w:rsid w:val="00D34958"/>
    <w:rsid w:val="00D36D4B"/>
    <w:rsid w:val="00D40A19"/>
    <w:rsid w:val="00D432A0"/>
    <w:rsid w:val="00D44513"/>
    <w:rsid w:val="00D4514A"/>
    <w:rsid w:val="00D45BC6"/>
    <w:rsid w:val="00D47943"/>
    <w:rsid w:val="00D50D9E"/>
    <w:rsid w:val="00D52073"/>
    <w:rsid w:val="00D55C02"/>
    <w:rsid w:val="00D5616E"/>
    <w:rsid w:val="00D5737A"/>
    <w:rsid w:val="00D5773B"/>
    <w:rsid w:val="00D60989"/>
    <w:rsid w:val="00D61F0D"/>
    <w:rsid w:val="00D62F48"/>
    <w:rsid w:val="00D631E8"/>
    <w:rsid w:val="00D63287"/>
    <w:rsid w:val="00D634FE"/>
    <w:rsid w:val="00D6493E"/>
    <w:rsid w:val="00D65E97"/>
    <w:rsid w:val="00D66980"/>
    <w:rsid w:val="00D66F5B"/>
    <w:rsid w:val="00D674B4"/>
    <w:rsid w:val="00D6760B"/>
    <w:rsid w:val="00D7093F"/>
    <w:rsid w:val="00D70CCF"/>
    <w:rsid w:val="00D70EC5"/>
    <w:rsid w:val="00D722B3"/>
    <w:rsid w:val="00D7268D"/>
    <w:rsid w:val="00D7439D"/>
    <w:rsid w:val="00D748E2"/>
    <w:rsid w:val="00D752EF"/>
    <w:rsid w:val="00D75501"/>
    <w:rsid w:val="00D7618A"/>
    <w:rsid w:val="00D76F00"/>
    <w:rsid w:val="00D77E24"/>
    <w:rsid w:val="00D8068C"/>
    <w:rsid w:val="00D829A8"/>
    <w:rsid w:val="00D90675"/>
    <w:rsid w:val="00D929CD"/>
    <w:rsid w:val="00D92DE6"/>
    <w:rsid w:val="00D9365C"/>
    <w:rsid w:val="00D94A12"/>
    <w:rsid w:val="00D95744"/>
    <w:rsid w:val="00D9678F"/>
    <w:rsid w:val="00D96B3A"/>
    <w:rsid w:val="00D96D35"/>
    <w:rsid w:val="00D977AF"/>
    <w:rsid w:val="00DA02F3"/>
    <w:rsid w:val="00DA08FE"/>
    <w:rsid w:val="00DA1124"/>
    <w:rsid w:val="00DA1411"/>
    <w:rsid w:val="00DA1DEF"/>
    <w:rsid w:val="00DA1F3B"/>
    <w:rsid w:val="00DA2A56"/>
    <w:rsid w:val="00DA3043"/>
    <w:rsid w:val="00DA3426"/>
    <w:rsid w:val="00DA38BB"/>
    <w:rsid w:val="00DA41CA"/>
    <w:rsid w:val="00DA490D"/>
    <w:rsid w:val="00DA5036"/>
    <w:rsid w:val="00DA54AE"/>
    <w:rsid w:val="00DA7E76"/>
    <w:rsid w:val="00DB0588"/>
    <w:rsid w:val="00DB353E"/>
    <w:rsid w:val="00DB3E5D"/>
    <w:rsid w:val="00DB3F6D"/>
    <w:rsid w:val="00DB61DF"/>
    <w:rsid w:val="00DB62DF"/>
    <w:rsid w:val="00DB6C7D"/>
    <w:rsid w:val="00DC005B"/>
    <w:rsid w:val="00DC02BC"/>
    <w:rsid w:val="00DC06EC"/>
    <w:rsid w:val="00DC2586"/>
    <w:rsid w:val="00DC281B"/>
    <w:rsid w:val="00DC2A30"/>
    <w:rsid w:val="00DC336D"/>
    <w:rsid w:val="00DD143F"/>
    <w:rsid w:val="00DD345E"/>
    <w:rsid w:val="00DD3B43"/>
    <w:rsid w:val="00DD4177"/>
    <w:rsid w:val="00DD4C41"/>
    <w:rsid w:val="00DD4C9F"/>
    <w:rsid w:val="00DD51B5"/>
    <w:rsid w:val="00DD5D83"/>
    <w:rsid w:val="00DD6CC6"/>
    <w:rsid w:val="00DD75A3"/>
    <w:rsid w:val="00DD7A91"/>
    <w:rsid w:val="00DE0101"/>
    <w:rsid w:val="00DE02AE"/>
    <w:rsid w:val="00DE2B9A"/>
    <w:rsid w:val="00DE401F"/>
    <w:rsid w:val="00DE41E3"/>
    <w:rsid w:val="00DE444F"/>
    <w:rsid w:val="00DE4C62"/>
    <w:rsid w:val="00DE58AC"/>
    <w:rsid w:val="00DE6A0C"/>
    <w:rsid w:val="00DE6C04"/>
    <w:rsid w:val="00DE75AC"/>
    <w:rsid w:val="00DF117B"/>
    <w:rsid w:val="00DF11C0"/>
    <w:rsid w:val="00DF1348"/>
    <w:rsid w:val="00DF1D7F"/>
    <w:rsid w:val="00DF2A96"/>
    <w:rsid w:val="00DF2F12"/>
    <w:rsid w:val="00DF3221"/>
    <w:rsid w:val="00DF42A0"/>
    <w:rsid w:val="00DF50F6"/>
    <w:rsid w:val="00DF52A3"/>
    <w:rsid w:val="00DF622B"/>
    <w:rsid w:val="00DF74A8"/>
    <w:rsid w:val="00DF769F"/>
    <w:rsid w:val="00E014DD"/>
    <w:rsid w:val="00E02ADE"/>
    <w:rsid w:val="00E02F74"/>
    <w:rsid w:val="00E02FB4"/>
    <w:rsid w:val="00E037AB"/>
    <w:rsid w:val="00E041E9"/>
    <w:rsid w:val="00E046EE"/>
    <w:rsid w:val="00E0478F"/>
    <w:rsid w:val="00E04E52"/>
    <w:rsid w:val="00E054F8"/>
    <w:rsid w:val="00E0564F"/>
    <w:rsid w:val="00E05BB3"/>
    <w:rsid w:val="00E12134"/>
    <w:rsid w:val="00E127AD"/>
    <w:rsid w:val="00E1340C"/>
    <w:rsid w:val="00E13D54"/>
    <w:rsid w:val="00E158CA"/>
    <w:rsid w:val="00E20088"/>
    <w:rsid w:val="00E20571"/>
    <w:rsid w:val="00E20B53"/>
    <w:rsid w:val="00E21651"/>
    <w:rsid w:val="00E235F7"/>
    <w:rsid w:val="00E239D4"/>
    <w:rsid w:val="00E25320"/>
    <w:rsid w:val="00E25AD7"/>
    <w:rsid w:val="00E26E44"/>
    <w:rsid w:val="00E301EB"/>
    <w:rsid w:val="00E32326"/>
    <w:rsid w:val="00E32E89"/>
    <w:rsid w:val="00E33A77"/>
    <w:rsid w:val="00E35646"/>
    <w:rsid w:val="00E36379"/>
    <w:rsid w:val="00E374E2"/>
    <w:rsid w:val="00E40B22"/>
    <w:rsid w:val="00E43D15"/>
    <w:rsid w:val="00E4588F"/>
    <w:rsid w:val="00E46DA3"/>
    <w:rsid w:val="00E47D43"/>
    <w:rsid w:val="00E51164"/>
    <w:rsid w:val="00E53695"/>
    <w:rsid w:val="00E549C5"/>
    <w:rsid w:val="00E553DB"/>
    <w:rsid w:val="00E5590D"/>
    <w:rsid w:val="00E5745F"/>
    <w:rsid w:val="00E60767"/>
    <w:rsid w:val="00E629F5"/>
    <w:rsid w:val="00E655DF"/>
    <w:rsid w:val="00E67741"/>
    <w:rsid w:val="00E67B35"/>
    <w:rsid w:val="00E70601"/>
    <w:rsid w:val="00E70CA2"/>
    <w:rsid w:val="00E70D73"/>
    <w:rsid w:val="00E724E2"/>
    <w:rsid w:val="00E7370D"/>
    <w:rsid w:val="00E747E4"/>
    <w:rsid w:val="00E74A11"/>
    <w:rsid w:val="00E750A9"/>
    <w:rsid w:val="00E75471"/>
    <w:rsid w:val="00E7669F"/>
    <w:rsid w:val="00E768FE"/>
    <w:rsid w:val="00E809D6"/>
    <w:rsid w:val="00E8120B"/>
    <w:rsid w:val="00E82F10"/>
    <w:rsid w:val="00E83408"/>
    <w:rsid w:val="00E846FD"/>
    <w:rsid w:val="00E85192"/>
    <w:rsid w:val="00E85D52"/>
    <w:rsid w:val="00E86C77"/>
    <w:rsid w:val="00E87DE9"/>
    <w:rsid w:val="00E90EEF"/>
    <w:rsid w:val="00E91849"/>
    <w:rsid w:val="00E92F9D"/>
    <w:rsid w:val="00E93C5B"/>
    <w:rsid w:val="00E93C7C"/>
    <w:rsid w:val="00E94638"/>
    <w:rsid w:val="00E94D43"/>
    <w:rsid w:val="00E94E3A"/>
    <w:rsid w:val="00E97C0C"/>
    <w:rsid w:val="00EA00F6"/>
    <w:rsid w:val="00EA03D4"/>
    <w:rsid w:val="00EA16DE"/>
    <w:rsid w:val="00EA16DF"/>
    <w:rsid w:val="00EA2054"/>
    <w:rsid w:val="00EA406B"/>
    <w:rsid w:val="00EA453A"/>
    <w:rsid w:val="00EA4D19"/>
    <w:rsid w:val="00EA563F"/>
    <w:rsid w:val="00EA609E"/>
    <w:rsid w:val="00EB0798"/>
    <w:rsid w:val="00EB0A80"/>
    <w:rsid w:val="00EB13E2"/>
    <w:rsid w:val="00EB182C"/>
    <w:rsid w:val="00EB19F8"/>
    <w:rsid w:val="00EB1B22"/>
    <w:rsid w:val="00EB1B3A"/>
    <w:rsid w:val="00EB3909"/>
    <w:rsid w:val="00EB40AD"/>
    <w:rsid w:val="00EB4114"/>
    <w:rsid w:val="00EB47B4"/>
    <w:rsid w:val="00EB47BB"/>
    <w:rsid w:val="00EB4866"/>
    <w:rsid w:val="00EB48D7"/>
    <w:rsid w:val="00EB491C"/>
    <w:rsid w:val="00EB4B6E"/>
    <w:rsid w:val="00EB528A"/>
    <w:rsid w:val="00EB5528"/>
    <w:rsid w:val="00EB586E"/>
    <w:rsid w:val="00EB5FC8"/>
    <w:rsid w:val="00EB64C7"/>
    <w:rsid w:val="00EB7E09"/>
    <w:rsid w:val="00EC1271"/>
    <w:rsid w:val="00EC1AEF"/>
    <w:rsid w:val="00EC2549"/>
    <w:rsid w:val="00EC45CC"/>
    <w:rsid w:val="00EC526E"/>
    <w:rsid w:val="00EC6569"/>
    <w:rsid w:val="00EC6629"/>
    <w:rsid w:val="00EC67D7"/>
    <w:rsid w:val="00EC73DA"/>
    <w:rsid w:val="00EC7A86"/>
    <w:rsid w:val="00EC7B6A"/>
    <w:rsid w:val="00ED0C8B"/>
    <w:rsid w:val="00ED0CB1"/>
    <w:rsid w:val="00ED24B5"/>
    <w:rsid w:val="00ED2AE5"/>
    <w:rsid w:val="00ED2BCC"/>
    <w:rsid w:val="00ED350D"/>
    <w:rsid w:val="00ED36A2"/>
    <w:rsid w:val="00ED423E"/>
    <w:rsid w:val="00ED4291"/>
    <w:rsid w:val="00ED4E91"/>
    <w:rsid w:val="00ED5A41"/>
    <w:rsid w:val="00ED6427"/>
    <w:rsid w:val="00ED7604"/>
    <w:rsid w:val="00EE001B"/>
    <w:rsid w:val="00EE0CCA"/>
    <w:rsid w:val="00EE1185"/>
    <w:rsid w:val="00EE1482"/>
    <w:rsid w:val="00EE255A"/>
    <w:rsid w:val="00EE396F"/>
    <w:rsid w:val="00EE45E6"/>
    <w:rsid w:val="00EE4E16"/>
    <w:rsid w:val="00EE4F78"/>
    <w:rsid w:val="00EE6203"/>
    <w:rsid w:val="00EE6C13"/>
    <w:rsid w:val="00EE779F"/>
    <w:rsid w:val="00EF0027"/>
    <w:rsid w:val="00EF00F1"/>
    <w:rsid w:val="00EF0D76"/>
    <w:rsid w:val="00EF0EAB"/>
    <w:rsid w:val="00EF17B6"/>
    <w:rsid w:val="00EF1CB7"/>
    <w:rsid w:val="00EF4E16"/>
    <w:rsid w:val="00EF578B"/>
    <w:rsid w:val="00EF6925"/>
    <w:rsid w:val="00F00E60"/>
    <w:rsid w:val="00F01068"/>
    <w:rsid w:val="00F018A2"/>
    <w:rsid w:val="00F01A23"/>
    <w:rsid w:val="00F025CD"/>
    <w:rsid w:val="00F02CE4"/>
    <w:rsid w:val="00F033EC"/>
    <w:rsid w:val="00F03460"/>
    <w:rsid w:val="00F04F68"/>
    <w:rsid w:val="00F053EA"/>
    <w:rsid w:val="00F05BBB"/>
    <w:rsid w:val="00F05D13"/>
    <w:rsid w:val="00F05FFB"/>
    <w:rsid w:val="00F0627D"/>
    <w:rsid w:val="00F07326"/>
    <w:rsid w:val="00F0743F"/>
    <w:rsid w:val="00F10737"/>
    <w:rsid w:val="00F11A17"/>
    <w:rsid w:val="00F11A4D"/>
    <w:rsid w:val="00F12031"/>
    <w:rsid w:val="00F12571"/>
    <w:rsid w:val="00F12670"/>
    <w:rsid w:val="00F12B55"/>
    <w:rsid w:val="00F1459D"/>
    <w:rsid w:val="00F14B27"/>
    <w:rsid w:val="00F155BC"/>
    <w:rsid w:val="00F15FC5"/>
    <w:rsid w:val="00F175EA"/>
    <w:rsid w:val="00F202AB"/>
    <w:rsid w:val="00F207CF"/>
    <w:rsid w:val="00F20D13"/>
    <w:rsid w:val="00F20F35"/>
    <w:rsid w:val="00F21930"/>
    <w:rsid w:val="00F21D27"/>
    <w:rsid w:val="00F22275"/>
    <w:rsid w:val="00F22773"/>
    <w:rsid w:val="00F231EA"/>
    <w:rsid w:val="00F23B4B"/>
    <w:rsid w:val="00F24825"/>
    <w:rsid w:val="00F25628"/>
    <w:rsid w:val="00F260B1"/>
    <w:rsid w:val="00F267A9"/>
    <w:rsid w:val="00F26EE4"/>
    <w:rsid w:val="00F273AE"/>
    <w:rsid w:val="00F2755E"/>
    <w:rsid w:val="00F27DAA"/>
    <w:rsid w:val="00F3012A"/>
    <w:rsid w:val="00F30339"/>
    <w:rsid w:val="00F3044A"/>
    <w:rsid w:val="00F30AEF"/>
    <w:rsid w:val="00F31061"/>
    <w:rsid w:val="00F3148D"/>
    <w:rsid w:val="00F3171E"/>
    <w:rsid w:val="00F3194D"/>
    <w:rsid w:val="00F31F12"/>
    <w:rsid w:val="00F31FF6"/>
    <w:rsid w:val="00F320B8"/>
    <w:rsid w:val="00F32249"/>
    <w:rsid w:val="00F3255D"/>
    <w:rsid w:val="00F3321B"/>
    <w:rsid w:val="00F3358C"/>
    <w:rsid w:val="00F34799"/>
    <w:rsid w:val="00F34EAE"/>
    <w:rsid w:val="00F35298"/>
    <w:rsid w:val="00F3529E"/>
    <w:rsid w:val="00F35685"/>
    <w:rsid w:val="00F35C5D"/>
    <w:rsid w:val="00F35D9B"/>
    <w:rsid w:val="00F367C1"/>
    <w:rsid w:val="00F36C32"/>
    <w:rsid w:val="00F370D8"/>
    <w:rsid w:val="00F40F73"/>
    <w:rsid w:val="00F4174C"/>
    <w:rsid w:val="00F418A3"/>
    <w:rsid w:val="00F4305F"/>
    <w:rsid w:val="00F432EB"/>
    <w:rsid w:val="00F43561"/>
    <w:rsid w:val="00F43639"/>
    <w:rsid w:val="00F43858"/>
    <w:rsid w:val="00F43A7F"/>
    <w:rsid w:val="00F44B0D"/>
    <w:rsid w:val="00F45144"/>
    <w:rsid w:val="00F46488"/>
    <w:rsid w:val="00F4663D"/>
    <w:rsid w:val="00F467A6"/>
    <w:rsid w:val="00F46B59"/>
    <w:rsid w:val="00F473A1"/>
    <w:rsid w:val="00F478CD"/>
    <w:rsid w:val="00F47E37"/>
    <w:rsid w:val="00F50F43"/>
    <w:rsid w:val="00F51164"/>
    <w:rsid w:val="00F51457"/>
    <w:rsid w:val="00F51AD5"/>
    <w:rsid w:val="00F55938"/>
    <w:rsid w:val="00F55CA7"/>
    <w:rsid w:val="00F5613C"/>
    <w:rsid w:val="00F56247"/>
    <w:rsid w:val="00F569AC"/>
    <w:rsid w:val="00F623FD"/>
    <w:rsid w:val="00F62625"/>
    <w:rsid w:val="00F63403"/>
    <w:rsid w:val="00F63C0D"/>
    <w:rsid w:val="00F640B6"/>
    <w:rsid w:val="00F66206"/>
    <w:rsid w:val="00F67B16"/>
    <w:rsid w:val="00F706A9"/>
    <w:rsid w:val="00F72AE7"/>
    <w:rsid w:val="00F739D1"/>
    <w:rsid w:val="00F73CD9"/>
    <w:rsid w:val="00F766D6"/>
    <w:rsid w:val="00F770C9"/>
    <w:rsid w:val="00F7746D"/>
    <w:rsid w:val="00F80785"/>
    <w:rsid w:val="00F80E40"/>
    <w:rsid w:val="00F81014"/>
    <w:rsid w:val="00F832AE"/>
    <w:rsid w:val="00F8365F"/>
    <w:rsid w:val="00F8396A"/>
    <w:rsid w:val="00F83D4D"/>
    <w:rsid w:val="00F8404D"/>
    <w:rsid w:val="00F84512"/>
    <w:rsid w:val="00F8487F"/>
    <w:rsid w:val="00F871E3"/>
    <w:rsid w:val="00F8761B"/>
    <w:rsid w:val="00F87B87"/>
    <w:rsid w:val="00F90335"/>
    <w:rsid w:val="00F92519"/>
    <w:rsid w:val="00F927D5"/>
    <w:rsid w:val="00F92DE3"/>
    <w:rsid w:val="00F97A0F"/>
    <w:rsid w:val="00FA0984"/>
    <w:rsid w:val="00FA2315"/>
    <w:rsid w:val="00FA3765"/>
    <w:rsid w:val="00FA4D6D"/>
    <w:rsid w:val="00FA5B82"/>
    <w:rsid w:val="00FA5D74"/>
    <w:rsid w:val="00FA639E"/>
    <w:rsid w:val="00FA7AF2"/>
    <w:rsid w:val="00FB077D"/>
    <w:rsid w:val="00FB255E"/>
    <w:rsid w:val="00FB2563"/>
    <w:rsid w:val="00FB4AB5"/>
    <w:rsid w:val="00FB4DA6"/>
    <w:rsid w:val="00FB5956"/>
    <w:rsid w:val="00FB59CE"/>
    <w:rsid w:val="00FB6D84"/>
    <w:rsid w:val="00FB7E34"/>
    <w:rsid w:val="00FC03C8"/>
    <w:rsid w:val="00FC107B"/>
    <w:rsid w:val="00FC1518"/>
    <w:rsid w:val="00FC1C04"/>
    <w:rsid w:val="00FC25E4"/>
    <w:rsid w:val="00FC260C"/>
    <w:rsid w:val="00FC388D"/>
    <w:rsid w:val="00FC4C00"/>
    <w:rsid w:val="00FC4EF7"/>
    <w:rsid w:val="00FC7831"/>
    <w:rsid w:val="00FC7C94"/>
    <w:rsid w:val="00FD0B2A"/>
    <w:rsid w:val="00FD2493"/>
    <w:rsid w:val="00FD2B40"/>
    <w:rsid w:val="00FD317F"/>
    <w:rsid w:val="00FD392D"/>
    <w:rsid w:val="00FE0887"/>
    <w:rsid w:val="00FE11D4"/>
    <w:rsid w:val="00FE179E"/>
    <w:rsid w:val="00FE1941"/>
    <w:rsid w:val="00FE1DEE"/>
    <w:rsid w:val="00FE2A3D"/>
    <w:rsid w:val="00FE3017"/>
    <w:rsid w:val="00FE36F0"/>
    <w:rsid w:val="00FE3914"/>
    <w:rsid w:val="00FE4334"/>
    <w:rsid w:val="00FE52D2"/>
    <w:rsid w:val="00FE53C7"/>
    <w:rsid w:val="00FE6389"/>
    <w:rsid w:val="00FE7B79"/>
    <w:rsid w:val="00FE7D73"/>
    <w:rsid w:val="00FF2126"/>
    <w:rsid w:val="00FF2416"/>
    <w:rsid w:val="00FF3210"/>
    <w:rsid w:val="00FF4738"/>
    <w:rsid w:val="00FF49D3"/>
    <w:rsid w:val="00FF69BE"/>
    <w:rsid w:val="00FF6BA0"/>
    <w:rsid w:val="00FF74F4"/>
    <w:rsid w:val="00FF7896"/>
    <w:rsid w:val="00FF7B50"/>
    <w:rsid w:val="00FF7B93"/>
    <w:rsid w:val="00FF7DF8"/>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73057"/>
    <o:shapelayout v:ext="edit">
      <o:idmap v:ext="edit" data="1"/>
    </o:shapelayout>
  </w:shapeDefaults>
  <w:decimalSymbol w:val="."/>
  <w:listSeparator w:val=","/>
  <w14:docId w14:val="63905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 w:qFormat="1"/>
    <w:lsdException w:name="List Bullet 3" w:semiHidden="1" w:uiPriority="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14A"/>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EE1482"/>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EE1482"/>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EE14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EE1482"/>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0C5A31"/>
    <w:rPr>
      <w:rFonts w:ascii="Arial" w:eastAsia="Times New Roman" w:hAnsi="Arial"/>
      <w:b/>
      <w:bCs/>
      <w:sz w:val="38"/>
      <w:szCs w:val="38"/>
      <w:lang w:eastAsia="en-US"/>
    </w:rPr>
  </w:style>
  <w:style w:type="character" w:customStyle="1" w:styleId="Heading3Char">
    <w:name w:val="Heading 3 Char"/>
    <w:basedOn w:val="DefaultParagraphFont"/>
    <w:link w:val="Heading3"/>
    <w:rsid w:val="002B0C2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C339C6"/>
    <w:rPr>
      <w:rFonts w:ascii="Arial" w:hAnsi="Arial"/>
      <w:b/>
      <w:bCs/>
      <w:sz w:val="26"/>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C339C6"/>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4634F1"/>
    <w:pPr>
      <w:spacing w:before="120"/>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1"/>
    <w:qFormat/>
    <w:rsid w:val="009F0230"/>
    <w:pPr>
      <w:numPr>
        <w:numId w:val="3"/>
      </w:numPr>
    </w:pPr>
  </w:style>
  <w:style w:type="paragraph" w:styleId="ListBullet2">
    <w:name w:val="List Bullet 2"/>
    <w:basedOn w:val="Normal"/>
    <w:uiPriority w:val="1"/>
    <w:qFormat/>
    <w:rsid w:val="004B5A6B"/>
    <w:pPr>
      <w:numPr>
        <w:ilvl w:val="1"/>
        <w:numId w:val="3"/>
      </w:numPr>
    </w:pPr>
  </w:style>
  <w:style w:type="paragraph" w:styleId="ListBullet3">
    <w:name w:val="List Bullet 3"/>
    <w:basedOn w:val="Normal"/>
    <w:uiPriority w:val="1"/>
    <w:qFormat/>
    <w:rsid w:val="004B5A6B"/>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2"/>
    <w:qFormat/>
    <w:rsid w:val="00EE1482"/>
    <w:pPr>
      <w:numPr>
        <w:numId w:val="4"/>
      </w:numPr>
    </w:pPr>
  </w:style>
  <w:style w:type="paragraph" w:customStyle="1" w:styleId="Numberbullet2">
    <w:name w:val="Number bullet 2"/>
    <w:basedOn w:val="ListBullet2"/>
    <w:uiPriority w:val="2"/>
    <w:qFormat/>
    <w:rsid w:val="00EE1482"/>
    <w:pPr>
      <w:numPr>
        <w:numId w:val="4"/>
      </w:numPr>
    </w:pPr>
  </w:style>
  <w:style w:type="paragraph" w:customStyle="1" w:styleId="Numberbullet3">
    <w:name w:val="Number bullet 3"/>
    <w:basedOn w:val="ListBullet3"/>
    <w:uiPriority w:val="2"/>
    <w:qFormat/>
    <w:rsid w:val="00EE1482"/>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252C0A"/>
    <w:pPr>
      <w:framePr w:hSpace="180" w:wrap="around" w:vAnchor="page" w:hAnchor="margin" w:y="3166"/>
      <w:numPr>
        <w:ilvl w:val="1"/>
      </w:numPr>
      <w:spacing w:before="0" w:after="0"/>
    </w:pPr>
    <w:rPr>
      <w:rFonts w:ascii="Arial" w:eastAsia="Times New Roman" w:hAnsi="Arial"/>
      <w:bCs/>
      <w:iCs/>
      <w:color w:val="006DA7"/>
      <w:sz w:val="40"/>
      <w:szCs w:val="24"/>
      <w:lang w:eastAsia="en-AU"/>
    </w:rPr>
  </w:style>
  <w:style w:type="character" w:customStyle="1" w:styleId="SubtitleChar">
    <w:name w:val="Subtitle Char"/>
    <w:basedOn w:val="DefaultParagraphFont"/>
    <w:link w:val="Subtitle"/>
    <w:uiPriority w:val="11"/>
    <w:rsid w:val="00252C0A"/>
    <w:rPr>
      <w:rFonts w:ascii="Arial" w:eastAsia="Times New Roman" w:hAnsi="Arial"/>
      <w:bCs/>
      <w:iCs/>
      <w:color w:val="006DA7"/>
      <w:sz w:val="40"/>
      <w:szCs w:val="24"/>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F3529E"/>
    <w:pPr>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F3529E"/>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uiPriority w:val="99"/>
    <w:rsid w:val="00F231EA"/>
    <w:pPr>
      <w:keepLines/>
      <w:spacing w:before="0" w:after="0" w:line="240" w:lineRule="auto"/>
    </w:pPr>
    <w:rPr>
      <w:sz w:val="17"/>
      <w:szCs w:val="17"/>
    </w:rPr>
  </w:style>
  <w:style w:type="character" w:customStyle="1" w:styleId="FootnoteTextChar">
    <w:name w:val="Footnote Text Char"/>
    <w:basedOn w:val="DefaultParagraphFont"/>
    <w:link w:val="FootnoteText"/>
    <w:uiPriority w:val="99"/>
    <w:rsid w:val="00F231EA"/>
    <w:rPr>
      <w:sz w:val="17"/>
      <w:szCs w:val="17"/>
      <w:lang w:eastAsia="en-US"/>
    </w:rPr>
  </w:style>
  <w:style w:type="character" w:styleId="FootnoteReference">
    <w:name w:val="footnote reference"/>
    <w:basedOn w:val="DefaultParagraphFont"/>
    <w:uiPriority w:val="99"/>
    <w:semiHidden/>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AC62E7"/>
    <w:pPr>
      <w:keepNext/>
      <w:keepLines/>
      <w:pageBreakBefore/>
      <w:spacing w:before="0"/>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FE1941"/>
    <w:pPr>
      <w:keepNext/>
      <w:keepLines/>
      <w:outlineLvl w:val="4"/>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3"/>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EE1482"/>
    <w:pPr>
      <w:keepNext/>
      <w:outlineLvl w:val="4"/>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unhideWhenUsed/>
    <w:rsid w:val="000B0A5D"/>
    <w:pPr>
      <w:spacing w:line="240" w:lineRule="auto"/>
    </w:pPr>
    <w:rPr>
      <w:sz w:val="20"/>
    </w:rPr>
  </w:style>
  <w:style w:type="character" w:customStyle="1" w:styleId="CommentTextChar">
    <w:name w:val="Comment Text Char"/>
    <w:basedOn w:val="DefaultParagraphFont"/>
    <w:link w:val="CommentText"/>
    <w:uiPriority w:val="99"/>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paragraph" w:styleId="ListParagraph">
    <w:name w:val="List Paragraph"/>
    <w:basedOn w:val="Normal"/>
    <w:uiPriority w:val="34"/>
    <w:qFormat/>
    <w:rsid w:val="00FF6BA0"/>
    <w:pPr>
      <w:spacing w:before="180"/>
      <w:ind w:left="720"/>
      <w:contextualSpacing/>
    </w:pPr>
    <w:rPr>
      <w:szCs w:val="22"/>
    </w:rPr>
  </w:style>
  <w:style w:type="paragraph" w:styleId="BodyText">
    <w:name w:val="Body Text"/>
    <w:basedOn w:val="Normal"/>
    <w:link w:val="BodyTextChar"/>
    <w:uiPriority w:val="99"/>
    <w:unhideWhenUsed/>
    <w:rsid w:val="004E7D2B"/>
    <w:pPr>
      <w:spacing w:after="120"/>
    </w:pPr>
  </w:style>
  <w:style w:type="character" w:customStyle="1" w:styleId="BodyTextChar">
    <w:name w:val="Body Text Char"/>
    <w:basedOn w:val="DefaultParagraphFont"/>
    <w:link w:val="BodyText"/>
    <w:uiPriority w:val="99"/>
    <w:rsid w:val="004E7D2B"/>
    <w:rPr>
      <w:sz w:val="22"/>
      <w:lang w:eastAsia="en-US"/>
    </w:rPr>
  </w:style>
  <w:style w:type="paragraph" w:styleId="Revision">
    <w:name w:val="Revision"/>
    <w:hidden/>
    <w:uiPriority w:val="99"/>
    <w:semiHidden/>
    <w:rsid w:val="000929D3"/>
    <w:rPr>
      <w:sz w:val="22"/>
      <w:lang w:eastAsia="en-US"/>
    </w:rPr>
  </w:style>
  <w:style w:type="table" w:customStyle="1" w:styleId="TableGrid1">
    <w:name w:val="Table Grid1"/>
    <w:basedOn w:val="TableNormal"/>
    <w:next w:val="TableGrid"/>
    <w:uiPriority w:val="59"/>
    <w:rsid w:val="00F319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1">
    <w:name w:val="Table TGA blue1"/>
    <w:basedOn w:val="TableNormal"/>
    <w:uiPriority w:val="99"/>
    <w:qFormat/>
    <w:rsid w:val="00546EDF"/>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paragraph" w:styleId="Caption">
    <w:name w:val="caption"/>
    <w:basedOn w:val="Normal"/>
    <w:next w:val="Normal"/>
    <w:uiPriority w:val="35"/>
    <w:rsid w:val="007E1B30"/>
    <w:pPr>
      <w:spacing w:before="0" w:after="200" w:line="240" w:lineRule="auto"/>
    </w:pPr>
    <w:rPr>
      <w:b/>
      <w:bCs/>
      <w:color w:val="006EA8" w:themeColor="accent1"/>
      <w:sz w:val="18"/>
      <w:szCs w:val="18"/>
    </w:rPr>
  </w:style>
  <w:style w:type="table" w:customStyle="1" w:styleId="TableTGAblue11">
    <w:name w:val="Table TGA blue11"/>
    <w:basedOn w:val="TableNormal"/>
    <w:uiPriority w:val="99"/>
    <w:qFormat/>
    <w:rsid w:val="007E73E6"/>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ue12">
    <w:name w:val="Table TGA blue12"/>
    <w:basedOn w:val="TableNormal"/>
    <w:uiPriority w:val="99"/>
    <w:qFormat/>
    <w:rsid w:val="00E054F8"/>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character" w:customStyle="1" w:styleId="apple-converted-space">
    <w:name w:val="apple-converted-space"/>
    <w:basedOn w:val="DefaultParagraphFont"/>
    <w:rsid w:val="000C556F"/>
  </w:style>
  <w:style w:type="character" w:customStyle="1" w:styleId="ref-journal">
    <w:name w:val="ref-journal"/>
    <w:basedOn w:val="DefaultParagraphFont"/>
    <w:rsid w:val="000C556F"/>
  </w:style>
  <w:style w:type="character" w:customStyle="1" w:styleId="ref-vol">
    <w:name w:val="ref-vol"/>
    <w:basedOn w:val="DefaultParagraphFont"/>
    <w:rsid w:val="000C556F"/>
  </w:style>
  <w:style w:type="paragraph" w:styleId="NormalWeb">
    <w:name w:val="Normal (Web)"/>
    <w:basedOn w:val="Normal"/>
    <w:uiPriority w:val="99"/>
    <w:semiHidden/>
    <w:unhideWhenUsed/>
    <w:rsid w:val="003C7D2E"/>
    <w:pPr>
      <w:spacing w:before="100" w:beforeAutospacing="1" w:after="100" w:afterAutospacing="1" w:line="240" w:lineRule="auto"/>
    </w:pPr>
    <w:rPr>
      <w:rFonts w:ascii="Times New Roman" w:eastAsia="Times New Roman" w:hAnsi="Times New Roman"/>
      <w:sz w:val="24"/>
      <w:szCs w:val="24"/>
      <w:lang w:eastAsia="en-AU"/>
    </w:rPr>
  </w:style>
  <w:style w:type="character" w:styleId="Strong">
    <w:name w:val="Strong"/>
    <w:basedOn w:val="DefaultParagraphFont"/>
    <w:uiPriority w:val="22"/>
    <w:qFormat/>
    <w:rsid w:val="003C7D2E"/>
    <w:rPr>
      <w:b/>
      <w:bCs/>
    </w:rPr>
  </w:style>
  <w:style w:type="paragraph" w:customStyle="1" w:styleId="ActHead5">
    <w:name w:val="ActHead 5"/>
    <w:aliases w:val="s"/>
    <w:basedOn w:val="Normal"/>
    <w:next w:val="Normal"/>
    <w:qFormat/>
    <w:rsid w:val="00D61F0D"/>
    <w:pPr>
      <w:keepNext/>
      <w:keepLines/>
      <w:spacing w:before="280" w:after="0" w:line="240" w:lineRule="auto"/>
      <w:ind w:left="1134" w:hanging="1134"/>
      <w:outlineLvl w:val="4"/>
    </w:pPr>
    <w:rPr>
      <w:rFonts w:ascii="Times New Roman" w:eastAsia="Times New Roman" w:hAnsi="Times New Roman"/>
      <w:b/>
      <w:kern w:val="28"/>
      <w:sz w:val="24"/>
      <w:lang w:eastAsia="en-AU"/>
    </w:rPr>
  </w:style>
  <w:style w:type="paragraph" w:customStyle="1" w:styleId="paragraph">
    <w:name w:val="paragraph"/>
    <w:aliases w:val="a"/>
    <w:basedOn w:val="Normal"/>
    <w:rsid w:val="00C754DA"/>
    <w:pPr>
      <w:tabs>
        <w:tab w:val="right" w:pos="1531"/>
      </w:tabs>
      <w:spacing w:before="40" w:after="0" w:line="240" w:lineRule="auto"/>
      <w:ind w:left="1644" w:hanging="1644"/>
    </w:pPr>
    <w:rPr>
      <w:rFonts w:ascii="Times New Roman" w:eastAsia="Times New Roman" w:hAnsi="Times New Roman"/>
      <w:lang w:eastAsia="en-AU"/>
    </w:rPr>
  </w:style>
  <w:style w:type="numbering" w:customStyle="1" w:styleId="ListBullets2">
    <w:name w:val="ListBullets2"/>
    <w:uiPriority w:val="99"/>
    <w:locked/>
    <w:rsid w:val="00AD12BA"/>
  </w:style>
  <w:style w:type="paragraph" w:styleId="ListNumber">
    <w:name w:val="List Number"/>
    <w:basedOn w:val="Normal"/>
    <w:uiPriority w:val="99"/>
    <w:qFormat/>
    <w:rsid w:val="006C6F97"/>
    <w:pPr>
      <w:numPr>
        <w:numId w:val="11"/>
      </w:numPr>
      <w:spacing w:before="0" w:after="200" w:line="276" w:lineRule="auto"/>
    </w:pPr>
    <w:rPr>
      <w:rFonts w:ascii="Arial" w:eastAsia="Calibri" w:hAnsi="Arial"/>
      <w:szCs w:val="22"/>
    </w:rPr>
  </w:style>
  <w:style w:type="paragraph" w:styleId="ListNumber2">
    <w:name w:val="List Number 2"/>
    <w:basedOn w:val="Normal"/>
    <w:uiPriority w:val="99"/>
    <w:rsid w:val="006C6F97"/>
    <w:pPr>
      <w:numPr>
        <w:ilvl w:val="1"/>
        <w:numId w:val="11"/>
      </w:numPr>
      <w:spacing w:before="0" w:after="200" w:line="276" w:lineRule="auto"/>
    </w:pPr>
    <w:rPr>
      <w:rFonts w:ascii="Arial" w:eastAsia="Calibri" w:hAnsi="Arial"/>
      <w:szCs w:val="22"/>
    </w:rPr>
  </w:style>
  <w:style w:type="paragraph" w:styleId="ListNumber3">
    <w:name w:val="List Number 3"/>
    <w:basedOn w:val="Normal"/>
    <w:uiPriority w:val="99"/>
    <w:rsid w:val="006C6F97"/>
    <w:pPr>
      <w:numPr>
        <w:ilvl w:val="2"/>
        <w:numId w:val="11"/>
      </w:numPr>
      <w:spacing w:before="0" w:after="200" w:line="276" w:lineRule="auto"/>
    </w:pPr>
    <w:rPr>
      <w:rFonts w:ascii="Arial" w:eastAsia="Calibri" w:hAnsi="Arial"/>
      <w:szCs w:val="22"/>
    </w:rPr>
  </w:style>
  <w:style w:type="paragraph" w:styleId="ListNumber4">
    <w:name w:val="List Number 4"/>
    <w:basedOn w:val="Normal"/>
    <w:uiPriority w:val="99"/>
    <w:rsid w:val="006C6F97"/>
    <w:pPr>
      <w:numPr>
        <w:ilvl w:val="3"/>
        <w:numId w:val="11"/>
      </w:numPr>
      <w:spacing w:before="0" w:after="200" w:line="276" w:lineRule="auto"/>
    </w:pPr>
    <w:rPr>
      <w:rFonts w:ascii="Arial" w:eastAsia="Calibri" w:hAnsi="Arial"/>
      <w:szCs w:val="22"/>
    </w:rPr>
  </w:style>
  <w:style w:type="paragraph" w:styleId="ListNumber5">
    <w:name w:val="List Number 5"/>
    <w:basedOn w:val="Normal"/>
    <w:uiPriority w:val="99"/>
    <w:rsid w:val="006C6F97"/>
    <w:pPr>
      <w:numPr>
        <w:ilvl w:val="4"/>
        <w:numId w:val="11"/>
      </w:numPr>
      <w:spacing w:before="0" w:after="200" w:line="276" w:lineRule="auto"/>
    </w:pPr>
    <w:rPr>
      <w:rFonts w:ascii="Arial" w:eastAsia="Calibri" w:hAnsi="Arial"/>
      <w:szCs w:val="22"/>
    </w:rPr>
  </w:style>
  <w:style w:type="paragraph" w:customStyle="1" w:styleId="ShortT">
    <w:name w:val="ShortT"/>
    <w:basedOn w:val="Normal"/>
    <w:next w:val="Normal"/>
    <w:qFormat/>
    <w:rsid w:val="00DF74A8"/>
    <w:pPr>
      <w:spacing w:before="0" w:after="0" w:line="240" w:lineRule="auto"/>
    </w:pPr>
    <w:rPr>
      <w:rFonts w:ascii="Times New Roman" w:eastAsia="Times New Roman" w:hAnsi="Times New Roman"/>
      <w:b/>
      <w:sz w:val="4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98413">
      <w:bodyDiv w:val="1"/>
      <w:marLeft w:val="0"/>
      <w:marRight w:val="0"/>
      <w:marTop w:val="0"/>
      <w:marBottom w:val="0"/>
      <w:divBdr>
        <w:top w:val="none" w:sz="0" w:space="0" w:color="auto"/>
        <w:left w:val="none" w:sz="0" w:space="0" w:color="auto"/>
        <w:bottom w:val="none" w:sz="0" w:space="0" w:color="auto"/>
        <w:right w:val="none" w:sz="0" w:space="0" w:color="auto"/>
      </w:divBdr>
    </w:div>
    <w:div w:id="234243913">
      <w:bodyDiv w:val="1"/>
      <w:marLeft w:val="0"/>
      <w:marRight w:val="0"/>
      <w:marTop w:val="0"/>
      <w:marBottom w:val="0"/>
      <w:divBdr>
        <w:top w:val="none" w:sz="0" w:space="0" w:color="auto"/>
        <w:left w:val="none" w:sz="0" w:space="0" w:color="auto"/>
        <w:bottom w:val="none" w:sz="0" w:space="0" w:color="auto"/>
        <w:right w:val="none" w:sz="0" w:space="0" w:color="auto"/>
      </w:divBdr>
    </w:div>
    <w:div w:id="243032285">
      <w:bodyDiv w:val="1"/>
      <w:marLeft w:val="0"/>
      <w:marRight w:val="0"/>
      <w:marTop w:val="0"/>
      <w:marBottom w:val="0"/>
      <w:divBdr>
        <w:top w:val="none" w:sz="0" w:space="0" w:color="auto"/>
        <w:left w:val="none" w:sz="0" w:space="0" w:color="auto"/>
        <w:bottom w:val="none" w:sz="0" w:space="0" w:color="auto"/>
        <w:right w:val="none" w:sz="0" w:space="0" w:color="auto"/>
      </w:divBdr>
    </w:div>
    <w:div w:id="253974252">
      <w:bodyDiv w:val="1"/>
      <w:marLeft w:val="0"/>
      <w:marRight w:val="0"/>
      <w:marTop w:val="0"/>
      <w:marBottom w:val="0"/>
      <w:divBdr>
        <w:top w:val="none" w:sz="0" w:space="0" w:color="auto"/>
        <w:left w:val="none" w:sz="0" w:space="0" w:color="auto"/>
        <w:bottom w:val="none" w:sz="0" w:space="0" w:color="auto"/>
        <w:right w:val="none" w:sz="0" w:space="0" w:color="auto"/>
      </w:divBdr>
    </w:div>
    <w:div w:id="277875981">
      <w:bodyDiv w:val="1"/>
      <w:marLeft w:val="0"/>
      <w:marRight w:val="0"/>
      <w:marTop w:val="0"/>
      <w:marBottom w:val="0"/>
      <w:divBdr>
        <w:top w:val="none" w:sz="0" w:space="0" w:color="auto"/>
        <w:left w:val="none" w:sz="0" w:space="0" w:color="auto"/>
        <w:bottom w:val="none" w:sz="0" w:space="0" w:color="auto"/>
        <w:right w:val="none" w:sz="0" w:space="0" w:color="auto"/>
      </w:divBdr>
      <w:divsChild>
        <w:div w:id="420107577">
          <w:marLeft w:val="0"/>
          <w:marRight w:val="0"/>
          <w:marTop w:val="166"/>
          <w:marBottom w:val="166"/>
          <w:divBdr>
            <w:top w:val="none" w:sz="0" w:space="0" w:color="auto"/>
            <w:left w:val="none" w:sz="0" w:space="0" w:color="auto"/>
            <w:bottom w:val="none" w:sz="0" w:space="0" w:color="auto"/>
            <w:right w:val="none" w:sz="0" w:space="0" w:color="auto"/>
          </w:divBdr>
          <w:divsChild>
            <w:div w:id="1332179002">
              <w:marLeft w:val="0"/>
              <w:marRight w:val="0"/>
              <w:marTop w:val="0"/>
              <w:marBottom w:val="0"/>
              <w:divBdr>
                <w:top w:val="none" w:sz="0" w:space="0" w:color="auto"/>
                <w:left w:val="none" w:sz="0" w:space="0" w:color="auto"/>
                <w:bottom w:val="none" w:sz="0" w:space="0" w:color="auto"/>
                <w:right w:val="none" w:sz="0" w:space="0" w:color="auto"/>
              </w:divBdr>
            </w:div>
          </w:divsChild>
        </w:div>
        <w:div w:id="1397705969">
          <w:marLeft w:val="0"/>
          <w:marRight w:val="0"/>
          <w:marTop w:val="0"/>
          <w:marBottom w:val="166"/>
          <w:divBdr>
            <w:top w:val="none" w:sz="0" w:space="0" w:color="auto"/>
            <w:left w:val="none" w:sz="0" w:space="0" w:color="auto"/>
            <w:bottom w:val="none" w:sz="0" w:space="0" w:color="auto"/>
            <w:right w:val="none" w:sz="0" w:space="0" w:color="auto"/>
          </w:divBdr>
          <w:divsChild>
            <w:div w:id="18968878">
              <w:marLeft w:val="0"/>
              <w:marRight w:val="0"/>
              <w:marTop w:val="0"/>
              <w:marBottom w:val="0"/>
              <w:divBdr>
                <w:top w:val="none" w:sz="0" w:space="0" w:color="auto"/>
                <w:left w:val="none" w:sz="0" w:space="0" w:color="auto"/>
                <w:bottom w:val="none" w:sz="0" w:space="0" w:color="auto"/>
                <w:right w:val="none" w:sz="0" w:space="0" w:color="auto"/>
              </w:divBdr>
              <w:divsChild>
                <w:div w:id="5983547">
                  <w:marLeft w:val="0"/>
                  <w:marRight w:val="0"/>
                  <w:marTop w:val="0"/>
                  <w:marBottom w:val="0"/>
                  <w:divBdr>
                    <w:top w:val="none" w:sz="0" w:space="0" w:color="auto"/>
                    <w:left w:val="none" w:sz="0" w:space="0" w:color="auto"/>
                    <w:bottom w:val="none" w:sz="0" w:space="0" w:color="auto"/>
                    <w:right w:val="none" w:sz="0" w:space="0" w:color="auto"/>
                  </w:divBdr>
                  <w:divsChild>
                    <w:div w:id="277612739">
                      <w:marLeft w:val="0"/>
                      <w:marRight w:val="0"/>
                      <w:marTop w:val="0"/>
                      <w:marBottom w:val="0"/>
                      <w:divBdr>
                        <w:top w:val="none" w:sz="0" w:space="0" w:color="auto"/>
                        <w:left w:val="none" w:sz="0" w:space="0" w:color="auto"/>
                        <w:bottom w:val="none" w:sz="0" w:space="0" w:color="auto"/>
                        <w:right w:val="none" w:sz="0" w:space="0" w:color="auto"/>
                      </w:divBdr>
                    </w:div>
                    <w:div w:id="59848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863524">
              <w:marLeft w:val="0"/>
              <w:marRight w:val="0"/>
              <w:marTop w:val="0"/>
              <w:marBottom w:val="0"/>
              <w:divBdr>
                <w:top w:val="none" w:sz="0" w:space="0" w:color="auto"/>
                <w:left w:val="none" w:sz="0" w:space="0" w:color="auto"/>
                <w:bottom w:val="none" w:sz="0" w:space="0" w:color="auto"/>
                <w:right w:val="none" w:sz="0" w:space="0" w:color="auto"/>
              </w:divBdr>
              <w:divsChild>
                <w:div w:id="605162144">
                  <w:marLeft w:val="0"/>
                  <w:marRight w:val="0"/>
                  <w:marTop w:val="0"/>
                  <w:marBottom w:val="0"/>
                  <w:divBdr>
                    <w:top w:val="none" w:sz="0" w:space="0" w:color="auto"/>
                    <w:left w:val="none" w:sz="0" w:space="0" w:color="auto"/>
                    <w:bottom w:val="none" w:sz="0" w:space="0" w:color="auto"/>
                    <w:right w:val="none" w:sz="0" w:space="0" w:color="auto"/>
                  </w:divBdr>
                </w:div>
                <w:div w:id="63441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603253">
      <w:bodyDiv w:val="1"/>
      <w:marLeft w:val="0"/>
      <w:marRight w:val="0"/>
      <w:marTop w:val="0"/>
      <w:marBottom w:val="0"/>
      <w:divBdr>
        <w:top w:val="none" w:sz="0" w:space="0" w:color="auto"/>
        <w:left w:val="none" w:sz="0" w:space="0" w:color="auto"/>
        <w:bottom w:val="none" w:sz="0" w:space="0" w:color="auto"/>
        <w:right w:val="none" w:sz="0" w:space="0" w:color="auto"/>
      </w:divBdr>
    </w:div>
    <w:div w:id="585580019">
      <w:bodyDiv w:val="1"/>
      <w:marLeft w:val="0"/>
      <w:marRight w:val="0"/>
      <w:marTop w:val="0"/>
      <w:marBottom w:val="0"/>
      <w:divBdr>
        <w:top w:val="none" w:sz="0" w:space="0" w:color="auto"/>
        <w:left w:val="none" w:sz="0" w:space="0" w:color="auto"/>
        <w:bottom w:val="none" w:sz="0" w:space="0" w:color="auto"/>
        <w:right w:val="none" w:sz="0" w:space="0" w:color="auto"/>
      </w:divBdr>
      <w:divsChild>
        <w:div w:id="2085952108">
          <w:marLeft w:val="0"/>
          <w:marRight w:val="0"/>
          <w:marTop w:val="0"/>
          <w:marBottom w:val="0"/>
          <w:divBdr>
            <w:top w:val="none" w:sz="0" w:space="0" w:color="auto"/>
            <w:left w:val="none" w:sz="0" w:space="0" w:color="auto"/>
            <w:bottom w:val="none" w:sz="0" w:space="0" w:color="auto"/>
            <w:right w:val="none" w:sz="0" w:space="0" w:color="auto"/>
          </w:divBdr>
          <w:divsChild>
            <w:div w:id="828910064">
              <w:marLeft w:val="0"/>
              <w:marRight w:val="0"/>
              <w:marTop w:val="0"/>
              <w:marBottom w:val="0"/>
              <w:divBdr>
                <w:top w:val="none" w:sz="0" w:space="0" w:color="auto"/>
                <w:left w:val="none" w:sz="0" w:space="0" w:color="auto"/>
                <w:bottom w:val="none" w:sz="0" w:space="0" w:color="auto"/>
                <w:right w:val="none" w:sz="0" w:space="0" w:color="auto"/>
              </w:divBdr>
              <w:divsChild>
                <w:div w:id="1237475880">
                  <w:marLeft w:val="0"/>
                  <w:marRight w:val="0"/>
                  <w:marTop w:val="0"/>
                  <w:marBottom w:val="0"/>
                  <w:divBdr>
                    <w:top w:val="none" w:sz="0" w:space="0" w:color="auto"/>
                    <w:left w:val="none" w:sz="0" w:space="0" w:color="auto"/>
                    <w:bottom w:val="none" w:sz="0" w:space="0" w:color="auto"/>
                    <w:right w:val="none" w:sz="0" w:space="0" w:color="auto"/>
                  </w:divBdr>
                  <w:divsChild>
                    <w:div w:id="943221039">
                      <w:marLeft w:val="0"/>
                      <w:marRight w:val="0"/>
                      <w:marTop w:val="0"/>
                      <w:marBottom w:val="0"/>
                      <w:divBdr>
                        <w:top w:val="none" w:sz="0" w:space="0" w:color="auto"/>
                        <w:left w:val="none" w:sz="0" w:space="0" w:color="auto"/>
                        <w:bottom w:val="none" w:sz="0" w:space="0" w:color="auto"/>
                        <w:right w:val="none" w:sz="0" w:space="0" w:color="auto"/>
                      </w:divBdr>
                      <w:divsChild>
                        <w:div w:id="104811934">
                          <w:marLeft w:val="0"/>
                          <w:marRight w:val="0"/>
                          <w:marTop w:val="0"/>
                          <w:marBottom w:val="0"/>
                          <w:divBdr>
                            <w:top w:val="none" w:sz="0" w:space="0" w:color="auto"/>
                            <w:left w:val="none" w:sz="0" w:space="0" w:color="auto"/>
                            <w:bottom w:val="none" w:sz="0" w:space="0" w:color="auto"/>
                            <w:right w:val="none" w:sz="0" w:space="0" w:color="auto"/>
                          </w:divBdr>
                          <w:divsChild>
                            <w:div w:id="1342925772">
                              <w:marLeft w:val="0"/>
                              <w:marRight w:val="0"/>
                              <w:marTop w:val="0"/>
                              <w:marBottom w:val="0"/>
                              <w:divBdr>
                                <w:top w:val="none" w:sz="0" w:space="0" w:color="auto"/>
                                <w:left w:val="none" w:sz="0" w:space="0" w:color="auto"/>
                                <w:bottom w:val="none" w:sz="0" w:space="0" w:color="auto"/>
                                <w:right w:val="none" w:sz="0" w:space="0" w:color="auto"/>
                              </w:divBdr>
                              <w:divsChild>
                                <w:div w:id="664434401">
                                  <w:marLeft w:val="0"/>
                                  <w:marRight w:val="0"/>
                                  <w:marTop w:val="0"/>
                                  <w:marBottom w:val="0"/>
                                  <w:divBdr>
                                    <w:top w:val="none" w:sz="0" w:space="0" w:color="auto"/>
                                    <w:left w:val="none" w:sz="0" w:space="0" w:color="auto"/>
                                    <w:bottom w:val="none" w:sz="0" w:space="0" w:color="auto"/>
                                    <w:right w:val="none" w:sz="0" w:space="0" w:color="auto"/>
                                  </w:divBdr>
                                  <w:divsChild>
                                    <w:div w:id="838082009">
                                      <w:marLeft w:val="0"/>
                                      <w:marRight w:val="0"/>
                                      <w:marTop w:val="0"/>
                                      <w:marBottom w:val="0"/>
                                      <w:divBdr>
                                        <w:top w:val="none" w:sz="0" w:space="0" w:color="auto"/>
                                        <w:left w:val="none" w:sz="0" w:space="0" w:color="auto"/>
                                        <w:bottom w:val="none" w:sz="0" w:space="0" w:color="auto"/>
                                        <w:right w:val="none" w:sz="0" w:space="0" w:color="auto"/>
                                      </w:divBdr>
                                      <w:divsChild>
                                        <w:div w:id="52968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0770242">
      <w:bodyDiv w:val="1"/>
      <w:marLeft w:val="0"/>
      <w:marRight w:val="0"/>
      <w:marTop w:val="0"/>
      <w:marBottom w:val="0"/>
      <w:divBdr>
        <w:top w:val="none" w:sz="0" w:space="0" w:color="auto"/>
        <w:left w:val="none" w:sz="0" w:space="0" w:color="auto"/>
        <w:bottom w:val="none" w:sz="0" w:space="0" w:color="auto"/>
        <w:right w:val="none" w:sz="0" w:space="0" w:color="auto"/>
      </w:divBdr>
    </w:div>
    <w:div w:id="715391737">
      <w:bodyDiv w:val="1"/>
      <w:marLeft w:val="0"/>
      <w:marRight w:val="0"/>
      <w:marTop w:val="0"/>
      <w:marBottom w:val="0"/>
      <w:divBdr>
        <w:top w:val="none" w:sz="0" w:space="0" w:color="auto"/>
        <w:left w:val="none" w:sz="0" w:space="0" w:color="auto"/>
        <w:bottom w:val="none" w:sz="0" w:space="0" w:color="auto"/>
        <w:right w:val="none" w:sz="0" w:space="0" w:color="auto"/>
      </w:divBdr>
    </w:div>
    <w:div w:id="837309034">
      <w:bodyDiv w:val="1"/>
      <w:marLeft w:val="0"/>
      <w:marRight w:val="0"/>
      <w:marTop w:val="0"/>
      <w:marBottom w:val="0"/>
      <w:divBdr>
        <w:top w:val="none" w:sz="0" w:space="0" w:color="auto"/>
        <w:left w:val="none" w:sz="0" w:space="0" w:color="auto"/>
        <w:bottom w:val="none" w:sz="0" w:space="0" w:color="auto"/>
        <w:right w:val="none" w:sz="0" w:space="0" w:color="auto"/>
      </w:divBdr>
    </w:div>
    <w:div w:id="934171192">
      <w:bodyDiv w:val="1"/>
      <w:marLeft w:val="0"/>
      <w:marRight w:val="0"/>
      <w:marTop w:val="0"/>
      <w:marBottom w:val="0"/>
      <w:divBdr>
        <w:top w:val="none" w:sz="0" w:space="0" w:color="auto"/>
        <w:left w:val="none" w:sz="0" w:space="0" w:color="auto"/>
        <w:bottom w:val="none" w:sz="0" w:space="0" w:color="auto"/>
        <w:right w:val="none" w:sz="0" w:space="0" w:color="auto"/>
      </w:divBdr>
    </w:div>
    <w:div w:id="954482417">
      <w:bodyDiv w:val="1"/>
      <w:marLeft w:val="0"/>
      <w:marRight w:val="0"/>
      <w:marTop w:val="0"/>
      <w:marBottom w:val="0"/>
      <w:divBdr>
        <w:top w:val="none" w:sz="0" w:space="0" w:color="auto"/>
        <w:left w:val="none" w:sz="0" w:space="0" w:color="auto"/>
        <w:bottom w:val="none" w:sz="0" w:space="0" w:color="auto"/>
        <w:right w:val="none" w:sz="0" w:space="0" w:color="auto"/>
      </w:divBdr>
    </w:div>
    <w:div w:id="1064988251">
      <w:bodyDiv w:val="1"/>
      <w:marLeft w:val="0"/>
      <w:marRight w:val="0"/>
      <w:marTop w:val="0"/>
      <w:marBottom w:val="0"/>
      <w:divBdr>
        <w:top w:val="none" w:sz="0" w:space="0" w:color="auto"/>
        <w:left w:val="none" w:sz="0" w:space="0" w:color="auto"/>
        <w:bottom w:val="none" w:sz="0" w:space="0" w:color="auto"/>
        <w:right w:val="none" w:sz="0" w:space="0" w:color="auto"/>
      </w:divBdr>
    </w:div>
    <w:div w:id="1087385088">
      <w:bodyDiv w:val="1"/>
      <w:marLeft w:val="0"/>
      <w:marRight w:val="0"/>
      <w:marTop w:val="0"/>
      <w:marBottom w:val="0"/>
      <w:divBdr>
        <w:top w:val="none" w:sz="0" w:space="0" w:color="auto"/>
        <w:left w:val="none" w:sz="0" w:space="0" w:color="auto"/>
        <w:bottom w:val="none" w:sz="0" w:space="0" w:color="auto"/>
        <w:right w:val="none" w:sz="0" w:space="0" w:color="auto"/>
      </w:divBdr>
    </w:div>
    <w:div w:id="1162812646">
      <w:bodyDiv w:val="1"/>
      <w:marLeft w:val="0"/>
      <w:marRight w:val="0"/>
      <w:marTop w:val="0"/>
      <w:marBottom w:val="0"/>
      <w:divBdr>
        <w:top w:val="none" w:sz="0" w:space="0" w:color="auto"/>
        <w:left w:val="none" w:sz="0" w:space="0" w:color="auto"/>
        <w:bottom w:val="none" w:sz="0" w:space="0" w:color="auto"/>
        <w:right w:val="none" w:sz="0" w:space="0" w:color="auto"/>
      </w:divBdr>
    </w:div>
    <w:div w:id="1222982027">
      <w:bodyDiv w:val="1"/>
      <w:marLeft w:val="0"/>
      <w:marRight w:val="0"/>
      <w:marTop w:val="0"/>
      <w:marBottom w:val="0"/>
      <w:divBdr>
        <w:top w:val="none" w:sz="0" w:space="0" w:color="auto"/>
        <w:left w:val="none" w:sz="0" w:space="0" w:color="auto"/>
        <w:bottom w:val="none" w:sz="0" w:space="0" w:color="auto"/>
        <w:right w:val="none" w:sz="0" w:space="0" w:color="auto"/>
      </w:divBdr>
      <w:divsChild>
        <w:div w:id="1206987410">
          <w:marLeft w:val="0"/>
          <w:marRight w:val="0"/>
          <w:marTop w:val="0"/>
          <w:marBottom w:val="0"/>
          <w:divBdr>
            <w:top w:val="none" w:sz="0" w:space="0" w:color="auto"/>
            <w:left w:val="none" w:sz="0" w:space="0" w:color="auto"/>
            <w:bottom w:val="none" w:sz="0" w:space="0" w:color="auto"/>
            <w:right w:val="none" w:sz="0" w:space="0" w:color="auto"/>
          </w:divBdr>
          <w:divsChild>
            <w:div w:id="1874804896">
              <w:marLeft w:val="0"/>
              <w:marRight w:val="0"/>
              <w:marTop w:val="0"/>
              <w:marBottom w:val="0"/>
              <w:divBdr>
                <w:top w:val="none" w:sz="0" w:space="0" w:color="auto"/>
                <w:left w:val="none" w:sz="0" w:space="0" w:color="auto"/>
                <w:bottom w:val="none" w:sz="0" w:space="0" w:color="auto"/>
                <w:right w:val="none" w:sz="0" w:space="0" w:color="auto"/>
              </w:divBdr>
              <w:divsChild>
                <w:div w:id="383675269">
                  <w:marLeft w:val="0"/>
                  <w:marRight w:val="0"/>
                  <w:marTop w:val="0"/>
                  <w:marBottom w:val="0"/>
                  <w:divBdr>
                    <w:top w:val="none" w:sz="0" w:space="0" w:color="auto"/>
                    <w:left w:val="none" w:sz="0" w:space="0" w:color="auto"/>
                    <w:bottom w:val="none" w:sz="0" w:space="0" w:color="auto"/>
                    <w:right w:val="none" w:sz="0" w:space="0" w:color="auto"/>
                  </w:divBdr>
                  <w:divsChild>
                    <w:div w:id="1227032720">
                      <w:marLeft w:val="0"/>
                      <w:marRight w:val="0"/>
                      <w:marTop w:val="0"/>
                      <w:marBottom w:val="0"/>
                      <w:divBdr>
                        <w:top w:val="none" w:sz="0" w:space="0" w:color="auto"/>
                        <w:left w:val="none" w:sz="0" w:space="0" w:color="auto"/>
                        <w:bottom w:val="none" w:sz="0" w:space="0" w:color="auto"/>
                        <w:right w:val="none" w:sz="0" w:space="0" w:color="auto"/>
                      </w:divBdr>
                      <w:divsChild>
                        <w:div w:id="2131124720">
                          <w:marLeft w:val="0"/>
                          <w:marRight w:val="0"/>
                          <w:marTop w:val="0"/>
                          <w:marBottom w:val="0"/>
                          <w:divBdr>
                            <w:top w:val="none" w:sz="0" w:space="0" w:color="auto"/>
                            <w:left w:val="none" w:sz="0" w:space="0" w:color="auto"/>
                            <w:bottom w:val="none" w:sz="0" w:space="0" w:color="auto"/>
                            <w:right w:val="none" w:sz="0" w:space="0" w:color="auto"/>
                          </w:divBdr>
                          <w:divsChild>
                            <w:div w:id="1505246436">
                              <w:marLeft w:val="0"/>
                              <w:marRight w:val="0"/>
                              <w:marTop w:val="0"/>
                              <w:marBottom w:val="0"/>
                              <w:divBdr>
                                <w:top w:val="none" w:sz="0" w:space="0" w:color="auto"/>
                                <w:left w:val="none" w:sz="0" w:space="0" w:color="auto"/>
                                <w:bottom w:val="none" w:sz="0" w:space="0" w:color="auto"/>
                                <w:right w:val="none" w:sz="0" w:space="0" w:color="auto"/>
                              </w:divBdr>
                              <w:divsChild>
                                <w:div w:id="668751917">
                                  <w:marLeft w:val="0"/>
                                  <w:marRight w:val="0"/>
                                  <w:marTop w:val="0"/>
                                  <w:marBottom w:val="0"/>
                                  <w:divBdr>
                                    <w:top w:val="none" w:sz="0" w:space="0" w:color="auto"/>
                                    <w:left w:val="none" w:sz="0" w:space="0" w:color="auto"/>
                                    <w:bottom w:val="none" w:sz="0" w:space="0" w:color="auto"/>
                                    <w:right w:val="none" w:sz="0" w:space="0" w:color="auto"/>
                                  </w:divBdr>
                                  <w:divsChild>
                                    <w:div w:id="690299283">
                                      <w:marLeft w:val="0"/>
                                      <w:marRight w:val="0"/>
                                      <w:marTop w:val="0"/>
                                      <w:marBottom w:val="0"/>
                                      <w:divBdr>
                                        <w:top w:val="none" w:sz="0" w:space="0" w:color="auto"/>
                                        <w:left w:val="none" w:sz="0" w:space="0" w:color="auto"/>
                                        <w:bottom w:val="none" w:sz="0" w:space="0" w:color="auto"/>
                                        <w:right w:val="none" w:sz="0" w:space="0" w:color="auto"/>
                                      </w:divBdr>
                                      <w:divsChild>
                                        <w:div w:id="84109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4370595">
      <w:bodyDiv w:val="1"/>
      <w:marLeft w:val="0"/>
      <w:marRight w:val="0"/>
      <w:marTop w:val="0"/>
      <w:marBottom w:val="0"/>
      <w:divBdr>
        <w:top w:val="none" w:sz="0" w:space="0" w:color="auto"/>
        <w:left w:val="none" w:sz="0" w:space="0" w:color="auto"/>
        <w:bottom w:val="none" w:sz="0" w:space="0" w:color="auto"/>
        <w:right w:val="none" w:sz="0" w:space="0" w:color="auto"/>
      </w:divBdr>
    </w:div>
    <w:div w:id="1404376889">
      <w:bodyDiv w:val="1"/>
      <w:marLeft w:val="0"/>
      <w:marRight w:val="0"/>
      <w:marTop w:val="0"/>
      <w:marBottom w:val="0"/>
      <w:divBdr>
        <w:top w:val="none" w:sz="0" w:space="0" w:color="auto"/>
        <w:left w:val="none" w:sz="0" w:space="0" w:color="auto"/>
        <w:bottom w:val="none" w:sz="0" w:space="0" w:color="auto"/>
        <w:right w:val="none" w:sz="0" w:space="0" w:color="auto"/>
      </w:divBdr>
    </w:div>
    <w:div w:id="1518422578">
      <w:bodyDiv w:val="1"/>
      <w:marLeft w:val="0"/>
      <w:marRight w:val="0"/>
      <w:marTop w:val="0"/>
      <w:marBottom w:val="0"/>
      <w:divBdr>
        <w:top w:val="none" w:sz="0" w:space="0" w:color="auto"/>
        <w:left w:val="none" w:sz="0" w:space="0" w:color="auto"/>
        <w:bottom w:val="none" w:sz="0" w:space="0" w:color="auto"/>
        <w:right w:val="none" w:sz="0" w:space="0" w:color="auto"/>
      </w:divBdr>
    </w:div>
    <w:div w:id="1550386490">
      <w:bodyDiv w:val="1"/>
      <w:marLeft w:val="0"/>
      <w:marRight w:val="0"/>
      <w:marTop w:val="0"/>
      <w:marBottom w:val="0"/>
      <w:divBdr>
        <w:top w:val="none" w:sz="0" w:space="0" w:color="auto"/>
        <w:left w:val="none" w:sz="0" w:space="0" w:color="auto"/>
        <w:bottom w:val="none" w:sz="0" w:space="0" w:color="auto"/>
        <w:right w:val="none" w:sz="0" w:space="0" w:color="auto"/>
      </w:divBdr>
    </w:div>
    <w:div w:id="1675452414">
      <w:bodyDiv w:val="1"/>
      <w:marLeft w:val="0"/>
      <w:marRight w:val="0"/>
      <w:marTop w:val="0"/>
      <w:marBottom w:val="0"/>
      <w:divBdr>
        <w:top w:val="none" w:sz="0" w:space="0" w:color="auto"/>
        <w:left w:val="none" w:sz="0" w:space="0" w:color="auto"/>
        <w:bottom w:val="none" w:sz="0" w:space="0" w:color="auto"/>
        <w:right w:val="none" w:sz="0" w:space="0" w:color="auto"/>
      </w:divBdr>
    </w:div>
    <w:div w:id="1684823823">
      <w:bodyDiv w:val="1"/>
      <w:marLeft w:val="0"/>
      <w:marRight w:val="0"/>
      <w:marTop w:val="0"/>
      <w:marBottom w:val="0"/>
      <w:divBdr>
        <w:top w:val="none" w:sz="0" w:space="0" w:color="auto"/>
        <w:left w:val="none" w:sz="0" w:space="0" w:color="auto"/>
        <w:bottom w:val="none" w:sz="0" w:space="0" w:color="auto"/>
        <w:right w:val="none" w:sz="0" w:space="0" w:color="auto"/>
      </w:divBdr>
    </w:div>
    <w:div w:id="1723675911">
      <w:bodyDiv w:val="1"/>
      <w:marLeft w:val="0"/>
      <w:marRight w:val="0"/>
      <w:marTop w:val="0"/>
      <w:marBottom w:val="0"/>
      <w:divBdr>
        <w:top w:val="none" w:sz="0" w:space="0" w:color="auto"/>
        <w:left w:val="none" w:sz="0" w:space="0" w:color="auto"/>
        <w:bottom w:val="none" w:sz="0" w:space="0" w:color="auto"/>
        <w:right w:val="none" w:sz="0" w:space="0" w:color="auto"/>
      </w:divBdr>
    </w:div>
    <w:div w:id="1951007329">
      <w:bodyDiv w:val="1"/>
      <w:marLeft w:val="0"/>
      <w:marRight w:val="0"/>
      <w:marTop w:val="0"/>
      <w:marBottom w:val="0"/>
      <w:divBdr>
        <w:top w:val="none" w:sz="0" w:space="0" w:color="auto"/>
        <w:left w:val="none" w:sz="0" w:space="0" w:color="auto"/>
        <w:bottom w:val="none" w:sz="0" w:space="0" w:color="auto"/>
        <w:right w:val="none" w:sz="0" w:space="0" w:color="auto"/>
      </w:divBdr>
    </w:div>
    <w:div w:id="2049799471">
      <w:bodyDiv w:val="1"/>
      <w:marLeft w:val="0"/>
      <w:marRight w:val="0"/>
      <w:marTop w:val="0"/>
      <w:marBottom w:val="0"/>
      <w:divBdr>
        <w:top w:val="none" w:sz="0" w:space="0" w:color="auto"/>
        <w:left w:val="none" w:sz="0" w:space="0" w:color="auto"/>
        <w:bottom w:val="none" w:sz="0" w:space="0" w:color="auto"/>
        <w:right w:val="none" w:sz="0" w:space="0" w:color="auto"/>
      </w:divBdr>
    </w:div>
    <w:div w:id="206690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legislation.gov.au/Series/F2011L01492" TargetMode="External"/><Relationship Id="rId26" Type="http://schemas.openxmlformats.org/officeDocument/2006/relationships/hyperlink" Target="http://www.legislation.gov.au/Series/F2011L01489" TargetMode="External"/><Relationship Id="rId39" Type="http://schemas.openxmlformats.org/officeDocument/2006/relationships/hyperlink" Target="https://www.tga.gov.au/manufacturing-blood-and-blood-components" TargetMode="External"/><Relationship Id="rId21" Type="http://schemas.openxmlformats.org/officeDocument/2006/relationships/hyperlink" Target="https://www.legislation.gov.au/Details/F2011L00894" TargetMode="External"/><Relationship Id="rId34" Type="http://schemas.openxmlformats.org/officeDocument/2006/relationships/image" Target="media/image4.png"/><Relationship Id="rId42" Type="http://schemas.openxmlformats.org/officeDocument/2006/relationships/hyperlink" Target="http://www.legislation.gov.au/Series/F2011L01489" TargetMode="External"/><Relationship Id="rId47" Type="http://schemas.openxmlformats.org/officeDocument/2006/relationships/hyperlink" Target="https://www.legislation.gov.au/Details/F2011L00894" TargetMode="External"/><Relationship Id="rId50" Type="http://schemas.openxmlformats.org/officeDocument/2006/relationships/hyperlink" Target="https://www.tga.gov.au/book-page/notifications-included-biologicals" TargetMode="External"/><Relationship Id="rId55" Type="http://schemas.openxmlformats.org/officeDocument/2006/relationships/hyperlink" Target="https://www.tga.gov.a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legislation.gov.au/Series/F2011L01491" TargetMode="External"/><Relationship Id="rId25" Type="http://schemas.openxmlformats.org/officeDocument/2006/relationships/hyperlink" Target="https://www.legislation.gov.au/Series/F2013L00854" TargetMode="External"/><Relationship Id="rId33" Type="http://schemas.openxmlformats.org/officeDocument/2006/relationships/hyperlink" Target="https://www.edqm.eu/en/organs-tissues-and-cells-technical-guides" TargetMode="External"/><Relationship Id="rId38" Type="http://schemas.openxmlformats.org/officeDocument/2006/relationships/hyperlink" Target="https://www.tga.gov.au/manufacturing-biologicals" TargetMode="External"/><Relationship Id="rId46" Type="http://schemas.openxmlformats.org/officeDocument/2006/relationships/hyperlink" Target="https://www.edqm.eu/en/organs-tissues-and-cells-technical-guides"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egislation.gov.au/Series/F2011L01490" TargetMode="External"/><Relationship Id="rId20" Type="http://schemas.openxmlformats.org/officeDocument/2006/relationships/hyperlink" Target="https://www.legislation.gov.au/Series/F2013L00854" TargetMode="External"/><Relationship Id="rId29" Type="http://schemas.openxmlformats.org/officeDocument/2006/relationships/hyperlink" Target="http://www.legislation.gov.au/Series/F2011L01492" TargetMode="External"/><Relationship Id="rId41" Type="http://schemas.openxmlformats.org/officeDocument/2006/relationships/hyperlink" Target="https://www.tga.gov.au/manufacturing-blood-and-blood-components" TargetMode="External"/><Relationship Id="rId54" Type="http://schemas.openxmlformats.org/officeDocument/2006/relationships/hyperlink" Target="mailto:info@tg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legislation.gov.au/Details/F2011L00894" TargetMode="External"/><Relationship Id="rId32" Type="http://schemas.openxmlformats.org/officeDocument/2006/relationships/hyperlink" Target="http://www.legislation.gov.au/Series/F2011L01493" TargetMode="External"/><Relationship Id="rId37" Type="http://schemas.openxmlformats.org/officeDocument/2006/relationships/image" Target="media/image5.png"/><Relationship Id="rId40" Type="http://schemas.openxmlformats.org/officeDocument/2006/relationships/hyperlink" Target="https://www.tga.gov.au/manufacturing-biologicals" TargetMode="External"/><Relationship Id="rId45" Type="http://schemas.openxmlformats.org/officeDocument/2006/relationships/hyperlink" Target="http://www.legislation.gov.au/Series/F2011L01492" TargetMode="External"/><Relationship Id="rId53" Type="http://schemas.openxmlformats.org/officeDocument/2006/relationships/footer" Target="footer5.xm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egislation.gov.au/Series/F2011L01489" TargetMode="External"/><Relationship Id="rId23" Type="http://schemas.openxmlformats.org/officeDocument/2006/relationships/hyperlink" Target="https://www.pmc.gov.au/resource-centre/regulation/sunsetting-legislative-instruments-guidance-note" TargetMode="External"/><Relationship Id="rId28" Type="http://schemas.openxmlformats.org/officeDocument/2006/relationships/hyperlink" Target="http://www.legislation.gov.au/Series/F2011L01491" TargetMode="External"/><Relationship Id="rId36" Type="http://schemas.openxmlformats.org/officeDocument/2006/relationships/hyperlink" Target="https://www.tga.gov.au/autologous-human-cells-and-tissues-products-regulation" TargetMode="External"/><Relationship Id="rId49" Type="http://schemas.openxmlformats.org/officeDocument/2006/relationships/hyperlink" Target="https://consultations.health.gov.au/" TargetMode="External"/><Relationship Id="rId57" Type="http://schemas.openxmlformats.org/officeDocument/2006/relationships/footer" Target="footer6.xml"/><Relationship Id="rId10" Type="http://schemas.openxmlformats.org/officeDocument/2006/relationships/footer" Target="footer1.xml"/><Relationship Id="rId19" Type="http://schemas.openxmlformats.org/officeDocument/2006/relationships/hyperlink" Target="http://www.legislation.gov.au/Series/F2011L01493" TargetMode="External"/><Relationship Id="rId31" Type="http://schemas.openxmlformats.org/officeDocument/2006/relationships/hyperlink" Target="https://www.legislation.gov.au/Details/F2019L01669" TargetMode="External"/><Relationship Id="rId44" Type="http://schemas.openxmlformats.org/officeDocument/2006/relationships/hyperlink" Target="http://www.legislation.gov.au/Series/F2011L01491" TargetMode="External"/><Relationship Id="rId52"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tga.copyright@tga.gov.au" TargetMode="External"/><Relationship Id="rId22" Type="http://schemas.openxmlformats.org/officeDocument/2006/relationships/hyperlink" Target="https://www.legislation.gov.au/Details/F2019L01669" TargetMode="External"/><Relationship Id="rId27" Type="http://schemas.openxmlformats.org/officeDocument/2006/relationships/hyperlink" Target="http://www.legislation.gov.au/Series/F2011L01490" TargetMode="External"/><Relationship Id="rId30" Type="http://schemas.openxmlformats.org/officeDocument/2006/relationships/hyperlink" Target="https://www.legislation.gov.au/Details/F2011L00894" TargetMode="External"/><Relationship Id="rId35" Type="http://schemas.openxmlformats.org/officeDocument/2006/relationships/hyperlink" Target="https://www.legislation.gov.au/Series/F2013L00854" TargetMode="External"/><Relationship Id="rId43" Type="http://schemas.openxmlformats.org/officeDocument/2006/relationships/hyperlink" Target="http://www.legislation.gov.au/Series/F2011L01490" TargetMode="External"/><Relationship Id="rId48" Type="http://schemas.openxmlformats.org/officeDocument/2006/relationships/hyperlink" Target="https://www.legislation.gov.au/Details/F2019L01669" TargetMode="External"/><Relationship Id="rId56" Type="http://schemas.openxmlformats.org/officeDocument/2006/relationships/header" Target="header5.xml"/><Relationship Id="rId8" Type="http://schemas.openxmlformats.org/officeDocument/2006/relationships/header" Target="header1.xml"/><Relationship Id="rId51" Type="http://schemas.openxmlformats.org/officeDocument/2006/relationships/footer" Target="footer4.xml"/><Relationship Id="rId3" Type="http://schemas.openxmlformats.org/officeDocument/2006/relationships/styles" Target="styles.xml"/></Relationships>
</file>

<file path=word/_rels/header3.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B0F63-E6A8-4F51-A08A-0C73EA9BF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5989</Words>
  <Characters>34138</Characters>
  <Application>Microsoft Office Word</Application>
  <DocSecurity>0</DocSecurity>
  <Lines>284</Lines>
  <Paragraphs>80</Paragraphs>
  <ScaleCrop>false</ScaleCrop>
  <Company/>
  <LinksUpToDate>false</LinksUpToDate>
  <CharactersWithSpaces>40047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2021-05-26T03:02:00Z</dcterms:created>
  <dcterms:modified xsi:type="dcterms:W3CDTF">2021-05-26T03:02:00Z</dcterms:modified>
</cp:coreProperties>
</file>