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8A74ED" w:rsidRPr="009401F6" w14:paraId="6F101089" w14:textId="77777777" w:rsidTr="00ED0C8B">
        <w:tc>
          <w:tcPr>
            <w:tcW w:w="8720" w:type="dxa"/>
          </w:tcPr>
          <w:p w14:paraId="6009B275" w14:textId="3FFECFDE" w:rsidR="008A74ED" w:rsidRPr="009401F6" w:rsidRDefault="008A74ED" w:rsidP="00E767C0">
            <w:pPr>
              <w:pStyle w:val="Title"/>
            </w:pPr>
            <w:r w:rsidRPr="00B45528">
              <w:t>ARGB A</w:t>
            </w:r>
            <w:r>
              <w:t>ppendix 1</w:t>
            </w:r>
            <w:r w:rsidR="00986EE9">
              <w:t>2</w:t>
            </w:r>
            <w:r>
              <w:t xml:space="preserve"> - Guidance on TGO 10</w:t>
            </w:r>
            <w:r w:rsidR="0068656A">
              <w:t>8</w:t>
            </w:r>
            <w:r w:rsidRPr="00B45528">
              <w:t xml:space="preserve">: </w:t>
            </w:r>
            <w:r w:rsidR="0068656A" w:rsidRPr="0068656A">
              <w:t xml:space="preserve">Standard for </w:t>
            </w:r>
            <w:r w:rsidR="00F508A5">
              <w:t>Human Cell or Tissue</w:t>
            </w:r>
            <w:r w:rsidR="00E349CA">
              <w:t xml:space="preserve"> Products</w:t>
            </w:r>
            <w:r w:rsidR="008A2FCF">
              <w:t xml:space="preserve"> – </w:t>
            </w:r>
            <w:r w:rsidR="00E349CA">
              <w:t xml:space="preserve">Donor </w:t>
            </w:r>
            <w:r w:rsidR="00E767C0">
              <w:t xml:space="preserve">Screening </w:t>
            </w:r>
            <w:r w:rsidR="00E349CA">
              <w:t>Requirements</w:t>
            </w:r>
          </w:p>
        </w:tc>
      </w:tr>
      <w:tr w:rsidR="008A74ED" w:rsidRPr="009401F6" w14:paraId="6F9A5FFE" w14:textId="77777777" w:rsidTr="00ED0C8B">
        <w:trPr>
          <w:trHeight w:val="1387"/>
        </w:trPr>
        <w:tc>
          <w:tcPr>
            <w:tcW w:w="8720" w:type="dxa"/>
          </w:tcPr>
          <w:p w14:paraId="56575666" w14:textId="1208B3E7" w:rsidR="008A74ED" w:rsidRPr="009401F6" w:rsidRDefault="008A74ED" w:rsidP="008A74ED">
            <w:pPr>
              <w:pStyle w:val="Subtitle"/>
              <w:ind w:left="0"/>
              <w:rPr>
                <w:lang w:eastAsia="en-AU"/>
              </w:rPr>
            </w:pPr>
            <w:r w:rsidRPr="00B45528">
              <w:t>Australian Regulatory Guidelines for Biologicals (ARGB)</w:t>
            </w:r>
          </w:p>
        </w:tc>
      </w:tr>
      <w:tr w:rsidR="00ED0C8B" w:rsidRPr="009401F6" w14:paraId="0821BB24" w14:textId="77777777" w:rsidTr="00ED0C8B">
        <w:tc>
          <w:tcPr>
            <w:tcW w:w="8720" w:type="dxa"/>
          </w:tcPr>
          <w:p w14:paraId="1061846B" w14:textId="0546BCA5" w:rsidR="00ED0C8B" w:rsidRPr="009401F6" w:rsidRDefault="008A74ED" w:rsidP="00151820">
            <w:pPr>
              <w:pStyle w:val="Date"/>
              <w:rPr>
                <w:lang w:eastAsia="en-AU"/>
              </w:rPr>
            </w:pPr>
            <w:r w:rsidRPr="009401F6">
              <w:rPr>
                <w:lang w:eastAsia="en-AU"/>
              </w:rPr>
              <w:t xml:space="preserve">Version 1.0, </w:t>
            </w:r>
            <w:r w:rsidR="00AC051D">
              <w:rPr>
                <w:lang w:eastAsia="en-AU"/>
              </w:rPr>
              <w:t xml:space="preserve">May </w:t>
            </w:r>
            <w:bookmarkStart w:id="0" w:name="_GoBack"/>
            <w:bookmarkEnd w:id="0"/>
            <w:r>
              <w:rPr>
                <w:lang w:eastAsia="en-AU"/>
              </w:rPr>
              <w:t>2021</w:t>
            </w:r>
          </w:p>
        </w:tc>
      </w:tr>
    </w:tbl>
    <w:p w14:paraId="6E7C4801" w14:textId="4F1DB693"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30E3528A" w14:textId="77777777" w:rsidR="00BA6FF1" w:rsidRPr="005D4EA1" w:rsidRDefault="00BA6FF1" w:rsidP="00FE1941">
      <w:pPr>
        <w:pStyle w:val="LegalSubheading"/>
        <w:pageBreakBefore/>
      </w:pPr>
      <w:r w:rsidRPr="00691723">
        <w:lastRenderedPageBreak/>
        <w:t>Copyright</w:t>
      </w:r>
    </w:p>
    <w:p w14:paraId="1BE23B7F" w14:textId="7518154A" w:rsidR="00611B57" w:rsidRDefault="00EA453A" w:rsidP="00FE1941">
      <w:pPr>
        <w:pStyle w:val="LegalCopy"/>
        <w:spacing w:after="0"/>
      </w:pPr>
      <w:r w:rsidRPr="009401F6">
        <w:t>© Commonwealth of Australia 20</w:t>
      </w:r>
      <w:r w:rsidR="0084156C">
        <w:t>2</w:t>
      </w:r>
      <w:r w:rsidR="007D50B7">
        <w:t>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511135ED" w14:textId="77777777" w:rsidR="008D2B09" w:rsidRPr="009401F6" w:rsidRDefault="008D2B09" w:rsidP="00611B57">
      <w:pPr>
        <w:pStyle w:val="LegalSubheading"/>
      </w:pPr>
      <w:r w:rsidRPr="009401F6">
        <w:t>Confidentiality</w:t>
      </w:r>
    </w:p>
    <w:p w14:paraId="1C4EA72E"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1" w:name="_Toc323738670"/>
    </w:p>
    <w:sdt>
      <w:sdtPr>
        <w:rPr>
          <w:rFonts w:ascii="Cambria" w:hAnsi="Cambria"/>
          <w:b w:val="0"/>
          <w:sz w:val="22"/>
        </w:rPr>
        <w:id w:val="3701955"/>
        <w:docPartObj>
          <w:docPartGallery w:val="Table of Contents"/>
          <w:docPartUnique/>
        </w:docPartObj>
      </w:sdtPr>
      <w:sdtEndPr/>
      <w:sdtContent>
        <w:p w14:paraId="107060A3" w14:textId="77777777" w:rsidR="00B92C72" w:rsidRPr="009401F6" w:rsidRDefault="00B92C72" w:rsidP="00B92C72">
          <w:pPr>
            <w:pStyle w:val="NonTOCheading2"/>
          </w:pPr>
          <w:r w:rsidRPr="009401F6">
            <w:t>Contents</w:t>
          </w:r>
        </w:p>
        <w:p w14:paraId="44E929D8" w14:textId="6DB627EB" w:rsidR="008D5ACC"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69823128" w:history="1">
            <w:r w:rsidR="008D5ACC" w:rsidRPr="00F72115">
              <w:rPr>
                <w:rStyle w:val="Hyperlink"/>
                <w:noProof/>
              </w:rPr>
              <w:t>About this guidance</w:t>
            </w:r>
            <w:r w:rsidR="008D5ACC">
              <w:rPr>
                <w:noProof/>
                <w:webHidden/>
              </w:rPr>
              <w:tab/>
            </w:r>
            <w:r w:rsidR="008D5ACC">
              <w:rPr>
                <w:noProof/>
                <w:webHidden/>
              </w:rPr>
              <w:fldChar w:fldCharType="begin"/>
            </w:r>
            <w:r w:rsidR="008D5ACC">
              <w:rPr>
                <w:noProof/>
                <w:webHidden/>
              </w:rPr>
              <w:instrText xml:space="preserve"> PAGEREF _Toc69823128 \h </w:instrText>
            </w:r>
            <w:r w:rsidR="008D5ACC">
              <w:rPr>
                <w:noProof/>
                <w:webHidden/>
              </w:rPr>
            </w:r>
            <w:r w:rsidR="008D5ACC">
              <w:rPr>
                <w:noProof/>
                <w:webHidden/>
              </w:rPr>
              <w:fldChar w:fldCharType="separate"/>
            </w:r>
            <w:r w:rsidR="008D5ACC">
              <w:rPr>
                <w:noProof/>
                <w:webHidden/>
              </w:rPr>
              <w:t>4</w:t>
            </w:r>
            <w:r w:rsidR="008D5ACC">
              <w:rPr>
                <w:noProof/>
                <w:webHidden/>
              </w:rPr>
              <w:fldChar w:fldCharType="end"/>
            </w:r>
          </w:hyperlink>
        </w:p>
        <w:p w14:paraId="3FF715F7" w14:textId="5F4D6924" w:rsidR="008D5ACC" w:rsidRDefault="00AC051D">
          <w:pPr>
            <w:pStyle w:val="TOC1"/>
            <w:rPr>
              <w:rFonts w:asciiTheme="minorHAnsi" w:eastAsiaTheme="minorEastAsia" w:hAnsiTheme="minorHAnsi" w:cstheme="minorBidi"/>
              <w:b w:val="0"/>
              <w:noProof/>
              <w:sz w:val="22"/>
              <w:szCs w:val="22"/>
              <w:lang w:eastAsia="en-AU"/>
            </w:rPr>
          </w:pPr>
          <w:hyperlink w:anchor="_Toc69823129" w:history="1">
            <w:r w:rsidR="008D5ACC" w:rsidRPr="00F72115">
              <w:rPr>
                <w:rStyle w:val="Hyperlink"/>
                <w:noProof/>
              </w:rPr>
              <w:t>About TGO 108</w:t>
            </w:r>
            <w:r w:rsidR="008D5ACC">
              <w:rPr>
                <w:noProof/>
                <w:webHidden/>
              </w:rPr>
              <w:tab/>
            </w:r>
            <w:r w:rsidR="008D5ACC">
              <w:rPr>
                <w:noProof/>
                <w:webHidden/>
              </w:rPr>
              <w:fldChar w:fldCharType="begin"/>
            </w:r>
            <w:r w:rsidR="008D5ACC">
              <w:rPr>
                <w:noProof/>
                <w:webHidden/>
              </w:rPr>
              <w:instrText xml:space="preserve"> PAGEREF _Toc69823129 \h </w:instrText>
            </w:r>
            <w:r w:rsidR="008D5ACC">
              <w:rPr>
                <w:noProof/>
                <w:webHidden/>
              </w:rPr>
            </w:r>
            <w:r w:rsidR="008D5ACC">
              <w:rPr>
                <w:noProof/>
                <w:webHidden/>
              </w:rPr>
              <w:fldChar w:fldCharType="separate"/>
            </w:r>
            <w:r w:rsidR="008D5ACC">
              <w:rPr>
                <w:noProof/>
                <w:webHidden/>
              </w:rPr>
              <w:t>4</w:t>
            </w:r>
            <w:r w:rsidR="008D5ACC">
              <w:rPr>
                <w:noProof/>
                <w:webHidden/>
              </w:rPr>
              <w:fldChar w:fldCharType="end"/>
            </w:r>
          </w:hyperlink>
        </w:p>
        <w:p w14:paraId="05127E0D" w14:textId="6DA8F62B" w:rsidR="008D5ACC" w:rsidRDefault="00AC051D">
          <w:pPr>
            <w:pStyle w:val="TOC2"/>
            <w:rPr>
              <w:rFonts w:asciiTheme="minorHAnsi" w:eastAsiaTheme="minorEastAsia" w:hAnsiTheme="minorHAnsi" w:cstheme="minorBidi"/>
              <w:b w:val="0"/>
              <w:noProof/>
              <w:sz w:val="22"/>
              <w:szCs w:val="22"/>
              <w:lang w:eastAsia="en-AU"/>
            </w:rPr>
          </w:pPr>
          <w:hyperlink w:anchor="_Toc69823130" w:history="1">
            <w:r w:rsidR="008D5ACC" w:rsidRPr="00F72115">
              <w:rPr>
                <w:rStyle w:val="Hyperlink"/>
                <w:noProof/>
              </w:rPr>
              <w:t>Commencement of TGO 108</w:t>
            </w:r>
            <w:r w:rsidR="008D5ACC">
              <w:rPr>
                <w:noProof/>
                <w:webHidden/>
              </w:rPr>
              <w:tab/>
            </w:r>
            <w:r w:rsidR="008D5ACC">
              <w:rPr>
                <w:noProof/>
                <w:webHidden/>
              </w:rPr>
              <w:fldChar w:fldCharType="begin"/>
            </w:r>
            <w:r w:rsidR="008D5ACC">
              <w:rPr>
                <w:noProof/>
                <w:webHidden/>
              </w:rPr>
              <w:instrText xml:space="preserve"> PAGEREF _Toc69823130 \h </w:instrText>
            </w:r>
            <w:r w:rsidR="008D5ACC">
              <w:rPr>
                <w:noProof/>
                <w:webHidden/>
              </w:rPr>
            </w:r>
            <w:r w:rsidR="008D5ACC">
              <w:rPr>
                <w:noProof/>
                <w:webHidden/>
              </w:rPr>
              <w:fldChar w:fldCharType="separate"/>
            </w:r>
            <w:r w:rsidR="008D5ACC">
              <w:rPr>
                <w:noProof/>
                <w:webHidden/>
              </w:rPr>
              <w:t>6</w:t>
            </w:r>
            <w:r w:rsidR="008D5ACC">
              <w:rPr>
                <w:noProof/>
                <w:webHidden/>
              </w:rPr>
              <w:fldChar w:fldCharType="end"/>
            </w:r>
          </w:hyperlink>
        </w:p>
        <w:p w14:paraId="317A599E" w14:textId="413CF199" w:rsidR="008D5ACC" w:rsidRDefault="00AC051D">
          <w:pPr>
            <w:pStyle w:val="TOC2"/>
            <w:rPr>
              <w:rFonts w:asciiTheme="minorHAnsi" w:eastAsiaTheme="minorEastAsia" w:hAnsiTheme="minorHAnsi" w:cstheme="minorBidi"/>
              <w:b w:val="0"/>
              <w:noProof/>
              <w:sz w:val="22"/>
              <w:szCs w:val="22"/>
              <w:lang w:eastAsia="en-AU"/>
            </w:rPr>
          </w:pPr>
          <w:hyperlink w:anchor="_Toc69823131" w:history="1">
            <w:r w:rsidR="008D5ACC" w:rsidRPr="00F72115">
              <w:rPr>
                <w:rStyle w:val="Hyperlink"/>
                <w:noProof/>
              </w:rPr>
              <w:t>Review of TGO 108</w:t>
            </w:r>
            <w:r w:rsidR="008D5ACC">
              <w:rPr>
                <w:noProof/>
                <w:webHidden/>
              </w:rPr>
              <w:tab/>
            </w:r>
            <w:r w:rsidR="008D5ACC">
              <w:rPr>
                <w:noProof/>
                <w:webHidden/>
              </w:rPr>
              <w:fldChar w:fldCharType="begin"/>
            </w:r>
            <w:r w:rsidR="008D5ACC">
              <w:rPr>
                <w:noProof/>
                <w:webHidden/>
              </w:rPr>
              <w:instrText xml:space="preserve"> PAGEREF _Toc69823131 \h </w:instrText>
            </w:r>
            <w:r w:rsidR="008D5ACC">
              <w:rPr>
                <w:noProof/>
                <w:webHidden/>
              </w:rPr>
            </w:r>
            <w:r w:rsidR="008D5ACC">
              <w:rPr>
                <w:noProof/>
                <w:webHidden/>
              </w:rPr>
              <w:fldChar w:fldCharType="separate"/>
            </w:r>
            <w:r w:rsidR="008D5ACC">
              <w:rPr>
                <w:noProof/>
                <w:webHidden/>
              </w:rPr>
              <w:t>6</w:t>
            </w:r>
            <w:r w:rsidR="008D5ACC">
              <w:rPr>
                <w:noProof/>
                <w:webHidden/>
              </w:rPr>
              <w:fldChar w:fldCharType="end"/>
            </w:r>
          </w:hyperlink>
        </w:p>
        <w:p w14:paraId="3DCCD246" w14:textId="59BE6256" w:rsidR="008D5ACC" w:rsidRDefault="00AC051D">
          <w:pPr>
            <w:pStyle w:val="TOC2"/>
            <w:rPr>
              <w:rFonts w:asciiTheme="minorHAnsi" w:eastAsiaTheme="minorEastAsia" w:hAnsiTheme="minorHAnsi" w:cstheme="minorBidi"/>
              <w:b w:val="0"/>
              <w:noProof/>
              <w:sz w:val="22"/>
              <w:szCs w:val="22"/>
              <w:lang w:eastAsia="en-AU"/>
            </w:rPr>
          </w:pPr>
          <w:hyperlink w:anchor="_Toc69823132" w:history="1">
            <w:r w:rsidR="008D5ACC" w:rsidRPr="00F72115">
              <w:rPr>
                <w:rStyle w:val="Hyperlink"/>
                <w:noProof/>
              </w:rPr>
              <w:t>Part 1 – Preliminary</w:t>
            </w:r>
            <w:r w:rsidR="008D5ACC">
              <w:rPr>
                <w:noProof/>
                <w:webHidden/>
              </w:rPr>
              <w:tab/>
            </w:r>
            <w:r w:rsidR="008D5ACC">
              <w:rPr>
                <w:noProof/>
                <w:webHidden/>
              </w:rPr>
              <w:fldChar w:fldCharType="begin"/>
            </w:r>
            <w:r w:rsidR="008D5ACC">
              <w:rPr>
                <w:noProof/>
                <w:webHidden/>
              </w:rPr>
              <w:instrText xml:space="preserve"> PAGEREF _Toc69823132 \h </w:instrText>
            </w:r>
            <w:r w:rsidR="008D5ACC">
              <w:rPr>
                <w:noProof/>
                <w:webHidden/>
              </w:rPr>
            </w:r>
            <w:r w:rsidR="008D5ACC">
              <w:rPr>
                <w:noProof/>
                <w:webHidden/>
              </w:rPr>
              <w:fldChar w:fldCharType="separate"/>
            </w:r>
            <w:r w:rsidR="008D5ACC">
              <w:rPr>
                <w:noProof/>
                <w:webHidden/>
              </w:rPr>
              <w:t>6</w:t>
            </w:r>
            <w:r w:rsidR="008D5ACC">
              <w:rPr>
                <w:noProof/>
                <w:webHidden/>
              </w:rPr>
              <w:fldChar w:fldCharType="end"/>
            </w:r>
          </w:hyperlink>
        </w:p>
        <w:p w14:paraId="75AB9308" w14:textId="14587913" w:rsidR="008D5ACC" w:rsidRDefault="00AC051D">
          <w:pPr>
            <w:pStyle w:val="TOC3"/>
            <w:rPr>
              <w:rFonts w:asciiTheme="minorHAnsi" w:eastAsiaTheme="minorEastAsia" w:hAnsiTheme="minorHAnsi" w:cstheme="minorBidi"/>
              <w:b w:val="0"/>
              <w:noProof/>
              <w:szCs w:val="22"/>
              <w:lang w:eastAsia="en-AU"/>
            </w:rPr>
          </w:pPr>
          <w:hyperlink w:anchor="_Toc69823133" w:history="1">
            <w:r w:rsidR="008D5ACC" w:rsidRPr="00F72115">
              <w:rPr>
                <w:rStyle w:val="Hyperlink"/>
                <w:noProof/>
              </w:rPr>
              <w:t>Section 4 – Definitions</w:t>
            </w:r>
            <w:r w:rsidR="008D5ACC">
              <w:rPr>
                <w:noProof/>
                <w:webHidden/>
              </w:rPr>
              <w:tab/>
            </w:r>
            <w:r w:rsidR="008D5ACC">
              <w:rPr>
                <w:noProof/>
                <w:webHidden/>
              </w:rPr>
              <w:fldChar w:fldCharType="begin"/>
            </w:r>
            <w:r w:rsidR="008D5ACC">
              <w:rPr>
                <w:noProof/>
                <w:webHidden/>
              </w:rPr>
              <w:instrText xml:space="preserve"> PAGEREF _Toc69823133 \h </w:instrText>
            </w:r>
            <w:r w:rsidR="008D5ACC">
              <w:rPr>
                <w:noProof/>
                <w:webHidden/>
              </w:rPr>
            </w:r>
            <w:r w:rsidR="008D5ACC">
              <w:rPr>
                <w:noProof/>
                <w:webHidden/>
              </w:rPr>
              <w:fldChar w:fldCharType="separate"/>
            </w:r>
            <w:r w:rsidR="008D5ACC">
              <w:rPr>
                <w:noProof/>
                <w:webHidden/>
              </w:rPr>
              <w:t>6</w:t>
            </w:r>
            <w:r w:rsidR="008D5ACC">
              <w:rPr>
                <w:noProof/>
                <w:webHidden/>
              </w:rPr>
              <w:fldChar w:fldCharType="end"/>
            </w:r>
          </w:hyperlink>
        </w:p>
        <w:p w14:paraId="52347E4F" w14:textId="2940A122" w:rsidR="008D5ACC" w:rsidRDefault="00AC051D">
          <w:pPr>
            <w:pStyle w:val="TOC2"/>
            <w:rPr>
              <w:rFonts w:asciiTheme="minorHAnsi" w:eastAsiaTheme="minorEastAsia" w:hAnsiTheme="minorHAnsi" w:cstheme="minorBidi"/>
              <w:b w:val="0"/>
              <w:noProof/>
              <w:sz w:val="22"/>
              <w:szCs w:val="22"/>
              <w:lang w:eastAsia="en-AU"/>
            </w:rPr>
          </w:pPr>
          <w:hyperlink w:anchor="_Toc69823134" w:history="1">
            <w:r w:rsidR="008D5ACC" w:rsidRPr="00F72115">
              <w:rPr>
                <w:rStyle w:val="Hyperlink"/>
                <w:noProof/>
              </w:rPr>
              <w:t>Part 2 – Requirements</w:t>
            </w:r>
            <w:r w:rsidR="008D5ACC">
              <w:rPr>
                <w:noProof/>
                <w:webHidden/>
              </w:rPr>
              <w:tab/>
            </w:r>
            <w:r w:rsidR="008D5ACC">
              <w:rPr>
                <w:noProof/>
                <w:webHidden/>
              </w:rPr>
              <w:fldChar w:fldCharType="begin"/>
            </w:r>
            <w:r w:rsidR="008D5ACC">
              <w:rPr>
                <w:noProof/>
                <w:webHidden/>
              </w:rPr>
              <w:instrText xml:space="preserve"> PAGEREF _Toc69823134 \h </w:instrText>
            </w:r>
            <w:r w:rsidR="008D5ACC">
              <w:rPr>
                <w:noProof/>
                <w:webHidden/>
              </w:rPr>
            </w:r>
            <w:r w:rsidR="008D5ACC">
              <w:rPr>
                <w:noProof/>
                <w:webHidden/>
              </w:rPr>
              <w:fldChar w:fldCharType="separate"/>
            </w:r>
            <w:r w:rsidR="008D5ACC">
              <w:rPr>
                <w:noProof/>
                <w:webHidden/>
              </w:rPr>
              <w:t>7</w:t>
            </w:r>
            <w:r w:rsidR="008D5ACC">
              <w:rPr>
                <w:noProof/>
                <w:webHidden/>
              </w:rPr>
              <w:fldChar w:fldCharType="end"/>
            </w:r>
          </w:hyperlink>
        </w:p>
        <w:p w14:paraId="42DE85D3" w14:textId="599731A9" w:rsidR="008D5ACC" w:rsidRDefault="00AC051D">
          <w:pPr>
            <w:pStyle w:val="TOC3"/>
            <w:rPr>
              <w:rFonts w:asciiTheme="minorHAnsi" w:eastAsiaTheme="minorEastAsia" w:hAnsiTheme="minorHAnsi" w:cstheme="minorBidi"/>
              <w:b w:val="0"/>
              <w:noProof/>
              <w:szCs w:val="22"/>
              <w:lang w:eastAsia="en-AU"/>
            </w:rPr>
          </w:pPr>
          <w:hyperlink w:anchor="_Toc69823135" w:history="1">
            <w:r w:rsidR="008D5ACC" w:rsidRPr="00F72115">
              <w:rPr>
                <w:rStyle w:val="Hyperlink"/>
                <w:noProof/>
              </w:rPr>
              <w:t>Section 8 – General requirements</w:t>
            </w:r>
            <w:r w:rsidR="008D5ACC">
              <w:rPr>
                <w:noProof/>
                <w:webHidden/>
              </w:rPr>
              <w:tab/>
            </w:r>
            <w:r w:rsidR="008D5ACC">
              <w:rPr>
                <w:noProof/>
                <w:webHidden/>
              </w:rPr>
              <w:fldChar w:fldCharType="begin"/>
            </w:r>
            <w:r w:rsidR="008D5ACC">
              <w:rPr>
                <w:noProof/>
                <w:webHidden/>
              </w:rPr>
              <w:instrText xml:space="preserve"> PAGEREF _Toc69823135 \h </w:instrText>
            </w:r>
            <w:r w:rsidR="008D5ACC">
              <w:rPr>
                <w:noProof/>
                <w:webHidden/>
              </w:rPr>
            </w:r>
            <w:r w:rsidR="008D5ACC">
              <w:rPr>
                <w:noProof/>
                <w:webHidden/>
              </w:rPr>
              <w:fldChar w:fldCharType="separate"/>
            </w:r>
            <w:r w:rsidR="008D5ACC">
              <w:rPr>
                <w:noProof/>
                <w:webHidden/>
              </w:rPr>
              <w:t>7</w:t>
            </w:r>
            <w:r w:rsidR="008D5ACC">
              <w:rPr>
                <w:noProof/>
                <w:webHidden/>
              </w:rPr>
              <w:fldChar w:fldCharType="end"/>
            </w:r>
          </w:hyperlink>
        </w:p>
        <w:p w14:paraId="6DC0C36B" w14:textId="767EEB88" w:rsidR="008D5ACC" w:rsidRDefault="00AC051D">
          <w:pPr>
            <w:pStyle w:val="TOC3"/>
            <w:rPr>
              <w:rFonts w:asciiTheme="minorHAnsi" w:eastAsiaTheme="minorEastAsia" w:hAnsiTheme="minorHAnsi" w:cstheme="minorBidi"/>
              <w:b w:val="0"/>
              <w:noProof/>
              <w:szCs w:val="22"/>
              <w:lang w:eastAsia="en-AU"/>
            </w:rPr>
          </w:pPr>
          <w:hyperlink w:anchor="_Toc69823136" w:history="1">
            <w:r w:rsidR="008D5ACC" w:rsidRPr="00F72115">
              <w:rPr>
                <w:rStyle w:val="Hyperlink"/>
                <w:noProof/>
              </w:rPr>
              <w:t>Section 9 – Medical and social history of donors</w:t>
            </w:r>
            <w:r w:rsidR="008D5ACC">
              <w:rPr>
                <w:noProof/>
                <w:webHidden/>
              </w:rPr>
              <w:tab/>
            </w:r>
            <w:r w:rsidR="008D5ACC">
              <w:rPr>
                <w:noProof/>
                <w:webHidden/>
              </w:rPr>
              <w:fldChar w:fldCharType="begin"/>
            </w:r>
            <w:r w:rsidR="008D5ACC">
              <w:rPr>
                <w:noProof/>
                <w:webHidden/>
              </w:rPr>
              <w:instrText xml:space="preserve"> PAGEREF _Toc69823136 \h </w:instrText>
            </w:r>
            <w:r w:rsidR="008D5ACC">
              <w:rPr>
                <w:noProof/>
                <w:webHidden/>
              </w:rPr>
            </w:r>
            <w:r w:rsidR="008D5ACC">
              <w:rPr>
                <w:noProof/>
                <w:webHidden/>
              </w:rPr>
              <w:fldChar w:fldCharType="separate"/>
            </w:r>
            <w:r w:rsidR="008D5ACC">
              <w:rPr>
                <w:noProof/>
                <w:webHidden/>
              </w:rPr>
              <w:t>12</w:t>
            </w:r>
            <w:r w:rsidR="008D5ACC">
              <w:rPr>
                <w:noProof/>
                <w:webHidden/>
              </w:rPr>
              <w:fldChar w:fldCharType="end"/>
            </w:r>
          </w:hyperlink>
        </w:p>
        <w:p w14:paraId="1715E2EC" w14:textId="73965E2E" w:rsidR="008D5ACC" w:rsidRDefault="00AC051D">
          <w:pPr>
            <w:pStyle w:val="TOC3"/>
            <w:rPr>
              <w:rFonts w:asciiTheme="minorHAnsi" w:eastAsiaTheme="minorEastAsia" w:hAnsiTheme="minorHAnsi" w:cstheme="minorBidi"/>
              <w:b w:val="0"/>
              <w:noProof/>
              <w:szCs w:val="22"/>
              <w:lang w:eastAsia="en-AU"/>
            </w:rPr>
          </w:pPr>
          <w:hyperlink w:anchor="_Toc69823137" w:history="1">
            <w:r w:rsidR="008D5ACC" w:rsidRPr="00F72115">
              <w:rPr>
                <w:rStyle w:val="Hyperlink"/>
                <w:noProof/>
              </w:rPr>
              <w:t>Section 10 – Blood samples – taking and testing</w:t>
            </w:r>
            <w:r w:rsidR="008D5ACC">
              <w:rPr>
                <w:noProof/>
                <w:webHidden/>
              </w:rPr>
              <w:tab/>
            </w:r>
            <w:r w:rsidR="008D5ACC">
              <w:rPr>
                <w:noProof/>
                <w:webHidden/>
              </w:rPr>
              <w:fldChar w:fldCharType="begin"/>
            </w:r>
            <w:r w:rsidR="008D5ACC">
              <w:rPr>
                <w:noProof/>
                <w:webHidden/>
              </w:rPr>
              <w:instrText xml:space="preserve"> PAGEREF _Toc69823137 \h </w:instrText>
            </w:r>
            <w:r w:rsidR="008D5ACC">
              <w:rPr>
                <w:noProof/>
                <w:webHidden/>
              </w:rPr>
            </w:r>
            <w:r w:rsidR="008D5ACC">
              <w:rPr>
                <w:noProof/>
                <w:webHidden/>
              </w:rPr>
              <w:fldChar w:fldCharType="separate"/>
            </w:r>
            <w:r w:rsidR="008D5ACC">
              <w:rPr>
                <w:noProof/>
                <w:webHidden/>
              </w:rPr>
              <w:t>15</w:t>
            </w:r>
            <w:r w:rsidR="008D5ACC">
              <w:rPr>
                <w:noProof/>
                <w:webHidden/>
              </w:rPr>
              <w:fldChar w:fldCharType="end"/>
            </w:r>
          </w:hyperlink>
        </w:p>
        <w:p w14:paraId="3DAF45BC" w14:textId="1924EA85" w:rsidR="008D5ACC" w:rsidRDefault="00AC051D">
          <w:pPr>
            <w:pStyle w:val="TOC3"/>
            <w:rPr>
              <w:rFonts w:asciiTheme="minorHAnsi" w:eastAsiaTheme="minorEastAsia" w:hAnsiTheme="minorHAnsi" w:cstheme="minorBidi"/>
              <w:b w:val="0"/>
              <w:noProof/>
              <w:szCs w:val="22"/>
              <w:lang w:eastAsia="en-AU"/>
            </w:rPr>
          </w:pPr>
          <w:hyperlink w:anchor="_Toc69823138" w:history="1">
            <w:r w:rsidR="008D5ACC" w:rsidRPr="00F72115">
              <w:rPr>
                <w:rStyle w:val="Hyperlink"/>
                <w:noProof/>
              </w:rPr>
              <w:t>Section 11 – Physical assessment</w:t>
            </w:r>
            <w:r w:rsidR="008D5ACC">
              <w:rPr>
                <w:noProof/>
                <w:webHidden/>
              </w:rPr>
              <w:tab/>
            </w:r>
            <w:r w:rsidR="008D5ACC">
              <w:rPr>
                <w:noProof/>
                <w:webHidden/>
              </w:rPr>
              <w:fldChar w:fldCharType="begin"/>
            </w:r>
            <w:r w:rsidR="008D5ACC">
              <w:rPr>
                <w:noProof/>
                <w:webHidden/>
              </w:rPr>
              <w:instrText xml:space="preserve"> PAGEREF _Toc69823138 \h </w:instrText>
            </w:r>
            <w:r w:rsidR="008D5ACC">
              <w:rPr>
                <w:noProof/>
                <w:webHidden/>
              </w:rPr>
            </w:r>
            <w:r w:rsidR="008D5ACC">
              <w:rPr>
                <w:noProof/>
                <w:webHidden/>
              </w:rPr>
              <w:fldChar w:fldCharType="separate"/>
            </w:r>
            <w:r w:rsidR="008D5ACC">
              <w:rPr>
                <w:noProof/>
                <w:webHidden/>
              </w:rPr>
              <w:t>22</w:t>
            </w:r>
            <w:r w:rsidR="008D5ACC">
              <w:rPr>
                <w:noProof/>
                <w:webHidden/>
              </w:rPr>
              <w:fldChar w:fldCharType="end"/>
            </w:r>
          </w:hyperlink>
        </w:p>
        <w:p w14:paraId="08131A83" w14:textId="3A60745B" w:rsidR="008D5ACC" w:rsidRDefault="00AC051D">
          <w:pPr>
            <w:pStyle w:val="TOC2"/>
            <w:rPr>
              <w:rFonts w:asciiTheme="minorHAnsi" w:eastAsiaTheme="minorEastAsia" w:hAnsiTheme="minorHAnsi" w:cstheme="minorBidi"/>
              <w:b w:val="0"/>
              <w:noProof/>
              <w:sz w:val="22"/>
              <w:szCs w:val="22"/>
              <w:lang w:eastAsia="en-AU"/>
            </w:rPr>
          </w:pPr>
          <w:hyperlink w:anchor="_Toc69823139" w:history="1">
            <w:r w:rsidR="008D5ACC" w:rsidRPr="00F72115">
              <w:rPr>
                <w:rStyle w:val="Hyperlink"/>
                <w:noProof/>
              </w:rPr>
              <w:t>Schedule 1 – Ineligibility criteria for donor selection</w:t>
            </w:r>
            <w:r w:rsidR="008D5ACC">
              <w:rPr>
                <w:noProof/>
                <w:webHidden/>
              </w:rPr>
              <w:tab/>
            </w:r>
            <w:r w:rsidR="008D5ACC">
              <w:rPr>
                <w:noProof/>
                <w:webHidden/>
              </w:rPr>
              <w:fldChar w:fldCharType="begin"/>
            </w:r>
            <w:r w:rsidR="008D5ACC">
              <w:rPr>
                <w:noProof/>
                <w:webHidden/>
              </w:rPr>
              <w:instrText xml:space="preserve"> PAGEREF _Toc69823139 \h </w:instrText>
            </w:r>
            <w:r w:rsidR="008D5ACC">
              <w:rPr>
                <w:noProof/>
                <w:webHidden/>
              </w:rPr>
            </w:r>
            <w:r w:rsidR="008D5ACC">
              <w:rPr>
                <w:noProof/>
                <w:webHidden/>
              </w:rPr>
              <w:fldChar w:fldCharType="separate"/>
            </w:r>
            <w:r w:rsidR="008D5ACC">
              <w:rPr>
                <w:noProof/>
                <w:webHidden/>
              </w:rPr>
              <w:t>24</w:t>
            </w:r>
            <w:r w:rsidR="008D5ACC">
              <w:rPr>
                <w:noProof/>
                <w:webHidden/>
              </w:rPr>
              <w:fldChar w:fldCharType="end"/>
            </w:r>
          </w:hyperlink>
        </w:p>
        <w:p w14:paraId="5FECC591" w14:textId="5847353E" w:rsidR="008D5ACC" w:rsidRDefault="00AC051D">
          <w:pPr>
            <w:pStyle w:val="TOC3"/>
            <w:rPr>
              <w:rFonts w:asciiTheme="minorHAnsi" w:eastAsiaTheme="minorEastAsia" w:hAnsiTheme="minorHAnsi" w:cstheme="minorBidi"/>
              <w:b w:val="0"/>
              <w:noProof/>
              <w:szCs w:val="22"/>
              <w:lang w:eastAsia="en-AU"/>
            </w:rPr>
          </w:pPr>
          <w:hyperlink w:anchor="_Toc69823140" w:history="1">
            <w:r w:rsidR="008D5ACC" w:rsidRPr="00F72115">
              <w:rPr>
                <w:rStyle w:val="Hyperlink"/>
                <w:noProof/>
              </w:rPr>
              <w:t>Items 1 to 5 – Known infection or potential exposure to certain viruses</w:t>
            </w:r>
            <w:r w:rsidR="008D5ACC">
              <w:rPr>
                <w:noProof/>
                <w:webHidden/>
              </w:rPr>
              <w:tab/>
            </w:r>
            <w:r w:rsidR="008D5ACC">
              <w:rPr>
                <w:noProof/>
                <w:webHidden/>
              </w:rPr>
              <w:fldChar w:fldCharType="begin"/>
            </w:r>
            <w:r w:rsidR="008D5ACC">
              <w:rPr>
                <w:noProof/>
                <w:webHidden/>
              </w:rPr>
              <w:instrText xml:space="preserve"> PAGEREF _Toc69823140 \h </w:instrText>
            </w:r>
            <w:r w:rsidR="008D5ACC">
              <w:rPr>
                <w:noProof/>
                <w:webHidden/>
              </w:rPr>
            </w:r>
            <w:r w:rsidR="008D5ACC">
              <w:rPr>
                <w:noProof/>
                <w:webHidden/>
              </w:rPr>
              <w:fldChar w:fldCharType="separate"/>
            </w:r>
            <w:r w:rsidR="008D5ACC">
              <w:rPr>
                <w:noProof/>
                <w:webHidden/>
              </w:rPr>
              <w:t>24</w:t>
            </w:r>
            <w:r w:rsidR="008D5ACC">
              <w:rPr>
                <w:noProof/>
                <w:webHidden/>
              </w:rPr>
              <w:fldChar w:fldCharType="end"/>
            </w:r>
          </w:hyperlink>
        </w:p>
        <w:p w14:paraId="19642B70" w14:textId="413414AD" w:rsidR="008D5ACC" w:rsidRDefault="00AC051D">
          <w:pPr>
            <w:pStyle w:val="TOC3"/>
            <w:rPr>
              <w:rFonts w:asciiTheme="minorHAnsi" w:eastAsiaTheme="minorEastAsia" w:hAnsiTheme="minorHAnsi" w:cstheme="minorBidi"/>
              <w:b w:val="0"/>
              <w:noProof/>
              <w:szCs w:val="22"/>
              <w:lang w:eastAsia="en-AU"/>
            </w:rPr>
          </w:pPr>
          <w:hyperlink w:anchor="_Toc69823141" w:history="1">
            <w:r w:rsidR="008D5ACC" w:rsidRPr="00F72115">
              <w:rPr>
                <w:rStyle w:val="Hyperlink"/>
                <w:noProof/>
              </w:rPr>
              <w:t>Item 6 – Injected with drugs for a non-medical reason</w:t>
            </w:r>
            <w:r w:rsidR="008D5ACC">
              <w:rPr>
                <w:noProof/>
                <w:webHidden/>
              </w:rPr>
              <w:tab/>
            </w:r>
            <w:r w:rsidR="008D5ACC">
              <w:rPr>
                <w:noProof/>
                <w:webHidden/>
              </w:rPr>
              <w:fldChar w:fldCharType="begin"/>
            </w:r>
            <w:r w:rsidR="008D5ACC">
              <w:rPr>
                <w:noProof/>
                <w:webHidden/>
              </w:rPr>
              <w:instrText xml:space="preserve"> PAGEREF _Toc69823141 \h </w:instrText>
            </w:r>
            <w:r w:rsidR="008D5ACC">
              <w:rPr>
                <w:noProof/>
                <w:webHidden/>
              </w:rPr>
            </w:r>
            <w:r w:rsidR="008D5ACC">
              <w:rPr>
                <w:noProof/>
                <w:webHidden/>
              </w:rPr>
              <w:fldChar w:fldCharType="separate"/>
            </w:r>
            <w:r w:rsidR="008D5ACC">
              <w:rPr>
                <w:noProof/>
                <w:webHidden/>
              </w:rPr>
              <w:t>26</w:t>
            </w:r>
            <w:r w:rsidR="008D5ACC">
              <w:rPr>
                <w:noProof/>
                <w:webHidden/>
              </w:rPr>
              <w:fldChar w:fldCharType="end"/>
            </w:r>
          </w:hyperlink>
        </w:p>
        <w:p w14:paraId="32E32069" w14:textId="79CA8F58" w:rsidR="008D5ACC" w:rsidRDefault="00AC051D">
          <w:pPr>
            <w:pStyle w:val="TOC3"/>
            <w:rPr>
              <w:rFonts w:asciiTheme="minorHAnsi" w:eastAsiaTheme="minorEastAsia" w:hAnsiTheme="minorHAnsi" w:cstheme="minorBidi"/>
              <w:b w:val="0"/>
              <w:noProof/>
              <w:szCs w:val="22"/>
              <w:lang w:eastAsia="en-AU"/>
            </w:rPr>
          </w:pPr>
          <w:hyperlink w:anchor="_Toc69823142" w:history="1">
            <w:r w:rsidR="008D5ACC" w:rsidRPr="00F72115">
              <w:rPr>
                <w:rStyle w:val="Hyperlink"/>
                <w:noProof/>
              </w:rPr>
              <w:t>Item 7 – R</w:t>
            </w:r>
            <w:r w:rsidR="008D5ACC" w:rsidRPr="00F72115">
              <w:rPr>
                <w:rStyle w:val="Hyperlink"/>
                <w:noProof/>
                <w:lang w:eastAsia="en-AU"/>
              </w:rPr>
              <w:t>ecipients of viable, non-human cells or tissues</w:t>
            </w:r>
            <w:r w:rsidR="008D5ACC">
              <w:rPr>
                <w:noProof/>
                <w:webHidden/>
              </w:rPr>
              <w:tab/>
            </w:r>
            <w:r w:rsidR="008D5ACC">
              <w:rPr>
                <w:noProof/>
                <w:webHidden/>
              </w:rPr>
              <w:fldChar w:fldCharType="begin"/>
            </w:r>
            <w:r w:rsidR="008D5ACC">
              <w:rPr>
                <w:noProof/>
                <w:webHidden/>
              </w:rPr>
              <w:instrText xml:space="preserve"> PAGEREF _Toc69823142 \h </w:instrText>
            </w:r>
            <w:r w:rsidR="008D5ACC">
              <w:rPr>
                <w:noProof/>
                <w:webHidden/>
              </w:rPr>
            </w:r>
            <w:r w:rsidR="008D5ACC">
              <w:rPr>
                <w:noProof/>
                <w:webHidden/>
              </w:rPr>
              <w:fldChar w:fldCharType="separate"/>
            </w:r>
            <w:r w:rsidR="008D5ACC">
              <w:rPr>
                <w:noProof/>
                <w:webHidden/>
              </w:rPr>
              <w:t>26</w:t>
            </w:r>
            <w:r w:rsidR="008D5ACC">
              <w:rPr>
                <w:noProof/>
                <w:webHidden/>
              </w:rPr>
              <w:fldChar w:fldCharType="end"/>
            </w:r>
          </w:hyperlink>
        </w:p>
        <w:p w14:paraId="4E5F22E0" w14:textId="7AAF578A" w:rsidR="008D5ACC" w:rsidRDefault="00AC051D">
          <w:pPr>
            <w:pStyle w:val="TOC3"/>
            <w:rPr>
              <w:rFonts w:asciiTheme="minorHAnsi" w:eastAsiaTheme="minorEastAsia" w:hAnsiTheme="minorHAnsi" w:cstheme="minorBidi"/>
              <w:b w:val="0"/>
              <w:noProof/>
              <w:szCs w:val="22"/>
              <w:lang w:eastAsia="en-AU"/>
            </w:rPr>
          </w:pPr>
          <w:hyperlink w:anchor="_Toc69823143" w:history="1">
            <w:r w:rsidR="008D5ACC" w:rsidRPr="00F72115">
              <w:rPr>
                <w:rStyle w:val="Hyperlink"/>
                <w:noProof/>
              </w:rPr>
              <w:t>Item 8 – At risk of prion disease</w:t>
            </w:r>
            <w:r w:rsidR="008D5ACC">
              <w:rPr>
                <w:noProof/>
                <w:webHidden/>
              </w:rPr>
              <w:tab/>
            </w:r>
            <w:r w:rsidR="008D5ACC">
              <w:rPr>
                <w:noProof/>
                <w:webHidden/>
              </w:rPr>
              <w:fldChar w:fldCharType="begin"/>
            </w:r>
            <w:r w:rsidR="008D5ACC">
              <w:rPr>
                <w:noProof/>
                <w:webHidden/>
              </w:rPr>
              <w:instrText xml:space="preserve"> PAGEREF _Toc69823143 \h </w:instrText>
            </w:r>
            <w:r w:rsidR="008D5ACC">
              <w:rPr>
                <w:noProof/>
                <w:webHidden/>
              </w:rPr>
            </w:r>
            <w:r w:rsidR="008D5ACC">
              <w:rPr>
                <w:noProof/>
                <w:webHidden/>
              </w:rPr>
              <w:fldChar w:fldCharType="separate"/>
            </w:r>
            <w:r w:rsidR="008D5ACC">
              <w:rPr>
                <w:noProof/>
                <w:webHidden/>
              </w:rPr>
              <w:t>27</w:t>
            </w:r>
            <w:r w:rsidR="008D5ACC">
              <w:rPr>
                <w:noProof/>
                <w:webHidden/>
              </w:rPr>
              <w:fldChar w:fldCharType="end"/>
            </w:r>
          </w:hyperlink>
        </w:p>
        <w:p w14:paraId="32C9D733" w14:textId="4F56BD91" w:rsidR="008D5ACC" w:rsidRDefault="00AC051D">
          <w:pPr>
            <w:pStyle w:val="TOC3"/>
            <w:rPr>
              <w:rFonts w:asciiTheme="minorHAnsi" w:eastAsiaTheme="minorEastAsia" w:hAnsiTheme="minorHAnsi" w:cstheme="minorBidi"/>
              <w:b w:val="0"/>
              <w:noProof/>
              <w:szCs w:val="22"/>
              <w:lang w:eastAsia="en-AU"/>
            </w:rPr>
          </w:pPr>
          <w:hyperlink w:anchor="_Toc69823144" w:history="1">
            <w:r w:rsidR="008D5ACC" w:rsidRPr="00F72115">
              <w:rPr>
                <w:rStyle w:val="Hyperlink"/>
                <w:noProof/>
              </w:rPr>
              <w:t>Item 9 – Recipients of human pituitary derived hormone</w:t>
            </w:r>
            <w:r w:rsidR="008D5ACC">
              <w:rPr>
                <w:noProof/>
                <w:webHidden/>
              </w:rPr>
              <w:tab/>
            </w:r>
            <w:r w:rsidR="008D5ACC">
              <w:rPr>
                <w:noProof/>
                <w:webHidden/>
              </w:rPr>
              <w:fldChar w:fldCharType="begin"/>
            </w:r>
            <w:r w:rsidR="008D5ACC">
              <w:rPr>
                <w:noProof/>
                <w:webHidden/>
              </w:rPr>
              <w:instrText xml:space="preserve"> PAGEREF _Toc69823144 \h </w:instrText>
            </w:r>
            <w:r w:rsidR="008D5ACC">
              <w:rPr>
                <w:noProof/>
                <w:webHidden/>
              </w:rPr>
            </w:r>
            <w:r w:rsidR="008D5ACC">
              <w:rPr>
                <w:noProof/>
                <w:webHidden/>
              </w:rPr>
              <w:fldChar w:fldCharType="separate"/>
            </w:r>
            <w:r w:rsidR="008D5ACC">
              <w:rPr>
                <w:noProof/>
                <w:webHidden/>
              </w:rPr>
              <w:t>27</w:t>
            </w:r>
            <w:r w:rsidR="008D5ACC">
              <w:rPr>
                <w:noProof/>
                <w:webHidden/>
              </w:rPr>
              <w:fldChar w:fldCharType="end"/>
            </w:r>
          </w:hyperlink>
        </w:p>
        <w:p w14:paraId="0451819E" w14:textId="7A7A1926" w:rsidR="008D5ACC" w:rsidRDefault="00AC051D">
          <w:pPr>
            <w:pStyle w:val="TOC3"/>
            <w:rPr>
              <w:rFonts w:asciiTheme="minorHAnsi" w:eastAsiaTheme="minorEastAsia" w:hAnsiTheme="minorHAnsi" w:cstheme="minorBidi"/>
              <w:b w:val="0"/>
              <w:noProof/>
              <w:szCs w:val="22"/>
              <w:lang w:eastAsia="en-AU"/>
            </w:rPr>
          </w:pPr>
          <w:hyperlink w:anchor="_Toc69823145" w:history="1">
            <w:r w:rsidR="008D5ACC" w:rsidRPr="00F72115">
              <w:rPr>
                <w:rStyle w:val="Hyperlink"/>
                <w:noProof/>
              </w:rPr>
              <w:t>Item 10 – At risk of acquiring a blood borne infection</w:t>
            </w:r>
            <w:r w:rsidR="008D5ACC">
              <w:rPr>
                <w:noProof/>
                <w:webHidden/>
              </w:rPr>
              <w:tab/>
            </w:r>
            <w:r w:rsidR="008D5ACC">
              <w:rPr>
                <w:noProof/>
                <w:webHidden/>
              </w:rPr>
              <w:fldChar w:fldCharType="begin"/>
            </w:r>
            <w:r w:rsidR="008D5ACC">
              <w:rPr>
                <w:noProof/>
                <w:webHidden/>
              </w:rPr>
              <w:instrText xml:space="preserve"> PAGEREF _Toc69823145 \h </w:instrText>
            </w:r>
            <w:r w:rsidR="008D5ACC">
              <w:rPr>
                <w:noProof/>
                <w:webHidden/>
              </w:rPr>
            </w:r>
            <w:r w:rsidR="008D5ACC">
              <w:rPr>
                <w:noProof/>
                <w:webHidden/>
              </w:rPr>
              <w:fldChar w:fldCharType="separate"/>
            </w:r>
            <w:r w:rsidR="008D5ACC">
              <w:rPr>
                <w:noProof/>
                <w:webHidden/>
              </w:rPr>
              <w:t>27</w:t>
            </w:r>
            <w:r w:rsidR="008D5ACC">
              <w:rPr>
                <w:noProof/>
                <w:webHidden/>
              </w:rPr>
              <w:fldChar w:fldCharType="end"/>
            </w:r>
          </w:hyperlink>
        </w:p>
        <w:p w14:paraId="45E645D1" w14:textId="28722DD5" w:rsidR="008D5ACC" w:rsidRDefault="00AC051D">
          <w:pPr>
            <w:pStyle w:val="TOC3"/>
            <w:rPr>
              <w:rFonts w:asciiTheme="minorHAnsi" w:eastAsiaTheme="minorEastAsia" w:hAnsiTheme="minorHAnsi" w:cstheme="minorBidi"/>
              <w:b w:val="0"/>
              <w:noProof/>
              <w:szCs w:val="22"/>
              <w:lang w:eastAsia="en-AU"/>
            </w:rPr>
          </w:pPr>
          <w:hyperlink w:anchor="_Toc69823146" w:history="1">
            <w:r w:rsidR="008D5ACC" w:rsidRPr="00F72115">
              <w:rPr>
                <w:rStyle w:val="Hyperlink"/>
                <w:noProof/>
              </w:rPr>
              <w:t>Item 11 – Allogeneic products</w:t>
            </w:r>
            <w:r w:rsidR="008D5ACC">
              <w:rPr>
                <w:noProof/>
                <w:webHidden/>
              </w:rPr>
              <w:tab/>
            </w:r>
            <w:r w:rsidR="008D5ACC">
              <w:rPr>
                <w:noProof/>
                <w:webHidden/>
              </w:rPr>
              <w:fldChar w:fldCharType="begin"/>
            </w:r>
            <w:r w:rsidR="008D5ACC">
              <w:rPr>
                <w:noProof/>
                <w:webHidden/>
              </w:rPr>
              <w:instrText xml:space="preserve"> PAGEREF _Toc69823146 \h </w:instrText>
            </w:r>
            <w:r w:rsidR="008D5ACC">
              <w:rPr>
                <w:noProof/>
                <w:webHidden/>
              </w:rPr>
            </w:r>
            <w:r w:rsidR="008D5ACC">
              <w:rPr>
                <w:noProof/>
                <w:webHidden/>
              </w:rPr>
              <w:fldChar w:fldCharType="separate"/>
            </w:r>
            <w:r w:rsidR="008D5ACC">
              <w:rPr>
                <w:noProof/>
                <w:webHidden/>
              </w:rPr>
              <w:t>28</w:t>
            </w:r>
            <w:r w:rsidR="008D5ACC">
              <w:rPr>
                <w:noProof/>
                <w:webHidden/>
              </w:rPr>
              <w:fldChar w:fldCharType="end"/>
            </w:r>
          </w:hyperlink>
        </w:p>
        <w:p w14:paraId="2E113E57" w14:textId="6A3E0FC2" w:rsidR="008D5ACC" w:rsidRDefault="00AC051D">
          <w:pPr>
            <w:pStyle w:val="TOC3"/>
            <w:rPr>
              <w:rFonts w:asciiTheme="minorHAnsi" w:eastAsiaTheme="minorEastAsia" w:hAnsiTheme="minorHAnsi" w:cstheme="minorBidi"/>
              <w:b w:val="0"/>
              <w:noProof/>
              <w:szCs w:val="22"/>
              <w:lang w:eastAsia="en-AU"/>
            </w:rPr>
          </w:pPr>
          <w:hyperlink w:anchor="_Toc69823147" w:history="1">
            <w:r w:rsidR="008D5ACC" w:rsidRPr="00F72115">
              <w:rPr>
                <w:rStyle w:val="Hyperlink"/>
                <w:noProof/>
              </w:rPr>
              <w:t>Item 12 – At increased risk due to sexual practices</w:t>
            </w:r>
            <w:r w:rsidR="008D5ACC">
              <w:rPr>
                <w:noProof/>
                <w:webHidden/>
              </w:rPr>
              <w:tab/>
            </w:r>
            <w:r w:rsidR="008D5ACC">
              <w:rPr>
                <w:noProof/>
                <w:webHidden/>
              </w:rPr>
              <w:fldChar w:fldCharType="begin"/>
            </w:r>
            <w:r w:rsidR="008D5ACC">
              <w:rPr>
                <w:noProof/>
                <w:webHidden/>
              </w:rPr>
              <w:instrText xml:space="preserve"> PAGEREF _Toc69823147 \h </w:instrText>
            </w:r>
            <w:r w:rsidR="008D5ACC">
              <w:rPr>
                <w:noProof/>
                <w:webHidden/>
              </w:rPr>
            </w:r>
            <w:r w:rsidR="008D5ACC">
              <w:rPr>
                <w:noProof/>
                <w:webHidden/>
              </w:rPr>
              <w:fldChar w:fldCharType="separate"/>
            </w:r>
            <w:r w:rsidR="008D5ACC">
              <w:rPr>
                <w:noProof/>
                <w:webHidden/>
              </w:rPr>
              <w:t>29</w:t>
            </w:r>
            <w:r w:rsidR="008D5ACC">
              <w:rPr>
                <w:noProof/>
                <w:webHidden/>
              </w:rPr>
              <w:fldChar w:fldCharType="end"/>
            </w:r>
          </w:hyperlink>
        </w:p>
        <w:p w14:paraId="66915A28" w14:textId="32B46B87" w:rsidR="008D5ACC" w:rsidRDefault="00AC051D">
          <w:pPr>
            <w:pStyle w:val="TOC3"/>
            <w:rPr>
              <w:rFonts w:asciiTheme="minorHAnsi" w:eastAsiaTheme="minorEastAsia" w:hAnsiTheme="minorHAnsi" w:cstheme="minorBidi"/>
              <w:b w:val="0"/>
              <w:noProof/>
              <w:szCs w:val="22"/>
              <w:lang w:eastAsia="en-AU"/>
            </w:rPr>
          </w:pPr>
          <w:hyperlink w:anchor="_Toc69823148" w:history="1">
            <w:r w:rsidR="008D5ACC" w:rsidRPr="00F72115">
              <w:rPr>
                <w:rStyle w:val="Hyperlink"/>
                <w:noProof/>
              </w:rPr>
              <w:t>Item 13 – Prison inmate for 72 or more consecutive hours</w:t>
            </w:r>
            <w:r w:rsidR="008D5ACC">
              <w:rPr>
                <w:noProof/>
                <w:webHidden/>
              </w:rPr>
              <w:tab/>
            </w:r>
            <w:r w:rsidR="008D5ACC">
              <w:rPr>
                <w:noProof/>
                <w:webHidden/>
              </w:rPr>
              <w:fldChar w:fldCharType="begin"/>
            </w:r>
            <w:r w:rsidR="008D5ACC">
              <w:rPr>
                <w:noProof/>
                <w:webHidden/>
              </w:rPr>
              <w:instrText xml:space="preserve"> PAGEREF _Toc69823148 \h </w:instrText>
            </w:r>
            <w:r w:rsidR="008D5ACC">
              <w:rPr>
                <w:noProof/>
                <w:webHidden/>
              </w:rPr>
            </w:r>
            <w:r w:rsidR="008D5ACC">
              <w:rPr>
                <w:noProof/>
                <w:webHidden/>
              </w:rPr>
              <w:fldChar w:fldCharType="separate"/>
            </w:r>
            <w:r w:rsidR="008D5ACC">
              <w:rPr>
                <w:noProof/>
                <w:webHidden/>
              </w:rPr>
              <w:t>29</w:t>
            </w:r>
            <w:r w:rsidR="008D5ACC">
              <w:rPr>
                <w:noProof/>
                <w:webHidden/>
              </w:rPr>
              <w:fldChar w:fldCharType="end"/>
            </w:r>
          </w:hyperlink>
        </w:p>
        <w:p w14:paraId="713CA677" w14:textId="5DF4F2C0" w:rsidR="008D5ACC" w:rsidRDefault="00AC051D">
          <w:pPr>
            <w:pStyle w:val="TOC3"/>
            <w:rPr>
              <w:rFonts w:asciiTheme="minorHAnsi" w:eastAsiaTheme="minorEastAsia" w:hAnsiTheme="minorHAnsi" w:cstheme="minorBidi"/>
              <w:b w:val="0"/>
              <w:noProof/>
              <w:szCs w:val="22"/>
              <w:lang w:eastAsia="en-AU"/>
            </w:rPr>
          </w:pPr>
          <w:hyperlink w:anchor="_Toc69823149" w:history="1">
            <w:r w:rsidR="008D5ACC" w:rsidRPr="00F72115">
              <w:rPr>
                <w:rStyle w:val="Hyperlink"/>
                <w:noProof/>
              </w:rPr>
              <w:t>Item 14 – Active infection, fever or infectious disease</w:t>
            </w:r>
            <w:r w:rsidR="008D5ACC">
              <w:rPr>
                <w:noProof/>
                <w:webHidden/>
              </w:rPr>
              <w:tab/>
            </w:r>
            <w:r w:rsidR="008D5ACC">
              <w:rPr>
                <w:noProof/>
                <w:webHidden/>
              </w:rPr>
              <w:fldChar w:fldCharType="begin"/>
            </w:r>
            <w:r w:rsidR="008D5ACC">
              <w:rPr>
                <w:noProof/>
                <w:webHidden/>
              </w:rPr>
              <w:instrText xml:space="preserve"> PAGEREF _Toc69823149 \h </w:instrText>
            </w:r>
            <w:r w:rsidR="008D5ACC">
              <w:rPr>
                <w:noProof/>
                <w:webHidden/>
              </w:rPr>
            </w:r>
            <w:r w:rsidR="008D5ACC">
              <w:rPr>
                <w:noProof/>
                <w:webHidden/>
              </w:rPr>
              <w:fldChar w:fldCharType="separate"/>
            </w:r>
            <w:r w:rsidR="008D5ACC">
              <w:rPr>
                <w:noProof/>
                <w:webHidden/>
              </w:rPr>
              <w:t>29</w:t>
            </w:r>
            <w:r w:rsidR="008D5ACC">
              <w:rPr>
                <w:noProof/>
                <w:webHidden/>
              </w:rPr>
              <w:fldChar w:fldCharType="end"/>
            </w:r>
          </w:hyperlink>
        </w:p>
        <w:p w14:paraId="3ECB1FB0" w14:textId="4BA3C231" w:rsidR="008D5ACC" w:rsidRDefault="00AC051D">
          <w:pPr>
            <w:pStyle w:val="TOC3"/>
            <w:rPr>
              <w:rFonts w:asciiTheme="minorHAnsi" w:eastAsiaTheme="minorEastAsia" w:hAnsiTheme="minorHAnsi" w:cstheme="minorBidi"/>
              <w:b w:val="0"/>
              <w:noProof/>
              <w:szCs w:val="22"/>
              <w:lang w:eastAsia="en-AU"/>
            </w:rPr>
          </w:pPr>
          <w:hyperlink w:anchor="_Toc69823150" w:history="1">
            <w:r w:rsidR="008D5ACC" w:rsidRPr="00F72115">
              <w:rPr>
                <w:rStyle w:val="Hyperlink"/>
                <w:noProof/>
              </w:rPr>
              <w:t>Item 15 – Travel to specific regions</w:t>
            </w:r>
            <w:r w:rsidR="008D5ACC">
              <w:rPr>
                <w:noProof/>
                <w:webHidden/>
              </w:rPr>
              <w:tab/>
            </w:r>
            <w:r w:rsidR="008D5ACC">
              <w:rPr>
                <w:noProof/>
                <w:webHidden/>
              </w:rPr>
              <w:fldChar w:fldCharType="begin"/>
            </w:r>
            <w:r w:rsidR="008D5ACC">
              <w:rPr>
                <w:noProof/>
                <w:webHidden/>
              </w:rPr>
              <w:instrText xml:space="preserve"> PAGEREF _Toc69823150 \h </w:instrText>
            </w:r>
            <w:r w:rsidR="008D5ACC">
              <w:rPr>
                <w:noProof/>
                <w:webHidden/>
              </w:rPr>
            </w:r>
            <w:r w:rsidR="008D5ACC">
              <w:rPr>
                <w:noProof/>
                <w:webHidden/>
              </w:rPr>
              <w:fldChar w:fldCharType="separate"/>
            </w:r>
            <w:r w:rsidR="008D5ACC">
              <w:rPr>
                <w:noProof/>
                <w:webHidden/>
              </w:rPr>
              <w:t>30</w:t>
            </w:r>
            <w:r w:rsidR="008D5ACC">
              <w:rPr>
                <w:noProof/>
                <w:webHidden/>
              </w:rPr>
              <w:fldChar w:fldCharType="end"/>
            </w:r>
          </w:hyperlink>
        </w:p>
        <w:p w14:paraId="118B718A" w14:textId="17D53309" w:rsidR="008D5ACC" w:rsidRDefault="00AC051D">
          <w:pPr>
            <w:pStyle w:val="TOC3"/>
            <w:rPr>
              <w:rFonts w:asciiTheme="minorHAnsi" w:eastAsiaTheme="minorEastAsia" w:hAnsiTheme="minorHAnsi" w:cstheme="minorBidi"/>
              <w:b w:val="0"/>
              <w:noProof/>
              <w:szCs w:val="22"/>
              <w:lang w:eastAsia="en-AU"/>
            </w:rPr>
          </w:pPr>
          <w:hyperlink w:anchor="_Toc69823151" w:history="1">
            <w:r w:rsidR="008D5ACC" w:rsidRPr="00F72115">
              <w:rPr>
                <w:rStyle w:val="Hyperlink"/>
                <w:noProof/>
              </w:rPr>
              <w:t>Items 16 to 18 – Risk of malaria</w:t>
            </w:r>
            <w:r w:rsidR="008D5ACC">
              <w:rPr>
                <w:noProof/>
                <w:webHidden/>
              </w:rPr>
              <w:tab/>
            </w:r>
            <w:r w:rsidR="008D5ACC">
              <w:rPr>
                <w:noProof/>
                <w:webHidden/>
              </w:rPr>
              <w:fldChar w:fldCharType="begin"/>
            </w:r>
            <w:r w:rsidR="008D5ACC">
              <w:rPr>
                <w:noProof/>
                <w:webHidden/>
              </w:rPr>
              <w:instrText xml:space="preserve"> PAGEREF _Toc69823151 \h </w:instrText>
            </w:r>
            <w:r w:rsidR="008D5ACC">
              <w:rPr>
                <w:noProof/>
                <w:webHidden/>
              </w:rPr>
            </w:r>
            <w:r w:rsidR="008D5ACC">
              <w:rPr>
                <w:noProof/>
                <w:webHidden/>
              </w:rPr>
              <w:fldChar w:fldCharType="separate"/>
            </w:r>
            <w:r w:rsidR="008D5ACC">
              <w:rPr>
                <w:noProof/>
                <w:webHidden/>
              </w:rPr>
              <w:t>30</w:t>
            </w:r>
            <w:r w:rsidR="008D5ACC">
              <w:rPr>
                <w:noProof/>
                <w:webHidden/>
              </w:rPr>
              <w:fldChar w:fldCharType="end"/>
            </w:r>
          </w:hyperlink>
        </w:p>
        <w:p w14:paraId="2D8F835D" w14:textId="3997AE34" w:rsidR="008D5ACC" w:rsidRDefault="00AC051D">
          <w:pPr>
            <w:pStyle w:val="TOC3"/>
            <w:rPr>
              <w:rFonts w:asciiTheme="minorHAnsi" w:eastAsiaTheme="minorEastAsia" w:hAnsiTheme="minorHAnsi" w:cstheme="minorBidi"/>
              <w:b w:val="0"/>
              <w:noProof/>
              <w:szCs w:val="22"/>
              <w:lang w:eastAsia="en-AU"/>
            </w:rPr>
          </w:pPr>
          <w:hyperlink w:anchor="_Toc69823152" w:history="1">
            <w:r w:rsidR="008D5ACC" w:rsidRPr="00F72115">
              <w:rPr>
                <w:rStyle w:val="Hyperlink"/>
                <w:noProof/>
              </w:rPr>
              <w:t>Item 19 – Undiagnosed febrile illness consistent with malaria</w:t>
            </w:r>
            <w:r w:rsidR="008D5ACC">
              <w:rPr>
                <w:noProof/>
                <w:webHidden/>
              </w:rPr>
              <w:tab/>
            </w:r>
            <w:r w:rsidR="008D5ACC">
              <w:rPr>
                <w:noProof/>
                <w:webHidden/>
              </w:rPr>
              <w:fldChar w:fldCharType="begin"/>
            </w:r>
            <w:r w:rsidR="008D5ACC">
              <w:rPr>
                <w:noProof/>
                <w:webHidden/>
              </w:rPr>
              <w:instrText xml:space="preserve"> PAGEREF _Toc69823152 \h </w:instrText>
            </w:r>
            <w:r w:rsidR="008D5ACC">
              <w:rPr>
                <w:noProof/>
                <w:webHidden/>
              </w:rPr>
            </w:r>
            <w:r w:rsidR="008D5ACC">
              <w:rPr>
                <w:noProof/>
                <w:webHidden/>
              </w:rPr>
              <w:fldChar w:fldCharType="separate"/>
            </w:r>
            <w:r w:rsidR="008D5ACC">
              <w:rPr>
                <w:noProof/>
                <w:webHidden/>
              </w:rPr>
              <w:t>31</w:t>
            </w:r>
            <w:r w:rsidR="008D5ACC">
              <w:rPr>
                <w:noProof/>
                <w:webHidden/>
              </w:rPr>
              <w:fldChar w:fldCharType="end"/>
            </w:r>
          </w:hyperlink>
        </w:p>
        <w:p w14:paraId="75AF6484" w14:textId="1D8E4B4F" w:rsidR="008D5ACC" w:rsidRDefault="00AC051D">
          <w:pPr>
            <w:pStyle w:val="TOC3"/>
            <w:rPr>
              <w:rFonts w:asciiTheme="minorHAnsi" w:eastAsiaTheme="minorEastAsia" w:hAnsiTheme="minorHAnsi" w:cstheme="minorBidi"/>
              <w:b w:val="0"/>
              <w:noProof/>
              <w:szCs w:val="22"/>
              <w:lang w:eastAsia="en-AU"/>
            </w:rPr>
          </w:pPr>
          <w:hyperlink w:anchor="_Toc69823153" w:history="1">
            <w:r w:rsidR="008D5ACC" w:rsidRPr="00F72115">
              <w:rPr>
                <w:rStyle w:val="Hyperlink"/>
                <w:noProof/>
              </w:rPr>
              <w:t>Item 20 – Active infection</w:t>
            </w:r>
            <w:r w:rsidR="008D5ACC">
              <w:rPr>
                <w:noProof/>
                <w:webHidden/>
              </w:rPr>
              <w:tab/>
            </w:r>
            <w:r w:rsidR="008D5ACC">
              <w:rPr>
                <w:noProof/>
                <w:webHidden/>
              </w:rPr>
              <w:fldChar w:fldCharType="begin"/>
            </w:r>
            <w:r w:rsidR="008D5ACC">
              <w:rPr>
                <w:noProof/>
                <w:webHidden/>
              </w:rPr>
              <w:instrText xml:space="preserve"> PAGEREF _Toc69823153 \h </w:instrText>
            </w:r>
            <w:r w:rsidR="008D5ACC">
              <w:rPr>
                <w:noProof/>
                <w:webHidden/>
              </w:rPr>
            </w:r>
            <w:r w:rsidR="008D5ACC">
              <w:rPr>
                <w:noProof/>
                <w:webHidden/>
              </w:rPr>
              <w:fldChar w:fldCharType="separate"/>
            </w:r>
            <w:r w:rsidR="008D5ACC">
              <w:rPr>
                <w:noProof/>
                <w:webHidden/>
              </w:rPr>
              <w:t>32</w:t>
            </w:r>
            <w:r w:rsidR="008D5ACC">
              <w:rPr>
                <w:noProof/>
                <w:webHidden/>
              </w:rPr>
              <w:fldChar w:fldCharType="end"/>
            </w:r>
          </w:hyperlink>
        </w:p>
        <w:p w14:paraId="64B02512" w14:textId="12432F3A" w:rsidR="008D5ACC" w:rsidRDefault="00AC051D">
          <w:pPr>
            <w:pStyle w:val="TOC3"/>
            <w:rPr>
              <w:rFonts w:asciiTheme="minorHAnsi" w:eastAsiaTheme="minorEastAsia" w:hAnsiTheme="minorHAnsi" w:cstheme="minorBidi"/>
              <w:b w:val="0"/>
              <w:noProof/>
              <w:szCs w:val="22"/>
              <w:lang w:eastAsia="en-AU"/>
            </w:rPr>
          </w:pPr>
          <w:hyperlink w:anchor="_Toc69823154" w:history="1">
            <w:r w:rsidR="008D5ACC" w:rsidRPr="00F72115">
              <w:rPr>
                <w:rStyle w:val="Hyperlink"/>
                <w:noProof/>
              </w:rPr>
              <w:t>Items 21 and 22 – Deceased donors</w:t>
            </w:r>
            <w:r w:rsidR="008D5ACC">
              <w:rPr>
                <w:noProof/>
                <w:webHidden/>
              </w:rPr>
              <w:tab/>
            </w:r>
            <w:r w:rsidR="008D5ACC">
              <w:rPr>
                <w:noProof/>
                <w:webHidden/>
              </w:rPr>
              <w:fldChar w:fldCharType="begin"/>
            </w:r>
            <w:r w:rsidR="008D5ACC">
              <w:rPr>
                <w:noProof/>
                <w:webHidden/>
              </w:rPr>
              <w:instrText xml:space="preserve"> PAGEREF _Toc69823154 \h </w:instrText>
            </w:r>
            <w:r w:rsidR="008D5ACC">
              <w:rPr>
                <w:noProof/>
                <w:webHidden/>
              </w:rPr>
            </w:r>
            <w:r w:rsidR="008D5ACC">
              <w:rPr>
                <w:noProof/>
                <w:webHidden/>
              </w:rPr>
              <w:fldChar w:fldCharType="separate"/>
            </w:r>
            <w:r w:rsidR="008D5ACC">
              <w:rPr>
                <w:noProof/>
                <w:webHidden/>
              </w:rPr>
              <w:t>32</w:t>
            </w:r>
            <w:r w:rsidR="008D5ACC">
              <w:rPr>
                <w:noProof/>
                <w:webHidden/>
              </w:rPr>
              <w:fldChar w:fldCharType="end"/>
            </w:r>
          </w:hyperlink>
        </w:p>
        <w:p w14:paraId="548B0CF6" w14:textId="0CFA48F4" w:rsidR="008D5ACC" w:rsidRDefault="00AC051D">
          <w:pPr>
            <w:pStyle w:val="TOC3"/>
            <w:rPr>
              <w:rFonts w:asciiTheme="minorHAnsi" w:eastAsiaTheme="minorEastAsia" w:hAnsiTheme="minorHAnsi" w:cstheme="minorBidi"/>
              <w:b w:val="0"/>
              <w:noProof/>
              <w:szCs w:val="22"/>
              <w:lang w:eastAsia="en-AU"/>
            </w:rPr>
          </w:pPr>
          <w:hyperlink w:anchor="_Toc69823155" w:history="1">
            <w:r w:rsidR="008D5ACC" w:rsidRPr="00F72115">
              <w:rPr>
                <w:rStyle w:val="Hyperlink"/>
                <w:noProof/>
              </w:rPr>
              <w:t>Items 23 to 26 – Risk of transmission of vaccination strain</w:t>
            </w:r>
            <w:r w:rsidR="008D5ACC">
              <w:rPr>
                <w:noProof/>
                <w:webHidden/>
              </w:rPr>
              <w:tab/>
            </w:r>
            <w:r w:rsidR="008D5ACC">
              <w:rPr>
                <w:noProof/>
                <w:webHidden/>
              </w:rPr>
              <w:fldChar w:fldCharType="begin"/>
            </w:r>
            <w:r w:rsidR="008D5ACC">
              <w:rPr>
                <w:noProof/>
                <w:webHidden/>
              </w:rPr>
              <w:instrText xml:space="preserve"> PAGEREF _Toc69823155 \h </w:instrText>
            </w:r>
            <w:r w:rsidR="008D5ACC">
              <w:rPr>
                <w:noProof/>
                <w:webHidden/>
              </w:rPr>
            </w:r>
            <w:r w:rsidR="008D5ACC">
              <w:rPr>
                <w:noProof/>
                <w:webHidden/>
              </w:rPr>
              <w:fldChar w:fldCharType="separate"/>
            </w:r>
            <w:r w:rsidR="008D5ACC">
              <w:rPr>
                <w:noProof/>
                <w:webHidden/>
              </w:rPr>
              <w:t>33</w:t>
            </w:r>
            <w:r w:rsidR="008D5ACC">
              <w:rPr>
                <w:noProof/>
                <w:webHidden/>
              </w:rPr>
              <w:fldChar w:fldCharType="end"/>
            </w:r>
          </w:hyperlink>
        </w:p>
        <w:p w14:paraId="757D2902" w14:textId="7DE2749C" w:rsidR="008D5ACC" w:rsidRDefault="00AC051D">
          <w:pPr>
            <w:pStyle w:val="TOC1"/>
            <w:rPr>
              <w:rFonts w:asciiTheme="minorHAnsi" w:eastAsiaTheme="minorEastAsia" w:hAnsiTheme="minorHAnsi" w:cstheme="minorBidi"/>
              <w:b w:val="0"/>
              <w:noProof/>
              <w:sz w:val="22"/>
              <w:szCs w:val="22"/>
              <w:lang w:eastAsia="en-AU"/>
            </w:rPr>
          </w:pPr>
          <w:hyperlink w:anchor="_Toc69823156" w:history="1">
            <w:r w:rsidR="008D5ACC" w:rsidRPr="00F72115">
              <w:rPr>
                <w:rStyle w:val="Hyperlink"/>
                <w:noProof/>
              </w:rPr>
              <w:t>Version history</w:t>
            </w:r>
            <w:r w:rsidR="008D5ACC">
              <w:rPr>
                <w:noProof/>
                <w:webHidden/>
              </w:rPr>
              <w:tab/>
            </w:r>
            <w:r w:rsidR="008D5ACC">
              <w:rPr>
                <w:noProof/>
                <w:webHidden/>
              </w:rPr>
              <w:fldChar w:fldCharType="begin"/>
            </w:r>
            <w:r w:rsidR="008D5ACC">
              <w:rPr>
                <w:noProof/>
                <w:webHidden/>
              </w:rPr>
              <w:instrText xml:space="preserve"> PAGEREF _Toc69823156 \h </w:instrText>
            </w:r>
            <w:r w:rsidR="008D5ACC">
              <w:rPr>
                <w:noProof/>
                <w:webHidden/>
              </w:rPr>
            </w:r>
            <w:r w:rsidR="008D5ACC">
              <w:rPr>
                <w:noProof/>
                <w:webHidden/>
              </w:rPr>
              <w:fldChar w:fldCharType="separate"/>
            </w:r>
            <w:r w:rsidR="008D5ACC">
              <w:rPr>
                <w:noProof/>
                <w:webHidden/>
              </w:rPr>
              <w:t>34</w:t>
            </w:r>
            <w:r w:rsidR="008D5ACC">
              <w:rPr>
                <w:noProof/>
                <w:webHidden/>
              </w:rPr>
              <w:fldChar w:fldCharType="end"/>
            </w:r>
          </w:hyperlink>
        </w:p>
        <w:p w14:paraId="61EE18F9" w14:textId="6797C839" w:rsidR="00B92C72" w:rsidRPr="009401F6" w:rsidRDefault="006C626D" w:rsidP="0023397F">
          <w:r w:rsidRPr="009401F6">
            <w:fldChar w:fldCharType="end"/>
          </w:r>
        </w:p>
      </w:sdtContent>
    </w:sdt>
    <w:p w14:paraId="0640FE8C" w14:textId="77777777" w:rsidR="00F8365F" w:rsidRPr="009401F6" w:rsidRDefault="00F8365F" w:rsidP="008A07FF">
      <w:r w:rsidRPr="009401F6">
        <w:br w:type="page"/>
      </w:r>
    </w:p>
    <w:p w14:paraId="7E5EB4D3" w14:textId="0D93ED85" w:rsidR="005C0FFB" w:rsidRDefault="005C0FFB" w:rsidP="005C0FFB">
      <w:pPr>
        <w:pStyle w:val="Heading2"/>
      </w:pPr>
      <w:bookmarkStart w:id="2" w:name="_Toc50972355"/>
      <w:bookmarkStart w:id="3" w:name="_Toc62210298"/>
      <w:bookmarkStart w:id="4" w:name="_Toc69823128"/>
      <w:bookmarkEnd w:id="1"/>
      <w:r>
        <w:lastRenderedPageBreak/>
        <w:t>About this guidance</w:t>
      </w:r>
      <w:bookmarkEnd w:id="2"/>
      <w:bookmarkEnd w:id="3"/>
      <w:bookmarkEnd w:id="4"/>
    </w:p>
    <w:p w14:paraId="03E3D7A1" w14:textId="453930F5" w:rsidR="006436A6" w:rsidRDefault="006436A6" w:rsidP="006436A6">
      <w:r>
        <w:t>A</w:t>
      </w:r>
      <w:r w:rsidRPr="00856CED">
        <w:t>s</w:t>
      </w:r>
      <w:r>
        <w:t xml:space="preserve"> prepared by the Therapeutic Goods Administration (TGA), this guidance describes the requirements for </w:t>
      </w:r>
      <w:hyperlink r:id="rId13" w:history="1">
        <w:r w:rsidRPr="00D31F27">
          <w:rPr>
            <w:rStyle w:val="Hyperlink"/>
          </w:rPr>
          <w:t>manufacturers</w:t>
        </w:r>
      </w:hyperlink>
      <w:r>
        <w:t xml:space="preserve"> and </w:t>
      </w:r>
      <w:hyperlink r:id="rId14" w:history="1">
        <w:r w:rsidRPr="00A925DF">
          <w:rPr>
            <w:rStyle w:val="Hyperlink"/>
          </w:rPr>
          <w:t>sponsors</w:t>
        </w:r>
      </w:hyperlink>
      <w:r>
        <w:t xml:space="preserve"> of biologicals and human cell or tissue (HCT) products set out in the </w:t>
      </w:r>
      <w:r w:rsidRPr="00856CED">
        <w:rPr>
          <w:u w:val="single"/>
        </w:rPr>
        <w:t>Therapeutic Goods (Standard for Human Cell and Tissue Products</w:t>
      </w:r>
      <w:r w:rsidR="00FF1BDD">
        <w:rPr>
          <w:u w:val="single"/>
        </w:rPr>
        <w:t xml:space="preserve"> –  </w:t>
      </w:r>
      <w:r w:rsidRPr="00856CED">
        <w:rPr>
          <w:u w:val="single"/>
        </w:rPr>
        <w:t>Donor S</w:t>
      </w:r>
      <w:r w:rsidR="005937C7">
        <w:rPr>
          <w:u w:val="single"/>
        </w:rPr>
        <w:t>creening</w:t>
      </w:r>
      <w:r w:rsidRPr="00856CED">
        <w:rPr>
          <w:u w:val="single"/>
        </w:rPr>
        <w:t xml:space="preserve"> Re</w:t>
      </w:r>
      <w:r>
        <w:rPr>
          <w:u w:val="single"/>
        </w:rPr>
        <w:t>quirements) (TGO 108) Order 2021</w:t>
      </w:r>
      <w:r>
        <w:t>.</w:t>
      </w:r>
    </w:p>
    <w:p w14:paraId="35259241" w14:textId="7695CF7A" w:rsidR="004F38DE" w:rsidRDefault="005C0FFB" w:rsidP="005C0FFB">
      <w:r>
        <w:t xml:space="preserve">Generally, </w:t>
      </w:r>
      <w:hyperlink r:id="rId15" w:history="1">
        <w:r w:rsidRPr="0060604B">
          <w:rPr>
            <w:rStyle w:val="Hyperlink"/>
          </w:rPr>
          <w:t>TGOs</w:t>
        </w:r>
      </w:hyperlink>
      <w:r>
        <w:t xml:space="preserve"> are standards that </w:t>
      </w:r>
      <w:r w:rsidRPr="009B32A4">
        <w:t>determine the consistency of product quality, i</w:t>
      </w:r>
      <w:r>
        <w:t xml:space="preserve">ncluding label quality. </w:t>
      </w:r>
      <w:r w:rsidR="006436A6">
        <w:t xml:space="preserve">TGO 108 specifies requirements around the minimisation of transmission of communicable diseases through the use of therapeutic goods comprising, derived or containing </w:t>
      </w:r>
      <w:r w:rsidR="006436A6" w:rsidRPr="002F2F49">
        <w:t>HCT</w:t>
      </w:r>
      <w:r w:rsidR="006436A6">
        <w:t>, specifically with regard to donor</w:t>
      </w:r>
      <w:r w:rsidR="004F38DE">
        <w:t>:</w:t>
      </w:r>
    </w:p>
    <w:p w14:paraId="517D8E93" w14:textId="0CDA76E6" w:rsidR="004F38DE" w:rsidRDefault="004F38DE" w:rsidP="005C0FFB">
      <w:pPr>
        <w:pStyle w:val="ListBullet"/>
      </w:pPr>
      <w:r w:rsidRPr="004F38DE">
        <w:t>medical and social history requ</w:t>
      </w:r>
      <w:r>
        <w:t>irements</w:t>
      </w:r>
    </w:p>
    <w:p w14:paraId="4771144B" w14:textId="6C2F44D0" w:rsidR="004F38DE" w:rsidRDefault="004F38DE" w:rsidP="004F38DE">
      <w:pPr>
        <w:pStyle w:val="ListBullet"/>
      </w:pPr>
      <w:r>
        <w:t>testing requirements for b</w:t>
      </w:r>
      <w:r w:rsidRPr="004F38DE">
        <w:t>loo</w:t>
      </w:r>
      <w:r>
        <w:t>d and other samples</w:t>
      </w:r>
    </w:p>
    <w:p w14:paraId="163CA328" w14:textId="7DBED15B" w:rsidR="004F38DE" w:rsidRDefault="004F38DE" w:rsidP="005C0FFB">
      <w:pPr>
        <w:pStyle w:val="ListBullet"/>
      </w:pPr>
      <w:r w:rsidRPr="004F38DE">
        <w:t>phy</w:t>
      </w:r>
      <w:r>
        <w:t>sical assessment requirements</w:t>
      </w:r>
    </w:p>
    <w:p w14:paraId="1DFD144B" w14:textId="148A4F55" w:rsidR="004F38DE" w:rsidRDefault="004F38DE" w:rsidP="005C0FFB">
      <w:pPr>
        <w:pStyle w:val="ListBullet"/>
      </w:pPr>
      <w:r w:rsidRPr="004F38DE">
        <w:t>deferral criteria</w:t>
      </w:r>
    </w:p>
    <w:p w14:paraId="1EE4A5F7" w14:textId="3D6DD575" w:rsidR="006436A6" w:rsidRDefault="00C07EA3" w:rsidP="00161466">
      <w:r w:rsidDel="00027573">
        <w:t xml:space="preserve">As </w:t>
      </w:r>
      <w:r w:rsidR="00E158B6">
        <w:t>a</w:t>
      </w:r>
      <w:r w:rsidDel="00027573">
        <w:t xml:space="preserve"> provider</w:t>
      </w:r>
      <w:r w:rsidR="00E158B6">
        <w:t xml:space="preserve"> of such therapeutic goods</w:t>
      </w:r>
      <w:r w:rsidDel="00027573">
        <w:t>, you must comply with requirements that contribute to the</w:t>
      </w:r>
      <w:r w:rsidR="00E158B6">
        <w:t>ir</w:t>
      </w:r>
      <w:r w:rsidDel="00027573">
        <w:t xml:space="preserve"> quality and safety</w:t>
      </w:r>
      <w:r>
        <w:t>,</w:t>
      </w:r>
      <w:r w:rsidDel="00027573">
        <w:t xml:space="preserve"> and that mitigate infectious disease risks</w:t>
      </w:r>
      <w:r>
        <w:t>.</w:t>
      </w:r>
    </w:p>
    <w:p w14:paraId="0C7B513C" w14:textId="32C3DC3C" w:rsidR="006436A6" w:rsidRDefault="00D37279" w:rsidP="00161466">
      <w:r>
        <w:t>TGO 10</w:t>
      </w:r>
      <w:r w:rsidR="00B26351">
        <w:t>8</w:t>
      </w:r>
      <w:r w:rsidR="006436A6">
        <w:t xml:space="preserve"> replaces:</w:t>
      </w:r>
    </w:p>
    <w:p w14:paraId="48BEFE45" w14:textId="77777777" w:rsidR="006436A6" w:rsidRDefault="00AC051D" w:rsidP="006436A6">
      <w:pPr>
        <w:pStyle w:val="ListBullet"/>
        <w:numPr>
          <w:ilvl w:val="0"/>
          <w:numId w:val="1"/>
        </w:numPr>
      </w:pPr>
      <w:hyperlink r:id="rId16" w:history="1">
        <w:r w:rsidR="006436A6" w:rsidRPr="001C50F8">
          <w:rPr>
            <w:rStyle w:val="Hyperlink"/>
          </w:rPr>
          <w:t>Therapeutic Goods Order No. 8</w:t>
        </w:r>
        <w:r w:rsidR="006436A6">
          <w:rPr>
            <w:rStyle w:val="Hyperlink"/>
          </w:rPr>
          <w:t>8</w:t>
        </w:r>
        <w:r w:rsidR="006436A6" w:rsidRPr="001C50F8">
          <w:rPr>
            <w:rStyle w:val="Hyperlink"/>
          </w:rPr>
          <w:t xml:space="preserve"> - </w:t>
        </w:r>
        <w:r w:rsidR="006436A6" w:rsidRPr="00B26351">
          <w:rPr>
            <w:rStyle w:val="Hyperlink"/>
          </w:rPr>
          <w:t>Standards for donor selection, testing and minimising infectious disease transmission via therapeutic goods that are human blood and blood components, human tissues and human cellular therapy products</w:t>
        </w:r>
        <w:r w:rsidR="006436A6" w:rsidRPr="001C50F8">
          <w:rPr>
            <w:rStyle w:val="Hyperlink"/>
          </w:rPr>
          <w:t xml:space="preserve"> (TGO 8</w:t>
        </w:r>
        <w:r w:rsidR="006436A6">
          <w:rPr>
            <w:rStyle w:val="Hyperlink"/>
          </w:rPr>
          <w:t>8</w:t>
        </w:r>
        <w:r w:rsidR="006436A6" w:rsidRPr="001C50F8">
          <w:rPr>
            <w:rStyle w:val="Hyperlink"/>
          </w:rPr>
          <w:t>)</w:t>
        </w:r>
      </w:hyperlink>
    </w:p>
    <w:p w14:paraId="5E13B3EE" w14:textId="77777777" w:rsidR="006436A6" w:rsidRDefault="00B26351" w:rsidP="005C0FFB">
      <w:r>
        <w:t>TGO 88 is due to</w:t>
      </w:r>
      <w:r w:rsidR="004C485C">
        <w:t xml:space="preserve"> </w:t>
      </w:r>
      <w:r w:rsidR="005C0FFB">
        <w:t>‘suns</w:t>
      </w:r>
      <w:r>
        <w:t>et’ on 1 October 2023</w:t>
      </w:r>
      <w:r w:rsidR="004C485C">
        <w:t xml:space="preserve">. </w:t>
      </w:r>
      <w:r w:rsidR="005C0FFB" w:rsidRPr="009B435A">
        <w:t>Sunsetting is the process whereby legislative instruments undergo automatic repeal after 10 years following their registration</w:t>
      </w:r>
      <w:r w:rsidR="005C0FFB">
        <w:t>.</w:t>
      </w:r>
      <w:r w:rsidR="00273F44">
        <w:t xml:space="preserve"> </w:t>
      </w:r>
    </w:p>
    <w:p w14:paraId="2B5D299B" w14:textId="154DA084" w:rsidR="00273F44" w:rsidRDefault="00273F44" w:rsidP="005C0FFB">
      <w:r>
        <w:t>TGA updated</w:t>
      </w:r>
      <w:r w:rsidRPr="00397304">
        <w:t xml:space="preserve"> </w:t>
      </w:r>
      <w:r w:rsidR="004F38DE">
        <w:t>TGO 88</w:t>
      </w:r>
      <w:r w:rsidRPr="00397304">
        <w:t xml:space="preserve"> </w:t>
      </w:r>
      <w:r>
        <w:t xml:space="preserve">at the </w:t>
      </w:r>
      <w:r w:rsidR="004F38DE">
        <w:t>same time as numerous other TGOs</w:t>
      </w:r>
      <w:r>
        <w:t xml:space="preserve"> which sunsetted on 1 October 2021 because all </w:t>
      </w:r>
      <w:r w:rsidR="004F38DE">
        <w:t xml:space="preserve">these </w:t>
      </w:r>
      <w:r>
        <w:t>TGOs were inter-related and cross-referenced each other:</w:t>
      </w:r>
    </w:p>
    <w:p w14:paraId="0FC3FC29" w14:textId="77777777" w:rsidR="00273F44" w:rsidRDefault="00AC051D" w:rsidP="00273F44">
      <w:pPr>
        <w:pStyle w:val="ListBullet"/>
        <w:rPr>
          <w:rStyle w:val="Hyperlink"/>
          <w:color w:val="auto"/>
          <w:u w:val="none"/>
        </w:rPr>
      </w:pPr>
      <w:hyperlink r:id="rId17" w:history="1">
        <w:r w:rsidR="00273F44" w:rsidRPr="001C50F8">
          <w:rPr>
            <w:rStyle w:val="Hyperlink"/>
          </w:rPr>
          <w:t>Therapeutic Goods Order No. 83 - Standards for human musculoskeletal tissue (TGO 83)</w:t>
        </w:r>
      </w:hyperlink>
    </w:p>
    <w:p w14:paraId="4CC9AB03" w14:textId="77777777" w:rsidR="00273F44" w:rsidRDefault="00AC051D" w:rsidP="00273F44">
      <w:pPr>
        <w:pStyle w:val="ListBullet"/>
        <w:rPr>
          <w:rStyle w:val="Hyperlink"/>
          <w:color w:val="auto"/>
          <w:u w:val="none"/>
        </w:rPr>
      </w:pPr>
      <w:hyperlink r:id="rId18" w:history="1">
        <w:r w:rsidR="00273F44" w:rsidRPr="001C50F8">
          <w:rPr>
            <w:rStyle w:val="Hyperlink"/>
          </w:rPr>
          <w:t>Therapeutic Goods Order No. 84 - Standards for human cardiovascular tissue (TGO 84)</w:t>
        </w:r>
      </w:hyperlink>
    </w:p>
    <w:p w14:paraId="08C6B9AD" w14:textId="77777777" w:rsidR="00273F44" w:rsidRDefault="00AC051D" w:rsidP="00273F44">
      <w:pPr>
        <w:pStyle w:val="ListBullet"/>
      </w:pPr>
      <w:hyperlink r:id="rId19" w:history="1">
        <w:r w:rsidR="00273F44" w:rsidRPr="001C50F8">
          <w:rPr>
            <w:rStyle w:val="Hyperlink"/>
          </w:rPr>
          <w:t>Therapeutic Goods Order No. 85 - Standards for human ocular tissue (TGO 85)</w:t>
        </w:r>
      </w:hyperlink>
    </w:p>
    <w:p w14:paraId="18DE4A95" w14:textId="203E1560" w:rsidR="00273F44" w:rsidRDefault="00AC051D" w:rsidP="00273F44">
      <w:pPr>
        <w:pStyle w:val="ListBullet"/>
      </w:pPr>
      <w:hyperlink r:id="rId20" w:history="1">
        <w:r w:rsidR="00273F44" w:rsidRPr="001C50F8">
          <w:rPr>
            <w:rStyle w:val="Hyperlink"/>
          </w:rPr>
          <w:t>Therapeutic Goods Order No. 86 - Standards for human skin (TGO 86)</w:t>
        </w:r>
      </w:hyperlink>
    </w:p>
    <w:tbl>
      <w:tblPr>
        <w:tblW w:w="5000" w:type="pct"/>
        <w:tblLayout w:type="fixed"/>
        <w:tblCellMar>
          <w:left w:w="0" w:type="dxa"/>
          <w:right w:w="0" w:type="dxa"/>
        </w:tblCellMar>
        <w:tblLook w:val="04A0" w:firstRow="1" w:lastRow="0" w:firstColumn="1" w:lastColumn="0" w:noHBand="0" w:noVBand="1"/>
      </w:tblPr>
      <w:tblGrid>
        <w:gridCol w:w="9070"/>
      </w:tblGrid>
      <w:tr w:rsidR="00DB1878" w:rsidRPr="00215D48" w14:paraId="127D7E0F" w14:textId="77777777" w:rsidTr="00161466">
        <w:tc>
          <w:tcPr>
            <w:tcW w:w="5000" w:type="pct"/>
            <w:shd w:val="clear" w:color="auto" w:fill="EAEAEA"/>
            <w:tcMar>
              <w:top w:w="170" w:type="dxa"/>
              <w:left w:w="170" w:type="dxa"/>
              <w:bottom w:w="170" w:type="dxa"/>
              <w:right w:w="170" w:type="dxa"/>
            </w:tcMar>
            <w:vAlign w:val="center"/>
          </w:tcPr>
          <w:p w14:paraId="357CB070" w14:textId="77777777" w:rsidR="006436A6" w:rsidRDefault="006436A6" w:rsidP="006436A6">
            <w:r>
              <w:t>This information is provided for guidance only and has been developed on the basis of current knowledge of the subject matter.</w:t>
            </w:r>
          </w:p>
          <w:p w14:paraId="0B899BF9" w14:textId="77777777" w:rsidR="006436A6" w:rsidRDefault="006436A6" w:rsidP="006436A6">
            <w:r>
              <w:t>It should not be relied on to address every aspect of the relevant legislation. You should seek your own independent legal advice to ensure that all of the legislative requirements are met.</w:t>
            </w:r>
          </w:p>
          <w:p w14:paraId="5FA9DC83" w14:textId="365A0B95" w:rsidR="00DB1878" w:rsidRPr="00215D48" w:rsidRDefault="006436A6" w:rsidP="006436A6">
            <w:r>
              <w:t xml:space="preserve">For clarification of a particular requirement, contact </w:t>
            </w:r>
            <w:hyperlink r:id="rId21" w:anchor="contacts" w:history="1">
              <w:r w:rsidRPr="009E2664">
                <w:rPr>
                  <w:rStyle w:val="Hyperlink"/>
                </w:rPr>
                <w:t>TGA’s Biological Science Section (BSS)</w:t>
              </w:r>
            </w:hyperlink>
            <w:r>
              <w:t>.</w:t>
            </w:r>
          </w:p>
        </w:tc>
      </w:tr>
    </w:tbl>
    <w:p w14:paraId="7359D193" w14:textId="478FC5D1" w:rsidR="005C0FFB" w:rsidRDefault="00DB1878" w:rsidP="005C0FFB">
      <w:pPr>
        <w:pStyle w:val="Heading2"/>
      </w:pPr>
      <w:bookmarkStart w:id="5" w:name="_Toc50972356"/>
      <w:bookmarkStart w:id="6" w:name="_Toc62210299"/>
      <w:bookmarkStart w:id="7" w:name="_Toc69823129"/>
      <w:r>
        <w:t>A</w:t>
      </w:r>
      <w:r w:rsidR="005C0FFB">
        <w:t>bout TGO 10</w:t>
      </w:r>
      <w:bookmarkEnd w:id="5"/>
      <w:bookmarkEnd w:id="6"/>
      <w:r w:rsidR="00273F44">
        <w:t>8</w:t>
      </w:r>
      <w:bookmarkEnd w:id="7"/>
    </w:p>
    <w:p w14:paraId="27BA595D" w14:textId="3BD59041" w:rsidR="00FC6764" w:rsidRDefault="009D6516" w:rsidP="005C0FFB">
      <w:r>
        <w:t>TGO 10</w:t>
      </w:r>
      <w:r w:rsidR="004F38DE">
        <w:t>8</w:t>
      </w:r>
      <w:r w:rsidR="005C0FFB">
        <w:t xml:space="preserve"> </w:t>
      </w:r>
      <w:r w:rsidR="004F38DE" w:rsidRPr="00A474D6">
        <w:t xml:space="preserve">specifies the minimum criteria </w:t>
      </w:r>
      <w:r w:rsidR="003D0F92">
        <w:t xml:space="preserve">for donor selection </w:t>
      </w:r>
      <w:r w:rsidR="004F38DE" w:rsidRPr="00A474D6">
        <w:t xml:space="preserve">to minimise the risk of infectious disease transmission through </w:t>
      </w:r>
      <w:r w:rsidR="004F38DE">
        <w:t xml:space="preserve">the use of therapeutic goods comprising, derived </w:t>
      </w:r>
      <w:r w:rsidR="00472CCC">
        <w:t>from</w:t>
      </w:r>
      <w:r w:rsidR="00C41C4F">
        <w:t>,</w:t>
      </w:r>
      <w:r w:rsidR="00472CCC">
        <w:t xml:space="preserve"> </w:t>
      </w:r>
      <w:r w:rsidR="004F38DE">
        <w:t xml:space="preserve">or </w:t>
      </w:r>
      <w:r w:rsidR="004F38DE">
        <w:lastRenderedPageBreak/>
        <w:t>containing HCT.</w:t>
      </w:r>
      <w:r w:rsidR="00FC6764">
        <w:t xml:space="preserve"> </w:t>
      </w:r>
      <w:r w:rsidR="00FC6764" w:rsidRPr="00C77602">
        <w:t xml:space="preserve">This guidance </w:t>
      </w:r>
      <w:r w:rsidR="00DB1878">
        <w:t>provides an</w:t>
      </w:r>
      <w:r w:rsidR="00FC6764" w:rsidRPr="00C77602">
        <w:t xml:space="preserve"> interpretation of </w:t>
      </w:r>
      <w:r w:rsidR="00DB1878">
        <w:t xml:space="preserve">how </w:t>
      </w:r>
      <w:r w:rsidR="00FC6764" w:rsidRPr="00C77602">
        <w:t>the various requirements</w:t>
      </w:r>
      <w:r w:rsidR="00DB1878">
        <w:t xml:space="preserve"> can be met</w:t>
      </w:r>
      <w:r w:rsidR="00FC6764">
        <w:t>.</w:t>
      </w:r>
    </w:p>
    <w:p w14:paraId="76CFED95" w14:textId="5984FB63" w:rsidR="00FC6764" w:rsidRDefault="00FC6764" w:rsidP="005C0FFB">
      <w:r w:rsidRPr="00A474D6">
        <w:t>Addit</w:t>
      </w:r>
      <w:r>
        <w:t>ional or higher requirements may</w:t>
      </w:r>
      <w:r w:rsidRPr="00A474D6">
        <w:t xml:space="preserve"> be included at a sponsor’s discretion or may be required by a product</w:t>
      </w:r>
      <w:r w:rsidR="00DD032A">
        <w:t>-</w:t>
      </w:r>
      <w:r w:rsidRPr="00A474D6">
        <w:t xml:space="preserve">specific order or </w:t>
      </w:r>
      <w:hyperlink r:id="rId22" w:history="1">
        <w:r w:rsidRPr="00472CCC">
          <w:rPr>
            <w:rStyle w:val="Hyperlink"/>
          </w:rPr>
          <w:t>default standard</w:t>
        </w:r>
      </w:hyperlink>
      <w:r w:rsidRPr="00A474D6">
        <w:t xml:space="preserve">. Further testing as clinically relevant for specific products or patient populations may also be necessary, </w:t>
      </w:r>
      <w:r w:rsidR="00307DC6">
        <w:t xml:space="preserve">for example, </w:t>
      </w:r>
      <w:r w:rsidRPr="00A474D6">
        <w:t>Cytomegalovirus testing where recipients are</w:t>
      </w:r>
      <w:r>
        <w:t xml:space="preserve"> children or immunocompromised.</w:t>
      </w:r>
    </w:p>
    <w:p w14:paraId="38C50CAD" w14:textId="2ED95996" w:rsidR="003B0250" w:rsidRDefault="00FC6764" w:rsidP="008B0ED0">
      <w:bookmarkStart w:id="8" w:name="_Toc50972357"/>
      <w:bookmarkStart w:id="9" w:name="_Toc62210300"/>
      <w:r>
        <w:t>TGO 108</w:t>
      </w:r>
      <w:r w:rsidRPr="00C77602">
        <w:t xml:space="preserve"> </w:t>
      </w:r>
      <w:r w:rsidRPr="00161466">
        <w:rPr>
          <w:b/>
        </w:rPr>
        <w:t>applies to</w:t>
      </w:r>
      <w:r w:rsidR="00DD032A">
        <w:t>:</w:t>
      </w:r>
    </w:p>
    <w:p w14:paraId="436BF3C6" w14:textId="1A9E2EFF" w:rsidR="00DD032A" w:rsidRDefault="00DD032A" w:rsidP="00DD032A">
      <w:pPr>
        <w:pStyle w:val="ListBullet"/>
      </w:pPr>
      <w:r>
        <w:t>biologicals (encompassing</w:t>
      </w:r>
      <w:r w:rsidRPr="00C77602">
        <w:t xml:space="preserve"> starting materials and finished </w:t>
      </w:r>
      <w:r>
        <w:t>therapeutic goods</w:t>
      </w:r>
      <w:r w:rsidRPr="00C77602">
        <w:t xml:space="preserve">) </w:t>
      </w:r>
      <w:r w:rsidR="003D0F92" w:rsidRPr="003D0F92">
        <w:t>comprising, derived from, or containing HCT</w:t>
      </w:r>
      <w:r w:rsidR="00E767C0">
        <w:t>s</w:t>
      </w:r>
      <w:r w:rsidR="003D0F92" w:rsidRPr="003D0F92">
        <w:t>.</w:t>
      </w:r>
    </w:p>
    <w:p w14:paraId="122AAA09" w14:textId="26B23D92" w:rsidR="00DD032A" w:rsidRDefault="0046794D" w:rsidP="00DD032A">
      <w:pPr>
        <w:pStyle w:val="ListBullet"/>
      </w:pPr>
      <w:r>
        <w:t xml:space="preserve">all human donors </w:t>
      </w:r>
      <w:r w:rsidR="00DF16E3">
        <w:t xml:space="preserve">of </w:t>
      </w:r>
      <w:r w:rsidR="003D0F92" w:rsidRPr="003D0F92">
        <w:t>one or more of the following that are collected from a donor for use in the manufacture of an HCT product</w:t>
      </w:r>
      <w:r>
        <w:t>:</w:t>
      </w:r>
    </w:p>
    <w:p w14:paraId="12F6A60E" w14:textId="77777777" w:rsidR="008B0ED0" w:rsidRDefault="008B0ED0" w:rsidP="00161466">
      <w:pPr>
        <w:pStyle w:val="ListBullet2"/>
      </w:pPr>
      <w:r>
        <w:t>human blood and blood components including:</w:t>
      </w:r>
    </w:p>
    <w:p w14:paraId="1B4D3085" w14:textId="77777777" w:rsidR="008B0ED0" w:rsidRDefault="008B0ED0" w:rsidP="00161466">
      <w:pPr>
        <w:pStyle w:val="ListBullet3"/>
      </w:pPr>
      <w:r>
        <w:t>red cells</w:t>
      </w:r>
    </w:p>
    <w:p w14:paraId="7B4B1217" w14:textId="77777777" w:rsidR="008B0ED0" w:rsidRDefault="008B0ED0" w:rsidP="00161466">
      <w:pPr>
        <w:pStyle w:val="ListBullet3"/>
      </w:pPr>
      <w:r>
        <w:t>white cells</w:t>
      </w:r>
    </w:p>
    <w:p w14:paraId="0A01E9E7" w14:textId="77777777" w:rsidR="008B0ED0" w:rsidRDefault="008B0ED0" w:rsidP="00161466">
      <w:pPr>
        <w:pStyle w:val="ListBullet3"/>
      </w:pPr>
      <w:r>
        <w:t>platelets and</w:t>
      </w:r>
    </w:p>
    <w:p w14:paraId="06770BFA" w14:textId="77777777" w:rsidR="008B0ED0" w:rsidRDefault="008B0ED0" w:rsidP="00161466">
      <w:pPr>
        <w:pStyle w:val="ListBullet3"/>
      </w:pPr>
      <w:r>
        <w:t>plasma (including plasma for fractionation)</w:t>
      </w:r>
    </w:p>
    <w:p w14:paraId="1AB6B3B0" w14:textId="4411C502" w:rsidR="008B0ED0" w:rsidRDefault="008B0ED0" w:rsidP="00161466">
      <w:pPr>
        <w:pStyle w:val="ListBullet2"/>
      </w:pPr>
      <w:r>
        <w:t xml:space="preserve">human </w:t>
      </w:r>
      <w:r w:rsidR="003D0F92">
        <w:t>cells</w:t>
      </w:r>
      <w:r>
        <w:t xml:space="preserve"> (including haematopoietic progenitor cells)</w:t>
      </w:r>
    </w:p>
    <w:p w14:paraId="40AFE462" w14:textId="16128283" w:rsidR="00FC6764" w:rsidRDefault="00FC6764" w:rsidP="00FC6764">
      <w:r>
        <w:t xml:space="preserve">TGO 108 </w:t>
      </w:r>
      <w:r w:rsidRPr="00161466">
        <w:rPr>
          <w:b/>
        </w:rPr>
        <w:t>does not apply to</w:t>
      </w:r>
      <w:r>
        <w:t xml:space="preserve"> biologicals that are:</w:t>
      </w:r>
    </w:p>
    <w:p w14:paraId="68257F21" w14:textId="0A05FF03" w:rsidR="00FC6764" w:rsidRDefault="00FC6764" w:rsidP="00FC6764">
      <w:pPr>
        <w:pStyle w:val="ListBullet"/>
        <w:numPr>
          <w:ilvl w:val="0"/>
          <w:numId w:val="1"/>
        </w:numPr>
      </w:pPr>
      <w:r w:rsidRPr="00C77602">
        <w:t>not int</w:t>
      </w:r>
      <w:r w:rsidR="00307DC6">
        <w:t xml:space="preserve">ended for therapeutic use, that is, </w:t>
      </w:r>
      <w:r w:rsidRPr="00C77602">
        <w:t>blood or tissue samples for infectious</w:t>
      </w:r>
      <w:r>
        <w:t xml:space="preserve"> disease or bioburden testing</w:t>
      </w:r>
    </w:p>
    <w:p w14:paraId="1D878CB7" w14:textId="77777777" w:rsidR="008B0ED0" w:rsidRDefault="00AC051D" w:rsidP="00161466">
      <w:pPr>
        <w:pStyle w:val="ListBullet"/>
      </w:pPr>
      <w:hyperlink r:id="rId23" w:anchor="excluded" w:history="1">
        <w:r w:rsidR="008B0ED0" w:rsidRPr="004623EC">
          <w:rPr>
            <w:rStyle w:val="Hyperlink"/>
          </w:rPr>
          <w:t>Excluded from TGA regulation</w:t>
        </w:r>
      </w:hyperlink>
    </w:p>
    <w:p w14:paraId="742E0D56" w14:textId="1ED85F97" w:rsidR="008B0ED0" w:rsidRDefault="00AC051D" w:rsidP="00161466">
      <w:pPr>
        <w:pStyle w:val="ListBullet"/>
      </w:pPr>
      <w:hyperlink r:id="rId24" w:history="1">
        <w:r w:rsidR="008B0ED0" w:rsidRPr="0046794D">
          <w:rPr>
            <w:rStyle w:val="Hyperlink"/>
          </w:rPr>
          <w:t>Faecal Microbiota Transplant (FMT) products</w:t>
        </w:r>
      </w:hyperlink>
      <w:r w:rsidR="0046794D">
        <w:rPr>
          <w:rStyle w:val="FootnoteReference"/>
        </w:rPr>
        <w:footnoteReference w:id="1"/>
      </w:r>
    </w:p>
    <w:p w14:paraId="25C299AD" w14:textId="602F411F" w:rsidR="008B0ED0" w:rsidRDefault="00AC051D" w:rsidP="00161466">
      <w:pPr>
        <w:pStyle w:val="ListBullet"/>
      </w:pPr>
      <w:hyperlink r:id="rId25" w:history="1">
        <w:r w:rsidR="008B0ED0" w:rsidRPr="004623EC">
          <w:rPr>
            <w:rStyle w:val="Hyperlink"/>
          </w:rPr>
          <w:t>Autolog</w:t>
        </w:r>
        <w:r w:rsidR="007E11AC">
          <w:rPr>
            <w:rStyle w:val="Hyperlink"/>
          </w:rPr>
          <w:t>ous HCT</w:t>
        </w:r>
        <w:r w:rsidR="008B0ED0" w:rsidRPr="004623EC">
          <w:rPr>
            <w:rStyle w:val="Hyperlink"/>
          </w:rPr>
          <w:t xml:space="preserve"> products</w:t>
        </w:r>
      </w:hyperlink>
      <w:r w:rsidR="008B0ED0">
        <w:t xml:space="preserve"> </w:t>
      </w:r>
    </w:p>
    <w:tbl>
      <w:tblPr>
        <w:tblW w:w="5000" w:type="pct"/>
        <w:tblLayout w:type="fixed"/>
        <w:tblCellMar>
          <w:left w:w="0" w:type="dxa"/>
          <w:right w:w="0" w:type="dxa"/>
        </w:tblCellMar>
        <w:tblLook w:val="04A0" w:firstRow="1" w:lastRow="0" w:firstColumn="1" w:lastColumn="0" w:noHBand="0" w:noVBand="1"/>
      </w:tblPr>
      <w:tblGrid>
        <w:gridCol w:w="9070"/>
      </w:tblGrid>
      <w:tr w:rsidR="003B0250" w:rsidRPr="007E11AC" w14:paraId="49AE961B" w14:textId="77777777" w:rsidTr="00161466">
        <w:trPr>
          <w:trHeight w:val="838"/>
        </w:trPr>
        <w:tc>
          <w:tcPr>
            <w:tcW w:w="5000" w:type="pct"/>
            <w:shd w:val="clear" w:color="auto" w:fill="EAEAEA"/>
            <w:tcMar>
              <w:top w:w="170" w:type="dxa"/>
              <w:left w:w="170" w:type="dxa"/>
              <w:bottom w:w="170" w:type="dxa"/>
              <w:right w:w="170" w:type="dxa"/>
            </w:tcMar>
            <w:vAlign w:val="center"/>
          </w:tcPr>
          <w:p w14:paraId="2C07FE2C" w14:textId="0D837A98" w:rsidR="003B0250" w:rsidRPr="007E11AC" w:rsidRDefault="003B0250" w:rsidP="009D3EBA">
            <w:r w:rsidRPr="007E11AC">
              <w:t xml:space="preserve">Although </w:t>
            </w:r>
            <w:hyperlink r:id="rId26" w:history="1">
              <w:r w:rsidRPr="007E11AC">
                <w:rPr>
                  <w:rStyle w:val="Hyperlink"/>
                </w:rPr>
                <w:t>autologous HCT products</w:t>
              </w:r>
            </w:hyperlink>
            <w:r w:rsidRPr="007E11AC">
              <w:t xml:space="preserve"> are exempt from TGO 108, any</w:t>
            </w:r>
            <w:r w:rsidR="00406E3C">
              <w:t xml:space="preserve"> or all</w:t>
            </w:r>
            <w:r w:rsidRPr="007E11AC">
              <w:t xml:space="preserve"> of the requirements </w:t>
            </w:r>
            <w:r w:rsidR="00406E3C">
              <w:t xml:space="preserve">specified in TGO 108 </w:t>
            </w:r>
            <w:r w:rsidRPr="007E11AC">
              <w:t>could be required for demonstrating compliance to TGO 109.</w:t>
            </w:r>
          </w:p>
        </w:tc>
      </w:tr>
    </w:tbl>
    <w:p w14:paraId="018B0DED" w14:textId="405D8BC4" w:rsidR="00FC6764" w:rsidRDefault="00FC6764" w:rsidP="00FC6764">
      <w:r>
        <w:t>If you are unsure whether TGO 108</w:t>
      </w:r>
      <w:r w:rsidRPr="00C77602">
        <w:t xml:space="preserve"> applie</w:t>
      </w:r>
      <w:r>
        <w:t xml:space="preserve">s to a specific biological, please contact </w:t>
      </w:r>
      <w:hyperlink r:id="rId27" w:history="1">
        <w:r w:rsidR="00406E3C" w:rsidRPr="00406E3C">
          <w:rPr>
            <w:rStyle w:val="Hyperlink"/>
          </w:rPr>
          <w:t>bloodandtissues@health.gov.au</w:t>
        </w:r>
      </w:hyperlink>
      <w:r w:rsidR="00406E3C" w:rsidRPr="00406E3C" w:rsidDel="00406E3C">
        <w:t xml:space="preserve"> </w:t>
      </w:r>
      <w:r w:rsidRPr="00C77602">
        <w:t>for clarification</w:t>
      </w:r>
      <w:r>
        <w:t>.</w:t>
      </w:r>
    </w:p>
    <w:tbl>
      <w:tblPr>
        <w:tblpPr w:leftFromText="180" w:rightFromText="180" w:vertAnchor="text" w:horzAnchor="margin" w:tblpY="147"/>
        <w:tblW w:w="5000" w:type="pct"/>
        <w:tblCellMar>
          <w:left w:w="0" w:type="dxa"/>
          <w:right w:w="0" w:type="dxa"/>
        </w:tblCellMar>
        <w:tblLook w:val="04A0" w:firstRow="1" w:lastRow="0" w:firstColumn="1" w:lastColumn="0" w:noHBand="0" w:noVBand="1"/>
      </w:tblPr>
      <w:tblGrid>
        <w:gridCol w:w="9070"/>
      </w:tblGrid>
      <w:tr w:rsidR="003B0250" w:rsidRPr="009401F6" w14:paraId="687C1BD7" w14:textId="77777777" w:rsidTr="003B0250">
        <w:tc>
          <w:tcPr>
            <w:tcW w:w="5000" w:type="pct"/>
            <w:shd w:val="clear" w:color="auto" w:fill="EAEAEA"/>
            <w:tcMar>
              <w:top w:w="170" w:type="dxa"/>
              <w:left w:w="170" w:type="dxa"/>
              <w:bottom w:w="170" w:type="dxa"/>
              <w:right w:w="170" w:type="dxa"/>
            </w:tcMar>
            <w:vAlign w:val="center"/>
          </w:tcPr>
          <w:p w14:paraId="4CAF556F" w14:textId="6732C960" w:rsidR="003B0250" w:rsidRDefault="003B0250" w:rsidP="003B0250">
            <w:r w:rsidRPr="00E8764D">
              <w:t>TGA accepts that alternative approaches may be suitable to satisfy the requirements of TGO 108 for specific product types</w:t>
            </w:r>
            <w:r w:rsidR="00952FB1">
              <w:t>,</w:t>
            </w:r>
            <w:r w:rsidRPr="00E8764D">
              <w:t xml:space="preserve"> provided there is appropriate justification. Where alternative approaches are used, these must be validated by the manufacturer. </w:t>
            </w:r>
          </w:p>
          <w:p w14:paraId="7D6D6301" w14:textId="724B222F" w:rsidR="00406E3C" w:rsidRPr="009401F6" w:rsidRDefault="00952FB1" w:rsidP="00FF1BDD">
            <w:r>
              <w:t>The</w:t>
            </w:r>
            <w:r w:rsidR="003B0250" w:rsidRPr="00E8764D">
              <w:t xml:space="preserve"> justification and supporting validation information is subject to TGA review and approval. It must be provided in the data supporting the application for product approval or </w:t>
            </w:r>
            <w:r w:rsidR="003B0250" w:rsidRPr="00E8764D">
              <w:lastRenderedPageBreak/>
              <w:t>in an application for a variation, post approval.</w:t>
            </w:r>
            <w:r w:rsidR="00406E3C">
              <w:t xml:space="preserve"> Subject to approval, and requirements in the standard, sponsor may still be required to obtain consent prior to</w:t>
            </w:r>
            <w:r w:rsidR="00406E3C" w:rsidRPr="00406E3C">
              <w:rPr>
                <w:rFonts w:ascii="Verdana" w:hAnsi="Verdana"/>
                <w:color w:val="000000"/>
                <w:szCs w:val="22"/>
              </w:rPr>
              <w:t xml:space="preserve"> </w:t>
            </w:r>
            <w:r w:rsidR="00406E3C" w:rsidRPr="00406E3C">
              <w:t>import, supply or export therapeutic goods that do not comply with a standard applicable to the goods (see section 14 the </w:t>
            </w:r>
            <w:hyperlink r:id="rId28" w:tgtFrame="_blank" w:tooltip="link to the Federal Register of Legislation website" w:history="1">
              <w:r w:rsidR="00406E3C" w:rsidRPr="00406E3C">
                <w:rPr>
                  <w:rStyle w:val="Hyperlink"/>
                  <w:i/>
                  <w:iCs/>
                </w:rPr>
                <w:t>Therapeutic Goods Act 1989</w:t>
              </w:r>
            </w:hyperlink>
            <w:r w:rsidR="00FF1BDD">
              <w:t>)</w:t>
            </w:r>
            <w:r w:rsidR="00E2375F">
              <w:t>.</w:t>
            </w:r>
          </w:p>
        </w:tc>
      </w:tr>
    </w:tbl>
    <w:p w14:paraId="7034241D" w14:textId="5B7DEC42" w:rsidR="0064436F" w:rsidRDefault="0064436F" w:rsidP="0064436F">
      <w:pPr>
        <w:pStyle w:val="Heading3"/>
      </w:pPr>
      <w:bookmarkStart w:id="10" w:name="_Toc69823130"/>
      <w:r>
        <w:lastRenderedPageBreak/>
        <w:t>Commencement</w:t>
      </w:r>
      <w:r w:rsidR="003B0250">
        <w:t xml:space="preserve"> of TGO 108</w:t>
      </w:r>
      <w:bookmarkEnd w:id="10"/>
    </w:p>
    <w:p w14:paraId="1B5A5F54" w14:textId="501AC558" w:rsidR="0064436F" w:rsidRDefault="0064436F" w:rsidP="0064436F">
      <w:r w:rsidRPr="00861857">
        <w:t xml:space="preserve">TGO 108 commences on </w:t>
      </w:r>
      <w:r w:rsidR="002961F3">
        <w:t>30 September 2021</w:t>
      </w:r>
      <w:r w:rsidRPr="00861857">
        <w:t>. Prior to this date, this TGO applied:</w:t>
      </w:r>
    </w:p>
    <w:p w14:paraId="123D098F" w14:textId="77777777" w:rsidR="0046794D" w:rsidRDefault="00AC051D" w:rsidP="0046794D">
      <w:pPr>
        <w:pStyle w:val="ListBullet"/>
        <w:numPr>
          <w:ilvl w:val="0"/>
          <w:numId w:val="1"/>
        </w:numPr>
      </w:pPr>
      <w:hyperlink r:id="rId29" w:history="1">
        <w:r w:rsidR="0046794D" w:rsidRPr="001C50F8">
          <w:rPr>
            <w:rStyle w:val="Hyperlink"/>
          </w:rPr>
          <w:t>Therapeutic Goods Order No. 8</w:t>
        </w:r>
        <w:r w:rsidR="0046794D">
          <w:rPr>
            <w:rStyle w:val="Hyperlink"/>
          </w:rPr>
          <w:t>8</w:t>
        </w:r>
        <w:r w:rsidR="0046794D" w:rsidRPr="001C50F8">
          <w:rPr>
            <w:rStyle w:val="Hyperlink"/>
          </w:rPr>
          <w:t xml:space="preserve"> - </w:t>
        </w:r>
        <w:r w:rsidR="0046794D" w:rsidRPr="00B26351">
          <w:rPr>
            <w:rStyle w:val="Hyperlink"/>
          </w:rPr>
          <w:t>Standards for donor selection, testing and minimising infectious disease transmission via therapeutic goods that are human blood and blood components, human tissues and human cellular therapy products</w:t>
        </w:r>
        <w:r w:rsidR="0046794D" w:rsidRPr="001C50F8">
          <w:rPr>
            <w:rStyle w:val="Hyperlink"/>
          </w:rPr>
          <w:t xml:space="preserve"> (TGO 8</w:t>
        </w:r>
        <w:r w:rsidR="0046794D">
          <w:rPr>
            <w:rStyle w:val="Hyperlink"/>
          </w:rPr>
          <w:t>8</w:t>
        </w:r>
        <w:r w:rsidR="0046794D" w:rsidRPr="001C50F8">
          <w:rPr>
            <w:rStyle w:val="Hyperlink"/>
          </w:rPr>
          <w:t>)</w:t>
        </w:r>
      </w:hyperlink>
    </w:p>
    <w:p w14:paraId="3CB657BE" w14:textId="77777777" w:rsidR="003351C2" w:rsidRDefault="003351C2" w:rsidP="003351C2">
      <w:pPr>
        <w:pStyle w:val="Heading3"/>
      </w:pPr>
      <w:bookmarkStart w:id="11" w:name="_Toc69823131"/>
      <w:r>
        <w:t>Review of TGO 108</w:t>
      </w:r>
      <w:bookmarkEnd w:id="11"/>
    </w:p>
    <w:p w14:paraId="3A50ECD0" w14:textId="77777777" w:rsidR="003351C2" w:rsidRDefault="003351C2" w:rsidP="003351C2">
      <w:r>
        <w:t>TGO 108 will be reviewed regularly as changes in legislation, emerging technology, and best practice occur. Sponsors and manufacturers are encouraged to discuss with TGA any proposed changes in practice or evolving technologies that may affect, or be affected by, the requirements of TGO 108.</w:t>
      </w:r>
    </w:p>
    <w:p w14:paraId="7A80E111" w14:textId="09D81786" w:rsidR="00D31F27" w:rsidRDefault="00022B83" w:rsidP="00D31F27">
      <w:pPr>
        <w:pStyle w:val="Heading3"/>
      </w:pPr>
      <w:bookmarkStart w:id="12" w:name="_General_requirements"/>
      <w:bookmarkStart w:id="13" w:name="_Minimal_manufacturing_requirements"/>
      <w:bookmarkStart w:id="14" w:name="_Minimal_requirements_from"/>
      <w:bookmarkStart w:id="15" w:name="_Part_2_–"/>
      <w:bookmarkStart w:id="16" w:name="_Toc69823132"/>
      <w:bookmarkEnd w:id="12"/>
      <w:bookmarkEnd w:id="13"/>
      <w:bookmarkEnd w:id="14"/>
      <w:bookmarkEnd w:id="15"/>
      <w:bookmarkEnd w:id="8"/>
      <w:bookmarkEnd w:id="9"/>
      <w:r>
        <w:t xml:space="preserve">Part </w:t>
      </w:r>
      <w:r w:rsidR="00681CFD">
        <w:t>1</w:t>
      </w:r>
      <w:r w:rsidR="00D31F27">
        <w:t xml:space="preserve"> – </w:t>
      </w:r>
      <w:r>
        <w:t>Preliminary</w:t>
      </w:r>
      <w:bookmarkEnd w:id="16"/>
    </w:p>
    <w:p w14:paraId="51D33023" w14:textId="672F2392" w:rsidR="00496BA0" w:rsidRDefault="00496BA0" w:rsidP="00496BA0">
      <w:pPr>
        <w:pStyle w:val="Heading4"/>
      </w:pPr>
      <w:bookmarkStart w:id="17" w:name="_Toc69823133"/>
      <w:r>
        <w:t>Section 4 – Definitions</w:t>
      </w:r>
      <w:bookmarkEnd w:id="17"/>
    </w:p>
    <w:p w14:paraId="47430368" w14:textId="4D080C33" w:rsidR="002553CE" w:rsidRDefault="00496BA0" w:rsidP="00496BA0">
      <w:r w:rsidRPr="00D13605">
        <w:t xml:space="preserve">The definitions provided within TGO </w:t>
      </w:r>
      <w:r>
        <w:t>10</w:t>
      </w:r>
      <w:r w:rsidR="001F2CFB">
        <w:t>8 are specific to this</w:t>
      </w:r>
      <w:r w:rsidRPr="00D13605">
        <w:t xml:space="preserve"> </w:t>
      </w:r>
      <w:r w:rsidR="00475441">
        <w:t>TG</w:t>
      </w:r>
      <w:r w:rsidRPr="00D13605">
        <w:t xml:space="preserve">O and are not intended to apply outside of TGO </w:t>
      </w:r>
      <w:r>
        <w:t>108</w:t>
      </w:r>
      <w:r w:rsidRPr="00D13605">
        <w:t xml:space="preserve">. </w:t>
      </w:r>
    </w:p>
    <w:p w14:paraId="48C8CBFB" w14:textId="77A9D03F" w:rsidR="00AA3FA3" w:rsidRDefault="009D2FB2" w:rsidP="00496BA0">
      <w:r>
        <w:t>Where possible, definitions included in</w:t>
      </w:r>
      <w:r w:rsidR="00AA3FA3">
        <w:t xml:space="preserve"> TGA</w:t>
      </w:r>
      <w:r>
        <w:t>’s</w:t>
      </w:r>
      <w:r w:rsidR="00AA3FA3">
        <w:t xml:space="preserve"> </w:t>
      </w:r>
      <w:hyperlink r:id="rId30" w:history="1">
        <w:r w:rsidR="00AA3FA3" w:rsidRPr="00475441">
          <w:rPr>
            <w:rStyle w:val="Hyperlink"/>
          </w:rPr>
          <w:t>Acronyms &amp; glossary</w:t>
        </w:r>
      </w:hyperlink>
      <w:r w:rsidR="00AA3FA3" w:rsidRPr="00141ED0">
        <w:t xml:space="preserve"> page</w:t>
      </w:r>
      <w:r w:rsidR="00AA3FA3">
        <w:t xml:space="preserve"> </w:t>
      </w:r>
      <w:r w:rsidR="00AA3FA3" w:rsidRPr="00D13605">
        <w:t>are derived</w:t>
      </w:r>
      <w:r w:rsidR="00AA3FA3">
        <w:t xml:space="preserve"> </w:t>
      </w:r>
      <w:r>
        <w:t xml:space="preserve">from </w:t>
      </w:r>
      <w:r w:rsidR="00AA3FA3" w:rsidRPr="00D13605">
        <w:t>current TGA legislation, international regulatory documents</w:t>
      </w:r>
      <w:r>
        <w:t>,</w:t>
      </w:r>
      <w:r w:rsidR="00AA3FA3" w:rsidRPr="00D13605">
        <w:t xml:space="preserve"> or current industry guidance documents. Where a suitable definition has not been</w:t>
      </w:r>
      <w:r w:rsidR="00AA3FA3">
        <w:t xml:space="preserve"> identified by those means, </w:t>
      </w:r>
      <w:r w:rsidR="00AA3FA3" w:rsidRPr="00D13605">
        <w:t>TGA has developed a definition that is informed by equivalent terms used in the aforementioned documents</w:t>
      </w:r>
      <w:r w:rsidR="00AA3FA3">
        <w:t>, expert committees</w:t>
      </w:r>
      <w:r w:rsidR="00E158B6">
        <w:t>,</w:t>
      </w:r>
      <w:r w:rsidR="00AA3FA3">
        <w:t xml:space="preserve"> or through public consultation</w:t>
      </w:r>
      <w:r w:rsidR="008632AB">
        <w:t>.</w:t>
      </w:r>
    </w:p>
    <w:p w14:paraId="46D1AC7F" w14:textId="48049769" w:rsidR="00496BA0" w:rsidRPr="005B0894" w:rsidRDefault="00496BA0" w:rsidP="00496BA0">
      <w:r w:rsidRPr="005B0894">
        <w:t xml:space="preserve">Further clarification </w:t>
      </w:r>
      <w:r w:rsidR="005A0D27">
        <w:t xml:space="preserve">of </w:t>
      </w:r>
      <w:r w:rsidR="001B3E3F">
        <w:t xml:space="preserve">some </w:t>
      </w:r>
      <w:r w:rsidR="00FC4741" w:rsidRPr="005B0894">
        <w:t>definitions</w:t>
      </w:r>
      <w:r w:rsidR="00AA3FA3">
        <w:t>,</w:t>
      </w:r>
      <w:r w:rsidR="00FC4741" w:rsidRPr="005B0894">
        <w:t xml:space="preserve"> </w:t>
      </w:r>
      <w:r w:rsidR="005A0D27">
        <w:t>specific to TGO 108, are</w:t>
      </w:r>
      <w:r w:rsidR="00FC4741" w:rsidRPr="005B0894">
        <w:t xml:space="preserve"> provided below.</w:t>
      </w:r>
    </w:p>
    <w:tbl>
      <w:tblPr>
        <w:tblStyle w:val="TableTGAblue"/>
        <w:tblW w:w="0" w:type="auto"/>
        <w:tblLook w:val="0480" w:firstRow="0" w:lastRow="0" w:firstColumn="1" w:lastColumn="0" w:noHBand="0" w:noVBand="1"/>
      </w:tblPr>
      <w:tblGrid>
        <w:gridCol w:w="9050"/>
      </w:tblGrid>
      <w:tr w:rsidR="00FC4741" w:rsidRPr="00FC4741" w14:paraId="3D7ED35F" w14:textId="77777777" w:rsidTr="009D3EBA">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482E9109" w14:textId="6DAE4624" w:rsidR="00FC4741" w:rsidRPr="00FC4741" w:rsidRDefault="00FC4741" w:rsidP="00FC4741">
            <w:r w:rsidRPr="00FC4741">
              <w:rPr>
                <w:b/>
                <w:i/>
              </w:rPr>
              <w:t>allogeneic use</w:t>
            </w:r>
            <w:r w:rsidR="00E349CA">
              <w:t>, in relation to an HCT product</w:t>
            </w:r>
            <w:r w:rsidR="00E349CA" w:rsidRPr="00E87122">
              <w:t xml:space="preserve">, means administration to, or application in the treatment of, a person other than the </w:t>
            </w:r>
            <w:r w:rsidR="00E349CA">
              <w:t xml:space="preserve">person from whom the HCT materials </w:t>
            </w:r>
            <w:r w:rsidR="00E349CA" w:rsidRPr="00E87122">
              <w:t xml:space="preserve">used in the manufacture of the </w:t>
            </w:r>
            <w:r w:rsidR="00E349CA">
              <w:t>product were collected.</w:t>
            </w:r>
          </w:p>
        </w:tc>
      </w:tr>
    </w:tbl>
    <w:p w14:paraId="020A8BA4" w14:textId="13C112B9" w:rsidR="00246443" w:rsidRDefault="00FC4741" w:rsidP="00FC4741">
      <w:r>
        <w:t>T</w:t>
      </w:r>
      <w:r w:rsidR="00496BA0" w:rsidRPr="00FC4741">
        <w:t>his definition intends to capture all non-</w:t>
      </w:r>
      <w:r w:rsidR="00CB1ECC" w:rsidRPr="00FC4741">
        <w:t>self-transplantation</w:t>
      </w:r>
      <w:r w:rsidR="00496BA0" w:rsidRPr="00FC4741">
        <w:t xml:space="preserve"> or transfusion, and includes </w:t>
      </w:r>
      <w:r w:rsidR="00AA3FA3" w:rsidRPr="00AA3FA3">
        <w:t>syngeneic</w:t>
      </w:r>
      <w:r w:rsidR="00496BA0" w:rsidRPr="00FC4741">
        <w:t xml:space="preserve"> use (</w:t>
      </w:r>
      <w:r w:rsidR="00307DC6">
        <w:t>for example,</w:t>
      </w:r>
      <w:r w:rsidR="00AA3FA3">
        <w:t xml:space="preserve"> </w:t>
      </w:r>
      <w:r w:rsidR="00496BA0" w:rsidRPr="00FC4741">
        <w:t>between</w:t>
      </w:r>
      <w:r w:rsidR="00246443">
        <w:t xml:space="preserve"> identical twins).</w:t>
      </w:r>
    </w:p>
    <w:tbl>
      <w:tblPr>
        <w:tblStyle w:val="TableTGAblue"/>
        <w:tblW w:w="0" w:type="auto"/>
        <w:tblLook w:val="0480" w:firstRow="0" w:lastRow="0" w:firstColumn="1" w:lastColumn="0" w:noHBand="0" w:noVBand="1"/>
      </w:tblPr>
      <w:tblGrid>
        <w:gridCol w:w="9050"/>
      </w:tblGrid>
      <w:tr w:rsidR="00246443" w:rsidRPr="00FC4741" w14:paraId="63C8F592" w14:textId="77777777" w:rsidTr="009D3EBA">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CFB259D" w14:textId="77777777" w:rsidR="003970C8" w:rsidRDefault="00DF1828" w:rsidP="009D3EBA">
            <w:pPr>
              <w:rPr>
                <w:bCs/>
                <w:iCs/>
              </w:rPr>
            </w:pPr>
            <w:r>
              <w:rPr>
                <w:b/>
                <w:i/>
              </w:rPr>
              <w:t>asystole</w:t>
            </w:r>
            <w:r>
              <w:t xml:space="preserve">, </w:t>
            </w:r>
            <w:r>
              <w:rPr>
                <w:bCs/>
                <w:iCs/>
              </w:rPr>
              <w:t>in relation to a donor of HCT materials, means the reference time for cardiac arrest, which is determined as follows:</w:t>
            </w:r>
          </w:p>
          <w:p w14:paraId="03EAF871" w14:textId="77777777" w:rsidR="00DF1828" w:rsidRPr="00DF1828" w:rsidRDefault="00DF1828" w:rsidP="000E409B">
            <w:pPr>
              <w:pStyle w:val="ListParagraph"/>
              <w:numPr>
                <w:ilvl w:val="0"/>
                <w:numId w:val="10"/>
              </w:numPr>
            </w:pPr>
            <w:r>
              <w:rPr>
                <w:bCs/>
                <w:iCs/>
              </w:rPr>
              <w:t>the documented pronounced time of death; or</w:t>
            </w:r>
          </w:p>
          <w:p w14:paraId="3042C511" w14:textId="77777777" w:rsidR="00DF1828" w:rsidRPr="00DF1828" w:rsidRDefault="00DF1828" w:rsidP="000E409B">
            <w:pPr>
              <w:pStyle w:val="ListParagraph"/>
              <w:numPr>
                <w:ilvl w:val="0"/>
                <w:numId w:val="10"/>
              </w:numPr>
            </w:pPr>
            <w:r>
              <w:rPr>
                <w:bCs/>
                <w:iCs/>
              </w:rPr>
              <w:t>if death is not witnessed – the last time the donor was known to be alive; or</w:t>
            </w:r>
          </w:p>
          <w:p w14:paraId="03BE53E7" w14:textId="60E8FCFE" w:rsidR="00DF1828" w:rsidRPr="005937C7" w:rsidRDefault="00DF1828">
            <w:pPr>
              <w:pStyle w:val="ListParagraph"/>
              <w:numPr>
                <w:ilvl w:val="0"/>
                <w:numId w:val="10"/>
              </w:numPr>
            </w:pPr>
            <w:r>
              <w:rPr>
                <w:bCs/>
                <w:iCs/>
              </w:rPr>
              <w:t>the tissue donor is also a solid organ donor – the cross clamp time.</w:t>
            </w:r>
          </w:p>
        </w:tc>
      </w:tr>
    </w:tbl>
    <w:p w14:paraId="0FB31CFC" w14:textId="4CD6613E" w:rsidR="004F601A" w:rsidRDefault="00246443" w:rsidP="004F601A">
      <w:r>
        <w:lastRenderedPageBreak/>
        <w:t>T</w:t>
      </w:r>
      <w:r w:rsidR="00496BA0" w:rsidRPr="00FC4741">
        <w:t xml:space="preserve">his definition includes cross-clamp time, which for organ donors refers to the time that the aorta is cross clamped by a surgical team. </w:t>
      </w:r>
      <w:r w:rsidR="00392A82" w:rsidRPr="00392A82">
        <w:t>A documented pronounced time of death is used as asystole when life-saving procedures have been attempted and there were signs of, or docu</w:t>
      </w:r>
      <w:r w:rsidR="004F601A">
        <w:t xml:space="preserve">mentation of, recent life (for example, </w:t>
      </w:r>
      <w:r w:rsidR="00392A82" w:rsidRPr="00392A82">
        <w:t>agonal respirations, pulse-less electrical activity).</w:t>
      </w:r>
      <w:r w:rsidR="00496BA0" w:rsidRPr="00FC4741">
        <w:t>The time of certification of circulatory death would also be considered appropriate if the tissue don</w:t>
      </w:r>
      <w:r w:rsidR="004F601A">
        <w:t>or is also a solid organ donor.</w:t>
      </w:r>
    </w:p>
    <w:tbl>
      <w:tblPr>
        <w:tblStyle w:val="TableTGAblue"/>
        <w:tblW w:w="0" w:type="auto"/>
        <w:tblLook w:val="0480" w:firstRow="0" w:lastRow="0" w:firstColumn="1" w:lastColumn="0" w:noHBand="0" w:noVBand="1"/>
      </w:tblPr>
      <w:tblGrid>
        <w:gridCol w:w="9050"/>
      </w:tblGrid>
      <w:tr w:rsidR="004F601A" w:rsidRPr="00FC4741" w14:paraId="6D23514E" w14:textId="77777777" w:rsidTr="00FA45F7">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2D60D82D" w14:textId="77777777" w:rsidR="004F601A" w:rsidRDefault="004F601A" w:rsidP="004F601A">
            <w:r>
              <w:rPr>
                <w:b/>
                <w:i/>
              </w:rPr>
              <w:t>HCT materials</w:t>
            </w:r>
            <w:r>
              <w:t xml:space="preserve"> </w:t>
            </w:r>
            <w:r w:rsidRPr="009A5E24">
              <w:t>means one or more of the following that are collected from a donor for use in the manufacture of an HCT product</w:t>
            </w:r>
            <w:r>
              <w:t>:</w:t>
            </w:r>
          </w:p>
          <w:p w14:paraId="4EA5EAF0" w14:textId="6984AA4D" w:rsidR="004F601A" w:rsidRDefault="004F601A" w:rsidP="004F601A">
            <w:pPr>
              <w:pStyle w:val="ListParagraph"/>
              <w:numPr>
                <w:ilvl w:val="0"/>
                <w:numId w:val="40"/>
              </w:numPr>
            </w:pPr>
            <w:r w:rsidRPr="009A5E24">
              <w:t>human cells (including haematopoietic progenitor cells</w:t>
            </w:r>
            <w:r>
              <w:t>);</w:t>
            </w:r>
          </w:p>
          <w:p w14:paraId="3C64556D" w14:textId="3AC0545B" w:rsidR="004F601A" w:rsidRDefault="004F601A" w:rsidP="004F601A">
            <w:pPr>
              <w:pStyle w:val="ListParagraph"/>
              <w:numPr>
                <w:ilvl w:val="0"/>
                <w:numId w:val="40"/>
              </w:numPr>
            </w:pPr>
            <w:r>
              <w:t>human tissues;</w:t>
            </w:r>
          </w:p>
          <w:p w14:paraId="75FFF691" w14:textId="77777777" w:rsidR="004F601A" w:rsidRDefault="004F601A" w:rsidP="004F601A">
            <w:pPr>
              <w:pStyle w:val="ListParagraph"/>
              <w:numPr>
                <w:ilvl w:val="0"/>
                <w:numId w:val="40"/>
              </w:numPr>
            </w:pPr>
            <w:r>
              <w:t>blood;</w:t>
            </w:r>
          </w:p>
          <w:p w14:paraId="656BA199" w14:textId="2CA1B9C7" w:rsidR="004F601A" w:rsidRPr="004F601A" w:rsidRDefault="004F601A" w:rsidP="004F601A">
            <w:pPr>
              <w:pStyle w:val="ListParagraph"/>
              <w:numPr>
                <w:ilvl w:val="0"/>
                <w:numId w:val="40"/>
              </w:numPr>
            </w:pPr>
            <w:r>
              <w:t>blood components (including plasma).</w:t>
            </w:r>
          </w:p>
        </w:tc>
      </w:tr>
    </w:tbl>
    <w:p w14:paraId="70C7E352" w14:textId="1B316E1F" w:rsidR="004F601A" w:rsidRPr="004F601A" w:rsidRDefault="004F601A" w:rsidP="004F601A">
      <w:r w:rsidRPr="004F601A">
        <w:t xml:space="preserve">HCT materials applies to collected material and at any stage during processing for manufacture of HCT product. </w:t>
      </w:r>
    </w:p>
    <w:tbl>
      <w:tblPr>
        <w:tblStyle w:val="TableTGAblue"/>
        <w:tblW w:w="0" w:type="auto"/>
        <w:tblLook w:val="0480" w:firstRow="0" w:lastRow="0" w:firstColumn="1" w:lastColumn="0" w:noHBand="0" w:noVBand="1"/>
      </w:tblPr>
      <w:tblGrid>
        <w:gridCol w:w="9050"/>
      </w:tblGrid>
      <w:tr w:rsidR="00246443" w:rsidRPr="00FC4741" w14:paraId="76889E21" w14:textId="77777777" w:rsidTr="009D3EBA">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443D162D" w14:textId="2F6D7CCF" w:rsidR="00A5697F" w:rsidRPr="00FC4741" w:rsidRDefault="00A5697F" w:rsidP="005A0D27">
            <w:r w:rsidRPr="00A5697F">
              <w:rPr>
                <w:b/>
                <w:i/>
              </w:rPr>
              <w:t>specified microorganism</w:t>
            </w:r>
            <w:r w:rsidRPr="00A5697F">
              <w:t xml:space="preserve"> </w:t>
            </w:r>
            <w:r w:rsidR="005A0D27">
              <w:t xml:space="preserve">– see </w:t>
            </w:r>
            <w:hyperlink r:id="rId31" w:history="1">
              <w:r w:rsidR="00D9593F" w:rsidRPr="00475441">
                <w:rPr>
                  <w:rStyle w:val="Hyperlink"/>
                </w:rPr>
                <w:t>Acronyms &amp; glossary</w:t>
              </w:r>
            </w:hyperlink>
          </w:p>
        </w:tc>
      </w:tr>
    </w:tbl>
    <w:p w14:paraId="22E719EB" w14:textId="0D0A6F2A" w:rsidR="00246443" w:rsidRDefault="003F18AB" w:rsidP="00246443">
      <w:r>
        <w:t>A</w:t>
      </w:r>
      <w:r w:rsidR="00496BA0" w:rsidRPr="00FC4741">
        <w:t xml:space="preserve"> sponsor should develop a list of specified microorganisms of clinical significance, which, if isolated, require rejection of the product for clinical use. This process should be based on a risk assessment and consider the category of tissue, the method of processing and the nature and type of microorganisms that might be present. The definition does not mandate a requirement to test for rickettsia or mycoplasma, but these may be considered significant organisms for</w:t>
      </w:r>
      <w:r w:rsidR="00325A91">
        <w:t xml:space="preserve"> particular </w:t>
      </w:r>
      <w:r w:rsidR="00F24E19">
        <w:t xml:space="preserve">HCT </w:t>
      </w:r>
      <w:r w:rsidR="00325A91">
        <w:t>materials.</w:t>
      </w:r>
    </w:p>
    <w:p w14:paraId="491C0872" w14:textId="7A565D5E" w:rsidR="00325A91" w:rsidRDefault="0055747E" w:rsidP="00325A91">
      <w:pPr>
        <w:pStyle w:val="Heading3"/>
      </w:pPr>
      <w:bookmarkStart w:id="18" w:name="_Toc69823134"/>
      <w:r>
        <w:t>Part 2 – R</w:t>
      </w:r>
      <w:r w:rsidR="00325A91">
        <w:t>equirements</w:t>
      </w:r>
      <w:bookmarkEnd w:id="18"/>
    </w:p>
    <w:p w14:paraId="2D56D59D" w14:textId="7C3A7A3A" w:rsidR="002F2F49" w:rsidRDefault="0096389E" w:rsidP="00496BA0">
      <w:r>
        <w:t>Part 2 specifies</w:t>
      </w:r>
      <w:r w:rsidR="00FF1BDD">
        <w:t xml:space="preserve"> the</w:t>
      </w:r>
      <w:r w:rsidR="002F2F49" w:rsidRPr="00404E1E">
        <w:t xml:space="preserve"> minimum standards for samples and test methods used for infectious disease testing for determining donor suitability.</w:t>
      </w:r>
    </w:p>
    <w:p w14:paraId="79A4E8B4" w14:textId="5DB08285" w:rsidR="003D69B9" w:rsidRDefault="00325A91" w:rsidP="003D69B9">
      <w:pPr>
        <w:pStyle w:val="Heading4"/>
      </w:pPr>
      <w:bookmarkStart w:id="19" w:name="_Toc69823135"/>
      <w:r>
        <w:t xml:space="preserve">Section </w:t>
      </w:r>
      <w:r w:rsidR="0055747E">
        <w:t>8</w:t>
      </w:r>
      <w:r w:rsidR="007926B7">
        <w:t xml:space="preserve"> </w:t>
      </w:r>
      <w:r>
        <w:t>– General requirements</w:t>
      </w:r>
      <w:bookmarkEnd w:id="19"/>
    </w:p>
    <w:p w14:paraId="2BC09A5C" w14:textId="5EDB1A44" w:rsidR="00A15642" w:rsidRDefault="00A15642" w:rsidP="00A15642">
      <w:pPr>
        <w:pStyle w:val="Heading5"/>
      </w:pPr>
      <w:bookmarkStart w:id="20" w:name="_Toc68078090"/>
      <w:r>
        <w:t xml:space="preserve">Subsections 8(1) to 8(3) – </w:t>
      </w:r>
      <w:bookmarkEnd w:id="20"/>
      <w:r>
        <w:t>Manufacture</w:t>
      </w:r>
    </w:p>
    <w:tbl>
      <w:tblPr>
        <w:tblStyle w:val="TableTGAblue"/>
        <w:tblW w:w="0" w:type="auto"/>
        <w:tblLook w:val="0480" w:firstRow="0" w:lastRow="0" w:firstColumn="1" w:lastColumn="0" w:noHBand="0" w:noVBand="1"/>
      </w:tblPr>
      <w:tblGrid>
        <w:gridCol w:w="9050"/>
      </w:tblGrid>
      <w:tr w:rsidR="004B589F" w14:paraId="2A161BF5" w14:textId="77777777" w:rsidTr="004B589F">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3514B4CC" w14:textId="25C03587" w:rsidR="004B589F" w:rsidRPr="00C43F51" w:rsidRDefault="0055747E" w:rsidP="004B589F">
            <w:pPr>
              <w:rPr>
                <w:b/>
              </w:rPr>
            </w:pPr>
            <w:r>
              <w:rPr>
                <w:b/>
              </w:rPr>
              <w:t>8</w:t>
            </w:r>
            <w:r w:rsidR="007926B7">
              <w:rPr>
                <w:b/>
              </w:rPr>
              <w:t xml:space="preserve"> General requirements</w:t>
            </w:r>
          </w:p>
          <w:p w14:paraId="6806FE0C" w14:textId="69B22378" w:rsidR="007C44B3" w:rsidRPr="00F508A5" w:rsidRDefault="0096389E" w:rsidP="000064E7">
            <w:pPr>
              <w:pStyle w:val="Numberbullet0"/>
              <w:numPr>
                <w:ilvl w:val="0"/>
                <w:numId w:val="7"/>
              </w:numPr>
              <w:ind w:left="591" w:hanging="591"/>
            </w:pPr>
            <w:r w:rsidRPr="009A5E24">
              <w:rPr>
                <w:szCs w:val="22"/>
              </w:rPr>
              <w:t>An HCT product must be manufactured in accordance with procedures that mitigate the risk of infectious disease transmission</w:t>
            </w:r>
            <w:r w:rsidR="00F508A5">
              <w:rPr>
                <w:szCs w:val="22"/>
              </w:rPr>
              <w:t>.</w:t>
            </w:r>
          </w:p>
          <w:p w14:paraId="0C20252B" w14:textId="059FFB54" w:rsidR="00F508A5" w:rsidRPr="00004176" w:rsidRDefault="004F601A" w:rsidP="00004176">
            <w:pPr>
              <w:pStyle w:val="Numberbullet0"/>
              <w:numPr>
                <w:ilvl w:val="0"/>
                <w:numId w:val="7"/>
              </w:numPr>
              <w:ind w:left="591" w:hanging="591"/>
            </w:pPr>
            <w:r w:rsidRPr="009A5E24">
              <w:rPr>
                <w:szCs w:val="22"/>
              </w:rPr>
              <w:t>An HCT product must not be released for supply, unless the applicable screening procedures and requirements specified in this instrument are satisfied</w:t>
            </w:r>
            <w:r w:rsidR="002961F3" w:rsidRPr="002961F3">
              <w:rPr>
                <w:szCs w:val="22"/>
              </w:rPr>
              <w:t>.</w:t>
            </w:r>
          </w:p>
          <w:p w14:paraId="7668B5DF" w14:textId="1B9E8D95" w:rsidR="00F508A5" w:rsidRPr="007C44B3" w:rsidRDefault="004F601A" w:rsidP="000064E7">
            <w:pPr>
              <w:pStyle w:val="Numberbullet0"/>
              <w:numPr>
                <w:ilvl w:val="0"/>
                <w:numId w:val="7"/>
              </w:numPr>
              <w:ind w:left="591" w:hanging="591"/>
            </w:pPr>
            <w:r w:rsidRPr="009A5E24">
              <w:rPr>
                <w:szCs w:val="22"/>
              </w:rPr>
              <w:t>Acceptance criteria based on microbial specifications must be applied to HCT materials used in the manufacture of an HCT product</w:t>
            </w:r>
            <w:r w:rsidR="00F508A5">
              <w:rPr>
                <w:szCs w:val="22"/>
              </w:rPr>
              <w:t>.</w:t>
            </w:r>
          </w:p>
        </w:tc>
      </w:tr>
    </w:tbl>
    <w:p w14:paraId="0CCC4622" w14:textId="4EED0833" w:rsidR="008214A9" w:rsidRDefault="008214A9" w:rsidP="00E2375F">
      <w:r>
        <w:t>All</w:t>
      </w:r>
      <w:r w:rsidR="00E2375F">
        <w:t xml:space="preserve"> manufacturers must ensure that </w:t>
      </w:r>
      <w:r w:rsidRPr="008214A9">
        <w:t xml:space="preserve">the design and construction of the manufacturing facility is suitable to the type of processing conducted, with separation </w:t>
      </w:r>
      <w:r w:rsidR="00C978BD">
        <w:t>of areas for minimising mix-ups</w:t>
      </w:r>
      <w:r w:rsidR="00FC657E">
        <w:t xml:space="preserve"> and </w:t>
      </w:r>
      <w:r w:rsidRPr="008214A9">
        <w:t>contamination</w:t>
      </w:r>
      <w:r w:rsidR="00E2375F">
        <w:t>.</w:t>
      </w:r>
    </w:p>
    <w:p w14:paraId="293B3E2F" w14:textId="77777777" w:rsidR="008214A9" w:rsidRDefault="008214A9" w:rsidP="008214A9">
      <w:r>
        <w:lastRenderedPageBreak/>
        <w:t>If the manufacture of an HCT product takes place in a hospital, the facility and procedures should be designed and developed in a way that takes account the principles of GMP.</w:t>
      </w:r>
    </w:p>
    <w:p w14:paraId="60CD51F6" w14:textId="77777777" w:rsidR="008214A9" w:rsidRDefault="008214A9" w:rsidP="008214A9">
      <w:r>
        <w:t xml:space="preserve">Where a facility holds a TGA manufacturing licence, compliance with the requirements outlined in this subsection are achieved through complying with the requirements of the </w:t>
      </w:r>
      <w:hyperlink r:id="rId32" w:history="1">
        <w:r>
          <w:rPr>
            <w:rStyle w:val="Hyperlink"/>
          </w:rPr>
          <w:t>Australian Code of GMP</w:t>
        </w:r>
      </w:hyperlink>
      <w:r>
        <w:t xml:space="preserve">. </w:t>
      </w:r>
    </w:p>
    <w:p w14:paraId="664FDD3E" w14:textId="7613E205" w:rsidR="00BB7233" w:rsidRDefault="008214A9" w:rsidP="00BB7233">
      <w:r>
        <w:t xml:space="preserve">Guidance is available to assist facilities on how the </w:t>
      </w:r>
      <w:r w:rsidRPr="001B3E3F">
        <w:t>Australian Code of GMP</w:t>
      </w:r>
      <w:r>
        <w:t xml:space="preserve"> applies to the manufacture of HCT products.</w:t>
      </w:r>
    </w:p>
    <w:p w14:paraId="27C21DD1" w14:textId="264C6135" w:rsidR="0054111B" w:rsidRDefault="0054111B" w:rsidP="0054111B">
      <w:r>
        <w:t>Note</w:t>
      </w:r>
      <w:r w:rsidR="00E2375F">
        <w:t xml:space="preserve"> that all HCT p</w:t>
      </w:r>
      <w:r w:rsidRPr="00FC4741">
        <w:t>roducts and</w:t>
      </w:r>
      <w:r>
        <w:t xml:space="preserve"> materials</w:t>
      </w:r>
      <w:r w:rsidRPr="00FC4741">
        <w:t xml:space="preserve"> must be segregated from the mainstream inventory until the </w:t>
      </w:r>
      <w:r>
        <w:t xml:space="preserve">HCT </w:t>
      </w:r>
      <w:r w:rsidRPr="00FC4741">
        <w:t xml:space="preserve">product has been determined to be compliant with all necessary requirements or release criteria, </w:t>
      </w:r>
      <w:r>
        <w:t xml:space="preserve">for example, </w:t>
      </w:r>
      <w:r w:rsidRPr="00FC4741">
        <w:t xml:space="preserve">where infectious disease test results may not be complete. This is especially relevant for products stored in an inventory (or banked) with other products for potentially long periods of time as these products pose a risk of transmission to other products through physical contact, and a risk to the public from unintentional release and use. Quarantine procedures are assessable under the </w:t>
      </w:r>
      <w:r>
        <w:t>c</w:t>
      </w:r>
      <w:r w:rsidRPr="00F508A5">
        <w:t xml:space="preserve">urrent Good Manufacturing Practice </w:t>
      </w:r>
      <w:r>
        <w:t>(</w:t>
      </w:r>
      <w:r w:rsidRPr="00FC4741">
        <w:t>cGMP</w:t>
      </w:r>
      <w:r>
        <w:t>) requirements</w:t>
      </w:r>
      <w:r w:rsidRPr="00FC4741">
        <w:t>. Quarantine practices should be determined based on risk; however, the conditions of quarantine should be consistent with storage conditions</w:t>
      </w:r>
      <w:r>
        <w:t>,</w:t>
      </w:r>
      <w:r w:rsidRPr="00FC4741">
        <w:t xml:space="preserve"> wherever possible. </w:t>
      </w:r>
    </w:p>
    <w:p w14:paraId="18313820" w14:textId="07B72F14" w:rsidR="00A15642" w:rsidRDefault="00A15642" w:rsidP="00A15642">
      <w:pPr>
        <w:pStyle w:val="Heading5"/>
      </w:pPr>
      <w:r>
        <w:t>Subsection 8(4) – Blood sample testing timeframe</w:t>
      </w:r>
    </w:p>
    <w:tbl>
      <w:tblPr>
        <w:tblStyle w:val="TableTGAblue"/>
        <w:tblW w:w="0" w:type="auto"/>
        <w:tblLook w:val="0480" w:firstRow="0" w:lastRow="0" w:firstColumn="1" w:lastColumn="0" w:noHBand="0" w:noVBand="1"/>
      </w:tblPr>
      <w:tblGrid>
        <w:gridCol w:w="9050"/>
      </w:tblGrid>
      <w:tr w:rsidR="00BB7233" w14:paraId="10207894" w14:textId="77777777" w:rsidTr="0036169B">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20E785DE" w14:textId="00305FB0" w:rsidR="00BB7233" w:rsidRPr="00C43F51" w:rsidRDefault="009B2BD7" w:rsidP="0036169B">
            <w:pPr>
              <w:rPr>
                <w:b/>
              </w:rPr>
            </w:pPr>
            <w:r>
              <w:rPr>
                <w:b/>
              </w:rPr>
              <w:t>8 General requirements</w:t>
            </w:r>
          </w:p>
          <w:p w14:paraId="4C9B5624" w14:textId="547257C7" w:rsidR="00BB7233" w:rsidRPr="00F508A5" w:rsidRDefault="00E2375F" w:rsidP="000064E7">
            <w:pPr>
              <w:pStyle w:val="Numberbullet0"/>
              <w:numPr>
                <w:ilvl w:val="0"/>
                <w:numId w:val="7"/>
              </w:numPr>
              <w:ind w:left="591" w:hanging="591"/>
            </w:pPr>
            <w:r w:rsidRPr="009A5E24">
              <w:rPr>
                <w:szCs w:val="22"/>
              </w:rPr>
              <w:t>Blood samples of a donor of HCT materials must be tested</w:t>
            </w:r>
            <w:r w:rsidR="00BB7233">
              <w:rPr>
                <w:szCs w:val="22"/>
              </w:rPr>
              <w:t>:</w:t>
            </w:r>
          </w:p>
          <w:p w14:paraId="7E4478B8" w14:textId="4A889BFC" w:rsidR="00BB7233" w:rsidRPr="00F508A5" w:rsidRDefault="00E2375F" w:rsidP="000E409B">
            <w:pPr>
              <w:pStyle w:val="Numberbullet0"/>
              <w:numPr>
                <w:ilvl w:val="0"/>
                <w:numId w:val="11"/>
              </w:numPr>
            </w:pPr>
            <w:r w:rsidRPr="009A5E24">
              <w:rPr>
                <w:szCs w:val="22"/>
              </w:rPr>
              <w:t>as soon as practicable after the blood sample is taken</w:t>
            </w:r>
            <w:r w:rsidR="00E00E78">
              <w:rPr>
                <w:szCs w:val="22"/>
              </w:rPr>
              <w:t>; or</w:t>
            </w:r>
          </w:p>
          <w:p w14:paraId="671CA66F" w14:textId="73FCF536" w:rsidR="00BB7233" w:rsidRPr="00E00E78" w:rsidRDefault="00E2375F" w:rsidP="000E409B">
            <w:pPr>
              <w:pStyle w:val="Numberbullet0"/>
              <w:numPr>
                <w:ilvl w:val="0"/>
                <w:numId w:val="11"/>
              </w:numPr>
            </w:pPr>
            <w:r w:rsidRPr="009A5E24">
              <w:rPr>
                <w:szCs w:val="22"/>
              </w:rPr>
              <w:t>in accordance with the timeframe specified by the manufacturer of the IVD medical device or the in-house IVD medical device that is used for testing the sample</w:t>
            </w:r>
            <w:r w:rsidR="00E00E78">
              <w:rPr>
                <w:szCs w:val="22"/>
              </w:rPr>
              <w:t>; or</w:t>
            </w:r>
          </w:p>
          <w:p w14:paraId="34C1F6A9" w14:textId="1AE98331" w:rsidR="00E00E78" w:rsidRPr="00C03AC5" w:rsidRDefault="00E2375F" w:rsidP="000E409B">
            <w:pPr>
              <w:pStyle w:val="Numberbullet0"/>
              <w:numPr>
                <w:ilvl w:val="0"/>
                <w:numId w:val="11"/>
              </w:numPr>
            </w:pPr>
            <w:r w:rsidRPr="009A5E24">
              <w:rPr>
                <w:szCs w:val="22"/>
              </w:rPr>
              <w:t>where testing is</w:t>
            </w:r>
            <w:r>
              <w:rPr>
                <w:szCs w:val="22"/>
              </w:rPr>
              <w:t xml:space="preserve"> conducted outside of Australia – </w:t>
            </w:r>
            <w:r w:rsidRPr="009A5E24">
              <w:rPr>
                <w:szCs w:val="22"/>
              </w:rPr>
              <w:t>within a timeframe that is validated by the testing laboratory</w:t>
            </w:r>
            <w:r w:rsidR="00E00E78">
              <w:rPr>
                <w:szCs w:val="22"/>
              </w:rPr>
              <w:t>.</w:t>
            </w:r>
          </w:p>
        </w:tc>
      </w:tr>
    </w:tbl>
    <w:p w14:paraId="730B64F9" w14:textId="01C2E359" w:rsidR="00C03AC5" w:rsidRDefault="00C03AC5" w:rsidP="00C03AC5">
      <w:pPr>
        <w:rPr>
          <w:szCs w:val="22"/>
        </w:rPr>
      </w:pPr>
      <w:r w:rsidRPr="00825EBB">
        <w:rPr>
          <w:szCs w:val="22"/>
        </w:rPr>
        <w:t xml:space="preserve">Timeframes for sample testing </w:t>
      </w:r>
      <w:r w:rsidR="00F46FDA">
        <w:rPr>
          <w:szCs w:val="22"/>
        </w:rPr>
        <w:t>should be in accordance with requirements of validated test kits</w:t>
      </w:r>
      <w:r>
        <w:rPr>
          <w:szCs w:val="22"/>
        </w:rPr>
        <w:t>.</w:t>
      </w:r>
      <w:r w:rsidR="00653C5D" w:rsidRPr="00653C5D">
        <w:rPr>
          <w:color w:val="000000"/>
          <w:shd w:val="clear" w:color="auto" w:fill="FFFFFF"/>
        </w:rPr>
        <w:t xml:space="preserve"> </w:t>
      </w:r>
      <w:r w:rsidR="00653C5D" w:rsidRPr="00653C5D">
        <w:rPr>
          <w:szCs w:val="22"/>
        </w:rPr>
        <w:t>The testing methodology must have been validated for cadaveric samples to include the relevant time period of sample collection following asystole. </w:t>
      </w:r>
    </w:p>
    <w:p w14:paraId="6B99B118" w14:textId="2D31672E" w:rsidR="00A15642" w:rsidRDefault="00A15642" w:rsidP="00A15642">
      <w:pPr>
        <w:pStyle w:val="Heading5"/>
      </w:pPr>
      <w:r>
        <w:lastRenderedPageBreak/>
        <w:t>Subsection 8(5) – Blood sample testing using IVDs</w:t>
      </w:r>
    </w:p>
    <w:tbl>
      <w:tblPr>
        <w:tblStyle w:val="TableTGAblue"/>
        <w:tblW w:w="0" w:type="auto"/>
        <w:tblLook w:val="0480" w:firstRow="0" w:lastRow="0" w:firstColumn="1" w:lastColumn="0" w:noHBand="0" w:noVBand="1"/>
      </w:tblPr>
      <w:tblGrid>
        <w:gridCol w:w="9050"/>
      </w:tblGrid>
      <w:tr w:rsidR="00C03AC5" w14:paraId="19424D2E" w14:textId="77777777" w:rsidTr="0036169B">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72DAA35" w14:textId="3A0F6630" w:rsidR="00C03AC5" w:rsidRPr="00C43F51" w:rsidRDefault="009B2BD7" w:rsidP="0036169B">
            <w:pPr>
              <w:rPr>
                <w:b/>
              </w:rPr>
            </w:pPr>
            <w:r>
              <w:rPr>
                <w:b/>
              </w:rPr>
              <w:t>8 General requirements</w:t>
            </w:r>
          </w:p>
          <w:p w14:paraId="4DE76F92" w14:textId="2B03F19B" w:rsidR="00C03AC5" w:rsidRPr="00F508A5" w:rsidRDefault="006974F1" w:rsidP="000064E7">
            <w:pPr>
              <w:pStyle w:val="Numberbullet0"/>
              <w:numPr>
                <w:ilvl w:val="0"/>
                <w:numId w:val="7"/>
              </w:numPr>
              <w:ind w:left="591" w:hanging="591"/>
            </w:pPr>
            <w:r w:rsidRPr="009A5E24">
              <w:rPr>
                <w:szCs w:val="22"/>
              </w:rPr>
              <w:t>Blood samples must be tested using IVD medical devices or in-house IVD medical devices that</w:t>
            </w:r>
            <w:r w:rsidR="00C03AC5">
              <w:rPr>
                <w:szCs w:val="22"/>
              </w:rPr>
              <w:t>:</w:t>
            </w:r>
          </w:p>
          <w:p w14:paraId="42B01658" w14:textId="1D89EE75" w:rsidR="00C03AC5" w:rsidRPr="00F508A5" w:rsidRDefault="006974F1" w:rsidP="000E409B">
            <w:pPr>
              <w:pStyle w:val="Numberbullet0"/>
              <w:numPr>
                <w:ilvl w:val="0"/>
                <w:numId w:val="12"/>
              </w:numPr>
            </w:pPr>
            <w:r w:rsidRPr="009A5E24">
              <w:rPr>
                <w:szCs w:val="22"/>
              </w:rPr>
              <w:t>use the most appropriate methodology available that is validated for testing the samples (including cadaveric samples)</w:t>
            </w:r>
            <w:r w:rsidR="00C03AC5">
              <w:rPr>
                <w:szCs w:val="22"/>
              </w:rPr>
              <w:t>; and</w:t>
            </w:r>
          </w:p>
          <w:p w14:paraId="4FAD4CC7" w14:textId="3AEE2DFD" w:rsidR="00C03AC5" w:rsidRPr="00C03AC5" w:rsidRDefault="006974F1" w:rsidP="000E409B">
            <w:pPr>
              <w:pStyle w:val="Numberbullet0"/>
              <w:numPr>
                <w:ilvl w:val="0"/>
                <w:numId w:val="12"/>
              </w:numPr>
            </w:pPr>
            <w:r w:rsidRPr="009A5E24">
              <w:rPr>
                <w:szCs w:val="22"/>
              </w:rPr>
              <w:t xml:space="preserve">where testing is conducted in </w:t>
            </w:r>
            <w:r>
              <w:rPr>
                <w:szCs w:val="22"/>
              </w:rPr>
              <w:t xml:space="preserve">Australia – </w:t>
            </w:r>
            <w:r w:rsidRPr="009A5E24">
              <w:rPr>
                <w:szCs w:val="22"/>
              </w:rPr>
              <w:t>are either included in the Register or exempt from the requirement to be included in the Register, or are the subject of an approval or authority under the Act</w:t>
            </w:r>
            <w:r w:rsidR="00C03AC5">
              <w:rPr>
                <w:szCs w:val="22"/>
              </w:rPr>
              <w:t>; and</w:t>
            </w:r>
          </w:p>
          <w:p w14:paraId="443C7E4D" w14:textId="4A5A77AF" w:rsidR="00C03AC5" w:rsidRPr="00C03AC5" w:rsidRDefault="0096389E" w:rsidP="000E409B">
            <w:pPr>
              <w:pStyle w:val="Numberbullet0"/>
              <w:numPr>
                <w:ilvl w:val="0"/>
                <w:numId w:val="12"/>
              </w:numPr>
            </w:pPr>
            <w:r w:rsidRPr="009A5E24">
              <w:rPr>
                <w:szCs w:val="22"/>
              </w:rPr>
              <w:t>where testing is conducted outside of Australia</w:t>
            </w:r>
            <w:r>
              <w:rPr>
                <w:szCs w:val="22"/>
              </w:rPr>
              <w:t xml:space="preserve"> </w:t>
            </w:r>
            <w:r w:rsidR="006974F1">
              <w:rPr>
                <w:szCs w:val="22"/>
              </w:rPr>
              <w:t xml:space="preserve">– </w:t>
            </w:r>
            <w:r w:rsidR="006974F1" w:rsidRPr="009A5E24">
              <w:rPr>
                <w:szCs w:val="22"/>
              </w:rPr>
              <w:t>are</w:t>
            </w:r>
            <w:r w:rsidR="00765933" w:rsidRPr="00765933">
              <w:rPr>
                <w:szCs w:val="22"/>
              </w:rPr>
              <w:t>:</w:t>
            </w:r>
          </w:p>
          <w:p w14:paraId="0CBCFD31" w14:textId="35CE7E79" w:rsidR="00C03AC5" w:rsidRPr="00C03AC5" w:rsidRDefault="0096389E" w:rsidP="000E409B">
            <w:pPr>
              <w:pStyle w:val="Numberbullet0"/>
              <w:numPr>
                <w:ilvl w:val="0"/>
                <w:numId w:val="13"/>
              </w:numPr>
            </w:pPr>
            <w:r w:rsidRPr="009A5E24">
              <w:rPr>
                <w:szCs w:val="22"/>
              </w:rPr>
              <w:t>approved by a relevant regulatory authority in the country in which the testing is conducted</w:t>
            </w:r>
            <w:r w:rsidR="00C03AC5">
              <w:rPr>
                <w:szCs w:val="22"/>
              </w:rPr>
              <w:t>; and</w:t>
            </w:r>
          </w:p>
          <w:p w14:paraId="0BC2568B" w14:textId="2C0EC54F" w:rsidR="00C03AC5" w:rsidRPr="00C03AC5" w:rsidRDefault="0096389E" w:rsidP="000E409B">
            <w:pPr>
              <w:pStyle w:val="Numberbullet0"/>
              <w:numPr>
                <w:ilvl w:val="0"/>
                <w:numId w:val="13"/>
              </w:numPr>
            </w:pPr>
            <w:r w:rsidRPr="009A5E24">
              <w:rPr>
                <w:szCs w:val="22"/>
              </w:rPr>
              <w:t>used in a facility that has been approved for such testing by a relevant regulatory authority in the country in which the testing is conducted</w:t>
            </w:r>
            <w:r w:rsidR="00C03AC5">
              <w:rPr>
                <w:szCs w:val="22"/>
              </w:rPr>
              <w:t>; and</w:t>
            </w:r>
          </w:p>
          <w:p w14:paraId="785613CB" w14:textId="5FA3CED5" w:rsidR="00C03AC5" w:rsidRPr="00C03AC5" w:rsidRDefault="00C03AC5" w:rsidP="000E409B">
            <w:pPr>
              <w:pStyle w:val="Numberbullet0"/>
              <w:numPr>
                <w:ilvl w:val="0"/>
                <w:numId w:val="13"/>
              </w:numPr>
            </w:pPr>
            <w:r>
              <w:rPr>
                <w:szCs w:val="22"/>
              </w:rPr>
              <w:t>considered acceptable by the Therapeutic Goods Administration.</w:t>
            </w:r>
          </w:p>
        </w:tc>
      </w:tr>
    </w:tbl>
    <w:p w14:paraId="6B1E083A" w14:textId="69C2D9F2" w:rsidR="00C03AC5" w:rsidRDefault="00C03AC5" w:rsidP="00C03AC5">
      <w:pPr>
        <w:rPr>
          <w:szCs w:val="22"/>
        </w:rPr>
      </w:pPr>
      <w:r w:rsidRPr="009F74E4">
        <w:rPr>
          <w:szCs w:val="22"/>
        </w:rPr>
        <w:t xml:space="preserve">Each </w:t>
      </w:r>
      <w:r w:rsidR="00E158B6">
        <w:rPr>
          <w:szCs w:val="22"/>
        </w:rPr>
        <w:t>in vitro diagnostic (IVD)</w:t>
      </w:r>
      <w:r>
        <w:rPr>
          <w:szCs w:val="22"/>
        </w:rPr>
        <w:t xml:space="preserve"> medical device or in-house IVD medical device </w:t>
      </w:r>
      <w:r w:rsidRPr="009F74E4">
        <w:rPr>
          <w:szCs w:val="22"/>
        </w:rPr>
        <w:t>used for the mandatory donor screening tests and confirmatory tests (if these support final product release) should be validated for the purpose for which it is to be used (intended use) and used in accordance with the test kit instructions. Where test methods are used be</w:t>
      </w:r>
      <w:r>
        <w:rPr>
          <w:szCs w:val="22"/>
        </w:rPr>
        <w:t>yond the test kit instructions (</w:t>
      </w:r>
      <w:r w:rsidR="00307DC6">
        <w:t>for example,</w:t>
      </w:r>
      <w:r w:rsidRPr="009F74E4">
        <w:rPr>
          <w:szCs w:val="22"/>
        </w:rPr>
        <w:t xml:space="preserve"> use on cadaveric samples</w:t>
      </w:r>
      <w:r>
        <w:rPr>
          <w:szCs w:val="22"/>
        </w:rPr>
        <w:t>)</w:t>
      </w:r>
      <w:r w:rsidRPr="009F74E4">
        <w:rPr>
          <w:szCs w:val="22"/>
        </w:rPr>
        <w:t>, validation to support the extended use must be demonstrated.</w:t>
      </w:r>
    </w:p>
    <w:p w14:paraId="7A2E8C15" w14:textId="7E1C39DB" w:rsidR="00C03AC5" w:rsidRDefault="00C03AC5" w:rsidP="00C03AC5">
      <w:pPr>
        <w:pStyle w:val="Heading6"/>
      </w:pPr>
      <w:r>
        <w:t>M</w:t>
      </w:r>
      <w:r w:rsidRPr="009F74E4">
        <w:t>eth</w:t>
      </w:r>
      <w:r>
        <w:t>odology of testing kits</w:t>
      </w:r>
    </w:p>
    <w:p w14:paraId="66C0FAF0" w14:textId="266D2E4F" w:rsidR="00C03AC5" w:rsidRDefault="00C03AC5" w:rsidP="00C03AC5">
      <w:pPr>
        <w:rPr>
          <w:szCs w:val="22"/>
        </w:rPr>
      </w:pPr>
      <w:r>
        <w:rPr>
          <w:szCs w:val="22"/>
        </w:rPr>
        <w:t xml:space="preserve">The most appropriate </w:t>
      </w:r>
      <w:r w:rsidRPr="009F74E4">
        <w:rPr>
          <w:szCs w:val="22"/>
        </w:rPr>
        <w:t>methodology shall be determined and justified by the sponsor. The infectious diseases test screening protocol could be an ‘in-house’ test or a commercial kit and may be conducted by the sponsor or a contract laboratory. The sponsor should also consider utilising new test methods, such as more sensitive as</w:t>
      </w:r>
      <w:r>
        <w:rPr>
          <w:szCs w:val="22"/>
        </w:rPr>
        <w:t>says, as they become available.</w:t>
      </w:r>
    </w:p>
    <w:p w14:paraId="1467A607" w14:textId="666159A2" w:rsidR="00C03AC5" w:rsidRDefault="00C03AC5" w:rsidP="00C03AC5">
      <w:pPr>
        <w:rPr>
          <w:szCs w:val="22"/>
        </w:rPr>
      </w:pPr>
      <w:r w:rsidRPr="009F74E4">
        <w:rPr>
          <w:szCs w:val="22"/>
        </w:rPr>
        <w:t>In addition, when testing a sample of cadaveric blood</w:t>
      </w:r>
      <w:r w:rsidR="007C61A0">
        <w:rPr>
          <w:szCs w:val="22"/>
        </w:rPr>
        <w:t xml:space="preserve">, </w:t>
      </w:r>
      <w:r w:rsidRPr="009F74E4">
        <w:rPr>
          <w:szCs w:val="22"/>
        </w:rPr>
        <w:t>the screening test must be specifically approved for use on cadaveric specimens or validated for this purpose by the testing laboratory.</w:t>
      </w:r>
    </w:p>
    <w:p w14:paraId="6759100A" w14:textId="638A62E1" w:rsidR="00C03AC5" w:rsidRDefault="00C03AC5" w:rsidP="00C03AC5">
      <w:pPr>
        <w:pStyle w:val="Heading6"/>
      </w:pPr>
      <w:r>
        <w:t>Approval of test kits</w:t>
      </w:r>
    </w:p>
    <w:p w14:paraId="5EC943FF" w14:textId="77777777" w:rsidR="00C03AC5" w:rsidRDefault="00C03AC5" w:rsidP="00C03AC5">
      <w:pPr>
        <w:rPr>
          <w:szCs w:val="22"/>
        </w:rPr>
      </w:pPr>
      <w:r w:rsidRPr="009F74E4">
        <w:rPr>
          <w:szCs w:val="22"/>
        </w:rPr>
        <w:t>If the test kit and methodology has current approval by the relevant regulatory authority in the country where the testing is performed, the evidence of th</w:t>
      </w:r>
      <w:r>
        <w:rPr>
          <w:szCs w:val="22"/>
        </w:rPr>
        <w:t>is approval should be provided.</w:t>
      </w:r>
    </w:p>
    <w:p w14:paraId="6A426AD8" w14:textId="663B20B7" w:rsidR="00C03AC5" w:rsidRDefault="00C03AC5" w:rsidP="00C03AC5">
      <w:pPr>
        <w:rPr>
          <w:szCs w:val="22"/>
        </w:rPr>
      </w:pPr>
      <w:r w:rsidRPr="009F74E4">
        <w:rPr>
          <w:szCs w:val="22"/>
        </w:rPr>
        <w:t xml:space="preserve">Where test methods are used beyond the level approved by the local regulatory approval, </w:t>
      </w:r>
      <w:r w:rsidR="00307DC6">
        <w:t>for example</w:t>
      </w:r>
      <w:r w:rsidR="00307DC6">
        <w:rPr>
          <w:szCs w:val="22"/>
        </w:rPr>
        <w:t xml:space="preserve">, </w:t>
      </w:r>
      <w:r w:rsidRPr="009F74E4">
        <w:rPr>
          <w:szCs w:val="22"/>
        </w:rPr>
        <w:t xml:space="preserve">use on cadaveric samples, validation to support the extended use must be demonstrated. </w:t>
      </w:r>
    </w:p>
    <w:p w14:paraId="1109DF2D" w14:textId="77777777" w:rsidR="00C03AC5" w:rsidRDefault="00C03AC5" w:rsidP="00C03AC5">
      <w:pPr>
        <w:rPr>
          <w:szCs w:val="22"/>
        </w:rPr>
      </w:pPr>
      <w:r>
        <w:rPr>
          <w:szCs w:val="22"/>
        </w:rPr>
        <w:t>A well-</w:t>
      </w:r>
      <w:r w:rsidRPr="009F74E4">
        <w:rPr>
          <w:szCs w:val="22"/>
        </w:rPr>
        <w:t xml:space="preserve">characterised assay already </w:t>
      </w:r>
      <w:r>
        <w:rPr>
          <w:szCs w:val="22"/>
        </w:rPr>
        <w:t>established for blood donors may</w:t>
      </w:r>
      <w:r w:rsidRPr="009F74E4">
        <w:rPr>
          <w:szCs w:val="22"/>
        </w:rPr>
        <w:t xml:space="preserve"> be used for testing cadaveric specimens. Alternative methods to characterise a cadaveric</w:t>
      </w:r>
      <w:r>
        <w:rPr>
          <w:szCs w:val="22"/>
        </w:rPr>
        <w:t xml:space="preserve"> assay may be acceptable to </w:t>
      </w:r>
      <w:r w:rsidRPr="009F74E4">
        <w:rPr>
          <w:szCs w:val="22"/>
        </w:rPr>
        <w:t>TGA and the supporting validation</w:t>
      </w:r>
      <w:r>
        <w:rPr>
          <w:szCs w:val="22"/>
        </w:rPr>
        <w:t xml:space="preserve"> data should be provided </w:t>
      </w:r>
      <w:r w:rsidRPr="009F74E4">
        <w:rPr>
          <w:szCs w:val="22"/>
        </w:rPr>
        <w:t>for review with the application.</w:t>
      </w:r>
    </w:p>
    <w:p w14:paraId="42C37ABE" w14:textId="187A9AB6" w:rsidR="00C03AC5" w:rsidRDefault="00C03AC5" w:rsidP="00C03AC5">
      <w:pPr>
        <w:pStyle w:val="Heading6"/>
      </w:pPr>
      <w:r>
        <w:t>Testing facility</w:t>
      </w:r>
    </w:p>
    <w:p w14:paraId="6048AA1B" w14:textId="77777777" w:rsidR="00C03AC5" w:rsidRDefault="00C03AC5" w:rsidP="00C03AC5">
      <w:pPr>
        <w:rPr>
          <w:szCs w:val="22"/>
        </w:rPr>
      </w:pPr>
      <w:r w:rsidRPr="009F74E4">
        <w:rPr>
          <w:szCs w:val="22"/>
        </w:rPr>
        <w:t>All facilities performing donor testing must be approved by the regulatory authority in the country where the testing is per</w:t>
      </w:r>
      <w:r>
        <w:rPr>
          <w:szCs w:val="22"/>
        </w:rPr>
        <w:t xml:space="preserve">formed. For domestic facilities, </w:t>
      </w:r>
      <w:r w:rsidRPr="009F74E4">
        <w:rPr>
          <w:szCs w:val="22"/>
        </w:rPr>
        <w:t>a TG</w:t>
      </w:r>
      <w:r>
        <w:rPr>
          <w:szCs w:val="22"/>
        </w:rPr>
        <w:t xml:space="preserve">A licence will be required; </w:t>
      </w:r>
      <w:r w:rsidRPr="009F74E4">
        <w:rPr>
          <w:szCs w:val="22"/>
        </w:rPr>
        <w:lastRenderedPageBreak/>
        <w:t>for overseas testing facilities</w:t>
      </w:r>
      <w:r>
        <w:rPr>
          <w:szCs w:val="22"/>
        </w:rPr>
        <w:t>,</w:t>
      </w:r>
      <w:r w:rsidRPr="009F74E4">
        <w:rPr>
          <w:szCs w:val="22"/>
        </w:rPr>
        <w:t xml:space="preserve"> the sponsor must hold a TGA clearance demonstrating compliance with GMP requirements. Where confirmatory testing is utilised to decide suitability of a donor, the facility’s GMP must include this purpose.</w:t>
      </w:r>
    </w:p>
    <w:p w14:paraId="5EB2BAE7" w14:textId="2AA50BD1" w:rsidR="00C03AC5" w:rsidRDefault="00C03AC5" w:rsidP="00C03AC5">
      <w:pPr>
        <w:pStyle w:val="Heading6"/>
      </w:pPr>
      <w:r>
        <w:t>A</w:t>
      </w:r>
      <w:r w:rsidRPr="009F74E4">
        <w:t>cc</w:t>
      </w:r>
      <w:r w:rsidR="008A4AC5">
        <w:t>eptance of testing kits</w:t>
      </w:r>
    </w:p>
    <w:p w14:paraId="09B91BBE" w14:textId="48D5552D" w:rsidR="00C03AC5" w:rsidRDefault="00C03AC5" w:rsidP="00C03AC5">
      <w:pPr>
        <w:rPr>
          <w:szCs w:val="22"/>
        </w:rPr>
      </w:pPr>
      <w:r w:rsidRPr="009F74E4">
        <w:rPr>
          <w:szCs w:val="22"/>
        </w:rPr>
        <w:t>Sponsor</w:t>
      </w:r>
      <w:r>
        <w:rPr>
          <w:szCs w:val="22"/>
        </w:rPr>
        <w:t xml:space="preserve">s are encouraged to contact </w:t>
      </w:r>
      <w:r w:rsidR="007C61A0" w:rsidRPr="00CE6E68">
        <w:rPr>
          <w:szCs w:val="22"/>
        </w:rPr>
        <w:t>TGA’s Biological Science Section (BSS)</w:t>
      </w:r>
      <w:r w:rsidRPr="009F74E4">
        <w:rPr>
          <w:szCs w:val="22"/>
        </w:rPr>
        <w:t xml:space="preserve"> </w:t>
      </w:r>
      <w:r>
        <w:rPr>
          <w:szCs w:val="22"/>
        </w:rPr>
        <w:t>as</w:t>
      </w:r>
      <w:r w:rsidRPr="009F74E4">
        <w:rPr>
          <w:szCs w:val="22"/>
        </w:rPr>
        <w:t xml:space="preserve"> to </w:t>
      </w:r>
      <w:r>
        <w:rPr>
          <w:szCs w:val="22"/>
        </w:rPr>
        <w:t>the acceptability of test kits.</w:t>
      </w:r>
    </w:p>
    <w:p w14:paraId="1D6A0A1D" w14:textId="3292580E" w:rsidR="00C03AC5" w:rsidRDefault="00C03AC5" w:rsidP="00C03AC5">
      <w:pPr>
        <w:rPr>
          <w:szCs w:val="22"/>
        </w:rPr>
      </w:pPr>
      <w:r w:rsidRPr="009F74E4">
        <w:rPr>
          <w:szCs w:val="22"/>
        </w:rPr>
        <w:t>Test kits used in Australia for donor screening should m</w:t>
      </w:r>
      <w:r>
        <w:rPr>
          <w:szCs w:val="22"/>
        </w:rPr>
        <w:t>eet the requirements of the IVD</w:t>
      </w:r>
      <w:r w:rsidRPr="009F74E4">
        <w:rPr>
          <w:szCs w:val="22"/>
        </w:rPr>
        <w:t xml:space="preserve"> regulatory framework. Testing facilities in Australia would also n</w:t>
      </w:r>
      <w:r>
        <w:rPr>
          <w:szCs w:val="22"/>
        </w:rPr>
        <w:t>eed a GMP licence from TGA.</w:t>
      </w:r>
    </w:p>
    <w:p w14:paraId="7A22EBF0" w14:textId="1C53875F" w:rsidR="008A4AC5" w:rsidRDefault="00C03AC5" w:rsidP="008A4AC5">
      <w:pPr>
        <w:rPr>
          <w:szCs w:val="22"/>
        </w:rPr>
      </w:pPr>
      <w:r w:rsidRPr="009F74E4">
        <w:rPr>
          <w:szCs w:val="22"/>
        </w:rPr>
        <w:t>For test kits used overseas, spons</w:t>
      </w:r>
      <w:r>
        <w:rPr>
          <w:szCs w:val="22"/>
        </w:rPr>
        <w:t>ors are encouraged to contact</w:t>
      </w:r>
      <w:r w:rsidRPr="009F74E4">
        <w:rPr>
          <w:szCs w:val="22"/>
        </w:rPr>
        <w:t xml:space="preserve"> </w:t>
      </w:r>
      <w:r w:rsidR="00CE6E68" w:rsidRPr="00CE6E68">
        <w:rPr>
          <w:szCs w:val="22"/>
        </w:rPr>
        <w:t>TGA’s Biological Science Section (BSS)</w:t>
      </w:r>
      <w:r w:rsidRPr="009F74E4">
        <w:rPr>
          <w:szCs w:val="22"/>
        </w:rPr>
        <w:t xml:space="preserve"> </w:t>
      </w:r>
      <w:r>
        <w:rPr>
          <w:szCs w:val="22"/>
        </w:rPr>
        <w:t>as</w:t>
      </w:r>
      <w:r w:rsidRPr="009F74E4">
        <w:rPr>
          <w:szCs w:val="22"/>
        </w:rPr>
        <w:t xml:space="preserve"> to kit acceptability. </w:t>
      </w:r>
    </w:p>
    <w:p w14:paraId="47BA0A36" w14:textId="4EF9FA7A" w:rsidR="00A15642" w:rsidRDefault="00A15642" w:rsidP="00A15642">
      <w:pPr>
        <w:pStyle w:val="Heading5"/>
      </w:pPr>
      <w:r>
        <w:t>Subsection 8(6) – Blood sample testing by laboratories</w:t>
      </w:r>
    </w:p>
    <w:tbl>
      <w:tblPr>
        <w:tblStyle w:val="TableTGAblue"/>
        <w:tblW w:w="0" w:type="auto"/>
        <w:tblLook w:val="0480" w:firstRow="0" w:lastRow="0" w:firstColumn="1" w:lastColumn="0" w:noHBand="0" w:noVBand="1"/>
      </w:tblPr>
      <w:tblGrid>
        <w:gridCol w:w="9050"/>
      </w:tblGrid>
      <w:tr w:rsidR="008A4AC5" w14:paraId="51925DD1" w14:textId="77777777" w:rsidTr="0036169B">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28C25964" w14:textId="5B623724" w:rsidR="008A4AC5" w:rsidRPr="00C43F51" w:rsidRDefault="009B2BD7" w:rsidP="0036169B">
            <w:pPr>
              <w:rPr>
                <w:b/>
              </w:rPr>
            </w:pPr>
            <w:r>
              <w:rPr>
                <w:b/>
              </w:rPr>
              <w:t>8 General requirements</w:t>
            </w:r>
          </w:p>
          <w:p w14:paraId="42EC06E7" w14:textId="57C902A2" w:rsidR="008A4AC5" w:rsidRPr="00F508A5" w:rsidRDefault="00D27316" w:rsidP="000064E7">
            <w:pPr>
              <w:pStyle w:val="Numberbullet0"/>
              <w:numPr>
                <w:ilvl w:val="0"/>
                <w:numId w:val="7"/>
              </w:numPr>
              <w:ind w:left="591" w:hanging="591"/>
            </w:pPr>
            <w:r w:rsidRPr="009A5E24">
              <w:rPr>
                <w:szCs w:val="22"/>
              </w:rPr>
              <w:t>Where the testing of a blood sample is conducted by a laboratory that is not under the direct control of the manufacturer of the relevant HCT product</w:t>
            </w:r>
            <w:r w:rsidR="008A4AC5">
              <w:rPr>
                <w:szCs w:val="22"/>
              </w:rPr>
              <w:t>:</w:t>
            </w:r>
          </w:p>
          <w:p w14:paraId="73D1A0E2" w14:textId="26A268D5" w:rsidR="008A4AC5" w:rsidRPr="00F508A5" w:rsidRDefault="00D27316" w:rsidP="000E409B">
            <w:pPr>
              <w:pStyle w:val="Numberbullet0"/>
              <w:numPr>
                <w:ilvl w:val="0"/>
                <w:numId w:val="14"/>
              </w:numPr>
            </w:pPr>
            <w:r w:rsidRPr="009A5E24">
              <w:rPr>
                <w:szCs w:val="22"/>
              </w:rPr>
              <w:t>the testing must be conducted under a contract between the manufacturer and the laboratory</w:t>
            </w:r>
            <w:r w:rsidR="008A4AC5">
              <w:rPr>
                <w:szCs w:val="22"/>
              </w:rPr>
              <w:t>; and</w:t>
            </w:r>
          </w:p>
          <w:p w14:paraId="195E4BE5" w14:textId="5F5EDF41" w:rsidR="008A4AC5" w:rsidRPr="008A4AC5" w:rsidRDefault="00D27316" w:rsidP="000E409B">
            <w:pPr>
              <w:pStyle w:val="Numberbullet0"/>
              <w:numPr>
                <w:ilvl w:val="0"/>
                <w:numId w:val="14"/>
              </w:numPr>
            </w:pPr>
            <w:r w:rsidRPr="009A5E24">
              <w:rPr>
                <w:szCs w:val="22"/>
              </w:rPr>
              <w:t>the contract mentioned in paragraph (a) must clearly set out the responsibilities of the manufacturer and the laboratory, and include arrangements to ensure that information relating to matters in this section and any other relevant details relating to the IVD medical devices or in</w:t>
            </w:r>
            <w:r w:rsidRPr="009A5E24">
              <w:rPr>
                <w:szCs w:val="22"/>
              </w:rPr>
              <w:noBreakHyphen/>
              <w:t>house IVD medical devices used for such testing can be obtained from the laboratory</w:t>
            </w:r>
            <w:r w:rsidR="008A4AC5" w:rsidRPr="008A4AC5">
              <w:rPr>
                <w:szCs w:val="22"/>
              </w:rPr>
              <w:t>.</w:t>
            </w:r>
          </w:p>
        </w:tc>
      </w:tr>
    </w:tbl>
    <w:p w14:paraId="1F0155B2" w14:textId="711E7282" w:rsidR="008A4AC5" w:rsidRDefault="00765933" w:rsidP="008A4AC5">
      <w:pPr>
        <w:rPr>
          <w:szCs w:val="22"/>
        </w:rPr>
      </w:pPr>
      <w:r>
        <w:rPr>
          <w:szCs w:val="22"/>
        </w:rPr>
        <w:t xml:space="preserve">When external laboratories are </w:t>
      </w:r>
      <w:r w:rsidR="009B2BD7" w:rsidRPr="009B2BD7">
        <w:rPr>
          <w:szCs w:val="22"/>
        </w:rPr>
        <w:t>us</w:t>
      </w:r>
      <w:r w:rsidR="009B2BD7">
        <w:rPr>
          <w:szCs w:val="22"/>
        </w:rPr>
        <w:t xml:space="preserve">ed for testing of blood samples, </w:t>
      </w:r>
      <w:r w:rsidR="009B2BD7" w:rsidRPr="009B2BD7">
        <w:rPr>
          <w:szCs w:val="22"/>
        </w:rPr>
        <w:t>a contract must be in place to stipulate the responsibilities of the manufacturer. The contract should clearly outline what tests the laboratory will do, the IVDs that they will use and the r</w:t>
      </w:r>
      <w:r w:rsidR="009B2BD7">
        <w:rPr>
          <w:szCs w:val="22"/>
        </w:rPr>
        <w:t xml:space="preserve">ecord keeping or </w:t>
      </w:r>
      <w:r w:rsidR="009B2BD7" w:rsidRPr="009B2BD7">
        <w:rPr>
          <w:szCs w:val="22"/>
        </w:rPr>
        <w:t>reporting structure that should be in place. The testing laboratory is also responsible for notifying the manufacturer of any changes to IVDs and this should be clear in the contract. The con</w:t>
      </w:r>
      <w:r w:rsidR="009B2BD7">
        <w:rPr>
          <w:szCs w:val="22"/>
        </w:rPr>
        <w:t>tract should be submitted to</w:t>
      </w:r>
      <w:r w:rsidR="009B2BD7" w:rsidRPr="009B2BD7">
        <w:rPr>
          <w:szCs w:val="22"/>
        </w:rPr>
        <w:t xml:space="preserve"> TGA with the dossi</w:t>
      </w:r>
      <w:r w:rsidR="009B2BD7">
        <w:rPr>
          <w:szCs w:val="22"/>
        </w:rPr>
        <w:t>er.</w:t>
      </w:r>
    </w:p>
    <w:p w14:paraId="5649EC00" w14:textId="5C3F1484" w:rsidR="0094334E" w:rsidRDefault="0094334E" w:rsidP="008A4AC5">
      <w:pPr>
        <w:rPr>
          <w:szCs w:val="22"/>
        </w:rPr>
      </w:pPr>
      <w:r>
        <w:rPr>
          <w:szCs w:val="22"/>
        </w:rPr>
        <w:t xml:space="preserve">This clause is </w:t>
      </w:r>
      <w:r w:rsidRPr="0094334E">
        <w:rPr>
          <w:szCs w:val="22"/>
        </w:rPr>
        <w:t xml:space="preserve">also stipulated in the dossier </w:t>
      </w:r>
      <w:r>
        <w:rPr>
          <w:szCs w:val="22"/>
        </w:rPr>
        <w:t>requirements.</w:t>
      </w:r>
    </w:p>
    <w:p w14:paraId="23A70A6F" w14:textId="7A0F425E" w:rsidR="00A15642" w:rsidRDefault="00A15642" w:rsidP="00A15642">
      <w:pPr>
        <w:pStyle w:val="Heading5"/>
      </w:pPr>
      <w:r>
        <w:t>Subsections 8(7) and 8(8) – Plasma dilution</w:t>
      </w:r>
    </w:p>
    <w:tbl>
      <w:tblPr>
        <w:tblStyle w:val="TableTGAblue"/>
        <w:tblW w:w="0" w:type="auto"/>
        <w:tblLook w:val="0480" w:firstRow="0" w:lastRow="0" w:firstColumn="1" w:lastColumn="0" w:noHBand="0" w:noVBand="1"/>
      </w:tblPr>
      <w:tblGrid>
        <w:gridCol w:w="9050"/>
      </w:tblGrid>
      <w:tr w:rsidR="008A4AC5" w14:paraId="684E1A7B" w14:textId="77777777" w:rsidTr="0036169B">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1415214" w14:textId="29D474D5" w:rsidR="008A4AC5" w:rsidRPr="00C43F51" w:rsidRDefault="009B2BD7" w:rsidP="0036169B">
            <w:pPr>
              <w:rPr>
                <w:b/>
              </w:rPr>
            </w:pPr>
            <w:r>
              <w:rPr>
                <w:b/>
              </w:rPr>
              <w:t>8 General requirements</w:t>
            </w:r>
          </w:p>
          <w:p w14:paraId="657447F4" w14:textId="5C5930A9" w:rsidR="008A4AC5" w:rsidRPr="008A4AC5" w:rsidRDefault="00D27316" w:rsidP="000064E7">
            <w:pPr>
              <w:pStyle w:val="Numberbullet0"/>
              <w:numPr>
                <w:ilvl w:val="0"/>
                <w:numId w:val="7"/>
              </w:numPr>
              <w:ind w:left="591" w:hanging="591"/>
            </w:pPr>
            <w:r w:rsidRPr="009A5E24">
              <w:rPr>
                <w:szCs w:val="22"/>
              </w:rPr>
              <w:t>The testing of blood samples must take into account all factors that may cause plasma dilution</w:t>
            </w:r>
            <w:r w:rsidR="008A4AC5">
              <w:rPr>
                <w:szCs w:val="22"/>
              </w:rPr>
              <w:t>.</w:t>
            </w:r>
          </w:p>
          <w:p w14:paraId="01703B96" w14:textId="36726F06" w:rsidR="008A4AC5" w:rsidRPr="008A4AC5" w:rsidRDefault="00D27316" w:rsidP="000064E7">
            <w:pPr>
              <w:pStyle w:val="Numberbullet0"/>
              <w:numPr>
                <w:ilvl w:val="0"/>
                <w:numId w:val="7"/>
              </w:numPr>
              <w:ind w:left="591" w:hanging="591"/>
            </w:pPr>
            <w:r w:rsidRPr="009A5E24">
              <w:rPr>
                <w:szCs w:val="22"/>
              </w:rPr>
              <w:t>Where plasma dilution is suspected at a level sufficient to alter the test results in relation to a blood sample, and a pre-infusion sample is unavailable for testing, then</w:t>
            </w:r>
            <w:r w:rsidR="008A4AC5">
              <w:rPr>
                <w:szCs w:val="22"/>
              </w:rPr>
              <w:t>:</w:t>
            </w:r>
          </w:p>
          <w:p w14:paraId="41473587" w14:textId="54720690" w:rsidR="008A4AC5" w:rsidRPr="008A4AC5" w:rsidRDefault="00D27316" w:rsidP="000E409B">
            <w:pPr>
              <w:pStyle w:val="Numberbullet0"/>
              <w:numPr>
                <w:ilvl w:val="0"/>
                <w:numId w:val="15"/>
              </w:numPr>
            </w:pPr>
            <w:r w:rsidRPr="009A5E24">
              <w:rPr>
                <w:szCs w:val="22"/>
              </w:rPr>
              <w:t>an algorithm must be applied to assess the extent of plasma dilution</w:t>
            </w:r>
            <w:r w:rsidR="008A4AC5">
              <w:rPr>
                <w:szCs w:val="22"/>
              </w:rPr>
              <w:t>; and</w:t>
            </w:r>
          </w:p>
          <w:p w14:paraId="71626F20" w14:textId="2AB9FA58" w:rsidR="008A4AC5" w:rsidRPr="008A4AC5" w:rsidRDefault="00D27316" w:rsidP="000E409B">
            <w:pPr>
              <w:pStyle w:val="Numberbullet0"/>
              <w:numPr>
                <w:ilvl w:val="0"/>
                <w:numId w:val="15"/>
              </w:numPr>
            </w:pPr>
            <w:r w:rsidRPr="009A5E24">
              <w:rPr>
                <w:szCs w:val="22"/>
              </w:rPr>
              <w:t>the extent of plasma dilution must be less than 50 per cent, unless use of samples with more than 50 per cent plasma dilution is validated by the manufacturer of the IVD medical devices or in-house IVD medical devices used for testing the sample</w:t>
            </w:r>
            <w:r w:rsidR="008A4AC5">
              <w:rPr>
                <w:szCs w:val="22"/>
              </w:rPr>
              <w:t>.</w:t>
            </w:r>
          </w:p>
        </w:tc>
      </w:tr>
    </w:tbl>
    <w:p w14:paraId="298B3730" w14:textId="77777777" w:rsidR="008A4AC5" w:rsidRDefault="008A4AC5" w:rsidP="008A4AC5">
      <w:pPr>
        <w:rPr>
          <w:szCs w:val="22"/>
        </w:rPr>
      </w:pPr>
      <w:r w:rsidRPr="00AC1A31">
        <w:rPr>
          <w:szCs w:val="22"/>
        </w:rPr>
        <w:lastRenderedPageBreak/>
        <w:t>The results of infectious disease testing may be affected where a potential donor may have recently received an intravenous treatment, for example infusion of blood compon</w:t>
      </w:r>
      <w:r>
        <w:rPr>
          <w:szCs w:val="22"/>
        </w:rPr>
        <w:t>ents, colloids or crystalloids. F</w:t>
      </w:r>
      <w:r w:rsidRPr="00AC1A31">
        <w:rPr>
          <w:szCs w:val="22"/>
        </w:rPr>
        <w:t>or infectious disease test screening protocols, it is recommended that a complete haemodilution assessment be undertaken on all living</w:t>
      </w:r>
      <w:r>
        <w:rPr>
          <w:szCs w:val="22"/>
        </w:rPr>
        <w:t xml:space="preserve"> and deceased donors. P</w:t>
      </w:r>
      <w:r w:rsidRPr="00AC1A31">
        <w:rPr>
          <w:szCs w:val="22"/>
        </w:rPr>
        <w:t>lasma dilution algorithm</w:t>
      </w:r>
      <w:r>
        <w:rPr>
          <w:szCs w:val="22"/>
        </w:rPr>
        <w:t>s</w:t>
      </w:r>
      <w:r w:rsidRPr="00AC1A31">
        <w:rPr>
          <w:szCs w:val="22"/>
        </w:rPr>
        <w:t xml:space="preserve"> may</w:t>
      </w:r>
      <w:r>
        <w:rPr>
          <w:szCs w:val="22"/>
        </w:rPr>
        <w:t xml:space="preserve"> be used to calculate appropriate amounts.</w:t>
      </w:r>
    </w:p>
    <w:p w14:paraId="5CD0FE68" w14:textId="56B66C37" w:rsidR="008A4AC5" w:rsidRPr="008A4AC5" w:rsidRDefault="008A4AC5" w:rsidP="008A4AC5">
      <w:r w:rsidRPr="008A4AC5">
        <w:t>If the infusion or transfusion volume for the donor totals more than 2000 mL, it is considered essential that a haemodilution assessment be performed if:</w:t>
      </w:r>
    </w:p>
    <w:p w14:paraId="58BCD10B" w14:textId="58FE47E5" w:rsidR="008A4AC5" w:rsidRDefault="007C61A0" w:rsidP="008A4AC5">
      <w:pPr>
        <w:pStyle w:val="ListBullet"/>
      </w:pPr>
      <w:r>
        <w:t>a</w:t>
      </w:r>
      <w:r w:rsidR="008A4AC5" w:rsidRPr="00AC1A31">
        <w:t>n infusion or transfusion of blood or colloids was received within 48 hours preceding collection of the sample or within 48 hours preceding deat</w:t>
      </w:r>
      <w:r w:rsidR="008A4AC5">
        <w:t>h, whichever occurred earlier</w:t>
      </w:r>
    </w:p>
    <w:p w14:paraId="5EAC7719" w14:textId="13A5CF0A" w:rsidR="008A4AC5" w:rsidRDefault="007C61A0" w:rsidP="008A4AC5">
      <w:pPr>
        <w:pStyle w:val="ListBullet"/>
      </w:pPr>
      <w:r>
        <w:t>a</w:t>
      </w:r>
      <w:r w:rsidR="008A4AC5" w:rsidRPr="00AC1A31">
        <w:t>n infusion of crystalloids was received within one hour preceding collection of the sample, or within one hour preceding deat</w:t>
      </w:r>
      <w:r w:rsidR="008A4AC5">
        <w:t>h, whichever occurred earlier</w:t>
      </w:r>
    </w:p>
    <w:p w14:paraId="1961EDB3" w14:textId="4132DF63" w:rsidR="008A4AC5" w:rsidRDefault="007C61A0" w:rsidP="008A4AC5">
      <w:pPr>
        <w:pStyle w:val="ListBullet"/>
      </w:pPr>
      <w:r>
        <w:t>a</w:t>
      </w:r>
      <w:r w:rsidR="008A4AC5" w:rsidRPr="00AC1A31">
        <w:t xml:space="preserve"> combination of blood, crystalloids or colloids was received within the applicable ti</w:t>
      </w:r>
      <w:r w:rsidR="008A4AC5">
        <w:t>meframes</w:t>
      </w:r>
    </w:p>
    <w:p w14:paraId="5CE8A9EB" w14:textId="4FEE1FE1" w:rsidR="008A4AC5" w:rsidRPr="008A4AC5" w:rsidRDefault="008A4AC5" w:rsidP="008A4AC5">
      <w:r w:rsidRPr="008A4AC5">
        <w:t>It is also considered essential that an assessment be performed where there have been any infusions or transfusions that might affect test results in a child of less than 12 years of age. The time frames are as defined above</w:t>
      </w:r>
      <w:r w:rsidR="00301851">
        <w:t>.</w:t>
      </w:r>
    </w:p>
    <w:p w14:paraId="64CB778F" w14:textId="19184D90" w:rsidR="008A4AC5" w:rsidRPr="008A4AC5" w:rsidRDefault="008A4AC5" w:rsidP="008A4AC5">
      <w:r w:rsidRPr="008A4AC5">
        <w:t>The date and time of sample collection should be recorded</w:t>
      </w:r>
      <w:r w:rsidR="00301851">
        <w:t>.</w:t>
      </w:r>
    </w:p>
    <w:p w14:paraId="6CB684F5" w14:textId="096E963C" w:rsidR="008A4AC5" w:rsidRPr="008A4AC5" w:rsidRDefault="008A4AC5" w:rsidP="008A4AC5">
      <w:r w:rsidRPr="008A4AC5">
        <w:t>An appropriate algorithm must be used to evaluate that plasma dilution and show that it is not sufficient to affect the test results. The plasma dilution factor should</w:t>
      </w:r>
      <w:r w:rsidR="00307DC6">
        <w:t xml:space="preserve"> be less than 50 per cent, that is, </w:t>
      </w:r>
      <w:r w:rsidRPr="008A4AC5">
        <w:t>if greater than 50 per cent dilution has occurred</w:t>
      </w:r>
      <w:r w:rsidR="00301851">
        <w:t>,</w:t>
      </w:r>
      <w:r w:rsidRPr="008A4AC5">
        <w:t xml:space="preserve"> then the post-transfusion/infusion specimen should not be used</w:t>
      </w:r>
      <w:r w:rsidR="00301851">
        <w:t>.</w:t>
      </w:r>
    </w:p>
    <w:p w14:paraId="3117AD4E" w14:textId="77777777" w:rsidR="008A4AC5" w:rsidRPr="008A4AC5" w:rsidRDefault="008A4AC5" w:rsidP="008A4AC5">
      <w:r w:rsidRPr="008A4AC5">
        <w:t>When performing the algorithm:</w:t>
      </w:r>
    </w:p>
    <w:p w14:paraId="74605E60" w14:textId="79BA0300" w:rsidR="008A4AC5" w:rsidRDefault="007C61A0" w:rsidP="008A4AC5">
      <w:pPr>
        <w:pStyle w:val="ListBullet"/>
      </w:pPr>
      <w:r>
        <w:t>c</w:t>
      </w:r>
      <w:r w:rsidR="008A4AC5" w:rsidRPr="00AC1A31">
        <w:t>onsider volumes of medication</w:t>
      </w:r>
      <w:r w:rsidR="008A4AC5">
        <w:t>s administered with IV fluids</w:t>
      </w:r>
    </w:p>
    <w:p w14:paraId="7347DD80" w14:textId="660C17C2" w:rsidR="008A4AC5" w:rsidRDefault="007C61A0" w:rsidP="008A4AC5">
      <w:pPr>
        <w:pStyle w:val="ListBullet"/>
      </w:pPr>
      <w:r>
        <w:t>i</w:t>
      </w:r>
      <w:r w:rsidR="008A4AC5" w:rsidRPr="00AC1A31">
        <w:t xml:space="preserve">f </w:t>
      </w:r>
      <w:r w:rsidR="008A4AC5">
        <w:t xml:space="preserve">the volume administered is </w:t>
      </w:r>
      <w:r w:rsidR="008A4AC5" w:rsidRPr="00AC1A31">
        <w:t>unkn</w:t>
      </w:r>
      <w:r w:rsidR="008A4AC5">
        <w:t>own</w:t>
      </w:r>
      <w:r w:rsidR="008A4AC5" w:rsidRPr="00AC1A31">
        <w:t>, consider the worst-case scenario that all was given</w:t>
      </w:r>
    </w:p>
    <w:p w14:paraId="3254342F" w14:textId="0099AAE9" w:rsidR="007D0368" w:rsidRDefault="007D0368" w:rsidP="007D0368">
      <w:pPr>
        <w:pStyle w:val="Heading5"/>
      </w:pPr>
      <w:r>
        <w:t xml:space="preserve">Subsections 8(9) and 8(10) – </w:t>
      </w:r>
      <w:r w:rsidR="00672FA7">
        <w:t>Record keeping</w:t>
      </w:r>
    </w:p>
    <w:tbl>
      <w:tblPr>
        <w:tblStyle w:val="TableTGAblue"/>
        <w:tblW w:w="0" w:type="auto"/>
        <w:tblLook w:val="0480" w:firstRow="0" w:lastRow="0" w:firstColumn="1" w:lastColumn="0" w:noHBand="0" w:noVBand="1"/>
      </w:tblPr>
      <w:tblGrid>
        <w:gridCol w:w="9050"/>
      </w:tblGrid>
      <w:tr w:rsidR="008A4AC5" w14:paraId="576794D1" w14:textId="77777777" w:rsidTr="0036169B">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27095BD5" w14:textId="69C7F7ED" w:rsidR="008A4AC5" w:rsidRPr="00C43F51" w:rsidRDefault="009B2BD7" w:rsidP="0036169B">
            <w:pPr>
              <w:rPr>
                <w:b/>
              </w:rPr>
            </w:pPr>
            <w:r>
              <w:rPr>
                <w:b/>
              </w:rPr>
              <w:t>8 General requirements</w:t>
            </w:r>
          </w:p>
          <w:p w14:paraId="2D14B640" w14:textId="420302BD" w:rsidR="008A4AC5" w:rsidRPr="008A4AC5" w:rsidRDefault="00D27316" w:rsidP="000064E7">
            <w:pPr>
              <w:pStyle w:val="Numberbullet0"/>
              <w:numPr>
                <w:ilvl w:val="0"/>
                <w:numId w:val="7"/>
              </w:numPr>
              <w:ind w:left="591" w:hanging="591"/>
            </w:pPr>
            <w:r w:rsidRPr="009A5E24">
              <w:rPr>
                <w:szCs w:val="22"/>
              </w:rPr>
              <w:t>Records must be maintained in relation to the following</w:t>
            </w:r>
            <w:r w:rsidR="008A4AC5">
              <w:rPr>
                <w:szCs w:val="22"/>
              </w:rPr>
              <w:t>:</w:t>
            </w:r>
          </w:p>
          <w:p w14:paraId="230E2E4E" w14:textId="7DD233E8" w:rsidR="008A4AC5" w:rsidRPr="008A4AC5" w:rsidRDefault="00D27316" w:rsidP="000E409B">
            <w:pPr>
              <w:pStyle w:val="Numberbullet0"/>
              <w:numPr>
                <w:ilvl w:val="0"/>
                <w:numId w:val="16"/>
              </w:numPr>
            </w:pPr>
            <w:r w:rsidRPr="009A5E24">
              <w:rPr>
                <w:szCs w:val="22"/>
              </w:rPr>
              <w:t>the tests performed in relation to blood samples and the results of those tests</w:t>
            </w:r>
            <w:r w:rsidR="00765933" w:rsidRPr="00765933">
              <w:rPr>
                <w:szCs w:val="22"/>
              </w:rPr>
              <w:t>; and</w:t>
            </w:r>
          </w:p>
          <w:p w14:paraId="0D7CED95" w14:textId="767D6DDC" w:rsidR="008A4AC5" w:rsidRPr="008A4AC5" w:rsidRDefault="00D27316" w:rsidP="000E409B">
            <w:pPr>
              <w:pStyle w:val="Numberbullet0"/>
              <w:numPr>
                <w:ilvl w:val="0"/>
                <w:numId w:val="16"/>
              </w:numPr>
            </w:pPr>
            <w:r w:rsidRPr="009A5E24">
              <w:rPr>
                <w:szCs w:val="22"/>
              </w:rPr>
              <w:t>the IVD medical device or in-house IVD medical device used for testing the samples</w:t>
            </w:r>
            <w:r w:rsidR="008A4AC5">
              <w:rPr>
                <w:szCs w:val="22"/>
              </w:rPr>
              <w:t>; and</w:t>
            </w:r>
          </w:p>
          <w:p w14:paraId="5B551F1D" w14:textId="1C80D0ED" w:rsidR="008A4AC5" w:rsidRPr="008A4AC5" w:rsidRDefault="008A4AC5" w:rsidP="000E409B">
            <w:pPr>
              <w:pStyle w:val="Numberbullet0"/>
              <w:numPr>
                <w:ilvl w:val="0"/>
                <w:numId w:val="16"/>
              </w:numPr>
            </w:pPr>
            <w:r>
              <w:rPr>
                <w:szCs w:val="22"/>
              </w:rPr>
              <w:t>any test modifications; and</w:t>
            </w:r>
          </w:p>
          <w:p w14:paraId="14DBD450" w14:textId="4434971E" w:rsidR="008A4AC5" w:rsidRPr="008A4AC5" w:rsidRDefault="00D27316" w:rsidP="000E409B">
            <w:pPr>
              <w:pStyle w:val="Numberbullet0"/>
              <w:numPr>
                <w:ilvl w:val="0"/>
                <w:numId w:val="16"/>
              </w:numPr>
            </w:pPr>
            <w:r w:rsidRPr="009A5E24">
              <w:rPr>
                <w:szCs w:val="22"/>
              </w:rPr>
              <w:t>any evaluations of, or anomalies in, test results</w:t>
            </w:r>
            <w:r w:rsidR="008A4AC5">
              <w:rPr>
                <w:szCs w:val="22"/>
              </w:rPr>
              <w:t>.</w:t>
            </w:r>
          </w:p>
          <w:p w14:paraId="604BCF96" w14:textId="634AF2F5" w:rsidR="008A4AC5" w:rsidRPr="008A4AC5" w:rsidRDefault="00D27316" w:rsidP="000064E7">
            <w:pPr>
              <w:pStyle w:val="Numberbullet0"/>
              <w:numPr>
                <w:ilvl w:val="0"/>
                <w:numId w:val="7"/>
              </w:numPr>
              <w:ind w:left="591" w:hanging="591"/>
            </w:pPr>
            <w:r w:rsidRPr="009A5E24">
              <w:rPr>
                <w:szCs w:val="22"/>
              </w:rPr>
              <w:t>Procedures must be implemented for notifying a donor of HCT materials, a relevant health practitioner, a relevant hospital and any other relevant organisation, of a test result in relation to the donor that is indicative of a disease or carrier state</w:t>
            </w:r>
            <w:r w:rsidR="008A4AC5" w:rsidRPr="008A4AC5">
              <w:rPr>
                <w:szCs w:val="22"/>
              </w:rPr>
              <w:t>.</w:t>
            </w:r>
          </w:p>
        </w:tc>
      </w:tr>
    </w:tbl>
    <w:p w14:paraId="01BAFB43" w14:textId="6258707F" w:rsidR="00F46FDA" w:rsidRPr="00FA45F7" w:rsidRDefault="00763EA8" w:rsidP="00FA45F7">
      <w:pPr>
        <w:rPr>
          <w:szCs w:val="22"/>
        </w:rPr>
      </w:pPr>
      <w:r w:rsidRPr="00CB2623">
        <w:rPr>
          <w:szCs w:val="22"/>
        </w:rPr>
        <w:t>The retention</w:t>
      </w:r>
      <w:r>
        <w:rPr>
          <w:szCs w:val="22"/>
        </w:rPr>
        <w:t xml:space="preserve"> of records is required by TGO 10</w:t>
      </w:r>
      <w:r w:rsidRPr="00CB2623">
        <w:rPr>
          <w:szCs w:val="22"/>
        </w:rPr>
        <w:t xml:space="preserve">8 and is consistent with the requirements of the cGMP. The period of retention must take into account jurisdictional or hospital policies. The application should specify and justify record retention periods and include consideration of product risk, shelf life of product, and timeframe for which the product is expected to have a </w:t>
      </w:r>
      <w:r w:rsidRPr="00CB2623">
        <w:rPr>
          <w:szCs w:val="22"/>
        </w:rPr>
        <w:lastRenderedPageBreak/>
        <w:t xml:space="preserve">therapeutic or physiological function in the recipient. Records can be kept in paper or electronic form and </w:t>
      </w:r>
      <w:r w:rsidR="00E158B6">
        <w:rPr>
          <w:szCs w:val="22"/>
        </w:rPr>
        <w:t xml:space="preserve">must </w:t>
      </w:r>
      <w:r w:rsidRPr="00CB2623">
        <w:rPr>
          <w:szCs w:val="22"/>
        </w:rPr>
        <w:t>be available to</w:t>
      </w:r>
      <w:r>
        <w:rPr>
          <w:szCs w:val="22"/>
        </w:rPr>
        <w:t xml:space="preserve"> GMP</w:t>
      </w:r>
      <w:r w:rsidRPr="00CB2623">
        <w:rPr>
          <w:szCs w:val="22"/>
        </w:rPr>
        <w:t xml:space="preserve"> inspectors.</w:t>
      </w:r>
      <w:r w:rsidR="00FA45F7">
        <w:rPr>
          <w:szCs w:val="22"/>
        </w:rPr>
        <w:t xml:space="preserve"> A</w:t>
      </w:r>
      <w:r w:rsidR="00F46FDA" w:rsidRPr="008214A9">
        <w:t xml:space="preserve"> documented process </w:t>
      </w:r>
      <w:r w:rsidR="00FA45F7">
        <w:t xml:space="preserve">must be </w:t>
      </w:r>
      <w:r w:rsidR="00F46FDA" w:rsidRPr="008214A9">
        <w:t>in place to demonstrate that donor test results that are indicative of a</w:t>
      </w:r>
      <w:r w:rsidR="00F46FDA">
        <w:t>n infectious</w:t>
      </w:r>
      <w:r w:rsidR="00F46FDA" w:rsidRPr="008214A9">
        <w:t xml:space="preserve"> disease or carrier state are reported back to that donor, where necessary</w:t>
      </w:r>
      <w:r w:rsidR="00FA45F7">
        <w:t>.</w:t>
      </w:r>
    </w:p>
    <w:p w14:paraId="04E01713" w14:textId="10E10BE4" w:rsidR="00857EAB" w:rsidRPr="002C0A22" w:rsidRDefault="00857EAB" w:rsidP="00857EAB">
      <w:pPr>
        <w:pStyle w:val="Heading4"/>
      </w:pPr>
      <w:bookmarkStart w:id="21" w:name="_Toc69823136"/>
      <w:r>
        <w:t>Section 9 – Medical and social history of donors</w:t>
      </w:r>
      <w:bookmarkEnd w:id="21"/>
    </w:p>
    <w:p w14:paraId="7BD30AEC" w14:textId="638CFF7A" w:rsidR="0054111B" w:rsidRDefault="00FA45F7" w:rsidP="009B2BD7">
      <w:r>
        <w:t>Section 9</w:t>
      </w:r>
      <w:r w:rsidR="00915F28" w:rsidRPr="00915F28">
        <w:t xml:space="preserve"> specifies the minimum standards for assessing the suitability of a donor. The medical and social history is the first tier of risk minimisation in terms of inf</w:t>
      </w:r>
      <w:r w:rsidR="00915F28">
        <w:t>ectious disease transmission since</w:t>
      </w:r>
      <w:r w:rsidR="00915F28" w:rsidRPr="00915F28">
        <w:t xml:space="preserve"> high risk donors can be identified before donation, or</w:t>
      </w:r>
      <w:r w:rsidR="00915F28">
        <w:t>,</w:t>
      </w:r>
      <w:r w:rsidR="00915F28" w:rsidRPr="00915F28">
        <w:t xml:space="preserve"> where allowed, after donation but before introduction of the </w:t>
      </w:r>
      <w:r w:rsidR="00E158B6">
        <w:t>therapeutic good</w:t>
      </w:r>
      <w:r w:rsidR="00915F28" w:rsidRPr="00915F28">
        <w:t xml:space="preserve"> into the mainstream inventory of the manufacturing facility.</w:t>
      </w:r>
    </w:p>
    <w:p w14:paraId="24FF6CBE" w14:textId="627BAEE9" w:rsidR="00672FA7" w:rsidRDefault="00672FA7" w:rsidP="00672FA7">
      <w:pPr>
        <w:pStyle w:val="Heading5"/>
      </w:pPr>
      <w:r>
        <w:t>Subsections 9(1) and 9(2) – Donor interviews</w:t>
      </w:r>
    </w:p>
    <w:tbl>
      <w:tblPr>
        <w:tblStyle w:val="TableTGAblue"/>
        <w:tblW w:w="0" w:type="auto"/>
        <w:tblLook w:val="0480" w:firstRow="0" w:lastRow="0" w:firstColumn="1" w:lastColumn="0" w:noHBand="0" w:noVBand="1"/>
      </w:tblPr>
      <w:tblGrid>
        <w:gridCol w:w="9050"/>
      </w:tblGrid>
      <w:tr w:rsidR="00915F28" w14:paraId="52F5F45A" w14:textId="77777777" w:rsidTr="009D3EBA">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3103D8B3" w14:textId="7E401908" w:rsidR="00915F28" w:rsidRDefault="0036169B" w:rsidP="009D3EBA">
            <w:pPr>
              <w:rPr>
                <w:b/>
              </w:rPr>
            </w:pPr>
            <w:r>
              <w:rPr>
                <w:b/>
              </w:rPr>
              <w:t>9</w:t>
            </w:r>
            <w:r w:rsidR="00915F28">
              <w:rPr>
                <w:b/>
              </w:rPr>
              <w:t xml:space="preserve"> </w:t>
            </w:r>
            <w:r w:rsidR="009B2BD7">
              <w:rPr>
                <w:b/>
              </w:rPr>
              <w:t>Medical and social history of donors</w:t>
            </w:r>
          </w:p>
          <w:p w14:paraId="7C0D30E1" w14:textId="0CE49A45" w:rsidR="009B2BD7" w:rsidRPr="00C43F51" w:rsidRDefault="009B2BD7" w:rsidP="009D3EBA">
            <w:pPr>
              <w:rPr>
                <w:b/>
              </w:rPr>
            </w:pPr>
            <w:r>
              <w:rPr>
                <w:b/>
              </w:rPr>
              <w:t>Living donors</w:t>
            </w:r>
          </w:p>
          <w:p w14:paraId="5A317F4F" w14:textId="26AEBA0E" w:rsidR="000969F3" w:rsidRDefault="00FA45F7" w:rsidP="000E409B">
            <w:pPr>
              <w:pStyle w:val="Numberbullet0"/>
              <w:numPr>
                <w:ilvl w:val="0"/>
                <w:numId w:val="17"/>
              </w:numPr>
            </w:pPr>
            <w:r w:rsidRPr="009A5E24">
              <w:rPr>
                <w:szCs w:val="22"/>
              </w:rPr>
              <w:t>A medical and social history in relation to a living donor of HCT materials, covering the ineligibility criteria for donor selection specified in Schedule 1 and any other relevant matters, must be obtained by interview</w:t>
            </w:r>
            <w:r w:rsidR="00DC7E83">
              <w:rPr>
                <w:szCs w:val="22"/>
              </w:rPr>
              <w:t>.</w:t>
            </w:r>
          </w:p>
          <w:p w14:paraId="4C9D658F" w14:textId="77777777" w:rsidR="00DC7E83" w:rsidRPr="00DC7E83" w:rsidRDefault="00DC7E83" w:rsidP="000E409B">
            <w:pPr>
              <w:pStyle w:val="Numberbullet0"/>
              <w:numPr>
                <w:ilvl w:val="0"/>
                <w:numId w:val="17"/>
              </w:numPr>
            </w:pPr>
            <w:r>
              <w:rPr>
                <w:szCs w:val="22"/>
              </w:rPr>
              <w:t>The interview must be:</w:t>
            </w:r>
          </w:p>
          <w:p w14:paraId="4863C271" w14:textId="091C3D90" w:rsidR="00DC7E83" w:rsidRPr="00D458E0" w:rsidRDefault="00D458E0" w:rsidP="000E409B">
            <w:pPr>
              <w:pStyle w:val="Numberbullet0"/>
              <w:numPr>
                <w:ilvl w:val="0"/>
                <w:numId w:val="18"/>
              </w:numPr>
            </w:pPr>
            <w:r>
              <w:rPr>
                <w:szCs w:val="22"/>
              </w:rPr>
              <w:t>conducted by an interviewer who is:</w:t>
            </w:r>
          </w:p>
          <w:p w14:paraId="1B72780F" w14:textId="0DC17DCA" w:rsidR="00D458E0" w:rsidRPr="00D458E0" w:rsidRDefault="00D458E0" w:rsidP="000E409B">
            <w:pPr>
              <w:pStyle w:val="Numberbullet0"/>
              <w:numPr>
                <w:ilvl w:val="0"/>
                <w:numId w:val="19"/>
              </w:numPr>
            </w:pPr>
            <w:r>
              <w:rPr>
                <w:szCs w:val="22"/>
              </w:rPr>
              <w:t>appropriately qualified and trained; and</w:t>
            </w:r>
          </w:p>
          <w:p w14:paraId="530361C8" w14:textId="5B40FB18" w:rsidR="00D458E0" w:rsidRPr="00D458E0" w:rsidRDefault="00FA45F7" w:rsidP="000E409B">
            <w:pPr>
              <w:pStyle w:val="Numberbullet0"/>
              <w:numPr>
                <w:ilvl w:val="0"/>
                <w:numId w:val="19"/>
              </w:numPr>
            </w:pPr>
            <w:r w:rsidRPr="009A5E24">
              <w:rPr>
                <w:szCs w:val="22"/>
              </w:rPr>
              <w:t>an employee of, or under a contract with, a person engaged in the collection of HCT materials or the manufacture of the HCT product</w:t>
            </w:r>
            <w:r w:rsidR="00D458E0">
              <w:rPr>
                <w:szCs w:val="22"/>
              </w:rPr>
              <w:t>; and</w:t>
            </w:r>
          </w:p>
          <w:p w14:paraId="3DCAE33A" w14:textId="04B633F9" w:rsidR="00D458E0" w:rsidRPr="00D458E0" w:rsidRDefault="00FA45F7" w:rsidP="000E409B">
            <w:pPr>
              <w:pStyle w:val="Numberbullet0"/>
              <w:numPr>
                <w:ilvl w:val="0"/>
                <w:numId w:val="18"/>
              </w:numPr>
            </w:pPr>
            <w:r w:rsidRPr="009A5E24">
              <w:rPr>
                <w:szCs w:val="22"/>
              </w:rPr>
              <w:t>held face-to-face (to the extent that it is possible in the circumstances) with the donor or the donor’s guardian or next of kin</w:t>
            </w:r>
            <w:r w:rsidR="00D458E0">
              <w:rPr>
                <w:szCs w:val="22"/>
              </w:rPr>
              <w:t>; and</w:t>
            </w:r>
          </w:p>
          <w:p w14:paraId="60617240" w14:textId="736F574C" w:rsidR="00D458E0" w:rsidRDefault="00FA45F7" w:rsidP="000E409B">
            <w:pPr>
              <w:pStyle w:val="Numberbullet0"/>
              <w:numPr>
                <w:ilvl w:val="0"/>
                <w:numId w:val="18"/>
              </w:numPr>
            </w:pPr>
            <w:r w:rsidRPr="009A5E24">
              <w:rPr>
                <w:szCs w:val="22"/>
              </w:rPr>
              <w:t xml:space="preserve">conducted </w:t>
            </w:r>
            <w:r w:rsidRPr="009A5E24">
              <w:t>within 30 days before or 30 days after the collection of the HCT materials</w:t>
            </w:r>
            <w:r w:rsidR="00D458E0">
              <w:t>; and</w:t>
            </w:r>
          </w:p>
          <w:p w14:paraId="7B9D0C83" w14:textId="03F9C6AC" w:rsidR="00D458E0" w:rsidRPr="00DC7E83" w:rsidRDefault="00D458E0" w:rsidP="000E409B">
            <w:pPr>
              <w:pStyle w:val="Numberbullet0"/>
              <w:numPr>
                <w:ilvl w:val="0"/>
                <w:numId w:val="18"/>
              </w:numPr>
            </w:pPr>
            <w:r>
              <w:t>documented.</w:t>
            </w:r>
          </w:p>
        </w:tc>
      </w:tr>
    </w:tbl>
    <w:p w14:paraId="2D841DAA" w14:textId="32C9D7FA" w:rsidR="004B4CE4" w:rsidRDefault="00D458E0" w:rsidP="00915F28">
      <w:pPr>
        <w:rPr>
          <w:szCs w:val="22"/>
        </w:rPr>
      </w:pPr>
      <w:r>
        <w:rPr>
          <w:szCs w:val="22"/>
        </w:rPr>
        <w:t>For</w:t>
      </w:r>
      <w:r w:rsidR="004B4CE4" w:rsidRPr="004B4CE4">
        <w:rPr>
          <w:szCs w:val="22"/>
        </w:rPr>
        <w:t xml:space="preserve"> living donors, a face-to-face interview is preferred, but it is recognised that this may not be possible within the specified timeframe. Where a face-to-face interview is not conducted, the alternative process should be described</w:t>
      </w:r>
      <w:r w:rsidR="004B4CE4">
        <w:rPr>
          <w:szCs w:val="22"/>
        </w:rPr>
        <w:t>.</w:t>
      </w:r>
    </w:p>
    <w:p w14:paraId="2E80B00B" w14:textId="4CBEF0C2" w:rsidR="00D458E0" w:rsidRDefault="00375941" w:rsidP="00D458E0">
      <w:pPr>
        <w:rPr>
          <w:szCs w:val="22"/>
        </w:rPr>
      </w:pPr>
      <w:r w:rsidRPr="00375941">
        <w:rPr>
          <w:szCs w:val="22"/>
        </w:rPr>
        <w:t>Obtaining preliminary information without a trained interviewer prior to interview may be acceptable, b</w:t>
      </w:r>
      <w:r w:rsidR="00446684">
        <w:rPr>
          <w:szCs w:val="22"/>
        </w:rPr>
        <w:t>ut confirmation of information/</w:t>
      </w:r>
      <w:r w:rsidRPr="00375941">
        <w:rPr>
          <w:szCs w:val="22"/>
        </w:rPr>
        <w:t xml:space="preserve">currency of donor history must be in the presence of a trained interviewer (as defined) within </w:t>
      </w:r>
      <w:r w:rsidR="00FA45F7" w:rsidRPr="009A5E24">
        <w:t xml:space="preserve">30 days before or 30 days after </w:t>
      </w:r>
      <w:r w:rsidR="00FA45F7">
        <w:t xml:space="preserve">the </w:t>
      </w:r>
      <w:r w:rsidRPr="00375941">
        <w:rPr>
          <w:szCs w:val="22"/>
        </w:rPr>
        <w:t xml:space="preserve">collection and must be completed before </w:t>
      </w:r>
      <w:r w:rsidR="0054111B">
        <w:rPr>
          <w:szCs w:val="22"/>
        </w:rPr>
        <w:t xml:space="preserve">HCT </w:t>
      </w:r>
      <w:r w:rsidRPr="00375941">
        <w:rPr>
          <w:szCs w:val="22"/>
        </w:rPr>
        <w:t>product is released from quarantine. To ensure the relevance of the information collected, the timeframes around when the donor interview is performed should be as close to the collection date as feasible.</w:t>
      </w:r>
    </w:p>
    <w:p w14:paraId="55458B4B" w14:textId="14F7EFC8" w:rsidR="00672FA7" w:rsidRDefault="00672FA7" w:rsidP="00672FA7">
      <w:pPr>
        <w:pStyle w:val="Heading5"/>
      </w:pPr>
      <w:r>
        <w:lastRenderedPageBreak/>
        <w:t xml:space="preserve">Subsection 9(3) – </w:t>
      </w:r>
      <w:r w:rsidRPr="00446684">
        <w:t>Deceased donor</w:t>
      </w:r>
      <w:r w:rsidR="003D4932">
        <w:t>:</w:t>
      </w:r>
      <w:r w:rsidRPr="00446684">
        <w:t xml:space="preserve"> medical and social history</w:t>
      </w:r>
    </w:p>
    <w:tbl>
      <w:tblPr>
        <w:tblStyle w:val="TableTGAblue"/>
        <w:tblW w:w="0" w:type="auto"/>
        <w:tblLook w:val="0480" w:firstRow="0" w:lastRow="0" w:firstColumn="1" w:lastColumn="0" w:noHBand="0" w:noVBand="1"/>
      </w:tblPr>
      <w:tblGrid>
        <w:gridCol w:w="9050"/>
      </w:tblGrid>
      <w:tr w:rsidR="00D458E0" w14:paraId="194BD86A" w14:textId="77777777" w:rsidTr="00C01EF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9EE6D71" w14:textId="77777777" w:rsidR="00D458E0" w:rsidRDefault="00D458E0" w:rsidP="00C01EF3">
            <w:pPr>
              <w:rPr>
                <w:b/>
              </w:rPr>
            </w:pPr>
            <w:r>
              <w:rPr>
                <w:b/>
              </w:rPr>
              <w:t>9 Medical and social history of donors</w:t>
            </w:r>
          </w:p>
          <w:p w14:paraId="6AE93A8D" w14:textId="11A6B376" w:rsidR="00D458E0" w:rsidRPr="00C43F51" w:rsidRDefault="00D458E0" w:rsidP="00C01EF3">
            <w:pPr>
              <w:rPr>
                <w:b/>
              </w:rPr>
            </w:pPr>
            <w:r>
              <w:rPr>
                <w:b/>
              </w:rPr>
              <w:t>Deceased donors</w:t>
            </w:r>
          </w:p>
          <w:p w14:paraId="32505899" w14:textId="240973C5" w:rsidR="00EF78E1" w:rsidRPr="00EF78E1" w:rsidRDefault="00FA45F7" w:rsidP="000E409B">
            <w:pPr>
              <w:pStyle w:val="Numberbullet0"/>
              <w:numPr>
                <w:ilvl w:val="0"/>
                <w:numId w:val="17"/>
              </w:numPr>
            </w:pPr>
            <w:r w:rsidRPr="009A5E24">
              <w:rPr>
                <w:szCs w:val="22"/>
              </w:rPr>
              <w:t xml:space="preserve">A </w:t>
            </w:r>
            <w:r w:rsidR="005937C7" w:rsidRPr="005937C7">
              <w:rPr>
                <w:szCs w:val="22"/>
              </w:rPr>
              <w:t>medical and social history in relation to a deceased donor of HCT materials, covering the ineligibility criteria for donor selection specified in Schedule 1 and any other relevant matters, must be obtained and documented within 7 days before or 7 days after the collection of the HCT materials, by</w:t>
            </w:r>
            <w:r w:rsidR="00EF78E1">
              <w:rPr>
                <w:szCs w:val="22"/>
              </w:rPr>
              <w:t>:</w:t>
            </w:r>
          </w:p>
          <w:p w14:paraId="48F3FCF2" w14:textId="479017E7" w:rsidR="00EF78E1" w:rsidRPr="00EF78E1" w:rsidRDefault="00EF78E1" w:rsidP="000E409B">
            <w:pPr>
              <w:pStyle w:val="Numberbullet0"/>
              <w:numPr>
                <w:ilvl w:val="0"/>
                <w:numId w:val="20"/>
              </w:numPr>
            </w:pPr>
            <w:r>
              <w:rPr>
                <w:szCs w:val="22"/>
              </w:rPr>
              <w:t>both:</w:t>
            </w:r>
          </w:p>
          <w:p w14:paraId="6FE0EAC4" w14:textId="0FAA773F" w:rsidR="00EF78E1" w:rsidRDefault="00FA45F7" w:rsidP="000E409B">
            <w:pPr>
              <w:pStyle w:val="Numberbullet0"/>
              <w:numPr>
                <w:ilvl w:val="0"/>
                <w:numId w:val="21"/>
              </w:numPr>
            </w:pPr>
            <w:r w:rsidRPr="009A5E24">
              <w:rPr>
                <w:szCs w:val="22"/>
              </w:rPr>
              <w:t xml:space="preserve">an interview with a person who is </w:t>
            </w:r>
            <w:r w:rsidRPr="009A5E24">
              <w:t>sufficiently informed about the donor’s medical and social history</w:t>
            </w:r>
            <w:r w:rsidR="00765933" w:rsidRPr="00765933">
              <w:rPr>
                <w:szCs w:val="22"/>
              </w:rPr>
              <w:t>; and</w:t>
            </w:r>
          </w:p>
          <w:p w14:paraId="6B0C945D" w14:textId="26A2AD93" w:rsidR="00D458E0" w:rsidRPr="00196450" w:rsidRDefault="00FA45F7" w:rsidP="000E409B">
            <w:pPr>
              <w:pStyle w:val="Numberbullet0"/>
              <w:numPr>
                <w:ilvl w:val="0"/>
                <w:numId w:val="21"/>
              </w:numPr>
            </w:pPr>
            <w:r w:rsidRPr="009A5E24">
              <w:t>an examination of relevant documentation in relation to the donor</w:t>
            </w:r>
            <w:r w:rsidR="00EF78E1">
              <w:t>; or</w:t>
            </w:r>
          </w:p>
          <w:p w14:paraId="5CA4AA78" w14:textId="450810B2" w:rsidR="00D458E0" w:rsidRPr="00D458E0" w:rsidRDefault="00FA45F7" w:rsidP="000E409B">
            <w:pPr>
              <w:pStyle w:val="Numberbullet0"/>
              <w:numPr>
                <w:ilvl w:val="0"/>
                <w:numId w:val="20"/>
              </w:numPr>
            </w:pPr>
            <w:r w:rsidRPr="009A5E24">
              <w:t>where the interview mentioned in subparagraph (3)(a)(i) is not possible—an examination of the donor documentation to ensure there is sufficient evidence to determine the acceptability of the donor’s medical and social history</w:t>
            </w:r>
            <w:r w:rsidR="00196450">
              <w:t>.</w:t>
            </w:r>
          </w:p>
          <w:p w14:paraId="3E3F311C" w14:textId="7FFD5004" w:rsidR="00D458E0" w:rsidRPr="00DC7E83" w:rsidRDefault="00196450" w:rsidP="00196450">
            <w:pPr>
              <w:pStyle w:val="Numberbullet0"/>
              <w:numPr>
                <w:ilvl w:val="0"/>
                <w:numId w:val="0"/>
              </w:numPr>
              <w:ind w:left="720"/>
            </w:pPr>
            <w:r>
              <w:rPr>
                <w:szCs w:val="22"/>
              </w:rPr>
              <w:t xml:space="preserve">Example: </w:t>
            </w:r>
            <w:r w:rsidR="00FA45F7" w:rsidRPr="009A5E24">
              <w:t>A person who is sufficiently informed about a deceased donor’s medical and social history may include the donor’s treating physician, next of kin or closest available relative, a member of the donor’s household, or a person with a relationship with the donor, such as a carer, friend or partner</w:t>
            </w:r>
            <w:r>
              <w:t>.</w:t>
            </w:r>
          </w:p>
        </w:tc>
      </w:tr>
    </w:tbl>
    <w:p w14:paraId="642970BE" w14:textId="44055A62" w:rsidR="00196450" w:rsidRDefault="00446684" w:rsidP="00196450">
      <w:pPr>
        <w:rPr>
          <w:szCs w:val="22"/>
        </w:rPr>
      </w:pPr>
      <w:r w:rsidRPr="00446684">
        <w:rPr>
          <w:szCs w:val="22"/>
        </w:rPr>
        <w:t>For deceased donors, it is recogni</w:t>
      </w:r>
      <w:r w:rsidR="00F62E95">
        <w:rPr>
          <w:szCs w:val="22"/>
        </w:rPr>
        <w:t xml:space="preserve">sed that the next of </w:t>
      </w:r>
      <w:r w:rsidRPr="00446684">
        <w:rPr>
          <w:szCs w:val="22"/>
        </w:rPr>
        <w:t>kin (knowledgeable historian) may not be available for interview within the required timeframe and therefore donor documentation may provide the necessary evidence to obtain the donor history within the specified timeframe</w:t>
      </w:r>
      <w:r w:rsidR="00CC3355">
        <w:rPr>
          <w:szCs w:val="22"/>
        </w:rPr>
        <w:t>.</w:t>
      </w:r>
    </w:p>
    <w:p w14:paraId="132D8AC2" w14:textId="435F1658" w:rsidR="00672FA7" w:rsidRDefault="00672FA7" w:rsidP="00672FA7">
      <w:pPr>
        <w:pStyle w:val="Heading5"/>
      </w:pPr>
      <w:r>
        <w:t>Subsection 9(4) – D</w:t>
      </w:r>
      <w:r w:rsidRPr="00446684">
        <w:t>onor</w:t>
      </w:r>
      <w:r>
        <w:t>s of HCT materials for plasma fractionation</w:t>
      </w:r>
      <w:r w:rsidR="005E6C31">
        <w:t xml:space="preserve">: </w:t>
      </w:r>
      <w:r w:rsidRPr="00446684">
        <w:t>medical and social history</w:t>
      </w:r>
    </w:p>
    <w:tbl>
      <w:tblPr>
        <w:tblStyle w:val="TableTGAblue"/>
        <w:tblW w:w="0" w:type="auto"/>
        <w:tblLook w:val="0480" w:firstRow="0" w:lastRow="0" w:firstColumn="1" w:lastColumn="0" w:noHBand="0" w:noVBand="1"/>
      </w:tblPr>
      <w:tblGrid>
        <w:gridCol w:w="9050"/>
      </w:tblGrid>
      <w:tr w:rsidR="00196450" w14:paraId="7C30276B" w14:textId="77777777" w:rsidTr="00C01EF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24D714FF" w14:textId="21038C07" w:rsidR="00196450" w:rsidRDefault="009E636E" w:rsidP="00196450">
            <w:pPr>
              <w:rPr>
                <w:b/>
              </w:rPr>
            </w:pPr>
            <w:r>
              <w:rPr>
                <w:b/>
              </w:rPr>
              <w:t xml:space="preserve">9 </w:t>
            </w:r>
            <w:r w:rsidR="00196450">
              <w:rPr>
                <w:b/>
              </w:rPr>
              <w:t>Medical and social history of donors</w:t>
            </w:r>
          </w:p>
          <w:p w14:paraId="5FF82DEC" w14:textId="65810BC2" w:rsidR="00196450" w:rsidRPr="00196450" w:rsidRDefault="00196450" w:rsidP="00196450">
            <w:pPr>
              <w:rPr>
                <w:b/>
              </w:rPr>
            </w:pPr>
            <w:r w:rsidRPr="00196450">
              <w:rPr>
                <w:b/>
              </w:rPr>
              <w:t>Donors of HCT materials used exclusively for plasma fractionation</w:t>
            </w:r>
          </w:p>
          <w:p w14:paraId="5EE7C2FC" w14:textId="1A4E807F" w:rsidR="00196450" w:rsidRPr="00196450" w:rsidRDefault="006B52DD" w:rsidP="000E409B">
            <w:pPr>
              <w:pStyle w:val="Numberbullet0"/>
              <w:numPr>
                <w:ilvl w:val="0"/>
                <w:numId w:val="17"/>
              </w:numPr>
            </w:pPr>
            <w:r w:rsidRPr="009A5E24">
              <w:t>The periods of ineligibility specified in column 3 of items 2, 4, 13, 16 to 19, and 23 to 26 of the table in Schedule 1 do not apply in relation to a donor of HCT materials that are exclusively for plasma fractionation</w:t>
            </w:r>
            <w:r w:rsidR="00196450">
              <w:rPr>
                <w:szCs w:val="22"/>
              </w:rPr>
              <w:t>.</w:t>
            </w:r>
          </w:p>
        </w:tc>
      </w:tr>
    </w:tbl>
    <w:p w14:paraId="44C815B3" w14:textId="77777777" w:rsidR="00753819" w:rsidRDefault="00753819" w:rsidP="00753819">
      <w:pPr>
        <w:rPr>
          <w:szCs w:val="22"/>
        </w:rPr>
      </w:pPr>
      <w:r w:rsidRPr="007328EA">
        <w:rPr>
          <w:szCs w:val="22"/>
        </w:rPr>
        <w:t>This subsection provides specific exemption from certain donor history criteria and deferral</w:t>
      </w:r>
      <w:r>
        <w:rPr>
          <w:szCs w:val="22"/>
        </w:rPr>
        <w:t>s for plasma for fractionation.</w:t>
      </w:r>
    </w:p>
    <w:p w14:paraId="3E556104" w14:textId="0BE33A39" w:rsidR="0085157F" w:rsidRDefault="00753819" w:rsidP="0085157F">
      <w:pPr>
        <w:rPr>
          <w:szCs w:val="22"/>
        </w:rPr>
      </w:pPr>
      <w:r w:rsidRPr="007328EA">
        <w:rPr>
          <w:szCs w:val="22"/>
        </w:rPr>
        <w:t xml:space="preserve">‘Plasma for </w:t>
      </w:r>
      <w:r>
        <w:rPr>
          <w:szCs w:val="22"/>
        </w:rPr>
        <w:t>f</w:t>
      </w:r>
      <w:r w:rsidRPr="007328EA">
        <w:rPr>
          <w:szCs w:val="22"/>
        </w:rPr>
        <w:t>ractionation’ is defined in European Pharmacopoeia (Ph. Eur.)</w:t>
      </w:r>
      <w:r>
        <w:rPr>
          <w:szCs w:val="22"/>
        </w:rPr>
        <w:t xml:space="preserve"> </w:t>
      </w:r>
      <w:r w:rsidRPr="007328EA">
        <w:rPr>
          <w:szCs w:val="22"/>
        </w:rPr>
        <w:t>monograph 0853 as the liquid part of human blood remaining after the separation of the cellular elements from blood collected and is intended for the manufacture of plasma-derived products.</w:t>
      </w:r>
    </w:p>
    <w:p w14:paraId="0E950C34" w14:textId="4D8D5BC5" w:rsidR="002C01C9" w:rsidRDefault="002C01C9" w:rsidP="002C01C9">
      <w:pPr>
        <w:pStyle w:val="Heading5"/>
      </w:pPr>
      <w:r>
        <w:lastRenderedPageBreak/>
        <w:t>Subsection 9(5) – Ocular donors</w:t>
      </w:r>
      <w:r w:rsidR="005E6C31">
        <w:t>: medical and social history</w:t>
      </w:r>
    </w:p>
    <w:tbl>
      <w:tblPr>
        <w:tblStyle w:val="TableTGAblue"/>
        <w:tblW w:w="0" w:type="auto"/>
        <w:tblLook w:val="0480" w:firstRow="0" w:lastRow="0" w:firstColumn="1" w:lastColumn="0" w:noHBand="0" w:noVBand="1"/>
      </w:tblPr>
      <w:tblGrid>
        <w:gridCol w:w="9050"/>
      </w:tblGrid>
      <w:tr w:rsidR="0085157F" w14:paraId="3AE3C3FF" w14:textId="77777777" w:rsidTr="00C01EF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C77AFFD" w14:textId="21A7AC34" w:rsidR="0085157F" w:rsidRDefault="009E636E" w:rsidP="00C01EF3">
            <w:pPr>
              <w:rPr>
                <w:b/>
              </w:rPr>
            </w:pPr>
            <w:r>
              <w:rPr>
                <w:b/>
              </w:rPr>
              <w:t xml:space="preserve">9 </w:t>
            </w:r>
            <w:r w:rsidR="0085157F">
              <w:rPr>
                <w:b/>
              </w:rPr>
              <w:t>Medical and social history of donors</w:t>
            </w:r>
          </w:p>
          <w:p w14:paraId="46A77F6F" w14:textId="3F7C02CF" w:rsidR="0085157F" w:rsidRPr="00196450" w:rsidRDefault="0085157F" w:rsidP="00C01EF3">
            <w:pPr>
              <w:rPr>
                <w:b/>
              </w:rPr>
            </w:pPr>
            <w:r w:rsidRPr="0085157F">
              <w:rPr>
                <w:b/>
              </w:rPr>
              <w:t>Donors of HCT materials that are human ocular tissue only</w:t>
            </w:r>
          </w:p>
          <w:p w14:paraId="22D0AF5A" w14:textId="3AB9F6C2" w:rsidR="0085157F" w:rsidRPr="00196450" w:rsidRDefault="006B52DD" w:rsidP="000E409B">
            <w:pPr>
              <w:pStyle w:val="Numberbullet0"/>
              <w:numPr>
                <w:ilvl w:val="0"/>
                <w:numId w:val="17"/>
              </w:numPr>
            </w:pPr>
            <w:r w:rsidRPr="009A5E24">
              <w:t>The periods of ineligibility specified in column 3 of items 16 to 19 of the table in Schedule 1 do not apply in relation to a donor of HCT materials that are human ocular tissue only</w:t>
            </w:r>
            <w:r w:rsidR="0085157F">
              <w:rPr>
                <w:szCs w:val="22"/>
              </w:rPr>
              <w:t>.</w:t>
            </w:r>
          </w:p>
        </w:tc>
      </w:tr>
    </w:tbl>
    <w:p w14:paraId="27ADA78A" w14:textId="73728942" w:rsidR="0085157F" w:rsidRDefault="00753819" w:rsidP="002C01C9">
      <w:r w:rsidRPr="002C01C9">
        <w:t>This subsection provides specific exemption from certain donor history criteria and deferrals for donors of ocular tissue.</w:t>
      </w:r>
    </w:p>
    <w:p w14:paraId="12D44B91" w14:textId="2F4CB281" w:rsidR="002C01C9" w:rsidRDefault="002C01C9" w:rsidP="002C01C9">
      <w:pPr>
        <w:pStyle w:val="Heading5"/>
      </w:pPr>
      <w:r>
        <w:t>Subsection 9(6) – Change in circumstances of donor</w:t>
      </w:r>
    </w:p>
    <w:tbl>
      <w:tblPr>
        <w:tblStyle w:val="TableTGAblue"/>
        <w:tblW w:w="0" w:type="auto"/>
        <w:tblLook w:val="0480" w:firstRow="0" w:lastRow="0" w:firstColumn="1" w:lastColumn="0" w:noHBand="0" w:noVBand="1"/>
      </w:tblPr>
      <w:tblGrid>
        <w:gridCol w:w="9050"/>
      </w:tblGrid>
      <w:tr w:rsidR="0085157F" w14:paraId="3C31F8A3" w14:textId="77777777" w:rsidTr="00C01EF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4C0111C7" w14:textId="42D46650" w:rsidR="0085157F" w:rsidRDefault="009E636E" w:rsidP="00C01EF3">
            <w:pPr>
              <w:rPr>
                <w:b/>
              </w:rPr>
            </w:pPr>
            <w:r>
              <w:rPr>
                <w:b/>
              </w:rPr>
              <w:t xml:space="preserve">9 </w:t>
            </w:r>
            <w:r w:rsidR="0085157F">
              <w:rPr>
                <w:b/>
              </w:rPr>
              <w:t>Medical and social history of donors</w:t>
            </w:r>
          </w:p>
          <w:p w14:paraId="6013E56B" w14:textId="5F69F234" w:rsidR="0085157F" w:rsidRPr="00196450" w:rsidRDefault="0085157F" w:rsidP="00C01EF3">
            <w:pPr>
              <w:rPr>
                <w:b/>
              </w:rPr>
            </w:pPr>
            <w:r>
              <w:rPr>
                <w:b/>
              </w:rPr>
              <w:t>Change of circumstance of donor</w:t>
            </w:r>
          </w:p>
          <w:p w14:paraId="765529D0" w14:textId="4D8E67B0" w:rsidR="0085157F" w:rsidRPr="00196450" w:rsidRDefault="006B52DD" w:rsidP="000E409B">
            <w:pPr>
              <w:pStyle w:val="Numberbullet0"/>
              <w:numPr>
                <w:ilvl w:val="0"/>
                <w:numId w:val="17"/>
              </w:numPr>
            </w:pPr>
            <w:r w:rsidRPr="009A5E24">
              <w:t>Where the circumstances of a donor of HCT materials used in the manufacture of an HCT product change in relation to the ineligibility criteria for donor selection specified in Schedule 1, the relevant aspects of the medical and social history of the donor must be reviewed by the manufacturer of the HCT product with respect to those changes, before the HCT product is released for supply</w:t>
            </w:r>
            <w:r w:rsidR="0085157F">
              <w:rPr>
                <w:szCs w:val="22"/>
              </w:rPr>
              <w:t>.</w:t>
            </w:r>
          </w:p>
        </w:tc>
      </w:tr>
    </w:tbl>
    <w:p w14:paraId="277497E2" w14:textId="749A4283" w:rsidR="009E636E" w:rsidRDefault="00763EA8" w:rsidP="009E636E">
      <w:r>
        <w:t xml:space="preserve">A change in circumstances </w:t>
      </w:r>
      <w:r w:rsidR="000A3E57">
        <w:t>for a donor of HCT may include</w:t>
      </w:r>
      <w:r>
        <w:t xml:space="preserve"> detection of a latent condition after donation</w:t>
      </w:r>
      <w:r w:rsidR="000A3E57">
        <w:t xml:space="preserve"> or previous travel to an area that has since been found to hav</w:t>
      </w:r>
      <w:r w:rsidR="00301851">
        <w:t>e</w:t>
      </w:r>
      <w:r w:rsidR="00307DC6">
        <w:t xml:space="preserve"> an outbreak of a disease (for example, </w:t>
      </w:r>
      <w:r w:rsidR="00301851">
        <w:t xml:space="preserve">malaria, Dengue fever, </w:t>
      </w:r>
      <w:r w:rsidR="000A3E57">
        <w:t>COVID</w:t>
      </w:r>
      <w:r w:rsidR="00301851">
        <w:t>-19</w:t>
      </w:r>
      <w:r w:rsidR="000A3E57">
        <w:t>)</w:t>
      </w:r>
      <w:r>
        <w:t xml:space="preserve">. </w:t>
      </w:r>
      <w:r w:rsidR="00F467FC">
        <w:t xml:space="preserve">In these instances, </w:t>
      </w:r>
      <w:r w:rsidR="000A3E57">
        <w:t>donor</w:t>
      </w:r>
      <w:r w:rsidR="009E636E">
        <w:t xml:space="preserve"> </w:t>
      </w:r>
      <w:r>
        <w:t>eligibility shou</w:t>
      </w:r>
      <w:r w:rsidR="000A3E57">
        <w:t>l</w:t>
      </w:r>
      <w:r w:rsidR="00301851">
        <w:t>d be reviewed prior to release</w:t>
      </w:r>
      <w:r w:rsidR="0054111B">
        <w:t xml:space="preserve"> of the HCT product</w:t>
      </w:r>
      <w:r w:rsidR="00301851">
        <w:t>.</w:t>
      </w:r>
    </w:p>
    <w:p w14:paraId="1DAEECAF" w14:textId="35362B42" w:rsidR="002C01C9" w:rsidRPr="009E636E" w:rsidRDefault="002C01C9" w:rsidP="002C01C9">
      <w:pPr>
        <w:pStyle w:val="Heading5"/>
      </w:pPr>
      <w:r>
        <w:t>Subsections 9(7) and 9(8) – Screening requirements</w:t>
      </w:r>
    </w:p>
    <w:tbl>
      <w:tblPr>
        <w:tblStyle w:val="TableTGAblue"/>
        <w:tblW w:w="0" w:type="auto"/>
        <w:tblLook w:val="0480" w:firstRow="0" w:lastRow="0" w:firstColumn="1" w:lastColumn="0" w:noHBand="0" w:noVBand="1"/>
      </w:tblPr>
      <w:tblGrid>
        <w:gridCol w:w="9050"/>
      </w:tblGrid>
      <w:tr w:rsidR="009E636E" w14:paraId="625EA4D0" w14:textId="77777777" w:rsidTr="00C01EF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35847391" w14:textId="7DDC2534" w:rsidR="009E636E" w:rsidRDefault="009E636E" w:rsidP="00C01EF3">
            <w:pPr>
              <w:rPr>
                <w:b/>
              </w:rPr>
            </w:pPr>
            <w:r>
              <w:rPr>
                <w:b/>
              </w:rPr>
              <w:t>9 Medical and social history of donors</w:t>
            </w:r>
          </w:p>
          <w:p w14:paraId="35525EBD" w14:textId="46DB4C65" w:rsidR="009E636E" w:rsidRPr="00196450" w:rsidRDefault="009E636E" w:rsidP="00C01EF3">
            <w:pPr>
              <w:rPr>
                <w:b/>
              </w:rPr>
            </w:pPr>
            <w:r>
              <w:rPr>
                <w:b/>
              </w:rPr>
              <w:t>Screening requirements</w:t>
            </w:r>
          </w:p>
          <w:p w14:paraId="12B7469A" w14:textId="77777777" w:rsidR="009E636E" w:rsidRPr="00F467FC" w:rsidRDefault="00F467FC" w:rsidP="000E409B">
            <w:pPr>
              <w:pStyle w:val="Numberbullet0"/>
              <w:numPr>
                <w:ilvl w:val="0"/>
                <w:numId w:val="17"/>
              </w:numPr>
            </w:pPr>
            <w:r>
              <w:t>An HCT product must not be released for supply, unless the medical and social history of a donor is reviewed and evaluated in accordance with this section</w:t>
            </w:r>
            <w:r w:rsidR="009E636E">
              <w:rPr>
                <w:szCs w:val="22"/>
              </w:rPr>
              <w:t>.</w:t>
            </w:r>
          </w:p>
          <w:p w14:paraId="34094311" w14:textId="1BABD184" w:rsidR="00F467FC" w:rsidRPr="00196450" w:rsidRDefault="006B52DD" w:rsidP="00997588">
            <w:pPr>
              <w:pStyle w:val="Numberbullet0"/>
              <w:numPr>
                <w:ilvl w:val="0"/>
                <w:numId w:val="17"/>
              </w:numPr>
            </w:pPr>
            <w:r w:rsidRPr="009A5E24">
              <w:t>Where a donor meets any of the medical and social history criteria specified in column 2 of an item of the table in Schedule 1, the donor must be subjected to the period of ineligibility specified in column 3 of that item in relation to the collection of HCT materials from the donor for use in the manufacture of HCT products</w:t>
            </w:r>
            <w:r w:rsidR="00F467FC">
              <w:t>.</w:t>
            </w:r>
          </w:p>
        </w:tc>
      </w:tr>
    </w:tbl>
    <w:p w14:paraId="08891403" w14:textId="66D8D1CD" w:rsidR="000A3E57" w:rsidRDefault="000A3E57" w:rsidP="00205D75">
      <w:r w:rsidRPr="000A3E57">
        <w:t>Where possible and practicable these criteria and deferral periods are harmonised with international criteria</w:t>
      </w:r>
      <w:r>
        <w:t>.</w:t>
      </w:r>
    </w:p>
    <w:p w14:paraId="361BE97A" w14:textId="2BE8E6B6" w:rsidR="002C01C9" w:rsidRPr="009E636E" w:rsidRDefault="002C01C9" w:rsidP="002C01C9">
      <w:pPr>
        <w:pStyle w:val="Heading5"/>
      </w:pPr>
      <w:r>
        <w:lastRenderedPageBreak/>
        <w:t>Subsections 9(9) to 9(12) – Vertical transmission risk</w:t>
      </w:r>
    </w:p>
    <w:tbl>
      <w:tblPr>
        <w:tblStyle w:val="TableTGAblue"/>
        <w:tblW w:w="0" w:type="auto"/>
        <w:tblLook w:val="0480" w:firstRow="0" w:lastRow="0" w:firstColumn="1" w:lastColumn="0" w:noHBand="0" w:noVBand="1"/>
      </w:tblPr>
      <w:tblGrid>
        <w:gridCol w:w="9050"/>
      </w:tblGrid>
      <w:tr w:rsidR="00F467FC" w14:paraId="4FD5EC3A" w14:textId="77777777" w:rsidTr="00C01EF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06B0DBF" w14:textId="77777777" w:rsidR="00F467FC" w:rsidRDefault="00F467FC" w:rsidP="00C01EF3">
            <w:pPr>
              <w:rPr>
                <w:b/>
              </w:rPr>
            </w:pPr>
            <w:r>
              <w:rPr>
                <w:b/>
              </w:rPr>
              <w:t>9 Medical and social history of donors</w:t>
            </w:r>
          </w:p>
          <w:p w14:paraId="75FB2290" w14:textId="70B26AD1" w:rsidR="00F467FC" w:rsidRPr="00196450" w:rsidRDefault="00F467FC" w:rsidP="00C01EF3">
            <w:pPr>
              <w:rPr>
                <w:b/>
              </w:rPr>
            </w:pPr>
            <w:r w:rsidRPr="00F467FC">
              <w:rPr>
                <w:b/>
              </w:rPr>
              <w:t>Screening in relation to donors less than 18 months old</w:t>
            </w:r>
          </w:p>
          <w:p w14:paraId="3E69E7C6" w14:textId="5C5F88FA" w:rsidR="00F467FC" w:rsidRPr="00F467FC" w:rsidRDefault="00F906C1" w:rsidP="000E409B">
            <w:pPr>
              <w:pStyle w:val="Numberbullet0"/>
              <w:numPr>
                <w:ilvl w:val="0"/>
                <w:numId w:val="17"/>
              </w:numPr>
            </w:pPr>
            <w:r w:rsidRPr="009A5E24">
              <w:t>If the donor is less than 18 months old, a medical and social history in relation to the donor’s birth mother, covering the ineligibility criteria for donor selection specified in column 2 of items 1 to 7, 11 to 13, 17 and 20 of the table in Schedule 1 must be obtained</w:t>
            </w:r>
            <w:r w:rsidR="00F467FC">
              <w:rPr>
                <w:szCs w:val="22"/>
              </w:rPr>
              <w:t>.</w:t>
            </w:r>
          </w:p>
          <w:p w14:paraId="012E8344" w14:textId="23AD58CA" w:rsidR="00F467FC" w:rsidRDefault="00F906C1" w:rsidP="000E409B">
            <w:pPr>
              <w:pStyle w:val="Numberbullet0"/>
              <w:numPr>
                <w:ilvl w:val="0"/>
                <w:numId w:val="17"/>
              </w:numPr>
            </w:pPr>
            <w:r w:rsidRPr="009A5E24">
              <w:t>Where the donor’s birth mother meets the medical and social history criteria specified in column 2 of item 1 to 7, 11 to 13, 17 or 20 of the table in Schedule 1, then the donor must be subjected to the period of ineligibility specified in column 3 of that item, in relation to the collection of HCT materials from the donor</w:t>
            </w:r>
            <w:r w:rsidR="00F467FC">
              <w:t>.</w:t>
            </w:r>
          </w:p>
          <w:p w14:paraId="6806CD34" w14:textId="1DC05386" w:rsidR="006060DB" w:rsidRPr="006060DB" w:rsidRDefault="006060DB" w:rsidP="006060DB">
            <w:pPr>
              <w:pStyle w:val="Numberbullet0"/>
              <w:numPr>
                <w:ilvl w:val="0"/>
                <w:numId w:val="0"/>
              </w:numPr>
              <w:rPr>
                <w:b/>
              </w:rPr>
            </w:pPr>
            <w:r w:rsidRPr="006060DB">
              <w:rPr>
                <w:b/>
              </w:rPr>
              <w:t>Screening in relation to donors who have consumed breast milk</w:t>
            </w:r>
          </w:p>
          <w:p w14:paraId="78416436" w14:textId="414C076D" w:rsidR="006060DB" w:rsidRDefault="00F906C1" w:rsidP="000E409B">
            <w:pPr>
              <w:pStyle w:val="Numberbullet0"/>
              <w:numPr>
                <w:ilvl w:val="0"/>
                <w:numId w:val="17"/>
              </w:numPr>
            </w:pPr>
            <w:r w:rsidRPr="009A5E24">
              <w:t xml:space="preserve">If the donor has consumed breast milk from a person (the </w:t>
            </w:r>
            <w:r w:rsidRPr="009A5E24">
              <w:rPr>
                <w:b/>
                <w:i/>
              </w:rPr>
              <w:t>relevant person</w:t>
            </w:r>
            <w:r w:rsidRPr="009A5E24">
              <w:t>) within the previous six months, a medical and social history in relation to the relevant person, covering the ineligibility criteria for donor selection specified in column 2 of the items 1 to 7, 11 to 13, 17 and 20 of the table in Schedule 1 must be obtained</w:t>
            </w:r>
            <w:r w:rsidR="006060DB">
              <w:t>.</w:t>
            </w:r>
          </w:p>
          <w:p w14:paraId="7FED5B56" w14:textId="62C2E51E" w:rsidR="006060DB" w:rsidRPr="00196450" w:rsidRDefault="00F906C1" w:rsidP="000E409B">
            <w:pPr>
              <w:pStyle w:val="Numberbullet0"/>
              <w:numPr>
                <w:ilvl w:val="0"/>
                <w:numId w:val="17"/>
              </w:numPr>
            </w:pPr>
            <w:r w:rsidRPr="009A5E24">
              <w:t>Where the relevant person meets the medical and social history criteria specified in column 2 of item 1 to 7, 11 to 13, 17 or 20 of the table in Schedule 1, then the donor must be subjected to the period of ineligibility specified in column 3 of that item, in relation to the collection of HCT materials from the donor</w:t>
            </w:r>
            <w:r w:rsidR="006060DB">
              <w:t>.</w:t>
            </w:r>
          </w:p>
        </w:tc>
      </w:tr>
    </w:tbl>
    <w:p w14:paraId="5337FF31" w14:textId="621952B1" w:rsidR="000A3E57" w:rsidRDefault="00036E68" w:rsidP="000A3E57">
      <w:pPr>
        <w:rPr>
          <w:szCs w:val="22"/>
        </w:rPr>
      </w:pPr>
      <w:r w:rsidRPr="00036E68">
        <w:rPr>
          <w:szCs w:val="22"/>
        </w:rPr>
        <w:t>This subsection provides specific criteria that apply to the mothers of infant donors</w:t>
      </w:r>
      <w:r w:rsidR="000A3E57">
        <w:rPr>
          <w:szCs w:val="22"/>
        </w:rPr>
        <w:t xml:space="preserve"> or the relevant persons</w:t>
      </w:r>
      <w:r w:rsidR="005E6C31">
        <w:rPr>
          <w:szCs w:val="22"/>
        </w:rPr>
        <w:t>,</w:t>
      </w:r>
      <w:r w:rsidR="000A3E57">
        <w:rPr>
          <w:szCs w:val="22"/>
        </w:rPr>
        <w:t xml:space="preserve"> </w:t>
      </w:r>
      <w:r w:rsidRPr="00036E68">
        <w:rPr>
          <w:szCs w:val="22"/>
        </w:rPr>
        <w:t xml:space="preserve">in order to reduce the risk of vertical transmission of disease via placenta or lactation. </w:t>
      </w:r>
      <w:r w:rsidR="000A3E57">
        <w:rPr>
          <w:szCs w:val="22"/>
        </w:rPr>
        <w:t>This</w:t>
      </w:r>
      <w:r w:rsidRPr="00036E68">
        <w:rPr>
          <w:szCs w:val="22"/>
        </w:rPr>
        <w:t xml:space="preserve"> clause </w:t>
      </w:r>
      <w:r w:rsidR="0054111B">
        <w:rPr>
          <w:szCs w:val="22"/>
        </w:rPr>
        <w:t xml:space="preserve">also </w:t>
      </w:r>
      <w:r w:rsidR="000A3E57">
        <w:rPr>
          <w:szCs w:val="22"/>
        </w:rPr>
        <w:t xml:space="preserve">applies to any person who has donated milk to the </w:t>
      </w:r>
      <w:r w:rsidR="0054111B">
        <w:rPr>
          <w:szCs w:val="22"/>
        </w:rPr>
        <w:t>HCT material donor</w:t>
      </w:r>
      <w:r w:rsidR="005E6C31">
        <w:rPr>
          <w:szCs w:val="22"/>
        </w:rPr>
        <w:t xml:space="preserve">. </w:t>
      </w:r>
    </w:p>
    <w:p w14:paraId="2681F517" w14:textId="283D516E" w:rsidR="005C5479" w:rsidRPr="009E636E" w:rsidRDefault="005C5479" w:rsidP="005C5479">
      <w:pPr>
        <w:pStyle w:val="Heading5"/>
      </w:pPr>
      <w:r>
        <w:t>Subsection 9(13) – Directed allogeneic donation</w:t>
      </w:r>
    </w:p>
    <w:tbl>
      <w:tblPr>
        <w:tblStyle w:val="TableTGAblue"/>
        <w:tblW w:w="0" w:type="auto"/>
        <w:tblLook w:val="0480" w:firstRow="0" w:lastRow="0" w:firstColumn="1" w:lastColumn="0" w:noHBand="0" w:noVBand="1"/>
      </w:tblPr>
      <w:tblGrid>
        <w:gridCol w:w="9050"/>
      </w:tblGrid>
      <w:tr w:rsidR="00EC737F" w14:paraId="28B80340" w14:textId="77777777" w:rsidTr="00C01EF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576612BB" w14:textId="77777777" w:rsidR="00EC737F" w:rsidRDefault="00EC737F" w:rsidP="00C01EF3">
            <w:pPr>
              <w:rPr>
                <w:b/>
              </w:rPr>
            </w:pPr>
            <w:r>
              <w:rPr>
                <w:b/>
              </w:rPr>
              <w:t>9 Medical and social history of donors</w:t>
            </w:r>
          </w:p>
          <w:p w14:paraId="01E963C8" w14:textId="4F6B6AD6" w:rsidR="00EC737F" w:rsidRPr="00196450" w:rsidRDefault="00EC737F" w:rsidP="00C01EF3">
            <w:pPr>
              <w:rPr>
                <w:b/>
              </w:rPr>
            </w:pPr>
            <w:r w:rsidRPr="00EC737F">
              <w:rPr>
                <w:b/>
              </w:rPr>
              <w:t>HCT products that are manufactured for directed allogeneic use</w:t>
            </w:r>
          </w:p>
          <w:p w14:paraId="7BE8B015" w14:textId="62E1B22B" w:rsidR="00EC737F" w:rsidRPr="00EC737F" w:rsidRDefault="00F906C1" w:rsidP="000E409B">
            <w:pPr>
              <w:pStyle w:val="Numberbullet0"/>
              <w:numPr>
                <w:ilvl w:val="0"/>
                <w:numId w:val="17"/>
              </w:numPr>
            </w:pPr>
            <w:r w:rsidRPr="009A5E24">
              <w:t>Subsections (8), (10) and (12) do not apply in relation to HCT products that are manufactured for directed allogeneic use where the medical or dental practitioner who is responsible for the administration to, or application in the treatment of, the designated patient is provided the complete medical and social history of the donor of the HCT materials, including (where applicable) the medical and social history of the donor’s birth mother or the relevant person</w:t>
            </w:r>
            <w:r w:rsidR="00EC737F">
              <w:t>.</w:t>
            </w:r>
          </w:p>
        </w:tc>
      </w:tr>
    </w:tbl>
    <w:p w14:paraId="07B2B085" w14:textId="5781B34F" w:rsidR="00B740B9" w:rsidRDefault="00B740B9" w:rsidP="00C10E14">
      <w:bookmarkStart w:id="22" w:name="_Toc50972368"/>
      <w:r>
        <w:t>I</w:t>
      </w:r>
      <w:r w:rsidRPr="00B740B9">
        <w:t>n certain circumstances</w:t>
      </w:r>
      <w:r>
        <w:t>,</w:t>
      </w:r>
      <w:r w:rsidRPr="00B740B9">
        <w:t xml:space="preserve"> </w:t>
      </w:r>
      <w:r>
        <w:t>s</w:t>
      </w:r>
      <w:r w:rsidRPr="00B740B9">
        <w:t>ubsections (8), (10) and (12) do not apply to HCT products that are manufactured for directed allogeneic use.</w:t>
      </w:r>
    </w:p>
    <w:p w14:paraId="5846704C" w14:textId="2360DE1D" w:rsidR="00404E1E" w:rsidRDefault="00A4799D" w:rsidP="00404E1E">
      <w:pPr>
        <w:pStyle w:val="Heading4"/>
      </w:pPr>
      <w:bookmarkStart w:id="23" w:name="_Toc69823137"/>
      <w:r>
        <w:t>Section 10</w:t>
      </w:r>
      <w:r w:rsidR="00404E1E">
        <w:t xml:space="preserve"> – </w:t>
      </w:r>
      <w:r>
        <w:t>Blood samples – taking and testing</w:t>
      </w:r>
      <w:bookmarkEnd w:id="23"/>
    </w:p>
    <w:p w14:paraId="3150B53F" w14:textId="759C416E" w:rsidR="00A4799D" w:rsidRDefault="00F906C1" w:rsidP="00A4799D">
      <w:r>
        <w:t>Section 10</w:t>
      </w:r>
      <w:r w:rsidR="00404E1E" w:rsidRPr="00404E1E">
        <w:t xml:space="preserve"> specifies the minimum standards for samples and test methods used for infectious disease testing. Quality of the samples and validation of the methods used in donor testing is critical for determining donor suitability.</w:t>
      </w:r>
    </w:p>
    <w:p w14:paraId="312533A0" w14:textId="7B39CF59" w:rsidR="005E6C31" w:rsidRPr="009E636E" w:rsidRDefault="005E6C31" w:rsidP="005E6C31">
      <w:pPr>
        <w:pStyle w:val="Heading5"/>
      </w:pPr>
      <w:r>
        <w:lastRenderedPageBreak/>
        <w:t>Subsections 10(1) to 10(4) – Living donor blood sampling</w:t>
      </w:r>
    </w:p>
    <w:tbl>
      <w:tblPr>
        <w:tblStyle w:val="TableTGAblue"/>
        <w:tblW w:w="0" w:type="auto"/>
        <w:tblLook w:val="0480" w:firstRow="0" w:lastRow="0" w:firstColumn="1" w:lastColumn="0" w:noHBand="0" w:noVBand="1"/>
      </w:tblPr>
      <w:tblGrid>
        <w:gridCol w:w="9050"/>
      </w:tblGrid>
      <w:tr w:rsidR="00A4799D" w14:paraId="320339C8" w14:textId="77777777" w:rsidTr="00C01EF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0045F015" w14:textId="3B21EFD6" w:rsidR="00A4799D" w:rsidRDefault="00A4799D" w:rsidP="00C01EF3">
            <w:pPr>
              <w:rPr>
                <w:b/>
              </w:rPr>
            </w:pPr>
            <w:r>
              <w:rPr>
                <w:b/>
              </w:rPr>
              <w:t>10 Blood samples – taking and testing</w:t>
            </w:r>
          </w:p>
          <w:p w14:paraId="2417170B" w14:textId="6F96C102" w:rsidR="00A4799D" w:rsidRDefault="005A2F5E" w:rsidP="000E409B">
            <w:pPr>
              <w:pStyle w:val="Numberbullet0"/>
              <w:numPr>
                <w:ilvl w:val="0"/>
                <w:numId w:val="22"/>
              </w:numPr>
            </w:pPr>
            <w:r>
              <w:t>Blood samples must be:</w:t>
            </w:r>
          </w:p>
          <w:p w14:paraId="090B3451" w14:textId="4EE2FB55" w:rsidR="005A2F5E" w:rsidRPr="005A2F5E" w:rsidRDefault="005A2F5E" w:rsidP="000E409B">
            <w:pPr>
              <w:pStyle w:val="Numberbullet0"/>
              <w:numPr>
                <w:ilvl w:val="0"/>
                <w:numId w:val="23"/>
              </w:numPr>
            </w:pPr>
            <w:r>
              <w:rPr>
                <w:szCs w:val="22"/>
              </w:rPr>
              <w:t>taken from a donor of HCT materials; and</w:t>
            </w:r>
          </w:p>
          <w:p w14:paraId="447F1902" w14:textId="077D5E2F" w:rsidR="005A2F5E" w:rsidRDefault="005A2F5E" w:rsidP="000E409B">
            <w:pPr>
              <w:pStyle w:val="Numberbullet0"/>
              <w:numPr>
                <w:ilvl w:val="0"/>
                <w:numId w:val="23"/>
              </w:numPr>
            </w:pPr>
            <w:r>
              <w:rPr>
                <w:szCs w:val="22"/>
              </w:rPr>
              <w:t>tested for the purpose of donor screening.</w:t>
            </w:r>
          </w:p>
          <w:p w14:paraId="4F751AC4" w14:textId="0380CE3D" w:rsidR="005A2F5E" w:rsidRPr="005A2F5E" w:rsidRDefault="005A2F5E" w:rsidP="000E409B">
            <w:pPr>
              <w:pStyle w:val="Numberbullet0"/>
              <w:numPr>
                <w:ilvl w:val="0"/>
                <w:numId w:val="22"/>
              </w:numPr>
            </w:pPr>
            <w:r>
              <w:rPr>
                <w:szCs w:val="22"/>
              </w:rPr>
              <w:t>Blood samples must be taken using aseptic procedures.</w:t>
            </w:r>
          </w:p>
          <w:p w14:paraId="5F0DBF2F" w14:textId="7F74ADA2" w:rsidR="005A2F5E" w:rsidRPr="005A2F5E" w:rsidRDefault="005A2F5E" w:rsidP="005A2F5E">
            <w:pPr>
              <w:pStyle w:val="Numberbullet0"/>
              <w:numPr>
                <w:ilvl w:val="0"/>
                <w:numId w:val="0"/>
              </w:numPr>
              <w:rPr>
                <w:b/>
              </w:rPr>
            </w:pPr>
            <w:r w:rsidRPr="005A2F5E">
              <w:rPr>
                <w:b/>
              </w:rPr>
              <w:t>Blood samples – living donors of HCT materials other than materials used exclusively for plasma fractionation</w:t>
            </w:r>
          </w:p>
          <w:p w14:paraId="08924DB8" w14:textId="483F3901" w:rsidR="005A2F5E" w:rsidRPr="00CB1ECC" w:rsidRDefault="005A2F5E" w:rsidP="000E409B">
            <w:pPr>
              <w:pStyle w:val="Numberbullet0"/>
              <w:numPr>
                <w:ilvl w:val="0"/>
                <w:numId w:val="22"/>
              </w:numPr>
            </w:pPr>
            <w:r w:rsidRPr="00CB1ECC">
              <w:rPr>
                <w:szCs w:val="22"/>
              </w:rPr>
              <w:t>Subject to subsections (4) and (5), blood samples of a living donor of HCT materials must:</w:t>
            </w:r>
          </w:p>
          <w:p w14:paraId="548DB056" w14:textId="61D635D1" w:rsidR="005A2F5E" w:rsidRPr="00CB1ECC" w:rsidRDefault="00F906C1" w:rsidP="000E409B">
            <w:pPr>
              <w:pStyle w:val="Numberbullet0"/>
              <w:numPr>
                <w:ilvl w:val="0"/>
                <w:numId w:val="25"/>
              </w:numPr>
            </w:pPr>
            <w:r w:rsidRPr="009A5E24">
              <w:rPr>
                <w:szCs w:val="22"/>
              </w:rPr>
              <w:t>be taken within 7 days before, or 7 days after, the collection of the HCT materials from the donor</w:t>
            </w:r>
            <w:r w:rsidR="005A2F5E" w:rsidRPr="00CB1ECC">
              <w:rPr>
                <w:szCs w:val="22"/>
              </w:rPr>
              <w:t>; and</w:t>
            </w:r>
          </w:p>
          <w:p w14:paraId="3C123B98" w14:textId="73C65879" w:rsidR="005A2F5E" w:rsidRPr="00CB1ECC" w:rsidRDefault="00F906C1" w:rsidP="00443991">
            <w:pPr>
              <w:pStyle w:val="Numberbullet0"/>
              <w:numPr>
                <w:ilvl w:val="0"/>
                <w:numId w:val="25"/>
              </w:numPr>
            </w:pPr>
            <w:r w:rsidRPr="009A5E24">
              <w:rPr>
                <w:szCs w:val="22"/>
              </w:rPr>
              <w:t>undergo both NAT and serology testing in accordance subsection (7</w:t>
            </w:r>
            <w:r w:rsidR="00D35EC5" w:rsidRPr="00D35EC5">
              <w:rPr>
                <w:szCs w:val="22"/>
              </w:rPr>
              <w:t>).</w:t>
            </w:r>
          </w:p>
          <w:p w14:paraId="46417DAC" w14:textId="16B69768" w:rsidR="005A2F5E" w:rsidRPr="00CB1ECC" w:rsidRDefault="00F906C1" w:rsidP="000E409B">
            <w:pPr>
              <w:pStyle w:val="Numberbullet0"/>
              <w:numPr>
                <w:ilvl w:val="0"/>
                <w:numId w:val="22"/>
              </w:numPr>
            </w:pPr>
            <w:r w:rsidRPr="009A5E24">
              <w:rPr>
                <w:szCs w:val="22"/>
              </w:rPr>
              <w:t>Where an HCT product is able to be stored for more than 180 days without compromising the quality, safety or efficacy of the product, blood samples of a living donor of the HCT materials used in the manufacture of the product may instead</w:t>
            </w:r>
            <w:r w:rsidR="005A2F5E" w:rsidRPr="00CB1ECC">
              <w:rPr>
                <w:szCs w:val="22"/>
              </w:rPr>
              <w:t>:</w:t>
            </w:r>
          </w:p>
          <w:p w14:paraId="0DAA27EA" w14:textId="450F453B" w:rsidR="005A2F5E" w:rsidRPr="00CB1ECC" w:rsidRDefault="005A2F5E" w:rsidP="000E409B">
            <w:pPr>
              <w:pStyle w:val="Numberbullet0"/>
              <w:numPr>
                <w:ilvl w:val="0"/>
                <w:numId w:val="24"/>
              </w:numPr>
            </w:pPr>
            <w:r w:rsidRPr="00CB1ECC">
              <w:t>be taken:</w:t>
            </w:r>
          </w:p>
          <w:p w14:paraId="05BB72A2" w14:textId="3F103D77" w:rsidR="005A2F5E" w:rsidRPr="00CB1ECC" w:rsidRDefault="00F906C1" w:rsidP="000E409B">
            <w:pPr>
              <w:pStyle w:val="Numberbullet0"/>
              <w:numPr>
                <w:ilvl w:val="0"/>
                <w:numId w:val="26"/>
              </w:numPr>
            </w:pPr>
            <w:r w:rsidRPr="009A5E24">
              <w:rPr>
                <w:szCs w:val="22"/>
              </w:rPr>
              <w:t>within 7 days before, or 7 days after, the collection of the HCT materials from the donor</w:t>
            </w:r>
            <w:r w:rsidR="005A2F5E" w:rsidRPr="00CB1ECC">
              <w:rPr>
                <w:szCs w:val="22"/>
              </w:rPr>
              <w:t>; and</w:t>
            </w:r>
          </w:p>
          <w:p w14:paraId="70294B37" w14:textId="57300822" w:rsidR="005A2F5E" w:rsidRPr="00CB1ECC" w:rsidRDefault="005A2F5E" w:rsidP="000E409B">
            <w:pPr>
              <w:pStyle w:val="Numberbullet0"/>
              <w:numPr>
                <w:ilvl w:val="0"/>
                <w:numId w:val="26"/>
              </w:numPr>
            </w:pPr>
            <w:r w:rsidRPr="00CB1ECC">
              <w:rPr>
                <w:szCs w:val="22"/>
              </w:rPr>
              <w:t xml:space="preserve">at </w:t>
            </w:r>
            <w:r w:rsidR="00F906C1" w:rsidRPr="009A5E24">
              <w:rPr>
                <w:szCs w:val="22"/>
              </w:rPr>
              <w:t>least 180 days after the collection of the HCT materials from the donor</w:t>
            </w:r>
            <w:r w:rsidRPr="00CB1ECC">
              <w:rPr>
                <w:szCs w:val="22"/>
              </w:rPr>
              <w:t>; and</w:t>
            </w:r>
          </w:p>
          <w:p w14:paraId="31C37243" w14:textId="7EAF5E60" w:rsidR="005A2F5E" w:rsidRPr="00EC737F" w:rsidRDefault="00F906C1" w:rsidP="000E409B">
            <w:pPr>
              <w:pStyle w:val="Numberbullet0"/>
              <w:numPr>
                <w:ilvl w:val="0"/>
                <w:numId w:val="24"/>
              </w:numPr>
            </w:pPr>
            <w:r w:rsidRPr="009A5E24">
              <w:rPr>
                <w:szCs w:val="22"/>
              </w:rPr>
              <w:t>undergo serology testing in accordance with subsections (8) and (9)</w:t>
            </w:r>
            <w:r w:rsidR="005A2F5E" w:rsidRPr="00CB1ECC">
              <w:rPr>
                <w:szCs w:val="22"/>
              </w:rPr>
              <w:t>.</w:t>
            </w:r>
          </w:p>
        </w:tc>
      </w:tr>
    </w:tbl>
    <w:p w14:paraId="59198538" w14:textId="77777777" w:rsidR="008B5705" w:rsidRDefault="00E94E64" w:rsidP="005A2F5E">
      <w:pPr>
        <w:rPr>
          <w:szCs w:val="22"/>
        </w:rPr>
      </w:pPr>
      <w:r>
        <w:rPr>
          <w:szCs w:val="22"/>
        </w:rPr>
        <w:t>The 7-</w:t>
      </w:r>
      <w:r w:rsidRPr="00E94E64">
        <w:rPr>
          <w:szCs w:val="22"/>
        </w:rPr>
        <w:t xml:space="preserve">day window for living donors represents the nominal timeframe to collect samples to accurately reflect the donor infectious disease status. It may be appropriate for manufacturers to apply more stringent timeframes to some cell or tissue types, such as fresh blood. </w:t>
      </w:r>
    </w:p>
    <w:p w14:paraId="701FC76E" w14:textId="62863DAC" w:rsidR="00B90034" w:rsidRPr="009E636E" w:rsidRDefault="00B90034" w:rsidP="00B90034">
      <w:pPr>
        <w:pStyle w:val="Heading5"/>
      </w:pPr>
      <w:r>
        <w:t>Subsection 10(5) – Blood sampling for plasma fractionation</w:t>
      </w:r>
    </w:p>
    <w:tbl>
      <w:tblPr>
        <w:tblStyle w:val="TableTGAblue"/>
        <w:tblW w:w="0" w:type="auto"/>
        <w:tblLook w:val="0480" w:firstRow="0" w:lastRow="0" w:firstColumn="1" w:lastColumn="0" w:noHBand="0" w:noVBand="1"/>
      </w:tblPr>
      <w:tblGrid>
        <w:gridCol w:w="9050"/>
      </w:tblGrid>
      <w:tr w:rsidR="005A2F5E" w14:paraId="7C8E72B4" w14:textId="77777777" w:rsidTr="00C01EF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2C65EDAD" w14:textId="25AF470A" w:rsidR="005A2F5E" w:rsidRDefault="005A2F5E" w:rsidP="005A2F5E">
            <w:pPr>
              <w:rPr>
                <w:b/>
              </w:rPr>
            </w:pPr>
            <w:r>
              <w:rPr>
                <w:b/>
              </w:rPr>
              <w:t>10 Blood samples – taking and testing</w:t>
            </w:r>
          </w:p>
          <w:p w14:paraId="19E16647" w14:textId="1755C73C" w:rsidR="005A2F5E" w:rsidRDefault="005A2F5E" w:rsidP="00C01EF3">
            <w:pPr>
              <w:rPr>
                <w:b/>
              </w:rPr>
            </w:pPr>
            <w:r>
              <w:rPr>
                <w:b/>
              </w:rPr>
              <w:t xml:space="preserve">Blood samples – </w:t>
            </w:r>
            <w:r w:rsidRPr="005A2F5E">
              <w:rPr>
                <w:b/>
              </w:rPr>
              <w:t>living donors of HCT materials used exclusively for plasma fractionation</w:t>
            </w:r>
          </w:p>
          <w:p w14:paraId="6F2F75E0" w14:textId="4E769912" w:rsidR="005A2F5E" w:rsidRDefault="00F906C1" w:rsidP="000E409B">
            <w:pPr>
              <w:pStyle w:val="Numberbullet0"/>
              <w:numPr>
                <w:ilvl w:val="0"/>
                <w:numId w:val="22"/>
              </w:numPr>
            </w:pPr>
            <w:r w:rsidRPr="009A5E24">
              <w:t>Blood samples of a living donor of HCT materials that are used exclusively for plasma fractionation must</w:t>
            </w:r>
            <w:r w:rsidR="005A2F5E">
              <w:t>:</w:t>
            </w:r>
          </w:p>
          <w:p w14:paraId="724260DE" w14:textId="486173B0" w:rsidR="005A2F5E" w:rsidRPr="005A2F5E" w:rsidRDefault="00F906C1" w:rsidP="000E409B">
            <w:pPr>
              <w:pStyle w:val="Numberbullet0"/>
              <w:numPr>
                <w:ilvl w:val="0"/>
                <w:numId w:val="27"/>
              </w:numPr>
            </w:pPr>
            <w:r w:rsidRPr="009A5E24">
              <w:rPr>
                <w:szCs w:val="22"/>
              </w:rPr>
              <w:t>be taken within 7 days before, or 7 days after, the collection of the HCT materials from the donor</w:t>
            </w:r>
            <w:r w:rsidR="005A2F5E">
              <w:rPr>
                <w:szCs w:val="22"/>
              </w:rPr>
              <w:t>; and</w:t>
            </w:r>
          </w:p>
          <w:p w14:paraId="7A5DD3AC" w14:textId="546F508F" w:rsidR="005A2F5E" w:rsidRPr="00EC737F" w:rsidRDefault="00F906C1" w:rsidP="00345E1A">
            <w:pPr>
              <w:pStyle w:val="Numberbullet0"/>
              <w:numPr>
                <w:ilvl w:val="0"/>
                <w:numId w:val="27"/>
              </w:numPr>
            </w:pPr>
            <w:r w:rsidRPr="009A5E24">
              <w:rPr>
                <w:szCs w:val="22"/>
              </w:rPr>
              <w:t>undergo both NAT and serology testing in accordance subsection (10)</w:t>
            </w:r>
            <w:r w:rsidR="00D35EC5" w:rsidRPr="00D35EC5">
              <w:rPr>
                <w:szCs w:val="22"/>
              </w:rPr>
              <w:t>.</w:t>
            </w:r>
          </w:p>
        </w:tc>
      </w:tr>
    </w:tbl>
    <w:p w14:paraId="0F3AFC81" w14:textId="1CF26142" w:rsidR="00972426" w:rsidRDefault="0094334E" w:rsidP="00972426">
      <w:r>
        <w:lastRenderedPageBreak/>
        <w:t>D</w:t>
      </w:r>
      <w:r w:rsidRPr="0094334E">
        <w:t xml:space="preserve">onors of HCT materials that are going to be used for plasma fractionation only are not required to undergo testing for HTLV or syphilis. All other tests as specified </w:t>
      </w:r>
      <w:r w:rsidR="004E3443">
        <w:t xml:space="preserve">in subsection </w:t>
      </w:r>
      <w:r w:rsidRPr="0094334E">
        <w:t>10(10) must be non-reactive.</w:t>
      </w:r>
    </w:p>
    <w:p w14:paraId="098E93C0" w14:textId="77777777" w:rsidR="00301851" w:rsidRDefault="00301851" w:rsidP="00301851">
      <w:pPr>
        <w:rPr>
          <w:szCs w:val="22"/>
        </w:rPr>
      </w:pPr>
      <w:r w:rsidRPr="00997237">
        <w:rPr>
          <w:szCs w:val="22"/>
        </w:rPr>
        <w:t>The term ‘non-reactive’ is intended to include other terminology for the same test result such as</w:t>
      </w:r>
      <w:r>
        <w:rPr>
          <w:szCs w:val="22"/>
        </w:rPr>
        <w:t xml:space="preserve"> ‘negative’ and ‘not detected’.</w:t>
      </w:r>
    </w:p>
    <w:p w14:paraId="49C6980A" w14:textId="52094F66" w:rsidR="00301851" w:rsidRPr="00301851" w:rsidRDefault="00301851" w:rsidP="00972426">
      <w:pPr>
        <w:rPr>
          <w:szCs w:val="22"/>
        </w:rPr>
      </w:pPr>
      <w:r w:rsidRPr="00997237">
        <w:rPr>
          <w:szCs w:val="22"/>
        </w:rPr>
        <w:t>The decision as to which test resul</w:t>
      </w:r>
      <w:r>
        <w:rPr>
          <w:szCs w:val="22"/>
        </w:rPr>
        <w:t>ts lead to a ‘reactive’ or ‘non-</w:t>
      </w:r>
      <w:r w:rsidRPr="00997237">
        <w:rPr>
          <w:szCs w:val="22"/>
        </w:rPr>
        <w:t>reactive’ test should be justified. In addition</w:t>
      </w:r>
      <w:r>
        <w:rPr>
          <w:szCs w:val="22"/>
        </w:rPr>
        <w:t>,</w:t>
      </w:r>
      <w:r w:rsidRPr="00997237">
        <w:rPr>
          <w:szCs w:val="22"/>
        </w:rPr>
        <w:t xml:space="preserve"> the role of any confirmatory testing in the determination of meeting this requirement should also be justi</w:t>
      </w:r>
      <w:r>
        <w:rPr>
          <w:szCs w:val="22"/>
        </w:rPr>
        <w:t>fied.</w:t>
      </w:r>
    </w:p>
    <w:p w14:paraId="5BD005D5" w14:textId="6689EBC9" w:rsidR="00B90034" w:rsidRPr="009E636E" w:rsidRDefault="00B90034" w:rsidP="00B90034">
      <w:pPr>
        <w:pStyle w:val="Heading5"/>
      </w:pPr>
      <w:r>
        <w:t>Subsection 10(6) – Deceased donor blood sampling</w:t>
      </w:r>
    </w:p>
    <w:tbl>
      <w:tblPr>
        <w:tblStyle w:val="TableTGAblue"/>
        <w:tblW w:w="0" w:type="auto"/>
        <w:tblLook w:val="0480" w:firstRow="0" w:lastRow="0" w:firstColumn="1" w:lastColumn="0" w:noHBand="0" w:noVBand="1"/>
      </w:tblPr>
      <w:tblGrid>
        <w:gridCol w:w="9050"/>
      </w:tblGrid>
      <w:tr w:rsidR="00972426" w14:paraId="4F61EACA" w14:textId="77777777" w:rsidTr="00C01EF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4F59443" w14:textId="77777777" w:rsidR="00972426" w:rsidRDefault="00972426" w:rsidP="00C01EF3">
            <w:pPr>
              <w:rPr>
                <w:b/>
              </w:rPr>
            </w:pPr>
            <w:r>
              <w:rPr>
                <w:b/>
              </w:rPr>
              <w:t>10 Blood samples – taking and testing</w:t>
            </w:r>
          </w:p>
          <w:p w14:paraId="04A22034" w14:textId="00FC1645" w:rsidR="00972426" w:rsidRDefault="00972426" w:rsidP="00C01EF3">
            <w:pPr>
              <w:rPr>
                <w:b/>
              </w:rPr>
            </w:pPr>
            <w:r>
              <w:rPr>
                <w:b/>
              </w:rPr>
              <w:t xml:space="preserve">Blood samples – </w:t>
            </w:r>
            <w:r w:rsidRPr="00972426">
              <w:rPr>
                <w:b/>
              </w:rPr>
              <w:t>deceased donors of HCT materials</w:t>
            </w:r>
          </w:p>
          <w:p w14:paraId="1080413E" w14:textId="1F51960C" w:rsidR="00972426" w:rsidRDefault="00972426" w:rsidP="000E409B">
            <w:pPr>
              <w:pStyle w:val="Numberbullet0"/>
              <w:numPr>
                <w:ilvl w:val="0"/>
                <w:numId w:val="22"/>
              </w:numPr>
            </w:pPr>
            <w:r>
              <w:rPr>
                <w:szCs w:val="22"/>
              </w:rPr>
              <w:t>Blood samples of a deceased donor of HCT materials must</w:t>
            </w:r>
            <w:r>
              <w:t>:</w:t>
            </w:r>
          </w:p>
          <w:p w14:paraId="17F61B23" w14:textId="76032E83" w:rsidR="00972426" w:rsidRDefault="00972426" w:rsidP="000E409B">
            <w:pPr>
              <w:pStyle w:val="Numberbullet0"/>
              <w:numPr>
                <w:ilvl w:val="0"/>
                <w:numId w:val="28"/>
              </w:numPr>
            </w:pPr>
            <w:r>
              <w:t>be taken:</w:t>
            </w:r>
          </w:p>
          <w:p w14:paraId="6BE8B13E" w14:textId="77777777" w:rsidR="00D35EC5" w:rsidRPr="00D35EC5" w:rsidRDefault="00D35EC5" w:rsidP="00D35EC5">
            <w:pPr>
              <w:pStyle w:val="Numberbullet0"/>
              <w:numPr>
                <w:ilvl w:val="0"/>
                <w:numId w:val="29"/>
              </w:numPr>
            </w:pPr>
            <w:r w:rsidRPr="00D35EC5">
              <w:rPr>
                <w:szCs w:val="22"/>
              </w:rPr>
              <w:t>in accordance with subsection 8(4); or</w:t>
            </w:r>
          </w:p>
          <w:p w14:paraId="2E3136D7" w14:textId="65F9F39B" w:rsidR="00972426" w:rsidRPr="00CB1ECC" w:rsidRDefault="003E0B2C" w:rsidP="00D35EC5">
            <w:pPr>
              <w:pStyle w:val="Numberbullet0"/>
              <w:numPr>
                <w:ilvl w:val="0"/>
                <w:numId w:val="29"/>
              </w:numPr>
            </w:pPr>
            <w:r w:rsidRPr="009A5E24">
              <w:rPr>
                <w:szCs w:val="22"/>
              </w:rPr>
              <w:t>within 7 days before the collection of the HCT materials</w:t>
            </w:r>
            <w:r w:rsidR="00972426" w:rsidRPr="00CB1ECC">
              <w:rPr>
                <w:szCs w:val="22"/>
              </w:rPr>
              <w:t>; and</w:t>
            </w:r>
          </w:p>
          <w:p w14:paraId="3340935B" w14:textId="4102D6D7" w:rsidR="00972426" w:rsidRPr="00D35EC5" w:rsidRDefault="00972426" w:rsidP="00D35EC5">
            <w:pPr>
              <w:pStyle w:val="Numberbullet0"/>
              <w:numPr>
                <w:ilvl w:val="0"/>
                <w:numId w:val="28"/>
              </w:numPr>
              <w:rPr>
                <w:szCs w:val="22"/>
              </w:rPr>
            </w:pPr>
            <w:r w:rsidRPr="00CB1ECC">
              <w:rPr>
                <w:szCs w:val="22"/>
              </w:rPr>
              <w:t xml:space="preserve">undergo </w:t>
            </w:r>
            <w:r w:rsidR="00D35EC5" w:rsidRPr="00D35EC5">
              <w:rPr>
                <w:szCs w:val="22"/>
              </w:rPr>
              <w:t>NAT and serology testing in accordance with subsection (7).</w:t>
            </w:r>
          </w:p>
        </w:tc>
      </w:tr>
    </w:tbl>
    <w:p w14:paraId="7167A1B6" w14:textId="1E25D67A" w:rsidR="00DB1CE8" w:rsidRDefault="00EE285E" w:rsidP="00DB1CE8">
      <w:pPr>
        <w:rPr>
          <w:szCs w:val="22"/>
        </w:rPr>
      </w:pPr>
      <w:r w:rsidRPr="00EE285E">
        <w:rPr>
          <w:szCs w:val="22"/>
        </w:rPr>
        <w:t>The quality of the cadaveric blood sample must be suitable to allow infectious disease testing to be performed. Instructions for use provided with a test method may define the appropriate time frame for collection of the blood sample prior to testing, or the appropriate time frame should be validated.</w:t>
      </w:r>
    </w:p>
    <w:p w14:paraId="7BB27521" w14:textId="64DFC637" w:rsidR="00B90034" w:rsidRPr="009E636E" w:rsidRDefault="00B90034" w:rsidP="00B90034">
      <w:pPr>
        <w:pStyle w:val="Heading5"/>
      </w:pPr>
      <w:r>
        <w:t>Subsections 10(7) to 10(9) – Living and deceased donor infectious disease</w:t>
      </w:r>
      <w:r w:rsidR="008B5705">
        <w:t xml:space="preserve"> testing</w:t>
      </w:r>
    </w:p>
    <w:tbl>
      <w:tblPr>
        <w:tblStyle w:val="TableTGAblue"/>
        <w:tblW w:w="0" w:type="auto"/>
        <w:tblLook w:val="0480" w:firstRow="0" w:lastRow="0" w:firstColumn="1" w:lastColumn="0" w:noHBand="0" w:noVBand="1"/>
      </w:tblPr>
      <w:tblGrid>
        <w:gridCol w:w="9050"/>
      </w:tblGrid>
      <w:tr w:rsidR="00DB1CE8" w14:paraId="7A9BAF0E" w14:textId="77777777" w:rsidTr="00C01EF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ADDDAA1" w14:textId="0D6AA343" w:rsidR="00DB1CE8" w:rsidRDefault="00DB1CE8" w:rsidP="00C01EF3">
            <w:pPr>
              <w:rPr>
                <w:b/>
              </w:rPr>
            </w:pPr>
            <w:r>
              <w:rPr>
                <w:b/>
              </w:rPr>
              <w:t>10 Blood samples – taking and testing</w:t>
            </w:r>
          </w:p>
          <w:p w14:paraId="1367F866" w14:textId="22F8D6D4" w:rsidR="00DB1CE8" w:rsidRDefault="00DB1CE8" w:rsidP="00C01EF3">
            <w:pPr>
              <w:rPr>
                <w:b/>
              </w:rPr>
            </w:pPr>
            <w:r>
              <w:rPr>
                <w:b/>
              </w:rPr>
              <w:t xml:space="preserve">Testing – </w:t>
            </w:r>
            <w:r w:rsidRPr="00DB1CE8">
              <w:rPr>
                <w:b/>
              </w:rPr>
              <w:t>living and deceased donors of HCT materials</w:t>
            </w:r>
          </w:p>
          <w:p w14:paraId="5F0D2746" w14:textId="4100A6AA" w:rsidR="0094334E" w:rsidRPr="00CB1ECC" w:rsidRDefault="003E0B2C" w:rsidP="000E409B">
            <w:pPr>
              <w:pStyle w:val="Numberbullet0"/>
              <w:numPr>
                <w:ilvl w:val="0"/>
                <w:numId w:val="22"/>
              </w:numPr>
            </w:pPr>
            <w:r w:rsidRPr="009A5E24">
              <w:rPr>
                <w:szCs w:val="22"/>
              </w:rPr>
              <w:t>The following testing must be conducted in relation to blood samples taken in accordance with paragraphs (3)(a) or (6)(a)</w:t>
            </w:r>
            <w:r w:rsidR="0094334E" w:rsidRPr="00CB1ECC">
              <w:rPr>
                <w:szCs w:val="22"/>
              </w:rPr>
              <w:t>:</w:t>
            </w:r>
          </w:p>
          <w:p w14:paraId="33518A8F" w14:textId="0088028C" w:rsidR="0094334E" w:rsidRPr="00CB1ECC" w:rsidRDefault="003E0B2C" w:rsidP="000E409B">
            <w:pPr>
              <w:pStyle w:val="Numberbullet0"/>
              <w:numPr>
                <w:ilvl w:val="0"/>
                <w:numId w:val="30"/>
              </w:numPr>
            </w:pPr>
            <w:r w:rsidRPr="009A5E24">
              <w:rPr>
                <w:szCs w:val="22"/>
              </w:rPr>
              <w:t>serology testing for HIV-1, HIV-2, HCV, HBsAg, HTLV-1, HTLV-2, and syphilis (</w:t>
            </w:r>
            <w:r w:rsidRPr="009A5E24">
              <w:rPr>
                <w:i/>
                <w:szCs w:val="22"/>
              </w:rPr>
              <w:t>Treponema pallidum</w:t>
            </w:r>
            <w:r w:rsidRPr="009A5E24">
              <w:rPr>
                <w:szCs w:val="22"/>
              </w:rPr>
              <w:t>)</w:t>
            </w:r>
            <w:r w:rsidR="0094334E" w:rsidRPr="00CB1ECC">
              <w:rPr>
                <w:szCs w:val="22"/>
              </w:rPr>
              <w:t>; and</w:t>
            </w:r>
          </w:p>
          <w:p w14:paraId="37ABF0CF" w14:textId="37F0C395" w:rsidR="0094334E" w:rsidRPr="00CB1ECC" w:rsidRDefault="003E0B2C" w:rsidP="000E409B">
            <w:pPr>
              <w:pStyle w:val="Numberbullet0"/>
              <w:numPr>
                <w:ilvl w:val="0"/>
                <w:numId w:val="30"/>
              </w:numPr>
            </w:pPr>
            <w:r w:rsidRPr="009A5E24">
              <w:rPr>
                <w:szCs w:val="22"/>
              </w:rPr>
              <w:t>NAT for HIV-1, HIV-2, HBV, and HCV</w:t>
            </w:r>
            <w:r w:rsidR="0094334E" w:rsidRPr="00CB1ECC">
              <w:rPr>
                <w:szCs w:val="22"/>
              </w:rPr>
              <w:t>.</w:t>
            </w:r>
          </w:p>
          <w:p w14:paraId="0B02E629" w14:textId="58A3CA32" w:rsidR="00DB1CE8" w:rsidRPr="00CB1ECC" w:rsidRDefault="003E0B2C" w:rsidP="000E409B">
            <w:pPr>
              <w:pStyle w:val="Numberbullet0"/>
              <w:numPr>
                <w:ilvl w:val="0"/>
                <w:numId w:val="22"/>
              </w:numPr>
            </w:pPr>
            <w:r w:rsidRPr="009A5E24">
              <w:rPr>
                <w:szCs w:val="22"/>
              </w:rPr>
              <w:t>The following testing must be conducted in relation to blood samples taken in accordance with subparagraph (4)(a)(i)</w:t>
            </w:r>
            <w:r w:rsidR="0094334E" w:rsidRPr="00CB1ECC">
              <w:rPr>
                <w:szCs w:val="22"/>
              </w:rPr>
              <w:t>:</w:t>
            </w:r>
          </w:p>
          <w:p w14:paraId="24E37749" w14:textId="0504FD15" w:rsidR="0094334E" w:rsidRPr="00CB1ECC" w:rsidRDefault="003E0B2C" w:rsidP="000E409B">
            <w:pPr>
              <w:pStyle w:val="Numberbullet0"/>
              <w:numPr>
                <w:ilvl w:val="0"/>
                <w:numId w:val="31"/>
              </w:numPr>
            </w:pPr>
            <w:r w:rsidRPr="009A5E24">
              <w:rPr>
                <w:szCs w:val="22"/>
              </w:rPr>
              <w:t>serology testing for HIV-1, HIV-2, HCV, HBsAg, HTLV-1, HTLV-2, and syphilis (</w:t>
            </w:r>
            <w:r w:rsidRPr="009A5E24">
              <w:rPr>
                <w:i/>
                <w:szCs w:val="22"/>
              </w:rPr>
              <w:t>Treponema pallidum</w:t>
            </w:r>
            <w:r w:rsidRPr="009A5E24">
              <w:rPr>
                <w:szCs w:val="22"/>
              </w:rPr>
              <w:t>)</w:t>
            </w:r>
            <w:r w:rsidR="0094334E" w:rsidRPr="00CB1ECC">
              <w:rPr>
                <w:szCs w:val="22"/>
              </w:rPr>
              <w:t>.</w:t>
            </w:r>
          </w:p>
          <w:p w14:paraId="3FA8B3E7" w14:textId="2133482B" w:rsidR="00DB1CE8" w:rsidRPr="00CB1ECC" w:rsidRDefault="003E0B2C" w:rsidP="000E409B">
            <w:pPr>
              <w:pStyle w:val="Numberbullet0"/>
              <w:numPr>
                <w:ilvl w:val="0"/>
                <w:numId w:val="22"/>
              </w:numPr>
            </w:pPr>
            <w:r w:rsidRPr="009A5E24">
              <w:rPr>
                <w:szCs w:val="22"/>
              </w:rPr>
              <w:t>The following testing must be conducted in relation to blood samples taken in accorda</w:t>
            </w:r>
            <w:r>
              <w:rPr>
                <w:szCs w:val="22"/>
              </w:rPr>
              <w:t>nce with subparagraph (4)(a)(ii</w:t>
            </w:r>
            <w:r w:rsidR="0094334E" w:rsidRPr="00CB1ECC">
              <w:rPr>
                <w:szCs w:val="22"/>
              </w:rPr>
              <w:t>):</w:t>
            </w:r>
          </w:p>
          <w:p w14:paraId="71F90E04" w14:textId="441BB2AD" w:rsidR="0094334E" w:rsidRPr="00DB1CE8" w:rsidRDefault="003E0B2C" w:rsidP="000E409B">
            <w:pPr>
              <w:pStyle w:val="Numberbullet0"/>
              <w:numPr>
                <w:ilvl w:val="0"/>
                <w:numId w:val="32"/>
              </w:numPr>
            </w:pPr>
            <w:r w:rsidRPr="009A5E24">
              <w:rPr>
                <w:szCs w:val="22"/>
              </w:rPr>
              <w:t>serology testing for HIV-1, HIV-2, HCV, and HBsAg</w:t>
            </w:r>
            <w:r w:rsidR="0094334E">
              <w:rPr>
                <w:szCs w:val="22"/>
              </w:rPr>
              <w:t>.</w:t>
            </w:r>
          </w:p>
        </w:tc>
      </w:tr>
    </w:tbl>
    <w:p w14:paraId="04C1DB22" w14:textId="58D9D9D5" w:rsidR="00750040" w:rsidRDefault="00750040" w:rsidP="00750040">
      <w:pPr>
        <w:rPr>
          <w:szCs w:val="22"/>
        </w:rPr>
      </w:pPr>
      <w:r w:rsidRPr="00997237">
        <w:rPr>
          <w:szCs w:val="22"/>
        </w:rPr>
        <w:lastRenderedPageBreak/>
        <w:t>The policy for determining the individual infectious disease status based on test results m</w:t>
      </w:r>
      <w:r w:rsidR="00307DC6">
        <w:rPr>
          <w:szCs w:val="22"/>
        </w:rPr>
        <w:t xml:space="preserve">ust be documented, </w:t>
      </w:r>
      <w:r w:rsidR="00307DC6">
        <w:t>for example</w:t>
      </w:r>
      <w:r w:rsidR="00307DC6">
        <w:rPr>
          <w:szCs w:val="22"/>
        </w:rPr>
        <w:t xml:space="preserve">, </w:t>
      </w:r>
      <w:r w:rsidRPr="00997237">
        <w:rPr>
          <w:szCs w:val="22"/>
        </w:rPr>
        <w:t>HBV testing algorithms required to in</w:t>
      </w:r>
      <w:r>
        <w:rPr>
          <w:szCs w:val="22"/>
        </w:rPr>
        <w:t xml:space="preserve">terpret the status of the donor (whether </w:t>
      </w:r>
      <w:r w:rsidR="003341B5">
        <w:rPr>
          <w:szCs w:val="22"/>
        </w:rPr>
        <w:t>NAT</w:t>
      </w:r>
      <w:r w:rsidRPr="00997237">
        <w:rPr>
          <w:szCs w:val="22"/>
        </w:rPr>
        <w:t xml:space="preserve"> positive/serology negative </w:t>
      </w:r>
      <w:r>
        <w:rPr>
          <w:szCs w:val="22"/>
        </w:rPr>
        <w:t xml:space="preserve">result </w:t>
      </w:r>
      <w:r w:rsidRPr="00997237">
        <w:rPr>
          <w:szCs w:val="22"/>
        </w:rPr>
        <w:t xml:space="preserve">or </w:t>
      </w:r>
      <w:r w:rsidR="003341B5">
        <w:rPr>
          <w:szCs w:val="22"/>
        </w:rPr>
        <w:t>NAT</w:t>
      </w:r>
      <w:r w:rsidRPr="00997237">
        <w:rPr>
          <w:szCs w:val="22"/>
        </w:rPr>
        <w:t xml:space="preserve"> nega</w:t>
      </w:r>
      <w:r>
        <w:rPr>
          <w:szCs w:val="22"/>
        </w:rPr>
        <w:t>tive/serology positive result).</w:t>
      </w:r>
    </w:p>
    <w:p w14:paraId="1C004866" w14:textId="77777777" w:rsidR="00750040" w:rsidRDefault="00750040" w:rsidP="00750040">
      <w:pPr>
        <w:rPr>
          <w:szCs w:val="22"/>
        </w:rPr>
      </w:pPr>
      <w:r w:rsidRPr="00997237">
        <w:rPr>
          <w:szCs w:val="22"/>
        </w:rPr>
        <w:t>If the test result for syphilis is reactive by a non-specifi</w:t>
      </w:r>
      <w:r>
        <w:rPr>
          <w:szCs w:val="22"/>
        </w:rPr>
        <w:t>c test, there are two options:</w:t>
      </w:r>
    </w:p>
    <w:p w14:paraId="78BC8656" w14:textId="494E7A1B" w:rsidR="0094334E" w:rsidRDefault="00E45BB6" w:rsidP="0094334E">
      <w:pPr>
        <w:pStyle w:val="ListBullet"/>
      </w:pPr>
      <w:r>
        <w:t>d</w:t>
      </w:r>
      <w:r w:rsidR="00750040">
        <w:t>iscard product</w:t>
      </w:r>
    </w:p>
    <w:p w14:paraId="015571CA" w14:textId="6E300196" w:rsidR="00301851" w:rsidRDefault="00301851" w:rsidP="00301851">
      <w:pPr>
        <w:pStyle w:val="ListBullet"/>
        <w:numPr>
          <w:ilvl w:val="0"/>
          <w:numId w:val="0"/>
        </w:numPr>
      </w:pPr>
      <w:r>
        <w:t>OR</w:t>
      </w:r>
    </w:p>
    <w:p w14:paraId="244FA821" w14:textId="603B77AA" w:rsidR="0094334E" w:rsidRDefault="00E45BB6" w:rsidP="0094334E">
      <w:pPr>
        <w:pStyle w:val="ListBullet"/>
      </w:pPr>
      <w:r>
        <w:t>p</w:t>
      </w:r>
      <w:r w:rsidR="0094334E" w:rsidRPr="00997237">
        <w:t>erform a specific confirmatory test to rule out the positive result from the non-specif</w:t>
      </w:r>
      <w:r w:rsidR="0094334E">
        <w:t>ic test (non-specific [reaginic]</w:t>
      </w:r>
      <w:r w:rsidR="0094334E" w:rsidRPr="00997237">
        <w:t xml:space="preserve"> syphilis tests are p</w:t>
      </w:r>
      <w:r w:rsidR="0094334E">
        <w:t>rone to false positive results)</w:t>
      </w:r>
    </w:p>
    <w:p w14:paraId="1FEEBCA5" w14:textId="12697910" w:rsidR="00750040" w:rsidRDefault="00750040" w:rsidP="00750040">
      <w:pPr>
        <w:rPr>
          <w:szCs w:val="22"/>
        </w:rPr>
      </w:pPr>
      <w:r w:rsidRPr="00C94AFC">
        <w:rPr>
          <w:szCs w:val="22"/>
        </w:rPr>
        <w:t>Initial serology and,</w:t>
      </w:r>
      <w:r>
        <w:rPr>
          <w:szCs w:val="22"/>
        </w:rPr>
        <w:t xml:space="preserve"> where applicable, </w:t>
      </w:r>
      <w:r w:rsidR="003341B5">
        <w:rPr>
          <w:szCs w:val="22"/>
        </w:rPr>
        <w:t>NAT</w:t>
      </w:r>
      <w:r>
        <w:rPr>
          <w:szCs w:val="22"/>
        </w:rPr>
        <w:t xml:space="preserve"> </w:t>
      </w:r>
      <w:r w:rsidRPr="00C94AFC">
        <w:rPr>
          <w:szCs w:val="22"/>
        </w:rPr>
        <w:t>on the sample collected at the time of donation must be undertaken during the timeframe</w:t>
      </w:r>
      <w:r w:rsidR="00CE5128">
        <w:rPr>
          <w:szCs w:val="22"/>
        </w:rPr>
        <w:t xml:space="preserve"> specified</w:t>
      </w:r>
      <w:r>
        <w:rPr>
          <w:szCs w:val="22"/>
        </w:rPr>
        <w:t>.</w:t>
      </w:r>
    </w:p>
    <w:p w14:paraId="24C7CFD3" w14:textId="77777777" w:rsidR="00750040" w:rsidRDefault="00750040" w:rsidP="00750040">
      <w:pPr>
        <w:rPr>
          <w:szCs w:val="22"/>
        </w:rPr>
      </w:pPr>
      <w:r w:rsidRPr="00C94AFC">
        <w:rPr>
          <w:szCs w:val="22"/>
        </w:rPr>
        <w:t>There are two main infecti</w:t>
      </w:r>
      <w:r>
        <w:rPr>
          <w:szCs w:val="22"/>
        </w:rPr>
        <w:t>ous diseases testing options:</w:t>
      </w:r>
    </w:p>
    <w:p w14:paraId="207C88E0" w14:textId="7FB2C213" w:rsidR="00750040" w:rsidRDefault="00E45BB6" w:rsidP="00750040">
      <w:pPr>
        <w:pStyle w:val="ListBullet"/>
      </w:pPr>
      <w:r>
        <w:t>f</w:t>
      </w:r>
      <w:r w:rsidR="00750040" w:rsidRPr="00C94AFC">
        <w:t xml:space="preserve">or </w:t>
      </w:r>
      <w:r w:rsidR="00750040">
        <w:t>HCT,</w:t>
      </w:r>
      <w:r w:rsidR="00750040" w:rsidRPr="00C94AFC">
        <w:t xml:space="preserve"> the mandatory requirements for initial sample serology as well a</w:t>
      </w:r>
      <w:r w:rsidR="00750040">
        <w:t xml:space="preserve">s its initial sample </w:t>
      </w:r>
      <w:r w:rsidR="003341B5">
        <w:t>NAT</w:t>
      </w:r>
      <w:r w:rsidR="00750040" w:rsidRPr="00C94AFC">
        <w:t xml:space="preserve"> for HIV, HCV an</w:t>
      </w:r>
      <w:r w:rsidR="00750040">
        <w:t>d HBV can be performed</w:t>
      </w:r>
    </w:p>
    <w:p w14:paraId="649BCE31" w14:textId="77777777" w:rsidR="00750040" w:rsidRDefault="00750040" w:rsidP="00750040">
      <w:pPr>
        <w:rPr>
          <w:szCs w:val="22"/>
        </w:rPr>
      </w:pPr>
      <w:r>
        <w:rPr>
          <w:szCs w:val="22"/>
        </w:rPr>
        <w:t>OR</w:t>
      </w:r>
    </w:p>
    <w:p w14:paraId="48421F51" w14:textId="46DDBBAC" w:rsidR="00750040" w:rsidRDefault="00E45BB6" w:rsidP="00750040">
      <w:pPr>
        <w:pStyle w:val="ListBullet"/>
      </w:pPr>
      <w:r>
        <w:t>f</w:t>
      </w:r>
      <w:r w:rsidR="00750040">
        <w:t xml:space="preserve">or HCT </w:t>
      </w:r>
      <w:r w:rsidR="00750040" w:rsidRPr="00C94AFC">
        <w:t xml:space="preserve">that can be stored for over 180 days, initial sample serology is mandatory, and the donor must be sampled and tested by serology </w:t>
      </w:r>
      <w:r w:rsidR="00345E1A">
        <w:t xml:space="preserve">again </w:t>
      </w:r>
      <w:r w:rsidR="00750040" w:rsidRPr="00C94AFC">
        <w:t>more than 18</w:t>
      </w:r>
      <w:r w:rsidR="00750040">
        <w:t>0 days after HCT collection</w:t>
      </w:r>
    </w:p>
    <w:p w14:paraId="2BB84762" w14:textId="0166DB1E" w:rsidR="00750040" w:rsidRDefault="00750040" w:rsidP="00750040">
      <w:pPr>
        <w:rPr>
          <w:szCs w:val="22"/>
        </w:rPr>
      </w:pPr>
      <w:r w:rsidRPr="00C94AFC">
        <w:rPr>
          <w:szCs w:val="22"/>
        </w:rPr>
        <w:t xml:space="preserve">If serology testing is not </w:t>
      </w:r>
      <w:r>
        <w:rPr>
          <w:szCs w:val="22"/>
        </w:rPr>
        <w:t xml:space="preserve">able to be done </w:t>
      </w:r>
      <w:r w:rsidR="00833EB7">
        <w:rPr>
          <w:szCs w:val="22"/>
        </w:rPr>
        <w:t>after</w:t>
      </w:r>
      <w:r w:rsidR="00833EB7" w:rsidRPr="00C94AFC">
        <w:rPr>
          <w:szCs w:val="22"/>
        </w:rPr>
        <w:t xml:space="preserve"> 180 day</w:t>
      </w:r>
      <w:r w:rsidR="00833EB7">
        <w:rPr>
          <w:szCs w:val="22"/>
        </w:rPr>
        <w:t>s</w:t>
      </w:r>
      <w:r w:rsidR="00833EB7" w:rsidRPr="00C94AFC">
        <w:rPr>
          <w:szCs w:val="22"/>
        </w:rPr>
        <w:t xml:space="preserve"> </w:t>
      </w:r>
      <w:r w:rsidR="00833EB7">
        <w:rPr>
          <w:szCs w:val="22"/>
        </w:rPr>
        <w:t xml:space="preserve">(as described </w:t>
      </w:r>
      <w:r w:rsidRPr="00C94AFC">
        <w:rPr>
          <w:szCs w:val="22"/>
        </w:rPr>
        <w:t>above</w:t>
      </w:r>
      <w:r w:rsidR="00E45BB6">
        <w:rPr>
          <w:szCs w:val="22"/>
        </w:rPr>
        <w:t>)</w:t>
      </w:r>
      <w:r>
        <w:rPr>
          <w:szCs w:val="22"/>
        </w:rPr>
        <w:t>,</w:t>
      </w:r>
      <w:r w:rsidRPr="00C94AFC">
        <w:rPr>
          <w:szCs w:val="22"/>
        </w:rPr>
        <w:t xml:space="preserve"> it may be possible to justify retrospective testing of the initial donor sample by NAT in combination with the initial sample serology. However, the validity/suitability of using donor</w:t>
      </w:r>
      <w:r>
        <w:rPr>
          <w:szCs w:val="22"/>
        </w:rPr>
        <w:t xml:space="preserve"> </w:t>
      </w:r>
      <w:r w:rsidRPr="00C94AFC">
        <w:rPr>
          <w:szCs w:val="22"/>
        </w:rPr>
        <w:t>samples that may have been held in longer-term storage p</w:t>
      </w:r>
      <w:r>
        <w:rPr>
          <w:szCs w:val="22"/>
        </w:rPr>
        <w:t>rior to under</w:t>
      </w:r>
      <w:r w:rsidR="003341B5">
        <w:rPr>
          <w:szCs w:val="22"/>
        </w:rPr>
        <w:t xml:space="preserve">taking </w:t>
      </w:r>
      <w:r w:rsidR="003341B5" w:rsidRPr="004E3443">
        <w:rPr>
          <w:szCs w:val="22"/>
        </w:rPr>
        <w:t>NA</w:t>
      </w:r>
      <w:r w:rsidRPr="004E3443">
        <w:rPr>
          <w:szCs w:val="22"/>
        </w:rPr>
        <w:t>T</w:t>
      </w:r>
      <w:r w:rsidRPr="00C94AFC">
        <w:rPr>
          <w:szCs w:val="22"/>
        </w:rPr>
        <w:t xml:space="preserve"> on the initial sample should be demonstrated under such circumstances.</w:t>
      </w:r>
    </w:p>
    <w:p w14:paraId="57975617" w14:textId="4EB20C7B" w:rsidR="00750040" w:rsidRDefault="00750040" w:rsidP="00750040">
      <w:pPr>
        <w:rPr>
          <w:szCs w:val="22"/>
        </w:rPr>
      </w:pPr>
      <w:r>
        <w:rPr>
          <w:szCs w:val="22"/>
        </w:rPr>
        <w:t>Initial donor sampling by</w:t>
      </w:r>
      <w:r w:rsidRPr="00C94AFC">
        <w:rPr>
          <w:szCs w:val="22"/>
        </w:rPr>
        <w:t xml:space="preserve"> NAT minimises the window period of infection</w:t>
      </w:r>
      <w:r w:rsidR="00E45BB6">
        <w:rPr>
          <w:szCs w:val="22"/>
        </w:rPr>
        <w:t>,</w:t>
      </w:r>
      <w:r w:rsidRPr="00C94AFC">
        <w:rPr>
          <w:szCs w:val="22"/>
        </w:rPr>
        <w:t xml:space="preserve"> and as such, product from a donor that has not had a sample tested by NAT must not be released until 180 day</w:t>
      </w:r>
      <w:r>
        <w:rPr>
          <w:szCs w:val="22"/>
        </w:rPr>
        <w:t xml:space="preserve"> serology testing is performed.</w:t>
      </w:r>
    </w:p>
    <w:p w14:paraId="63CE81E0" w14:textId="77777777" w:rsidR="00750040" w:rsidRDefault="00750040" w:rsidP="00750040">
      <w:pPr>
        <w:rPr>
          <w:szCs w:val="22"/>
        </w:rPr>
      </w:pPr>
      <w:r w:rsidRPr="00C94AFC">
        <w:rPr>
          <w:szCs w:val="22"/>
        </w:rPr>
        <w:t>Information on the timeframe between collection and sampling should be included in the application and may be subject to GMP inspection.</w:t>
      </w:r>
    </w:p>
    <w:p w14:paraId="620EA014" w14:textId="77777777" w:rsidR="00E158B6" w:rsidRDefault="00750040" w:rsidP="00750040">
      <w:pPr>
        <w:rPr>
          <w:szCs w:val="22"/>
        </w:rPr>
      </w:pPr>
      <w:r w:rsidRPr="00A43C83">
        <w:rPr>
          <w:szCs w:val="22"/>
        </w:rPr>
        <w:t>The re</w:t>
      </w:r>
      <w:r w:rsidR="003341B5">
        <w:rPr>
          <w:szCs w:val="22"/>
        </w:rPr>
        <w:t>quirement to perform NA</w:t>
      </w:r>
      <w:r>
        <w:rPr>
          <w:szCs w:val="22"/>
        </w:rPr>
        <w:t>T</w:t>
      </w:r>
      <w:r w:rsidRPr="00A43C83">
        <w:rPr>
          <w:szCs w:val="22"/>
        </w:rPr>
        <w:t xml:space="preserve"> is to significantly shorten the window period for detection of HIV, HBV and HCV infections.</w:t>
      </w:r>
    </w:p>
    <w:p w14:paraId="73CC0E44" w14:textId="23828AAC" w:rsidR="00750040" w:rsidRDefault="0094334E" w:rsidP="00750040">
      <w:pPr>
        <w:rPr>
          <w:szCs w:val="22"/>
        </w:rPr>
      </w:pPr>
      <w:r>
        <w:rPr>
          <w:szCs w:val="22"/>
        </w:rPr>
        <w:t xml:space="preserve">Figure 1 </w:t>
      </w:r>
      <w:r w:rsidR="00E158B6">
        <w:rPr>
          <w:szCs w:val="22"/>
        </w:rPr>
        <w:t>provides a summary of these requirements</w:t>
      </w:r>
      <w:r w:rsidR="00750040">
        <w:rPr>
          <w:szCs w:val="22"/>
        </w:rPr>
        <w:t>.</w:t>
      </w:r>
    </w:p>
    <w:p w14:paraId="764C3811" w14:textId="4544B6C8" w:rsidR="00750040" w:rsidRDefault="00750040" w:rsidP="00750040">
      <w:pPr>
        <w:pStyle w:val="Figuretitle"/>
      </w:pPr>
      <w:r>
        <w:lastRenderedPageBreak/>
        <w:t xml:space="preserve">Figure 1: The </w:t>
      </w:r>
      <w:r w:rsidR="0094334E">
        <w:t>requirements of donor blood sample testing</w:t>
      </w:r>
      <w:r>
        <w:t>.</w:t>
      </w:r>
    </w:p>
    <w:p w14:paraId="5036A501" w14:textId="228CA8F3" w:rsidR="0094334E" w:rsidRDefault="003341B5" w:rsidP="0094334E">
      <w:pPr>
        <w:rPr>
          <w:szCs w:val="22"/>
        </w:rPr>
      </w:pPr>
      <w:r>
        <w:rPr>
          <w:noProof/>
          <w:lang w:eastAsia="en-AU"/>
        </w:rPr>
        <w:drawing>
          <wp:inline distT="0" distB="0" distL="0" distR="0" wp14:anchorId="2133A816" wp14:editId="1A28EFB1">
            <wp:extent cx="3282282" cy="38034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292696" cy="3815542"/>
                    </a:xfrm>
                    <a:prstGeom prst="rect">
                      <a:avLst/>
                    </a:prstGeom>
                  </pic:spPr>
                </pic:pic>
              </a:graphicData>
            </a:graphic>
          </wp:inline>
        </w:drawing>
      </w:r>
    </w:p>
    <w:p w14:paraId="182786EC" w14:textId="5503DCDF" w:rsidR="00B90034" w:rsidRPr="009E636E" w:rsidRDefault="00B90034" w:rsidP="00B90034">
      <w:pPr>
        <w:pStyle w:val="Heading5"/>
      </w:pPr>
      <w:r>
        <w:t>Subsection 10(10) – Infectious disease t</w:t>
      </w:r>
      <w:r w:rsidR="00E45BB6">
        <w:t>esting for plasma fractionation</w:t>
      </w:r>
    </w:p>
    <w:tbl>
      <w:tblPr>
        <w:tblStyle w:val="TableTGAblue"/>
        <w:tblW w:w="0" w:type="auto"/>
        <w:tblLook w:val="0480" w:firstRow="0" w:lastRow="0" w:firstColumn="1" w:lastColumn="0" w:noHBand="0" w:noVBand="1"/>
      </w:tblPr>
      <w:tblGrid>
        <w:gridCol w:w="9050"/>
      </w:tblGrid>
      <w:tr w:rsidR="0094334E" w14:paraId="63F4E46B" w14:textId="77777777" w:rsidTr="00C01EF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4B4F6082" w14:textId="37392629" w:rsidR="0094334E" w:rsidRDefault="0094334E" w:rsidP="00C01EF3">
            <w:pPr>
              <w:rPr>
                <w:b/>
              </w:rPr>
            </w:pPr>
            <w:r>
              <w:rPr>
                <w:b/>
              </w:rPr>
              <w:t>10 Blood samples – taking and testing</w:t>
            </w:r>
          </w:p>
          <w:p w14:paraId="6E9757AB" w14:textId="182A7614" w:rsidR="00166E7D" w:rsidRDefault="00166E7D" w:rsidP="00C01EF3">
            <w:pPr>
              <w:rPr>
                <w:b/>
              </w:rPr>
            </w:pPr>
            <w:r>
              <w:rPr>
                <w:b/>
              </w:rPr>
              <w:t xml:space="preserve">Testing – </w:t>
            </w:r>
            <w:r w:rsidRPr="00166E7D">
              <w:rPr>
                <w:b/>
              </w:rPr>
              <w:t>living donors of HCT materials used exclusively for plasma fractionation</w:t>
            </w:r>
          </w:p>
          <w:p w14:paraId="4A9AAB35" w14:textId="2666756C" w:rsidR="00166E7D" w:rsidRPr="00CB1ECC" w:rsidRDefault="003E0B2C" w:rsidP="000E409B">
            <w:pPr>
              <w:pStyle w:val="Numberbullet0"/>
              <w:numPr>
                <w:ilvl w:val="0"/>
                <w:numId w:val="22"/>
              </w:numPr>
            </w:pPr>
            <w:r w:rsidRPr="009A5E24">
              <w:t>The following testing must be conducted in relation to blood samples taken in accordance with paragraph (5)(a)</w:t>
            </w:r>
            <w:r w:rsidR="00166E7D" w:rsidRPr="00CB1ECC">
              <w:t>:</w:t>
            </w:r>
          </w:p>
          <w:p w14:paraId="6878A39C" w14:textId="1897C091" w:rsidR="00166E7D" w:rsidRPr="00166E7D" w:rsidRDefault="003E0B2C" w:rsidP="000E409B">
            <w:pPr>
              <w:pStyle w:val="Numberbullet0"/>
              <w:numPr>
                <w:ilvl w:val="0"/>
                <w:numId w:val="33"/>
              </w:numPr>
            </w:pPr>
            <w:r w:rsidRPr="009A5E24">
              <w:rPr>
                <w:szCs w:val="22"/>
              </w:rPr>
              <w:t>serology testing for HIV-1, HIV-2, HCV, and HBsAg</w:t>
            </w:r>
            <w:r w:rsidR="00166E7D">
              <w:rPr>
                <w:szCs w:val="22"/>
              </w:rPr>
              <w:t>; and</w:t>
            </w:r>
          </w:p>
          <w:p w14:paraId="64852BF9" w14:textId="7A580152" w:rsidR="00166E7D" w:rsidRPr="00166E7D" w:rsidRDefault="003E0B2C" w:rsidP="000E409B">
            <w:pPr>
              <w:pStyle w:val="Numberbullet0"/>
              <w:numPr>
                <w:ilvl w:val="0"/>
                <w:numId w:val="33"/>
              </w:numPr>
            </w:pPr>
            <w:r w:rsidRPr="009A5E24">
              <w:rPr>
                <w:szCs w:val="22"/>
              </w:rPr>
              <w:t>NAT for HIV-1, HIV-2, HBV and HCV</w:t>
            </w:r>
            <w:r w:rsidR="00166E7D">
              <w:rPr>
                <w:szCs w:val="22"/>
              </w:rPr>
              <w:t>.</w:t>
            </w:r>
          </w:p>
        </w:tc>
      </w:tr>
    </w:tbl>
    <w:p w14:paraId="2CFCB682" w14:textId="58E57A41" w:rsidR="003046F2" w:rsidRDefault="003046F2" w:rsidP="00750040">
      <w:pPr>
        <w:rPr>
          <w:szCs w:val="22"/>
        </w:rPr>
      </w:pPr>
      <w:r w:rsidRPr="003046F2">
        <w:rPr>
          <w:szCs w:val="22"/>
        </w:rPr>
        <w:t>This clause stipulates the testing that must be conducted on donors of HCT material who had samples</w:t>
      </w:r>
      <w:r>
        <w:rPr>
          <w:szCs w:val="22"/>
        </w:rPr>
        <w:t xml:space="preserve"> taken in accordance with</w:t>
      </w:r>
      <w:r w:rsidR="001022CC">
        <w:rPr>
          <w:szCs w:val="22"/>
        </w:rPr>
        <w:t xml:space="preserve"> subsection</w:t>
      </w:r>
      <w:r>
        <w:rPr>
          <w:szCs w:val="22"/>
        </w:rPr>
        <w:t xml:space="preserve"> 10(5).</w:t>
      </w:r>
    </w:p>
    <w:p w14:paraId="0910DB94" w14:textId="77777777" w:rsidR="003046F2" w:rsidRDefault="003046F2" w:rsidP="00750040">
      <w:pPr>
        <w:rPr>
          <w:szCs w:val="22"/>
        </w:rPr>
      </w:pPr>
      <w:r w:rsidRPr="003046F2">
        <w:rPr>
          <w:szCs w:val="22"/>
        </w:rPr>
        <w:t>Donors of HCT materials for plasma fractionat</w:t>
      </w:r>
      <w:r>
        <w:rPr>
          <w:szCs w:val="22"/>
        </w:rPr>
        <w:t>ion must be non-reactive to the tests stipulated.</w:t>
      </w:r>
    </w:p>
    <w:p w14:paraId="1215F5CF" w14:textId="22B7F814" w:rsidR="003046F2" w:rsidRDefault="003046F2" w:rsidP="003046F2">
      <w:pPr>
        <w:rPr>
          <w:szCs w:val="22"/>
        </w:rPr>
      </w:pPr>
      <w:r w:rsidRPr="003046F2">
        <w:rPr>
          <w:szCs w:val="22"/>
        </w:rPr>
        <w:t>Donors of HCT materials for plasma fractionation do</w:t>
      </w:r>
      <w:r>
        <w:rPr>
          <w:szCs w:val="22"/>
        </w:rPr>
        <w:t xml:space="preserve"> not require testing for syphili</w:t>
      </w:r>
      <w:r w:rsidRPr="003046F2">
        <w:rPr>
          <w:szCs w:val="22"/>
        </w:rPr>
        <w:t>s and HTLV-1/HTLV-2.</w:t>
      </w:r>
    </w:p>
    <w:p w14:paraId="19DBD44E" w14:textId="0E5F7359" w:rsidR="00B90034" w:rsidRPr="009E636E" w:rsidRDefault="00B90034" w:rsidP="00B90034">
      <w:pPr>
        <w:pStyle w:val="Heading5"/>
      </w:pPr>
      <w:r>
        <w:lastRenderedPageBreak/>
        <w:t>Subsections 10(11) and 10(12) – Infectious disease testing for</w:t>
      </w:r>
      <w:r w:rsidR="00E45BB6">
        <w:t xml:space="preserve"> donors less than 18 months old</w:t>
      </w:r>
    </w:p>
    <w:tbl>
      <w:tblPr>
        <w:tblStyle w:val="TableTGAblue"/>
        <w:tblW w:w="0" w:type="auto"/>
        <w:tblLook w:val="0480" w:firstRow="0" w:lastRow="0" w:firstColumn="1" w:lastColumn="0" w:noHBand="0" w:noVBand="1"/>
      </w:tblPr>
      <w:tblGrid>
        <w:gridCol w:w="9050"/>
      </w:tblGrid>
      <w:tr w:rsidR="003046F2" w14:paraId="78793BB5" w14:textId="77777777" w:rsidTr="00C01EF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F83CE94" w14:textId="3FAB8BF2" w:rsidR="003046F2" w:rsidRDefault="003046F2" w:rsidP="00C01EF3">
            <w:pPr>
              <w:rPr>
                <w:b/>
              </w:rPr>
            </w:pPr>
            <w:r>
              <w:rPr>
                <w:b/>
              </w:rPr>
              <w:t>10 Blood samples – taking and testing</w:t>
            </w:r>
          </w:p>
          <w:p w14:paraId="2E98EF70" w14:textId="7DC77494" w:rsidR="003046F2" w:rsidRDefault="003046F2" w:rsidP="00C01EF3">
            <w:pPr>
              <w:rPr>
                <w:b/>
              </w:rPr>
            </w:pPr>
            <w:r w:rsidRPr="003046F2">
              <w:rPr>
                <w:b/>
              </w:rPr>
              <w:t>Testing in relation to donors less than 18 months old</w:t>
            </w:r>
          </w:p>
          <w:p w14:paraId="1644A1C8" w14:textId="268239FF" w:rsidR="003046F2" w:rsidRPr="00CB1ECC" w:rsidRDefault="003E0B2C" w:rsidP="000E409B">
            <w:pPr>
              <w:pStyle w:val="Numberbullet0"/>
              <w:numPr>
                <w:ilvl w:val="0"/>
                <w:numId w:val="22"/>
              </w:numPr>
            </w:pPr>
            <w:r w:rsidRPr="009A5E24">
              <w:t xml:space="preserve">If a donor of HCT materials is less than 18 months old, then </w:t>
            </w:r>
            <w:r w:rsidRPr="009A5E24">
              <w:rPr>
                <w:szCs w:val="22"/>
              </w:rPr>
              <w:t>the donor’s birth mother must be subjected to the same testing requirements that are applicable to the donor, as set out in</w:t>
            </w:r>
            <w:r>
              <w:t xml:space="preserve"> subsections (1) to (10</w:t>
            </w:r>
            <w:r w:rsidR="003046F2" w:rsidRPr="00CB1ECC">
              <w:t>).</w:t>
            </w:r>
          </w:p>
          <w:p w14:paraId="13ABFC9B" w14:textId="16EC9DF8" w:rsidR="003046F2" w:rsidRDefault="003E0B2C" w:rsidP="000E409B">
            <w:pPr>
              <w:pStyle w:val="Numberbullet0"/>
              <w:numPr>
                <w:ilvl w:val="0"/>
                <w:numId w:val="22"/>
              </w:numPr>
            </w:pPr>
            <w:r w:rsidRPr="009A5E24">
              <w:t>In the case of a donor of the HCT materials that are HPC(CB) only, the applicable testing requirements in this section apply only in relation to the donor’s birth mother</w:t>
            </w:r>
            <w:r w:rsidR="003046F2">
              <w:t>.</w:t>
            </w:r>
          </w:p>
          <w:p w14:paraId="3D04B3F9" w14:textId="310A6247" w:rsidR="003046F2" w:rsidRPr="003046F2" w:rsidRDefault="003046F2" w:rsidP="003046F2">
            <w:pPr>
              <w:pStyle w:val="Numberbullet0"/>
              <w:numPr>
                <w:ilvl w:val="0"/>
                <w:numId w:val="0"/>
              </w:numPr>
              <w:ind w:left="720"/>
            </w:pPr>
            <w:r>
              <w:t xml:space="preserve">Note: </w:t>
            </w:r>
            <w:r w:rsidR="003E0B2C" w:rsidRPr="009A5E24">
              <w:t>An infant donor of HPC(CB) only is not required to be tested in accordance with this section</w:t>
            </w:r>
            <w:r>
              <w:t>.</w:t>
            </w:r>
          </w:p>
        </w:tc>
      </w:tr>
    </w:tbl>
    <w:p w14:paraId="2413B580" w14:textId="4477D01D" w:rsidR="003046F2" w:rsidRDefault="003046F2" w:rsidP="00750040">
      <w:pPr>
        <w:rPr>
          <w:szCs w:val="22"/>
        </w:rPr>
      </w:pPr>
      <w:r w:rsidRPr="003046F2">
        <w:rPr>
          <w:szCs w:val="22"/>
        </w:rPr>
        <w:t>Where a donor is less than 18 months old</w:t>
      </w:r>
      <w:r>
        <w:rPr>
          <w:szCs w:val="22"/>
        </w:rPr>
        <w:t>,</w:t>
      </w:r>
      <w:r w:rsidRPr="003046F2">
        <w:rPr>
          <w:szCs w:val="22"/>
        </w:rPr>
        <w:t xml:space="preserve"> the birth mother must be subjected to the same sampling and testing as the </w:t>
      </w:r>
      <w:r w:rsidR="00CE5128">
        <w:rPr>
          <w:szCs w:val="22"/>
        </w:rPr>
        <w:t xml:space="preserve">infant </w:t>
      </w:r>
      <w:r w:rsidRPr="003046F2">
        <w:rPr>
          <w:szCs w:val="22"/>
        </w:rPr>
        <w:t>donor. The sampling and testing requirements are dependent on the state of the donor (living or deceased) a</w:t>
      </w:r>
      <w:r>
        <w:rPr>
          <w:szCs w:val="22"/>
        </w:rPr>
        <w:t xml:space="preserve">nd the HCT products </w:t>
      </w:r>
      <w:r w:rsidR="00CE5128">
        <w:rPr>
          <w:szCs w:val="22"/>
        </w:rPr>
        <w:t xml:space="preserve">that </w:t>
      </w:r>
      <w:r>
        <w:rPr>
          <w:szCs w:val="22"/>
        </w:rPr>
        <w:t xml:space="preserve">are being manufactured, </w:t>
      </w:r>
      <w:r w:rsidR="00307DC6">
        <w:rPr>
          <w:szCs w:val="22"/>
        </w:rPr>
        <w:t xml:space="preserve">that is, </w:t>
      </w:r>
      <w:r w:rsidRPr="003046F2">
        <w:rPr>
          <w:szCs w:val="22"/>
        </w:rPr>
        <w:t>if the donor</w:t>
      </w:r>
      <w:r>
        <w:rPr>
          <w:szCs w:val="22"/>
        </w:rPr>
        <w:t>’</w:t>
      </w:r>
      <w:r w:rsidRPr="003046F2">
        <w:rPr>
          <w:szCs w:val="22"/>
        </w:rPr>
        <w:t>s HCT material is being used for plasma fractionation</w:t>
      </w:r>
      <w:r>
        <w:rPr>
          <w:szCs w:val="22"/>
        </w:rPr>
        <w:t>,</w:t>
      </w:r>
      <w:r w:rsidRPr="003046F2">
        <w:rPr>
          <w:szCs w:val="22"/>
        </w:rPr>
        <w:t xml:space="preserve"> then the testing require</w:t>
      </w:r>
      <w:r>
        <w:rPr>
          <w:szCs w:val="22"/>
        </w:rPr>
        <w:t xml:space="preserve">ments set out under </w:t>
      </w:r>
      <w:r w:rsidR="001022CC">
        <w:rPr>
          <w:szCs w:val="22"/>
        </w:rPr>
        <w:t xml:space="preserve">subsection </w:t>
      </w:r>
      <w:r>
        <w:rPr>
          <w:szCs w:val="22"/>
        </w:rPr>
        <w:t>10(10)</w:t>
      </w:r>
      <w:r w:rsidRPr="003046F2">
        <w:rPr>
          <w:szCs w:val="22"/>
        </w:rPr>
        <w:t xml:space="preserve"> apply to </w:t>
      </w:r>
      <w:r>
        <w:rPr>
          <w:szCs w:val="22"/>
        </w:rPr>
        <w:t xml:space="preserve">the birth mother and the </w:t>
      </w:r>
      <w:r w:rsidR="00CE5128">
        <w:rPr>
          <w:szCs w:val="22"/>
        </w:rPr>
        <w:t xml:space="preserve">infant </w:t>
      </w:r>
      <w:r>
        <w:rPr>
          <w:szCs w:val="22"/>
        </w:rPr>
        <w:t>donor.</w:t>
      </w:r>
    </w:p>
    <w:p w14:paraId="623DC2CE" w14:textId="355A3A88" w:rsidR="003046F2" w:rsidRDefault="003046F2" w:rsidP="003046F2">
      <w:pPr>
        <w:rPr>
          <w:szCs w:val="22"/>
        </w:rPr>
      </w:pPr>
      <w:r w:rsidRPr="003046F2">
        <w:rPr>
          <w:szCs w:val="22"/>
        </w:rPr>
        <w:t xml:space="preserve">Where the HCT material is </w:t>
      </w:r>
      <w:r w:rsidR="00301851">
        <w:rPr>
          <w:szCs w:val="22"/>
        </w:rPr>
        <w:t>h</w:t>
      </w:r>
      <w:r w:rsidR="00301851" w:rsidRPr="00301851">
        <w:rPr>
          <w:szCs w:val="22"/>
        </w:rPr>
        <w:t>aem</w:t>
      </w:r>
      <w:r w:rsidR="00301851">
        <w:rPr>
          <w:szCs w:val="22"/>
        </w:rPr>
        <w:t>at</w:t>
      </w:r>
      <w:r w:rsidR="00301851" w:rsidRPr="00301851">
        <w:rPr>
          <w:szCs w:val="22"/>
        </w:rPr>
        <w:t xml:space="preserve">opoietic </w:t>
      </w:r>
      <w:r w:rsidR="00301851">
        <w:rPr>
          <w:szCs w:val="22"/>
        </w:rPr>
        <w:t>p</w:t>
      </w:r>
      <w:r w:rsidR="00301851" w:rsidRPr="00301851">
        <w:rPr>
          <w:szCs w:val="22"/>
        </w:rPr>
        <w:t xml:space="preserve">rogenitor </w:t>
      </w:r>
      <w:r w:rsidR="00301851">
        <w:rPr>
          <w:szCs w:val="22"/>
        </w:rPr>
        <w:t>c</w:t>
      </w:r>
      <w:r w:rsidR="00301851" w:rsidRPr="00301851">
        <w:rPr>
          <w:szCs w:val="22"/>
        </w:rPr>
        <w:t>ell</w:t>
      </w:r>
      <w:r w:rsidR="00301851" w:rsidRPr="00E94E64">
        <w:rPr>
          <w:szCs w:val="22"/>
        </w:rPr>
        <w:t xml:space="preserve"> </w:t>
      </w:r>
      <w:r w:rsidR="00301851">
        <w:rPr>
          <w:szCs w:val="22"/>
        </w:rPr>
        <w:t>cord blood [</w:t>
      </w:r>
      <w:r>
        <w:rPr>
          <w:szCs w:val="22"/>
        </w:rPr>
        <w:t>HPC(CB)</w:t>
      </w:r>
      <w:r w:rsidR="00301851">
        <w:rPr>
          <w:szCs w:val="22"/>
        </w:rPr>
        <w:t>]</w:t>
      </w:r>
      <w:r>
        <w:rPr>
          <w:szCs w:val="22"/>
        </w:rPr>
        <w:t>,</w:t>
      </w:r>
      <w:r w:rsidRPr="003046F2">
        <w:rPr>
          <w:szCs w:val="22"/>
        </w:rPr>
        <w:t xml:space="preserve"> the infant is no</w:t>
      </w:r>
      <w:r>
        <w:rPr>
          <w:szCs w:val="22"/>
        </w:rPr>
        <w:t>t required to undergo testing; h</w:t>
      </w:r>
      <w:r w:rsidRPr="003046F2">
        <w:rPr>
          <w:szCs w:val="22"/>
        </w:rPr>
        <w:t>owever, the birth mother must be tested. The tests required are again dependent on the sta</w:t>
      </w:r>
      <w:r>
        <w:rPr>
          <w:szCs w:val="22"/>
        </w:rPr>
        <w:t>t</w:t>
      </w:r>
      <w:r w:rsidRPr="003046F2">
        <w:rPr>
          <w:szCs w:val="22"/>
        </w:rPr>
        <w:t>e o</w:t>
      </w:r>
      <w:r w:rsidR="00CE5128">
        <w:rPr>
          <w:szCs w:val="22"/>
        </w:rPr>
        <w:t>f the infant donor and the HCT product being produced.</w:t>
      </w:r>
    </w:p>
    <w:p w14:paraId="40E86373" w14:textId="1B622A97" w:rsidR="00B90034" w:rsidRPr="009E636E" w:rsidRDefault="00B90034" w:rsidP="00B90034">
      <w:pPr>
        <w:pStyle w:val="Heading5"/>
      </w:pPr>
      <w:r>
        <w:t>Subsection 10(13) – Infectious disease testing for donors who have consumed breast milk</w:t>
      </w:r>
    </w:p>
    <w:tbl>
      <w:tblPr>
        <w:tblStyle w:val="TableTGAblue"/>
        <w:tblW w:w="0" w:type="auto"/>
        <w:tblLook w:val="0480" w:firstRow="0" w:lastRow="0" w:firstColumn="1" w:lastColumn="0" w:noHBand="0" w:noVBand="1"/>
      </w:tblPr>
      <w:tblGrid>
        <w:gridCol w:w="9050"/>
      </w:tblGrid>
      <w:tr w:rsidR="003046F2" w:rsidRPr="00CB1ECC" w14:paraId="5CABE82A" w14:textId="77777777" w:rsidTr="00C01EF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7012C863" w14:textId="4B629A2E" w:rsidR="003046F2" w:rsidRPr="00CB1ECC" w:rsidRDefault="003046F2" w:rsidP="00C01EF3">
            <w:pPr>
              <w:rPr>
                <w:b/>
              </w:rPr>
            </w:pPr>
            <w:r w:rsidRPr="00CB1ECC">
              <w:rPr>
                <w:b/>
              </w:rPr>
              <w:t>10 Blood samples – taking and testing</w:t>
            </w:r>
          </w:p>
          <w:p w14:paraId="00F6ABE7" w14:textId="64942EF6" w:rsidR="003046F2" w:rsidRPr="00CB1ECC" w:rsidRDefault="003046F2" w:rsidP="00C01EF3">
            <w:pPr>
              <w:rPr>
                <w:b/>
              </w:rPr>
            </w:pPr>
            <w:r w:rsidRPr="00CB1ECC">
              <w:rPr>
                <w:b/>
              </w:rPr>
              <w:t>Testing in relation to donors who have consumed breast milk</w:t>
            </w:r>
          </w:p>
          <w:p w14:paraId="29026A11" w14:textId="17348F88" w:rsidR="003046F2" w:rsidRPr="00CB1ECC" w:rsidRDefault="003E0B2C" w:rsidP="000E409B">
            <w:pPr>
              <w:pStyle w:val="Numberbullet0"/>
              <w:numPr>
                <w:ilvl w:val="0"/>
                <w:numId w:val="22"/>
              </w:numPr>
            </w:pPr>
            <w:r w:rsidRPr="009A5E24">
              <w:t xml:space="preserve">If a donor has consumed breast milk from a person (the </w:t>
            </w:r>
            <w:r w:rsidRPr="009A5E24">
              <w:rPr>
                <w:b/>
                <w:i/>
              </w:rPr>
              <w:t>relevant person</w:t>
            </w:r>
            <w:r w:rsidRPr="009A5E24">
              <w:t>) within the previous six months, then the relevant person must be subjected to the same testing requirements that are applicable to the donor, as set out in subsection (1) to (10).</w:t>
            </w:r>
          </w:p>
        </w:tc>
      </w:tr>
    </w:tbl>
    <w:p w14:paraId="0381F567" w14:textId="28247877" w:rsidR="003046F2" w:rsidRDefault="003046F2" w:rsidP="00750040">
      <w:pPr>
        <w:rPr>
          <w:szCs w:val="22"/>
        </w:rPr>
      </w:pPr>
      <w:r w:rsidRPr="003046F2">
        <w:rPr>
          <w:szCs w:val="22"/>
        </w:rPr>
        <w:t xml:space="preserve">Where a </w:t>
      </w:r>
      <w:r w:rsidR="00CE5128">
        <w:rPr>
          <w:szCs w:val="22"/>
        </w:rPr>
        <w:t xml:space="preserve">HCT </w:t>
      </w:r>
      <w:r w:rsidRPr="003046F2">
        <w:rPr>
          <w:szCs w:val="22"/>
        </w:rPr>
        <w:t>donor has consumed breast milk from a person in the previous six months</w:t>
      </w:r>
      <w:r>
        <w:rPr>
          <w:szCs w:val="22"/>
        </w:rPr>
        <w:t>,</w:t>
      </w:r>
      <w:r w:rsidRPr="003046F2">
        <w:rPr>
          <w:szCs w:val="22"/>
        </w:rPr>
        <w:t xml:space="preserve"> the person who provided the breast milk must also undergo the same sampling and testing as the </w:t>
      </w:r>
      <w:r w:rsidR="00CE5128">
        <w:rPr>
          <w:szCs w:val="22"/>
        </w:rPr>
        <w:t xml:space="preserve">HCT </w:t>
      </w:r>
      <w:r w:rsidRPr="003046F2">
        <w:rPr>
          <w:szCs w:val="22"/>
        </w:rPr>
        <w:t>donor.</w:t>
      </w:r>
    </w:p>
    <w:p w14:paraId="50EA0E12" w14:textId="5CE4562B" w:rsidR="003046F2" w:rsidRDefault="003046F2" w:rsidP="00750040">
      <w:pPr>
        <w:rPr>
          <w:szCs w:val="22"/>
        </w:rPr>
      </w:pPr>
      <w:r>
        <w:rPr>
          <w:szCs w:val="22"/>
        </w:rPr>
        <w:t>T</w:t>
      </w:r>
      <w:r w:rsidRPr="003046F2">
        <w:rPr>
          <w:szCs w:val="22"/>
        </w:rPr>
        <w:t xml:space="preserve">he sampling and testing requirements are dependent on the state of the </w:t>
      </w:r>
      <w:r w:rsidR="00CE5128">
        <w:rPr>
          <w:szCs w:val="22"/>
        </w:rPr>
        <w:t xml:space="preserve">HCT </w:t>
      </w:r>
      <w:r w:rsidRPr="003046F2">
        <w:rPr>
          <w:szCs w:val="22"/>
        </w:rPr>
        <w:t xml:space="preserve">donor (living or deceased) </w:t>
      </w:r>
      <w:r>
        <w:rPr>
          <w:szCs w:val="22"/>
        </w:rPr>
        <w:t>and the HCT products being manufactured,</w:t>
      </w:r>
      <w:r w:rsidR="00307DC6">
        <w:rPr>
          <w:szCs w:val="22"/>
        </w:rPr>
        <w:t xml:space="preserve"> that is,</w:t>
      </w:r>
      <w:r w:rsidRPr="003046F2">
        <w:rPr>
          <w:szCs w:val="22"/>
        </w:rPr>
        <w:t xml:space="preserve"> if the donor</w:t>
      </w:r>
      <w:r>
        <w:rPr>
          <w:szCs w:val="22"/>
        </w:rPr>
        <w:t>’</w:t>
      </w:r>
      <w:r w:rsidRPr="003046F2">
        <w:rPr>
          <w:szCs w:val="22"/>
        </w:rPr>
        <w:t xml:space="preserve">s HCT material is being </w:t>
      </w:r>
      <w:r>
        <w:rPr>
          <w:szCs w:val="22"/>
        </w:rPr>
        <w:t xml:space="preserve">used for plasma fractionation, </w:t>
      </w:r>
      <w:r w:rsidRPr="003046F2">
        <w:rPr>
          <w:szCs w:val="22"/>
        </w:rPr>
        <w:t xml:space="preserve">then the testing requirements set out under </w:t>
      </w:r>
      <w:r w:rsidR="00301851">
        <w:rPr>
          <w:szCs w:val="22"/>
        </w:rPr>
        <w:t xml:space="preserve">subsection </w:t>
      </w:r>
      <w:r w:rsidRPr="003046F2">
        <w:rPr>
          <w:szCs w:val="22"/>
        </w:rPr>
        <w:t>10(10) would apply to the donor and th</w:t>
      </w:r>
      <w:r>
        <w:rPr>
          <w:szCs w:val="22"/>
        </w:rPr>
        <w:t>e provider of the breast milk.</w:t>
      </w:r>
    </w:p>
    <w:p w14:paraId="6D563642" w14:textId="48737C86" w:rsidR="00D655A3" w:rsidRDefault="003046F2" w:rsidP="00D655A3">
      <w:pPr>
        <w:rPr>
          <w:szCs w:val="22"/>
        </w:rPr>
      </w:pPr>
      <w:r w:rsidRPr="003046F2">
        <w:rPr>
          <w:szCs w:val="22"/>
        </w:rPr>
        <w:t>In this clause</w:t>
      </w:r>
      <w:r>
        <w:rPr>
          <w:szCs w:val="22"/>
        </w:rPr>
        <w:t>,</w:t>
      </w:r>
      <w:r w:rsidRPr="003046F2">
        <w:rPr>
          <w:szCs w:val="22"/>
        </w:rPr>
        <w:t xml:space="preserve"> the </w:t>
      </w:r>
      <w:r w:rsidR="00E158B6">
        <w:rPr>
          <w:szCs w:val="22"/>
        </w:rPr>
        <w:t>relevant person is the one who</w:t>
      </w:r>
      <w:r w:rsidRPr="003046F2">
        <w:rPr>
          <w:szCs w:val="22"/>
        </w:rPr>
        <w:t xml:space="preserve"> </w:t>
      </w:r>
      <w:r w:rsidR="00CE5128">
        <w:rPr>
          <w:szCs w:val="22"/>
        </w:rPr>
        <w:t>donated</w:t>
      </w:r>
      <w:r w:rsidRPr="003046F2">
        <w:rPr>
          <w:szCs w:val="22"/>
        </w:rPr>
        <w:t xml:space="preserve"> the breast milk.</w:t>
      </w:r>
    </w:p>
    <w:p w14:paraId="1F2446E6" w14:textId="5E9ED5CB" w:rsidR="00B90034" w:rsidRPr="009546C7" w:rsidRDefault="00B90034" w:rsidP="009546C7">
      <w:pPr>
        <w:pStyle w:val="Heading5"/>
      </w:pPr>
      <w:r w:rsidRPr="009546C7">
        <w:lastRenderedPageBreak/>
        <w:t>Subsections 10(14) to 10(16) –</w:t>
      </w:r>
      <w:r w:rsidR="00151820">
        <w:t xml:space="preserve"> </w:t>
      </w:r>
      <w:r w:rsidR="009546C7" w:rsidRPr="009546C7">
        <w:t>Assessment of testing results</w:t>
      </w:r>
    </w:p>
    <w:tbl>
      <w:tblPr>
        <w:tblStyle w:val="TableTGAblue"/>
        <w:tblW w:w="0" w:type="auto"/>
        <w:tblLook w:val="0480" w:firstRow="0" w:lastRow="0" w:firstColumn="1" w:lastColumn="0" w:noHBand="0" w:noVBand="1"/>
      </w:tblPr>
      <w:tblGrid>
        <w:gridCol w:w="9050"/>
      </w:tblGrid>
      <w:tr w:rsidR="00D655A3" w14:paraId="01287AD1" w14:textId="77777777" w:rsidTr="00C01EF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F6C6ABB" w14:textId="77777777" w:rsidR="00D655A3" w:rsidRDefault="00D655A3" w:rsidP="00C01EF3">
            <w:pPr>
              <w:rPr>
                <w:b/>
              </w:rPr>
            </w:pPr>
            <w:r>
              <w:rPr>
                <w:b/>
              </w:rPr>
              <w:t>10 Blood samples – taking and testing</w:t>
            </w:r>
          </w:p>
          <w:p w14:paraId="1D473904" w14:textId="0CF552D3" w:rsidR="00D655A3" w:rsidRDefault="00D655A3" w:rsidP="00C01EF3">
            <w:pPr>
              <w:rPr>
                <w:b/>
              </w:rPr>
            </w:pPr>
            <w:r>
              <w:rPr>
                <w:b/>
              </w:rPr>
              <w:t>Assessment of testing results</w:t>
            </w:r>
          </w:p>
          <w:p w14:paraId="03F86F00" w14:textId="13057E80" w:rsidR="00D655A3" w:rsidRPr="00D655A3" w:rsidRDefault="003E0B2C" w:rsidP="000E409B">
            <w:pPr>
              <w:pStyle w:val="Numberbullet0"/>
              <w:numPr>
                <w:ilvl w:val="0"/>
                <w:numId w:val="22"/>
              </w:numPr>
            </w:pPr>
            <w:r w:rsidRPr="009A5E24">
              <w:rPr>
                <w:szCs w:val="22"/>
              </w:rPr>
              <w:t xml:space="preserve">An HCT product must be placed in quarantine, and must not be released for supply, </w:t>
            </w:r>
            <w:r w:rsidRPr="009A5E24">
              <w:t>until</w:t>
            </w:r>
            <w:r w:rsidRPr="009A5E24">
              <w:rPr>
                <w:szCs w:val="22"/>
              </w:rPr>
              <w:t xml:space="preserve"> the results of the testing mentioned in subsections (1) to (13) are assessed</w:t>
            </w:r>
            <w:r w:rsidR="00D655A3">
              <w:rPr>
                <w:szCs w:val="22"/>
              </w:rPr>
              <w:t>.</w:t>
            </w:r>
          </w:p>
          <w:p w14:paraId="1C4D24AC" w14:textId="5F01A76E" w:rsidR="00D655A3" w:rsidRPr="00D655A3" w:rsidRDefault="003E0B2C" w:rsidP="000E409B">
            <w:pPr>
              <w:pStyle w:val="Numberbullet0"/>
              <w:numPr>
                <w:ilvl w:val="0"/>
                <w:numId w:val="22"/>
              </w:numPr>
            </w:pPr>
            <w:r w:rsidRPr="009A5E24">
              <w:rPr>
                <w:szCs w:val="22"/>
              </w:rPr>
              <w:t>If the testing of a blood sample demonstrates a reactive result, then the relevant HCT product must not be released for supply</w:t>
            </w:r>
            <w:r w:rsidR="00D655A3">
              <w:rPr>
                <w:szCs w:val="22"/>
              </w:rPr>
              <w:t>.</w:t>
            </w:r>
          </w:p>
          <w:p w14:paraId="506300F4" w14:textId="3E221287" w:rsidR="00D655A3" w:rsidRPr="003046F2" w:rsidRDefault="003E0B2C" w:rsidP="000E409B">
            <w:pPr>
              <w:pStyle w:val="Numberbullet0"/>
              <w:numPr>
                <w:ilvl w:val="0"/>
                <w:numId w:val="22"/>
              </w:numPr>
            </w:pPr>
            <w:r w:rsidRPr="009A5E24">
              <w:t>Subsection (15) does not apply to an HCT product that is manufactured for directed allogeneic use where the medical or dental practitioner who is responsible for the administration to, or application in the treatment of, the designated patient is notified about the testing results</w:t>
            </w:r>
            <w:r w:rsidR="00D655A3">
              <w:t>.</w:t>
            </w:r>
          </w:p>
        </w:tc>
      </w:tr>
    </w:tbl>
    <w:p w14:paraId="46A8A614" w14:textId="4386A024" w:rsidR="00D655A3" w:rsidRDefault="0075566E" w:rsidP="00750040">
      <w:pPr>
        <w:rPr>
          <w:szCs w:val="22"/>
        </w:rPr>
      </w:pPr>
      <w:r>
        <w:rPr>
          <w:szCs w:val="22"/>
        </w:rPr>
        <w:t>While</w:t>
      </w:r>
      <w:r w:rsidR="00D655A3" w:rsidRPr="00D655A3">
        <w:rPr>
          <w:szCs w:val="22"/>
        </w:rPr>
        <w:t xml:space="preserve"> awaiting the test results for samples taken</w:t>
      </w:r>
      <w:r>
        <w:rPr>
          <w:szCs w:val="22"/>
        </w:rPr>
        <w:t xml:space="preserve"> and tested in accordance with </w:t>
      </w:r>
      <w:r w:rsidR="00301851">
        <w:rPr>
          <w:szCs w:val="22"/>
        </w:rPr>
        <w:t xml:space="preserve">subsections </w:t>
      </w:r>
      <w:r w:rsidR="00D655A3">
        <w:rPr>
          <w:szCs w:val="22"/>
        </w:rPr>
        <w:t>10(</w:t>
      </w:r>
      <w:r w:rsidR="00D655A3" w:rsidRPr="00D655A3">
        <w:rPr>
          <w:szCs w:val="22"/>
        </w:rPr>
        <w:t>1</w:t>
      </w:r>
      <w:r w:rsidR="00D655A3">
        <w:rPr>
          <w:szCs w:val="22"/>
        </w:rPr>
        <w:t>)</w:t>
      </w:r>
      <w:r w:rsidR="00D655A3" w:rsidRPr="00D655A3">
        <w:rPr>
          <w:szCs w:val="22"/>
        </w:rPr>
        <w:t>-</w:t>
      </w:r>
      <w:r w:rsidR="00D655A3">
        <w:rPr>
          <w:szCs w:val="22"/>
        </w:rPr>
        <w:t>10(</w:t>
      </w:r>
      <w:r w:rsidR="00D655A3" w:rsidRPr="00D655A3">
        <w:rPr>
          <w:szCs w:val="22"/>
        </w:rPr>
        <w:t>10</w:t>
      </w:r>
      <w:r w:rsidR="00D655A3">
        <w:rPr>
          <w:szCs w:val="22"/>
        </w:rPr>
        <w:t>),</w:t>
      </w:r>
      <w:r w:rsidR="00D655A3" w:rsidRPr="00D655A3">
        <w:rPr>
          <w:szCs w:val="22"/>
        </w:rPr>
        <w:t xml:space="preserve"> HCT products must be placed into quarantine. No products can be released until all test results are assessed and the donor/relevant persons are shown to be non-reactive</w:t>
      </w:r>
      <w:r>
        <w:rPr>
          <w:szCs w:val="22"/>
        </w:rPr>
        <w:t>/negative</w:t>
      </w:r>
      <w:r w:rsidR="00D655A3" w:rsidRPr="00D655A3">
        <w:rPr>
          <w:szCs w:val="22"/>
        </w:rPr>
        <w:t>. If a blood sample is shown to be reactive to any of the tests conducted</w:t>
      </w:r>
      <w:r w:rsidR="00D655A3">
        <w:rPr>
          <w:szCs w:val="22"/>
        </w:rPr>
        <w:t>,</w:t>
      </w:r>
      <w:r w:rsidR="00D655A3" w:rsidRPr="00D655A3">
        <w:rPr>
          <w:szCs w:val="22"/>
        </w:rPr>
        <w:t xml:space="preserve"> th</w:t>
      </w:r>
      <w:r w:rsidR="00D655A3">
        <w:rPr>
          <w:szCs w:val="22"/>
        </w:rPr>
        <w:t>e product must not be released.</w:t>
      </w:r>
    </w:p>
    <w:p w14:paraId="5264F47F" w14:textId="00267294" w:rsidR="0075566E" w:rsidRDefault="00D655A3" w:rsidP="0075566E">
      <w:pPr>
        <w:rPr>
          <w:szCs w:val="22"/>
        </w:rPr>
      </w:pPr>
      <w:r w:rsidRPr="00D655A3">
        <w:rPr>
          <w:szCs w:val="22"/>
        </w:rPr>
        <w:t>Where a product is for directed allogeneic use and shown to be reactive to any of the tests conducted</w:t>
      </w:r>
      <w:r>
        <w:rPr>
          <w:szCs w:val="22"/>
        </w:rPr>
        <w:t>,</w:t>
      </w:r>
      <w:r w:rsidRPr="00D655A3">
        <w:rPr>
          <w:szCs w:val="22"/>
        </w:rPr>
        <w:t xml:space="preserve"> the product may still be released if a medical or dental practitioner is responsible for the administration/a</w:t>
      </w:r>
      <w:r>
        <w:rPr>
          <w:szCs w:val="22"/>
        </w:rPr>
        <w:t>pplication of the product</w:t>
      </w:r>
      <w:r w:rsidR="00DA50A6">
        <w:rPr>
          <w:szCs w:val="22"/>
        </w:rPr>
        <w:t>,</w:t>
      </w:r>
      <w:r>
        <w:rPr>
          <w:szCs w:val="22"/>
        </w:rPr>
        <w:t xml:space="preserve"> provided</w:t>
      </w:r>
      <w:r w:rsidRPr="00D655A3">
        <w:rPr>
          <w:szCs w:val="22"/>
        </w:rPr>
        <w:t xml:space="preserve"> the designated recipient has been notified of the results.</w:t>
      </w:r>
    </w:p>
    <w:p w14:paraId="07E93E83" w14:textId="6A25C3F8" w:rsidR="00151820" w:rsidRPr="00151820" w:rsidRDefault="0096389E" w:rsidP="00151820">
      <w:pPr>
        <w:pStyle w:val="Heading5"/>
      </w:pPr>
      <w:r>
        <w:t>Subsections 10(17) to 10(18</w:t>
      </w:r>
      <w:r w:rsidR="00151820" w:rsidRPr="00151820">
        <w:t>) – Archiving of serum of plasma of blood samples</w:t>
      </w:r>
    </w:p>
    <w:tbl>
      <w:tblPr>
        <w:tblStyle w:val="TableTGAblue"/>
        <w:tblW w:w="0" w:type="auto"/>
        <w:tblLook w:val="0480" w:firstRow="0" w:lastRow="0" w:firstColumn="1" w:lastColumn="0" w:noHBand="0" w:noVBand="1"/>
      </w:tblPr>
      <w:tblGrid>
        <w:gridCol w:w="9050"/>
      </w:tblGrid>
      <w:tr w:rsidR="0075566E" w14:paraId="5D32D023" w14:textId="77777777" w:rsidTr="00C01EF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795D796B" w14:textId="2DABED5A" w:rsidR="0075566E" w:rsidRDefault="0075566E" w:rsidP="00C01EF3">
            <w:pPr>
              <w:rPr>
                <w:b/>
              </w:rPr>
            </w:pPr>
            <w:r>
              <w:rPr>
                <w:b/>
              </w:rPr>
              <w:t>10 Blood samples – taking and testing</w:t>
            </w:r>
          </w:p>
          <w:p w14:paraId="37BD5769" w14:textId="4017BD0C" w:rsidR="0075566E" w:rsidRDefault="0075566E" w:rsidP="00C01EF3">
            <w:pPr>
              <w:rPr>
                <w:b/>
              </w:rPr>
            </w:pPr>
            <w:r w:rsidRPr="0075566E">
              <w:rPr>
                <w:b/>
              </w:rPr>
              <w:t>Serum or plasma of blood samples</w:t>
            </w:r>
          </w:p>
          <w:p w14:paraId="1207E50D" w14:textId="15AA0382" w:rsidR="0075566E" w:rsidRPr="0075566E" w:rsidRDefault="003E0B2C" w:rsidP="000E409B">
            <w:pPr>
              <w:pStyle w:val="Numberbullet0"/>
              <w:numPr>
                <w:ilvl w:val="0"/>
                <w:numId w:val="22"/>
              </w:numPr>
            </w:pPr>
            <w:r w:rsidRPr="009A5E24">
              <w:rPr>
                <w:szCs w:val="22"/>
              </w:rPr>
              <w:t>The serum or plasma of a blood sample taken from a donor of HCT materials in accordance with subsection (3), (4) or (6) must be</w:t>
            </w:r>
            <w:r w:rsidR="0075566E">
              <w:rPr>
                <w:szCs w:val="22"/>
              </w:rPr>
              <w:t>:</w:t>
            </w:r>
          </w:p>
          <w:p w14:paraId="3195E77A" w14:textId="698C530B" w:rsidR="00D35EC5" w:rsidRPr="00D35EC5" w:rsidRDefault="003E0B2C" w:rsidP="000E409B">
            <w:pPr>
              <w:pStyle w:val="Numberbullet0"/>
              <w:numPr>
                <w:ilvl w:val="0"/>
                <w:numId w:val="34"/>
              </w:numPr>
            </w:pPr>
            <w:r w:rsidRPr="009A5E24">
              <w:rPr>
                <w:szCs w:val="22"/>
              </w:rPr>
              <w:t>archived at or below minus 25°C, or in accordance with conditions that are validated or recommended by the manufacturer of the IVD medical device or in</w:t>
            </w:r>
            <w:r w:rsidRPr="009A5E24">
              <w:rPr>
                <w:szCs w:val="22"/>
              </w:rPr>
              <w:noBreakHyphen/>
              <w:t>house IVD medical device used for testing the samples</w:t>
            </w:r>
            <w:r w:rsidR="00D35EC5" w:rsidRPr="00D35EC5">
              <w:rPr>
                <w:szCs w:val="22"/>
              </w:rPr>
              <w:t>; and</w:t>
            </w:r>
          </w:p>
          <w:p w14:paraId="0D5643EF" w14:textId="697EC2F2" w:rsidR="0075566E" w:rsidRPr="00D655A3" w:rsidRDefault="003E0B2C" w:rsidP="000E409B">
            <w:pPr>
              <w:pStyle w:val="Numberbullet0"/>
              <w:numPr>
                <w:ilvl w:val="0"/>
                <w:numId w:val="34"/>
              </w:numPr>
            </w:pPr>
            <w:r w:rsidRPr="009A5E24">
              <w:rPr>
                <w:szCs w:val="22"/>
              </w:rPr>
              <w:t>retained for a minimum of two years after the expiry date of the relevant HCT product, or for a period that is validated on the basis of validated data or documented evidence from relevant scientific literature</w:t>
            </w:r>
            <w:r w:rsidR="0075566E">
              <w:rPr>
                <w:szCs w:val="22"/>
              </w:rPr>
              <w:t>.</w:t>
            </w:r>
          </w:p>
          <w:p w14:paraId="415579D8" w14:textId="78E07B12" w:rsidR="0075566E" w:rsidRDefault="0075566E" w:rsidP="000E409B">
            <w:pPr>
              <w:pStyle w:val="Numberbullet0"/>
              <w:numPr>
                <w:ilvl w:val="0"/>
                <w:numId w:val="22"/>
              </w:numPr>
            </w:pPr>
            <w:r>
              <w:t>If:</w:t>
            </w:r>
          </w:p>
          <w:p w14:paraId="56DE53CE" w14:textId="4AFE298C" w:rsidR="0075566E" w:rsidRPr="0075566E" w:rsidRDefault="003E0B2C" w:rsidP="000E409B">
            <w:pPr>
              <w:pStyle w:val="Numberbullet0"/>
              <w:numPr>
                <w:ilvl w:val="0"/>
                <w:numId w:val="35"/>
              </w:numPr>
            </w:pPr>
            <w:r w:rsidRPr="009A5E24">
              <w:rPr>
                <w:szCs w:val="22"/>
              </w:rPr>
              <w:t>an HCT product has not been released for supply</w:t>
            </w:r>
            <w:r w:rsidR="0075566E">
              <w:rPr>
                <w:szCs w:val="22"/>
              </w:rPr>
              <w:t>; and</w:t>
            </w:r>
          </w:p>
          <w:p w14:paraId="4A6E6C47" w14:textId="49DF2C78" w:rsidR="0075566E" w:rsidRDefault="003E0B2C" w:rsidP="000E409B">
            <w:pPr>
              <w:pStyle w:val="Numberbullet0"/>
              <w:numPr>
                <w:ilvl w:val="0"/>
                <w:numId w:val="35"/>
              </w:numPr>
            </w:pPr>
            <w:r w:rsidRPr="009A5E24">
              <w:rPr>
                <w:szCs w:val="22"/>
              </w:rPr>
              <w:t>following the testing of a blood sample in relation to the product, a protocol or methodology for the testing changes</w:t>
            </w:r>
            <w:r w:rsidR="0075566E">
              <w:rPr>
                <w:szCs w:val="22"/>
              </w:rPr>
              <w:t>;</w:t>
            </w:r>
          </w:p>
          <w:p w14:paraId="7400C92E" w14:textId="50642639" w:rsidR="0075566E" w:rsidRPr="003046F2" w:rsidRDefault="003E0B2C" w:rsidP="0075566E">
            <w:pPr>
              <w:pStyle w:val="Numberbullet0"/>
              <w:numPr>
                <w:ilvl w:val="0"/>
                <w:numId w:val="0"/>
              </w:numPr>
              <w:ind w:left="720"/>
            </w:pPr>
            <w:r w:rsidRPr="009A5E24">
              <w:rPr>
                <w:szCs w:val="22"/>
              </w:rPr>
              <w:t>then, the archived serum or plasma of the blood sample must be tested in accordance with the new protocol or methodology before the product is released for supply, unless the testing is not required on the basis of a risk assessment</w:t>
            </w:r>
            <w:r w:rsidR="0075566E">
              <w:rPr>
                <w:szCs w:val="22"/>
              </w:rPr>
              <w:t>.</w:t>
            </w:r>
          </w:p>
        </w:tc>
      </w:tr>
    </w:tbl>
    <w:p w14:paraId="0B5C4961" w14:textId="163A5A29" w:rsidR="004748E1" w:rsidRPr="00166E7D" w:rsidRDefault="004748E1" w:rsidP="004748E1">
      <w:pPr>
        <w:rPr>
          <w:szCs w:val="22"/>
        </w:rPr>
      </w:pPr>
      <w:r w:rsidRPr="00166E7D">
        <w:rPr>
          <w:szCs w:val="22"/>
        </w:rPr>
        <w:lastRenderedPageBreak/>
        <w:t xml:space="preserve">A donor blood sample (plasma or serum) must be </w:t>
      </w:r>
      <w:r w:rsidRPr="00CB1ECC">
        <w:rPr>
          <w:szCs w:val="22"/>
        </w:rPr>
        <w:t xml:space="preserve">archived </w:t>
      </w:r>
      <w:r w:rsidR="001B3E3F" w:rsidRPr="00CB1ECC">
        <w:rPr>
          <w:szCs w:val="22"/>
        </w:rPr>
        <w:t xml:space="preserve">for </w:t>
      </w:r>
      <w:r w:rsidR="002474F1">
        <w:rPr>
          <w:szCs w:val="22"/>
        </w:rPr>
        <w:t>two years</w:t>
      </w:r>
      <w:r w:rsidRPr="00CB1ECC">
        <w:rPr>
          <w:szCs w:val="22"/>
        </w:rPr>
        <w:t xml:space="preserve"> after the expiry</w:t>
      </w:r>
      <w:r w:rsidRPr="00166E7D">
        <w:rPr>
          <w:szCs w:val="22"/>
        </w:rPr>
        <w:t xml:space="preserve"> date of the product, unless otherwise </w:t>
      </w:r>
      <w:r w:rsidR="00392A82">
        <w:rPr>
          <w:szCs w:val="22"/>
        </w:rPr>
        <w:t xml:space="preserve">justified or </w:t>
      </w:r>
      <w:r w:rsidR="00653C5D">
        <w:rPr>
          <w:szCs w:val="22"/>
        </w:rPr>
        <w:t>validated. Circumstances</w:t>
      </w:r>
      <w:r w:rsidR="00392A82" w:rsidRPr="00166E7D">
        <w:rPr>
          <w:szCs w:val="22"/>
        </w:rPr>
        <w:t xml:space="preserve"> </w:t>
      </w:r>
      <w:r w:rsidRPr="00166E7D">
        <w:rPr>
          <w:szCs w:val="22"/>
        </w:rPr>
        <w:t xml:space="preserve">that </w:t>
      </w:r>
      <w:r w:rsidR="00392A82">
        <w:rPr>
          <w:szCs w:val="22"/>
        </w:rPr>
        <w:t>c</w:t>
      </w:r>
      <w:r w:rsidR="00392A82" w:rsidRPr="00166E7D">
        <w:rPr>
          <w:szCs w:val="22"/>
        </w:rPr>
        <w:t xml:space="preserve">ould </w:t>
      </w:r>
      <w:r w:rsidRPr="00166E7D">
        <w:rPr>
          <w:szCs w:val="22"/>
        </w:rPr>
        <w:t>be considered as justification for a failure to archive or maintain a sample may include:</w:t>
      </w:r>
    </w:p>
    <w:p w14:paraId="6E77C1DD" w14:textId="574D1BFB" w:rsidR="004748E1" w:rsidRPr="00166E7D" w:rsidRDefault="00E45BB6" w:rsidP="004748E1">
      <w:pPr>
        <w:pStyle w:val="ListBullet"/>
      </w:pPr>
      <w:r>
        <w:t>l</w:t>
      </w:r>
      <w:r w:rsidR="004748E1" w:rsidRPr="00166E7D">
        <w:t>ow sample volume</w:t>
      </w:r>
    </w:p>
    <w:p w14:paraId="03551AE6" w14:textId="390FE5E7" w:rsidR="004748E1" w:rsidRPr="00166E7D" w:rsidRDefault="00E45BB6" w:rsidP="004748E1">
      <w:pPr>
        <w:pStyle w:val="ListBullet"/>
      </w:pPr>
      <w:r>
        <w:t>b</w:t>
      </w:r>
      <w:r w:rsidR="004748E1" w:rsidRPr="00166E7D">
        <w:t>reakage and loss</w:t>
      </w:r>
    </w:p>
    <w:p w14:paraId="72F59456" w14:textId="765A3678" w:rsidR="004748E1" w:rsidRPr="00166E7D" w:rsidRDefault="00E45BB6" w:rsidP="004748E1">
      <w:pPr>
        <w:pStyle w:val="ListBullet"/>
      </w:pPr>
      <w:r>
        <w:t>t</w:t>
      </w:r>
      <w:r w:rsidR="004748E1" w:rsidRPr="00166E7D">
        <w:t>he sample</w:t>
      </w:r>
      <w:r>
        <w:t xml:space="preserve"> is used up by relevant testing</w:t>
      </w:r>
    </w:p>
    <w:p w14:paraId="52489C95" w14:textId="77777777" w:rsidR="004748E1" w:rsidRPr="00166E7D" w:rsidRDefault="004748E1" w:rsidP="004748E1">
      <w:pPr>
        <w:rPr>
          <w:szCs w:val="22"/>
        </w:rPr>
      </w:pPr>
      <w:r w:rsidRPr="00166E7D">
        <w:rPr>
          <w:szCs w:val="22"/>
        </w:rPr>
        <w:t>This requirement is in place to allow a manufacturer the ability to conduct reviews of the infectious disease status of donors, or conduct additional tests if donor selection and deferral criteria change during product storage.</w:t>
      </w:r>
    </w:p>
    <w:p w14:paraId="46ABDBEA" w14:textId="1D832425" w:rsidR="004748E1" w:rsidRPr="00166E7D" w:rsidRDefault="004748E1" w:rsidP="004748E1">
      <w:pPr>
        <w:rPr>
          <w:szCs w:val="22"/>
        </w:rPr>
      </w:pPr>
      <w:r w:rsidRPr="00166E7D">
        <w:rPr>
          <w:szCs w:val="22"/>
        </w:rPr>
        <w:t>Failure to store a sample or loss of sample is a ‘non-conformance’ and should follow internal non-conformance procedures. This may be subject to review during GMP inspection.</w:t>
      </w:r>
    </w:p>
    <w:p w14:paraId="6CFFFDAF" w14:textId="77777777" w:rsidR="004748E1" w:rsidRPr="00166E7D" w:rsidRDefault="004748E1" w:rsidP="004748E1">
      <w:pPr>
        <w:rPr>
          <w:szCs w:val="22"/>
        </w:rPr>
      </w:pPr>
      <w:r w:rsidRPr="00166E7D">
        <w:rPr>
          <w:szCs w:val="22"/>
        </w:rPr>
        <w:t>If there are changes to donor deferral during product storage (which may be for several years after the completion of processing), the archived donor blood sample may need to be re-tested based on these changes.</w:t>
      </w:r>
    </w:p>
    <w:p w14:paraId="33B40674" w14:textId="77777777" w:rsidR="004748E1" w:rsidRPr="00166E7D" w:rsidRDefault="004748E1" w:rsidP="004748E1">
      <w:pPr>
        <w:rPr>
          <w:szCs w:val="22"/>
        </w:rPr>
      </w:pPr>
      <w:r w:rsidRPr="00166E7D">
        <w:rPr>
          <w:szCs w:val="22"/>
        </w:rPr>
        <w:t>Before the release of the product, the suitability of the donor (based on donor deferral criteria at the time of product release) should be reviewed to ensure the donor meets all current requirements.</w:t>
      </w:r>
    </w:p>
    <w:p w14:paraId="1C686EED" w14:textId="1B12AF41" w:rsidR="004748E1" w:rsidRPr="00166E7D" w:rsidRDefault="004748E1" w:rsidP="004748E1">
      <w:pPr>
        <w:rPr>
          <w:szCs w:val="22"/>
        </w:rPr>
      </w:pPr>
      <w:r w:rsidRPr="00166E7D">
        <w:rPr>
          <w:szCs w:val="22"/>
        </w:rPr>
        <w:t xml:space="preserve">During the storage of the product, there may be changes to mandatory donor infectious disease testing requirements, either introduced by the manufacturer or mandated by TGA. This may include the requirement to test for additional infectious diseases in the event of a disease outbreak. In these situations, it may be required to reassess the donor before the release of product derived from their collected starting material. This must be done using archived serum or plasma, stored </w:t>
      </w:r>
      <w:r w:rsidR="00E45BB6">
        <w:rPr>
          <w:szCs w:val="22"/>
        </w:rPr>
        <w:t>according to TGO 108.</w:t>
      </w:r>
    </w:p>
    <w:p w14:paraId="6D744B51" w14:textId="0125ED50" w:rsidR="004748E1" w:rsidRDefault="004748E1" w:rsidP="004748E1">
      <w:pPr>
        <w:rPr>
          <w:szCs w:val="22"/>
        </w:rPr>
      </w:pPr>
      <w:r w:rsidRPr="00166E7D">
        <w:rPr>
          <w:szCs w:val="22"/>
        </w:rPr>
        <w:t>The requirement to retest the donor will be based on a risk assessment conducted by the manufacturer or sponsor taking into account the nature of the risk to the recipient. TGA should be consulted if changes to donor deferral criteria will be introduced.</w:t>
      </w:r>
    </w:p>
    <w:p w14:paraId="199D3053" w14:textId="0ADE784C" w:rsidR="00DE4746" w:rsidRDefault="00DE4746" w:rsidP="00DE4746">
      <w:pPr>
        <w:pStyle w:val="Heading4"/>
      </w:pPr>
      <w:bookmarkStart w:id="24" w:name="_Toc69823138"/>
      <w:r>
        <w:t>Section 11 – Physical assessment</w:t>
      </w:r>
      <w:bookmarkEnd w:id="24"/>
    </w:p>
    <w:p w14:paraId="5CDE05B1" w14:textId="0F781D2F" w:rsidR="003F30FB" w:rsidRDefault="00A07296" w:rsidP="003F30FB">
      <w:pPr>
        <w:rPr>
          <w:szCs w:val="22"/>
        </w:rPr>
      </w:pPr>
      <w:r>
        <w:rPr>
          <w:szCs w:val="22"/>
        </w:rPr>
        <w:t>Section 11</w:t>
      </w:r>
      <w:r w:rsidR="003F30FB" w:rsidRPr="005815A9">
        <w:rPr>
          <w:szCs w:val="22"/>
        </w:rPr>
        <w:t xml:space="preserve"> specifies the requirements for the physical assessment of donors and the minimum donor infectiou</w:t>
      </w:r>
      <w:r w:rsidR="003F30FB">
        <w:rPr>
          <w:szCs w:val="22"/>
        </w:rPr>
        <w:t>s disease testing requirements.</w:t>
      </w:r>
    </w:p>
    <w:p w14:paraId="4A8B20FC" w14:textId="19164757" w:rsidR="000031F9" w:rsidRDefault="003F30FB" w:rsidP="000031F9">
      <w:pPr>
        <w:rPr>
          <w:szCs w:val="22"/>
        </w:rPr>
      </w:pPr>
      <w:r w:rsidRPr="005815A9">
        <w:rPr>
          <w:szCs w:val="22"/>
        </w:rPr>
        <w:t>In addition to the medical and social history of the donor, assessment of donor blood samples and the physical assessment of the donor are further key determinants of donor acceptability. Assessment and testing of donors are critical tiers of risk mitigation</w:t>
      </w:r>
      <w:r w:rsidR="00653C5D" w:rsidRPr="00653C5D">
        <w:rPr>
          <w:color w:val="000000"/>
          <w:shd w:val="clear" w:color="auto" w:fill="FFFFFF"/>
        </w:rPr>
        <w:t xml:space="preserve"> </w:t>
      </w:r>
      <w:r w:rsidR="00653C5D">
        <w:rPr>
          <w:szCs w:val="22"/>
        </w:rPr>
        <w:t xml:space="preserve">as they </w:t>
      </w:r>
      <w:r w:rsidR="00653C5D" w:rsidRPr="00653C5D">
        <w:rPr>
          <w:szCs w:val="22"/>
        </w:rPr>
        <w:t>may be indicative of a behaviour or lifestyle</w:t>
      </w:r>
      <w:r w:rsidRPr="005815A9">
        <w:rPr>
          <w:szCs w:val="22"/>
        </w:rPr>
        <w:t xml:space="preserve"> </w:t>
      </w:r>
      <w:r w:rsidR="00653C5D">
        <w:rPr>
          <w:szCs w:val="22"/>
        </w:rPr>
        <w:t>of</w:t>
      </w:r>
      <w:r w:rsidR="00653C5D" w:rsidRPr="005815A9">
        <w:rPr>
          <w:szCs w:val="22"/>
        </w:rPr>
        <w:t xml:space="preserve"> </w:t>
      </w:r>
      <w:r w:rsidRPr="005815A9">
        <w:rPr>
          <w:szCs w:val="22"/>
        </w:rPr>
        <w:t>infectious disease transmission.</w:t>
      </w:r>
    </w:p>
    <w:p w14:paraId="65436BB8" w14:textId="19C56A92" w:rsidR="00151820" w:rsidRPr="00151820" w:rsidRDefault="00151820" w:rsidP="00151820">
      <w:pPr>
        <w:pStyle w:val="Heading5"/>
      </w:pPr>
      <w:r w:rsidRPr="00151820">
        <w:lastRenderedPageBreak/>
        <w:t>Subsection 1</w:t>
      </w:r>
      <w:r>
        <w:t>1(1</w:t>
      </w:r>
      <w:r w:rsidRPr="00151820">
        <w:t xml:space="preserve">) – </w:t>
      </w:r>
      <w:r>
        <w:t>Potential donor testing for infectious diseases</w:t>
      </w:r>
    </w:p>
    <w:tbl>
      <w:tblPr>
        <w:tblStyle w:val="TableTGAblue"/>
        <w:tblW w:w="0" w:type="auto"/>
        <w:tblLook w:val="0480" w:firstRow="0" w:lastRow="0" w:firstColumn="1" w:lastColumn="0" w:noHBand="0" w:noVBand="1"/>
      </w:tblPr>
      <w:tblGrid>
        <w:gridCol w:w="9050"/>
      </w:tblGrid>
      <w:tr w:rsidR="000031F9" w14:paraId="515E7242" w14:textId="77777777" w:rsidTr="00C01EF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567D35E4" w14:textId="0C5ED98B" w:rsidR="000031F9" w:rsidRDefault="000031F9" w:rsidP="00C01EF3">
            <w:pPr>
              <w:rPr>
                <w:b/>
              </w:rPr>
            </w:pPr>
            <w:r>
              <w:rPr>
                <w:b/>
              </w:rPr>
              <w:t>11 Physical assessment</w:t>
            </w:r>
          </w:p>
          <w:p w14:paraId="2C313DB7" w14:textId="56D317FA" w:rsidR="000031F9" w:rsidRPr="000031F9" w:rsidRDefault="00821D63" w:rsidP="000E409B">
            <w:pPr>
              <w:pStyle w:val="Numberbullet0"/>
              <w:numPr>
                <w:ilvl w:val="0"/>
                <w:numId w:val="36"/>
              </w:numPr>
            </w:pPr>
            <w:r w:rsidRPr="009A5E24">
              <w:rPr>
                <w:szCs w:val="22"/>
              </w:rPr>
              <w:t>A physical assessment must be conducted in relation to a donor of HCT materials as follows</w:t>
            </w:r>
            <w:r w:rsidR="000031F9">
              <w:rPr>
                <w:szCs w:val="22"/>
              </w:rPr>
              <w:t>:</w:t>
            </w:r>
          </w:p>
          <w:p w14:paraId="64ED8594" w14:textId="6C8A5964" w:rsidR="000031F9" w:rsidRPr="000031F9" w:rsidRDefault="00821D63" w:rsidP="000E409B">
            <w:pPr>
              <w:pStyle w:val="Numberbullet0"/>
              <w:numPr>
                <w:ilvl w:val="0"/>
                <w:numId w:val="37"/>
              </w:numPr>
            </w:pPr>
            <w:r w:rsidRPr="009A5E24">
              <w:rPr>
                <w:szCs w:val="22"/>
              </w:rPr>
              <w:t xml:space="preserve">in </w:t>
            </w:r>
            <w:r w:rsidR="005937C7" w:rsidRPr="005937C7">
              <w:rPr>
                <w:szCs w:val="22"/>
              </w:rPr>
              <w:t xml:space="preserve">the case of a living donor (other than a living donor of human musculoskeletal tissue only)—at the time of the collection of the HCT materials; </w:t>
            </w:r>
            <w:r w:rsidR="000031F9">
              <w:rPr>
                <w:szCs w:val="22"/>
              </w:rPr>
              <w:t>or</w:t>
            </w:r>
          </w:p>
          <w:p w14:paraId="6BCFDE6F" w14:textId="0F144F2B" w:rsidR="000031F9" w:rsidRPr="000031F9" w:rsidRDefault="00821D63" w:rsidP="000E409B">
            <w:pPr>
              <w:pStyle w:val="Numberbullet0"/>
              <w:numPr>
                <w:ilvl w:val="0"/>
                <w:numId w:val="37"/>
              </w:numPr>
            </w:pPr>
            <w:r w:rsidRPr="009A5E24">
              <w:rPr>
                <w:szCs w:val="22"/>
              </w:rPr>
              <w:t xml:space="preserve">in </w:t>
            </w:r>
            <w:r w:rsidR="005937C7" w:rsidRPr="005937C7">
              <w:rPr>
                <w:szCs w:val="22"/>
              </w:rPr>
              <w:t>the case of a living donor of human musculoskeletal tissue only—within 30 days before or 30 days after the collection of the tissue</w:t>
            </w:r>
            <w:r w:rsidR="00D35EC5" w:rsidRPr="00D35EC5">
              <w:rPr>
                <w:szCs w:val="22"/>
              </w:rPr>
              <w:t>; or</w:t>
            </w:r>
          </w:p>
          <w:p w14:paraId="5CD77989" w14:textId="784692EE" w:rsidR="000031F9" w:rsidRPr="000031F9" w:rsidRDefault="00821D63" w:rsidP="000E409B">
            <w:pPr>
              <w:pStyle w:val="Numberbullet0"/>
              <w:numPr>
                <w:ilvl w:val="0"/>
                <w:numId w:val="37"/>
              </w:numPr>
            </w:pPr>
            <w:r w:rsidRPr="009A5E24">
              <w:rPr>
                <w:szCs w:val="22"/>
              </w:rPr>
              <w:t xml:space="preserve">in </w:t>
            </w:r>
            <w:r w:rsidR="005937C7" w:rsidRPr="005937C7">
              <w:rPr>
                <w:szCs w:val="22"/>
              </w:rPr>
              <w:t>the case of a deceased donor—before the collection of the HCT materials</w:t>
            </w:r>
            <w:r w:rsidR="000031F9" w:rsidRPr="00CB1ECC">
              <w:rPr>
                <w:szCs w:val="22"/>
              </w:rPr>
              <w:t>.</w:t>
            </w:r>
          </w:p>
        </w:tc>
      </w:tr>
    </w:tbl>
    <w:p w14:paraId="35E28842" w14:textId="002D7E61" w:rsidR="00BC1814" w:rsidRDefault="00BC1814" w:rsidP="00C10E14">
      <w:r w:rsidRPr="00BC1814">
        <w:t>This subsection specifies when physical assessments must be conducted.</w:t>
      </w:r>
    </w:p>
    <w:p w14:paraId="110931F0" w14:textId="41A380EE" w:rsidR="00151820" w:rsidRPr="00151820" w:rsidRDefault="00151820" w:rsidP="00151820">
      <w:pPr>
        <w:pStyle w:val="Heading5"/>
      </w:pPr>
      <w:r w:rsidRPr="00151820">
        <w:t>Subsection 1</w:t>
      </w:r>
      <w:r>
        <w:t>1(2</w:t>
      </w:r>
      <w:r w:rsidRPr="00151820">
        <w:t xml:space="preserve">) – </w:t>
      </w:r>
      <w:r>
        <w:t>Donor physical assessments</w:t>
      </w:r>
    </w:p>
    <w:tbl>
      <w:tblPr>
        <w:tblStyle w:val="TableTGAblue"/>
        <w:tblW w:w="0" w:type="auto"/>
        <w:tblLook w:val="0480" w:firstRow="0" w:lastRow="0" w:firstColumn="1" w:lastColumn="0" w:noHBand="0" w:noVBand="1"/>
      </w:tblPr>
      <w:tblGrid>
        <w:gridCol w:w="9050"/>
      </w:tblGrid>
      <w:tr w:rsidR="000031F9" w14:paraId="47C52011" w14:textId="77777777" w:rsidTr="00C01EF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397DDF50" w14:textId="77777777" w:rsidR="000031F9" w:rsidRDefault="000031F9" w:rsidP="00C01EF3">
            <w:pPr>
              <w:rPr>
                <w:b/>
              </w:rPr>
            </w:pPr>
            <w:r>
              <w:rPr>
                <w:b/>
              </w:rPr>
              <w:t>11 Physical assessment</w:t>
            </w:r>
          </w:p>
          <w:p w14:paraId="214A69AC" w14:textId="77777777" w:rsidR="000031F9" w:rsidRPr="000031F9" w:rsidRDefault="000031F9" w:rsidP="000E409B">
            <w:pPr>
              <w:pStyle w:val="Numberbullet0"/>
              <w:numPr>
                <w:ilvl w:val="0"/>
                <w:numId w:val="36"/>
              </w:numPr>
            </w:pPr>
            <w:r>
              <w:rPr>
                <w:szCs w:val="22"/>
              </w:rPr>
              <w:t>A physical assessment must:</w:t>
            </w:r>
          </w:p>
          <w:p w14:paraId="799C6E26" w14:textId="3F00220D" w:rsidR="000031F9" w:rsidRDefault="00821D63" w:rsidP="000E409B">
            <w:pPr>
              <w:pStyle w:val="Numberbullet0"/>
              <w:numPr>
                <w:ilvl w:val="0"/>
                <w:numId w:val="38"/>
              </w:numPr>
            </w:pPr>
            <w:r w:rsidRPr="009A5E24">
              <w:rPr>
                <w:szCs w:val="22"/>
              </w:rPr>
              <w:t>include a clinical inspection of any physical features or characteristics of a donor (such as an abrasion, laceration, bruise, haematoma, fracture, tattoo, piercing, scar, skin lesion, or surgical incision) that may indicate that the donor poses a risk of infectious disease transmission</w:t>
            </w:r>
            <w:r w:rsidR="000031F9">
              <w:rPr>
                <w:szCs w:val="22"/>
              </w:rPr>
              <w:t>; and</w:t>
            </w:r>
          </w:p>
          <w:p w14:paraId="51293CBC" w14:textId="47EE2895" w:rsidR="000031F9" w:rsidRPr="000031F9" w:rsidRDefault="000031F9" w:rsidP="000E409B">
            <w:pPr>
              <w:pStyle w:val="Numberbullet0"/>
              <w:numPr>
                <w:ilvl w:val="0"/>
                <w:numId w:val="38"/>
              </w:numPr>
            </w:pPr>
            <w:r>
              <w:rPr>
                <w:szCs w:val="22"/>
              </w:rPr>
              <w:t>be conducted by a person who is:</w:t>
            </w:r>
          </w:p>
          <w:p w14:paraId="1697AD94" w14:textId="2DC07191" w:rsidR="000031F9" w:rsidRPr="000031F9" w:rsidRDefault="00821D63" w:rsidP="000E409B">
            <w:pPr>
              <w:pStyle w:val="Numberbullet0"/>
              <w:numPr>
                <w:ilvl w:val="0"/>
                <w:numId w:val="39"/>
              </w:numPr>
            </w:pPr>
            <w:r w:rsidRPr="009A5E24">
              <w:rPr>
                <w:szCs w:val="22"/>
              </w:rPr>
              <w:t>appropriately qualified and trained</w:t>
            </w:r>
            <w:r w:rsidR="000031F9">
              <w:rPr>
                <w:szCs w:val="22"/>
              </w:rPr>
              <w:t>; and</w:t>
            </w:r>
          </w:p>
          <w:p w14:paraId="20EB2FFE" w14:textId="30A8750F" w:rsidR="000031F9" w:rsidRDefault="00821D63" w:rsidP="000E409B">
            <w:pPr>
              <w:pStyle w:val="Numberbullet0"/>
              <w:numPr>
                <w:ilvl w:val="0"/>
                <w:numId w:val="39"/>
              </w:numPr>
            </w:pPr>
            <w:r w:rsidRPr="009A5E24">
              <w:rPr>
                <w:szCs w:val="22"/>
              </w:rPr>
              <w:t>an employee of, or under a contract with, a person engaged in the collection of HCT materials or the manufacture of HCT products</w:t>
            </w:r>
            <w:r w:rsidR="00D35EC5" w:rsidRPr="00D35EC5">
              <w:rPr>
                <w:szCs w:val="22"/>
              </w:rPr>
              <w:t>; and</w:t>
            </w:r>
          </w:p>
          <w:p w14:paraId="5E323917" w14:textId="35348CAA" w:rsidR="000031F9" w:rsidRPr="000031F9" w:rsidRDefault="00821D63" w:rsidP="000E409B">
            <w:pPr>
              <w:pStyle w:val="Numberbullet0"/>
              <w:numPr>
                <w:ilvl w:val="0"/>
                <w:numId w:val="38"/>
              </w:numPr>
            </w:pPr>
            <w:r w:rsidRPr="009A5E24">
              <w:rPr>
                <w:szCs w:val="22"/>
              </w:rPr>
              <w:t>demonstrate that the donor does not pose a risk of infectious disease transmission</w:t>
            </w:r>
            <w:r w:rsidR="000031F9">
              <w:rPr>
                <w:szCs w:val="22"/>
              </w:rPr>
              <w:t>.</w:t>
            </w:r>
          </w:p>
        </w:tc>
      </w:tr>
    </w:tbl>
    <w:p w14:paraId="5558EEF1" w14:textId="40CF72E5" w:rsidR="000031F9" w:rsidRDefault="000031F9" w:rsidP="000031F9">
      <w:pPr>
        <w:rPr>
          <w:szCs w:val="22"/>
        </w:rPr>
      </w:pPr>
      <w:r w:rsidRPr="001B3E3F">
        <w:rPr>
          <w:szCs w:val="22"/>
        </w:rPr>
        <w:t xml:space="preserve">The requirements for </w:t>
      </w:r>
      <w:hyperlink r:id="rId34" w:anchor="id_8953" w:history="1">
        <w:r w:rsidRPr="00D12A98">
          <w:rPr>
            <w:rStyle w:val="Hyperlink"/>
            <w:szCs w:val="22"/>
          </w:rPr>
          <w:t>physical assessment</w:t>
        </w:r>
      </w:hyperlink>
      <w:r w:rsidRPr="001B3E3F">
        <w:rPr>
          <w:szCs w:val="22"/>
        </w:rPr>
        <w:t xml:space="preserve"> of a</w:t>
      </w:r>
      <w:r w:rsidRPr="0086493F">
        <w:rPr>
          <w:szCs w:val="22"/>
        </w:rPr>
        <w:t xml:space="preserve"> potential donor of </w:t>
      </w:r>
      <w:r>
        <w:rPr>
          <w:szCs w:val="22"/>
        </w:rPr>
        <w:t>HCT</w:t>
      </w:r>
      <w:r w:rsidRPr="0086493F">
        <w:rPr>
          <w:szCs w:val="22"/>
        </w:rPr>
        <w:t xml:space="preserve"> must be determined by each individual collection facility according to a risk assessment for the tissue(s) or cells to be collected. The exact nature of this assessment is not prescribed, but it is emphasised that the assessment must be sufficient to ‘determine suitability of the person to be a donor’. The requirements will be influenced by the type of product and by the constraints of the clinical requirements of differ</w:t>
      </w:r>
      <w:r>
        <w:rPr>
          <w:szCs w:val="22"/>
        </w:rPr>
        <w:t>ent patient (recipient) groups.</w:t>
      </w:r>
    </w:p>
    <w:p w14:paraId="15199EF5" w14:textId="77777777" w:rsidR="00E45BB6" w:rsidRDefault="000031F9" w:rsidP="000031F9">
      <w:pPr>
        <w:rPr>
          <w:szCs w:val="22"/>
        </w:rPr>
      </w:pPr>
      <w:r w:rsidRPr="0086493F">
        <w:rPr>
          <w:szCs w:val="22"/>
        </w:rPr>
        <w:t>The time periods during which donor physical assessment should occur were specified to allow for the assessment to take place at a convenient time prior to surgical procedures</w:t>
      </w:r>
      <w:r w:rsidR="00E45BB6">
        <w:rPr>
          <w:szCs w:val="22"/>
        </w:rPr>
        <w:t xml:space="preserve">, </w:t>
      </w:r>
      <w:r w:rsidRPr="0086493F">
        <w:rPr>
          <w:szCs w:val="22"/>
        </w:rPr>
        <w:t xml:space="preserve">but be sufficiently current to allow determination of acceptability of the collection. </w:t>
      </w:r>
    </w:p>
    <w:p w14:paraId="4FD37269" w14:textId="53A25166" w:rsidR="000031F9" w:rsidRDefault="000031F9" w:rsidP="000031F9">
      <w:pPr>
        <w:rPr>
          <w:szCs w:val="22"/>
        </w:rPr>
      </w:pPr>
      <w:r w:rsidRPr="0086493F">
        <w:rPr>
          <w:szCs w:val="22"/>
        </w:rPr>
        <w:t xml:space="preserve">The </w:t>
      </w:r>
      <w:r w:rsidR="00D7384D">
        <w:rPr>
          <w:szCs w:val="22"/>
        </w:rPr>
        <w:t xml:space="preserve">physical assessment </w:t>
      </w:r>
      <w:r w:rsidRPr="0086493F">
        <w:rPr>
          <w:szCs w:val="22"/>
        </w:rPr>
        <w:t>process must be appropriately documented. Requirements</w:t>
      </w:r>
      <w:r>
        <w:rPr>
          <w:szCs w:val="22"/>
        </w:rPr>
        <w:t xml:space="preserve"> </w:t>
      </w:r>
      <w:r w:rsidRPr="0086493F">
        <w:rPr>
          <w:szCs w:val="22"/>
        </w:rPr>
        <w:t xml:space="preserve">for performing and documenting the physical assessment must be specified </w:t>
      </w:r>
      <w:r>
        <w:rPr>
          <w:szCs w:val="22"/>
        </w:rPr>
        <w:t>in the dossier submitted by the s</w:t>
      </w:r>
      <w:r w:rsidRPr="0086493F">
        <w:rPr>
          <w:szCs w:val="22"/>
        </w:rPr>
        <w:t>ponsor to TGA for evaluation and approval. Some provisions for post-collection assessment have been m</w:t>
      </w:r>
      <w:r>
        <w:rPr>
          <w:szCs w:val="22"/>
        </w:rPr>
        <w:t>ade in product-specific orders.</w:t>
      </w:r>
    </w:p>
    <w:p w14:paraId="7DD8FE55" w14:textId="77777777" w:rsidR="000031F9" w:rsidRDefault="000031F9" w:rsidP="000031F9">
      <w:pPr>
        <w:rPr>
          <w:szCs w:val="22"/>
        </w:rPr>
      </w:pPr>
      <w:r w:rsidRPr="0086493F">
        <w:rPr>
          <w:szCs w:val="22"/>
        </w:rPr>
        <w:t xml:space="preserve">The term ‘trained assessor’, or ‘trained interviewer’, denotes a person who has undergone training in the specific assessment and consent procedures required by the manufacturer and who has a formal relationship with the manufacturer for this purpose. The requirement for a </w:t>
      </w:r>
      <w:r w:rsidRPr="0086493F">
        <w:rPr>
          <w:szCs w:val="22"/>
        </w:rPr>
        <w:lastRenderedPageBreak/>
        <w:t>trained assessor implies that the person undertaking the assessment has an adequate level of training and clinical skills appropriate to the particular assessment being undertaken, and fully understands the requirements for donor evaluation to determine suitability. The assessor need not be a staff member of the manufacturer as long as adequa</w:t>
      </w:r>
      <w:r>
        <w:rPr>
          <w:szCs w:val="22"/>
        </w:rPr>
        <w:t>te training has been confirmed.</w:t>
      </w:r>
    </w:p>
    <w:p w14:paraId="08A1FB11" w14:textId="77777777" w:rsidR="000031F9" w:rsidRDefault="000031F9" w:rsidP="000031F9">
      <w:pPr>
        <w:rPr>
          <w:szCs w:val="22"/>
        </w:rPr>
      </w:pPr>
      <w:r w:rsidRPr="0086493F">
        <w:rPr>
          <w:szCs w:val="22"/>
        </w:rPr>
        <w:t>In addition, there is no prescriptive description as to what entails ‘training’, but it is required that the manufacturer ensures that the person performing the assessment has an appropriate level of expertise and is familiar with the manufacturers requirements for donor acceptance. The process for training must be documented in the dossier.</w:t>
      </w:r>
    </w:p>
    <w:p w14:paraId="23D69901" w14:textId="01359646" w:rsidR="00106F00" w:rsidRDefault="00106F00" w:rsidP="00106F00">
      <w:pPr>
        <w:pStyle w:val="Heading3"/>
      </w:pPr>
      <w:bookmarkStart w:id="25" w:name="_Toc69823139"/>
      <w:r>
        <w:t>Schedule 1 – Ineligibility criteria for donor selection</w:t>
      </w:r>
      <w:bookmarkEnd w:id="22"/>
      <w:bookmarkEnd w:id="25"/>
    </w:p>
    <w:p w14:paraId="7AB88E9B" w14:textId="2E229BE5" w:rsidR="00106F00" w:rsidRDefault="00106F00" w:rsidP="00106F00">
      <w:r>
        <w:t>Schedule</w:t>
      </w:r>
      <w:r w:rsidR="00E45BB6">
        <w:t xml:space="preserve"> </w:t>
      </w:r>
      <w:r>
        <w:t>1 of TGO</w:t>
      </w:r>
      <w:r w:rsidR="00E45BB6">
        <w:t xml:space="preserve"> </w:t>
      </w:r>
      <w:r>
        <w:t>108 describes the medical and social history that must be collected, and the potential periods of ineligibility that must be applied to a proposed donor.</w:t>
      </w:r>
    </w:p>
    <w:p w14:paraId="1543C8F2" w14:textId="2BED94FD" w:rsidR="00106F00" w:rsidRDefault="00106F00" w:rsidP="00106F00">
      <w:r>
        <w:t xml:space="preserve">Ensure you familiarise yourself with </w:t>
      </w:r>
      <w:r w:rsidRPr="007C3851">
        <w:rPr>
          <w:b/>
        </w:rPr>
        <w:t>all items listed in schedule</w:t>
      </w:r>
      <w:r w:rsidR="00E45BB6">
        <w:rPr>
          <w:b/>
        </w:rPr>
        <w:t xml:space="preserve"> </w:t>
      </w:r>
      <w:r w:rsidRPr="007C3851">
        <w:rPr>
          <w:b/>
        </w:rPr>
        <w:t>1</w:t>
      </w:r>
      <w:r>
        <w:t xml:space="preserve"> and the associated requirements.</w:t>
      </w:r>
    </w:p>
    <w:p w14:paraId="5EC03F02" w14:textId="22E2F88A" w:rsidR="00A11132" w:rsidRPr="00A11132" w:rsidRDefault="00151820" w:rsidP="00A11132">
      <w:pPr>
        <w:pStyle w:val="Heading4"/>
      </w:pPr>
      <w:bookmarkStart w:id="26" w:name="_Toc50548934"/>
      <w:bookmarkStart w:id="27" w:name="_Toc69823140"/>
      <w:r>
        <w:t>Items 1 to 5</w:t>
      </w:r>
      <w:r w:rsidR="00545A1A">
        <w:t xml:space="preserve"> – </w:t>
      </w:r>
      <w:r w:rsidR="00A11132">
        <w:t>Known infection or potential exposure to</w:t>
      </w:r>
      <w:r w:rsidR="00545A1A">
        <w:t xml:space="preserve"> certain viruses</w:t>
      </w:r>
      <w:bookmarkEnd w:id="26"/>
      <w:bookmarkEnd w:id="27"/>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A11132" w:rsidRPr="00C563D1" w14:paraId="468A78E8" w14:textId="77777777" w:rsidTr="00FD2F97">
        <w:trPr>
          <w:trHeight w:val="391"/>
        </w:trPr>
        <w:tc>
          <w:tcPr>
            <w:tcW w:w="25" w:type="dxa"/>
            <w:vAlign w:val="center"/>
          </w:tcPr>
          <w:p w14:paraId="103E08F8" w14:textId="77777777" w:rsidR="00A11132" w:rsidRPr="00C563D1" w:rsidRDefault="00A11132" w:rsidP="00FD2F97"/>
        </w:tc>
        <w:tc>
          <w:tcPr>
            <w:tcW w:w="679" w:type="dxa"/>
            <w:shd w:val="clear" w:color="auto" w:fill="EAEAEA"/>
          </w:tcPr>
          <w:p w14:paraId="36EAD262" w14:textId="77777777" w:rsidR="00A11132" w:rsidRPr="00C563D1" w:rsidRDefault="00A11132" w:rsidP="00FD2F97">
            <w:pPr>
              <w:jc w:val="center"/>
              <w:rPr>
                <w:b/>
              </w:rPr>
            </w:pPr>
            <w:r w:rsidRPr="00C563D1">
              <w:rPr>
                <w:b/>
              </w:rPr>
              <w:t>Item</w:t>
            </w:r>
          </w:p>
          <w:p w14:paraId="6995CD98" w14:textId="77777777" w:rsidR="00A11132" w:rsidRPr="00C563D1" w:rsidRDefault="00A11132" w:rsidP="00FD2F97">
            <w:pPr>
              <w:jc w:val="center"/>
            </w:pPr>
            <w:r w:rsidRPr="00C563D1">
              <w:t>1</w:t>
            </w:r>
          </w:p>
        </w:tc>
        <w:tc>
          <w:tcPr>
            <w:tcW w:w="4536" w:type="dxa"/>
            <w:shd w:val="clear" w:color="auto" w:fill="EAEAEA"/>
            <w:tcMar>
              <w:top w:w="170" w:type="dxa"/>
              <w:left w:w="170" w:type="dxa"/>
              <w:bottom w:w="170" w:type="dxa"/>
              <w:right w:w="170" w:type="dxa"/>
            </w:tcMar>
          </w:tcPr>
          <w:p w14:paraId="32FD31D0" w14:textId="77777777" w:rsidR="00A11132" w:rsidRPr="00C563D1" w:rsidRDefault="00A11132" w:rsidP="00FD2F97">
            <w:pPr>
              <w:rPr>
                <w:b/>
              </w:rPr>
            </w:pPr>
            <w:r w:rsidRPr="00C563D1">
              <w:rPr>
                <w:b/>
              </w:rPr>
              <w:t>Medical and social history criteria</w:t>
            </w:r>
          </w:p>
          <w:p w14:paraId="366CBA20" w14:textId="77777777" w:rsidR="00A11132" w:rsidRPr="00C563D1" w:rsidRDefault="00A11132" w:rsidP="00FD2F97">
            <w:pPr>
              <w:spacing w:line="240" w:lineRule="auto"/>
            </w:pPr>
            <w:r w:rsidRPr="00C563D1">
              <w:t>a person who is infected with:</w:t>
            </w:r>
          </w:p>
          <w:p w14:paraId="042D34FF" w14:textId="17171613" w:rsidR="00A11132" w:rsidRPr="00C563D1" w:rsidRDefault="00A11132" w:rsidP="00FD2F97">
            <w:pPr>
              <w:spacing w:line="240" w:lineRule="auto"/>
            </w:pPr>
            <w:r w:rsidRPr="00C563D1">
              <w:t xml:space="preserve">(a) </w:t>
            </w:r>
            <w:r>
              <w:t>HCV</w:t>
            </w:r>
            <w:r w:rsidRPr="00C563D1">
              <w:t>;</w:t>
            </w:r>
          </w:p>
          <w:p w14:paraId="5556C62B" w14:textId="6363DCC8" w:rsidR="00A11132" w:rsidRPr="00C563D1" w:rsidRDefault="00A11132" w:rsidP="00FD2F97">
            <w:pPr>
              <w:spacing w:line="240" w:lineRule="auto"/>
            </w:pPr>
            <w:r w:rsidRPr="00C563D1">
              <w:t xml:space="preserve">(b) </w:t>
            </w:r>
            <w:r>
              <w:t>HIV-1</w:t>
            </w:r>
            <w:r w:rsidRPr="00C563D1">
              <w:t>;</w:t>
            </w:r>
            <w:r>
              <w:t xml:space="preserve"> or</w:t>
            </w:r>
          </w:p>
          <w:p w14:paraId="3233B4C0" w14:textId="229FE3DE" w:rsidR="00A11132" w:rsidRPr="00C563D1" w:rsidRDefault="00A11132" w:rsidP="00FD2F97">
            <w:pPr>
              <w:spacing w:line="240" w:lineRule="auto"/>
            </w:pPr>
            <w:r w:rsidRPr="00C563D1">
              <w:t xml:space="preserve">(c) </w:t>
            </w:r>
            <w:r>
              <w:t>HIV-2</w:t>
            </w:r>
          </w:p>
        </w:tc>
        <w:tc>
          <w:tcPr>
            <w:tcW w:w="3827" w:type="dxa"/>
            <w:shd w:val="clear" w:color="auto" w:fill="EAEAEA"/>
          </w:tcPr>
          <w:p w14:paraId="04A9F222" w14:textId="77777777" w:rsidR="00A11132" w:rsidRPr="00C563D1" w:rsidRDefault="00A11132" w:rsidP="00FD2F97">
            <w:pPr>
              <w:rPr>
                <w:b/>
              </w:rPr>
            </w:pPr>
            <w:r w:rsidRPr="00C563D1">
              <w:rPr>
                <w:b/>
              </w:rPr>
              <w:t>Period of ineligibility</w:t>
            </w:r>
          </w:p>
          <w:p w14:paraId="06BAC7AA" w14:textId="77777777" w:rsidR="00A11132" w:rsidRPr="00C563D1" w:rsidRDefault="00A11132" w:rsidP="00FD2F97">
            <w:r w:rsidRPr="00C563D1">
              <w:t>permanently ineligible</w:t>
            </w:r>
          </w:p>
        </w:tc>
      </w:tr>
      <w:tr w:rsidR="00A11132" w:rsidRPr="00C563D1" w14:paraId="5ECF46C8" w14:textId="77777777" w:rsidTr="00151820">
        <w:trPr>
          <w:trHeight w:val="391"/>
        </w:trPr>
        <w:tc>
          <w:tcPr>
            <w:tcW w:w="25" w:type="dxa"/>
            <w:vAlign w:val="center"/>
          </w:tcPr>
          <w:p w14:paraId="494D464E" w14:textId="77777777" w:rsidR="00A11132" w:rsidRPr="00C563D1" w:rsidRDefault="00A11132" w:rsidP="00FD2F97"/>
        </w:tc>
        <w:tc>
          <w:tcPr>
            <w:tcW w:w="679" w:type="dxa"/>
            <w:tcBorders>
              <w:bottom w:val="nil"/>
            </w:tcBorders>
            <w:shd w:val="clear" w:color="auto" w:fill="EAEAEA"/>
          </w:tcPr>
          <w:p w14:paraId="348EF900" w14:textId="77777777" w:rsidR="00A11132" w:rsidRPr="00C563D1" w:rsidRDefault="00A11132" w:rsidP="00FD2F97">
            <w:pPr>
              <w:jc w:val="center"/>
              <w:rPr>
                <w:b/>
              </w:rPr>
            </w:pPr>
            <w:r w:rsidRPr="00C563D1">
              <w:rPr>
                <w:b/>
              </w:rPr>
              <w:t>Item</w:t>
            </w:r>
          </w:p>
          <w:p w14:paraId="6BF34698" w14:textId="77777777" w:rsidR="00A11132" w:rsidRPr="00C563D1" w:rsidRDefault="00A11132" w:rsidP="00FD2F97">
            <w:pPr>
              <w:jc w:val="center"/>
            </w:pPr>
            <w:r w:rsidRPr="00C563D1">
              <w:t>2</w:t>
            </w:r>
          </w:p>
        </w:tc>
        <w:tc>
          <w:tcPr>
            <w:tcW w:w="4536" w:type="dxa"/>
            <w:tcBorders>
              <w:bottom w:val="nil"/>
            </w:tcBorders>
            <w:shd w:val="clear" w:color="auto" w:fill="EAEAEA"/>
            <w:tcMar>
              <w:top w:w="170" w:type="dxa"/>
              <w:left w:w="170" w:type="dxa"/>
              <w:bottom w:w="170" w:type="dxa"/>
              <w:right w:w="170" w:type="dxa"/>
            </w:tcMar>
          </w:tcPr>
          <w:p w14:paraId="6EE82E00" w14:textId="77777777" w:rsidR="00A11132" w:rsidRPr="00C563D1" w:rsidRDefault="00A11132" w:rsidP="00FD2F97">
            <w:pPr>
              <w:rPr>
                <w:b/>
              </w:rPr>
            </w:pPr>
            <w:r w:rsidRPr="00C563D1">
              <w:rPr>
                <w:b/>
              </w:rPr>
              <w:t>Medical and social history criteria</w:t>
            </w:r>
          </w:p>
          <w:p w14:paraId="5C39AEB5" w14:textId="77777777" w:rsidR="00A11132" w:rsidRPr="00C563D1" w:rsidRDefault="00A11132" w:rsidP="00FD2F97">
            <w:pPr>
              <w:spacing w:line="240" w:lineRule="auto"/>
            </w:pPr>
            <w:r w:rsidRPr="00C563D1">
              <w:t>a person who is infected with:</w:t>
            </w:r>
          </w:p>
          <w:p w14:paraId="2BF04792" w14:textId="0352D98F" w:rsidR="00A11132" w:rsidRPr="00C563D1" w:rsidRDefault="00A11132" w:rsidP="00FD2F97">
            <w:pPr>
              <w:spacing w:line="240" w:lineRule="auto"/>
            </w:pPr>
            <w:r w:rsidRPr="00C563D1">
              <w:t xml:space="preserve">(a) </w:t>
            </w:r>
            <w:r>
              <w:t>HTLV-1; or</w:t>
            </w:r>
          </w:p>
          <w:p w14:paraId="7AF9803A" w14:textId="04F488BD" w:rsidR="00A11132" w:rsidRPr="00C563D1" w:rsidRDefault="00A11132" w:rsidP="00FD2F97">
            <w:pPr>
              <w:spacing w:line="240" w:lineRule="auto"/>
            </w:pPr>
            <w:r>
              <w:t>(b) HTLV-2</w:t>
            </w:r>
          </w:p>
        </w:tc>
        <w:tc>
          <w:tcPr>
            <w:tcW w:w="3827" w:type="dxa"/>
            <w:tcBorders>
              <w:bottom w:val="nil"/>
            </w:tcBorders>
            <w:shd w:val="clear" w:color="auto" w:fill="EAEAEA"/>
          </w:tcPr>
          <w:p w14:paraId="50B92A74" w14:textId="77777777" w:rsidR="00A11132" w:rsidRPr="00C563D1" w:rsidRDefault="00A11132" w:rsidP="00FD2F97">
            <w:pPr>
              <w:rPr>
                <w:b/>
              </w:rPr>
            </w:pPr>
            <w:r w:rsidRPr="00C563D1">
              <w:rPr>
                <w:b/>
              </w:rPr>
              <w:t>Period of ineligibility</w:t>
            </w:r>
          </w:p>
          <w:p w14:paraId="6A9E87DE" w14:textId="19D1117A" w:rsidR="00A11132" w:rsidRPr="00C563D1" w:rsidRDefault="00A11132" w:rsidP="00FD2F97">
            <w:r w:rsidRPr="00C563D1">
              <w:t>permanently ineligible</w:t>
            </w:r>
          </w:p>
        </w:tc>
      </w:tr>
      <w:tr w:rsidR="00A11132" w:rsidRPr="00C563D1" w14:paraId="3D2EE189" w14:textId="77777777" w:rsidTr="00151820">
        <w:trPr>
          <w:trHeight w:val="391"/>
        </w:trPr>
        <w:tc>
          <w:tcPr>
            <w:tcW w:w="25" w:type="dxa"/>
            <w:tcBorders>
              <w:left w:val="single" w:sz="4" w:space="0" w:color="auto"/>
              <w:bottom w:val="single" w:sz="4" w:space="0" w:color="auto"/>
            </w:tcBorders>
            <w:vAlign w:val="center"/>
          </w:tcPr>
          <w:p w14:paraId="2D7C6C36" w14:textId="77777777" w:rsidR="00A11132" w:rsidRPr="00C563D1" w:rsidRDefault="00A11132" w:rsidP="00FD2F97"/>
        </w:tc>
        <w:tc>
          <w:tcPr>
            <w:tcW w:w="679" w:type="dxa"/>
            <w:tcBorders>
              <w:top w:val="nil"/>
              <w:bottom w:val="nil"/>
            </w:tcBorders>
            <w:shd w:val="clear" w:color="auto" w:fill="EAEAEA"/>
          </w:tcPr>
          <w:p w14:paraId="19500D64" w14:textId="77777777" w:rsidR="00A11132" w:rsidRPr="00C563D1" w:rsidRDefault="00A11132" w:rsidP="00FD2F97">
            <w:pPr>
              <w:jc w:val="center"/>
              <w:rPr>
                <w:b/>
              </w:rPr>
            </w:pPr>
            <w:r w:rsidRPr="00C563D1">
              <w:rPr>
                <w:b/>
              </w:rPr>
              <w:t>Item</w:t>
            </w:r>
          </w:p>
          <w:p w14:paraId="2F1E6A87" w14:textId="63FBCBC6" w:rsidR="00A11132" w:rsidRPr="00A11132" w:rsidRDefault="00A11132" w:rsidP="00FD2F97">
            <w:pPr>
              <w:jc w:val="center"/>
            </w:pPr>
            <w:r>
              <w:t>3</w:t>
            </w:r>
          </w:p>
        </w:tc>
        <w:tc>
          <w:tcPr>
            <w:tcW w:w="4536" w:type="dxa"/>
            <w:tcBorders>
              <w:top w:val="nil"/>
              <w:bottom w:val="nil"/>
            </w:tcBorders>
            <w:shd w:val="clear" w:color="auto" w:fill="EAEAEA"/>
            <w:tcMar>
              <w:top w:w="170" w:type="dxa"/>
              <w:left w:w="170" w:type="dxa"/>
              <w:bottom w:w="170" w:type="dxa"/>
              <w:right w:w="170" w:type="dxa"/>
            </w:tcMar>
          </w:tcPr>
          <w:p w14:paraId="3CE99589" w14:textId="77777777" w:rsidR="00A11132" w:rsidRPr="00C563D1" w:rsidRDefault="00A11132" w:rsidP="00FD2F97">
            <w:pPr>
              <w:rPr>
                <w:b/>
              </w:rPr>
            </w:pPr>
            <w:r w:rsidRPr="00C563D1">
              <w:rPr>
                <w:b/>
              </w:rPr>
              <w:t>Medical and social history criteria</w:t>
            </w:r>
          </w:p>
          <w:p w14:paraId="681A7019" w14:textId="0E3FD701" w:rsidR="00A11132" w:rsidRPr="00A11132" w:rsidRDefault="00A11132" w:rsidP="00A11132">
            <w:r w:rsidRPr="000A29B3">
              <w:t>a person who has potentially been exposed to</w:t>
            </w:r>
            <w:r w:rsidRPr="00A11132">
              <w:t>:</w:t>
            </w:r>
          </w:p>
          <w:p w14:paraId="594B6C49" w14:textId="256AB45E" w:rsidR="00A11132" w:rsidRPr="00A11132" w:rsidRDefault="00A11132" w:rsidP="00A11132">
            <w:r w:rsidRPr="00A11132">
              <w:t xml:space="preserve">(a) </w:t>
            </w:r>
            <w:r>
              <w:t>HCV;</w:t>
            </w:r>
          </w:p>
          <w:p w14:paraId="3A13905D" w14:textId="77777777" w:rsidR="00A11132" w:rsidRDefault="00A11132" w:rsidP="00A11132">
            <w:r w:rsidRPr="00A11132">
              <w:t>(b) H</w:t>
            </w:r>
            <w:r>
              <w:t>IV-1; or</w:t>
            </w:r>
          </w:p>
          <w:p w14:paraId="3D861A5D" w14:textId="4E3026E8" w:rsidR="00A11132" w:rsidRPr="00A11132" w:rsidRDefault="00A11132" w:rsidP="00A11132">
            <w:pPr>
              <w:rPr>
                <w:b/>
              </w:rPr>
            </w:pPr>
            <w:r>
              <w:t>(c) HIV-2</w:t>
            </w:r>
          </w:p>
        </w:tc>
        <w:tc>
          <w:tcPr>
            <w:tcW w:w="3827" w:type="dxa"/>
            <w:tcBorders>
              <w:top w:val="nil"/>
              <w:bottom w:val="nil"/>
              <w:right w:val="single" w:sz="4" w:space="0" w:color="auto"/>
            </w:tcBorders>
            <w:shd w:val="clear" w:color="auto" w:fill="EAEAEA"/>
          </w:tcPr>
          <w:p w14:paraId="5CAE4690" w14:textId="77777777" w:rsidR="00A11132" w:rsidRPr="00C563D1" w:rsidRDefault="00A11132" w:rsidP="00FD2F97">
            <w:pPr>
              <w:rPr>
                <w:b/>
              </w:rPr>
            </w:pPr>
            <w:r w:rsidRPr="00C563D1">
              <w:rPr>
                <w:b/>
              </w:rPr>
              <w:t>Period of ineligibility</w:t>
            </w:r>
          </w:p>
          <w:p w14:paraId="24D5E7EB" w14:textId="2BEFAA2F" w:rsidR="00A11132" w:rsidRPr="00A11132" w:rsidRDefault="00A11132" w:rsidP="00FD2F97">
            <w:r w:rsidRPr="000A29B3">
              <w:t>ineligible until it has been demonstrated that the person is not infected</w:t>
            </w:r>
          </w:p>
        </w:tc>
      </w:tr>
      <w:tr w:rsidR="00A11132" w:rsidRPr="00C563D1" w14:paraId="6546C876" w14:textId="77777777" w:rsidTr="00151820">
        <w:trPr>
          <w:trHeight w:val="391"/>
        </w:trPr>
        <w:tc>
          <w:tcPr>
            <w:tcW w:w="25" w:type="dxa"/>
            <w:tcBorders>
              <w:left w:val="single" w:sz="4" w:space="0" w:color="auto"/>
              <w:bottom w:val="single" w:sz="4" w:space="0" w:color="auto"/>
            </w:tcBorders>
            <w:vAlign w:val="center"/>
          </w:tcPr>
          <w:p w14:paraId="1E67C29E" w14:textId="77777777" w:rsidR="00A11132" w:rsidRPr="00C563D1" w:rsidRDefault="00A11132" w:rsidP="00FD2F97"/>
        </w:tc>
        <w:tc>
          <w:tcPr>
            <w:tcW w:w="679" w:type="dxa"/>
            <w:tcBorders>
              <w:top w:val="nil"/>
              <w:bottom w:val="nil"/>
            </w:tcBorders>
            <w:shd w:val="clear" w:color="auto" w:fill="EAEAEA"/>
          </w:tcPr>
          <w:p w14:paraId="0DA1E598" w14:textId="77777777" w:rsidR="00A11132" w:rsidRPr="00C563D1" w:rsidRDefault="00A11132" w:rsidP="00FD2F97">
            <w:pPr>
              <w:jc w:val="center"/>
              <w:rPr>
                <w:b/>
              </w:rPr>
            </w:pPr>
            <w:r w:rsidRPr="00C563D1">
              <w:rPr>
                <w:b/>
              </w:rPr>
              <w:t>Item</w:t>
            </w:r>
          </w:p>
          <w:p w14:paraId="16F1A28E" w14:textId="55D7ECA5" w:rsidR="00A11132" w:rsidRPr="00A11132" w:rsidRDefault="00A11132" w:rsidP="00FD2F97">
            <w:pPr>
              <w:jc w:val="center"/>
            </w:pPr>
            <w:r>
              <w:lastRenderedPageBreak/>
              <w:t>4</w:t>
            </w:r>
          </w:p>
        </w:tc>
        <w:tc>
          <w:tcPr>
            <w:tcW w:w="4536" w:type="dxa"/>
            <w:tcBorders>
              <w:top w:val="nil"/>
              <w:bottom w:val="nil"/>
            </w:tcBorders>
            <w:shd w:val="clear" w:color="auto" w:fill="EAEAEA"/>
            <w:tcMar>
              <w:top w:w="170" w:type="dxa"/>
              <w:left w:w="170" w:type="dxa"/>
              <w:bottom w:w="170" w:type="dxa"/>
              <w:right w:w="170" w:type="dxa"/>
            </w:tcMar>
          </w:tcPr>
          <w:p w14:paraId="4EF5ED1D" w14:textId="77777777" w:rsidR="00A11132" w:rsidRPr="00C563D1" w:rsidRDefault="00A11132" w:rsidP="00FD2F97">
            <w:pPr>
              <w:rPr>
                <w:b/>
              </w:rPr>
            </w:pPr>
            <w:r w:rsidRPr="00C563D1">
              <w:rPr>
                <w:b/>
              </w:rPr>
              <w:lastRenderedPageBreak/>
              <w:t>Medical and social history criteria</w:t>
            </w:r>
          </w:p>
          <w:p w14:paraId="4B964EF8" w14:textId="20F105EC" w:rsidR="00A11132" w:rsidRPr="00A11132" w:rsidRDefault="00A11132" w:rsidP="00FD2F97">
            <w:r>
              <w:lastRenderedPageBreak/>
              <w:t>a person who has potentially been exposed to</w:t>
            </w:r>
            <w:r w:rsidRPr="00A11132">
              <w:t>:</w:t>
            </w:r>
          </w:p>
          <w:p w14:paraId="60606D56" w14:textId="77777777" w:rsidR="00A11132" w:rsidRPr="00A11132" w:rsidRDefault="00A11132" w:rsidP="00FD2F97">
            <w:r w:rsidRPr="00A11132">
              <w:t>(a) HTLV-1; or</w:t>
            </w:r>
          </w:p>
          <w:p w14:paraId="6E4F7600" w14:textId="77777777" w:rsidR="00A11132" w:rsidRPr="00A11132" w:rsidRDefault="00A11132" w:rsidP="00FD2F97">
            <w:pPr>
              <w:rPr>
                <w:b/>
              </w:rPr>
            </w:pPr>
            <w:r w:rsidRPr="00A11132">
              <w:t>(b) HTLV-2</w:t>
            </w:r>
          </w:p>
        </w:tc>
        <w:tc>
          <w:tcPr>
            <w:tcW w:w="3827" w:type="dxa"/>
            <w:tcBorders>
              <w:top w:val="nil"/>
              <w:bottom w:val="nil"/>
              <w:right w:val="single" w:sz="4" w:space="0" w:color="auto"/>
            </w:tcBorders>
            <w:shd w:val="clear" w:color="auto" w:fill="EAEAEA"/>
          </w:tcPr>
          <w:p w14:paraId="796EBE34" w14:textId="77777777" w:rsidR="00A11132" w:rsidRPr="00C563D1" w:rsidRDefault="00A11132" w:rsidP="00FD2F97">
            <w:pPr>
              <w:rPr>
                <w:b/>
              </w:rPr>
            </w:pPr>
            <w:r w:rsidRPr="00C563D1">
              <w:rPr>
                <w:b/>
              </w:rPr>
              <w:lastRenderedPageBreak/>
              <w:t>Period of ineligibility</w:t>
            </w:r>
          </w:p>
          <w:p w14:paraId="2883D9C9" w14:textId="5FC0A035" w:rsidR="00A11132" w:rsidRPr="00A11132" w:rsidRDefault="00A11132" w:rsidP="00FD2F97">
            <w:r w:rsidRPr="000A29B3">
              <w:lastRenderedPageBreak/>
              <w:t>ineligible until it has been demonstrated that the person is not infected</w:t>
            </w:r>
          </w:p>
        </w:tc>
      </w:tr>
      <w:tr w:rsidR="00A11132" w:rsidRPr="00C563D1" w14:paraId="6EF4386E" w14:textId="77777777" w:rsidTr="00A11132">
        <w:trPr>
          <w:trHeight w:val="391"/>
        </w:trPr>
        <w:tc>
          <w:tcPr>
            <w:tcW w:w="25" w:type="dxa"/>
            <w:vAlign w:val="center"/>
          </w:tcPr>
          <w:p w14:paraId="35C62E7F" w14:textId="77777777" w:rsidR="00A11132" w:rsidRPr="00C563D1" w:rsidRDefault="00A11132" w:rsidP="00FD2F97"/>
        </w:tc>
        <w:tc>
          <w:tcPr>
            <w:tcW w:w="679" w:type="dxa"/>
            <w:tcBorders>
              <w:top w:val="nil"/>
              <w:bottom w:val="single" w:sz="4" w:space="0" w:color="auto"/>
            </w:tcBorders>
            <w:shd w:val="clear" w:color="auto" w:fill="EAEAEA"/>
          </w:tcPr>
          <w:p w14:paraId="0EF29E7F" w14:textId="77777777" w:rsidR="00A11132" w:rsidRPr="00C563D1" w:rsidRDefault="00A11132" w:rsidP="00FD2F97">
            <w:pPr>
              <w:jc w:val="center"/>
              <w:rPr>
                <w:b/>
              </w:rPr>
            </w:pPr>
            <w:r w:rsidRPr="00C563D1">
              <w:rPr>
                <w:b/>
              </w:rPr>
              <w:t>Item</w:t>
            </w:r>
          </w:p>
          <w:p w14:paraId="0CB7383F" w14:textId="25693DAD" w:rsidR="00A11132" w:rsidRPr="00C563D1" w:rsidRDefault="00A11132" w:rsidP="00FD2F97">
            <w:pPr>
              <w:jc w:val="center"/>
            </w:pPr>
            <w:r>
              <w:t>5</w:t>
            </w:r>
          </w:p>
        </w:tc>
        <w:tc>
          <w:tcPr>
            <w:tcW w:w="4536" w:type="dxa"/>
            <w:tcBorders>
              <w:top w:val="nil"/>
              <w:bottom w:val="single" w:sz="4" w:space="0" w:color="auto"/>
            </w:tcBorders>
            <w:shd w:val="clear" w:color="auto" w:fill="EAEAEA"/>
            <w:tcMar>
              <w:top w:w="170" w:type="dxa"/>
              <w:left w:w="170" w:type="dxa"/>
              <w:bottom w:w="170" w:type="dxa"/>
              <w:right w:w="170" w:type="dxa"/>
            </w:tcMar>
          </w:tcPr>
          <w:p w14:paraId="6BF56EA6" w14:textId="77777777" w:rsidR="00A11132" w:rsidRPr="00C563D1" w:rsidRDefault="00A11132" w:rsidP="00FD2F97">
            <w:pPr>
              <w:rPr>
                <w:b/>
              </w:rPr>
            </w:pPr>
            <w:r w:rsidRPr="00C563D1">
              <w:rPr>
                <w:b/>
              </w:rPr>
              <w:t>Medical and social history criteria</w:t>
            </w:r>
          </w:p>
          <w:p w14:paraId="3C3DDC2E" w14:textId="241E2376" w:rsidR="00A11132" w:rsidRPr="00C563D1" w:rsidRDefault="00A11132" w:rsidP="00FD2F97">
            <w:pPr>
              <w:spacing w:line="240" w:lineRule="auto"/>
            </w:pPr>
            <w:r w:rsidRPr="000A29B3">
              <w:t>a person who</w:t>
            </w:r>
            <w:r>
              <w:t xml:space="preserve"> has potentially been exposed to HBV</w:t>
            </w:r>
          </w:p>
        </w:tc>
        <w:tc>
          <w:tcPr>
            <w:tcW w:w="3827" w:type="dxa"/>
            <w:tcBorders>
              <w:top w:val="nil"/>
              <w:bottom w:val="single" w:sz="4" w:space="0" w:color="auto"/>
            </w:tcBorders>
            <w:shd w:val="clear" w:color="auto" w:fill="EAEAEA"/>
          </w:tcPr>
          <w:p w14:paraId="2C34B6FD" w14:textId="77777777" w:rsidR="00A11132" w:rsidRPr="00C563D1" w:rsidRDefault="00A11132" w:rsidP="00FD2F97">
            <w:pPr>
              <w:rPr>
                <w:b/>
              </w:rPr>
            </w:pPr>
            <w:r w:rsidRPr="00C563D1">
              <w:rPr>
                <w:b/>
              </w:rPr>
              <w:t>Period of ineligibility</w:t>
            </w:r>
          </w:p>
          <w:p w14:paraId="3B9940D9" w14:textId="77777777" w:rsidR="00A11132" w:rsidRDefault="00A11132" w:rsidP="00FD2F97">
            <w:r w:rsidRPr="000A29B3">
              <w:t>ineligible</w:t>
            </w:r>
            <w:r>
              <w:t xml:space="preserve"> until it has been demonstrated that the person is:</w:t>
            </w:r>
          </w:p>
          <w:p w14:paraId="7731D1BF" w14:textId="77777777" w:rsidR="00A11132" w:rsidRDefault="00A11132" w:rsidP="00FD2F97">
            <w:r>
              <w:t>(a) immune from HBV infection; or</w:t>
            </w:r>
          </w:p>
          <w:p w14:paraId="7D5CDF6C" w14:textId="25BB1DB5" w:rsidR="00A11132" w:rsidRPr="00C563D1" w:rsidRDefault="00A11132" w:rsidP="00FD2F97">
            <w:r>
              <w:t xml:space="preserve">(b) </w:t>
            </w:r>
            <w:r w:rsidRPr="00D024FE">
              <w:t>not infected with H</w:t>
            </w:r>
            <w:r>
              <w:t>BV, as confirmed by NAT</w:t>
            </w:r>
          </w:p>
        </w:tc>
      </w:tr>
    </w:tbl>
    <w:p w14:paraId="6F44A624" w14:textId="77777777" w:rsidR="00545A1A" w:rsidRDefault="00545A1A" w:rsidP="00545A1A">
      <w:pPr>
        <w:rPr>
          <w:rFonts w:asciiTheme="minorHAnsi" w:hAnsiTheme="minorHAnsi"/>
          <w:szCs w:val="22"/>
        </w:rPr>
      </w:pPr>
      <w:r w:rsidRPr="00EB3909">
        <w:rPr>
          <w:rFonts w:asciiTheme="minorHAnsi" w:hAnsiTheme="minorHAnsi"/>
          <w:szCs w:val="22"/>
        </w:rPr>
        <w:t xml:space="preserve">The ability to allow donors to </w:t>
      </w:r>
      <w:r>
        <w:rPr>
          <w:rFonts w:asciiTheme="minorHAnsi" w:hAnsiTheme="minorHAnsi"/>
          <w:szCs w:val="22"/>
        </w:rPr>
        <w:t>be accepted</w:t>
      </w:r>
      <w:r w:rsidRPr="00EB3909">
        <w:rPr>
          <w:rFonts w:asciiTheme="minorHAnsi" w:hAnsiTheme="minorHAnsi"/>
          <w:szCs w:val="22"/>
        </w:rPr>
        <w:t xml:space="preserve"> after a period of ineligibility is dependent on an uninfected state of the donor</w:t>
      </w:r>
      <w:r>
        <w:rPr>
          <w:rFonts w:asciiTheme="minorHAnsi" w:hAnsiTheme="minorHAnsi"/>
          <w:szCs w:val="22"/>
        </w:rPr>
        <w:t xml:space="preserve"> being demonstrated.</w:t>
      </w:r>
    </w:p>
    <w:p w14:paraId="53AD54B8" w14:textId="5529DD8B" w:rsidR="00A11132" w:rsidRDefault="00A11132" w:rsidP="00A11132">
      <w:r w:rsidRPr="00EB3909">
        <w:t xml:space="preserve">For </w:t>
      </w:r>
      <w:r w:rsidRPr="00FE4CF2">
        <w:t>HCV</w:t>
      </w:r>
      <w:r w:rsidRPr="00EB3909">
        <w:t xml:space="preserve">, </w:t>
      </w:r>
      <w:r>
        <w:t xml:space="preserve">an uninfected state can be established if </w:t>
      </w:r>
      <w:r w:rsidRPr="00EB3909">
        <w:t>an individual had undergone successful anti-viral treatment</w:t>
      </w:r>
      <w:r>
        <w:t>, and the individual has been</w:t>
      </w:r>
      <w:r w:rsidRPr="00EB3909">
        <w:t xml:space="preserve"> shown to be </w:t>
      </w:r>
      <w:r>
        <w:t xml:space="preserve">HCV </w:t>
      </w:r>
      <w:r w:rsidRPr="00EB3909">
        <w:t xml:space="preserve">negative by </w:t>
      </w:r>
      <w:r>
        <w:t>polymerase chain reaction (</w:t>
      </w:r>
      <w:r w:rsidRPr="00EB3909">
        <w:t>PCR</w:t>
      </w:r>
      <w:r>
        <w:t>) over a period of time</w:t>
      </w:r>
      <w:r w:rsidRPr="00EB3909">
        <w:t>.</w:t>
      </w:r>
    </w:p>
    <w:p w14:paraId="722F617D" w14:textId="0D6A8157" w:rsidR="00813F00" w:rsidRPr="00EB3909" w:rsidRDefault="00545A1A" w:rsidP="00813F00">
      <w:pPr>
        <w:rPr>
          <w:rFonts w:asciiTheme="minorHAnsi" w:hAnsiTheme="minorHAnsi"/>
          <w:szCs w:val="22"/>
        </w:rPr>
      </w:pPr>
      <w:r w:rsidRPr="00FE4CF2">
        <w:t>For HBV</w:t>
      </w:r>
      <w:r w:rsidRPr="00C92456">
        <w:t>, i</w:t>
      </w:r>
      <w:r>
        <w:t>f a patient previously infected with HBV is Hepatitis B surface antibody positive (with or without core antibody positivity), but negative for both Hepatitis B surface antigen and HBV DNA, then they may be re-eligible to donate.</w:t>
      </w:r>
      <w:r w:rsidR="00B5630D">
        <w:t xml:space="preserve"> </w:t>
      </w:r>
      <w:r w:rsidR="00813F00" w:rsidRPr="00EB3909">
        <w:rPr>
          <w:rFonts w:asciiTheme="minorHAnsi" w:hAnsiTheme="minorHAnsi"/>
          <w:szCs w:val="22"/>
        </w:rPr>
        <w:t xml:space="preserve">Demonstration of </w:t>
      </w:r>
      <w:r w:rsidR="00813F00">
        <w:rPr>
          <w:rFonts w:asciiTheme="minorHAnsi" w:hAnsiTheme="minorHAnsi"/>
          <w:szCs w:val="22"/>
        </w:rPr>
        <w:t xml:space="preserve">exposure versus </w:t>
      </w:r>
      <w:r w:rsidR="00813F00" w:rsidRPr="00EB3909">
        <w:rPr>
          <w:rFonts w:asciiTheme="minorHAnsi" w:hAnsiTheme="minorHAnsi"/>
          <w:szCs w:val="22"/>
        </w:rPr>
        <w:t xml:space="preserve">immunity to HBV </w:t>
      </w:r>
      <w:r w:rsidR="00813F00">
        <w:rPr>
          <w:rFonts w:asciiTheme="minorHAnsi" w:hAnsiTheme="minorHAnsi"/>
          <w:szCs w:val="22"/>
        </w:rPr>
        <w:t>must be</w:t>
      </w:r>
      <w:r w:rsidR="00813F00" w:rsidRPr="00EB3909">
        <w:rPr>
          <w:rFonts w:asciiTheme="minorHAnsi" w:hAnsiTheme="minorHAnsi"/>
          <w:szCs w:val="22"/>
        </w:rPr>
        <w:t xml:space="preserve"> determined by a testing algorithm that is informed from evidence in scientific liter</w:t>
      </w:r>
      <w:r w:rsidR="00813F00">
        <w:rPr>
          <w:rFonts w:asciiTheme="minorHAnsi" w:hAnsiTheme="minorHAnsi"/>
          <w:szCs w:val="22"/>
        </w:rPr>
        <w:t>ature or other reliable sources, as above.</w:t>
      </w:r>
      <w:r w:rsidR="00B5630D">
        <w:rPr>
          <w:rFonts w:asciiTheme="minorHAnsi" w:hAnsiTheme="minorHAnsi"/>
          <w:szCs w:val="22"/>
        </w:rPr>
        <w:t xml:space="preserve"> </w:t>
      </w:r>
      <w:r w:rsidR="00813F00">
        <w:rPr>
          <w:rFonts w:asciiTheme="minorHAnsi" w:hAnsiTheme="minorHAnsi"/>
          <w:szCs w:val="22"/>
        </w:rPr>
        <w:t>For example, d</w:t>
      </w:r>
      <w:r w:rsidR="00813F00" w:rsidRPr="00EB3909">
        <w:rPr>
          <w:rFonts w:asciiTheme="minorHAnsi" w:hAnsiTheme="minorHAnsi"/>
          <w:szCs w:val="22"/>
        </w:rPr>
        <w:t>onors suspected of being infected with HBV who are HBsAg negative are considered</w:t>
      </w:r>
      <w:r w:rsidR="00813F00">
        <w:rPr>
          <w:rFonts w:asciiTheme="minorHAnsi" w:hAnsiTheme="minorHAnsi"/>
          <w:szCs w:val="22"/>
        </w:rPr>
        <w:t xml:space="preserve"> </w:t>
      </w:r>
      <w:r w:rsidR="00813F00" w:rsidRPr="00EB3909">
        <w:rPr>
          <w:rFonts w:asciiTheme="minorHAnsi" w:hAnsiTheme="minorHAnsi"/>
          <w:szCs w:val="22"/>
        </w:rPr>
        <w:t xml:space="preserve">‘immune’ if both of the following </w:t>
      </w:r>
      <w:r w:rsidR="00813F00">
        <w:rPr>
          <w:rFonts w:asciiTheme="minorHAnsi" w:hAnsiTheme="minorHAnsi"/>
          <w:szCs w:val="22"/>
        </w:rPr>
        <w:t>apply</w:t>
      </w:r>
      <w:r w:rsidR="00813F00" w:rsidRPr="00EB3909">
        <w:rPr>
          <w:rFonts w:asciiTheme="minorHAnsi" w:hAnsiTheme="minorHAnsi"/>
          <w:szCs w:val="22"/>
        </w:rPr>
        <w:t>:</w:t>
      </w:r>
    </w:p>
    <w:p w14:paraId="1EBBEEF3" w14:textId="77777777" w:rsidR="00813F00" w:rsidRDefault="00813F00" w:rsidP="00813F00">
      <w:pPr>
        <w:pStyle w:val="ListBullet"/>
        <w:numPr>
          <w:ilvl w:val="0"/>
          <w:numId w:val="1"/>
        </w:numPr>
        <w:rPr>
          <w:szCs w:val="22"/>
        </w:rPr>
      </w:pPr>
      <w:r>
        <w:rPr>
          <w:szCs w:val="22"/>
        </w:rPr>
        <w:t>t</w:t>
      </w:r>
      <w:r w:rsidRPr="00EB3909">
        <w:rPr>
          <w:szCs w:val="22"/>
        </w:rPr>
        <w:t>hey have an antibody titre to HBsAg at a le</w:t>
      </w:r>
      <w:r>
        <w:rPr>
          <w:szCs w:val="22"/>
        </w:rPr>
        <w:t>vel greater than or equal to 10 IU/L (or 10</w:t>
      </w:r>
      <w:r w:rsidRPr="00EB3909">
        <w:rPr>
          <w:szCs w:val="22"/>
        </w:rPr>
        <w:t xml:space="preserve"> mIU/mL)</w:t>
      </w:r>
    </w:p>
    <w:p w14:paraId="2ACAA18B" w14:textId="77777777" w:rsidR="00813F00" w:rsidRPr="00EB3909" w:rsidRDefault="00813F00" w:rsidP="001022CC">
      <w:pPr>
        <w:pStyle w:val="ListBullet"/>
        <w:numPr>
          <w:ilvl w:val="0"/>
          <w:numId w:val="0"/>
        </w:numPr>
        <w:rPr>
          <w:szCs w:val="22"/>
        </w:rPr>
      </w:pPr>
      <w:r>
        <w:rPr>
          <w:szCs w:val="22"/>
        </w:rPr>
        <w:t>AND</w:t>
      </w:r>
    </w:p>
    <w:p w14:paraId="3AA40CFD" w14:textId="2B4E38E3" w:rsidR="00813F00" w:rsidRDefault="00813F00" w:rsidP="00813F00">
      <w:pPr>
        <w:pStyle w:val="ListBullet"/>
        <w:numPr>
          <w:ilvl w:val="0"/>
          <w:numId w:val="1"/>
        </w:numPr>
        <w:rPr>
          <w:szCs w:val="22"/>
        </w:rPr>
      </w:pPr>
      <w:r>
        <w:rPr>
          <w:szCs w:val="22"/>
        </w:rPr>
        <w:t xml:space="preserve">HBV </w:t>
      </w:r>
      <w:r w:rsidR="003341B5">
        <w:rPr>
          <w:szCs w:val="22"/>
        </w:rPr>
        <w:t>NAT</w:t>
      </w:r>
      <w:r w:rsidRPr="00EB3909">
        <w:rPr>
          <w:szCs w:val="22"/>
        </w:rPr>
        <w:t xml:space="preserve"> is negative</w:t>
      </w:r>
    </w:p>
    <w:p w14:paraId="227D8BAE" w14:textId="5EBC1FCB" w:rsidR="00813F00" w:rsidRDefault="00813F00" w:rsidP="00813F00">
      <w:pPr>
        <w:rPr>
          <w:rFonts w:asciiTheme="minorHAnsi" w:hAnsiTheme="minorHAnsi"/>
          <w:szCs w:val="22"/>
        </w:rPr>
      </w:pPr>
      <w:r w:rsidRPr="00EB3909">
        <w:rPr>
          <w:rFonts w:asciiTheme="minorHAnsi" w:hAnsiTheme="minorHAnsi"/>
          <w:szCs w:val="22"/>
        </w:rPr>
        <w:t>Donors suspected of being infected with HBV</w:t>
      </w:r>
      <w:r>
        <w:rPr>
          <w:rFonts w:asciiTheme="minorHAnsi" w:hAnsiTheme="minorHAnsi"/>
          <w:szCs w:val="22"/>
        </w:rPr>
        <w:t>,</w:t>
      </w:r>
      <w:r w:rsidRPr="00EB3909">
        <w:rPr>
          <w:rFonts w:asciiTheme="minorHAnsi" w:hAnsiTheme="minorHAnsi"/>
          <w:szCs w:val="22"/>
        </w:rPr>
        <w:t xml:space="preserve"> who are HBsAg negative</w:t>
      </w:r>
      <w:r>
        <w:rPr>
          <w:rFonts w:asciiTheme="minorHAnsi" w:hAnsiTheme="minorHAnsi"/>
          <w:szCs w:val="22"/>
        </w:rPr>
        <w:t>,</w:t>
      </w:r>
      <w:r w:rsidRPr="00EB3909">
        <w:rPr>
          <w:rFonts w:asciiTheme="minorHAnsi" w:hAnsiTheme="minorHAnsi"/>
          <w:szCs w:val="22"/>
        </w:rPr>
        <w:t xml:space="preserve"> are considered to be ‘not exposed’ if they test negative for antibodies to HBsAg and test negative by HBV N</w:t>
      </w:r>
      <w:r>
        <w:rPr>
          <w:rFonts w:asciiTheme="minorHAnsi" w:hAnsiTheme="minorHAnsi"/>
          <w:szCs w:val="22"/>
        </w:rPr>
        <w:t>A</w:t>
      </w:r>
      <w:r w:rsidRPr="00EB3909">
        <w:rPr>
          <w:rFonts w:asciiTheme="minorHAnsi" w:hAnsiTheme="minorHAnsi"/>
          <w:szCs w:val="22"/>
        </w:rPr>
        <w:t>T.</w:t>
      </w:r>
      <w:r w:rsidR="00B5630D">
        <w:rPr>
          <w:rFonts w:asciiTheme="minorHAnsi" w:hAnsiTheme="minorHAnsi"/>
          <w:szCs w:val="22"/>
        </w:rPr>
        <w:t xml:space="preserve"> </w:t>
      </w:r>
      <w:r w:rsidRPr="00EB3909">
        <w:rPr>
          <w:rFonts w:asciiTheme="minorHAnsi" w:hAnsiTheme="minorHAnsi"/>
          <w:szCs w:val="22"/>
        </w:rPr>
        <w:t>For HBsAg negative persons who are demonstrated to be immune or never exposed, no ineligibility period applies.</w:t>
      </w:r>
    </w:p>
    <w:p w14:paraId="37169177" w14:textId="309C25F4" w:rsidR="00813F00" w:rsidRPr="00C01EF3" w:rsidRDefault="00813F00" w:rsidP="00C01EF3">
      <w:pPr>
        <w:rPr>
          <w:rFonts w:asciiTheme="minorHAnsi" w:hAnsiTheme="minorHAnsi"/>
          <w:b/>
          <w:szCs w:val="22"/>
        </w:rPr>
      </w:pPr>
      <w:r>
        <w:rPr>
          <w:rFonts w:asciiTheme="minorHAnsi" w:hAnsiTheme="minorHAnsi"/>
          <w:szCs w:val="22"/>
        </w:rPr>
        <w:t>Table 1 shows a summary of donor deferral criteria according to known or suspected HBV infections.</w:t>
      </w:r>
    </w:p>
    <w:p w14:paraId="77D76283" w14:textId="28E69DD7" w:rsidR="00813F00" w:rsidRPr="00151820" w:rsidRDefault="00813F00" w:rsidP="00151820">
      <w:pPr>
        <w:pStyle w:val="Tabletitle"/>
      </w:pPr>
      <w:r w:rsidRPr="00151820">
        <w:t xml:space="preserve">Table 1: </w:t>
      </w:r>
      <w:r w:rsidR="00C10E14">
        <w:t>S</w:t>
      </w:r>
      <w:r w:rsidR="00147B94">
        <w:t>ummary of d</w:t>
      </w:r>
      <w:r w:rsidRPr="00151820">
        <w:t>onor deferral criteria according to known or suspected HBV infections</w:t>
      </w:r>
    </w:p>
    <w:tbl>
      <w:tblPr>
        <w:tblStyle w:val="TableTGAblue"/>
        <w:tblW w:w="0" w:type="auto"/>
        <w:tblLook w:val="04A0" w:firstRow="1" w:lastRow="0" w:firstColumn="1" w:lastColumn="0" w:noHBand="0" w:noVBand="1"/>
      </w:tblPr>
      <w:tblGrid>
        <w:gridCol w:w="3012"/>
        <w:gridCol w:w="3015"/>
        <w:gridCol w:w="3023"/>
      </w:tblGrid>
      <w:tr w:rsidR="00813F00" w:rsidRPr="0031610B" w14:paraId="127A1121" w14:textId="77777777" w:rsidTr="000114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hideMark/>
          </w:tcPr>
          <w:p w14:paraId="1CEB2517" w14:textId="77777777" w:rsidR="00813F00" w:rsidRPr="0031610B" w:rsidRDefault="00813F00" w:rsidP="0001140D">
            <w:pPr>
              <w:spacing w:before="60" w:after="60"/>
              <w:rPr>
                <w:bCs/>
                <w:color w:val="FFFFFF" w:themeColor="background1"/>
              </w:rPr>
            </w:pPr>
            <w:r w:rsidRPr="0031610B">
              <w:rPr>
                <w:bCs/>
                <w:color w:val="FFFFFF" w:themeColor="background1"/>
              </w:rPr>
              <w:t>Deferral criterion</w:t>
            </w:r>
          </w:p>
        </w:tc>
        <w:tc>
          <w:tcPr>
            <w:tcW w:w="3015" w:type="dxa"/>
            <w:hideMark/>
          </w:tcPr>
          <w:p w14:paraId="03FAB39C" w14:textId="77777777" w:rsidR="00813F00" w:rsidRPr="0031610B" w:rsidRDefault="00813F00" w:rsidP="0001140D">
            <w:pPr>
              <w:spacing w:before="60" w:after="6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31610B">
              <w:rPr>
                <w:bCs/>
                <w:color w:val="FFFFFF" w:themeColor="background1"/>
              </w:rPr>
              <w:t>How to determine infection status</w:t>
            </w:r>
          </w:p>
        </w:tc>
        <w:tc>
          <w:tcPr>
            <w:tcW w:w="3023" w:type="dxa"/>
            <w:hideMark/>
          </w:tcPr>
          <w:p w14:paraId="43C90964" w14:textId="77777777" w:rsidR="00813F00" w:rsidRPr="0031610B" w:rsidRDefault="00813F00" w:rsidP="0001140D">
            <w:pPr>
              <w:spacing w:before="60" w:after="6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31610B">
              <w:rPr>
                <w:bCs/>
                <w:color w:val="FFFFFF" w:themeColor="background1"/>
              </w:rPr>
              <w:t>Deferral outcome</w:t>
            </w:r>
          </w:p>
        </w:tc>
      </w:tr>
      <w:tr w:rsidR="00813F00" w14:paraId="61A4EE3A" w14:textId="77777777" w:rsidTr="0001140D">
        <w:tc>
          <w:tcPr>
            <w:cnfStyle w:val="001000000000" w:firstRow="0" w:lastRow="0" w:firstColumn="1" w:lastColumn="0" w:oddVBand="0" w:evenVBand="0" w:oddHBand="0" w:evenHBand="0" w:firstRowFirstColumn="0" w:firstRowLastColumn="0" w:lastRowFirstColumn="0" w:lastRowLastColumn="0"/>
            <w:tcW w:w="3012" w:type="dxa"/>
          </w:tcPr>
          <w:p w14:paraId="6FEFE39F" w14:textId="77777777" w:rsidR="00813F00" w:rsidRPr="005426E5" w:rsidRDefault="00813F00" w:rsidP="0001140D">
            <w:pPr>
              <w:spacing w:before="60" w:after="60"/>
              <w:rPr>
                <w:color w:val="auto"/>
              </w:rPr>
            </w:pPr>
            <w:r w:rsidRPr="005426E5">
              <w:rPr>
                <w:color w:val="auto"/>
              </w:rPr>
              <w:t xml:space="preserve">If known to have HBV infection </w:t>
            </w:r>
          </w:p>
        </w:tc>
        <w:tc>
          <w:tcPr>
            <w:tcW w:w="3015" w:type="dxa"/>
            <w:hideMark/>
          </w:tcPr>
          <w:p w14:paraId="60FC3349" w14:textId="77777777" w:rsidR="00813F00" w:rsidRPr="005426E5" w:rsidRDefault="00813F00" w:rsidP="0001140D">
            <w:pPr>
              <w:spacing w:before="60" w:after="60"/>
              <w:cnfStyle w:val="000000000000" w:firstRow="0" w:lastRow="0" w:firstColumn="0" w:lastColumn="0" w:oddVBand="0" w:evenVBand="0" w:oddHBand="0" w:evenHBand="0" w:firstRowFirstColumn="0" w:firstRowLastColumn="0" w:lastRowFirstColumn="0" w:lastRowLastColumn="0"/>
              <w:rPr>
                <w:color w:val="auto"/>
              </w:rPr>
            </w:pPr>
            <w:r>
              <w:rPr>
                <w:color w:val="auto"/>
              </w:rPr>
              <w:t>P</w:t>
            </w:r>
            <w:r w:rsidRPr="005426E5">
              <w:rPr>
                <w:color w:val="auto"/>
              </w:rPr>
              <w:t>ositive HBsAg test</w:t>
            </w:r>
          </w:p>
        </w:tc>
        <w:tc>
          <w:tcPr>
            <w:tcW w:w="3023" w:type="dxa"/>
            <w:hideMark/>
          </w:tcPr>
          <w:p w14:paraId="46486058" w14:textId="77777777" w:rsidR="00813F00" w:rsidRPr="005426E5" w:rsidRDefault="00813F00" w:rsidP="0001140D">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5426E5">
              <w:rPr>
                <w:color w:val="auto"/>
              </w:rPr>
              <w:t>Ineligible</w:t>
            </w:r>
          </w:p>
        </w:tc>
      </w:tr>
      <w:tr w:rsidR="00813F00" w14:paraId="427B1C77" w14:textId="77777777" w:rsidTr="0001140D">
        <w:tc>
          <w:tcPr>
            <w:cnfStyle w:val="001000000000" w:firstRow="0" w:lastRow="0" w:firstColumn="1" w:lastColumn="0" w:oddVBand="0" w:evenVBand="0" w:oddHBand="0" w:evenHBand="0" w:firstRowFirstColumn="0" w:firstRowLastColumn="0" w:lastRowFirstColumn="0" w:lastRowLastColumn="0"/>
            <w:tcW w:w="3012" w:type="dxa"/>
            <w:hideMark/>
          </w:tcPr>
          <w:p w14:paraId="0F54143E" w14:textId="77777777" w:rsidR="00813F00" w:rsidRPr="005426E5" w:rsidRDefault="00813F00" w:rsidP="0001140D">
            <w:pPr>
              <w:spacing w:before="60" w:after="60"/>
              <w:rPr>
                <w:color w:val="auto"/>
              </w:rPr>
            </w:pPr>
            <w:r w:rsidRPr="005426E5">
              <w:rPr>
                <w:color w:val="auto"/>
              </w:rPr>
              <w:lastRenderedPageBreak/>
              <w:t>If suspected of having an HBV infection</w:t>
            </w:r>
          </w:p>
        </w:tc>
        <w:tc>
          <w:tcPr>
            <w:tcW w:w="3015" w:type="dxa"/>
            <w:hideMark/>
          </w:tcPr>
          <w:p w14:paraId="27995AF4" w14:textId="77777777" w:rsidR="00813F00" w:rsidRPr="005426E5" w:rsidRDefault="00813F00" w:rsidP="0001140D">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5426E5">
              <w:rPr>
                <w:color w:val="auto"/>
              </w:rPr>
              <w:t>Symptoms of infection or close contact with infected person established at interview but negative HBsAg test and cannot establish immunity status</w:t>
            </w:r>
          </w:p>
        </w:tc>
        <w:tc>
          <w:tcPr>
            <w:tcW w:w="3023" w:type="dxa"/>
            <w:hideMark/>
          </w:tcPr>
          <w:p w14:paraId="4143009B" w14:textId="77777777" w:rsidR="00813F00" w:rsidRPr="005426E5" w:rsidRDefault="00813F00" w:rsidP="0001140D">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5426E5">
              <w:rPr>
                <w:color w:val="auto"/>
              </w:rPr>
              <w:t>Ineligible</w:t>
            </w:r>
          </w:p>
        </w:tc>
      </w:tr>
      <w:tr w:rsidR="00813F00" w14:paraId="1D68B280" w14:textId="77777777" w:rsidTr="0001140D">
        <w:tc>
          <w:tcPr>
            <w:cnfStyle w:val="001000000000" w:firstRow="0" w:lastRow="0" w:firstColumn="1" w:lastColumn="0" w:oddVBand="0" w:evenVBand="0" w:oddHBand="0" w:evenHBand="0" w:firstRowFirstColumn="0" w:firstRowLastColumn="0" w:lastRowFirstColumn="0" w:lastRowLastColumn="0"/>
            <w:tcW w:w="3012" w:type="dxa"/>
            <w:hideMark/>
          </w:tcPr>
          <w:p w14:paraId="07FFD920" w14:textId="77777777" w:rsidR="00813F00" w:rsidRPr="005426E5" w:rsidRDefault="00813F00" w:rsidP="0001140D">
            <w:pPr>
              <w:spacing w:before="60" w:after="60"/>
              <w:rPr>
                <w:color w:val="auto"/>
              </w:rPr>
            </w:pPr>
            <w:r w:rsidRPr="005426E5">
              <w:rPr>
                <w:color w:val="auto"/>
              </w:rPr>
              <w:t>If suspected of having an HBV infection</w:t>
            </w:r>
          </w:p>
        </w:tc>
        <w:tc>
          <w:tcPr>
            <w:tcW w:w="3015" w:type="dxa"/>
            <w:hideMark/>
          </w:tcPr>
          <w:p w14:paraId="7D395692" w14:textId="77777777" w:rsidR="00813F00" w:rsidRPr="005426E5" w:rsidRDefault="00813F00" w:rsidP="0001140D">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5426E5">
              <w:rPr>
                <w:color w:val="auto"/>
              </w:rPr>
              <w:t>Negative HBsAg test</w:t>
            </w:r>
          </w:p>
          <w:p w14:paraId="1BBB16DA" w14:textId="77777777" w:rsidR="00813F00" w:rsidRPr="00C10E14" w:rsidRDefault="00813F00" w:rsidP="0001140D">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C10E14">
              <w:t>AND</w:t>
            </w:r>
          </w:p>
          <w:p w14:paraId="73686DC0" w14:textId="260518A0" w:rsidR="00813F00" w:rsidRPr="005426E5" w:rsidRDefault="00813F00" w:rsidP="0001140D">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5426E5">
              <w:rPr>
                <w:color w:val="auto"/>
              </w:rPr>
              <w:t>Positive anti-HB</w:t>
            </w:r>
            <w:r w:rsidR="00751C51">
              <w:rPr>
                <w:color w:val="auto"/>
              </w:rPr>
              <w:t>c</w:t>
            </w:r>
            <w:r w:rsidRPr="005426E5">
              <w:rPr>
                <w:color w:val="auto"/>
              </w:rPr>
              <w:t xml:space="preserve"> test </w:t>
            </w:r>
          </w:p>
          <w:p w14:paraId="084766AC" w14:textId="77777777" w:rsidR="00813F00" w:rsidRPr="00C10E14" w:rsidRDefault="00813F00" w:rsidP="0001140D">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C10E14">
              <w:t>AND</w:t>
            </w:r>
          </w:p>
          <w:p w14:paraId="363A9B25" w14:textId="042A0EAF" w:rsidR="00813F00" w:rsidRPr="005426E5" w:rsidRDefault="00813F00" w:rsidP="0001140D">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5426E5">
              <w:rPr>
                <w:color w:val="auto"/>
              </w:rPr>
              <w:t>Positive anti-HB</w:t>
            </w:r>
            <w:r w:rsidR="00751C51">
              <w:rPr>
                <w:color w:val="auto"/>
              </w:rPr>
              <w:t>s</w:t>
            </w:r>
            <w:r w:rsidRPr="005426E5">
              <w:rPr>
                <w:color w:val="auto"/>
              </w:rPr>
              <w:t xml:space="preserve"> test</w:t>
            </w:r>
          </w:p>
          <w:p w14:paraId="015E98F0" w14:textId="77777777" w:rsidR="00813F00" w:rsidRDefault="00813F00" w:rsidP="0001140D">
            <w:pPr>
              <w:spacing w:before="60" w:after="60"/>
              <w:cnfStyle w:val="000000000000" w:firstRow="0" w:lastRow="0" w:firstColumn="0" w:lastColumn="0" w:oddVBand="0" w:evenVBand="0" w:oddHBand="0" w:evenHBand="0" w:firstRowFirstColumn="0" w:firstRowLastColumn="0" w:lastRowFirstColumn="0" w:lastRowLastColumn="0"/>
              <w:rPr>
                <w:b/>
                <w:color w:val="auto"/>
              </w:rPr>
            </w:pPr>
            <w:r>
              <w:rPr>
                <w:b/>
                <w:color w:val="auto"/>
              </w:rPr>
              <w:t>AND</w:t>
            </w:r>
          </w:p>
          <w:p w14:paraId="251DCF09" w14:textId="4828D724" w:rsidR="00813F00" w:rsidRPr="005426E5" w:rsidRDefault="00813F00" w:rsidP="0001140D">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5426E5">
              <w:rPr>
                <w:color w:val="auto"/>
              </w:rPr>
              <w:t>Negative N</w:t>
            </w:r>
            <w:r>
              <w:rPr>
                <w:color w:val="auto"/>
              </w:rPr>
              <w:t>AT</w:t>
            </w:r>
          </w:p>
        </w:tc>
        <w:tc>
          <w:tcPr>
            <w:tcW w:w="3023" w:type="dxa"/>
            <w:hideMark/>
          </w:tcPr>
          <w:p w14:paraId="039C4751" w14:textId="04883BF2" w:rsidR="00813F00" w:rsidRPr="005426E5" w:rsidRDefault="00813F00" w:rsidP="0001140D">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5426E5">
              <w:rPr>
                <w:color w:val="auto"/>
              </w:rPr>
              <w:t xml:space="preserve">Immune due </w:t>
            </w:r>
            <w:r>
              <w:rPr>
                <w:color w:val="auto"/>
              </w:rPr>
              <w:t xml:space="preserve">to natural infection previously, </w:t>
            </w:r>
            <w:r w:rsidRPr="005426E5">
              <w:rPr>
                <w:color w:val="auto"/>
              </w:rPr>
              <w:t>so no deferral required if negative NA</w:t>
            </w:r>
            <w:r>
              <w:rPr>
                <w:color w:val="auto"/>
              </w:rPr>
              <w:t xml:space="preserve">T </w:t>
            </w:r>
            <w:r w:rsidRPr="005426E5">
              <w:rPr>
                <w:color w:val="auto"/>
              </w:rPr>
              <w:t>result confirms no current infection</w:t>
            </w:r>
          </w:p>
        </w:tc>
      </w:tr>
      <w:tr w:rsidR="00813F00" w14:paraId="30595452" w14:textId="77777777" w:rsidTr="0001140D">
        <w:tc>
          <w:tcPr>
            <w:cnfStyle w:val="001000000000" w:firstRow="0" w:lastRow="0" w:firstColumn="1" w:lastColumn="0" w:oddVBand="0" w:evenVBand="0" w:oddHBand="0" w:evenHBand="0" w:firstRowFirstColumn="0" w:firstRowLastColumn="0" w:lastRowFirstColumn="0" w:lastRowLastColumn="0"/>
            <w:tcW w:w="3012" w:type="dxa"/>
            <w:hideMark/>
          </w:tcPr>
          <w:p w14:paraId="54949FF1" w14:textId="77777777" w:rsidR="00813F00" w:rsidRPr="005426E5" w:rsidRDefault="00813F00" w:rsidP="0001140D">
            <w:pPr>
              <w:spacing w:before="60" w:after="60"/>
              <w:rPr>
                <w:color w:val="auto"/>
              </w:rPr>
            </w:pPr>
            <w:r w:rsidRPr="005426E5">
              <w:rPr>
                <w:color w:val="auto"/>
              </w:rPr>
              <w:t>If suspected of having an HBV infection</w:t>
            </w:r>
          </w:p>
        </w:tc>
        <w:tc>
          <w:tcPr>
            <w:tcW w:w="3015" w:type="dxa"/>
            <w:hideMark/>
          </w:tcPr>
          <w:p w14:paraId="64C8D506" w14:textId="77777777" w:rsidR="00813F00" w:rsidRPr="005426E5" w:rsidRDefault="00813F00" w:rsidP="0001140D">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5426E5">
              <w:rPr>
                <w:color w:val="auto"/>
              </w:rPr>
              <w:t xml:space="preserve">Negative HBsAg test </w:t>
            </w:r>
          </w:p>
          <w:p w14:paraId="07A14211" w14:textId="77777777" w:rsidR="00813F00" w:rsidRPr="00D7384D" w:rsidRDefault="00813F00" w:rsidP="0001140D">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D7384D">
              <w:rPr>
                <w:color w:val="auto"/>
              </w:rPr>
              <w:t>And</w:t>
            </w:r>
          </w:p>
          <w:p w14:paraId="50703574" w14:textId="77777777" w:rsidR="00813F00" w:rsidRPr="005426E5" w:rsidRDefault="00813F00" w:rsidP="0001140D">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5426E5">
              <w:rPr>
                <w:color w:val="auto"/>
              </w:rPr>
              <w:t>Negative anti-HBc test</w:t>
            </w:r>
          </w:p>
          <w:p w14:paraId="7BBF9494" w14:textId="77777777" w:rsidR="00813F00" w:rsidRPr="00D7384D" w:rsidRDefault="00813F00" w:rsidP="0001140D">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D7384D">
              <w:rPr>
                <w:color w:val="auto"/>
              </w:rPr>
              <w:t xml:space="preserve">And </w:t>
            </w:r>
          </w:p>
          <w:p w14:paraId="7FB3F21D" w14:textId="77777777" w:rsidR="00813F00" w:rsidRPr="005426E5" w:rsidRDefault="00813F00" w:rsidP="0001140D">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5426E5">
              <w:rPr>
                <w:color w:val="auto"/>
              </w:rPr>
              <w:t>Positive anti-HBs test</w:t>
            </w:r>
          </w:p>
        </w:tc>
        <w:tc>
          <w:tcPr>
            <w:tcW w:w="3023" w:type="dxa"/>
            <w:hideMark/>
          </w:tcPr>
          <w:p w14:paraId="355C4895" w14:textId="7E52A702" w:rsidR="00813F00" w:rsidRPr="005426E5" w:rsidRDefault="00813F00" w:rsidP="0001140D">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5426E5">
              <w:rPr>
                <w:color w:val="auto"/>
              </w:rPr>
              <w:t>Immune due to hepatitis B vaccination</w:t>
            </w:r>
            <w:r>
              <w:rPr>
                <w:color w:val="auto"/>
              </w:rPr>
              <w:t>,</w:t>
            </w:r>
            <w:r w:rsidRPr="005426E5">
              <w:rPr>
                <w:color w:val="auto"/>
              </w:rPr>
              <w:t xml:space="preserve"> a</w:t>
            </w:r>
            <w:r w:rsidR="00B5630D">
              <w:rPr>
                <w:color w:val="auto"/>
              </w:rPr>
              <w:t>nd so no deferral required if N</w:t>
            </w:r>
            <w:r>
              <w:rPr>
                <w:color w:val="auto"/>
              </w:rPr>
              <w:t xml:space="preserve">AT </w:t>
            </w:r>
            <w:r w:rsidRPr="005426E5">
              <w:rPr>
                <w:color w:val="auto"/>
              </w:rPr>
              <w:t>result confirms no current infection</w:t>
            </w:r>
          </w:p>
        </w:tc>
      </w:tr>
    </w:tbl>
    <w:p w14:paraId="0A36B26F" w14:textId="7AC615C2" w:rsidR="0011758D" w:rsidRPr="00EB3909" w:rsidRDefault="00B5630D" w:rsidP="0011758D">
      <w:pPr>
        <w:pStyle w:val="Heading4"/>
      </w:pPr>
      <w:bookmarkStart w:id="28" w:name="_Toc65148229"/>
      <w:bookmarkStart w:id="29" w:name="_Toc69823141"/>
      <w:bookmarkStart w:id="30" w:name="_Toc65148227"/>
      <w:r>
        <w:t>Item 6</w:t>
      </w:r>
      <w:r w:rsidR="0011758D">
        <w:t xml:space="preserve"> – Injected with drugs for a non-medical reason</w:t>
      </w:r>
      <w:bookmarkEnd w:id="28"/>
      <w:bookmarkEnd w:id="29"/>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11758D" w:rsidRPr="00C563D1" w14:paraId="60133209" w14:textId="77777777" w:rsidTr="007533BA">
        <w:trPr>
          <w:trHeight w:val="391"/>
        </w:trPr>
        <w:tc>
          <w:tcPr>
            <w:tcW w:w="25" w:type="dxa"/>
            <w:vAlign w:val="center"/>
          </w:tcPr>
          <w:p w14:paraId="6F680797" w14:textId="77777777" w:rsidR="0011758D" w:rsidRPr="00C563D1" w:rsidRDefault="0011758D" w:rsidP="007533BA"/>
        </w:tc>
        <w:tc>
          <w:tcPr>
            <w:tcW w:w="679" w:type="dxa"/>
            <w:shd w:val="clear" w:color="auto" w:fill="EAEAEA"/>
          </w:tcPr>
          <w:p w14:paraId="04F81FB3" w14:textId="77777777" w:rsidR="0011758D" w:rsidRPr="00C563D1" w:rsidRDefault="0011758D" w:rsidP="007533BA">
            <w:pPr>
              <w:jc w:val="center"/>
              <w:rPr>
                <w:b/>
              </w:rPr>
            </w:pPr>
            <w:r w:rsidRPr="00C563D1">
              <w:rPr>
                <w:b/>
              </w:rPr>
              <w:t>Item</w:t>
            </w:r>
          </w:p>
          <w:p w14:paraId="3DE4C29C" w14:textId="1872A12B" w:rsidR="0011758D" w:rsidRPr="00C563D1" w:rsidRDefault="00B5630D" w:rsidP="007533BA">
            <w:pPr>
              <w:jc w:val="center"/>
            </w:pPr>
            <w:r>
              <w:t>6</w:t>
            </w:r>
          </w:p>
        </w:tc>
        <w:tc>
          <w:tcPr>
            <w:tcW w:w="4536" w:type="dxa"/>
            <w:shd w:val="clear" w:color="auto" w:fill="EAEAEA"/>
            <w:tcMar>
              <w:top w:w="170" w:type="dxa"/>
              <w:left w:w="170" w:type="dxa"/>
              <w:bottom w:w="170" w:type="dxa"/>
              <w:right w:w="170" w:type="dxa"/>
            </w:tcMar>
          </w:tcPr>
          <w:p w14:paraId="0C0AB770" w14:textId="77777777" w:rsidR="0011758D" w:rsidRPr="00C563D1" w:rsidRDefault="0011758D" w:rsidP="007533BA">
            <w:pPr>
              <w:rPr>
                <w:b/>
              </w:rPr>
            </w:pPr>
            <w:r w:rsidRPr="00C563D1">
              <w:rPr>
                <w:b/>
              </w:rPr>
              <w:t>Medical and social history criteria</w:t>
            </w:r>
          </w:p>
          <w:p w14:paraId="122BF239" w14:textId="22CAACFD" w:rsidR="0011758D" w:rsidRPr="00C563D1" w:rsidRDefault="00B5630D" w:rsidP="007533BA">
            <w:r w:rsidRPr="000A29B3">
              <w:t xml:space="preserve">a person who </w:t>
            </w:r>
            <w:r w:rsidRPr="00E5022B">
              <w:t xml:space="preserve">has </w:t>
            </w:r>
            <w:r>
              <w:t xml:space="preserve">received an </w:t>
            </w:r>
            <w:r w:rsidRPr="00E5022B">
              <w:t>inject</w:t>
            </w:r>
            <w:r>
              <w:t>ion of any substance in connection with a use that is not a therapeutic use or cosmetic use</w:t>
            </w:r>
          </w:p>
        </w:tc>
        <w:tc>
          <w:tcPr>
            <w:tcW w:w="3827" w:type="dxa"/>
            <w:shd w:val="clear" w:color="auto" w:fill="EAEAEA"/>
          </w:tcPr>
          <w:p w14:paraId="3AF82077" w14:textId="77777777" w:rsidR="0011758D" w:rsidRPr="00C563D1" w:rsidRDefault="0011758D" w:rsidP="007533BA">
            <w:pPr>
              <w:rPr>
                <w:b/>
              </w:rPr>
            </w:pPr>
            <w:r w:rsidRPr="00C563D1">
              <w:rPr>
                <w:b/>
              </w:rPr>
              <w:t>Period of ineligibility</w:t>
            </w:r>
          </w:p>
          <w:p w14:paraId="5C025211" w14:textId="1670ED86" w:rsidR="0011758D" w:rsidRPr="00C563D1" w:rsidRDefault="00B5630D" w:rsidP="007533BA">
            <w:r w:rsidRPr="000A29B3">
              <w:t xml:space="preserve">ineligible for at least 5 years from the </w:t>
            </w:r>
            <w:r w:rsidRPr="00E5022B">
              <w:t>last</w:t>
            </w:r>
            <w:r w:rsidRPr="000A29B3">
              <w:t xml:space="preserve"> injection</w:t>
            </w:r>
          </w:p>
        </w:tc>
      </w:tr>
    </w:tbl>
    <w:p w14:paraId="5B7377A2" w14:textId="09B13938" w:rsidR="0011758D" w:rsidRDefault="0011758D" w:rsidP="0011758D">
      <w:pPr>
        <w:rPr>
          <w:rFonts w:asciiTheme="minorHAnsi" w:hAnsiTheme="minorHAnsi"/>
          <w:szCs w:val="22"/>
        </w:rPr>
      </w:pPr>
      <w:r>
        <w:rPr>
          <w:rFonts w:asciiTheme="minorHAnsi" w:hAnsiTheme="minorHAnsi"/>
          <w:szCs w:val="22"/>
        </w:rPr>
        <w:t>‘N</w:t>
      </w:r>
      <w:r w:rsidRPr="00EB3909">
        <w:rPr>
          <w:rFonts w:asciiTheme="minorHAnsi" w:hAnsiTheme="minorHAnsi"/>
          <w:szCs w:val="22"/>
        </w:rPr>
        <w:t>on-medical reason</w:t>
      </w:r>
      <w:r>
        <w:rPr>
          <w:rFonts w:asciiTheme="minorHAnsi" w:hAnsiTheme="minorHAnsi"/>
          <w:szCs w:val="22"/>
        </w:rPr>
        <w:t>’</w:t>
      </w:r>
      <w:r w:rsidRPr="00EB3909">
        <w:rPr>
          <w:rFonts w:asciiTheme="minorHAnsi" w:hAnsiTheme="minorHAnsi"/>
          <w:szCs w:val="22"/>
        </w:rPr>
        <w:t xml:space="preserve"> refers to procedures such as recreational drug use or </w:t>
      </w:r>
      <w:r w:rsidR="00653C5D">
        <w:rPr>
          <w:rFonts w:asciiTheme="minorHAnsi" w:hAnsiTheme="minorHAnsi"/>
          <w:szCs w:val="22"/>
        </w:rPr>
        <w:t xml:space="preserve">cosmetic use or </w:t>
      </w:r>
      <w:r>
        <w:rPr>
          <w:rFonts w:asciiTheme="minorHAnsi" w:hAnsiTheme="minorHAnsi"/>
          <w:szCs w:val="22"/>
        </w:rPr>
        <w:t xml:space="preserve">any procedure </w:t>
      </w:r>
      <w:r w:rsidRPr="00EB3909">
        <w:rPr>
          <w:rFonts w:asciiTheme="minorHAnsi" w:hAnsiTheme="minorHAnsi"/>
          <w:szCs w:val="22"/>
        </w:rPr>
        <w:t xml:space="preserve">that </w:t>
      </w:r>
      <w:r>
        <w:rPr>
          <w:rFonts w:asciiTheme="minorHAnsi" w:hAnsiTheme="minorHAnsi"/>
          <w:szCs w:val="22"/>
        </w:rPr>
        <w:t>is</w:t>
      </w:r>
      <w:r w:rsidRPr="00EB3909">
        <w:rPr>
          <w:rFonts w:asciiTheme="minorHAnsi" w:hAnsiTheme="minorHAnsi"/>
          <w:szCs w:val="22"/>
        </w:rPr>
        <w:t xml:space="preserve"> not undertaken by a registered healthcare provider</w:t>
      </w:r>
      <w:r>
        <w:rPr>
          <w:rFonts w:asciiTheme="minorHAnsi" w:hAnsiTheme="minorHAnsi"/>
          <w:szCs w:val="22"/>
        </w:rPr>
        <w:t xml:space="preserve"> in Australia</w:t>
      </w:r>
      <w:r w:rsidRPr="00EB3909">
        <w:rPr>
          <w:rFonts w:asciiTheme="minorHAnsi" w:hAnsiTheme="minorHAnsi"/>
          <w:szCs w:val="22"/>
        </w:rPr>
        <w:t xml:space="preserve">. </w:t>
      </w:r>
      <w:r>
        <w:rPr>
          <w:rFonts w:asciiTheme="minorHAnsi" w:hAnsiTheme="minorHAnsi"/>
          <w:szCs w:val="22"/>
        </w:rPr>
        <w:t xml:space="preserve"> </w:t>
      </w:r>
    </w:p>
    <w:p w14:paraId="77C15F0F" w14:textId="77777777" w:rsidR="0011758D" w:rsidRDefault="0011758D" w:rsidP="0011758D">
      <w:pPr>
        <w:rPr>
          <w:rFonts w:asciiTheme="minorHAnsi" w:hAnsiTheme="minorHAnsi"/>
          <w:szCs w:val="22"/>
        </w:rPr>
      </w:pPr>
      <w:r w:rsidRPr="00EB3909">
        <w:rPr>
          <w:rFonts w:asciiTheme="minorHAnsi" w:hAnsiTheme="minorHAnsi"/>
          <w:szCs w:val="22"/>
        </w:rPr>
        <w:t xml:space="preserve">This deferral criterion is not intended to apply to individuals </w:t>
      </w:r>
      <w:r>
        <w:rPr>
          <w:rFonts w:asciiTheme="minorHAnsi" w:hAnsiTheme="minorHAnsi"/>
          <w:szCs w:val="22"/>
        </w:rPr>
        <w:t xml:space="preserve">who </w:t>
      </w:r>
      <w:r w:rsidRPr="00EB3909">
        <w:rPr>
          <w:rFonts w:asciiTheme="minorHAnsi" w:hAnsiTheme="minorHAnsi"/>
          <w:szCs w:val="22"/>
        </w:rPr>
        <w:t xml:space="preserve">have participated in </w:t>
      </w:r>
      <w:r>
        <w:rPr>
          <w:rFonts w:asciiTheme="minorHAnsi" w:hAnsiTheme="minorHAnsi"/>
          <w:szCs w:val="22"/>
        </w:rPr>
        <w:t xml:space="preserve">medically-supervised, registered </w:t>
      </w:r>
      <w:r w:rsidRPr="00EB3909">
        <w:rPr>
          <w:rFonts w:asciiTheme="minorHAnsi" w:hAnsiTheme="minorHAnsi"/>
          <w:szCs w:val="22"/>
        </w:rPr>
        <w:t>clinical trials.</w:t>
      </w:r>
    </w:p>
    <w:p w14:paraId="597BD651" w14:textId="7C17D0A8" w:rsidR="0001140D" w:rsidRPr="007D523E" w:rsidRDefault="0001140D" w:rsidP="0001140D">
      <w:pPr>
        <w:pStyle w:val="Heading4"/>
      </w:pPr>
      <w:bookmarkStart w:id="31" w:name="_Toc69823142"/>
      <w:r>
        <w:t xml:space="preserve">Item </w:t>
      </w:r>
      <w:r w:rsidR="00FD2F97">
        <w:t>7</w:t>
      </w:r>
      <w:r>
        <w:t xml:space="preserve"> – R</w:t>
      </w:r>
      <w:r w:rsidRPr="0059494B">
        <w:rPr>
          <w:lang w:eastAsia="en-AU"/>
        </w:rPr>
        <w:t>ecipient</w:t>
      </w:r>
      <w:r>
        <w:rPr>
          <w:lang w:eastAsia="en-AU"/>
        </w:rPr>
        <w:t>s</w:t>
      </w:r>
      <w:r w:rsidRPr="0059494B">
        <w:rPr>
          <w:lang w:eastAsia="en-AU"/>
        </w:rPr>
        <w:t xml:space="preserve"> of </w:t>
      </w:r>
      <w:r>
        <w:rPr>
          <w:lang w:eastAsia="en-AU"/>
        </w:rPr>
        <w:t xml:space="preserve">viable, non-human </w:t>
      </w:r>
      <w:r w:rsidRPr="0059494B">
        <w:rPr>
          <w:lang w:eastAsia="en-AU"/>
        </w:rPr>
        <w:t>cells or tissues</w:t>
      </w:r>
      <w:bookmarkEnd w:id="30"/>
      <w:bookmarkEnd w:id="31"/>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01140D" w:rsidRPr="00C563D1" w14:paraId="26BEC5D3" w14:textId="77777777" w:rsidTr="0001140D">
        <w:trPr>
          <w:trHeight w:val="391"/>
        </w:trPr>
        <w:tc>
          <w:tcPr>
            <w:tcW w:w="25" w:type="dxa"/>
            <w:vAlign w:val="center"/>
          </w:tcPr>
          <w:p w14:paraId="7ED9D4A9" w14:textId="77777777" w:rsidR="0001140D" w:rsidRPr="00C563D1" w:rsidRDefault="0001140D" w:rsidP="0001140D"/>
        </w:tc>
        <w:tc>
          <w:tcPr>
            <w:tcW w:w="679" w:type="dxa"/>
            <w:shd w:val="clear" w:color="auto" w:fill="EAEAEA"/>
          </w:tcPr>
          <w:p w14:paraId="05C0658A" w14:textId="77777777" w:rsidR="0001140D" w:rsidRPr="00C563D1" w:rsidRDefault="0001140D" w:rsidP="0001140D">
            <w:pPr>
              <w:jc w:val="center"/>
              <w:rPr>
                <w:b/>
              </w:rPr>
            </w:pPr>
            <w:r w:rsidRPr="00C563D1">
              <w:rPr>
                <w:b/>
              </w:rPr>
              <w:t>Item</w:t>
            </w:r>
          </w:p>
          <w:p w14:paraId="41040246" w14:textId="10A8C3C0" w:rsidR="0001140D" w:rsidRPr="00C563D1" w:rsidRDefault="00FD2F97" w:rsidP="0001140D">
            <w:pPr>
              <w:jc w:val="center"/>
            </w:pPr>
            <w:r>
              <w:t>7</w:t>
            </w:r>
          </w:p>
        </w:tc>
        <w:tc>
          <w:tcPr>
            <w:tcW w:w="4536" w:type="dxa"/>
            <w:shd w:val="clear" w:color="auto" w:fill="EAEAEA"/>
            <w:tcMar>
              <w:top w:w="170" w:type="dxa"/>
              <w:left w:w="170" w:type="dxa"/>
              <w:bottom w:w="170" w:type="dxa"/>
              <w:right w:w="170" w:type="dxa"/>
            </w:tcMar>
          </w:tcPr>
          <w:p w14:paraId="51D81889" w14:textId="77777777" w:rsidR="0001140D" w:rsidRPr="00C563D1" w:rsidRDefault="0001140D" w:rsidP="0001140D">
            <w:pPr>
              <w:rPr>
                <w:b/>
              </w:rPr>
            </w:pPr>
            <w:r w:rsidRPr="00C563D1">
              <w:rPr>
                <w:b/>
              </w:rPr>
              <w:t>Medical and social history criteria</w:t>
            </w:r>
          </w:p>
          <w:p w14:paraId="6A322931" w14:textId="4116588F" w:rsidR="0001140D" w:rsidRPr="00C563D1" w:rsidRDefault="0001140D" w:rsidP="00B5630D">
            <w:r w:rsidRPr="000A29B3">
              <w:t xml:space="preserve">a person who </w:t>
            </w:r>
            <w:r w:rsidR="00B5630D">
              <w:t xml:space="preserve">has been a recipient of viable </w:t>
            </w:r>
            <w:r w:rsidRPr="000A29B3">
              <w:t>animal cells or tissues</w:t>
            </w:r>
          </w:p>
        </w:tc>
        <w:tc>
          <w:tcPr>
            <w:tcW w:w="3827" w:type="dxa"/>
            <w:shd w:val="clear" w:color="auto" w:fill="EAEAEA"/>
          </w:tcPr>
          <w:p w14:paraId="21632C72" w14:textId="77777777" w:rsidR="0001140D" w:rsidRPr="00C563D1" w:rsidRDefault="0001140D" w:rsidP="0001140D">
            <w:pPr>
              <w:rPr>
                <w:b/>
              </w:rPr>
            </w:pPr>
            <w:r w:rsidRPr="00C563D1">
              <w:rPr>
                <w:b/>
              </w:rPr>
              <w:t>Period of ineligibility</w:t>
            </w:r>
          </w:p>
          <w:p w14:paraId="74ACDD9D" w14:textId="77777777" w:rsidR="0001140D" w:rsidRPr="00C563D1" w:rsidRDefault="0001140D" w:rsidP="0001140D">
            <w:r w:rsidRPr="00C563D1">
              <w:t>permanently ineligible</w:t>
            </w:r>
          </w:p>
        </w:tc>
      </w:tr>
    </w:tbl>
    <w:p w14:paraId="7FB7F7CE" w14:textId="52483F59" w:rsidR="0001140D" w:rsidRDefault="0001140D" w:rsidP="0001140D">
      <w:pPr>
        <w:rPr>
          <w:rFonts w:asciiTheme="minorHAnsi" w:hAnsiTheme="minorHAnsi"/>
          <w:szCs w:val="22"/>
        </w:rPr>
      </w:pPr>
      <w:r w:rsidRPr="00A87FB6">
        <w:rPr>
          <w:rFonts w:asciiTheme="minorHAnsi" w:hAnsiTheme="minorHAnsi"/>
          <w:szCs w:val="22"/>
        </w:rPr>
        <w:t>For recipients of viable</w:t>
      </w:r>
      <w:r w:rsidR="00B5630D">
        <w:rPr>
          <w:rFonts w:asciiTheme="minorHAnsi" w:hAnsiTheme="minorHAnsi"/>
          <w:szCs w:val="22"/>
        </w:rPr>
        <w:t>, non-human</w:t>
      </w:r>
      <w:r w:rsidRPr="00A87FB6">
        <w:rPr>
          <w:rFonts w:asciiTheme="minorHAnsi" w:hAnsiTheme="minorHAnsi"/>
          <w:szCs w:val="22"/>
        </w:rPr>
        <w:t xml:space="preserve"> </w:t>
      </w:r>
      <w:r>
        <w:rPr>
          <w:rFonts w:asciiTheme="minorHAnsi" w:hAnsiTheme="minorHAnsi"/>
          <w:szCs w:val="22"/>
        </w:rPr>
        <w:t xml:space="preserve">animal cells or tissue products, </w:t>
      </w:r>
      <w:r w:rsidRPr="00A87FB6">
        <w:rPr>
          <w:rFonts w:asciiTheme="minorHAnsi" w:hAnsiTheme="minorHAnsi"/>
          <w:szCs w:val="22"/>
        </w:rPr>
        <w:t>there is a ri</w:t>
      </w:r>
      <w:r>
        <w:rPr>
          <w:rFonts w:asciiTheme="minorHAnsi" w:hAnsiTheme="minorHAnsi"/>
          <w:szCs w:val="22"/>
        </w:rPr>
        <w:t>sk of xenogeneic infections. D</w:t>
      </w:r>
      <w:r w:rsidRPr="00A87FB6">
        <w:rPr>
          <w:rFonts w:asciiTheme="minorHAnsi" w:hAnsiTheme="minorHAnsi"/>
          <w:szCs w:val="22"/>
        </w:rPr>
        <w:t>onors receiving such trans</w:t>
      </w:r>
      <w:r>
        <w:rPr>
          <w:rFonts w:asciiTheme="minorHAnsi" w:hAnsiTheme="minorHAnsi"/>
          <w:szCs w:val="22"/>
        </w:rPr>
        <w:t>plants should not be accepted.</w:t>
      </w:r>
    </w:p>
    <w:p w14:paraId="60E309E1" w14:textId="04E38FB6" w:rsidR="0011758D" w:rsidRPr="00CE4F09" w:rsidRDefault="0011758D" w:rsidP="0011758D">
      <w:pPr>
        <w:pStyle w:val="Heading4"/>
      </w:pPr>
      <w:bookmarkStart w:id="32" w:name="_Toc65148228"/>
      <w:bookmarkStart w:id="33" w:name="_Toc69823143"/>
      <w:r>
        <w:lastRenderedPageBreak/>
        <w:t xml:space="preserve">Item </w:t>
      </w:r>
      <w:r w:rsidR="00FD2F97">
        <w:t>8</w:t>
      </w:r>
      <w:r>
        <w:t xml:space="preserve"> – At risk of prion disease</w:t>
      </w:r>
      <w:bookmarkEnd w:id="32"/>
      <w:bookmarkEnd w:id="33"/>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11758D" w:rsidRPr="00C563D1" w14:paraId="1E48BED4" w14:textId="77777777" w:rsidTr="007533BA">
        <w:trPr>
          <w:trHeight w:val="391"/>
        </w:trPr>
        <w:tc>
          <w:tcPr>
            <w:tcW w:w="25" w:type="dxa"/>
            <w:vAlign w:val="center"/>
          </w:tcPr>
          <w:p w14:paraId="00FED648" w14:textId="77777777" w:rsidR="0011758D" w:rsidRPr="00C563D1" w:rsidRDefault="0011758D" w:rsidP="007533BA"/>
        </w:tc>
        <w:tc>
          <w:tcPr>
            <w:tcW w:w="679" w:type="dxa"/>
            <w:shd w:val="clear" w:color="auto" w:fill="EAEAEA"/>
          </w:tcPr>
          <w:p w14:paraId="4B6F3DF4" w14:textId="77777777" w:rsidR="0011758D" w:rsidRPr="00C563D1" w:rsidRDefault="0011758D" w:rsidP="007533BA">
            <w:pPr>
              <w:jc w:val="center"/>
              <w:rPr>
                <w:b/>
              </w:rPr>
            </w:pPr>
            <w:r w:rsidRPr="00C563D1">
              <w:rPr>
                <w:b/>
              </w:rPr>
              <w:t>Item</w:t>
            </w:r>
          </w:p>
          <w:p w14:paraId="05A8A385" w14:textId="353E544F" w:rsidR="0011758D" w:rsidRPr="00C563D1" w:rsidRDefault="00FD2F97" w:rsidP="007533BA">
            <w:pPr>
              <w:jc w:val="center"/>
            </w:pPr>
            <w:r>
              <w:t>8</w:t>
            </w:r>
          </w:p>
        </w:tc>
        <w:tc>
          <w:tcPr>
            <w:tcW w:w="4536" w:type="dxa"/>
            <w:shd w:val="clear" w:color="auto" w:fill="EAEAEA"/>
            <w:tcMar>
              <w:top w:w="170" w:type="dxa"/>
              <w:left w:w="170" w:type="dxa"/>
              <w:bottom w:w="170" w:type="dxa"/>
              <w:right w:w="170" w:type="dxa"/>
            </w:tcMar>
          </w:tcPr>
          <w:p w14:paraId="3195D725" w14:textId="77777777" w:rsidR="0011758D" w:rsidRPr="00C563D1" w:rsidRDefault="0011758D" w:rsidP="007533BA">
            <w:pPr>
              <w:rPr>
                <w:b/>
              </w:rPr>
            </w:pPr>
            <w:r w:rsidRPr="00C563D1">
              <w:rPr>
                <w:b/>
              </w:rPr>
              <w:t>Medical and social history criteria</w:t>
            </w:r>
          </w:p>
          <w:p w14:paraId="5C6B7843" w14:textId="1F097285" w:rsidR="0011758D" w:rsidRPr="00C563D1" w:rsidRDefault="00FD2F97" w:rsidP="007533BA">
            <w:r w:rsidRPr="000A29B3">
              <w:t xml:space="preserve">a person who </w:t>
            </w:r>
            <w:r w:rsidRPr="00E5022B">
              <w:t>is at risk of prion disease because the person</w:t>
            </w:r>
            <w:r w:rsidRPr="000A29B3">
              <w:t xml:space="preserve"> </w:t>
            </w:r>
            <w:r w:rsidRPr="00E5022B">
              <w:t xml:space="preserve">has </w:t>
            </w:r>
            <w:r>
              <w:t xml:space="preserve">been, or potentially </w:t>
            </w:r>
            <w:r w:rsidRPr="00E5022B">
              <w:t>been</w:t>
            </w:r>
            <w:r>
              <w:t>,</w:t>
            </w:r>
            <w:r w:rsidRPr="000A29B3">
              <w:t xml:space="preserve"> exposed to the putative causative agent of one of the family of pathogenic transmissible spongiform encephalopathies, including</w:t>
            </w:r>
            <w:r w:rsidR="0011758D" w:rsidRPr="00C563D1">
              <w:t>:</w:t>
            </w:r>
          </w:p>
          <w:p w14:paraId="21F189AB" w14:textId="77777777" w:rsidR="0011758D" w:rsidRPr="00C563D1" w:rsidRDefault="0011758D" w:rsidP="007533BA">
            <w:r w:rsidRPr="00C563D1">
              <w:t>(a) genetic (familial) exposure;</w:t>
            </w:r>
          </w:p>
          <w:p w14:paraId="4A3B2B1B" w14:textId="707B7C27" w:rsidR="0011758D" w:rsidRPr="00C563D1" w:rsidRDefault="0011758D" w:rsidP="007533BA">
            <w:r w:rsidRPr="00C563D1">
              <w:t xml:space="preserve">(b) </w:t>
            </w:r>
            <w:r w:rsidR="00FD2F97" w:rsidRPr="00E5022B">
              <w:t xml:space="preserve">environmental exposure, including living in or visiting England, Scotland, Wales, Northern Ireland or the Isle of Man for a cumulative period of </w:t>
            </w:r>
            <w:r w:rsidR="00FD2F97">
              <w:t>6</w:t>
            </w:r>
            <w:r w:rsidR="00FD2F97" w:rsidRPr="00E5022B">
              <w:t xml:space="preserve"> months or more, at any time between 1 January 1980 and 31 December 1996</w:t>
            </w:r>
            <w:r w:rsidRPr="00C563D1">
              <w:t>; or</w:t>
            </w:r>
          </w:p>
          <w:p w14:paraId="5AF1774F" w14:textId="7C4ED230" w:rsidR="0011758D" w:rsidRPr="00C563D1" w:rsidRDefault="0011758D" w:rsidP="007533BA">
            <w:r w:rsidRPr="00C563D1">
              <w:t xml:space="preserve">(c) </w:t>
            </w:r>
            <w:r w:rsidR="00FD2F97" w:rsidRPr="00E5022B">
              <w:t xml:space="preserve">iatrogenic exposure, including receiving a transfusion or injection of blood or blood components while in England, </w:t>
            </w:r>
            <w:r w:rsidR="00FD2F97" w:rsidRPr="000A29B3">
              <w:t>Scotland</w:t>
            </w:r>
            <w:r w:rsidR="00FD2F97" w:rsidRPr="00E5022B">
              <w:t>, Wales, Northern Ireland or the Isle of Man at any time on or after 1 January 1980</w:t>
            </w:r>
          </w:p>
        </w:tc>
        <w:tc>
          <w:tcPr>
            <w:tcW w:w="3827" w:type="dxa"/>
            <w:shd w:val="clear" w:color="auto" w:fill="EAEAEA"/>
          </w:tcPr>
          <w:p w14:paraId="7C7AFCFE" w14:textId="77777777" w:rsidR="0011758D" w:rsidRPr="00C563D1" w:rsidRDefault="0011758D" w:rsidP="007533BA">
            <w:pPr>
              <w:rPr>
                <w:b/>
              </w:rPr>
            </w:pPr>
            <w:r w:rsidRPr="00C563D1">
              <w:rPr>
                <w:b/>
              </w:rPr>
              <w:t>Period of ineligibility</w:t>
            </w:r>
          </w:p>
          <w:p w14:paraId="1548A0AD" w14:textId="77777777" w:rsidR="0011758D" w:rsidRPr="00C563D1" w:rsidRDefault="0011758D" w:rsidP="007533BA">
            <w:r w:rsidRPr="00C563D1">
              <w:t>permanently ineligible</w:t>
            </w:r>
          </w:p>
        </w:tc>
      </w:tr>
    </w:tbl>
    <w:p w14:paraId="67CD8469" w14:textId="40D58647" w:rsidR="0011758D" w:rsidRDefault="0011758D" w:rsidP="0011758D">
      <w:pPr>
        <w:rPr>
          <w:szCs w:val="22"/>
        </w:rPr>
      </w:pPr>
      <w:r>
        <w:rPr>
          <w:szCs w:val="22"/>
        </w:rPr>
        <w:t>P</w:t>
      </w:r>
      <w:r w:rsidRPr="00EB3909">
        <w:rPr>
          <w:szCs w:val="22"/>
        </w:rPr>
        <w:t>ermanent deferral of a donor may need to be considered due to risk of prion disease</w:t>
      </w:r>
      <w:r>
        <w:rPr>
          <w:szCs w:val="22"/>
        </w:rPr>
        <w:t xml:space="preserve"> </w:t>
      </w:r>
      <w:r w:rsidRPr="00EB3909">
        <w:rPr>
          <w:szCs w:val="22"/>
        </w:rPr>
        <w:t>where</w:t>
      </w:r>
      <w:r>
        <w:rPr>
          <w:szCs w:val="22"/>
        </w:rPr>
        <w:t>:</w:t>
      </w:r>
    </w:p>
    <w:p w14:paraId="525D8F3A" w14:textId="77777777" w:rsidR="0011758D" w:rsidRDefault="0011758D" w:rsidP="0011758D">
      <w:pPr>
        <w:pStyle w:val="ListBullet"/>
        <w:numPr>
          <w:ilvl w:val="0"/>
          <w:numId w:val="1"/>
        </w:numPr>
      </w:pPr>
      <w:r w:rsidRPr="00EB3909">
        <w:t>patients have symptoms of progressive neurological disease consistent with prion disease</w:t>
      </w:r>
    </w:p>
    <w:p w14:paraId="6A4C912A" w14:textId="18D73265" w:rsidR="0011758D" w:rsidRDefault="0011758D" w:rsidP="001022CC">
      <w:pPr>
        <w:pStyle w:val="ListBullet"/>
        <w:numPr>
          <w:ilvl w:val="0"/>
          <w:numId w:val="0"/>
        </w:numPr>
        <w:ind w:left="360" w:hanging="360"/>
      </w:pPr>
      <w:r>
        <w:t>AND</w:t>
      </w:r>
    </w:p>
    <w:p w14:paraId="1669E415" w14:textId="0B19CB0E" w:rsidR="0011758D" w:rsidRDefault="0011758D" w:rsidP="0011758D">
      <w:pPr>
        <w:pStyle w:val="ListBullet"/>
        <w:numPr>
          <w:ilvl w:val="0"/>
          <w:numId w:val="1"/>
        </w:numPr>
      </w:pPr>
      <w:r w:rsidRPr="00EB3909">
        <w:t>activities that could iatrogenically transfer prion disease have occurred</w:t>
      </w:r>
    </w:p>
    <w:p w14:paraId="66F11B30" w14:textId="459539E0" w:rsidR="0011758D" w:rsidRPr="00EB3909" w:rsidRDefault="0011758D" w:rsidP="0011758D">
      <w:pPr>
        <w:pStyle w:val="Heading4"/>
      </w:pPr>
      <w:bookmarkStart w:id="34" w:name="_Toc65148232"/>
      <w:bookmarkStart w:id="35" w:name="_Toc69823144"/>
      <w:r>
        <w:t xml:space="preserve">Item </w:t>
      </w:r>
      <w:r w:rsidR="00FD2F97">
        <w:t>9</w:t>
      </w:r>
      <w:r>
        <w:t xml:space="preserve"> – Recipients of human pituitary derived hormone</w:t>
      </w:r>
      <w:bookmarkEnd w:id="34"/>
      <w:bookmarkEnd w:id="35"/>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11758D" w:rsidRPr="00C563D1" w14:paraId="2AAC8C35" w14:textId="77777777" w:rsidTr="007533BA">
        <w:trPr>
          <w:trHeight w:val="391"/>
        </w:trPr>
        <w:tc>
          <w:tcPr>
            <w:tcW w:w="25" w:type="dxa"/>
            <w:vAlign w:val="center"/>
          </w:tcPr>
          <w:p w14:paraId="4AACFAF2" w14:textId="77777777" w:rsidR="0011758D" w:rsidRPr="00C563D1" w:rsidRDefault="0011758D" w:rsidP="007533BA"/>
        </w:tc>
        <w:tc>
          <w:tcPr>
            <w:tcW w:w="679" w:type="dxa"/>
            <w:shd w:val="clear" w:color="auto" w:fill="EAEAEA"/>
          </w:tcPr>
          <w:p w14:paraId="6923EF14" w14:textId="77777777" w:rsidR="0011758D" w:rsidRPr="00C563D1" w:rsidRDefault="0011758D" w:rsidP="007533BA">
            <w:pPr>
              <w:jc w:val="center"/>
              <w:rPr>
                <w:b/>
              </w:rPr>
            </w:pPr>
            <w:r w:rsidRPr="00C563D1">
              <w:rPr>
                <w:b/>
              </w:rPr>
              <w:t>Item</w:t>
            </w:r>
          </w:p>
          <w:p w14:paraId="2297B1F4" w14:textId="746F7C82" w:rsidR="0011758D" w:rsidRPr="00C563D1" w:rsidRDefault="00FD2F97" w:rsidP="007533BA">
            <w:pPr>
              <w:jc w:val="center"/>
            </w:pPr>
            <w:r>
              <w:t>9</w:t>
            </w:r>
          </w:p>
        </w:tc>
        <w:tc>
          <w:tcPr>
            <w:tcW w:w="4536" w:type="dxa"/>
            <w:shd w:val="clear" w:color="auto" w:fill="EAEAEA"/>
            <w:tcMar>
              <w:top w:w="170" w:type="dxa"/>
              <w:left w:w="170" w:type="dxa"/>
              <w:bottom w:w="170" w:type="dxa"/>
              <w:right w:w="170" w:type="dxa"/>
            </w:tcMar>
          </w:tcPr>
          <w:p w14:paraId="30928F65" w14:textId="77777777" w:rsidR="0011758D" w:rsidRPr="00C563D1" w:rsidRDefault="0011758D" w:rsidP="007533BA">
            <w:pPr>
              <w:rPr>
                <w:b/>
              </w:rPr>
            </w:pPr>
            <w:r w:rsidRPr="00C563D1">
              <w:rPr>
                <w:b/>
              </w:rPr>
              <w:t>Medical and social history criteria</w:t>
            </w:r>
          </w:p>
          <w:p w14:paraId="0193E08D" w14:textId="61CA5280" w:rsidR="0011758D" w:rsidRPr="00C563D1" w:rsidRDefault="00FD2F97" w:rsidP="007533BA">
            <w:r w:rsidRPr="000A29B3">
              <w:t xml:space="preserve">a person who </w:t>
            </w:r>
            <w:r w:rsidRPr="00E5022B">
              <w:t>has been a recipient of</w:t>
            </w:r>
            <w:r w:rsidRPr="000A29B3">
              <w:t xml:space="preserve"> human pituitary-derived hormone</w:t>
            </w:r>
          </w:p>
        </w:tc>
        <w:tc>
          <w:tcPr>
            <w:tcW w:w="3827" w:type="dxa"/>
            <w:shd w:val="clear" w:color="auto" w:fill="EAEAEA"/>
          </w:tcPr>
          <w:p w14:paraId="211A1FF2" w14:textId="77777777" w:rsidR="0011758D" w:rsidRPr="00C563D1" w:rsidRDefault="0011758D" w:rsidP="007533BA">
            <w:pPr>
              <w:rPr>
                <w:b/>
              </w:rPr>
            </w:pPr>
            <w:r w:rsidRPr="00C563D1">
              <w:rPr>
                <w:b/>
              </w:rPr>
              <w:t>Period of ineligibility</w:t>
            </w:r>
          </w:p>
          <w:p w14:paraId="02484C87" w14:textId="77777777" w:rsidR="0011758D" w:rsidRPr="00C563D1" w:rsidRDefault="0011758D" w:rsidP="007533BA">
            <w:r>
              <w:t>permanently ineligible</w:t>
            </w:r>
          </w:p>
        </w:tc>
      </w:tr>
    </w:tbl>
    <w:p w14:paraId="388B8F15" w14:textId="77777777" w:rsidR="0011758D" w:rsidRDefault="0011758D" w:rsidP="0011758D">
      <w:pPr>
        <w:rPr>
          <w:rFonts w:asciiTheme="minorHAnsi" w:hAnsiTheme="minorHAnsi"/>
          <w:szCs w:val="22"/>
        </w:rPr>
      </w:pPr>
      <w:r>
        <w:rPr>
          <w:rFonts w:asciiTheme="minorHAnsi" w:hAnsiTheme="minorHAnsi"/>
          <w:szCs w:val="22"/>
        </w:rPr>
        <w:t>H</w:t>
      </w:r>
      <w:r w:rsidRPr="00EB3909">
        <w:rPr>
          <w:rFonts w:asciiTheme="minorHAnsi" w:hAnsiTheme="minorHAnsi"/>
          <w:szCs w:val="22"/>
        </w:rPr>
        <w:t>uman derived pituitary hormone is currently not available in Australia</w:t>
      </w:r>
      <w:r>
        <w:rPr>
          <w:rFonts w:asciiTheme="minorHAnsi" w:hAnsiTheme="minorHAnsi"/>
          <w:szCs w:val="22"/>
        </w:rPr>
        <w:t>. S</w:t>
      </w:r>
      <w:r w:rsidRPr="00EB3909">
        <w:rPr>
          <w:rFonts w:asciiTheme="minorHAnsi" w:hAnsiTheme="minorHAnsi"/>
          <w:szCs w:val="22"/>
        </w:rPr>
        <w:t>ynthetically derived product</w:t>
      </w:r>
      <w:r>
        <w:rPr>
          <w:rFonts w:asciiTheme="minorHAnsi" w:hAnsiTheme="minorHAnsi"/>
          <w:szCs w:val="22"/>
        </w:rPr>
        <w:t>s</w:t>
      </w:r>
      <w:r w:rsidRPr="00EB3909">
        <w:rPr>
          <w:rFonts w:asciiTheme="minorHAnsi" w:hAnsiTheme="minorHAnsi"/>
          <w:szCs w:val="22"/>
        </w:rPr>
        <w:t xml:space="preserve"> </w:t>
      </w:r>
      <w:r>
        <w:rPr>
          <w:rFonts w:asciiTheme="minorHAnsi" w:hAnsiTheme="minorHAnsi"/>
          <w:szCs w:val="22"/>
        </w:rPr>
        <w:t xml:space="preserve">are </w:t>
      </w:r>
      <w:r w:rsidRPr="00EB3909">
        <w:rPr>
          <w:rFonts w:asciiTheme="minorHAnsi" w:hAnsiTheme="minorHAnsi"/>
          <w:szCs w:val="22"/>
        </w:rPr>
        <w:t xml:space="preserve">currently used. </w:t>
      </w:r>
      <w:r>
        <w:rPr>
          <w:rFonts w:asciiTheme="minorHAnsi" w:hAnsiTheme="minorHAnsi"/>
          <w:szCs w:val="22"/>
        </w:rPr>
        <w:t>This permanent</w:t>
      </w:r>
      <w:r w:rsidRPr="00EB3909">
        <w:rPr>
          <w:rFonts w:asciiTheme="minorHAnsi" w:hAnsiTheme="minorHAnsi"/>
          <w:szCs w:val="22"/>
        </w:rPr>
        <w:t xml:space="preserve"> ineligibility </w:t>
      </w:r>
      <w:r w:rsidRPr="00A35D7E">
        <w:rPr>
          <w:rFonts w:asciiTheme="minorHAnsi" w:hAnsiTheme="minorHAnsi"/>
          <w:b/>
          <w:szCs w:val="22"/>
        </w:rPr>
        <w:t>does not</w:t>
      </w:r>
      <w:r w:rsidRPr="00EB3909">
        <w:rPr>
          <w:rFonts w:asciiTheme="minorHAnsi" w:hAnsiTheme="minorHAnsi"/>
          <w:szCs w:val="22"/>
        </w:rPr>
        <w:t xml:space="preserve"> apply to </w:t>
      </w:r>
      <w:r>
        <w:rPr>
          <w:rFonts w:asciiTheme="minorHAnsi" w:hAnsiTheme="minorHAnsi"/>
          <w:szCs w:val="22"/>
        </w:rPr>
        <w:t>proposed</w:t>
      </w:r>
      <w:r w:rsidRPr="00EB3909">
        <w:rPr>
          <w:rFonts w:asciiTheme="minorHAnsi" w:hAnsiTheme="minorHAnsi"/>
          <w:szCs w:val="22"/>
        </w:rPr>
        <w:t xml:space="preserve"> donors that have received </w:t>
      </w:r>
      <w:r w:rsidRPr="00C10E14">
        <w:rPr>
          <w:rFonts w:asciiTheme="minorHAnsi" w:hAnsiTheme="minorHAnsi"/>
          <w:b/>
          <w:szCs w:val="22"/>
        </w:rPr>
        <w:t>synthetically</w:t>
      </w:r>
      <w:r w:rsidRPr="00EB3909">
        <w:rPr>
          <w:rFonts w:asciiTheme="minorHAnsi" w:hAnsiTheme="minorHAnsi"/>
          <w:szCs w:val="22"/>
        </w:rPr>
        <w:t xml:space="preserve"> derived product.</w:t>
      </w:r>
    </w:p>
    <w:p w14:paraId="21334667" w14:textId="1D7F06CD" w:rsidR="00AE7277" w:rsidRPr="00057687" w:rsidRDefault="00FD2F97" w:rsidP="00AE7277">
      <w:pPr>
        <w:pStyle w:val="Heading4"/>
      </w:pPr>
      <w:bookmarkStart w:id="36" w:name="_Toc65148231"/>
      <w:bookmarkStart w:id="37" w:name="_Toc69823145"/>
      <w:r>
        <w:t>Item 10</w:t>
      </w:r>
      <w:r w:rsidR="00AE7277">
        <w:t xml:space="preserve"> – At</w:t>
      </w:r>
      <w:r w:rsidR="00AE7277" w:rsidRPr="00057687">
        <w:t xml:space="preserve"> risk of acquiring a blood borne </w:t>
      </w:r>
      <w:r w:rsidR="00AE7277">
        <w:t>infection</w:t>
      </w:r>
      <w:bookmarkEnd w:id="36"/>
      <w:bookmarkEnd w:id="37"/>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AE7277" w:rsidRPr="00C563D1" w14:paraId="382D12F6" w14:textId="77777777" w:rsidTr="007533BA">
        <w:trPr>
          <w:trHeight w:val="391"/>
        </w:trPr>
        <w:tc>
          <w:tcPr>
            <w:tcW w:w="25" w:type="dxa"/>
            <w:vAlign w:val="center"/>
          </w:tcPr>
          <w:p w14:paraId="472095B0" w14:textId="77777777" w:rsidR="00AE7277" w:rsidRPr="00C563D1" w:rsidRDefault="00AE7277" w:rsidP="007533BA"/>
        </w:tc>
        <w:tc>
          <w:tcPr>
            <w:tcW w:w="679" w:type="dxa"/>
            <w:shd w:val="clear" w:color="auto" w:fill="EAEAEA"/>
          </w:tcPr>
          <w:p w14:paraId="481B6A96" w14:textId="77777777" w:rsidR="00AE7277" w:rsidRPr="00C563D1" w:rsidRDefault="00AE7277" w:rsidP="007533BA">
            <w:pPr>
              <w:jc w:val="center"/>
              <w:rPr>
                <w:b/>
              </w:rPr>
            </w:pPr>
            <w:r w:rsidRPr="00C563D1">
              <w:rPr>
                <w:b/>
              </w:rPr>
              <w:t>Item</w:t>
            </w:r>
          </w:p>
          <w:p w14:paraId="5ED4DAAD" w14:textId="2F863857" w:rsidR="00AE7277" w:rsidRPr="00C563D1" w:rsidRDefault="00FD2F97" w:rsidP="007533BA">
            <w:pPr>
              <w:jc w:val="center"/>
            </w:pPr>
            <w:r>
              <w:t>10</w:t>
            </w:r>
          </w:p>
        </w:tc>
        <w:tc>
          <w:tcPr>
            <w:tcW w:w="4536" w:type="dxa"/>
            <w:shd w:val="clear" w:color="auto" w:fill="EAEAEA"/>
            <w:tcMar>
              <w:top w:w="170" w:type="dxa"/>
              <w:left w:w="170" w:type="dxa"/>
              <w:bottom w:w="170" w:type="dxa"/>
              <w:right w:w="170" w:type="dxa"/>
            </w:tcMar>
          </w:tcPr>
          <w:p w14:paraId="26D6050D" w14:textId="77777777" w:rsidR="00AE7277" w:rsidRPr="00C563D1" w:rsidRDefault="00AE7277" w:rsidP="007533BA">
            <w:pPr>
              <w:rPr>
                <w:b/>
              </w:rPr>
            </w:pPr>
            <w:r w:rsidRPr="00C563D1">
              <w:rPr>
                <w:b/>
              </w:rPr>
              <w:t>Medical and social history criteria</w:t>
            </w:r>
          </w:p>
          <w:p w14:paraId="7B8C9444" w14:textId="3F7E3641" w:rsidR="00AE7277" w:rsidRDefault="00FD2F97" w:rsidP="007533BA">
            <w:r w:rsidRPr="000A29B3">
              <w:lastRenderedPageBreak/>
              <w:t>a person who has been exposed to any of the following risks of a</w:t>
            </w:r>
            <w:r>
              <w:t xml:space="preserve">cquiring a blood borne </w:t>
            </w:r>
            <w:r w:rsidRPr="00E5022B">
              <w:t>tran</w:t>
            </w:r>
            <w:r>
              <w:t>smissible infection</w:t>
            </w:r>
            <w:r w:rsidR="00AE7277">
              <w:t>:</w:t>
            </w:r>
          </w:p>
          <w:p w14:paraId="5B20FF05" w14:textId="77777777" w:rsidR="00AE7277" w:rsidRDefault="00AE7277" w:rsidP="007533BA">
            <w:r>
              <w:t xml:space="preserve">(a) </w:t>
            </w:r>
            <w:r w:rsidRPr="000A29B3">
              <w:t>mucosal splash with blood or other bodily fluids</w:t>
            </w:r>
            <w:r>
              <w:t>;</w:t>
            </w:r>
          </w:p>
          <w:p w14:paraId="1BE448A5" w14:textId="77777777" w:rsidR="00AE7277" w:rsidRDefault="00AE7277" w:rsidP="007533BA">
            <w:r>
              <w:t xml:space="preserve">(b) </w:t>
            </w:r>
            <w:r w:rsidRPr="000A29B3">
              <w:t>needle stick injury</w:t>
            </w:r>
            <w:r>
              <w:t>;</w:t>
            </w:r>
          </w:p>
          <w:p w14:paraId="1FC3B603" w14:textId="77777777" w:rsidR="00AE7277" w:rsidRDefault="00AE7277" w:rsidP="007533BA">
            <w:r>
              <w:t>(c) tattoo;</w:t>
            </w:r>
          </w:p>
          <w:p w14:paraId="322A634A" w14:textId="77777777" w:rsidR="00AE7277" w:rsidRDefault="00AE7277" w:rsidP="007533BA">
            <w:r>
              <w:t xml:space="preserve">(d) </w:t>
            </w:r>
            <w:r w:rsidRPr="000A29B3">
              <w:t>body piercing (including earring)</w:t>
            </w:r>
            <w:r>
              <w:t>; or</w:t>
            </w:r>
          </w:p>
          <w:p w14:paraId="1F2FCB54" w14:textId="77777777" w:rsidR="00AE7277" w:rsidRPr="00C563D1" w:rsidRDefault="00AE7277" w:rsidP="007533BA">
            <w:r>
              <w:t xml:space="preserve">(e) </w:t>
            </w:r>
            <w:r w:rsidRPr="000A29B3">
              <w:t>acupuncture or dry-needling, unless performed using sterile, single-use needles</w:t>
            </w:r>
          </w:p>
        </w:tc>
        <w:tc>
          <w:tcPr>
            <w:tcW w:w="3827" w:type="dxa"/>
            <w:shd w:val="clear" w:color="auto" w:fill="EAEAEA"/>
          </w:tcPr>
          <w:p w14:paraId="079806E6" w14:textId="77777777" w:rsidR="00AE7277" w:rsidRPr="00C563D1" w:rsidRDefault="00AE7277" w:rsidP="007533BA">
            <w:pPr>
              <w:rPr>
                <w:b/>
              </w:rPr>
            </w:pPr>
            <w:r w:rsidRPr="00C563D1">
              <w:rPr>
                <w:b/>
              </w:rPr>
              <w:lastRenderedPageBreak/>
              <w:t>Period of ineligibility</w:t>
            </w:r>
          </w:p>
          <w:p w14:paraId="6E4D4D90" w14:textId="3EF34203" w:rsidR="00AE7277" w:rsidRDefault="00AE7277" w:rsidP="007533BA">
            <w:r>
              <w:lastRenderedPageBreak/>
              <w:t xml:space="preserve">(a) </w:t>
            </w:r>
            <w:r w:rsidR="00821D63" w:rsidRPr="009A5E24">
              <w:t>where the person tests negative for HCV using NAT</w:t>
            </w:r>
            <w:r w:rsidR="00821D63">
              <w:t xml:space="preserve"> </w:t>
            </w:r>
            <w:r w:rsidR="00FD2F97">
              <w:t xml:space="preserve">– </w:t>
            </w:r>
            <w:r w:rsidRPr="000A29B3">
              <w:t>ineligible for at least 4 months from exposure; or</w:t>
            </w:r>
          </w:p>
          <w:p w14:paraId="26A58D5E" w14:textId="2AC1F4D0" w:rsidR="00AE7277" w:rsidRPr="00C563D1" w:rsidRDefault="00AE7277" w:rsidP="007533BA">
            <w:r>
              <w:t xml:space="preserve">(b) </w:t>
            </w:r>
            <w:r w:rsidR="00FD2F97">
              <w:t xml:space="preserve">in all other circumstances – </w:t>
            </w:r>
            <w:r w:rsidRPr="000A29B3">
              <w:t>ineligible for at least 6 months from exposure</w:t>
            </w:r>
          </w:p>
        </w:tc>
      </w:tr>
    </w:tbl>
    <w:p w14:paraId="343D299B" w14:textId="77777777" w:rsidR="00AE7277" w:rsidRDefault="00AE7277" w:rsidP="00AE7277">
      <w:pPr>
        <w:rPr>
          <w:rFonts w:asciiTheme="minorHAnsi" w:hAnsiTheme="minorHAnsi"/>
          <w:szCs w:val="22"/>
        </w:rPr>
      </w:pPr>
      <w:r w:rsidRPr="00EB3909">
        <w:rPr>
          <w:rFonts w:asciiTheme="minorHAnsi" w:hAnsiTheme="minorHAnsi"/>
          <w:szCs w:val="22"/>
        </w:rPr>
        <w:lastRenderedPageBreak/>
        <w:t xml:space="preserve">A donor with exposure to the risk of acquiring a </w:t>
      </w:r>
      <w:r>
        <w:rPr>
          <w:rFonts w:asciiTheme="minorHAnsi" w:hAnsiTheme="minorHAnsi"/>
          <w:szCs w:val="22"/>
        </w:rPr>
        <w:t xml:space="preserve">transmissible </w:t>
      </w:r>
      <w:r w:rsidRPr="00EB3909">
        <w:rPr>
          <w:rFonts w:asciiTheme="minorHAnsi" w:hAnsiTheme="minorHAnsi"/>
          <w:szCs w:val="22"/>
        </w:rPr>
        <w:t xml:space="preserve">blood borne </w:t>
      </w:r>
      <w:r>
        <w:rPr>
          <w:rFonts w:asciiTheme="minorHAnsi" w:hAnsiTheme="minorHAnsi"/>
          <w:szCs w:val="22"/>
        </w:rPr>
        <w:t>infection such as HIV, HBV and HCV</w:t>
      </w:r>
      <w:r w:rsidRPr="00EB3909">
        <w:rPr>
          <w:rFonts w:asciiTheme="minorHAnsi" w:hAnsiTheme="minorHAnsi"/>
          <w:szCs w:val="22"/>
        </w:rPr>
        <w:t xml:space="preserve"> must be deferred for</w:t>
      </w:r>
      <w:r>
        <w:rPr>
          <w:rFonts w:asciiTheme="minorHAnsi" w:hAnsiTheme="minorHAnsi"/>
          <w:szCs w:val="22"/>
        </w:rPr>
        <w:t>:</w:t>
      </w:r>
    </w:p>
    <w:p w14:paraId="2971E8AA" w14:textId="77777777" w:rsidR="00AE7277" w:rsidRDefault="00AE7277" w:rsidP="00AE7277">
      <w:pPr>
        <w:pStyle w:val="ListBullet"/>
        <w:numPr>
          <w:ilvl w:val="0"/>
          <w:numId w:val="1"/>
        </w:numPr>
      </w:pPr>
      <w:r w:rsidRPr="00EB3909">
        <w:t>a period that allows determination of disease development</w:t>
      </w:r>
    </w:p>
    <w:p w14:paraId="11F794EE" w14:textId="77777777" w:rsidR="00AE7277" w:rsidRDefault="00AE7277" w:rsidP="001022CC">
      <w:pPr>
        <w:pStyle w:val="ListBullet"/>
        <w:numPr>
          <w:ilvl w:val="0"/>
          <w:numId w:val="0"/>
        </w:numPr>
        <w:ind w:left="360" w:hanging="360"/>
      </w:pPr>
      <w:r>
        <w:t>AND</w:t>
      </w:r>
    </w:p>
    <w:p w14:paraId="621939C3" w14:textId="5738FE34" w:rsidR="00AE7277" w:rsidRDefault="00AE7277" w:rsidP="00AE7277">
      <w:pPr>
        <w:pStyle w:val="ListBullet"/>
        <w:numPr>
          <w:ilvl w:val="0"/>
          <w:numId w:val="1"/>
        </w:numPr>
      </w:pPr>
      <w:r w:rsidRPr="00EB3909">
        <w:t xml:space="preserve">they </w:t>
      </w:r>
      <w:r>
        <w:t xml:space="preserve">subsequently </w:t>
      </w:r>
      <w:r w:rsidRPr="00EB3909">
        <w:t>test negative for HIV, HBV and HCV</w:t>
      </w:r>
      <w:r>
        <w:t xml:space="preserve"> after this period of time</w:t>
      </w:r>
    </w:p>
    <w:p w14:paraId="6811293C" w14:textId="0D035A5C" w:rsidR="00D251BD" w:rsidRPr="00D251BD" w:rsidRDefault="00AE7277" w:rsidP="00D251BD">
      <w:pPr>
        <w:pStyle w:val="Heading4"/>
      </w:pPr>
      <w:bookmarkStart w:id="38" w:name="_Toc69823146"/>
      <w:r>
        <w:t>Item</w:t>
      </w:r>
      <w:r w:rsidR="00635645">
        <w:t xml:space="preserve"> </w:t>
      </w:r>
      <w:r w:rsidR="00D251BD">
        <w:t xml:space="preserve">11 </w:t>
      </w:r>
      <w:r>
        <w:t xml:space="preserve">– </w:t>
      </w:r>
      <w:r w:rsidR="00D251BD">
        <w:t>A</w:t>
      </w:r>
      <w:r w:rsidR="00750741">
        <w:t xml:space="preserve">llogeneic </w:t>
      </w:r>
      <w:bookmarkStart w:id="39" w:name="_Toc65148246"/>
      <w:r w:rsidR="00D251BD">
        <w:t>products</w:t>
      </w:r>
      <w:bookmarkEnd w:id="39"/>
      <w:bookmarkEnd w:id="38"/>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AE7277" w:rsidRPr="00C563D1" w14:paraId="18436641" w14:textId="77777777" w:rsidTr="007533BA">
        <w:trPr>
          <w:trHeight w:val="391"/>
        </w:trPr>
        <w:tc>
          <w:tcPr>
            <w:tcW w:w="25" w:type="dxa"/>
            <w:vAlign w:val="center"/>
          </w:tcPr>
          <w:p w14:paraId="6726621B" w14:textId="77777777" w:rsidR="00AE7277" w:rsidRPr="00C563D1" w:rsidRDefault="00AE7277" w:rsidP="007533BA"/>
        </w:tc>
        <w:tc>
          <w:tcPr>
            <w:tcW w:w="679" w:type="dxa"/>
            <w:shd w:val="clear" w:color="auto" w:fill="EAEAEA"/>
          </w:tcPr>
          <w:p w14:paraId="468E82F2" w14:textId="77777777" w:rsidR="00AE7277" w:rsidRPr="00C563D1" w:rsidRDefault="00AE7277" w:rsidP="007533BA">
            <w:pPr>
              <w:jc w:val="center"/>
              <w:rPr>
                <w:b/>
              </w:rPr>
            </w:pPr>
            <w:r w:rsidRPr="00C563D1">
              <w:rPr>
                <w:b/>
              </w:rPr>
              <w:t>Item</w:t>
            </w:r>
          </w:p>
          <w:p w14:paraId="64424F49" w14:textId="59EFD0EE" w:rsidR="00AE7277" w:rsidRPr="00C563D1" w:rsidRDefault="00750741" w:rsidP="00D235B0">
            <w:pPr>
              <w:jc w:val="center"/>
            </w:pPr>
            <w:r>
              <w:t>1</w:t>
            </w:r>
            <w:r w:rsidR="00D235B0">
              <w:t>1</w:t>
            </w:r>
          </w:p>
        </w:tc>
        <w:tc>
          <w:tcPr>
            <w:tcW w:w="4536" w:type="dxa"/>
            <w:shd w:val="clear" w:color="auto" w:fill="EAEAEA"/>
            <w:tcMar>
              <w:top w:w="170" w:type="dxa"/>
              <w:left w:w="170" w:type="dxa"/>
              <w:bottom w:w="170" w:type="dxa"/>
              <w:right w:w="170" w:type="dxa"/>
            </w:tcMar>
          </w:tcPr>
          <w:p w14:paraId="5EE88766" w14:textId="77777777" w:rsidR="00AE7277" w:rsidRPr="00C563D1" w:rsidRDefault="00AE7277" w:rsidP="007533BA">
            <w:pPr>
              <w:rPr>
                <w:b/>
              </w:rPr>
            </w:pPr>
            <w:r w:rsidRPr="00C563D1">
              <w:rPr>
                <w:b/>
              </w:rPr>
              <w:t>Medical and social history criteria</w:t>
            </w:r>
          </w:p>
          <w:p w14:paraId="199F32C4" w14:textId="42B82FFA" w:rsidR="00AE7277" w:rsidRPr="00C563D1" w:rsidRDefault="00821D63" w:rsidP="007533BA">
            <w:r w:rsidRPr="009A5E24">
              <w:t>a person who has been a recipient of allogeneic blood, blood components, human derived clotting factors, organs, cells or tissues that did not conform with this instrument</w:t>
            </w:r>
          </w:p>
        </w:tc>
        <w:tc>
          <w:tcPr>
            <w:tcW w:w="3827" w:type="dxa"/>
            <w:shd w:val="clear" w:color="auto" w:fill="EAEAEA"/>
          </w:tcPr>
          <w:p w14:paraId="0B6B5376" w14:textId="77777777" w:rsidR="00AE7277" w:rsidRPr="00C563D1" w:rsidRDefault="00AE7277" w:rsidP="007533BA">
            <w:pPr>
              <w:rPr>
                <w:b/>
              </w:rPr>
            </w:pPr>
            <w:r w:rsidRPr="00C563D1">
              <w:rPr>
                <w:b/>
              </w:rPr>
              <w:t>Period of ineligibility</w:t>
            </w:r>
          </w:p>
          <w:p w14:paraId="424B1F1A" w14:textId="79FA6784" w:rsidR="00AE7277" w:rsidRDefault="00D235B0" w:rsidP="007533BA">
            <w:r>
              <w:t xml:space="preserve">(a) </w:t>
            </w:r>
            <w:r w:rsidR="00821D63" w:rsidRPr="009A5E24">
              <w:t>where the person tests negative for HCV using NAT</w:t>
            </w:r>
            <w:r w:rsidR="00821D63">
              <w:t xml:space="preserve"> </w:t>
            </w:r>
            <w:r>
              <w:t xml:space="preserve">– </w:t>
            </w:r>
            <w:r w:rsidRPr="000A29B3">
              <w:t>ineligible for at least 4 months from receiving the allogeneic blood, blood components, human derived clotting factors, organs, cells or tissues</w:t>
            </w:r>
          </w:p>
          <w:p w14:paraId="2F6D8992" w14:textId="324B9CFB" w:rsidR="00D235B0" w:rsidRPr="00C563D1" w:rsidRDefault="00D235B0" w:rsidP="007533BA">
            <w:r>
              <w:t xml:space="preserve">(b) in all other circumstances – </w:t>
            </w:r>
            <w:r w:rsidRPr="000A29B3">
              <w:t>ineligible for at least 6 months from receiving the allogeneic blood, blood components, human derived clotting factors, organs, cells or tissues</w:t>
            </w:r>
          </w:p>
        </w:tc>
      </w:tr>
    </w:tbl>
    <w:p w14:paraId="178E6109" w14:textId="77777777" w:rsidR="003B564E" w:rsidRDefault="00B74B7C" w:rsidP="00B74B7C">
      <w:pPr>
        <w:rPr>
          <w:rFonts w:asciiTheme="minorHAnsi" w:hAnsiTheme="minorHAnsi"/>
          <w:szCs w:val="22"/>
        </w:rPr>
      </w:pPr>
      <w:r w:rsidRPr="00EB3909">
        <w:rPr>
          <w:rFonts w:asciiTheme="minorHAnsi" w:hAnsiTheme="minorHAnsi"/>
          <w:szCs w:val="22"/>
        </w:rPr>
        <w:t xml:space="preserve">If a </w:t>
      </w:r>
      <w:r>
        <w:rPr>
          <w:rFonts w:asciiTheme="minorHAnsi" w:hAnsiTheme="minorHAnsi"/>
          <w:szCs w:val="22"/>
        </w:rPr>
        <w:t>proposed</w:t>
      </w:r>
      <w:r w:rsidRPr="00EB3909">
        <w:rPr>
          <w:rFonts w:asciiTheme="minorHAnsi" w:hAnsiTheme="minorHAnsi"/>
          <w:szCs w:val="22"/>
        </w:rPr>
        <w:t xml:space="preserve"> donor has received </w:t>
      </w:r>
      <w:r w:rsidR="009D4837" w:rsidRPr="005D6D2C">
        <w:t xml:space="preserve">allogeneic </w:t>
      </w:r>
      <w:r w:rsidR="009D4837">
        <w:t xml:space="preserve">HCT materials or an allogeneic </w:t>
      </w:r>
      <w:r w:rsidR="009D4837" w:rsidRPr="005D6D2C">
        <w:t>organ</w:t>
      </w:r>
      <w:r w:rsidR="009D4837">
        <w:t xml:space="preserve"> </w:t>
      </w:r>
      <w:r w:rsidR="003B564E">
        <w:t xml:space="preserve">that did not conform with </w:t>
      </w:r>
      <w:r w:rsidR="009D4837">
        <w:t>TGO</w:t>
      </w:r>
      <w:r w:rsidR="003B564E">
        <w:t xml:space="preserve"> </w:t>
      </w:r>
      <w:r w:rsidR="009D4837">
        <w:t>108</w:t>
      </w:r>
      <w:r w:rsidRPr="00EB3909">
        <w:rPr>
          <w:rFonts w:asciiTheme="minorHAnsi" w:hAnsiTheme="minorHAnsi"/>
          <w:szCs w:val="22"/>
        </w:rPr>
        <w:t xml:space="preserve">, the sponsor must ensure that the product the donor received is compliant with </w:t>
      </w:r>
      <w:r w:rsidR="00D235B0">
        <w:rPr>
          <w:rFonts w:asciiTheme="minorHAnsi" w:hAnsiTheme="minorHAnsi"/>
          <w:szCs w:val="22"/>
        </w:rPr>
        <w:t>TGO</w:t>
      </w:r>
      <w:r w:rsidR="003B564E">
        <w:rPr>
          <w:rFonts w:asciiTheme="minorHAnsi" w:hAnsiTheme="minorHAnsi"/>
          <w:szCs w:val="22"/>
        </w:rPr>
        <w:t xml:space="preserve"> </w:t>
      </w:r>
      <w:r w:rsidR="00D235B0">
        <w:rPr>
          <w:rFonts w:asciiTheme="minorHAnsi" w:hAnsiTheme="minorHAnsi"/>
          <w:szCs w:val="22"/>
        </w:rPr>
        <w:t>108</w:t>
      </w:r>
      <w:r w:rsidRPr="00EB3909">
        <w:rPr>
          <w:rFonts w:asciiTheme="minorHAnsi" w:hAnsiTheme="minorHAnsi"/>
          <w:szCs w:val="22"/>
        </w:rPr>
        <w:t xml:space="preserve">. </w:t>
      </w:r>
    </w:p>
    <w:p w14:paraId="236366DF" w14:textId="38686242" w:rsidR="00B74B7C" w:rsidRDefault="00D251BD" w:rsidP="00B74B7C">
      <w:pPr>
        <w:rPr>
          <w:rFonts w:asciiTheme="minorHAnsi" w:hAnsiTheme="minorHAnsi"/>
          <w:szCs w:val="22"/>
        </w:rPr>
      </w:pPr>
      <w:r w:rsidRPr="00301F44">
        <w:rPr>
          <w:rFonts w:asciiTheme="minorHAnsi" w:hAnsiTheme="minorHAnsi"/>
          <w:szCs w:val="22"/>
        </w:rPr>
        <w:t xml:space="preserve">This may take the form of a statement describing the international standard with which the product was compliant and </w:t>
      </w:r>
      <w:r>
        <w:rPr>
          <w:rFonts w:asciiTheme="minorHAnsi" w:hAnsiTheme="minorHAnsi"/>
          <w:szCs w:val="22"/>
        </w:rPr>
        <w:t>confirming equivalence to TGO</w:t>
      </w:r>
      <w:r w:rsidR="003B564E">
        <w:rPr>
          <w:rFonts w:asciiTheme="minorHAnsi" w:hAnsiTheme="minorHAnsi"/>
          <w:szCs w:val="22"/>
        </w:rPr>
        <w:t xml:space="preserve"> </w:t>
      </w:r>
      <w:r>
        <w:rPr>
          <w:rFonts w:asciiTheme="minorHAnsi" w:hAnsiTheme="minorHAnsi"/>
          <w:szCs w:val="22"/>
        </w:rPr>
        <w:t xml:space="preserve">108. </w:t>
      </w:r>
      <w:r w:rsidR="00B74B7C">
        <w:rPr>
          <w:rFonts w:asciiTheme="minorHAnsi" w:hAnsiTheme="minorHAnsi"/>
          <w:szCs w:val="22"/>
        </w:rPr>
        <w:t xml:space="preserve">Where any of these products is not in accordance with the requirements </w:t>
      </w:r>
      <w:r w:rsidR="00D235B0">
        <w:rPr>
          <w:rFonts w:asciiTheme="minorHAnsi" w:hAnsiTheme="minorHAnsi"/>
          <w:szCs w:val="22"/>
        </w:rPr>
        <w:t>of TGO</w:t>
      </w:r>
      <w:r w:rsidR="003B564E">
        <w:rPr>
          <w:rFonts w:asciiTheme="minorHAnsi" w:hAnsiTheme="minorHAnsi"/>
          <w:szCs w:val="22"/>
        </w:rPr>
        <w:t xml:space="preserve"> </w:t>
      </w:r>
      <w:r w:rsidR="00D235B0">
        <w:rPr>
          <w:rFonts w:asciiTheme="minorHAnsi" w:hAnsiTheme="minorHAnsi"/>
          <w:szCs w:val="22"/>
        </w:rPr>
        <w:t>108</w:t>
      </w:r>
      <w:r w:rsidR="00B74B7C">
        <w:rPr>
          <w:rFonts w:asciiTheme="minorHAnsi" w:hAnsiTheme="minorHAnsi"/>
          <w:szCs w:val="22"/>
        </w:rPr>
        <w:t>, the proposed donor is ineligible from 6 months after receiving them.</w:t>
      </w:r>
    </w:p>
    <w:p w14:paraId="01A9BC50" w14:textId="72C08A3D" w:rsidR="00B74B7C" w:rsidRPr="00EB3909" w:rsidRDefault="00B74B7C" w:rsidP="00B74B7C">
      <w:pPr>
        <w:pStyle w:val="Heading4"/>
      </w:pPr>
      <w:bookmarkStart w:id="40" w:name="_Toc65148230"/>
      <w:bookmarkStart w:id="41" w:name="_Toc69823147"/>
      <w:r>
        <w:lastRenderedPageBreak/>
        <w:t>Item 12 – At increased risk due to sexual practices</w:t>
      </w:r>
      <w:bookmarkEnd w:id="40"/>
      <w:bookmarkEnd w:id="41"/>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B74B7C" w:rsidRPr="00C563D1" w14:paraId="4830DA45" w14:textId="77777777" w:rsidTr="007533BA">
        <w:trPr>
          <w:trHeight w:val="391"/>
        </w:trPr>
        <w:tc>
          <w:tcPr>
            <w:tcW w:w="25" w:type="dxa"/>
            <w:vAlign w:val="center"/>
          </w:tcPr>
          <w:p w14:paraId="67AA078D" w14:textId="77777777" w:rsidR="00B74B7C" w:rsidRPr="00C563D1" w:rsidRDefault="00B74B7C" w:rsidP="007533BA"/>
        </w:tc>
        <w:tc>
          <w:tcPr>
            <w:tcW w:w="679" w:type="dxa"/>
            <w:shd w:val="clear" w:color="auto" w:fill="EAEAEA"/>
          </w:tcPr>
          <w:p w14:paraId="00F098CD" w14:textId="77777777" w:rsidR="00B74B7C" w:rsidRPr="00C563D1" w:rsidRDefault="00B74B7C" w:rsidP="007533BA">
            <w:pPr>
              <w:jc w:val="center"/>
              <w:rPr>
                <w:b/>
              </w:rPr>
            </w:pPr>
            <w:r w:rsidRPr="00C563D1">
              <w:rPr>
                <w:b/>
              </w:rPr>
              <w:t>Item</w:t>
            </w:r>
          </w:p>
          <w:p w14:paraId="2922909E" w14:textId="5A293FC1" w:rsidR="00B74B7C" w:rsidRPr="00C563D1" w:rsidRDefault="00B74B7C" w:rsidP="007533BA">
            <w:pPr>
              <w:jc w:val="center"/>
            </w:pPr>
            <w:r>
              <w:t>12</w:t>
            </w:r>
          </w:p>
        </w:tc>
        <w:tc>
          <w:tcPr>
            <w:tcW w:w="4536" w:type="dxa"/>
            <w:shd w:val="clear" w:color="auto" w:fill="EAEAEA"/>
            <w:tcMar>
              <w:top w:w="170" w:type="dxa"/>
              <w:left w:w="170" w:type="dxa"/>
              <w:bottom w:w="170" w:type="dxa"/>
              <w:right w:w="170" w:type="dxa"/>
            </w:tcMar>
          </w:tcPr>
          <w:p w14:paraId="2E12D451" w14:textId="77777777" w:rsidR="00B74B7C" w:rsidRPr="00C563D1" w:rsidRDefault="00B74B7C" w:rsidP="007533BA">
            <w:pPr>
              <w:rPr>
                <w:b/>
              </w:rPr>
            </w:pPr>
            <w:r w:rsidRPr="00C563D1">
              <w:rPr>
                <w:b/>
              </w:rPr>
              <w:t>Medical and social history criteria</w:t>
            </w:r>
          </w:p>
          <w:p w14:paraId="23680161" w14:textId="1625B1D8" w:rsidR="00B74B7C" w:rsidRPr="00C563D1" w:rsidRDefault="00821D63" w:rsidP="00B74B7C">
            <w:r w:rsidRPr="009A5E24">
              <w:t>a person who has engaged in sexual activity that puts the person at an increased risk of acquiring infectious diseases that could be transmitted through blood, cells or tissues</w:t>
            </w:r>
          </w:p>
        </w:tc>
        <w:tc>
          <w:tcPr>
            <w:tcW w:w="3827" w:type="dxa"/>
            <w:shd w:val="clear" w:color="auto" w:fill="EAEAEA"/>
          </w:tcPr>
          <w:p w14:paraId="6809AF2E" w14:textId="77777777" w:rsidR="00B74B7C" w:rsidRPr="00C563D1" w:rsidRDefault="00B74B7C" w:rsidP="007533BA">
            <w:pPr>
              <w:rPr>
                <w:b/>
              </w:rPr>
            </w:pPr>
            <w:r w:rsidRPr="00C563D1">
              <w:rPr>
                <w:b/>
              </w:rPr>
              <w:t>Period of ineligibility</w:t>
            </w:r>
          </w:p>
          <w:p w14:paraId="56925E19" w14:textId="1BD84FDB" w:rsidR="00B74B7C" w:rsidRPr="00C563D1" w:rsidRDefault="00D235B0" w:rsidP="006316FA">
            <w:r w:rsidRPr="000A29B3">
              <w:t xml:space="preserve">ineligible for at least </w:t>
            </w:r>
            <w:r w:rsidR="007E43FD">
              <w:t>3</w:t>
            </w:r>
            <w:r w:rsidRPr="000A29B3">
              <w:t xml:space="preserve"> months from the last sexual </w:t>
            </w:r>
            <w:r w:rsidRPr="00E5022B">
              <w:t>contact</w:t>
            </w:r>
          </w:p>
        </w:tc>
      </w:tr>
    </w:tbl>
    <w:p w14:paraId="15326635" w14:textId="6F1AAA78" w:rsidR="00B74B7C" w:rsidRDefault="00B74B7C" w:rsidP="00B74B7C">
      <w:pPr>
        <w:rPr>
          <w:rFonts w:asciiTheme="minorHAnsi" w:hAnsiTheme="minorHAnsi"/>
          <w:szCs w:val="22"/>
        </w:rPr>
      </w:pPr>
      <w:r w:rsidRPr="00EB3909">
        <w:rPr>
          <w:rFonts w:asciiTheme="minorHAnsi" w:hAnsiTheme="minorHAnsi"/>
          <w:szCs w:val="22"/>
        </w:rPr>
        <w:t xml:space="preserve">Sexual practices that are considered to increase the risk of acquiring infectious diseases that can be transmitted </w:t>
      </w:r>
      <w:r>
        <w:rPr>
          <w:rFonts w:asciiTheme="minorHAnsi" w:hAnsiTheme="minorHAnsi"/>
          <w:szCs w:val="22"/>
        </w:rPr>
        <w:t>through blood, cells or tissues</w:t>
      </w:r>
      <w:r w:rsidRPr="00EB3909">
        <w:rPr>
          <w:rFonts w:asciiTheme="minorHAnsi" w:hAnsiTheme="minorHAnsi"/>
          <w:szCs w:val="22"/>
        </w:rPr>
        <w:t xml:space="preserve"> i</w:t>
      </w:r>
      <w:r>
        <w:rPr>
          <w:rFonts w:asciiTheme="minorHAnsi" w:hAnsiTheme="minorHAnsi"/>
          <w:szCs w:val="22"/>
        </w:rPr>
        <w:t>nclude, but are not limited to:</w:t>
      </w:r>
    </w:p>
    <w:p w14:paraId="4987AA43" w14:textId="77777777" w:rsidR="00B74B7C" w:rsidRDefault="00B74B7C" w:rsidP="00B74B7C">
      <w:pPr>
        <w:pStyle w:val="ListBullet"/>
        <w:numPr>
          <w:ilvl w:val="0"/>
          <w:numId w:val="1"/>
        </w:numPr>
      </w:pPr>
      <w:r w:rsidRPr="00EB3909">
        <w:t>sexual activity with a sex-worker</w:t>
      </w:r>
    </w:p>
    <w:p w14:paraId="749BB037" w14:textId="77777777" w:rsidR="00B74B7C" w:rsidRDefault="00B74B7C" w:rsidP="00B74B7C">
      <w:pPr>
        <w:pStyle w:val="ListBullet"/>
        <w:numPr>
          <w:ilvl w:val="0"/>
          <w:numId w:val="1"/>
        </w:numPr>
      </w:pPr>
      <w:r w:rsidRPr="00EB3909">
        <w:t>sexual activity with someone who uses intravenous drugs</w:t>
      </w:r>
    </w:p>
    <w:p w14:paraId="13C4330E" w14:textId="77777777" w:rsidR="00B74B7C" w:rsidRDefault="00B74B7C" w:rsidP="00B74B7C">
      <w:pPr>
        <w:pStyle w:val="ListBullet"/>
        <w:numPr>
          <w:ilvl w:val="0"/>
          <w:numId w:val="1"/>
        </w:numPr>
      </w:pPr>
      <w:r w:rsidRPr="00EB3909">
        <w:t>having a partner who lives or lived in a high HIV</w:t>
      </w:r>
      <w:r>
        <w:t>-</w:t>
      </w:r>
      <w:r w:rsidRPr="00EB3909">
        <w:t>risk country</w:t>
      </w:r>
    </w:p>
    <w:p w14:paraId="68E76A56" w14:textId="77777777" w:rsidR="00B74B7C" w:rsidRDefault="00B74B7C" w:rsidP="00B74B7C">
      <w:pPr>
        <w:pStyle w:val="ListBullet"/>
        <w:numPr>
          <w:ilvl w:val="0"/>
          <w:numId w:val="1"/>
        </w:numPr>
      </w:pPr>
      <w:r>
        <w:t>for male donors, sexual activity with a male partner</w:t>
      </w:r>
    </w:p>
    <w:p w14:paraId="10E765AC" w14:textId="768E3BFC" w:rsidR="00B74B7C" w:rsidRDefault="00B74B7C" w:rsidP="00B74B7C">
      <w:pPr>
        <w:pStyle w:val="ListBullet"/>
        <w:numPr>
          <w:ilvl w:val="0"/>
          <w:numId w:val="1"/>
        </w:numPr>
      </w:pPr>
      <w:r>
        <w:t>for female donors, sexual activity with a male partner who also has sex with men</w:t>
      </w:r>
    </w:p>
    <w:p w14:paraId="183437B3" w14:textId="77777777" w:rsidR="00B74B7C" w:rsidRDefault="00B74B7C" w:rsidP="00B74B7C">
      <w:pPr>
        <w:rPr>
          <w:rFonts w:asciiTheme="minorHAnsi" w:hAnsiTheme="minorHAnsi"/>
          <w:szCs w:val="22"/>
        </w:rPr>
      </w:pPr>
      <w:r w:rsidRPr="00EB3909">
        <w:rPr>
          <w:rFonts w:asciiTheme="minorHAnsi" w:hAnsiTheme="minorHAnsi"/>
          <w:szCs w:val="22"/>
        </w:rPr>
        <w:t>The donor information that informs this deferral should be determined based on risk as relevant to the nature of the product and its use.</w:t>
      </w:r>
    </w:p>
    <w:p w14:paraId="029B44BD" w14:textId="64FA0DCB" w:rsidR="009B5E7B" w:rsidRPr="00EB3909" w:rsidRDefault="009B5E7B" w:rsidP="009B5E7B">
      <w:pPr>
        <w:pStyle w:val="Heading4"/>
      </w:pPr>
      <w:bookmarkStart w:id="42" w:name="_Toc65148247"/>
      <w:bookmarkStart w:id="43" w:name="_Toc69823148"/>
      <w:r>
        <w:t>Item 13 – Prison inmate for 72 or more consecutive hours</w:t>
      </w:r>
      <w:bookmarkEnd w:id="42"/>
      <w:bookmarkEnd w:id="43"/>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9B5E7B" w:rsidRPr="00C75052" w14:paraId="21C31E05" w14:textId="77777777" w:rsidTr="007533BA">
        <w:trPr>
          <w:trHeight w:val="1105"/>
        </w:trPr>
        <w:tc>
          <w:tcPr>
            <w:tcW w:w="25" w:type="dxa"/>
            <w:vAlign w:val="center"/>
          </w:tcPr>
          <w:p w14:paraId="19A8BF89" w14:textId="77777777" w:rsidR="009B5E7B" w:rsidRPr="00C75052" w:rsidRDefault="009B5E7B" w:rsidP="007533BA">
            <w:pPr>
              <w:rPr>
                <w:szCs w:val="22"/>
              </w:rPr>
            </w:pPr>
          </w:p>
        </w:tc>
        <w:tc>
          <w:tcPr>
            <w:tcW w:w="679" w:type="dxa"/>
            <w:shd w:val="clear" w:color="auto" w:fill="EAEAEA"/>
          </w:tcPr>
          <w:p w14:paraId="79C89913" w14:textId="77777777" w:rsidR="009B5E7B" w:rsidRPr="00C75052" w:rsidRDefault="009B5E7B" w:rsidP="007533BA">
            <w:pPr>
              <w:jc w:val="center"/>
              <w:rPr>
                <w:b/>
                <w:szCs w:val="22"/>
              </w:rPr>
            </w:pPr>
            <w:r w:rsidRPr="00C75052">
              <w:rPr>
                <w:b/>
                <w:szCs w:val="22"/>
              </w:rPr>
              <w:t>Item</w:t>
            </w:r>
          </w:p>
          <w:p w14:paraId="1FA5687D" w14:textId="4D575ED7" w:rsidR="009B5E7B" w:rsidRPr="00C75052" w:rsidRDefault="009B5E7B" w:rsidP="007533BA">
            <w:pPr>
              <w:jc w:val="center"/>
              <w:rPr>
                <w:szCs w:val="22"/>
              </w:rPr>
            </w:pPr>
            <w:r>
              <w:rPr>
                <w:szCs w:val="22"/>
              </w:rPr>
              <w:t>13</w:t>
            </w:r>
          </w:p>
        </w:tc>
        <w:tc>
          <w:tcPr>
            <w:tcW w:w="4536" w:type="dxa"/>
            <w:shd w:val="clear" w:color="auto" w:fill="EAEAEA"/>
            <w:tcMar>
              <w:top w:w="170" w:type="dxa"/>
              <w:left w:w="170" w:type="dxa"/>
              <w:bottom w:w="170" w:type="dxa"/>
              <w:right w:w="170" w:type="dxa"/>
            </w:tcMar>
          </w:tcPr>
          <w:p w14:paraId="27A63D2F" w14:textId="77777777" w:rsidR="009B5E7B" w:rsidRPr="00C75052" w:rsidRDefault="009B5E7B" w:rsidP="007533BA">
            <w:pPr>
              <w:rPr>
                <w:b/>
                <w:szCs w:val="22"/>
              </w:rPr>
            </w:pPr>
            <w:r w:rsidRPr="00C75052">
              <w:rPr>
                <w:b/>
                <w:szCs w:val="22"/>
              </w:rPr>
              <w:t>Medical and social history criteria</w:t>
            </w:r>
          </w:p>
          <w:p w14:paraId="2F85E946" w14:textId="5A5CE653" w:rsidR="009B5E7B" w:rsidRPr="00C75052" w:rsidRDefault="00D235B0" w:rsidP="007533BA">
            <w:pPr>
              <w:rPr>
                <w:szCs w:val="22"/>
              </w:rPr>
            </w:pPr>
            <w:r w:rsidRPr="000A29B3">
              <w:t>a person who has been imprisoned for a consecutive period of 72 hours or longer</w:t>
            </w:r>
          </w:p>
        </w:tc>
        <w:tc>
          <w:tcPr>
            <w:tcW w:w="3827" w:type="dxa"/>
            <w:shd w:val="clear" w:color="auto" w:fill="EAEAEA"/>
          </w:tcPr>
          <w:p w14:paraId="3F52FAEC" w14:textId="77777777" w:rsidR="009B5E7B" w:rsidRPr="00C75052" w:rsidRDefault="009B5E7B" w:rsidP="007533BA">
            <w:pPr>
              <w:rPr>
                <w:b/>
                <w:szCs w:val="22"/>
              </w:rPr>
            </w:pPr>
            <w:r w:rsidRPr="00C75052">
              <w:rPr>
                <w:b/>
                <w:szCs w:val="22"/>
              </w:rPr>
              <w:t>Period of ineligibility</w:t>
            </w:r>
          </w:p>
          <w:p w14:paraId="6D70F710" w14:textId="77777777" w:rsidR="009B5E7B" w:rsidRPr="00C75052" w:rsidRDefault="009B5E7B" w:rsidP="007533BA">
            <w:pPr>
              <w:rPr>
                <w:szCs w:val="22"/>
              </w:rPr>
            </w:pPr>
            <w:r w:rsidRPr="000A29B3">
              <w:t>ineligible for 12 months from the date of release from prison</w:t>
            </w:r>
          </w:p>
        </w:tc>
      </w:tr>
    </w:tbl>
    <w:p w14:paraId="55636D5F" w14:textId="77777777" w:rsidR="009B5E7B" w:rsidRDefault="009B5E7B" w:rsidP="009B5E7B">
      <w:pPr>
        <w:rPr>
          <w:rFonts w:asciiTheme="minorHAnsi" w:hAnsiTheme="minorHAnsi"/>
          <w:szCs w:val="22"/>
        </w:rPr>
      </w:pPr>
      <w:r>
        <w:rPr>
          <w:rFonts w:asciiTheme="minorHAnsi" w:hAnsiTheme="minorHAnsi"/>
          <w:szCs w:val="22"/>
        </w:rPr>
        <w:t xml:space="preserve">There is a known </w:t>
      </w:r>
      <w:r w:rsidRPr="003F337F">
        <w:rPr>
          <w:rFonts w:asciiTheme="minorHAnsi" w:hAnsiTheme="minorHAnsi"/>
          <w:szCs w:val="22"/>
        </w:rPr>
        <w:t>relationship between imprisonment</w:t>
      </w:r>
      <w:r>
        <w:rPr>
          <w:rFonts w:asciiTheme="minorHAnsi" w:hAnsiTheme="minorHAnsi"/>
          <w:szCs w:val="22"/>
        </w:rPr>
        <w:t xml:space="preserve">, </w:t>
      </w:r>
      <w:r w:rsidRPr="003F337F">
        <w:rPr>
          <w:rFonts w:asciiTheme="minorHAnsi" w:hAnsiTheme="minorHAnsi"/>
          <w:szCs w:val="22"/>
        </w:rPr>
        <w:t xml:space="preserve">drug use, </w:t>
      </w:r>
      <w:r>
        <w:rPr>
          <w:rFonts w:asciiTheme="minorHAnsi" w:hAnsiTheme="minorHAnsi"/>
          <w:szCs w:val="22"/>
        </w:rPr>
        <w:t xml:space="preserve">sexually transmitted and </w:t>
      </w:r>
      <w:r w:rsidRPr="003F337F">
        <w:rPr>
          <w:rFonts w:asciiTheme="minorHAnsi" w:hAnsiTheme="minorHAnsi"/>
          <w:szCs w:val="22"/>
        </w:rPr>
        <w:t>blood</w:t>
      </w:r>
      <w:r>
        <w:rPr>
          <w:rFonts w:asciiTheme="minorHAnsi" w:hAnsiTheme="minorHAnsi"/>
          <w:szCs w:val="22"/>
        </w:rPr>
        <w:t>-</w:t>
      </w:r>
      <w:r w:rsidRPr="003F337F">
        <w:rPr>
          <w:rFonts w:asciiTheme="minorHAnsi" w:hAnsiTheme="minorHAnsi"/>
          <w:szCs w:val="22"/>
        </w:rPr>
        <w:t>borne virus infecti</w:t>
      </w:r>
      <w:r>
        <w:rPr>
          <w:rFonts w:asciiTheme="minorHAnsi" w:hAnsiTheme="minorHAnsi"/>
          <w:szCs w:val="22"/>
        </w:rPr>
        <w:t>ons such as hepatitis B and C.</w:t>
      </w:r>
    </w:p>
    <w:p w14:paraId="2536B688" w14:textId="681942E7" w:rsidR="009B5E7B" w:rsidRPr="008B323B" w:rsidRDefault="009B5E7B" w:rsidP="009B5E7B">
      <w:pPr>
        <w:pStyle w:val="Heading4"/>
      </w:pPr>
      <w:bookmarkStart w:id="44" w:name="_Toc65148233"/>
      <w:bookmarkStart w:id="45" w:name="_Toc69823149"/>
      <w:r>
        <w:t>Item 14 – Active infection, fever or infectious disease</w:t>
      </w:r>
      <w:bookmarkEnd w:id="44"/>
      <w:bookmarkEnd w:id="45"/>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9B5E7B" w:rsidRPr="00C563D1" w14:paraId="14B12801" w14:textId="77777777" w:rsidTr="007533BA">
        <w:trPr>
          <w:trHeight w:val="391"/>
        </w:trPr>
        <w:tc>
          <w:tcPr>
            <w:tcW w:w="25" w:type="dxa"/>
            <w:vAlign w:val="center"/>
          </w:tcPr>
          <w:p w14:paraId="3F0551E7" w14:textId="77777777" w:rsidR="009B5E7B" w:rsidRPr="00C563D1" w:rsidRDefault="009B5E7B" w:rsidP="007533BA"/>
        </w:tc>
        <w:tc>
          <w:tcPr>
            <w:tcW w:w="679" w:type="dxa"/>
            <w:shd w:val="clear" w:color="auto" w:fill="EAEAEA"/>
          </w:tcPr>
          <w:p w14:paraId="4A23E43B" w14:textId="77777777" w:rsidR="009B5E7B" w:rsidRPr="00C563D1" w:rsidRDefault="009B5E7B" w:rsidP="007533BA">
            <w:pPr>
              <w:jc w:val="center"/>
              <w:rPr>
                <w:b/>
              </w:rPr>
            </w:pPr>
            <w:r w:rsidRPr="00C563D1">
              <w:rPr>
                <w:b/>
              </w:rPr>
              <w:t>Item</w:t>
            </w:r>
          </w:p>
          <w:p w14:paraId="5DF7990D" w14:textId="2094B739" w:rsidR="009B5E7B" w:rsidRPr="00C563D1" w:rsidRDefault="009B5E7B" w:rsidP="007533BA">
            <w:pPr>
              <w:jc w:val="center"/>
            </w:pPr>
            <w:r>
              <w:t>14</w:t>
            </w:r>
          </w:p>
        </w:tc>
        <w:tc>
          <w:tcPr>
            <w:tcW w:w="4536" w:type="dxa"/>
            <w:shd w:val="clear" w:color="auto" w:fill="EAEAEA"/>
            <w:tcMar>
              <w:top w:w="170" w:type="dxa"/>
              <w:left w:w="170" w:type="dxa"/>
              <w:bottom w:w="170" w:type="dxa"/>
              <w:right w:w="170" w:type="dxa"/>
            </w:tcMar>
          </w:tcPr>
          <w:p w14:paraId="7EB77DF5" w14:textId="77777777" w:rsidR="009B5E7B" w:rsidRPr="00C563D1" w:rsidRDefault="009B5E7B" w:rsidP="007533BA">
            <w:pPr>
              <w:rPr>
                <w:b/>
              </w:rPr>
            </w:pPr>
            <w:r w:rsidRPr="00C563D1">
              <w:rPr>
                <w:b/>
              </w:rPr>
              <w:t>Medical and social history criteria</w:t>
            </w:r>
          </w:p>
          <w:p w14:paraId="606811F8" w14:textId="77777777" w:rsidR="009B5E7B" w:rsidRPr="00C563D1" w:rsidRDefault="009B5E7B" w:rsidP="007533BA">
            <w:r w:rsidRPr="000A29B3">
              <w:t>a person who has an active infection, fever or infectious illness</w:t>
            </w:r>
          </w:p>
        </w:tc>
        <w:tc>
          <w:tcPr>
            <w:tcW w:w="3827" w:type="dxa"/>
            <w:shd w:val="clear" w:color="auto" w:fill="EAEAEA"/>
          </w:tcPr>
          <w:p w14:paraId="13863B93" w14:textId="77777777" w:rsidR="009B5E7B" w:rsidRPr="00C563D1" w:rsidRDefault="009B5E7B" w:rsidP="007533BA">
            <w:pPr>
              <w:rPr>
                <w:b/>
              </w:rPr>
            </w:pPr>
            <w:r w:rsidRPr="00C563D1">
              <w:rPr>
                <w:b/>
              </w:rPr>
              <w:t>Period of ineligibility</w:t>
            </w:r>
          </w:p>
          <w:p w14:paraId="1FA84022" w14:textId="77777777" w:rsidR="009B5E7B" w:rsidRPr="00C563D1" w:rsidRDefault="009B5E7B" w:rsidP="007533BA">
            <w:r w:rsidRPr="000A29B3">
              <w:t>ineligible for at least 2 weeks from the date of full recovery</w:t>
            </w:r>
          </w:p>
        </w:tc>
      </w:tr>
    </w:tbl>
    <w:p w14:paraId="6B58650F" w14:textId="1D0D9556" w:rsidR="009B5E7B" w:rsidRDefault="009B5E7B" w:rsidP="009B5E7B">
      <w:pPr>
        <w:rPr>
          <w:rFonts w:asciiTheme="minorHAnsi" w:hAnsiTheme="minorHAnsi"/>
          <w:szCs w:val="22"/>
        </w:rPr>
      </w:pPr>
      <w:r w:rsidRPr="007C5D9D">
        <w:rPr>
          <w:rFonts w:asciiTheme="minorHAnsi" w:hAnsiTheme="minorHAnsi"/>
          <w:szCs w:val="22"/>
        </w:rPr>
        <w:t>Clinical judgement should be used to determine the relevance of the infection, fever or illness to the s</w:t>
      </w:r>
      <w:r>
        <w:rPr>
          <w:rFonts w:asciiTheme="minorHAnsi" w:hAnsiTheme="minorHAnsi"/>
          <w:szCs w:val="22"/>
        </w:rPr>
        <w:t>uitability of the donor</w:t>
      </w:r>
      <w:r w:rsidRPr="007C5D9D">
        <w:rPr>
          <w:rFonts w:asciiTheme="minorHAnsi" w:hAnsiTheme="minorHAnsi"/>
          <w:szCs w:val="22"/>
        </w:rPr>
        <w:t xml:space="preserve">. </w:t>
      </w:r>
    </w:p>
    <w:p w14:paraId="3929E138" w14:textId="77777777" w:rsidR="009B5E7B" w:rsidRDefault="009B5E7B" w:rsidP="009B5E7B">
      <w:pPr>
        <w:rPr>
          <w:rFonts w:asciiTheme="minorHAnsi" w:hAnsiTheme="minorHAnsi"/>
          <w:szCs w:val="22"/>
        </w:rPr>
      </w:pPr>
      <w:r w:rsidRPr="007C5D9D">
        <w:rPr>
          <w:rFonts w:asciiTheme="minorHAnsi" w:hAnsiTheme="minorHAnsi"/>
          <w:szCs w:val="22"/>
        </w:rPr>
        <w:t>Determination</w:t>
      </w:r>
      <w:r>
        <w:rPr>
          <w:rFonts w:asciiTheme="minorHAnsi" w:hAnsiTheme="minorHAnsi"/>
          <w:szCs w:val="22"/>
        </w:rPr>
        <w:t xml:space="preserve"> of a disease-free </w:t>
      </w:r>
      <w:r w:rsidRPr="00EB3909">
        <w:rPr>
          <w:rFonts w:asciiTheme="minorHAnsi" w:hAnsiTheme="minorHAnsi"/>
          <w:szCs w:val="22"/>
        </w:rPr>
        <w:t xml:space="preserve">state should be established before a </w:t>
      </w:r>
      <w:r>
        <w:rPr>
          <w:rFonts w:asciiTheme="minorHAnsi" w:hAnsiTheme="minorHAnsi"/>
          <w:szCs w:val="22"/>
        </w:rPr>
        <w:t xml:space="preserve">proposed donor can be allowed to donate. </w:t>
      </w:r>
      <w:r w:rsidRPr="00EB3909">
        <w:rPr>
          <w:rFonts w:asciiTheme="minorHAnsi" w:hAnsiTheme="minorHAnsi"/>
          <w:szCs w:val="22"/>
        </w:rPr>
        <w:t xml:space="preserve">This may include an algorithm and testing or </w:t>
      </w:r>
      <w:r>
        <w:rPr>
          <w:rFonts w:asciiTheme="minorHAnsi" w:hAnsiTheme="minorHAnsi"/>
          <w:szCs w:val="22"/>
        </w:rPr>
        <w:t xml:space="preserve">specified </w:t>
      </w:r>
      <w:r w:rsidRPr="00EB3909">
        <w:rPr>
          <w:rFonts w:asciiTheme="minorHAnsi" w:hAnsiTheme="minorHAnsi"/>
          <w:szCs w:val="22"/>
        </w:rPr>
        <w:t>parameters to demonstrate that an infection has cleared.</w:t>
      </w:r>
    </w:p>
    <w:p w14:paraId="422D4CD7" w14:textId="101A8982" w:rsidR="009B5E7B" w:rsidRPr="00F025CD" w:rsidRDefault="009B5E7B" w:rsidP="009B5E7B">
      <w:pPr>
        <w:pStyle w:val="Heading4"/>
      </w:pPr>
      <w:bookmarkStart w:id="46" w:name="_Toc65148242"/>
      <w:bookmarkStart w:id="47" w:name="_Toc69823150"/>
      <w:r>
        <w:lastRenderedPageBreak/>
        <w:t xml:space="preserve">Item 15 – Travel to specific </w:t>
      </w:r>
      <w:bookmarkEnd w:id="46"/>
      <w:r w:rsidR="007540F4">
        <w:t>regions</w:t>
      </w:r>
      <w:bookmarkEnd w:id="47"/>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9B5E7B" w:rsidRPr="00C563D1" w14:paraId="0A9C9558" w14:textId="77777777" w:rsidTr="007533BA">
        <w:trPr>
          <w:trHeight w:val="391"/>
        </w:trPr>
        <w:tc>
          <w:tcPr>
            <w:tcW w:w="25" w:type="dxa"/>
            <w:vAlign w:val="center"/>
          </w:tcPr>
          <w:p w14:paraId="5EE9A4BA" w14:textId="77777777" w:rsidR="009B5E7B" w:rsidRPr="00C563D1" w:rsidRDefault="009B5E7B" w:rsidP="007533BA"/>
        </w:tc>
        <w:tc>
          <w:tcPr>
            <w:tcW w:w="679" w:type="dxa"/>
            <w:shd w:val="clear" w:color="auto" w:fill="EAEAEA"/>
          </w:tcPr>
          <w:p w14:paraId="44615E7E" w14:textId="77777777" w:rsidR="009B5E7B" w:rsidRPr="00C563D1" w:rsidRDefault="009B5E7B" w:rsidP="007533BA">
            <w:pPr>
              <w:jc w:val="center"/>
              <w:rPr>
                <w:b/>
              </w:rPr>
            </w:pPr>
            <w:r w:rsidRPr="00C563D1">
              <w:rPr>
                <w:b/>
              </w:rPr>
              <w:t>Item</w:t>
            </w:r>
          </w:p>
          <w:p w14:paraId="6672E954" w14:textId="57FE0100" w:rsidR="009B5E7B" w:rsidRPr="00C563D1" w:rsidRDefault="009B5E7B" w:rsidP="007533BA">
            <w:pPr>
              <w:jc w:val="center"/>
            </w:pPr>
            <w:r>
              <w:t>15</w:t>
            </w:r>
          </w:p>
        </w:tc>
        <w:tc>
          <w:tcPr>
            <w:tcW w:w="4536" w:type="dxa"/>
            <w:shd w:val="clear" w:color="auto" w:fill="EAEAEA"/>
            <w:tcMar>
              <w:top w:w="170" w:type="dxa"/>
              <w:left w:w="170" w:type="dxa"/>
              <w:bottom w:w="170" w:type="dxa"/>
              <w:right w:w="170" w:type="dxa"/>
            </w:tcMar>
          </w:tcPr>
          <w:p w14:paraId="616E2862" w14:textId="77777777" w:rsidR="009B5E7B" w:rsidRPr="00C563D1" w:rsidRDefault="009B5E7B" w:rsidP="007533BA">
            <w:pPr>
              <w:rPr>
                <w:b/>
              </w:rPr>
            </w:pPr>
            <w:r w:rsidRPr="00C563D1">
              <w:rPr>
                <w:b/>
              </w:rPr>
              <w:t>Medical and social history criteria</w:t>
            </w:r>
          </w:p>
          <w:p w14:paraId="61BB51E1" w14:textId="1090962C" w:rsidR="009B5E7B" w:rsidRPr="00C563D1" w:rsidRDefault="00751C51" w:rsidP="007540F4">
            <w:r w:rsidRPr="009A5E24">
              <w:t>a person who has travelled to another country or region within Australia with exposure to particular epidemiological situations</w:t>
            </w:r>
          </w:p>
        </w:tc>
        <w:tc>
          <w:tcPr>
            <w:tcW w:w="3827" w:type="dxa"/>
            <w:shd w:val="clear" w:color="auto" w:fill="EAEAEA"/>
          </w:tcPr>
          <w:p w14:paraId="6A410AB7" w14:textId="77777777" w:rsidR="009B5E7B" w:rsidRPr="00C563D1" w:rsidRDefault="009B5E7B" w:rsidP="007533BA">
            <w:pPr>
              <w:rPr>
                <w:b/>
              </w:rPr>
            </w:pPr>
            <w:r w:rsidRPr="00C563D1">
              <w:rPr>
                <w:b/>
              </w:rPr>
              <w:t>Period of ineligibility</w:t>
            </w:r>
          </w:p>
          <w:p w14:paraId="5BCAB55D" w14:textId="7C8B09D4" w:rsidR="009B5E7B" w:rsidRPr="00C563D1" w:rsidRDefault="00751C51" w:rsidP="00161466">
            <w:r w:rsidRPr="009A5E24">
              <w:t>ineligible for a period of time based on a risk assessment using the most up-to-date epidemiological data</w:t>
            </w:r>
          </w:p>
        </w:tc>
      </w:tr>
    </w:tbl>
    <w:p w14:paraId="3419FB4E" w14:textId="77777777" w:rsidR="009B5E7B" w:rsidRDefault="009B5E7B" w:rsidP="009B5E7B">
      <w:pPr>
        <w:rPr>
          <w:rFonts w:asciiTheme="minorHAnsi" w:hAnsiTheme="minorHAnsi"/>
          <w:szCs w:val="22"/>
        </w:rPr>
      </w:pPr>
      <w:r w:rsidRPr="00EB3909">
        <w:rPr>
          <w:rFonts w:asciiTheme="minorHAnsi" w:hAnsiTheme="minorHAnsi"/>
          <w:szCs w:val="22"/>
        </w:rPr>
        <w:t>This deferral is intentionally broad to encompass unforesee</w:t>
      </w:r>
      <w:r>
        <w:rPr>
          <w:rFonts w:asciiTheme="minorHAnsi" w:hAnsiTheme="minorHAnsi"/>
          <w:szCs w:val="22"/>
        </w:rPr>
        <w:t xml:space="preserve">n infectious disease risks such as </w:t>
      </w:r>
      <w:r w:rsidRPr="00EB3909">
        <w:rPr>
          <w:rFonts w:asciiTheme="minorHAnsi" w:hAnsiTheme="minorHAnsi"/>
          <w:szCs w:val="22"/>
        </w:rPr>
        <w:t>an epidemic, pandemic,</w:t>
      </w:r>
      <w:r>
        <w:rPr>
          <w:rFonts w:asciiTheme="minorHAnsi" w:hAnsiTheme="minorHAnsi"/>
          <w:szCs w:val="22"/>
        </w:rPr>
        <w:t xml:space="preserve"> or other emerging or re-</w:t>
      </w:r>
      <w:r w:rsidRPr="00EB3909">
        <w:rPr>
          <w:rFonts w:asciiTheme="minorHAnsi" w:hAnsiTheme="minorHAnsi"/>
          <w:szCs w:val="22"/>
        </w:rPr>
        <w:t>emerging infectious disease outbreak. It is the responsibility of the sponsor to demonstrate that a process is in place to satisfactorily monitor, assess and action epidemiological situations relevant to their products.</w:t>
      </w:r>
    </w:p>
    <w:p w14:paraId="63CAAADD" w14:textId="21C68C84" w:rsidR="009B5E7B" w:rsidRDefault="009B5E7B" w:rsidP="009B5E7B">
      <w:pPr>
        <w:rPr>
          <w:rFonts w:asciiTheme="minorHAnsi" w:hAnsiTheme="minorHAnsi"/>
          <w:szCs w:val="22"/>
        </w:rPr>
      </w:pPr>
      <w:r>
        <w:rPr>
          <w:rFonts w:asciiTheme="minorHAnsi" w:hAnsiTheme="minorHAnsi"/>
          <w:szCs w:val="22"/>
        </w:rPr>
        <w:t>In the case of the COVID-19 disease pandemic, which began to spread globally in 2020, a manufacturer will need to monitor advice on the risk of infection to the safety of their product and consider how to manage the risk through deferral of donors (and potentially testing).</w:t>
      </w:r>
    </w:p>
    <w:p w14:paraId="7109BDB8" w14:textId="75A9C7ED" w:rsidR="009B5E7B" w:rsidRDefault="009B5E7B" w:rsidP="009B5E7B">
      <w:pPr>
        <w:rPr>
          <w:rFonts w:asciiTheme="minorHAnsi" w:hAnsiTheme="minorHAnsi"/>
          <w:szCs w:val="22"/>
        </w:rPr>
      </w:pPr>
      <w:r w:rsidRPr="00EB3909">
        <w:rPr>
          <w:rFonts w:asciiTheme="minorHAnsi" w:hAnsiTheme="minorHAnsi"/>
          <w:szCs w:val="22"/>
        </w:rPr>
        <w:t>For travel</w:t>
      </w:r>
      <w:r>
        <w:rPr>
          <w:rFonts w:asciiTheme="minorHAnsi" w:hAnsiTheme="minorHAnsi"/>
          <w:szCs w:val="22"/>
        </w:rPr>
        <w:t>-</w:t>
      </w:r>
      <w:r w:rsidRPr="00EB3909">
        <w:rPr>
          <w:rFonts w:asciiTheme="minorHAnsi" w:hAnsiTheme="minorHAnsi"/>
          <w:szCs w:val="22"/>
        </w:rPr>
        <w:t>based</w:t>
      </w:r>
      <w:r>
        <w:rPr>
          <w:rFonts w:asciiTheme="minorHAnsi" w:hAnsiTheme="minorHAnsi"/>
          <w:szCs w:val="22"/>
        </w:rPr>
        <w:t xml:space="preserve"> </w:t>
      </w:r>
      <w:r w:rsidRPr="00EB3909">
        <w:rPr>
          <w:rFonts w:asciiTheme="minorHAnsi" w:hAnsiTheme="minorHAnsi"/>
          <w:szCs w:val="22"/>
        </w:rPr>
        <w:t>deferrals,</w:t>
      </w:r>
      <w:r>
        <w:rPr>
          <w:rFonts w:asciiTheme="minorHAnsi" w:hAnsiTheme="minorHAnsi"/>
          <w:szCs w:val="22"/>
        </w:rPr>
        <w:t xml:space="preserve"> a documented procedure</w:t>
      </w:r>
      <w:r w:rsidRPr="00EB3909">
        <w:rPr>
          <w:rFonts w:asciiTheme="minorHAnsi" w:hAnsiTheme="minorHAnsi"/>
          <w:szCs w:val="22"/>
        </w:rPr>
        <w:t xml:space="preserve"> must be in place to record the countries where crucial infectious diseases are endemic or where there is an outbreak. The deferral may be based on a country of travel, or where </w:t>
      </w:r>
      <w:r>
        <w:rPr>
          <w:rFonts w:asciiTheme="minorHAnsi" w:hAnsiTheme="minorHAnsi"/>
          <w:szCs w:val="22"/>
        </w:rPr>
        <w:t>an agent is</w:t>
      </w:r>
      <w:r w:rsidRPr="00EB3909">
        <w:rPr>
          <w:rFonts w:asciiTheme="minorHAnsi" w:hAnsiTheme="minorHAnsi"/>
          <w:szCs w:val="22"/>
        </w:rPr>
        <w:t xml:space="preserve"> endemic to a local area within that country</w:t>
      </w:r>
      <w:r w:rsidRPr="007C5D9D">
        <w:rPr>
          <w:rFonts w:asciiTheme="minorHAnsi" w:hAnsiTheme="minorHAnsi"/>
          <w:szCs w:val="22"/>
        </w:rPr>
        <w:t xml:space="preserve">. </w:t>
      </w:r>
      <w:r w:rsidR="00664B63">
        <w:rPr>
          <w:rFonts w:asciiTheme="minorHAnsi" w:hAnsiTheme="minorHAnsi"/>
          <w:szCs w:val="22"/>
        </w:rPr>
        <w:t>WHO</w:t>
      </w:r>
      <w:r w:rsidRPr="007C5D9D">
        <w:rPr>
          <w:rFonts w:asciiTheme="minorHAnsi" w:hAnsiTheme="minorHAnsi"/>
          <w:szCs w:val="22"/>
        </w:rPr>
        <w:t xml:space="preserve"> publishes a list of countri</w:t>
      </w:r>
      <w:r>
        <w:rPr>
          <w:rFonts w:asciiTheme="minorHAnsi" w:hAnsiTheme="minorHAnsi"/>
          <w:szCs w:val="22"/>
        </w:rPr>
        <w:t>es where specific diseases such as</w:t>
      </w:r>
      <w:r w:rsidRPr="007C5D9D">
        <w:rPr>
          <w:rFonts w:asciiTheme="minorHAnsi" w:hAnsiTheme="minorHAnsi"/>
          <w:szCs w:val="22"/>
        </w:rPr>
        <w:t xml:space="preserve"> malaria, Zika virus, </w:t>
      </w:r>
      <w:r w:rsidR="001022CC">
        <w:rPr>
          <w:rFonts w:asciiTheme="minorHAnsi" w:hAnsiTheme="minorHAnsi"/>
          <w:szCs w:val="22"/>
        </w:rPr>
        <w:t>D</w:t>
      </w:r>
      <w:r w:rsidRPr="007C5D9D">
        <w:rPr>
          <w:rFonts w:asciiTheme="minorHAnsi" w:hAnsiTheme="minorHAnsi"/>
          <w:szCs w:val="22"/>
        </w:rPr>
        <w:t xml:space="preserve">engue fever, Ebola virus disease, West Nile Virus </w:t>
      </w:r>
      <w:r>
        <w:rPr>
          <w:rFonts w:asciiTheme="minorHAnsi" w:hAnsiTheme="minorHAnsi"/>
          <w:szCs w:val="22"/>
        </w:rPr>
        <w:t>(</w:t>
      </w:r>
      <w:r w:rsidRPr="007C5D9D">
        <w:rPr>
          <w:rFonts w:asciiTheme="minorHAnsi" w:hAnsiTheme="minorHAnsi"/>
          <w:szCs w:val="22"/>
        </w:rPr>
        <w:t>WNV) are present.</w:t>
      </w:r>
    </w:p>
    <w:p w14:paraId="1DC02917" w14:textId="7821B0D8" w:rsidR="009B5E7B" w:rsidRDefault="009B5E7B" w:rsidP="009B5E7B">
      <w:pPr>
        <w:rPr>
          <w:rFonts w:asciiTheme="minorHAnsi" w:hAnsiTheme="minorHAnsi"/>
          <w:szCs w:val="22"/>
        </w:rPr>
      </w:pPr>
      <w:r>
        <w:rPr>
          <w:rFonts w:asciiTheme="minorHAnsi" w:hAnsiTheme="minorHAnsi"/>
          <w:szCs w:val="22"/>
        </w:rPr>
        <w:t xml:space="preserve">Management of this requirement should be achieved through a policy for monitoring for outbreaks and notification by e-mail to </w:t>
      </w:r>
      <w:r w:rsidR="00E71E27" w:rsidRPr="00E71E27">
        <w:rPr>
          <w:rFonts w:asciiTheme="minorHAnsi" w:hAnsiTheme="minorHAnsi"/>
          <w:szCs w:val="22"/>
        </w:rPr>
        <w:t xml:space="preserve">TGA’s </w:t>
      </w:r>
      <w:r w:rsidR="007E43FD" w:rsidRPr="00C10E14">
        <w:rPr>
          <w:rFonts w:asciiTheme="minorHAnsi" w:hAnsiTheme="minorHAnsi"/>
          <w:szCs w:val="22"/>
        </w:rPr>
        <w:t>Biological Science Section (BSS)</w:t>
      </w:r>
      <w:r>
        <w:rPr>
          <w:rFonts w:asciiTheme="minorHAnsi" w:hAnsiTheme="minorHAnsi"/>
          <w:szCs w:val="22"/>
        </w:rPr>
        <w:t xml:space="preserve"> if interim measures are put in place. If there is a serious outbreak, but the risk to HCT products is considered to be minimal, you should notify </w:t>
      </w:r>
      <w:r w:rsidR="00E71E27" w:rsidRPr="00E71E27">
        <w:rPr>
          <w:rFonts w:asciiTheme="minorHAnsi" w:hAnsiTheme="minorHAnsi"/>
          <w:szCs w:val="22"/>
        </w:rPr>
        <w:t xml:space="preserve">TGA’s </w:t>
      </w:r>
      <w:r w:rsidR="007E43FD" w:rsidRPr="00C10E14">
        <w:rPr>
          <w:rFonts w:asciiTheme="minorHAnsi" w:hAnsiTheme="minorHAnsi"/>
          <w:szCs w:val="22"/>
        </w:rPr>
        <w:t>Biological Science Section (BSS)</w:t>
      </w:r>
      <w:r>
        <w:rPr>
          <w:rFonts w:asciiTheme="minorHAnsi" w:hAnsiTheme="minorHAnsi"/>
          <w:szCs w:val="22"/>
        </w:rPr>
        <w:t xml:space="preserve"> that no action is needed at this time.</w:t>
      </w:r>
    </w:p>
    <w:p w14:paraId="26D01398" w14:textId="4232A41B" w:rsidR="007540F4" w:rsidRPr="00F025CD" w:rsidRDefault="007540F4" w:rsidP="007540F4">
      <w:pPr>
        <w:pStyle w:val="Heading4"/>
      </w:pPr>
      <w:bookmarkStart w:id="48" w:name="_Toc69823151"/>
      <w:r>
        <w:t>Item</w:t>
      </w:r>
      <w:r w:rsidR="006D2D20">
        <w:t>s</w:t>
      </w:r>
      <w:r>
        <w:t xml:space="preserve"> 16</w:t>
      </w:r>
      <w:r w:rsidR="00151820">
        <w:t xml:space="preserve"> to</w:t>
      </w:r>
      <w:r w:rsidR="006D2D20">
        <w:t xml:space="preserve"> 18</w:t>
      </w:r>
      <w:r>
        <w:t xml:space="preserve"> – </w:t>
      </w:r>
      <w:r w:rsidR="006D2D20">
        <w:t>Risk of malaria</w:t>
      </w:r>
      <w:bookmarkEnd w:id="48"/>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7540F4" w:rsidRPr="00C563D1" w14:paraId="1C09F113" w14:textId="77777777" w:rsidTr="007533BA">
        <w:trPr>
          <w:trHeight w:val="391"/>
        </w:trPr>
        <w:tc>
          <w:tcPr>
            <w:tcW w:w="25" w:type="dxa"/>
            <w:vAlign w:val="center"/>
          </w:tcPr>
          <w:p w14:paraId="178C781A" w14:textId="77777777" w:rsidR="007540F4" w:rsidRPr="00C563D1" w:rsidRDefault="007540F4" w:rsidP="007533BA"/>
        </w:tc>
        <w:tc>
          <w:tcPr>
            <w:tcW w:w="679" w:type="dxa"/>
            <w:shd w:val="clear" w:color="auto" w:fill="EAEAEA"/>
          </w:tcPr>
          <w:p w14:paraId="02E834AC" w14:textId="77777777" w:rsidR="007540F4" w:rsidRPr="00C563D1" w:rsidRDefault="007540F4" w:rsidP="007533BA">
            <w:pPr>
              <w:jc w:val="center"/>
              <w:rPr>
                <w:b/>
              </w:rPr>
            </w:pPr>
            <w:r w:rsidRPr="00C563D1">
              <w:rPr>
                <w:b/>
              </w:rPr>
              <w:t>Item</w:t>
            </w:r>
          </w:p>
          <w:p w14:paraId="213958F1" w14:textId="5F1B60C2" w:rsidR="007540F4" w:rsidRPr="00C563D1" w:rsidRDefault="007540F4" w:rsidP="007533BA">
            <w:pPr>
              <w:jc w:val="center"/>
            </w:pPr>
            <w:r>
              <w:t>16</w:t>
            </w:r>
          </w:p>
        </w:tc>
        <w:tc>
          <w:tcPr>
            <w:tcW w:w="4536" w:type="dxa"/>
            <w:shd w:val="clear" w:color="auto" w:fill="EAEAEA"/>
            <w:tcMar>
              <w:top w:w="170" w:type="dxa"/>
              <w:left w:w="170" w:type="dxa"/>
              <w:bottom w:w="170" w:type="dxa"/>
              <w:right w:w="170" w:type="dxa"/>
            </w:tcMar>
          </w:tcPr>
          <w:p w14:paraId="3015E0B5" w14:textId="77777777" w:rsidR="007540F4" w:rsidRPr="00751C51" w:rsidRDefault="007540F4" w:rsidP="007533BA">
            <w:pPr>
              <w:rPr>
                <w:rFonts w:asciiTheme="minorHAnsi" w:hAnsiTheme="minorHAnsi"/>
                <w:b/>
                <w:szCs w:val="22"/>
              </w:rPr>
            </w:pPr>
            <w:r w:rsidRPr="00751C51">
              <w:rPr>
                <w:rFonts w:asciiTheme="minorHAnsi" w:hAnsiTheme="minorHAnsi"/>
                <w:b/>
                <w:szCs w:val="22"/>
              </w:rPr>
              <w:t>Medical and social history criteria</w:t>
            </w:r>
          </w:p>
          <w:p w14:paraId="525A515A" w14:textId="1D5412E9" w:rsidR="007540F4" w:rsidRPr="00751C51" w:rsidRDefault="00751C51" w:rsidP="007533BA">
            <w:pPr>
              <w:rPr>
                <w:rFonts w:asciiTheme="minorHAnsi" w:hAnsiTheme="minorHAnsi"/>
                <w:szCs w:val="22"/>
              </w:rPr>
            </w:pPr>
            <w:r w:rsidRPr="00751C51">
              <w:rPr>
                <w:rFonts w:asciiTheme="minorHAnsi" w:hAnsiTheme="minorHAnsi"/>
                <w:szCs w:val="22"/>
              </w:rPr>
              <w:t>a person who has lived in a malaria endemic region for a continuous period of 6 months or more at any time</w:t>
            </w:r>
          </w:p>
        </w:tc>
        <w:tc>
          <w:tcPr>
            <w:tcW w:w="3827" w:type="dxa"/>
            <w:shd w:val="clear" w:color="auto" w:fill="EAEAEA"/>
          </w:tcPr>
          <w:p w14:paraId="6DEFBC1D" w14:textId="77777777" w:rsidR="007540F4" w:rsidRPr="00751C51" w:rsidRDefault="007540F4" w:rsidP="007533BA">
            <w:pPr>
              <w:rPr>
                <w:rFonts w:asciiTheme="minorHAnsi" w:hAnsiTheme="minorHAnsi"/>
                <w:b/>
                <w:szCs w:val="22"/>
              </w:rPr>
            </w:pPr>
            <w:r w:rsidRPr="00751C51">
              <w:rPr>
                <w:rFonts w:asciiTheme="minorHAnsi" w:hAnsiTheme="minorHAnsi"/>
                <w:b/>
                <w:szCs w:val="22"/>
              </w:rPr>
              <w:t>Period of ineligibility</w:t>
            </w:r>
          </w:p>
          <w:p w14:paraId="7E565E14" w14:textId="33DAEFC2" w:rsidR="00535CA5" w:rsidRPr="00751C51" w:rsidRDefault="007540F4" w:rsidP="00535CA5">
            <w:pPr>
              <w:pStyle w:val="Tabletext"/>
              <w:rPr>
                <w:rFonts w:asciiTheme="minorHAnsi" w:hAnsiTheme="minorHAnsi"/>
                <w:sz w:val="22"/>
                <w:szCs w:val="22"/>
              </w:rPr>
            </w:pPr>
            <w:r w:rsidRPr="00751C51">
              <w:rPr>
                <w:rFonts w:asciiTheme="minorHAnsi" w:hAnsiTheme="minorHAnsi"/>
                <w:sz w:val="22"/>
                <w:szCs w:val="22"/>
              </w:rPr>
              <w:t>(</w:t>
            </w:r>
            <w:r w:rsidR="00535CA5" w:rsidRPr="00751C51">
              <w:rPr>
                <w:rFonts w:asciiTheme="minorHAnsi" w:hAnsiTheme="minorHAnsi"/>
                <w:sz w:val="22"/>
                <w:szCs w:val="22"/>
              </w:rPr>
              <w:t xml:space="preserve">a) </w:t>
            </w:r>
            <w:r w:rsidR="00751C51" w:rsidRPr="00751C51">
              <w:rPr>
                <w:rFonts w:asciiTheme="minorHAnsi" w:hAnsiTheme="minorHAnsi"/>
                <w:sz w:val="22"/>
                <w:szCs w:val="22"/>
              </w:rPr>
              <w:t xml:space="preserve">ineligible until an immunological test that is performed at least 4 months after the person’s return from the malaria endemic region (an </w:t>
            </w:r>
            <w:r w:rsidR="00751C51" w:rsidRPr="00751C51">
              <w:rPr>
                <w:rFonts w:asciiTheme="minorHAnsi" w:hAnsiTheme="minorHAnsi"/>
                <w:b/>
                <w:i/>
                <w:sz w:val="22"/>
                <w:szCs w:val="22"/>
              </w:rPr>
              <w:t>immunological test</w:t>
            </w:r>
            <w:r w:rsidR="00751C51" w:rsidRPr="00751C51">
              <w:rPr>
                <w:rFonts w:asciiTheme="minorHAnsi" w:hAnsiTheme="minorHAnsi"/>
                <w:sz w:val="22"/>
                <w:szCs w:val="22"/>
              </w:rPr>
              <w:t>) demonstrates a negative result</w:t>
            </w:r>
            <w:r w:rsidR="001E3205" w:rsidRPr="00751C51">
              <w:rPr>
                <w:rFonts w:asciiTheme="minorHAnsi" w:hAnsiTheme="minorHAnsi"/>
                <w:sz w:val="22"/>
                <w:szCs w:val="22"/>
              </w:rPr>
              <w:t>; or</w:t>
            </w:r>
          </w:p>
          <w:p w14:paraId="156D4558" w14:textId="7B4434F6" w:rsidR="007540F4" w:rsidRPr="00751C51" w:rsidRDefault="00535CA5" w:rsidP="00D235B0">
            <w:pPr>
              <w:pStyle w:val="Tabletext"/>
              <w:rPr>
                <w:rFonts w:asciiTheme="minorHAnsi" w:hAnsiTheme="minorHAnsi"/>
                <w:sz w:val="22"/>
                <w:szCs w:val="22"/>
              </w:rPr>
            </w:pPr>
            <w:r w:rsidRPr="00751C51">
              <w:rPr>
                <w:rFonts w:asciiTheme="minorHAnsi" w:hAnsiTheme="minorHAnsi"/>
                <w:sz w:val="22"/>
                <w:szCs w:val="22"/>
              </w:rPr>
              <w:t xml:space="preserve">(b) </w:t>
            </w:r>
            <w:r w:rsidR="00751C51" w:rsidRPr="00751C51">
              <w:rPr>
                <w:rFonts w:asciiTheme="minorHAnsi" w:hAnsiTheme="minorHAnsi"/>
                <w:sz w:val="22"/>
                <w:szCs w:val="22"/>
              </w:rPr>
              <w:t>in all other circumstances, including where the immunological test demonstrates a positive result</w:t>
            </w:r>
            <w:r w:rsidR="00751C51">
              <w:rPr>
                <w:rFonts w:asciiTheme="minorHAnsi" w:hAnsiTheme="minorHAnsi"/>
                <w:sz w:val="22"/>
                <w:szCs w:val="22"/>
              </w:rPr>
              <w:t xml:space="preserve"> – </w:t>
            </w:r>
            <w:r w:rsidR="00751C51" w:rsidRPr="00751C51">
              <w:rPr>
                <w:rFonts w:asciiTheme="minorHAnsi" w:hAnsiTheme="minorHAnsi"/>
                <w:sz w:val="22"/>
                <w:szCs w:val="22"/>
              </w:rPr>
              <w:t>permanently ineligible</w:t>
            </w:r>
          </w:p>
        </w:tc>
      </w:tr>
      <w:tr w:rsidR="00DA5326" w:rsidRPr="00C563D1" w14:paraId="20E9D8D8" w14:textId="77777777" w:rsidTr="007533BA">
        <w:trPr>
          <w:trHeight w:val="391"/>
        </w:trPr>
        <w:tc>
          <w:tcPr>
            <w:tcW w:w="25" w:type="dxa"/>
            <w:vAlign w:val="center"/>
          </w:tcPr>
          <w:p w14:paraId="11D72FCF" w14:textId="77777777" w:rsidR="00DA5326" w:rsidRPr="00C563D1" w:rsidRDefault="00DA5326" w:rsidP="007533BA"/>
        </w:tc>
        <w:tc>
          <w:tcPr>
            <w:tcW w:w="679" w:type="dxa"/>
            <w:shd w:val="clear" w:color="auto" w:fill="EAEAEA"/>
          </w:tcPr>
          <w:p w14:paraId="0751CBD4" w14:textId="77777777" w:rsidR="00DA5326" w:rsidRPr="00C563D1" w:rsidRDefault="00DA5326" w:rsidP="007533BA">
            <w:pPr>
              <w:jc w:val="center"/>
              <w:rPr>
                <w:b/>
              </w:rPr>
            </w:pPr>
            <w:r w:rsidRPr="00C563D1">
              <w:rPr>
                <w:b/>
              </w:rPr>
              <w:t>Item</w:t>
            </w:r>
          </w:p>
          <w:p w14:paraId="68053D42" w14:textId="6294416C" w:rsidR="00DA5326" w:rsidRPr="00C563D1" w:rsidRDefault="00292942" w:rsidP="007533BA">
            <w:pPr>
              <w:jc w:val="center"/>
            </w:pPr>
            <w:r>
              <w:t>17</w:t>
            </w:r>
          </w:p>
        </w:tc>
        <w:tc>
          <w:tcPr>
            <w:tcW w:w="4536" w:type="dxa"/>
            <w:shd w:val="clear" w:color="auto" w:fill="EAEAEA"/>
            <w:tcMar>
              <w:top w:w="170" w:type="dxa"/>
              <w:left w:w="170" w:type="dxa"/>
              <w:bottom w:w="170" w:type="dxa"/>
              <w:right w:w="170" w:type="dxa"/>
            </w:tcMar>
          </w:tcPr>
          <w:p w14:paraId="2C0C047D" w14:textId="77777777" w:rsidR="00DA5326" w:rsidRPr="00535CA5" w:rsidRDefault="00DA5326" w:rsidP="007533BA">
            <w:pPr>
              <w:rPr>
                <w:rFonts w:asciiTheme="minorHAnsi" w:hAnsiTheme="minorHAnsi"/>
                <w:b/>
                <w:szCs w:val="22"/>
              </w:rPr>
            </w:pPr>
            <w:r w:rsidRPr="00535CA5">
              <w:rPr>
                <w:rFonts w:asciiTheme="minorHAnsi" w:hAnsiTheme="minorHAnsi"/>
                <w:b/>
                <w:szCs w:val="22"/>
              </w:rPr>
              <w:t>Medical and social history criteria</w:t>
            </w:r>
          </w:p>
          <w:p w14:paraId="6414FE62" w14:textId="62FAD39F" w:rsidR="00DA5326" w:rsidRPr="00535CA5" w:rsidRDefault="00D235B0" w:rsidP="007533BA">
            <w:pPr>
              <w:rPr>
                <w:rFonts w:asciiTheme="minorHAnsi" w:hAnsiTheme="minorHAnsi"/>
                <w:szCs w:val="22"/>
              </w:rPr>
            </w:pPr>
            <w:r w:rsidRPr="000E5603">
              <w:t>a</w:t>
            </w:r>
            <w:r>
              <w:t xml:space="preserve"> </w:t>
            </w:r>
            <w:r w:rsidRPr="00CB1ECC">
              <w:t>person (other than a person mentioned in item 16) who</w:t>
            </w:r>
            <w:r w:rsidRPr="000E5603">
              <w:t xml:space="preserve"> ha</w:t>
            </w:r>
            <w:r>
              <w:t>s</w:t>
            </w:r>
            <w:r w:rsidRPr="000E5603">
              <w:t xml:space="preserve"> visited a malaria endemic region</w:t>
            </w:r>
          </w:p>
        </w:tc>
        <w:tc>
          <w:tcPr>
            <w:tcW w:w="3827" w:type="dxa"/>
            <w:shd w:val="clear" w:color="auto" w:fill="EAEAEA"/>
          </w:tcPr>
          <w:p w14:paraId="146FE0AD" w14:textId="77777777" w:rsidR="00DA5326" w:rsidRPr="00535CA5" w:rsidRDefault="00DA5326" w:rsidP="007533BA">
            <w:pPr>
              <w:rPr>
                <w:rFonts w:asciiTheme="minorHAnsi" w:hAnsiTheme="minorHAnsi"/>
                <w:b/>
                <w:szCs w:val="22"/>
              </w:rPr>
            </w:pPr>
            <w:r w:rsidRPr="00535CA5">
              <w:rPr>
                <w:rFonts w:asciiTheme="minorHAnsi" w:hAnsiTheme="minorHAnsi"/>
                <w:b/>
                <w:szCs w:val="22"/>
              </w:rPr>
              <w:t>Period of ineligibility</w:t>
            </w:r>
          </w:p>
          <w:p w14:paraId="2083DA56" w14:textId="61E8EF07" w:rsidR="00535CA5" w:rsidRPr="00535CA5" w:rsidRDefault="00DA5326" w:rsidP="00535CA5">
            <w:pPr>
              <w:pStyle w:val="Tabletext"/>
              <w:rPr>
                <w:rFonts w:asciiTheme="minorHAnsi" w:hAnsiTheme="minorHAnsi"/>
                <w:sz w:val="22"/>
                <w:szCs w:val="22"/>
              </w:rPr>
            </w:pPr>
            <w:r w:rsidRPr="00535CA5">
              <w:rPr>
                <w:rFonts w:asciiTheme="minorHAnsi" w:hAnsiTheme="minorHAnsi"/>
                <w:sz w:val="22"/>
                <w:szCs w:val="22"/>
              </w:rPr>
              <w:t xml:space="preserve">(a) </w:t>
            </w:r>
            <w:r w:rsidR="001E3205" w:rsidRPr="001E3205">
              <w:rPr>
                <w:rFonts w:asciiTheme="minorHAnsi" w:hAnsiTheme="minorHAnsi"/>
                <w:sz w:val="22"/>
                <w:szCs w:val="22"/>
              </w:rPr>
              <w:t xml:space="preserve">ineligible until an immunological test that is performed at least 4 months after the person’s return from the malaria endemic region (an </w:t>
            </w:r>
            <w:r w:rsidR="001E3205" w:rsidRPr="001E3205">
              <w:rPr>
                <w:rFonts w:asciiTheme="minorHAnsi" w:hAnsiTheme="minorHAnsi"/>
                <w:b/>
                <w:i/>
                <w:sz w:val="22"/>
                <w:szCs w:val="22"/>
              </w:rPr>
              <w:t>immunological test</w:t>
            </w:r>
            <w:r w:rsidR="001E3205" w:rsidRPr="001E3205">
              <w:rPr>
                <w:rFonts w:asciiTheme="minorHAnsi" w:hAnsiTheme="minorHAnsi"/>
                <w:sz w:val="22"/>
                <w:szCs w:val="22"/>
              </w:rPr>
              <w:t>) demonstrates a negative result; or</w:t>
            </w:r>
          </w:p>
          <w:p w14:paraId="7D5BD1EE" w14:textId="60816B79" w:rsidR="00535CA5" w:rsidRPr="00535CA5" w:rsidRDefault="00535CA5" w:rsidP="00535CA5">
            <w:pPr>
              <w:pStyle w:val="Tabletext"/>
              <w:rPr>
                <w:rFonts w:asciiTheme="minorHAnsi" w:hAnsiTheme="minorHAnsi"/>
                <w:sz w:val="22"/>
                <w:szCs w:val="22"/>
              </w:rPr>
            </w:pPr>
            <w:r w:rsidRPr="00535CA5">
              <w:rPr>
                <w:rFonts w:asciiTheme="minorHAnsi" w:hAnsiTheme="minorHAnsi"/>
                <w:sz w:val="22"/>
                <w:szCs w:val="22"/>
              </w:rPr>
              <w:lastRenderedPageBreak/>
              <w:t>(b</w:t>
            </w:r>
            <w:r>
              <w:rPr>
                <w:rFonts w:asciiTheme="minorHAnsi" w:hAnsiTheme="minorHAnsi"/>
                <w:sz w:val="22"/>
                <w:szCs w:val="22"/>
              </w:rPr>
              <w:t xml:space="preserve">) </w:t>
            </w:r>
            <w:r w:rsidR="001E3205" w:rsidRPr="001E3205">
              <w:rPr>
                <w:rFonts w:asciiTheme="minorHAnsi" w:hAnsiTheme="minorHAnsi"/>
                <w:sz w:val="22"/>
                <w:szCs w:val="22"/>
              </w:rPr>
              <w:t>if an immunological test</w:t>
            </w:r>
            <w:r w:rsidR="00D70128">
              <w:rPr>
                <w:rFonts w:asciiTheme="minorHAnsi" w:hAnsiTheme="minorHAnsi"/>
                <w:sz w:val="22"/>
                <w:szCs w:val="22"/>
              </w:rPr>
              <w:t xml:space="preserve"> demonstrates a positive result –</w:t>
            </w:r>
            <w:r w:rsidR="001E3205" w:rsidRPr="001E3205">
              <w:rPr>
                <w:rFonts w:asciiTheme="minorHAnsi" w:hAnsiTheme="minorHAnsi"/>
                <w:sz w:val="22"/>
                <w:szCs w:val="22"/>
              </w:rPr>
              <w:t>ineligible for 3 years from the time of the test result; or</w:t>
            </w:r>
          </w:p>
          <w:p w14:paraId="7F349FF8" w14:textId="2589070C" w:rsidR="00DA5326" w:rsidRPr="00535CA5" w:rsidRDefault="00535CA5" w:rsidP="00535CA5">
            <w:pPr>
              <w:rPr>
                <w:rFonts w:asciiTheme="minorHAnsi" w:hAnsiTheme="minorHAnsi"/>
                <w:szCs w:val="22"/>
              </w:rPr>
            </w:pPr>
            <w:r w:rsidRPr="00535CA5">
              <w:rPr>
                <w:rFonts w:asciiTheme="minorHAnsi" w:hAnsiTheme="minorHAnsi"/>
                <w:szCs w:val="22"/>
              </w:rPr>
              <w:t>(c</w:t>
            </w:r>
            <w:r>
              <w:rPr>
                <w:rFonts w:asciiTheme="minorHAnsi" w:hAnsiTheme="minorHAnsi"/>
                <w:szCs w:val="22"/>
              </w:rPr>
              <w:t xml:space="preserve">) </w:t>
            </w:r>
            <w:r w:rsidR="001E3205" w:rsidRPr="001E3205">
              <w:rPr>
                <w:rFonts w:asciiTheme="minorHAnsi" w:hAnsiTheme="minorHAnsi"/>
                <w:szCs w:val="22"/>
              </w:rPr>
              <w:t>in all other circumstances</w:t>
            </w:r>
            <w:r w:rsidR="00D70128">
              <w:rPr>
                <w:rFonts w:asciiTheme="minorHAnsi" w:hAnsiTheme="minorHAnsi"/>
                <w:szCs w:val="22"/>
              </w:rPr>
              <w:t xml:space="preserve"> – </w:t>
            </w:r>
            <w:r w:rsidR="001E3205" w:rsidRPr="001E3205">
              <w:rPr>
                <w:rFonts w:asciiTheme="minorHAnsi" w:hAnsiTheme="minorHAnsi"/>
                <w:szCs w:val="22"/>
              </w:rPr>
              <w:t>ineligible for 12 months from the person’s return from the malaria endemic region</w:t>
            </w:r>
          </w:p>
        </w:tc>
      </w:tr>
      <w:tr w:rsidR="00292942" w:rsidRPr="00535CA5" w14:paraId="0C94B45E" w14:textId="77777777" w:rsidTr="007533BA">
        <w:trPr>
          <w:trHeight w:val="391"/>
        </w:trPr>
        <w:tc>
          <w:tcPr>
            <w:tcW w:w="25" w:type="dxa"/>
            <w:vAlign w:val="center"/>
          </w:tcPr>
          <w:p w14:paraId="606FC8CB" w14:textId="77777777" w:rsidR="00292942" w:rsidRPr="00535CA5" w:rsidRDefault="00292942" w:rsidP="007533BA">
            <w:pPr>
              <w:rPr>
                <w:rFonts w:asciiTheme="minorHAnsi" w:hAnsiTheme="minorHAnsi"/>
                <w:szCs w:val="22"/>
              </w:rPr>
            </w:pPr>
          </w:p>
        </w:tc>
        <w:tc>
          <w:tcPr>
            <w:tcW w:w="679" w:type="dxa"/>
            <w:shd w:val="clear" w:color="auto" w:fill="EAEAEA"/>
          </w:tcPr>
          <w:p w14:paraId="3B7702CA" w14:textId="77777777" w:rsidR="00292942" w:rsidRPr="00535CA5" w:rsidRDefault="00292942" w:rsidP="007533BA">
            <w:pPr>
              <w:jc w:val="center"/>
              <w:rPr>
                <w:rFonts w:asciiTheme="minorHAnsi" w:hAnsiTheme="minorHAnsi"/>
                <w:b/>
                <w:szCs w:val="22"/>
              </w:rPr>
            </w:pPr>
            <w:r w:rsidRPr="00535CA5">
              <w:rPr>
                <w:rFonts w:asciiTheme="minorHAnsi" w:hAnsiTheme="minorHAnsi"/>
                <w:b/>
                <w:szCs w:val="22"/>
              </w:rPr>
              <w:t>Item</w:t>
            </w:r>
          </w:p>
          <w:p w14:paraId="5FB2E090" w14:textId="77777777" w:rsidR="00292942" w:rsidRPr="00535CA5" w:rsidRDefault="00292942" w:rsidP="007533BA">
            <w:pPr>
              <w:jc w:val="center"/>
              <w:rPr>
                <w:rFonts w:asciiTheme="minorHAnsi" w:hAnsiTheme="minorHAnsi"/>
                <w:szCs w:val="22"/>
              </w:rPr>
            </w:pPr>
            <w:r w:rsidRPr="00535CA5">
              <w:rPr>
                <w:rFonts w:asciiTheme="minorHAnsi" w:hAnsiTheme="minorHAnsi"/>
                <w:szCs w:val="22"/>
              </w:rPr>
              <w:t>18</w:t>
            </w:r>
          </w:p>
        </w:tc>
        <w:tc>
          <w:tcPr>
            <w:tcW w:w="4536" w:type="dxa"/>
            <w:shd w:val="clear" w:color="auto" w:fill="EAEAEA"/>
            <w:tcMar>
              <w:top w:w="170" w:type="dxa"/>
              <w:left w:w="170" w:type="dxa"/>
              <w:bottom w:w="170" w:type="dxa"/>
              <w:right w:w="170" w:type="dxa"/>
            </w:tcMar>
          </w:tcPr>
          <w:p w14:paraId="6C5DE4B4" w14:textId="77777777" w:rsidR="00292942" w:rsidRPr="00535CA5" w:rsidRDefault="00292942" w:rsidP="007533BA">
            <w:pPr>
              <w:rPr>
                <w:rFonts w:asciiTheme="minorHAnsi" w:hAnsiTheme="minorHAnsi"/>
                <w:b/>
                <w:szCs w:val="22"/>
              </w:rPr>
            </w:pPr>
            <w:r w:rsidRPr="00535CA5">
              <w:rPr>
                <w:rFonts w:asciiTheme="minorHAnsi" w:hAnsiTheme="minorHAnsi"/>
                <w:b/>
                <w:szCs w:val="22"/>
              </w:rPr>
              <w:t>Medical and social history criteria</w:t>
            </w:r>
          </w:p>
          <w:p w14:paraId="691BB8E9" w14:textId="679C10EB" w:rsidR="00292942" w:rsidRPr="00535CA5" w:rsidRDefault="00C02B8F" w:rsidP="007533BA">
            <w:pPr>
              <w:rPr>
                <w:rFonts w:asciiTheme="minorHAnsi" w:hAnsiTheme="minorHAnsi"/>
                <w:szCs w:val="22"/>
              </w:rPr>
            </w:pPr>
            <w:r>
              <w:t>a person who has or has had malaria</w:t>
            </w:r>
          </w:p>
        </w:tc>
        <w:tc>
          <w:tcPr>
            <w:tcW w:w="3827" w:type="dxa"/>
            <w:shd w:val="clear" w:color="auto" w:fill="EAEAEA"/>
          </w:tcPr>
          <w:p w14:paraId="6791B5A8" w14:textId="77777777" w:rsidR="00292942" w:rsidRPr="00535CA5" w:rsidRDefault="00292942" w:rsidP="007533BA">
            <w:pPr>
              <w:rPr>
                <w:rFonts w:asciiTheme="minorHAnsi" w:hAnsiTheme="minorHAnsi"/>
                <w:b/>
                <w:szCs w:val="22"/>
              </w:rPr>
            </w:pPr>
            <w:r w:rsidRPr="00535CA5">
              <w:rPr>
                <w:rFonts w:asciiTheme="minorHAnsi" w:hAnsiTheme="minorHAnsi"/>
                <w:b/>
                <w:szCs w:val="22"/>
              </w:rPr>
              <w:t>Period of ineligibility</w:t>
            </w:r>
          </w:p>
          <w:p w14:paraId="721B32BC" w14:textId="1A321331" w:rsidR="00535CA5" w:rsidRPr="00535CA5" w:rsidRDefault="00535CA5" w:rsidP="00535CA5">
            <w:pPr>
              <w:pStyle w:val="Tabletext"/>
              <w:rPr>
                <w:rFonts w:asciiTheme="minorHAnsi" w:hAnsiTheme="minorHAnsi"/>
                <w:sz w:val="22"/>
                <w:szCs w:val="22"/>
              </w:rPr>
            </w:pPr>
            <w:r>
              <w:rPr>
                <w:rFonts w:asciiTheme="minorHAnsi" w:hAnsiTheme="minorHAnsi"/>
                <w:sz w:val="22"/>
                <w:szCs w:val="22"/>
              </w:rPr>
              <w:t xml:space="preserve">(a) </w:t>
            </w:r>
            <w:r w:rsidR="001E3205" w:rsidRPr="001E3205">
              <w:rPr>
                <w:rFonts w:asciiTheme="minorHAnsi" w:hAnsiTheme="minorHAnsi"/>
                <w:sz w:val="22"/>
                <w:szCs w:val="22"/>
              </w:rPr>
              <w:t xml:space="preserve">ineligible until an immunological test that is performed at least 4 months after the later of the cessation of treatment or the person’s last symptoms (an </w:t>
            </w:r>
            <w:r w:rsidR="001E3205" w:rsidRPr="001E3205">
              <w:rPr>
                <w:rFonts w:asciiTheme="minorHAnsi" w:hAnsiTheme="minorHAnsi"/>
                <w:b/>
                <w:i/>
                <w:sz w:val="22"/>
                <w:szCs w:val="22"/>
              </w:rPr>
              <w:t>immunological</w:t>
            </w:r>
            <w:r w:rsidR="001E3205" w:rsidRPr="001E3205">
              <w:rPr>
                <w:rFonts w:asciiTheme="minorHAnsi" w:hAnsiTheme="minorHAnsi"/>
                <w:sz w:val="22"/>
                <w:szCs w:val="22"/>
              </w:rPr>
              <w:t xml:space="preserve"> </w:t>
            </w:r>
            <w:r w:rsidR="001E3205" w:rsidRPr="001E3205">
              <w:rPr>
                <w:rFonts w:asciiTheme="minorHAnsi" w:hAnsiTheme="minorHAnsi"/>
                <w:b/>
                <w:i/>
                <w:sz w:val="22"/>
                <w:szCs w:val="22"/>
              </w:rPr>
              <w:t>test</w:t>
            </w:r>
            <w:r w:rsidR="001E3205" w:rsidRPr="001E3205">
              <w:rPr>
                <w:rFonts w:asciiTheme="minorHAnsi" w:hAnsiTheme="minorHAnsi"/>
                <w:sz w:val="22"/>
                <w:szCs w:val="22"/>
              </w:rPr>
              <w:t>) demonstrates a negative result; or</w:t>
            </w:r>
          </w:p>
          <w:p w14:paraId="109EF180" w14:textId="3787A306" w:rsidR="00292942" w:rsidRPr="00535CA5" w:rsidRDefault="00535CA5" w:rsidP="00535CA5">
            <w:pPr>
              <w:rPr>
                <w:rFonts w:asciiTheme="minorHAnsi" w:hAnsiTheme="minorHAnsi"/>
                <w:szCs w:val="22"/>
              </w:rPr>
            </w:pPr>
            <w:r>
              <w:rPr>
                <w:rFonts w:asciiTheme="minorHAnsi" w:hAnsiTheme="minorHAnsi"/>
                <w:szCs w:val="22"/>
              </w:rPr>
              <w:t xml:space="preserve">(b) </w:t>
            </w:r>
            <w:r w:rsidR="001E3205" w:rsidRPr="001E3205">
              <w:rPr>
                <w:rFonts w:asciiTheme="minorHAnsi" w:hAnsiTheme="minorHAnsi"/>
                <w:szCs w:val="22"/>
              </w:rPr>
              <w:t>if an immunological test demonstrates a positive result</w:t>
            </w:r>
            <w:r w:rsidR="00D70128">
              <w:rPr>
                <w:rFonts w:asciiTheme="minorHAnsi" w:hAnsiTheme="minorHAnsi"/>
                <w:szCs w:val="22"/>
              </w:rPr>
              <w:t xml:space="preserve"> – </w:t>
            </w:r>
            <w:r w:rsidR="001E3205" w:rsidRPr="001E3205">
              <w:rPr>
                <w:rFonts w:asciiTheme="minorHAnsi" w:hAnsiTheme="minorHAnsi"/>
                <w:szCs w:val="22"/>
              </w:rPr>
              <w:t>ineligible for 3 years from the time of the test result; or</w:t>
            </w:r>
          </w:p>
          <w:p w14:paraId="64C59FEA" w14:textId="093762A7" w:rsidR="00292942" w:rsidRPr="00C02B8F" w:rsidRDefault="00535CA5" w:rsidP="00D70128">
            <w:pPr>
              <w:pStyle w:val="Tabletext"/>
              <w:rPr>
                <w:rFonts w:asciiTheme="minorHAnsi" w:hAnsiTheme="minorHAnsi"/>
                <w:sz w:val="22"/>
                <w:szCs w:val="22"/>
              </w:rPr>
            </w:pPr>
            <w:r w:rsidRPr="00535CA5">
              <w:rPr>
                <w:rFonts w:asciiTheme="minorHAnsi" w:hAnsiTheme="minorHAnsi"/>
                <w:sz w:val="22"/>
                <w:szCs w:val="22"/>
              </w:rPr>
              <w:t>(c</w:t>
            </w:r>
            <w:r>
              <w:rPr>
                <w:rFonts w:asciiTheme="minorHAnsi" w:hAnsiTheme="minorHAnsi"/>
                <w:sz w:val="22"/>
                <w:szCs w:val="22"/>
              </w:rPr>
              <w:t xml:space="preserve">) </w:t>
            </w:r>
            <w:r w:rsidR="001E3205" w:rsidRPr="001E3205">
              <w:rPr>
                <w:rFonts w:asciiTheme="minorHAnsi" w:hAnsiTheme="minorHAnsi"/>
                <w:sz w:val="22"/>
                <w:szCs w:val="22"/>
              </w:rPr>
              <w:t>in all other circumstances</w:t>
            </w:r>
            <w:r w:rsidR="00D70128">
              <w:rPr>
                <w:rFonts w:asciiTheme="minorHAnsi" w:hAnsiTheme="minorHAnsi"/>
                <w:sz w:val="22"/>
                <w:szCs w:val="22"/>
              </w:rPr>
              <w:t xml:space="preserve"> – p</w:t>
            </w:r>
            <w:r w:rsidR="001E3205" w:rsidRPr="001E3205">
              <w:rPr>
                <w:rFonts w:asciiTheme="minorHAnsi" w:hAnsiTheme="minorHAnsi"/>
                <w:sz w:val="22"/>
                <w:szCs w:val="22"/>
              </w:rPr>
              <w:t>ermanently ineligible</w:t>
            </w:r>
          </w:p>
        </w:tc>
      </w:tr>
    </w:tbl>
    <w:p w14:paraId="03E60737" w14:textId="647C726D" w:rsidR="006D2D20" w:rsidRDefault="006D2D20" w:rsidP="00292942">
      <w:pPr>
        <w:rPr>
          <w:rFonts w:asciiTheme="minorHAnsi" w:hAnsiTheme="minorHAnsi"/>
          <w:szCs w:val="22"/>
        </w:rPr>
      </w:pPr>
      <w:r w:rsidRPr="006D2D20">
        <w:rPr>
          <w:rFonts w:asciiTheme="minorHAnsi" w:hAnsiTheme="minorHAnsi"/>
          <w:szCs w:val="22"/>
        </w:rPr>
        <w:t xml:space="preserve">Endemic areas for malaria are published </w:t>
      </w:r>
      <w:r w:rsidR="005D3882">
        <w:rPr>
          <w:rFonts w:asciiTheme="minorHAnsi" w:hAnsiTheme="minorHAnsi"/>
          <w:szCs w:val="22"/>
        </w:rPr>
        <w:t xml:space="preserve">online by </w:t>
      </w:r>
      <w:r w:rsidR="00664B63">
        <w:rPr>
          <w:rFonts w:asciiTheme="minorHAnsi" w:hAnsiTheme="minorHAnsi"/>
          <w:szCs w:val="22"/>
        </w:rPr>
        <w:t>WHO</w:t>
      </w:r>
      <w:r w:rsidR="005D3882">
        <w:rPr>
          <w:rFonts w:asciiTheme="minorHAnsi" w:hAnsiTheme="minorHAnsi"/>
          <w:szCs w:val="22"/>
        </w:rPr>
        <w:t xml:space="preserve"> and</w:t>
      </w:r>
      <w:r w:rsidRPr="006D2D20">
        <w:rPr>
          <w:rFonts w:asciiTheme="minorHAnsi" w:hAnsiTheme="minorHAnsi"/>
          <w:szCs w:val="22"/>
        </w:rPr>
        <w:t xml:space="preserve"> </w:t>
      </w:r>
      <w:r w:rsidR="00664B63">
        <w:rPr>
          <w:rFonts w:asciiTheme="minorHAnsi" w:hAnsiTheme="minorHAnsi"/>
          <w:szCs w:val="22"/>
        </w:rPr>
        <w:t xml:space="preserve">the </w:t>
      </w:r>
      <w:r w:rsidRPr="006D2D20">
        <w:rPr>
          <w:rFonts w:asciiTheme="minorHAnsi" w:hAnsiTheme="minorHAnsi"/>
          <w:szCs w:val="22"/>
        </w:rPr>
        <w:t xml:space="preserve">Centers for Disease Control and Prevention. The definition of endemic </w:t>
      </w:r>
      <w:r w:rsidR="005D3882">
        <w:rPr>
          <w:rFonts w:asciiTheme="minorHAnsi" w:hAnsiTheme="minorHAnsi"/>
          <w:szCs w:val="22"/>
        </w:rPr>
        <w:t>region</w:t>
      </w:r>
      <w:r w:rsidRPr="006D2D20">
        <w:rPr>
          <w:rFonts w:asciiTheme="minorHAnsi" w:hAnsiTheme="minorHAnsi"/>
          <w:szCs w:val="22"/>
        </w:rPr>
        <w:t xml:space="preserve"> may be at the country level, or it may be possible to justify</w:t>
      </w:r>
      <w:r w:rsidR="005D3882">
        <w:rPr>
          <w:rFonts w:asciiTheme="minorHAnsi" w:hAnsiTheme="minorHAnsi"/>
          <w:szCs w:val="22"/>
        </w:rPr>
        <w:t xml:space="preserve"> more specifically local areas within any one particular </w:t>
      </w:r>
      <w:r w:rsidRPr="006D2D20">
        <w:rPr>
          <w:rFonts w:asciiTheme="minorHAnsi" w:hAnsiTheme="minorHAnsi"/>
          <w:szCs w:val="22"/>
        </w:rPr>
        <w:t>country</w:t>
      </w:r>
      <w:r w:rsidR="005D3882">
        <w:rPr>
          <w:rFonts w:asciiTheme="minorHAnsi" w:hAnsiTheme="minorHAnsi"/>
          <w:szCs w:val="22"/>
        </w:rPr>
        <w:t>.</w:t>
      </w:r>
    </w:p>
    <w:p w14:paraId="2C3A4037" w14:textId="1A58B8A1" w:rsidR="005D3882" w:rsidRPr="00BA3BEB" w:rsidRDefault="00664B63" w:rsidP="00292942">
      <w:pPr>
        <w:rPr>
          <w:rFonts w:asciiTheme="minorHAnsi" w:hAnsiTheme="minorHAnsi"/>
          <w:szCs w:val="22"/>
        </w:rPr>
      </w:pPr>
      <w:r w:rsidRPr="00664B63">
        <w:rPr>
          <w:rFonts w:asciiTheme="minorHAnsi" w:hAnsiTheme="minorHAnsi"/>
          <w:szCs w:val="22"/>
        </w:rPr>
        <w:t xml:space="preserve">The </w:t>
      </w:r>
      <w:r>
        <w:rPr>
          <w:rFonts w:asciiTheme="minorHAnsi" w:hAnsiTheme="minorHAnsi"/>
          <w:szCs w:val="22"/>
        </w:rPr>
        <w:t>concept of having</w:t>
      </w:r>
      <w:r w:rsidRPr="00664B63">
        <w:rPr>
          <w:rFonts w:asciiTheme="minorHAnsi" w:hAnsiTheme="minorHAnsi"/>
          <w:szCs w:val="22"/>
        </w:rPr>
        <w:t xml:space="preserve"> ‘visit</w:t>
      </w:r>
      <w:r>
        <w:rPr>
          <w:rFonts w:asciiTheme="minorHAnsi" w:hAnsiTheme="minorHAnsi"/>
          <w:szCs w:val="22"/>
        </w:rPr>
        <w:t>ed</w:t>
      </w:r>
      <w:r w:rsidRPr="00664B63">
        <w:rPr>
          <w:rFonts w:asciiTheme="minorHAnsi" w:hAnsiTheme="minorHAnsi"/>
          <w:szCs w:val="22"/>
        </w:rPr>
        <w:t xml:space="preserve">’ </w:t>
      </w:r>
      <w:r>
        <w:rPr>
          <w:rFonts w:asciiTheme="minorHAnsi" w:hAnsiTheme="minorHAnsi"/>
          <w:szCs w:val="22"/>
        </w:rPr>
        <w:t xml:space="preserve">a malaria endemic region </w:t>
      </w:r>
      <w:r w:rsidRPr="00664B63">
        <w:rPr>
          <w:rFonts w:asciiTheme="minorHAnsi" w:hAnsiTheme="minorHAnsi"/>
          <w:szCs w:val="22"/>
        </w:rPr>
        <w:t>is to be applied as consistent with WHO guidelines. In the case of malaria, visitation includes any situation where the donor has been potentially exposed to the external environment. For example, it would not include a stop-over in an airport terminal where the individual did not leave the terminal, but would include if the donor were to travel to another location (including another terminal) in a bus or private taxi. Malarial prophylaxis does not affect the malaria exclusion periods.</w:t>
      </w:r>
    </w:p>
    <w:p w14:paraId="0113969D" w14:textId="401AB06E" w:rsidR="00D424A1" w:rsidRPr="00F025CD" w:rsidRDefault="00D424A1" w:rsidP="00D424A1">
      <w:pPr>
        <w:pStyle w:val="Heading4"/>
      </w:pPr>
      <w:bookmarkStart w:id="49" w:name="_Toc69823152"/>
      <w:r>
        <w:t>Item 19 – Undiagnosed febrile illness consistent with malaria</w:t>
      </w:r>
      <w:bookmarkEnd w:id="49"/>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D424A1" w:rsidRPr="00D424A1" w14:paraId="4FF4E421" w14:textId="77777777" w:rsidTr="007533BA">
        <w:trPr>
          <w:trHeight w:val="391"/>
        </w:trPr>
        <w:tc>
          <w:tcPr>
            <w:tcW w:w="25" w:type="dxa"/>
            <w:vAlign w:val="center"/>
          </w:tcPr>
          <w:p w14:paraId="6785A8DA" w14:textId="77777777" w:rsidR="00D424A1" w:rsidRPr="00D424A1" w:rsidRDefault="00D424A1" w:rsidP="007533BA">
            <w:pPr>
              <w:rPr>
                <w:rFonts w:asciiTheme="minorHAnsi" w:hAnsiTheme="minorHAnsi"/>
                <w:szCs w:val="22"/>
              </w:rPr>
            </w:pPr>
          </w:p>
        </w:tc>
        <w:tc>
          <w:tcPr>
            <w:tcW w:w="679" w:type="dxa"/>
            <w:shd w:val="clear" w:color="auto" w:fill="EAEAEA"/>
          </w:tcPr>
          <w:p w14:paraId="0DAB91CB" w14:textId="77777777" w:rsidR="00D424A1" w:rsidRPr="00D424A1" w:rsidRDefault="00D424A1" w:rsidP="007533BA">
            <w:pPr>
              <w:jc w:val="center"/>
              <w:rPr>
                <w:rFonts w:asciiTheme="minorHAnsi" w:hAnsiTheme="minorHAnsi"/>
                <w:b/>
                <w:szCs w:val="22"/>
              </w:rPr>
            </w:pPr>
            <w:r w:rsidRPr="00D424A1">
              <w:rPr>
                <w:rFonts w:asciiTheme="minorHAnsi" w:hAnsiTheme="minorHAnsi"/>
                <w:b/>
                <w:szCs w:val="22"/>
              </w:rPr>
              <w:t>Item</w:t>
            </w:r>
          </w:p>
          <w:p w14:paraId="0A04D4C4" w14:textId="0661AE28" w:rsidR="00D424A1" w:rsidRPr="00D424A1" w:rsidRDefault="00D424A1" w:rsidP="007533BA">
            <w:pPr>
              <w:jc w:val="center"/>
              <w:rPr>
                <w:rFonts w:asciiTheme="minorHAnsi" w:hAnsiTheme="minorHAnsi"/>
                <w:szCs w:val="22"/>
              </w:rPr>
            </w:pPr>
            <w:r>
              <w:rPr>
                <w:rFonts w:asciiTheme="minorHAnsi" w:hAnsiTheme="minorHAnsi"/>
                <w:szCs w:val="22"/>
              </w:rPr>
              <w:t>19</w:t>
            </w:r>
          </w:p>
        </w:tc>
        <w:tc>
          <w:tcPr>
            <w:tcW w:w="4536" w:type="dxa"/>
            <w:shd w:val="clear" w:color="auto" w:fill="EAEAEA"/>
            <w:tcMar>
              <w:top w:w="170" w:type="dxa"/>
              <w:left w:w="170" w:type="dxa"/>
              <w:bottom w:w="170" w:type="dxa"/>
              <w:right w:w="170" w:type="dxa"/>
            </w:tcMar>
          </w:tcPr>
          <w:p w14:paraId="766329A2" w14:textId="77777777" w:rsidR="00D424A1" w:rsidRPr="00D424A1" w:rsidRDefault="00D424A1" w:rsidP="007533BA">
            <w:pPr>
              <w:rPr>
                <w:rFonts w:asciiTheme="minorHAnsi" w:hAnsiTheme="minorHAnsi"/>
                <w:b/>
                <w:szCs w:val="22"/>
              </w:rPr>
            </w:pPr>
            <w:r w:rsidRPr="00D424A1">
              <w:rPr>
                <w:rFonts w:asciiTheme="minorHAnsi" w:hAnsiTheme="minorHAnsi"/>
                <w:b/>
                <w:szCs w:val="22"/>
              </w:rPr>
              <w:t>Medical and social history criteria</w:t>
            </w:r>
          </w:p>
          <w:p w14:paraId="5541222A" w14:textId="05E88BAB" w:rsidR="00D424A1" w:rsidRPr="00D424A1" w:rsidRDefault="00D70128" w:rsidP="007533BA">
            <w:pPr>
              <w:rPr>
                <w:rFonts w:asciiTheme="minorHAnsi" w:hAnsiTheme="minorHAnsi"/>
                <w:szCs w:val="22"/>
              </w:rPr>
            </w:pPr>
            <w:r w:rsidRPr="009A5E24">
              <w:t>a person who has or has had an undiagnosed febrile illness, with symptoms consistent with malaria during, or within 6 months of return from, a visit to a malaria endemic region</w:t>
            </w:r>
          </w:p>
        </w:tc>
        <w:tc>
          <w:tcPr>
            <w:tcW w:w="3827" w:type="dxa"/>
            <w:shd w:val="clear" w:color="auto" w:fill="EAEAEA"/>
          </w:tcPr>
          <w:p w14:paraId="3EC877E7" w14:textId="77777777" w:rsidR="00D424A1" w:rsidRPr="00D424A1" w:rsidRDefault="00D424A1" w:rsidP="007533BA">
            <w:pPr>
              <w:rPr>
                <w:rFonts w:asciiTheme="minorHAnsi" w:hAnsiTheme="minorHAnsi"/>
                <w:b/>
                <w:szCs w:val="22"/>
              </w:rPr>
            </w:pPr>
            <w:r w:rsidRPr="00D424A1">
              <w:rPr>
                <w:rFonts w:asciiTheme="minorHAnsi" w:hAnsiTheme="minorHAnsi"/>
                <w:b/>
                <w:szCs w:val="22"/>
              </w:rPr>
              <w:t>Period of ineligibility</w:t>
            </w:r>
          </w:p>
          <w:p w14:paraId="54D1148B" w14:textId="03A3C0F9" w:rsidR="00D424A1" w:rsidRPr="00D424A1" w:rsidRDefault="00D424A1" w:rsidP="00D424A1">
            <w:pPr>
              <w:pStyle w:val="Tabletext"/>
              <w:rPr>
                <w:rFonts w:asciiTheme="minorHAnsi" w:hAnsiTheme="minorHAnsi"/>
                <w:sz w:val="22"/>
                <w:szCs w:val="22"/>
              </w:rPr>
            </w:pPr>
            <w:r w:rsidRPr="00D424A1">
              <w:rPr>
                <w:rFonts w:asciiTheme="minorHAnsi" w:hAnsiTheme="minorHAnsi"/>
                <w:sz w:val="22"/>
                <w:szCs w:val="22"/>
              </w:rPr>
              <w:t xml:space="preserve">(a) </w:t>
            </w:r>
            <w:r w:rsidR="001E3205" w:rsidRPr="001E3205">
              <w:rPr>
                <w:rFonts w:asciiTheme="minorHAnsi" w:hAnsiTheme="minorHAnsi"/>
                <w:sz w:val="22"/>
                <w:szCs w:val="22"/>
              </w:rPr>
              <w:t xml:space="preserve">ineligible until an immunological test that is performed at least 4 months after the later of the cessation of treatment or the person’s last symptoms (an </w:t>
            </w:r>
            <w:r w:rsidR="001E3205" w:rsidRPr="001E3205">
              <w:rPr>
                <w:rFonts w:asciiTheme="minorHAnsi" w:hAnsiTheme="minorHAnsi"/>
                <w:b/>
                <w:i/>
                <w:sz w:val="22"/>
                <w:szCs w:val="22"/>
              </w:rPr>
              <w:t>immunological</w:t>
            </w:r>
            <w:r w:rsidR="001E3205" w:rsidRPr="001E3205">
              <w:rPr>
                <w:rFonts w:asciiTheme="minorHAnsi" w:hAnsiTheme="minorHAnsi"/>
                <w:sz w:val="22"/>
                <w:szCs w:val="22"/>
              </w:rPr>
              <w:t xml:space="preserve"> </w:t>
            </w:r>
            <w:r w:rsidR="001E3205" w:rsidRPr="001E3205">
              <w:rPr>
                <w:rFonts w:asciiTheme="minorHAnsi" w:hAnsiTheme="minorHAnsi"/>
                <w:b/>
                <w:i/>
                <w:sz w:val="22"/>
                <w:szCs w:val="22"/>
              </w:rPr>
              <w:t>test</w:t>
            </w:r>
            <w:r w:rsidR="001E3205" w:rsidRPr="001E3205">
              <w:rPr>
                <w:rFonts w:asciiTheme="minorHAnsi" w:hAnsiTheme="minorHAnsi"/>
                <w:sz w:val="22"/>
                <w:szCs w:val="22"/>
              </w:rPr>
              <w:t>) demonstrates a negative result; or</w:t>
            </w:r>
          </w:p>
          <w:p w14:paraId="740DEB4A" w14:textId="707D47E7" w:rsidR="00D424A1" w:rsidRPr="00D424A1" w:rsidRDefault="00D424A1" w:rsidP="00D424A1">
            <w:pPr>
              <w:pStyle w:val="Tabletext"/>
              <w:rPr>
                <w:rFonts w:asciiTheme="minorHAnsi" w:hAnsiTheme="minorHAnsi"/>
                <w:sz w:val="22"/>
                <w:szCs w:val="22"/>
              </w:rPr>
            </w:pPr>
            <w:r w:rsidRPr="00D424A1">
              <w:rPr>
                <w:rFonts w:asciiTheme="minorHAnsi" w:hAnsiTheme="minorHAnsi"/>
                <w:sz w:val="22"/>
                <w:szCs w:val="22"/>
              </w:rPr>
              <w:t>(b</w:t>
            </w:r>
            <w:r>
              <w:rPr>
                <w:rFonts w:asciiTheme="minorHAnsi" w:hAnsiTheme="minorHAnsi"/>
                <w:sz w:val="22"/>
                <w:szCs w:val="22"/>
              </w:rPr>
              <w:t xml:space="preserve">) </w:t>
            </w:r>
            <w:r w:rsidR="001E3205" w:rsidRPr="001E3205">
              <w:rPr>
                <w:rFonts w:asciiTheme="minorHAnsi" w:hAnsiTheme="minorHAnsi"/>
                <w:sz w:val="22"/>
                <w:szCs w:val="22"/>
              </w:rPr>
              <w:t>if an immunological test demonstrates a positive result</w:t>
            </w:r>
            <w:r w:rsidR="00D70128">
              <w:rPr>
                <w:rFonts w:asciiTheme="minorHAnsi" w:hAnsiTheme="minorHAnsi"/>
                <w:sz w:val="22"/>
                <w:szCs w:val="22"/>
              </w:rPr>
              <w:t xml:space="preserve"> – i</w:t>
            </w:r>
            <w:r w:rsidR="001E3205" w:rsidRPr="001E3205">
              <w:rPr>
                <w:rFonts w:asciiTheme="minorHAnsi" w:hAnsiTheme="minorHAnsi"/>
                <w:sz w:val="22"/>
                <w:szCs w:val="22"/>
              </w:rPr>
              <w:t>neligible for 3 years from the time of the test result; or</w:t>
            </w:r>
          </w:p>
          <w:p w14:paraId="58765DAF" w14:textId="516249CC" w:rsidR="00D424A1" w:rsidRPr="00D424A1" w:rsidRDefault="00D424A1" w:rsidP="006316FA">
            <w:pPr>
              <w:rPr>
                <w:rFonts w:asciiTheme="minorHAnsi" w:hAnsiTheme="minorHAnsi"/>
                <w:szCs w:val="22"/>
              </w:rPr>
            </w:pPr>
            <w:r w:rsidRPr="00D424A1">
              <w:rPr>
                <w:rFonts w:asciiTheme="minorHAnsi" w:hAnsiTheme="minorHAnsi"/>
                <w:szCs w:val="22"/>
              </w:rPr>
              <w:lastRenderedPageBreak/>
              <w:t>(c</w:t>
            </w:r>
            <w:r>
              <w:rPr>
                <w:rFonts w:asciiTheme="minorHAnsi" w:hAnsiTheme="minorHAnsi"/>
                <w:szCs w:val="22"/>
              </w:rPr>
              <w:t xml:space="preserve">) </w:t>
            </w:r>
            <w:r w:rsidR="001E3205" w:rsidRPr="001E3205">
              <w:rPr>
                <w:rFonts w:asciiTheme="minorHAnsi" w:hAnsiTheme="minorHAnsi"/>
                <w:szCs w:val="22"/>
              </w:rPr>
              <w:t>in all other circumstances</w:t>
            </w:r>
            <w:r w:rsidR="00D70128">
              <w:rPr>
                <w:rFonts w:asciiTheme="minorHAnsi" w:hAnsiTheme="minorHAnsi"/>
                <w:szCs w:val="22"/>
              </w:rPr>
              <w:t xml:space="preserve"> – </w:t>
            </w:r>
            <w:r w:rsidR="001E3205" w:rsidRPr="001E3205">
              <w:rPr>
                <w:rFonts w:asciiTheme="minorHAnsi" w:hAnsiTheme="minorHAnsi"/>
                <w:szCs w:val="22"/>
              </w:rPr>
              <w:t>ineligible for 3 years from the later of the cessation of treatment or the person’s last symptoms</w:t>
            </w:r>
          </w:p>
        </w:tc>
      </w:tr>
    </w:tbl>
    <w:p w14:paraId="3F4EC516" w14:textId="3AC3640C" w:rsidR="006D2D20" w:rsidRPr="00BA3BEB" w:rsidRDefault="006D2D20" w:rsidP="00D424A1">
      <w:pPr>
        <w:rPr>
          <w:rFonts w:asciiTheme="minorHAnsi" w:hAnsiTheme="minorHAnsi"/>
          <w:szCs w:val="22"/>
        </w:rPr>
      </w:pPr>
      <w:r w:rsidRPr="006D2D20">
        <w:rPr>
          <w:rFonts w:asciiTheme="minorHAnsi" w:hAnsiTheme="minorHAnsi"/>
          <w:szCs w:val="22"/>
        </w:rPr>
        <w:lastRenderedPageBreak/>
        <w:t>The decision to apply this deferral criterion must be based on clinical judgement as to whether the febrile illness is consistent with malaria.</w:t>
      </w:r>
    </w:p>
    <w:p w14:paraId="0103D76D" w14:textId="09911321" w:rsidR="00D424A1" w:rsidRPr="00F025CD" w:rsidRDefault="00D424A1" w:rsidP="00D424A1">
      <w:pPr>
        <w:pStyle w:val="Heading4"/>
      </w:pPr>
      <w:bookmarkStart w:id="50" w:name="_Toc69823153"/>
      <w:r>
        <w:t xml:space="preserve">Item 20 – </w:t>
      </w:r>
      <w:r w:rsidR="00B97AFF">
        <w:t>Active infection</w:t>
      </w:r>
      <w:bookmarkEnd w:id="50"/>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D424A1" w:rsidRPr="00D424A1" w14:paraId="7AE74EC3" w14:textId="77777777" w:rsidTr="007533BA">
        <w:trPr>
          <w:trHeight w:val="391"/>
        </w:trPr>
        <w:tc>
          <w:tcPr>
            <w:tcW w:w="25" w:type="dxa"/>
            <w:vAlign w:val="center"/>
          </w:tcPr>
          <w:p w14:paraId="0B6C116B" w14:textId="77777777" w:rsidR="00D424A1" w:rsidRPr="00D424A1" w:rsidRDefault="00D424A1" w:rsidP="007533BA">
            <w:pPr>
              <w:rPr>
                <w:rFonts w:asciiTheme="minorHAnsi" w:hAnsiTheme="minorHAnsi"/>
                <w:szCs w:val="22"/>
              </w:rPr>
            </w:pPr>
          </w:p>
        </w:tc>
        <w:tc>
          <w:tcPr>
            <w:tcW w:w="679" w:type="dxa"/>
            <w:shd w:val="clear" w:color="auto" w:fill="EAEAEA"/>
          </w:tcPr>
          <w:p w14:paraId="4BE4FEC7" w14:textId="77777777" w:rsidR="00D424A1" w:rsidRPr="00D424A1" w:rsidRDefault="00D424A1" w:rsidP="007533BA">
            <w:pPr>
              <w:jc w:val="center"/>
              <w:rPr>
                <w:rFonts w:asciiTheme="minorHAnsi" w:hAnsiTheme="minorHAnsi"/>
                <w:b/>
                <w:szCs w:val="22"/>
              </w:rPr>
            </w:pPr>
            <w:r w:rsidRPr="00D424A1">
              <w:rPr>
                <w:rFonts w:asciiTheme="minorHAnsi" w:hAnsiTheme="minorHAnsi"/>
                <w:b/>
                <w:szCs w:val="22"/>
              </w:rPr>
              <w:t>Item</w:t>
            </w:r>
          </w:p>
          <w:p w14:paraId="2B0EF385" w14:textId="26CD18C4" w:rsidR="00D424A1" w:rsidRPr="00D424A1" w:rsidRDefault="00D424A1" w:rsidP="007533BA">
            <w:pPr>
              <w:jc w:val="center"/>
              <w:rPr>
                <w:rFonts w:asciiTheme="minorHAnsi" w:hAnsiTheme="minorHAnsi"/>
                <w:szCs w:val="22"/>
              </w:rPr>
            </w:pPr>
            <w:r>
              <w:rPr>
                <w:rFonts w:asciiTheme="minorHAnsi" w:hAnsiTheme="minorHAnsi"/>
                <w:szCs w:val="22"/>
              </w:rPr>
              <w:t>20</w:t>
            </w:r>
          </w:p>
        </w:tc>
        <w:tc>
          <w:tcPr>
            <w:tcW w:w="4536" w:type="dxa"/>
            <w:shd w:val="clear" w:color="auto" w:fill="EAEAEA"/>
            <w:tcMar>
              <w:top w:w="170" w:type="dxa"/>
              <w:left w:w="170" w:type="dxa"/>
              <w:bottom w:w="170" w:type="dxa"/>
              <w:right w:w="170" w:type="dxa"/>
            </w:tcMar>
          </w:tcPr>
          <w:p w14:paraId="77A10197" w14:textId="77777777" w:rsidR="00D424A1" w:rsidRPr="00D424A1" w:rsidRDefault="00D424A1" w:rsidP="007533BA">
            <w:pPr>
              <w:rPr>
                <w:rFonts w:asciiTheme="minorHAnsi" w:hAnsiTheme="minorHAnsi"/>
                <w:b/>
                <w:szCs w:val="22"/>
              </w:rPr>
            </w:pPr>
            <w:r w:rsidRPr="00D424A1">
              <w:rPr>
                <w:rFonts w:asciiTheme="minorHAnsi" w:hAnsiTheme="minorHAnsi"/>
                <w:b/>
                <w:szCs w:val="22"/>
              </w:rPr>
              <w:t>Medical and social history criteria</w:t>
            </w:r>
          </w:p>
          <w:p w14:paraId="76C6FA9C" w14:textId="0753FF8A" w:rsidR="00D424A1" w:rsidRPr="00D424A1" w:rsidRDefault="00D70128" w:rsidP="007533BA">
            <w:pPr>
              <w:rPr>
                <w:rFonts w:asciiTheme="minorHAnsi" w:hAnsiTheme="minorHAnsi"/>
                <w:szCs w:val="22"/>
              </w:rPr>
            </w:pPr>
            <w:r w:rsidRPr="009A5E24">
              <w:t>a person with an active infection that would render HCT materials collected from that person unsuitable for use in the manufacture of HCT products</w:t>
            </w:r>
          </w:p>
        </w:tc>
        <w:tc>
          <w:tcPr>
            <w:tcW w:w="3827" w:type="dxa"/>
            <w:shd w:val="clear" w:color="auto" w:fill="EAEAEA"/>
          </w:tcPr>
          <w:p w14:paraId="4A891D25" w14:textId="77777777" w:rsidR="00D424A1" w:rsidRPr="00D424A1" w:rsidRDefault="00D424A1" w:rsidP="007533BA">
            <w:pPr>
              <w:rPr>
                <w:rFonts w:asciiTheme="minorHAnsi" w:hAnsiTheme="minorHAnsi"/>
                <w:b/>
                <w:szCs w:val="22"/>
              </w:rPr>
            </w:pPr>
            <w:r w:rsidRPr="00D424A1">
              <w:rPr>
                <w:rFonts w:asciiTheme="minorHAnsi" w:hAnsiTheme="minorHAnsi"/>
                <w:b/>
                <w:szCs w:val="22"/>
              </w:rPr>
              <w:t>Period of ineligibility</w:t>
            </w:r>
          </w:p>
          <w:p w14:paraId="1B0DC911" w14:textId="2F8F7236" w:rsidR="00D424A1" w:rsidRPr="00D424A1" w:rsidRDefault="00D70128" w:rsidP="007533BA">
            <w:pPr>
              <w:rPr>
                <w:rFonts w:asciiTheme="minorHAnsi" w:hAnsiTheme="minorHAnsi"/>
                <w:szCs w:val="22"/>
              </w:rPr>
            </w:pPr>
            <w:r w:rsidRPr="009A5E24">
              <w:t>ineligible until it has been demonstrated that the person no longer has the infection</w:t>
            </w:r>
          </w:p>
        </w:tc>
      </w:tr>
    </w:tbl>
    <w:p w14:paraId="1FD6D58D" w14:textId="37D46114" w:rsidR="00664B63" w:rsidRDefault="00664B63" w:rsidP="00D424A1">
      <w:pPr>
        <w:rPr>
          <w:rFonts w:asciiTheme="minorHAnsi" w:hAnsiTheme="minorHAnsi"/>
          <w:szCs w:val="22"/>
        </w:rPr>
      </w:pPr>
      <w:r w:rsidRPr="00664B63">
        <w:rPr>
          <w:rFonts w:asciiTheme="minorHAnsi" w:hAnsiTheme="minorHAnsi"/>
          <w:szCs w:val="22"/>
        </w:rPr>
        <w:t>A list of infections that are relevant to the product and warrant deferral should be established. Determination of a disease free state should include an algorithm and at minimum the essential assays or parameters to demonstrate that an infection has cleared or will render the target cells or tissue unsuitable for manufacture.</w:t>
      </w:r>
    </w:p>
    <w:p w14:paraId="03E08C28" w14:textId="7FF64DCC" w:rsidR="00C02B8F" w:rsidRPr="00F025CD" w:rsidRDefault="00C02B8F" w:rsidP="00C02B8F">
      <w:pPr>
        <w:pStyle w:val="Heading4"/>
      </w:pPr>
      <w:bookmarkStart w:id="51" w:name="_Toc69823154"/>
      <w:r>
        <w:t>Items 21 and 22 – Deceased donors</w:t>
      </w:r>
      <w:bookmarkEnd w:id="51"/>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C02B8F" w:rsidRPr="00D424A1" w14:paraId="5E506752" w14:textId="77777777" w:rsidTr="00151820">
        <w:trPr>
          <w:trHeight w:val="391"/>
        </w:trPr>
        <w:tc>
          <w:tcPr>
            <w:tcW w:w="25" w:type="dxa"/>
            <w:vAlign w:val="center"/>
          </w:tcPr>
          <w:p w14:paraId="586D82EB" w14:textId="77777777" w:rsidR="00C02B8F" w:rsidRPr="00D424A1" w:rsidRDefault="00C02B8F" w:rsidP="00151820">
            <w:pPr>
              <w:rPr>
                <w:rFonts w:asciiTheme="minorHAnsi" w:hAnsiTheme="minorHAnsi"/>
                <w:szCs w:val="22"/>
              </w:rPr>
            </w:pPr>
          </w:p>
        </w:tc>
        <w:tc>
          <w:tcPr>
            <w:tcW w:w="679" w:type="dxa"/>
            <w:shd w:val="clear" w:color="auto" w:fill="EAEAEA"/>
          </w:tcPr>
          <w:p w14:paraId="7C444789" w14:textId="77777777" w:rsidR="00C02B8F" w:rsidRPr="00D424A1" w:rsidRDefault="00C02B8F" w:rsidP="00151820">
            <w:pPr>
              <w:jc w:val="center"/>
              <w:rPr>
                <w:rFonts w:asciiTheme="minorHAnsi" w:hAnsiTheme="minorHAnsi"/>
                <w:b/>
                <w:szCs w:val="22"/>
              </w:rPr>
            </w:pPr>
            <w:r w:rsidRPr="00D424A1">
              <w:rPr>
                <w:rFonts w:asciiTheme="minorHAnsi" w:hAnsiTheme="minorHAnsi"/>
                <w:b/>
                <w:szCs w:val="22"/>
              </w:rPr>
              <w:t>Item</w:t>
            </w:r>
          </w:p>
          <w:p w14:paraId="62794EA0" w14:textId="14D4D705" w:rsidR="00C02B8F" w:rsidRPr="00D424A1" w:rsidRDefault="00C02B8F" w:rsidP="00151820">
            <w:pPr>
              <w:jc w:val="center"/>
              <w:rPr>
                <w:rFonts w:asciiTheme="minorHAnsi" w:hAnsiTheme="minorHAnsi"/>
                <w:szCs w:val="22"/>
              </w:rPr>
            </w:pPr>
            <w:r>
              <w:rPr>
                <w:rFonts w:asciiTheme="minorHAnsi" w:hAnsiTheme="minorHAnsi"/>
                <w:szCs w:val="22"/>
              </w:rPr>
              <w:t>21</w:t>
            </w:r>
          </w:p>
        </w:tc>
        <w:tc>
          <w:tcPr>
            <w:tcW w:w="4536" w:type="dxa"/>
            <w:shd w:val="clear" w:color="auto" w:fill="EAEAEA"/>
            <w:tcMar>
              <w:top w:w="170" w:type="dxa"/>
              <w:left w:w="170" w:type="dxa"/>
              <w:bottom w:w="170" w:type="dxa"/>
              <w:right w:w="170" w:type="dxa"/>
            </w:tcMar>
          </w:tcPr>
          <w:p w14:paraId="62CA33B4" w14:textId="77777777" w:rsidR="00C02B8F" w:rsidRPr="00D424A1" w:rsidRDefault="00C02B8F" w:rsidP="00151820">
            <w:pPr>
              <w:rPr>
                <w:rFonts w:asciiTheme="minorHAnsi" w:hAnsiTheme="minorHAnsi"/>
                <w:b/>
                <w:szCs w:val="22"/>
              </w:rPr>
            </w:pPr>
            <w:r w:rsidRPr="00D424A1">
              <w:rPr>
                <w:rFonts w:asciiTheme="minorHAnsi" w:hAnsiTheme="minorHAnsi"/>
                <w:b/>
                <w:szCs w:val="22"/>
              </w:rPr>
              <w:t>Medical and social history criteria</w:t>
            </w:r>
          </w:p>
          <w:p w14:paraId="022E6998" w14:textId="2006B9EE" w:rsidR="00C02B8F" w:rsidRPr="00D424A1" w:rsidRDefault="00D70128" w:rsidP="00151820">
            <w:pPr>
              <w:rPr>
                <w:rFonts w:asciiTheme="minorHAnsi" w:hAnsiTheme="minorHAnsi"/>
                <w:szCs w:val="22"/>
              </w:rPr>
            </w:pPr>
            <w:r w:rsidRPr="009A5E24">
              <w:t>a deceased person who, within 12 months prior to asystole, has been a recipient of allogeneic HCT materials or an allogeneic organ that did not conform with this instrument</w:t>
            </w:r>
          </w:p>
        </w:tc>
        <w:tc>
          <w:tcPr>
            <w:tcW w:w="3827" w:type="dxa"/>
            <w:shd w:val="clear" w:color="auto" w:fill="EAEAEA"/>
          </w:tcPr>
          <w:p w14:paraId="4995A098" w14:textId="77777777" w:rsidR="00C02B8F" w:rsidRPr="00D424A1" w:rsidRDefault="00C02B8F" w:rsidP="00151820">
            <w:pPr>
              <w:rPr>
                <w:rFonts w:asciiTheme="minorHAnsi" w:hAnsiTheme="minorHAnsi"/>
                <w:b/>
                <w:szCs w:val="22"/>
              </w:rPr>
            </w:pPr>
            <w:r w:rsidRPr="00D424A1">
              <w:rPr>
                <w:rFonts w:asciiTheme="minorHAnsi" w:hAnsiTheme="minorHAnsi"/>
                <w:b/>
                <w:szCs w:val="22"/>
              </w:rPr>
              <w:t>Period of ineligibility</w:t>
            </w:r>
          </w:p>
          <w:p w14:paraId="0C3EBFCA" w14:textId="6D90BDD1" w:rsidR="00C02B8F" w:rsidRPr="00D424A1" w:rsidRDefault="006C5CDB" w:rsidP="00151820">
            <w:pPr>
              <w:rPr>
                <w:rFonts w:asciiTheme="minorHAnsi" w:hAnsiTheme="minorHAnsi"/>
                <w:szCs w:val="22"/>
              </w:rPr>
            </w:pPr>
            <w:r>
              <w:t>permanently ineligible</w:t>
            </w:r>
          </w:p>
        </w:tc>
      </w:tr>
      <w:tr w:rsidR="00C02B8F" w:rsidRPr="00D424A1" w14:paraId="2A9C6CCC" w14:textId="77777777" w:rsidTr="00C02B8F">
        <w:trPr>
          <w:trHeight w:val="391"/>
        </w:trPr>
        <w:tc>
          <w:tcPr>
            <w:tcW w:w="25" w:type="dxa"/>
            <w:tcBorders>
              <w:left w:val="single" w:sz="4" w:space="0" w:color="auto"/>
              <w:bottom w:val="single" w:sz="4" w:space="0" w:color="auto"/>
            </w:tcBorders>
            <w:vAlign w:val="center"/>
          </w:tcPr>
          <w:p w14:paraId="4DDC272B" w14:textId="77777777" w:rsidR="00C02B8F" w:rsidRPr="00D424A1" w:rsidRDefault="00C02B8F" w:rsidP="00151820">
            <w:pPr>
              <w:rPr>
                <w:rFonts w:asciiTheme="minorHAnsi" w:hAnsiTheme="minorHAnsi"/>
                <w:szCs w:val="22"/>
              </w:rPr>
            </w:pPr>
          </w:p>
        </w:tc>
        <w:tc>
          <w:tcPr>
            <w:tcW w:w="679" w:type="dxa"/>
            <w:tcBorders>
              <w:bottom w:val="single" w:sz="4" w:space="0" w:color="auto"/>
            </w:tcBorders>
            <w:shd w:val="clear" w:color="auto" w:fill="EAEAEA"/>
          </w:tcPr>
          <w:p w14:paraId="11D7702B" w14:textId="77777777" w:rsidR="00C02B8F" w:rsidRPr="00D424A1" w:rsidRDefault="00C02B8F" w:rsidP="00151820">
            <w:pPr>
              <w:jc w:val="center"/>
              <w:rPr>
                <w:rFonts w:asciiTheme="minorHAnsi" w:hAnsiTheme="minorHAnsi"/>
                <w:b/>
                <w:szCs w:val="22"/>
              </w:rPr>
            </w:pPr>
            <w:r w:rsidRPr="00D424A1">
              <w:rPr>
                <w:rFonts w:asciiTheme="minorHAnsi" w:hAnsiTheme="minorHAnsi"/>
                <w:b/>
                <w:szCs w:val="22"/>
              </w:rPr>
              <w:t>Item</w:t>
            </w:r>
          </w:p>
          <w:p w14:paraId="10F6E968" w14:textId="15B3F486" w:rsidR="00C02B8F" w:rsidRPr="00C02B8F" w:rsidRDefault="00C02B8F" w:rsidP="00151820">
            <w:pPr>
              <w:jc w:val="center"/>
              <w:rPr>
                <w:rFonts w:asciiTheme="minorHAnsi" w:hAnsiTheme="minorHAnsi"/>
                <w:szCs w:val="22"/>
              </w:rPr>
            </w:pPr>
            <w:r>
              <w:rPr>
                <w:rFonts w:asciiTheme="minorHAnsi" w:hAnsiTheme="minorHAnsi"/>
                <w:szCs w:val="22"/>
              </w:rPr>
              <w:t>22</w:t>
            </w:r>
          </w:p>
        </w:tc>
        <w:tc>
          <w:tcPr>
            <w:tcW w:w="4536" w:type="dxa"/>
            <w:tcBorders>
              <w:bottom w:val="single" w:sz="4" w:space="0" w:color="auto"/>
            </w:tcBorders>
            <w:shd w:val="clear" w:color="auto" w:fill="EAEAEA"/>
            <w:tcMar>
              <w:top w:w="170" w:type="dxa"/>
              <w:left w:w="170" w:type="dxa"/>
              <w:bottom w:w="170" w:type="dxa"/>
              <w:right w:w="170" w:type="dxa"/>
            </w:tcMar>
          </w:tcPr>
          <w:p w14:paraId="6B64EEB4" w14:textId="77777777" w:rsidR="00C02B8F" w:rsidRPr="00D424A1" w:rsidRDefault="00C02B8F" w:rsidP="00151820">
            <w:pPr>
              <w:rPr>
                <w:rFonts w:asciiTheme="minorHAnsi" w:hAnsiTheme="minorHAnsi"/>
                <w:b/>
                <w:szCs w:val="22"/>
              </w:rPr>
            </w:pPr>
            <w:r w:rsidRPr="00D424A1">
              <w:rPr>
                <w:rFonts w:asciiTheme="minorHAnsi" w:hAnsiTheme="minorHAnsi"/>
                <w:b/>
                <w:szCs w:val="22"/>
              </w:rPr>
              <w:t>Medical and social history criteria</w:t>
            </w:r>
          </w:p>
          <w:p w14:paraId="1A266AE0" w14:textId="5FD13636" w:rsidR="00C02B8F" w:rsidRPr="00C02B8F" w:rsidRDefault="00D70128" w:rsidP="00151820">
            <w:pPr>
              <w:rPr>
                <w:rFonts w:asciiTheme="minorHAnsi" w:hAnsiTheme="minorHAnsi"/>
                <w:szCs w:val="22"/>
              </w:rPr>
            </w:pPr>
            <w:r w:rsidRPr="009A5E24">
              <w:t>a deceased person whose cause of death is unknown</w:t>
            </w:r>
          </w:p>
        </w:tc>
        <w:tc>
          <w:tcPr>
            <w:tcW w:w="3827" w:type="dxa"/>
            <w:tcBorders>
              <w:bottom w:val="single" w:sz="4" w:space="0" w:color="auto"/>
              <w:right w:val="single" w:sz="4" w:space="0" w:color="auto"/>
            </w:tcBorders>
            <w:shd w:val="clear" w:color="auto" w:fill="EAEAEA"/>
          </w:tcPr>
          <w:p w14:paraId="4EDED40A" w14:textId="77777777" w:rsidR="00C02B8F" w:rsidRPr="00D424A1" w:rsidRDefault="00C02B8F" w:rsidP="00151820">
            <w:pPr>
              <w:rPr>
                <w:rFonts w:asciiTheme="minorHAnsi" w:hAnsiTheme="minorHAnsi"/>
                <w:b/>
                <w:szCs w:val="22"/>
              </w:rPr>
            </w:pPr>
            <w:r w:rsidRPr="00D424A1">
              <w:rPr>
                <w:rFonts w:asciiTheme="minorHAnsi" w:hAnsiTheme="minorHAnsi"/>
                <w:b/>
                <w:szCs w:val="22"/>
              </w:rPr>
              <w:t>Period of ineligibility</w:t>
            </w:r>
          </w:p>
          <w:p w14:paraId="5579541B" w14:textId="4E9A3F13" w:rsidR="00C02B8F" w:rsidRPr="00C02B8F" w:rsidRDefault="00D70128" w:rsidP="00151820">
            <w:pPr>
              <w:rPr>
                <w:rFonts w:asciiTheme="minorHAnsi" w:hAnsiTheme="minorHAnsi"/>
                <w:szCs w:val="22"/>
              </w:rPr>
            </w:pPr>
            <w:r w:rsidRPr="009A5E24">
              <w:t>ineligible until a post-mortem examination of the person provides sufficient information to conclude that the person’s death was not caused by a transmissible disease</w:t>
            </w:r>
          </w:p>
        </w:tc>
      </w:tr>
    </w:tbl>
    <w:p w14:paraId="6972E96C" w14:textId="6379F259" w:rsidR="006C5CDB" w:rsidRDefault="006C5CDB" w:rsidP="006C5CDB">
      <w:pPr>
        <w:rPr>
          <w:rFonts w:asciiTheme="minorHAnsi" w:hAnsiTheme="minorHAnsi"/>
          <w:szCs w:val="22"/>
        </w:rPr>
      </w:pPr>
      <w:r w:rsidRPr="00EB3909">
        <w:rPr>
          <w:rFonts w:asciiTheme="minorHAnsi" w:hAnsiTheme="minorHAnsi"/>
          <w:szCs w:val="22"/>
        </w:rPr>
        <w:t xml:space="preserve">If a </w:t>
      </w:r>
      <w:r>
        <w:rPr>
          <w:rFonts w:asciiTheme="minorHAnsi" w:hAnsiTheme="minorHAnsi"/>
          <w:szCs w:val="22"/>
        </w:rPr>
        <w:t>deceased</w:t>
      </w:r>
      <w:r w:rsidRPr="00EB3909">
        <w:rPr>
          <w:rFonts w:asciiTheme="minorHAnsi" w:hAnsiTheme="minorHAnsi"/>
          <w:szCs w:val="22"/>
        </w:rPr>
        <w:t xml:space="preserve"> donor </w:t>
      </w:r>
      <w:r w:rsidR="009D4837" w:rsidRPr="005D6D2C">
        <w:t xml:space="preserve">who, within 12 months prior to asystole, </w:t>
      </w:r>
      <w:r w:rsidRPr="00EB3909">
        <w:rPr>
          <w:rFonts w:asciiTheme="minorHAnsi" w:hAnsiTheme="minorHAnsi"/>
          <w:szCs w:val="22"/>
        </w:rPr>
        <w:t xml:space="preserve">has received </w:t>
      </w:r>
      <w:r w:rsidR="009D4837" w:rsidRPr="005D6D2C">
        <w:t xml:space="preserve">allogeneic </w:t>
      </w:r>
      <w:r w:rsidR="009D4837">
        <w:t xml:space="preserve">HCT materials or an allogeneic </w:t>
      </w:r>
      <w:r w:rsidR="009D4837" w:rsidRPr="005D6D2C">
        <w:t>organ</w:t>
      </w:r>
      <w:r w:rsidR="009D4837">
        <w:t xml:space="preserve"> </w:t>
      </w:r>
      <w:r w:rsidR="009D4837" w:rsidRPr="005D6D2C">
        <w:t xml:space="preserve">that did not conform with </w:t>
      </w:r>
      <w:r w:rsidR="009D4837">
        <w:t>TGO</w:t>
      </w:r>
      <w:r w:rsidR="003B564E">
        <w:t xml:space="preserve"> </w:t>
      </w:r>
      <w:r w:rsidR="009D4837">
        <w:t>108</w:t>
      </w:r>
      <w:r w:rsidRPr="00EB3909">
        <w:rPr>
          <w:rFonts w:asciiTheme="minorHAnsi" w:hAnsiTheme="minorHAnsi"/>
          <w:szCs w:val="22"/>
        </w:rPr>
        <w:t xml:space="preserve">, the sponsor must ensure that the product the donor received is compliant with </w:t>
      </w:r>
      <w:r>
        <w:rPr>
          <w:rFonts w:asciiTheme="minorHAnsi" w:hAnsiTheme="minorHAnsi"/>
          <w:szCs w:val="22"/>
        </w:rPr>
        <w:t>TGO</w:t>
      </w:r>
      <w:r w:rsidR="003B564E">
        <w:rPr>
          <w:rFonts w:asciiTheme="minorHAnsi" w:hAnsiTheme="minorHAnsi"/>
          <w:szCs w:val="22"/>
        </w:rPr>
        <w:t xml:space="preserve"> </w:t>
      </w:r>
      <w:r>
        <w:rPr>
          <w:rFonts w:asciiTheme="minorHAnsi" w:hAnsiTheme="minorHAnsi"/>
          <w:szCs w:val="22"/>
        </w:rPr>
        <w:t>108</w:t>
      </w:r>
      <w:r w:rsidRPr="00EB3909">
        <w:rPr>
          <w:rFonts w:asciiTheme="minorHAnsi" w:hAnsiTheme="minorHAnsi"/>
          <w:szCs w:val="22"/>
        </w:rPr>
        <w:t xml:space="preserve">. </w:t>
      </w:r>
      <w:r w:rsidRPr="00301F44">
        <w:rPr>
          <w:rFonts w:asciiTheme="minorHAnsi" w:hAnsiTheme="minorHAnsi"/>
          <w:szCs w:val="22"/>
        </w:rPr>
        <w:t xml:space="preserve">This may take the form of a statement describing the international standard with which the product was compliant and </w:t>
      </w:r>
      <w:r>
        <w:rPr>
          <w:rFonts w:asciiTheme="minorHAnsi" w:hAnsiTheme="minorHAnsi"/>
          <w:szCs w:val="22"/>
        </w:rPr>
        <w:t>confirming equivalence to TGO</w:t>
      </w:r>
      <w:r w:rsidR="003B564E">
        <w:rPr>
          <w:rFonts w:asciiTheme="minorHAnsi" w:hAnsiTheme="minorHAnsi"/>
          <w:szCs w:val="22"/>
        </w:rPr>
        <w:t xml:space="preserve"> </w:t>
      </w:r>
      <w:r>
        <w:rPr>
          <w:rFonts w:asciiTheme="minorHAnsi" w:hAnsiTheme="minorHAnsi"/>
          <w:szCs w:val="22"/>
        </w:rPr>
        <w:t>108. Where any of these products is not in accordance with the requirements of TGO</w:t>
      </w:r>
      <w:r w:rsidR="003B564E">
        <w:rPr>
          <w:rFonts w:asciiTheme="minorHAnsi" w:hAnsiTheme="minorHAnsi"/>
          <w:szCs w:val="22"/>
        </w:rPr>
        <w:t xml:space="preserve"> </w:t>
      </w:r>
      <w:r>
        <w:rPr>
          <w:rFonts w:asciiTheme="minorHAnsi" w:hAnsiTheme="minorHAnsi"/>
          <w:szCs w:val="22"/>
        </w:rPr>
        <w:t xml:space="preserve">108, the </w:t>
      </w:r>
      <w:r w:rsidR="00E84DE2">
        <w:rPr>
          <w:rFonts w:asciiTheme="minorHAnsi" w:hAnsiTheme="minorHAnsi"/>
          <w:szCs w:val="22"/>
        </w:rPr>
        <w:t>deceased</w:t>
      </w:r>
      <w:r w:rsidR="00E84DE2" w:rsidRPr="00EB3909">
        <w:rPr>
          <w:rFonts w:asciiTheme="minorHAnsi" w:hAnsiTheme="minorHAnsi"/>
          <w:szCs w:val="22"/>
        </w:rPr>
        <w:t xml:space="preserve"> donor </w:t>
      </w:r>
      <w:r>
        <w:rPr>
          <w:rFonts w:asciiTheme="minorHAnsi" w:hAnsiTheme="minorHAnsi"/>
          <w:szCs w:val="22"/>
        </w:rPr>
        <w:t xml:space="preserve">is </w:t>
      </w:r>
      <w:r w:rsidR="00E84DE2">
        <w:rPr>
          <w:rFonts w:asciiTheme="minorHAnsi" w:hAnsiTheme="minorHAnsi"/>
          <w:szCs w:val="22"/>
        </w:rPr>
        <w:t>permanently ineligible.</w:t>
      </w:r>
    </w:p>
    <w:p w14:paraId="15008D04" w14:textId="18938DE2" w:rsidR="00E84DE2" w:rsidRDefault="00E84DE2" w:rsidP="006C5CDB">
      <w:pPr>
        <w:rPr>
          <w:rFonts w:asciiTheme="minorHAnsi" w:hAnsiTheme="minorHAnsi"/>
          <w:szCs w:val="22"/>
        </w:rPr>
      </w:pPr>
      <w:r>
        <w:rPr>
          <w:rFonts w:asciiTheme="minorHAnsi" w:hAnsiTheme="minorHAnsi"/>
          <w:szCs w:val="22"/>
        </w:rPr>
        <w:lastRenderedPageBreak/>
        <w:t>A post-mortem is required for a deceased donor whose cause of death is unknown</w:t>
      </w:r>
      <w:r w:rsidR="003B564E">
        <w:rPr>
          <w:rFonts w:asciiTheme="minorHAnsi" w:hAnsiTheme="minorHAnsi"/>
          <w:szCs w:val="22"/>
        </w:rPr>
        <w:t xml:space="preserve">, </w:t>
      </w:r>
      <w:r>
        <w:rPr>
          <w:rFonts w:asciiTheme="minorHAnsi" w:hAnsiTheme="minorHAnsi"/>
          <w:szCs w:val="22"/>
        </w:rPr>
        <w:t>to ensure their death was not caused by a transmissible disease</w:t>
      </w:r>
      <w:r w:rsidR="003B564E">
        <w:rPr>
          <w:rFonts w:asciiTheme="minorHAnsi" w:hAnsiTheme="minorHAnsi"/>
          <w:szCs w:val="22"/>
        </w:rPr>
        <w:t xml:space="preserve">, </w:t>
      </w:r>
      <w:r>
        <w:rPr>
          <w:rFonts w:asciiTheme="minorHAnsi" w:hAnsiTheme="minorHAnsi"/>
          <w:szCs w:val="22"/>
        </w:rPr>
        <w:t>before they are allowed to donate.</w:t>
      </w:r>
    </w:p>
    <w:p w14:paraId="54315028" w14:textId="33803312" w:rsidR="00B97AFF" w:rsidRPr="00F025CD" w:rsidRDefault="00C02B8F" w:rsidP="00B97AFF">
      <w:pPr>
        <w:pStyle w:val="Heading4"/>
      </w:pPr>
      <w:bookmarkStart w:id="52" w:name="_Toc69823155"/>
      <w:r>
        <w:t>Item</w:t>
      </w:r>
      <w:r w:rsidR="003341B5">
        <w:t>s</w:t>
      </w:r>
      <w:r>
        <w:t xml:space="preserve"> 23</w:t>
      </w:r>
      <w:r w:rsidR="003341B5">
        <w:t xml:space="preserve"> to 26</w:t>
      </w:r>
      <w:r w:rsidR="00B97AFF">
        <w:t xml:space="preserve"> – </w:t>
      </w:r>
      <w:r w:rsidR="00407866">
        <w:t>R</w:t>
      </w:r>
      <w:r w:rsidR="00B97AFF" w:rsidRPr="0093567B">
        <w:t xml:space="preserve">isk of transmission of </w:t>
      </w:r>
      <w:r w:rsidR="00407866">
        <w:t>vaccination</w:t>
      </w:r>
      <w:r w:rsidR="00B97AFF" w:rsidRPr="0093567B">
        <w:t xml:space="preserve"> strain</w:t>
      </w:r>
      <w:bookmarkEnd w:id="52"/>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B97AFF" w:rsidRPr="00D424A1" w14:paraId="46D03B1C" w14:textId="77777777" w:rsidTr="007533BA">
        <w:trPr>
          <w:trHeight w:val="391"/>
        </w:trPr>
        <w:tc>
          <w:tcPr>
            <w:tcW w:w="25" w:type="dxa"/>
            <w:vAlign w:val="center"/>
          </w:tcPr>
          <w:p w14:paraId="02DCF988" w14:textId="77777777" w:rsidR="00B97AFF" w:rsidRPr="00D424A1" w:rsidRDefault="00B97AFF" w:rsidP="007533BA">
            <w:pPr>
              <w:rPr>
                <w:rFonts w:asciiTheme="minorHAnsi" w:hAnsiTheme="minorHAnsi"/>
                <w:szCs w:val="22"/>
              </w:rPr>
            </w:pPr>
          </w:p>
        </w:tc>
        <w:tc>
          <w:tcPr>
            <w:tcW w:w="679" w:type="dxa"/>
            <w:shd w:val="clear" w:color="auto" w:fill="EAEAEA"/>
          </w:tcPr>
          <w:p w14:paraId="725D9891" w14:textId="77777777" w:rsidR="00B97AFF" w:rsidRPr="00D424A1" w:rsidRDefault="00B97AFF" w:rsidP="007533BA">
            <w:pPr>
              <w:jc w:val="center"/>
              <w:rPr>
                <w:rFonts w:asciiTheme="minorHAnsi" w:hAnsiTheme="minorHAnsi"/>
                <w:b/>
                <w:szCs w:val="22"/>
              </w:rPr>
            </w:pPr>
            <w:r w:rsidRPr="00D424A1">
              <w:rPr>
                <w:rFonts w:asciiTheme="minorHAnsi" w:hAnsiTheme="minorHAnsi"/>
                <w:b/>
                <w:szCs w:val="22"/>
              </w:rPr>
              <w:t>Item</w:t>
            </w:r>
          </w:p>
          <w:p w14:paraId="0BB2DB6E" w14:textId="55F1237A" w:rsidR="00B97AFF" w:rsidRPr="00D424A1" w:rsidRDefault="00B97AFF" w:rsidP="00C02B8F">
            <w:pPr>
              <w:jc w:val="center"/>
              <w:rPr>
                <w:rFonts w:asciiTheme="minorHAnsi" w:hAnsiTheme="minorHAnsi"/>
                <w:szCs w:val="22"/>
              </w:rPr>
            </w:pPr>
            <w:r>
              <w:rPr>
                <w:rFonts w:asciiTheme="minorHAnsi" w:hAnsiTheme="minorHAnsi"/>
                <w:szCs w:val="22"/>
              </w:rPr>
              <w:t>2</w:t>
            </w:r>
            <w:r w:rsidR="00C02B8F">
              <w:rPr>
                <w:rFonts w:asciiTheme="minorHAnsi" w:hAnsiTheme="minorHAnsi"/>
                <w:szCs w:val="22"/>
              </w:rPr>
              <w:t>3</w:t>
            </w:r>
          </w:p>
        </w:tc>
        <w:tc>
          <w:tcPr>
            <w:tcW w:w="4536" w:type="dxa"/>
            <w:shd w:val="clear" w:color="auto" w:fill="EAEAEA"/>
            <w:tcMar>
              <w:top w:w="170" w:type="dxa"/>
              <w:left w:w="170" w:type="dxa"/>
              <w:bottom w:w="170" w:type="dxa"/>
              <w:right w:w="170" w:type="dxa"/>
            </w:tcMar>
          </w:tcPr>
          <w:p w14:paraId="6798D2F7" w14:textId="77777777" w:rsidR="00B97AFF" w:rsidRPr="00D424A1" w:rsidRDefault="00B97AFF" w:rsidP="007533BA">
            <w:pPr>
              <w:rPr>
                <w:rFonts w:asciiTheme="minorHAnsi" w:hAnsiTheme="minorHAnsi"/>
                <w:b/>
                <w:szCs w:val="22"/>
              </w:rPr>
            </w:pPr>
            <w:r w:rsidRPr="00D424A1">
              <w:rPr>
                <w:rFonts w:asciiTheme="minorHAnsi" w:hAnsiTheme="minorHAnsi"/>
                <w:b/>
                <w:szCs w:val="22"/>
              </w:rPr>
              <w:t>Medical and social history criteria</w:t>
            </w:r>
          </w:p>
          <w:p w14:paraId="6CE23CEC" w14:textId="72983C29" w:rsidR="00B97AFF" w:rsidRPr="00D424A1" w:rsidRDefault="00D70128" w:rsidP="007533BA">
            <w:pPr>
              <w:rPr>
                <w:rFonts w:asciiTheme="minorHAnsi" w:hAnsiTheme="minorHAnsi"/>
                <w:szCs w:val="22"/>
              </w:rPr>
            </w:pPr>
            <w:r w:rsidRPr="009A5E24">
              <w:t>a person who has been vaccinated with a live vaccine that contains attenuated bacteria or viruses, other than a vaccine mentioned in item 24</w:t>
            </w:r>
          </w:p>
        </w:tc>
        <w:tc>
          <w:tcPr>
            <w:tcW w:w="3827" w:type="dxa"/>
            <w:shd w:val="clear" w:color="auto" w:fill="EAEAEA"/>
          </w:tcPr>
          <w:p w14:paraId="3E4818DA" w14:textId="77777777" w:rsidR="00B97AFF" w:rsidRPr="00D424A1" w:rsidRDefault="00B97AFF" w:rsidP="007533BA">
            <w:pPr>
              <w:rPr>
                <w:rFonts w:asciiTheme="minorHAnsi" w:hAnsiTheme="minorHAnsi"/>
                <w:b/>
                <w:szCs w:val="22"/>
              </w:rPr>
            </w:pPr>
            <w:r w:rsidRPr="00D424A1">
              <w:rPr>
                <w:rFonts w:asciiTheme="minorHAnsi" w:hAnsiTheme="minorHAnsi"/>
                <w:b/>
                <w:szCs w:val="22"/>
              </w:rPr>
              <w:t>Period of ineligibility</w:t>
            </w:r>
          </w:p>
          <w:p w14:paraId="6EEE4B6B" w14:textId="1C12661D" w:rsidR="00B97AFF" w:rsidRPr="00D424A1" w:rsidRDefault="003F7CB9" w:rsidP="007533BA">
            <w:pPr>
              <w:rPr>
                <w:rFonts w:asciiTheme="minorHAnsi" w:hAnsiTheme="minorHAnsi"/>
                <w:szCs w:val="22"/>
              </w:rPr>
            </w:pPr>
            <w:r w:rsidRPr="00C43050">
              <w:t>ineligible for 4 weeks</w:t>
            </w:r>
          </w:p>
        </w:tc>
      </w:tr>
      <w:tr w:rsidR="00E84DE2" w:rsidRPr="00D424A1" w14:paraId="0450CD53" w14:textId="77777777" w:rsidTr="00E84DE2">
        <w:trPr>
          <w:trHeight w:val="391"/>
        </w:trPr>
        <w:tc>
          <w:tcPr>
            <w:tcW w:w="25" w:type="dxa"/>
            <w:tcBorders>
              <w:left w:val="single" w:sz="4" w:space="0" w:color="auto"/>
              <w:bottom w:val="single" w:sz="4" w:space="0" w:color="auto"/>
            </w:tcBorders>
            <w:vAlign w:val="center"/>
          </w:tcPr>
          <w:p w14:paraId="3398E56D" w14:textId="77777777" w:rsidR="00E84DE2" w:rsidRPr="00D424A1" w:rsidRDefault="00E84DE2" w:rsidP="00151820">
            <w:pPr>
              <w:rPr>
                <w:rFonts w:asciiTheme="minorHAnsi" w:hAnsiTheme="minorHAnsi"/>
                <w:szCs w:val="22"/>
              </w:rPr>
            </w:pPr>
          </w:p>
        </w:tc>
        <w:tc>
          <w:tcPr>
            <w:tcW w:w="679" w:type="dxa"/>
            <w:tcBorders>
              <w:bottom w:val="nil"/>
            </w:tcBorders>
            <w:shd w:val="clear" w:color="auto" w:fill="EAEAEA"/>
          </w:tcPr>
          <w:p w14:paraId="0BA6678F" w14:textId="77777777" w:rsidR="00E84DE2" w:rsidRPr="00D424A1" w:rsidRDefault="00E84DE2" w:rsidP="00151820">
            <w:pPr>
              <w:jc w:val="center"/>
              <w:rPr>
                <w:rFonts w:asciiTheme="minorHAnsi" w:hAnsiTheme="minorHAnsi"/>
                <w:b/>
                <w:szCs w:val="22"/>
              </w:rPr>
            </w:pPr>
            <w:r w:rsidRPr="00D424A1">
              <w:rPr>
                <w:rFonts w:asciiTheme="minorHAnsi" w:hAnsiTheme="minorHAnsi"/>
                <w:b/>
                <w:szCs w:val="22"/>
              </w:rPr>
              <w:t>Item</w:t>
            </w:r>
          </w:p>
          <w:p w14:paraId="09DF8E14" w14:textId="6774EB4F" w:rsidR="00E84DE2" w:rsidRPr="00E84DE2" w:rsidRDefault="00E84DE2" w:rsidP="00151820">
            <w:pPr>
              <w:jc w:val="center"/>
              <w:rPr>
                <w:rFonts w:asciiTheme="minorHAnsi" w:hAnsiTheme="minorHAnsi"/>
                <w:szCs w:val="22"/>
              </w:rPr>
            </w:pPr>
            <w:r w:rsidRPr="00E84DE2">
              <w:rPr>
                <w:rFonts w:asciiTheme="minorHAnsi" w:hAnsiTheme="minorHAnsi"/>
                <w:szCs w:val="22"/>
              </w:rPr>
              <w:t>24</w:t>
            </w:r>
          </w:p>
        </w:tc>
        <w:tc>
          <w:tcPr>
            <w:tcW w:w="4536" w:type="dxa"/>
            <w:tcBorders>
              <w:bottom w:val="nil"/>
            </w:tcBorders>
            <w:shd w:val="clear" w:color="auto" w:fill="EAEAEA"/>
            <w:tcMar>
              <w:top w:w="170" w:type="dxa"/>
              <w:left w:w="170" w:type="dxa"/>
              <w:bottom w:w="170" w:type="dxa"/>
              <w:right w:w="170" w:type="dxa"/>
            </w:tcMar>
          </w:tcPr>
          <w:p w14:paraId="605A406C" w14:textId="77777777" w:rsidR="00E84DE2" w:rsidRPr="00D424A1" w:rsidRDefault="00E84DE2" w:rsidP="00151820">
            <w:pPr>
              <w:rPr>
                <w:rFonts w:asciiTheme="minorHAnsi" w:hAnsiTheme="minorHAnsi"/>
                <w:b/>
                <w:szCs w:val="22"/>
              </w:rPr>
            </w:pPr>
            <w:r w:rsidRPr="00D424A1">
              <w:rPr>
                <w:rFonts w:asciiTheme="minorHAnsi" w:hAnsiTheme="minorHAnsi"/>
                <w:b/>
                <w:szCs w:val="22"/>
              </w:rPr>
              <w:t>Medical and social history criteria</w:t>
            </w:r>
          </w:p>
          <w:p w14:paraId="0166610E" w14:textId="62ACA3CD" w:rsidR="00E84DE2" w:rsidRPr="00E84DE2" w:rsidRDefault="00D70128" w:rsidP="00151820">
            <w:pPr>
              <w:rPr>
                <w:rFonts w:asciiTheme="minorHAnsi" w:hAnsiTheme="minorHAnsi"/>
                <w:szCs w:val="22"/>
              </w:rPr>
            </w:pPr>
            <w:r w:rsidRPr="009A5E24">
              <w:t>a person who has been vaccinated with a live vaccine against smallpox</w:t>
            </w:r>
          </w:p>
        </w:tc>
        <w:tc>
          <w:tcPr>
            <w:tcW w:w="3827" w:type="dxa"/>
            <w:tcBorders>
              <w:bottom w:val="nil"/>
              <w:right w:val="single" w:sz="4" w:space="0" w:color="auto"/>
            </w:tcBorders>
            <w:shd w:val="clear" w:color="auto" w:fill="EAEAEA"/>
          </w:tcPr>
          <w:p w14:paraId="4FA60630" w14:textId="77777777" w:rsidR="00E84DE2" w:rsidRPr="00D424A1" w:rsidRDefault="00E84DE2" w:rsidP="00151820">
            <w:pPr>
              <w:rPr>
                <w:rFonts w:asciiTheme="minorHAnsi" w:hAnsiTheme="minorHAnsi"/>
                <w:b/>
                <w:szCs w:val="22"/>
              </w:rPr>
            </w:pPr>
            <w:r w:rsidRPr="00D424A1">
              <w:rPr>
                <w:rFonts w:asciiTheme="minorHAnsi" w:hAnsiTheme="minorHAnsi"/>
                <w:b/>
                <w:szCs w:val="22"/>
              </w:rPr>
              <w:t>Period of ineligibility</w:t>
            </w:r>
          </w:p>
          <w:p w14:paraId="2F4850CE" w14:textId="1000B2D9" w:rsidR="00E84DE2" w:rsidRPr="00E84DE2" w:rsidRDefault="003F7CB9" w:rsidP="00151820">
            <w:pPr>
              <w:rPr>
                <w:rFonts w:asciiTheme="minorHAnsi" w:hAnsiTheme="minorHAnsi"/>
                <w:szCs w:val="22"/>
              </w:rPr>
            </w:pPr>
            <w:r w:rsidRPr="00C43050">
              <w:t>ineligible for 8 weeks</w:t>
            </w:r>
          </w:p>
        </w:tc>
      </w:tr>
      <w:tr w:rsidR="00E84DE2" w:rsidRPr="00D424A1" w14:paraId="65042E16" w14:textId="77777777" w:rsidTr="00E84DE2">
        <w:trPr>
          <w:trHeight w:val="391"/>
        </w:trPr>
        <w:tc>
          <w:tcPr>
            <w:tcW w:w="25" w:type="dxa"/>
            <w:tcBorders>
              <w:left w:val="single" w:sz="4" w:space="0" w:color="auto"/>
              <w:bottom w:val="single" w:sz="4" w:space="0" w:color="auto"/>
            </w:tcBorders>
            <w:vAlign w:val="center"/>
          </w:tcPr>
          <w:p w14:paraId="7CD2FD48" w14:textId="77777777" w:rsidR="00E84DE2" w:rsidRPr="00D424A1" w:rsidRDefault="00E84DE2" w:rsidP="00151820">
            <w:pPr>
              <w:rPr>
                <w:rFonts w:asciiTheme="minorHAnsi" w:hAnsiTheme="minorHAnsi"/>
                <w:szCs w:val="22"/>
              </w:rPr>
            </w:pPr>
          </w:p>
        </w:tc>
        <w:tc>
          <w:tcPr>
            <w:tcW w:w="679" w:type="dxa"/>
            <w:tcBorders>
              <w:top w:val="nil"/>
              <w:bottom w:val="nil"/>
            </w:tcBorders>
            <w:shd w:val="clear" w:color="auto" w:fill="EAEAEA"/>
          </w:tcPr>
          <w:p w14:paraId="454B9ED4" w14:textId="77777777" w:rsidR="00E84DE2" w:rsidRPr="00D424A1" w:rsidRDefault="00E84DE2" w:rsidP="00151820">
            <w:pPr>
              <w:jc w:val="center"/>
              <w:rPr>
                <w:rFonts w:asciiTheme="minorHAnsi" w:hAnsiTheme="minorHAnsi"/>
                <w:b/>
                <w:szCs w:val="22"/>
              </w:rPr>
            </w:pPr>
            <w:r w:rsidRPr="00D424A1">
              <w:rPr>
                <w:rFonts w:asciiTheme="minorHAnsi" w:hAnsiTheme="minorHAnsi"/>
                <w:b/>
                <w:szCs w:val="22"/>
              </w:rPr>
              <w:t>Item</w:t>
            </w:r>
          </w:p>
          <w:p w14:paraId="0119059C" w14:textId="41E31F8B" w:rsidR="00E84DE2" w:rsidRPr="00E84DE2" w:rsidRDefault="00E84DE2" w:rsidP="00151820">
            <w:pPr>
              <w:jc w:val="center"/>
              <w:rPr>
                <w:rFonts w:asciiTheme="minorHAnsi" w:hAnsiTheme="minorHAnsi"/>
                <w:szCs w:val="22"/>
              </w:rPr>
            </w:pPr>
            <w:r w:rsidRPr="00E84DE2">
              <w:rPr>
                <w:rFonts w:asciiTheme="minorHAnsi" w:hAnsiTheme="minorHAnsi"/>
                <w:szCs w:val="22"/>
              </w:rPr>
              <w:t>25</w:t>
            </w:r>
          </w:p>
        </w:tc>
        <w:tc>
          <w:tcPr>
            <w:tcW w:w="4536" w:type="dxa"/>
            <w:tcBorders>
              <w:top w:val="nil"/>
              <w:bottom w:val="nil"/>
            </w:tcBorders>
            <w:shd w:val="clear" w:color="auto" w:fill="EAEAEA"/>
            <w:tcMar>
              <w:top w:w="170" w:type="dxa"/>
              <w:left w:w="170" w:type="dxa"/>
              <w:bottom w:w="170" w:type="dxa"/>
              <w:right w:w="170" w:type="dxa"/>
            </w:tcMar>
          </w:tcPr>
          <w:p w14:paraId="37F8D5F0" w14:textId="77777777" w:rsidR="00E84DE2" w:rsidRPr="00D424A1" w:rsidRDefault="00E84DE2" w:rsidP="00151820">
            <w:pPr>
              <w:rPr>
                <w:rFonts w:asciiTheme="minorHAnsi" w:hAnsiTheme="minorHAnsi"/>
                <w:b/>
                <w:szCs w:val="22"/>
              </w:rPr>
            </w:pPr>
            <w:r w:rsidRPr="00D424A1">
              <w:rPr>
                <w:rFonts w:asciiTheme="minorHAnsi" w:hAnsiTheme="minorHAnsi"/>
                <w:b/>
                <w:szCs w:val="22"/>
              </w:rPr>
              <w:t>Medical and social history criteria</w:t>
            </w:r>
          </w:p>
          <w:p w14:paraId="60342EBB" w14:textId="31B9AC4C" w:rsidR="00E84DE2" w:rsidRPr="00E84DE2" w:rsidRDefault="00D70128" w:rsidP="00151820">
            <w:pPr>
              <w:rPr>
                <w:rFonts w:asciiTheme="minorHAnsi" w:hAnsiTheme="minorHAnsi"/>
                <w:szCs w:val="22"/>
              </w:rPr>
            </w:pPr>
            <w:r w:rsidRPr="009A5E24">
              <w:t>a person who has been vaccinated with a live vaccine that contains sera of animal origin</w:t>
            </w:r>
          </w:p>
        </w:tc>
        <w:tc>
          <w:tcPr>
            <w:tcW w:w="3827" w:type="dxa"/>
            <w:tcBorders>
              <w:top w:val="nil"/>
              <w:bottom w:val="nil"/>
              <w:right w:val="single" w:sz="4" w:space="0" w:color="auto"/>
            </w:tcBorders>
            <w:shd w:val="clear" w:color="auto" w:fill="EAEAEA"/>
          </w:tcPr>
          <w:p w14:paraId="4CF1995E" w14:textId="77777777" w:rsidR="00E84DE2" w:rsidRPr="00D424A1" w:rsidRDefault="00E84DE2" w:rsidP="00151820">
            <w:pPr>
              <w:rPr>
                <w:rFonts w:asciiTheme="minorHAnsi" w:hAnsiTheme="minorHAnsi"/>
                <w:b/>
                <w:szCs w:val="22"/>
              </w:rPr>
            </w:pPr>
            <w:r w:rsidRPr="00D424A1">
              <w:rPr>
                <w:rFonts w:asciiTheme="minorHAnsi" w:hAnsiTheme="minorHAnsi"/>
                <w:b/>
                <w:szCs w:val="22"/>
              </w:rPr>
              <w:t>Period of ineligibility</w:t>
            </w:r>
          </w:p>
          <w:p w14:paraId="6B959864" w14:textId="6E7601D1" w:rsidR="00E84DE2" w:rsidRPr="00E84DE2" w:rsidRDefault="003F7CB9" w:rsidP="00151820">
            <w:pPr>
              <w:rPr>
                <w:rFonts w:asciiTheme="minorHAnsi" w:hAnsiTheme="minorHAnsi"/>
                <w:szCs w:val="22"/>
              </w:rPr>
            </w:pPr>
            <w:r w:rsidRPr="00C43050">
              <w:t>ineligible for 12 weeks</w:t>
            </w:r>
          </w:p>
        </w:tc>
      </w:tr>
      <w:tr w:rsidR="00E84DE2" w:rsidRPr="00D424A1" w14:paraId="30C8E2DD" w14:textId="77777777" w:rsidTr="00E84DE2">
        <w:trPr>
          <w:trHeight w:val="391"/>
        </w:trPr>
        <w:tc>
          <w:tcPr>
            <w:tcW w:w="25" w:type="dxa"/>
            <w:tcBorders>
              <w:left w:val="single" w:sz="4" w:space="0" w:color="auto"/>
              <w:bottom w:val="single" w:sz="4" w:space="0" w:color="auto"/>
            </w:tcBorders>
            <w:vAlign w:val="center"/>
          </w:tcPr>
          <w:p w14:paraId="7F672BD8" w14:textId="77777777" w:rsidR="00E84DE2" w:rsidRPr="00D424A1" w:rsidRDefault="00E84DE2" w:rsidP="00151820">
            <w:pPr>
              <w:rPr>
                <w:rFonts w:asciiTheme="minorHAnsi" w:hAnsiTheme="minorHAnsi"/>
                <w:szCs w:val="22"/>
              </w:rPr>
            </w:pPr>
          </w:p>
        </w:tc>
        <w:tc>
          <w:tcPr>
            <w:tcW w:w="679" w:type="dxa"/>
            <w:tcBorders>
              <w:top w:val="nil"/>
              <w:bottom w:val="single" w:sz="4" w:space="0" w:color="auto"/>
            </w:tcBorders>
            <w:shd w:val="clear" w:color="auto" w:fill="EAEAEA"/>
          </w:tcPr>
          <w:p w14:paraId="3409F80D" w14:textId="77777777" w:rsidR="00E84DE2" w:rsidRPr="00D424A1" w:rsidRDefault="00E84DE2" w:rsidP="00151820">
            <w:pPr>
              <w:jc w:val="center"/>
              <w:rPr>
                <w:rFonts w:asciiTheme="minorHAnsi" w:hAnsiTheme="minorHAnsi"/>
                <w:b/>
                <w:szCs w:val="22"/>
              </w:rPr>
            </w:pPr>
            <w:r w:rsidRPr="00D424A1">
              <w:rPr>
                <w:rFonts w:asciiTheme="minorHAnsi" w:hAnsiTheme="minorHAnsi"/>
                <w:b/>
                <w:szCs w:val="22"/>
              </w:rPr>
              <w:t>Item</w:t>
            </w:r>
          </w:p>
          <w:p w14:paraId="7D7DEADA" w14:textId="572EA2F5" w:rsidR="00E84DE2" w:rsidRPr="00E84DE2" w:rsidRDefault="00E84DE2" w:rsidP="00151820">
            <w:pPr>
              <w:jc w:val="center"/>
              <w:rPr>
                <w:rFonts w:asciiTheme="minorHAnsi" w:hAnsiTheme="minorHAnsi"/>
                <w:szCs w:val="22"/>
              </w:rPr>
            </w:pPr>
            <w:r w:rsidRPr="00E84DE2">
              <w:rPr>
                <w:rFonts w:asciiTheme="minorHAnsi" w:hAnsiTheme="minorHAnsi"/>
                <w:szCs w:val="22"/>
              </w:rPr>
              <w:t>26</w:t>
            </w:r>
          </w:p>
        </w:tc>
        <w:tc>
          <w:tcPr>
            <w:tcW w:w="4536" w:type="dxa"/>
            <w:tcBorders>
              <w:top w:val="nil"/>
              <w:bottom w:val="single" w:sz="4" w:space="0" w:color="auto"/>
            </w:tcBorders>
            <w:shd w:val="clear" w:color="auto" w:fill="EAEAEA"/>
            <w:tcMar>
              <w:top w:w="170" w:type="dxa"/>
              <w:left w:w="170" w:type="dxa"/>
              <w:bottom w:w="170" w:type="dxa"/>
              <w:right w:w="170" w:type="dxa"/>
            </w:tcMar>
          </w:tcPr>
          <w:p w14:paraId="62A7AF1F" w14:textId="77777777" w:rsidR="00E84DE2" w:rsidRPr="00D424A1" w:rsidRDefault="00E84DE2" w:rsidP="00151820">
            <w:pPr>
              <w:rPr>
                <w:rFonts w:asciiTheme="minorHAnsi" w:hAnsiTheme="minorHAnsi"/>
                <w:b/>
                <w:szCs w:val="22"/>
              </w:rPr>
            </w:pPr>
            <w:r w:rsidRPr="00D424A1">
              <w:rPr>
                <w:rFonts w:asciiTheme="minorHAnsi" w:hAnsiTheme="minorHAnsi"/>
                <w:b/>
                <w:szCs w:val="22"/>
              </w:rPr>
              <w:t>Medical and social history criteria</w:t>
            </w:r>
          </w:p>
          <w:p w14:paraId="55F610E7" w14:textId="2B1D8D53" w:rsidR="00E84DE2" w:rsidRPr="00E84DE2" w:rsidRDefault="00D70128" w:rsidP="00151820">
            <w:pPr>
              <w:rPr>
                <w:rFonts w:asciiTheme="minorHAnsi" w:hAnsiTheme="minorHAnsi"/>
                <w:szCs w:val="22"/>
              </w:rPr>
            </w:pPr>
            <w:r w:rsidRPr="009A5E24">
              <w:t>a person who has been vaccinated with an unknown vaccine</w:t>
            </w:r>
          </w:p>
        </w:tc>
        <w:tc>
          <w:tcPr>
            <w:tcW w:w="3827" w:type="dxa"/>
            <w:tcBorders>
              <w:top w:val="nil"/>
              <w:bottom w:val="single" w:sz="4" w:space="0" w:color="auto"/>
              <w:right w:val="single" w:sz="4" w:space="0" w:color="auto"/>
            </w:tcBorders>
            <w:shd w:val="clear" w:color="auto" w:fill="EAEAEA"/>
          </w:tcPr>
          <w:p w14:paraId="5BF3432F" w14:textId="77777777" w:rsidR="00E84DE2" w:rsidRPr="00D424A1" w:rsidRDefault="00E84DE2" w:rsidP="00151820">
            <w:pPr>
              <w:rPr>
                <w:rFonts w:asciiTheme="minorHAnsi" w:hAnsiTheme="minorHAnsi"/>
                <w:b/>
                <w:szCs w:val="22"/>
              </w:rPr>
            </w:pPr>
            <w:r w:rsidRPr="00D424A1">
              <w:rPr>
                <w:rFonts w:asciiTheme="minorHAnsi" w:hAnsiTheme="minorHAnsi"/>
                <w:b/>
                <w:szCs w:val="22"/>
              </w:rPr>
              <w:t>Period of ineligibility</w:t>
            </w:r>
          </w:p>
          <w:p w14:paraId="1E65570A" w14:textId="60A17D7D" w:rsidR="00E84DE2" w:rsidRPr="00E84DE2" w:rsidRDefault="003F7CB9" w:rsidP="00151820">
            <w:pPr>
              <w:rPr>
                <w:rFonts w:asciiTheme="minorHAnsi" w:hAnsiTheme="minorHAnsi"/>
                <w:szCs w:val="22"/>
              </w:rPr>
            </w:pPr>
            <w:r w:rsidRPr="00C43050">
              <w:t>ineligible for 12 months</w:t>
            </w:r>
          </w:p>
        </w:tc>
      </w:tr>
    </w:tbl>
    <w:p w14:paraId="3DD4654B" w14:textId="59395882" w:rsidR="00B97AFF" w:rsidRDefault="00B97AFF" w:rsidP="00B97AFF">
      <w:pPr>
        <w:rPr>
          <w:rFonts w:asciiTheme="minorHAnsi" w:hAnsiTheme="minorHAnsi"/>
          <w:szCs w:val="22"/>
        </w:rPr>
      </w:pPr>
      <w:r w:rsidRPr="00C14F39">
        <w:rPr>
          <w:rFonts w:eastAsia="Times New Roman"/>
          <w:szCs w:val="22"/>
          <w:lang w:eastAsia="en-AU"/>
        </w:rPr>
        <w:t xml:space="preserve">A </w:t>
      </w:r>
      <w:r>
        <w:rPr>
          <w:rFonts w:eastAsia="Times New Roman"/>
          <w:szCs w:val="22"/>
          <w:lang w:eastAsia="en-AU"/>
        </w:rPr>
        <w:t>proposed donor</w:t>
      </w:r>
      <w:r w:rsidRPr="00C14F39">
        <w:rPr>
          <w:rFonts w:eastAsia="Times New Roman"/>
          <w:szCs w:val="22"/>
          <w:lang w:eastAsia="en-AU"/>
        </w:rPr>
        <w:t xml:space="preserve"> </w:t>
      </w:r>
      <w:r>
        <w:rPr>
          <w:rFonts w:eastAsia="Times New Roman"/>
          <w:szCs w:val="22"/>
          <w:lang w:eastAsia="en-AU"/>
        </w:rPr>
        <w:t xml:space="preserve">who </w:t>
      </w:r>
      <w:r w:rsidRPr="00C14F39">
        <w:rPr>
          <w:rFonts w:eastAsia="Times New Roman"/>
          <w:szCs w:val="22"/>
          <w:lang w:eastAsia="en-AU"/>
        </w:rPr>
        <w:t>has been vaccinated with a live vaccine, where there is a risk of transmission of the vaccine strain</w:t>
      </w:r>
      <w:r>
        <w:rPr>
          <w:rFonts w:eastAsia="Times New Roman"/>
          <w:szCs w:val="22"/>
          <w:lang w:eastAsia="en-AU"/>
        </w:rPr>
        <w:t>, must be deferred</w:t>
      </w:r>
      <w:r w:rsidRPr="00C14F39">
        <w:rPr>
          <w:rFonts w:eastAsia="Times New Roman"/>
          <w:szCs w:val="22"/>
          <w:lang w:eastAsia="en-AU"/>
        </w:rPr>
        <w:t>.</w:t>
      </w:r>
    </w:p>
    <w:p w14:paraId="4AF337CA" w14:textId="5B2FEF94" w:rsidR="005B0894" w:rsidRDefault="00B97AFF" w:rsidP="005B0894">
      <w:pPr>
        <w:rPr>
          <w:rFonts w:asciiTheme="minorHAnsi" w:hAnsiTheme="minorHAnsi"/>
          <w:szCs w:val="22"/>
        </w:rPr>
      </w:pPr>
      <w:r w:rsidRPr="00EB3909">
        <w:rPr>
          <w:rFonts w:asciiTheme="minorHAnsi" w:hAnsiTheme="minorHAnsi"/>
          <w:szCs w:val="22"/>
        </w:rPr>
        <w:t xml:space="preserve">The length of deferral should be based on knowledge of the length of persistence of the vaccine agent, testing of the </w:t>
      </w:r>
      <w:r>
        <w:rPr>
          <w:rFonts w:asciiTheme="minorHAnsi" w:hAnsiTheme="minorHAnsi"/>
          <w:szCs w:val="22"/>
        </w:rPr>
        <w:t xml:space="preserve">proposed </w:t>
      </w:r>
      <w:r w:rsidRPr="00EB3909">
        <w:rPr>
          <w:rFonts w:asciiTheme="minorHAnsi" w:hAnsiTheme="minorHAnsi"/>
          <w:szCs w:val="22"/>
        </w:rPr>
        <w:t xml:space="preserve">donor, or based on the assessment of the risk to use of </w:t>
      </w:r>
      <w:r>
        <w:rPr>
          <w:rFonts w:asciiTheme="minorHAnsi" w:hAnsiTheme="minorHAnsi"/>
          <w:szCs w:val="22"/>
        </w:rPr>
        <w:t>blood, cells or tissues</w:t>
      </w:r>
      <w:r w:rsidR="005B0894">
        <w:rPr>
          <w:rFonts w:asciiTheme="minorHAnsi" w:hAnsiTheme="minorHAnsi"/>
          <w:szCs w:val="22"/>
        </w:rPr>
        <w:t xml:space="preserve"> for transplantation.</w:t>
      </w:r>
    </w:p>
    <w:p w14:paraId="6FB015E0" w14:textId="77777777" w:rsidR="005B0894" w:rsidRDefault="005B0894" w:rsidP="005B0894">
      <w:pPr>
        <w:rPr>
          <w:rFonts w:asciiTheme="minorHAnsi" w:hAnsiTheme="minorHAnsi"/>
          <w:szCs w:val="22"/>
        </w:rPr>
      </w:pPr>
    </w:p>
    <w:p w14:paraId="514415E1" w14:textId="77777777" w:rsidR="005B0894" w:rsidRPr="00AD70F1" w:rsidRDefault="005B0894" w:rsidP="005B0894">
      <w:pPr>
        <w:rPr>
          <w:rFonts w:asciiTheme="minorHAnsi" w:hAnsiTheme="minorHAnsi"/>
          <w:szCs w:val="22"/>
        </w:rPr>
        <w:sectPr w:rsidR="005B0894" w:rsidRPr="00AD70F1" w:rsidSect="005B0894">
          <w:headerReference w:type="default" r:id="rId35"/>
          <w:footerReference w:type="default" r:id="rId36"/>
          <w:headerReference w:type="first" r:id="rId37"/>
          <w:pgSz w:w="11906" w:h="16838" w:code="9"/>
          <w:pgMar w:top="1530" w:right="1418" w:bottom="1361" w:left="1418" w:header="998" w:footer="283" w:gutter="0"/>
          <w:cols w:space="708"/>
          <w:titlePg/>
          <w:docGrid w:linePitch="360"/>
        </w:sectPr>
      </w:pPr>
    </w:p>
    <w:p w14:paraId="1BAD89F3" w14:textId="21B10EEA" w:rsidR="00BA6FF1" w:rsidRPr="00FC1255" w:rsidRDefault="00BA6FF1" w:rsidP="00CB5EA6">
      <w:pPr>
        <w:pStyle w:val="Heading2"/>
      </w:pPr>
      <w:bookmarkStart w:id="53" w:name="_Annex_1_–"/>
      <w:bookmarkStart w:id="54" w:name="_Toc69823156"/>
      <w:bookmarkEnd w:id="53"/>
      <w:r w:rsidRPr="00FC1255">
        <w:lastRenderedPageBreak/>
        <w:t>Version history</w:t>
      </w:r>
      <w:bookmarkEnd w:id="54"/>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14:paraId="5AF88FCE" w14:textId="77777777" w:rsidTr="00EF1F5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14:paraId="6B91E5BF" w14:textId="77777777" w:rsidR="00BA6FF1" w:rsidRPr="009401F6" w:rsidRDefault="00BA6FF1" w:rsidP="00EF1F5A">
            <w:bookmarkStart w:id="55" w:name="ColumnTitle_4"/>
            <w:r w:rsidRPr="009401F6">
              <w:t>Version</w:t>
            </w:r>
          </w:p>
        </w:tc>
        <w:tc>
          <w:tcPr>
            <w:tcW w:w="3242" w:type="dxa"/>
          </w:tcPr>
          <w:p w14:paraId="5727D29C" w14:textId="77777777" w:rsidR="00BA6FF1" w:rsidRPr="009401F6" w:rsidRDefault="00BA6FF1" w:rsidP="00EF1F5A">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14:paraId="2DC79F30" w14:textId="77777777" w:rsidR="00BA6FF1" w:rsidRPr="009401F6" w:rsidRDefault="00BA6FF1" w:rsidP="00EF1F5A">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14:paraId="5E32B938" w14:textId="77777777" w:rsidR="00BA6FF1" w:rsidRPr="009401F6" w:rsidRDefault="00BA6FF1" w:rsidP="00EF1F5A">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55"/>
      <w:tr w:rsidR="00D83094" w:rsidRPr="009401F6" w14:paraId="4B7EF1C7" w14:textId="77777777" w:rsidTr="00EF1F5A">
        <w:trPr>
          <w:cantSplit w:val="0"/>
          <w:trHeight w:val="1418"/>
        </w:trPr>
        <w:tc>
          <w:tcPr>
            <w:tcW w:w="1276" w:type="dxa"/>
          </w:tcPr>
          <w:p w14:paraId="0CB1B259" w14:textId="77777777" w:rsidR="00D83094" w:rsidRPr="009401F6" w:rsidRDefault="00D83094" w:rsidP="00D83094">
            <w:pPr>
              <w:cnfStyle w:val="001000000000" w:firstRow="0" w:lastRow="0" w:firstColumn="1" w:lastColumn="0" w:oddVBand="0" w:evenVBand="0" w:oddHBand="0" w:evenHBand="0" w:firstRowFirstColumn="0" w:firstRowLastColumn="0" w:lastRowFirstColumn="0" w:lastRowLastColumn="0"/>
            </w:pPr>
            <w:r w:rsidRPr="009401F6">
              <w:t>V1.0</w:t>
            </w:r>
          </w:p>
        </w:tc>
        <w:tc>
          <w:tcPr>
            <w:tcW w:w="3242" w:type="dxa"/>
          </w:tcPr>
          <w:p w14:paraId="7F56D53D" w14:textId="77777777" w:rsidR="00D83094" w:rsidRDefault="00D83094" w:rsidP="00D83094">
            <w:r w:rsidRPr="009401F6">
              <w:t>Original publication</w:t>
            </w:r>
          </w:p>
          <w:p w14:paraId="64F041C7" w14:textId="77777777" w:rsidR="00AC051D" w:rsidRDefault="00AC051D" w:rsidP="00C15144">
            <w:r>
              <w:t>Replaces:</w:t>
            </w:r>
          </w:p>
          <w:p w14:paraId="1813B203" w14:textId="6D68B4E2" w:rsidR="00CB5EA6" w:rsidRPr="009401F6" w:rsidRDefault="00AC051D" w:rsidP="00C15144">
            <w:r>
              <w:t xml:space="preserve">ARGB Appendix 4 – </w:t>
            </w:r>
            <w:r w:rsidR="00CB5EA6" w:rsidRPr="00CB5EA6">
              <w:t>Guidance on TGO 88</w:t>
            </w:r>
          </w:p>
        </w:tc>
        <w:tc>
          <w:tcPr>
            <w:tcW w:w="2712" w:type="dxa"/>
          </w:tcPr>
          <w:p w14:paraId="46A0E0FA" w14:textId="79E41541" w:rsidR="00D83094" w:rsidRPr="009401F6" w:rsidRDefault="0035080A" w:rsidP="00D83094">
            <w:r>
              <w:t xml:space="preserve">Biological Science Section, </w:t>
            </w:r>
            <w:r w:rsidR="00D83094">
              <w:t>Scientific Evaluation Branch</w:t>
            </w:r>
          </w:p>
        </w:tc>
        <w:tc>
          <w:tcPr>
            <w:tcW w:w="1808" w:type="dxa"/>
          </w:tcPr>
          <w:p w14:paraId="24E3A007" w14:textId="783D9670" w:rsidR="00D83094" w:rsidRPr="009401F6" w:rsidRDefault="00F5021A" w:rsidP="00D83094">
            <w:r>
              <w:t>May</w:t>
            </w:r>
            <w:r w:rsidR="00D83094">
              <w:t xml:space="preserve"> 2021</w:t>
            </w:r>
          </w:p>
        </w:tc>
      </w:tr>
    </w:tbl>
    <w:p w14:paraId="600E32D6" w14:textId="77777777" w:rsidR="00BA6FF1" w:rsidRDefault="00BA6FF1" w:rsidP="00F8404D">
      <w:r>
        <w:br w:type="page"/>
      </w:r>
    </w:p>
    <w:p w14:paraId="1BC129E4" w14:textId="77777777" w:rsidR="003E3D34" w:rsidRPr="009401F6" w:rsidRDefault="003E3D34" w:rsidP="00F8404D">
      <w:pPr>
        <w:sectPr w:rsidR="003E3D34" w:rsidRPr="009401F6" w:rsidSect="00AD70F1">
          <w:headerReference w:type="default" r:id="rId38"/>
          <w:footerReference w:type="default" r:id="rId39"/>
          <w:headerReference w:type="first" r:id="rId40"/>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14:paraId="6D12983B" w14:textId="77777777" w:rsidTr="00EF1F5A">
        <w:trPr>
          <w:trHeight w:hRule="exact" w:val="565"/>
          <w:jc w:val="center"/>
        </w:trPr>
        <w:tc>
          <w:tcPr>
            <w:tcW w:w="9145" w:type="dxa"/>
          </w:tcPr>
          <w:p w14:paraId="5C70C3C1" w14:textId="77777777" w:rsidR="00F8404D" w:rsidRPr="009401F6" w:rsidRDefault="00F8404D" w:rsidP="00EF1F5A">
            <w:pPr>
              <w:pStyle w:val="TGASignoff"/>
            </w:pPr>
            <w:r w:rsidRPr="009401F6">
              <w:lastRenderedPageBreak/>
              <w:t>Therapeutic Goods Administration</w:t>
            </w:r>
          </w:p>
        </w:tc>
      </w:tr>
      <w:tr w:rsidR="00F8404D" w:rsidRPr="009401F6" w14:paraId="6EE0E77D" w14:textId="77777777" w:rsidTr="00EF1F5A">
        <w:trPr>
          <w:trHeight w:val="963"/>
          <w:jc w:val="center"/>
        </w:trPr>
        <w:tc>
          <w:tcPr>
            <w:tcW w:w="9145" w:type="dxa"/>
            <w:tcMar>
              <w:top w:w="28" w:type="dxa"/>
            </w:tcMar>
          </w:tcPr>
          <w:p w14:paraId="7D66F675" w14:textId="77777777" w:rsidR="00F8404D" w:rsidRPr="009401F6" w:rsidRDefault="00F8404D" w:rsidP="00EF1F5A">
            <w:pPr>
              <w:pStyle w:val="Address"/>
              <w:jc w:val="center"/>
            </w:pPr>
            <w:r w:rsidRPr="009401F6">
              <w:t>PO Box 100 Woden ACT 2606 Australia</w:t>
            </w:r>
          </w:p>
          <w:p w14:paraId="7209DD6A" w14:textId="77777777" w:rsidR="00F8404D" w:rsidRPr="009401F6" w:rsidRDefault="00F8404D" w:rsidP="00EF1F5A">
            <w:pPr>
              <w:pStyle w:val="Address"/>
              <w:jc w:val="center"/>
            </w:pPr>
            <w:r w:rsidRPr="009401F6">
              <w:t xml:space="preserve">Email: </w:t>
            </w:r>
            <w:hyperlink r:id="rId41"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14:paraId="7F800F89" w14:textId="77777777" w:rsidR="00F8404D" w:rsidRPr="009401F6" w:rsidRDefault="00AC051D" w:rsidP="00EF1F5A">
            <w:pPr>
              <w:pStyle w:val="Address"/>
              <w:spacing w:line="260" w:lineRule="atLeast"/>
              <w:jc w:val="center"/>
              <w:rPr>
                <w:rStyle w:val="Hyperlink"/>
                <w:b/>
              </w:rPr>
            </w:pPr>
            <w:hyperlink r:id="rId42" w:history="1">
              <w:r w:rsidR="009401F6" w:rsidRPr="009401F6">
                <w:rPr>
                  <w:rStyle w:val="Hyperlink"/>
                  <w:b/>
                </w:rPr>
                <w:t>https://www.tga.gov.au</w:t>
              </w:r>
            </w:hyperlink>
          </w:p>
        </w:tc>
      </w:tr>
      <w:tr w:rsidR="00F8404D" w:rsidRPr="009401F6" w14:paraId="1B09C3C1" w14:textId="77777777" w:rsidTr="00EF1F5A">
        <w:trPr>
          <w:trHeight w:val="251"/>
          <w:jc w:val="center"/>
        </w:trPr>
        <w:tc>
          <w:tcPr>
            <w:tcW w:w="9145" w:type="dxa"/>
            <w:tcMar>
              <w:top w:w="28" w:type="dxa"/>
            </w:tcMar>
          </w:tcPr>
          <w:p w14:paraId="451D95D4" w14:textId="77777777" w:rsidR="00F8404D" w:rsidRPr="009401F6" w:rsidRDefault="00F8404D" w:rsidP="00EF1F5A">
            <w:pPr>
              <w:pStyle w:val="Address"/>
              <w:jc w:val="center"/>
            </w:pPr>
            <w:r w:rsidRPr="009401F6">
              <w:t>Reference/Publication #</w:t>
            </w:r>
          </w:p>
        </w:tc>
      </w:tr>
    </w:tbl>
    <w:p w14:paraId="60A77F81" w14:textId="77777777" w:rsidR="0084580B" w:rsidRPr="009401F6" w:rsidRDefault="0084580B" w:rsidP="00F8404D">
      <w:pPr>
        <w:pStyle w:val="Footer"/>
      </w:pPr>
    </w:p>
    <w:sectPr w:rsidR="0084580B" w:rsidRPr="009401F6" w:rsidSect="00F8404D">
      <w:headerReference w:type="first" r:id="rId43"/>
      <w:footerReference w:type="first" r:id="rId44"/>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E3DBB" w14:textId="77777777" w:rsidR="00FA45F7" w:rsidRDefault="00FA45F7" w:rsidP="00C40A36">
      <w:pPr>
        <w:spacing w:after="0"/>
      </w:pPr>
      <w:r>
        <w:separator/>
      </w:r>
    </w:p>
    <w:p w14:paraId="5C32F630" w14:textId="77777777" w:rsidR="00FA45F7" w:rsidRDefault="00FA45F7"/>
  </w:endnote>
  <w:endnote w:type="continuationSeparator" w:id="0">
    <w:p w14:paraId="7CE40972" w14:textId="77777777" w:rsidR="00FA45F7" w:rsidRDefault="00FA45F7" w:rsidP="00C40A36">
      <w:pPr>
        <w:spacing w:after="0"/>
      </w:pPr>
      <w:r>
        <w:continuationSeparator/>
      </w:r>
    </w:p>
    <w:p w14:paraId="534B652E" w14:textId="77777777" w:rsidR="00FA45F7" w:rsidRDefault="00FA4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57AB9" w14:textId="77777777" w:rsidR="00FA45F7" w:rsidRDefault="00FA45F7"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057"/>
    </w:tblGrid>
    <w:tr w:rsidR="00FA45F7" w:rsidRPr="00257138" w14:paraId="611102DB" w14:textId="77777777" w:rsidTr="00B26351">
      <w:trPr>
        <w:trHeight w:val="423"/>
      </w:trPr>
      <w:tc>
        <w:tcPr>
          <w:tcW w:w="6663" w:type="dxa"/>
          <w:tcBorders>
            <w:top w:val="single" w:sz="4" w:space="0" w:color="auto"/>
          </w:tcBorders>
        </w:tcPr>
        <w:p w14:paraId="6661BB16" w14:textId="77777777" w:rsidR="00FA45F7" w:rsidRDefault="00FA45F7" w:rsidP="008D4740">
          <w:pPr>
            <w:pStyle w:val="Footer"/>
          </w:pPr>
        </w:p>
        <w:p w14:paraId="4E531774" w14:textId="56BE2A9B" w:rsidR="00FA45F7" w:rsidRPr="00257138" w:rsidRDefault="00FA45F7" w:rsidP="009B15F1">
          <w:pPr>
            <w:pStyle w:val="Footer"/>
          </w:pPr>
          <w:r>
            <w:t xml:space="preserve">ARGB Appendix 12 - </w:t>
          </w:r>
          <w:r w:rsidRPr="0068656A">
            <w:t>Guidance on TGO 10</w:t>
          </w:r>
          <w:r>
            <w:t>8: Standards for Human Cells or</w:t>
          </w:r>
          <w:r w:rsidRPr="0068656A">
            <w:t xml:space="preserve"> Tissues – Minimising Transmission of Communicable Diseases</w:t>
          </w:r>
          <w:r>
            <w:br/>
            <w:t xml:space="preserve">V1.0, </w:t>
          </w:r>
          <w:r w:rsidRPr="00F62D84">
            <w:rPr>
              <w:highlight w:val="yellow"/>
            </w:rPr>
            <w:t>Month</w:t>
          </w:r>
          <w:r>
            <w:t xml:space="preserve"> 2021</w:t>
          </w:r>
        </w:p>
      </w:tc>
      <w:tc>
        <w:tcPr>
          <w:tcW w:w="2057" w:type="dxa"/>
          <w:tcBorders>
            <w:top w:val="single" w:sz="4" w:space="0" w:color="auto"/>
          </w:tcBorders>
        </w:tcPr>
        <w:sdt>
          <w:sdtPr>
            <w:id w:val="3702144"/>
            <w:docPartObj>
              <w:docPartGallery w:val="Page Numbers (Top of Page)"/>
              <w:docPartUnique/>
            </w:docPartObj>
          </w:sdtPr>
          <w:sdtEndPr/>
          <w:sdtContent>
            <w:p w14:paraId="64B79C86" w14:textId="77777777" w:rsidR="00FA45F7" w:rsidRDefault="00FA45F7" w:rsidP="008D4740">
              <w:pPr>
                <w:pStyle w:val="Footer"/>
                <w:jc w:val="right"/>
              </w:pPr>
            </w:p>
            <w:p w14:paraId="72FCA348" w14:textId="1A27C122" w:rsidR="00FA45F7" w:rsidRPr="00257138" w:rsidRDefault="00FA45F7"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10</w:t>
                </w:r>
              </w:fldSimple>
            </w:p>
          </w:sdtContent>
        </w:sdt>
      </w:tc>
    </w:tr>
    <w:tr w:rsidR="00FA45F7" w:rsidRPr="00257138" w14:paraId="23A2D058" w14:textId="77777777" w:rsidTr="00B26351">
      <w:trPr>
        <w:trHeight w:val="263"/>
      </w:trPr>
      <w:tc>
        <w:tcPr>
          <w:tcW w:w="6663" w:type="dxa"/>
        </w:tcPr>
        <w:p w14:paraId="64A77595" w14:textId="7A87734E" w:rsidR="00FA45F7" w:rsidRPr="00257138" w:rsidRDefault="00FA45F7" w:rsidP="008D4740">
          <w:pPr>
            <w:pStyle w:val="Footer"/>
          </w:pPr>
        </w:p>
      </w:tc>
      <w:tc>
        <w:tcPr>
          <w:tcW w:w="2057" w:type="dxa"/>
        </w:tcPr>
        <w:p w14:paraId="0756AFCC" w14:textId="77777777" w:rsidR="00FA45F7" w:rsidRPr="00257138" w:rsidRDefault="00FA45F7" w:rsidP="008D4740">
          <w:pPr>
            <w:pStyle w:val="Footer"/>
            <w:jc w:val="right"/>
          </w:pPr>
        </w:p>
      </w:tc>
    </w:tr>
  </w:tbl>
  <w:p w14:paraId="381F9264" w14:textId="77777777" w:rsidR="00FA45F7" w:rsidRPr="00826007" w:rsidRDefault="00FA45F7"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CD00" w14:textId="77777777" w:rsidR="00FA45F7" w:rsidRDefault="00FA45F7"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774"/>
    </w:tblGrid>
    <w:tr w:rsidR="00FA45F7" w:rsidRPr="00257138" w14:paraId="00D18AF3" w14:textId="77777777" w:rsidTr="00B26351">
      <w:trPr>
        <w:trHeight w:val="423"/>
      </w:trPr>
      <w:tc>
        <w:tcPr>
          <w:tcW w:w="6946" w:type="dxa"/>
        </w:tcPr>
        <w:p w14:paraId="042E326F" w14:textId="378B02EF" w:rsidR="00FA45F7" w:rsidRPr="00257138" w:rsidRDefault="00FA45F7" w:rsidP="00E767C0">
          <w:pPr>
            <w:pStyle w:val="Footer"/>
            <w:spacing w:before="120" w:after="120"/>
          </w:pPr>
          <w:r w:rsidRPr="00856CED">
            <w:t xml:space="preserve">ARGB Appendix 12 - Guidance on TGO 108: Standard for Human Cell or Tissue Products – Donor </w:t>
          </w:r>
          <w:r w:rsidR="00E767C0" w:rsidRPr="00856CED">
            <w:t>S</w:t>
          </w:r>
          <w:r w:rsidR="00E767C0">
            <w:t>creening</w:t>
          </w:r>
          <w:r w:rsidR="00E767C0" w:rsidRPr="00856CED">
            <w:t xml:space="preserve"> </w:t>
          </w:r>
          <w:r w:rsidRPr="00856CED">
            <w:t>Requirements</w:t>
          </w:r>
          <w:r w:rsidR="00F5021A">
            <w:br/>
            <w:t xml:space="preserve">V1.0, May </w:t>
          </w:r>
          <w:r>
            <w:t>2021</w:t>
          </w:r>
        </w:p>
      </w:tc>
      <w:tc>
        <w:tcPr>
          <w:tcW w:w="1774" w:type="dxa"/>
        </w:tcPr>
        <w:sdt>
          <w:sdtPr>
            <w:id w:val="582192776"/>
            <w:docPartObj>
              <w:docPartGallery w:val="Page Numbers (Top of Page)"/>
              <w:docPartUnique/>
            </w:docPartObj>
          </w:sdtPr>
          <w:sdtEndPr/>
          <w:sdtContent>
            <w:p w14:paraId="7B518112" w14:textId="63FFC6AF" w:rsidR="00FA45F7" w:rsidRPr="00257138" w:rsidRDefault="00FA45F7" w:rsidP="00EE1482">
              <w:pPr>
                <w:pStyle w:val="Footer"/>
                <w:spacing w:before="120" w:after="120"/>
                <w:jc w:val="right"/>
              </w:pPr>
              <w:r w:rsidRPr="00257138">
                <w:t xml:space="preserve">Page </w:t>
              </w:r>
              <w:r>
                <w:fldChar w:fldCharType="begin"/>
              </w:r>
              <w:r>
                <w:instrText xml:space="preserve"> PAGE </w:instrText>
              </w:r>
              <w:r>
                <w:fldChar w:fldCharType="separate"/>
              </w:r>
              <w:r w:rsidR="00AC051D">
                <w:rPr>
                  <w:noProof/>
                </w:rPr>
                <w:t>20</w:t>
              </w:r>
              <w:r>
                <w:rPr>
                  <w:noProof/>
                </w:rPr>
                <w:fldChar w:fldCharType="end"/>
              </w:r>
              <w:r w:rsidRPr="00257138">
                <w:t xml:space="preserve"> of </w:t>
              </w:r>
              <w:fldSimple w:instr=" NUMPAGES  ">
                <w:r w:rsidR="00AC051D">
                  <w:rPr>
                    <w:noProof/>
                  </w:rPr>
                  <w:t>35</w:t>
                </w:r>
              </w:fldSimple>
            </w:p>
          </w:sdtContent>
        </w:sdt>
      </w:tc>
    </w:tr>
  </w:tbl>
  <w:p w14:paraId="01CC460D" w14:textId="77777777" w:rsidR="00FA45F7" w:rsidRPr="00826007" w:rsidRDefault="00FA45F7"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774"/>
    </w:tblGrid>
    <w:tr w:rsidR="00FA45F7" w:rsidRPr="00257138" w14:paraId="554593C3" w14:textId="77777777" w:rsidTr="00B26351">
      <w:trPr>
        <w:trHeight w:val="423"/>
      </w:trPr>
      <w:tc>
        <w:tcPr>
          <w:tcW w:w="6946" w:type="dxa"/>
        </w:tcPr>
        <w:p w14:paraId="7D185FD9" w14:textId="2B1B3710" w:rsidR="00FA45F7" w:rsidRPr="00257138" w:rsidRDefault="00FA45F7" w:rsidP="00F508A5">
          <w:pPr>
            <w:pStyle w:val="Footer"/>
            <w:spacing w:before="120" w:after="120"/>
          </w:pPr>
          <w:r w:rsidRPr="00F508A5">
            <w:t>ARGB Appendix 12 - Guidance on TGO 108: Standard for Human Cell or Tissue Products – Donor Selection Requirements</w:t>
          </w:r>
          <w:r>
            <w:br/>
            <w:t>V1.0, April 2021</w:t>
          </w:r>
        </w:p>
      </w:tc>
      <w:tc>
        <w:tcPr>
          <w:tcW w:w="1774" w:type="dxa"/>
        </w:tcPr>
        <w:sdt>
          <w:sdtPr>
            <w:id w:val="3702141"/>
            <w:docPartObj>
              <w:docPartGallery w:val="Page Numbers (Top of Page)"/>
              <w:docPartUnique/>
            </w:docPartObj>
          </w:sdtPr>
          <w:sdtEndPr/>
          <w:sdtContent>
            <w:p w14:paraId="2B221327" w14:textId="1E6990EC" w:rsidR="00FA45F7" w:rsidRPr="00257138" w:rsidRDefault="00FA45F7" w:rsidP="00EE1482">
              <w:pPr>
                <w:pStyle w:val="Footer"/>
                <w:spacing w:before="120" w:after="120"/>
                <w:jc w:val="right"/>
              </w:pPr>
              <w:r w:rsidRPr="00257138">
                <w:t xml:space="preserve">Page </w:t>
              </w:r>
              <w:r>
                <w:fldChar w:fldCharType="begin"/>
              </w:r>
              <w:r>
                <w:instrText xml:space="preserve"> PAGE </w:instrText>
              </w:r>
              <w:r>
                <w:fldChar w:fldCharType="separate"/>
              </w:r>
              <w:r>
                <w:rPr>
                  <w:noProof/>
                </w:rPr>
                <w:t>39</w:t>
              </w:r>
              <w:r>
                <w:rPr>
                  <w:noProof/>
                </w:rPr>
                <w:fldChar w:fldCharType="end"/>
              </w:r>
              <w:r w:rsidRPr="00257138">
                <w:t xml:space="preserve"> of </w:t>
              </w:r>
              <w:fldSimple w:instr=" NUMPAGES  ">
                <w:r>
                  <w:rPr>
                    <w:noProof/>
                  </w:rPr>
                  <w:t>40</w:t>
                </w:r>
              </w:fldSimple>
            </w:p>
          </w:sdtContent>
        </w:sdt>
      </w:tc>
    </w:tr>
  </w:tbl>
  <w:p w14:paraId="69427C73" w14:textId="77777777" w:rsidR="00FA45F7" w:rsidRPr="00826007" w:rsidRDefault="00FA45F7" w:rsidP="00F4663D">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4D8FD" w14:textId="77777777" w:rsidR="00FA45F7" w:rsidRPr="00F8404D" w:rsidRDefault="00FA45F7"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846C9" w14:textId="77777777" w:rsidR="00FA45F7" w:rsidRDefault="00FA45F7" w:rsidP="00FE1941">
      <w:pPr>
        <w:spacing w:after="0"/>
      </w:pPr>
      <w:r>
        <w:separator/>
      </w:r>
    </w:p>
  </w:footnote>
  <w:footnote w:type="continuationSeparator" w:id="0">
    <w:p w14:paraId="6731435C" w14:textId="77777777" w:rsidR="00FA45F7" w:rsidRDefault="00FA45F7" w:rsidP="00C40A36">
      <w:pPr>
        <w:spacing w:after="0"/>
      </w:pPr>
      <w:r>
        <w:continuationSeparator/>
      </w:r>
    </w:p>
    <w:p w14:paraId="67F2178E" w14:textId="77777777" w:rsidR="00FA45F7" w:rsidRDefault="00FA45F7"/>
  </w:footnote>
  <w:footnote w:id="1">
    <w:p w14:paraId="0898C0AA" w14:textId="0224BBF5" w:rsidR="00FA45F7" w:rsidRDefault="00FA45F7">
      <w:pPr>
        <w:pStyle w:val="FootnoteText"/>
      </w:pPr>
      <w:r>
        <w:rPr>
          <w:rStyle w:val="FootnoteReference"/>
        </w:rPr>
        <w:footnoteRef/>
      </w:r>
      <w:r>
        <w:t xml:space="preserve"> The relevant TGO that governs FMT products is the </w:t>
      </w:r>
      <w:hyperlink r:id="rId1" w:history="1">
        <w:r w:rsidRPr="00602108">
          <w:rPr>
            <w:rStyle w:val="Hyperlink"/>
          </w:rPr>
          <w:t>Therapeutic Goods (Standard for Faecal Microbiota Transplant Products) (TGO 105) Order 2020</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FAB83" w14:textId="77777777" w:rsidR="00FA45F7" w:rsidRPr="00920FF4" w:rsidRDefault="00FA45F7"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83039" w14:textId="77777777" w:rsidR="00FA45F7" w:rsidRPr="00E32326" w:rsidRDefault="00FA45F7" w:rsidP="00F202AB">
    <w:r w:rsidRPr="00F3255D">
      <w:rPr>
        <w:noProof/>
        <w:lang w:eastAsia="en-AU"/>
      </w:rPr>
      <w:drawing>
        <wp:anchor distT="0" distB="0" distL="114300" distR="114300" simplePos="0" relativeHeight="251659264" behindDoc="0" locked="0" layoutInCell="1" allowOverlap="1" wp14:anchorId="74BBDAD5" wp14:editId="65C722F9">
          <wp:simplePos x="0" y="0"/>
          <wp:positionH relativeFrom="column">
            <wp:posOffset>-195580</wp:posOffset>
          </wp:positionH>
          <wp:positionV relativeFrom="paragraph">
            <wp:posOffset>-62230</wp:posOffset>
          </wp:positionV>
          <wp:extent cx="3524250" cy="1209675"/>
          <wp:effectExtent l="19050" t="0" r="0" b="0"/>
          <wp:wrapTopAndBottom/>
          <wp:docPr id="8" name="Picture 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A45F7" w:rsidRPr="00FF7B50" w14:paraId="222FE02A" w14:textId="77777777" w:rsidTr="00EF1F5A">
      <w:trPr>
        <w:trHeight w:hRule="exact" w:val="8845"/>
      </w:trPr>
      <w:tc>
        <w:tcPr>
          <w:tcW w:w="11964" w:type="dxa"/>
        </w:tcPr>
        <w:p w14:paraId="520EF092" w14:textId="77777777" w:rsidR="00FA45F7" w:rsidRPr="00FF7B50" w:rsidRDefault="00AC051D" w:rsidP="00AE0320">
          <w:pPr>
            <w:pStyle w:val="Header"/>
            <w:ind w:left="-57"/>
            <w:jc w:val="left"/>
            <w:rPr>
              <w:noProof/>
              <w:lang w:eastAsia="en-AU"/>
            </w:rPr>
          </w:pPr>
          <w:sdt>
            <w:sdtPr>
              <w:rPr>
                <w:noProof/>
                <w:lang w:eastAsia="en-AU"/>
              </w:rPr>
              <w:id w:val="3702145"/>
              <w:showingPlcHdr/>
              <w:picture/>
            </w:sdtPr>
            <w:sdtEndPr/>
            <w:sdtContent>
              <w:r w:rsidR="00FA45F7" w:rsidRPr="00FF7B50">
                <w:rPr>
                  <w:noProof/>
                  <w:lang w:eastAsia="en-AU"/>
                </w:rPr>
                <w:drawing>
                  <wp:inline distT="0" distB="0" distL="0" distR="0" wp14:anchorId="2395A591" wp14:editId="3EFD6FDC">
                    <wp:extent cx="7610475" cy="5638800"/>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21B77DE8" w14:textId="77777777" w:rsidR="00FA45F7" w:rsidRPr="00E32326" w:rsidRDefault="00FA45F7" w:rsidP="00F202AB">
    <w:r>
      <w:rPr>
        <w:noProof/>
        <w:lang w:eastAsia="en-AU"/>
      </w:rPr>
      <w:drawing>
        <wp:anchor distT="0" distB="0" distL="114300" distR="114300" simplePos="0" relativeHeight="251657216" behindDoc="0" locked="0" layoutInCell="0" allowOverlap="1" wp14:anchorId="1BB93001" wp14:editId="2A734B1D">
          <wp:simplePos x="0" y="0"/>
          <wp:positionH relativeFrom="column">
            <wp:posOffset>-900430</wp:posOffset>
          </wp:positionH>
          <wp:positionV relativeFrom="page">
            <wp:posOffset>4171950</wp:posOffset>
          </wp:positionV>
          <wp:extent cx="7600950" cy="2457450"/>
          <wp:effectExtent l="19050" t="0" r="0" b="0"/>
          <wp:wrapNone/>
          <wp:docPr id="10"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D338F" w14:textId="77777777" w:rsidR="00FA45F7" w:rsidRPr="00920FF4" w:rsidRDefault="00FA45F7"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DE2BA" w14:textId="77777777" w:rsidR="00FA45F7" w:rsidRPr="00920FF4" w:rsidRDefault="00FA45F7"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443B0" w14:textId="77777777" w:rsidR="00FA45F7" w:rsidRPr="00920FF4" w:rsidRDefault="00FA45F7" w:rsidP="00920FF4">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ADA72" w14:textId="77777777" w:rsidR="00FA45F7" w:rsidRPr="00920FF4" w:rsidRDefault="00FA45F7" w:rsidP="001D480A">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DC868" w14:textId="77777777" w:rsidR="00FA45F7" w:rsidRPr="009401F6" w:rsidRDefault="00FA45F7" w:rsidP="0047772E"/>
  <w:p w14:paraId="7A4E0EA0" w14:textId="77777777" w:rsidR="00FA45F7" w:rsidRPr="002B0C2E" w:rsidRDefault="00FA45F7"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186"/>
    <w:multiLevelType w:val="hybridMultilevel"/>
    <w:tmpl w:val="D94CF0F2"/>
    <w:lvl w:ilvl="0" w:tplc="A4386D6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2F1155"/>
    <w:multiLevelType w:val="hybridMultilevel"/>
    <w:tmpl w:val="05F27DE2"/>
    <w:lvl w:ilvl="0" w:tplc="CA9C3D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CA40E6"/>
    <w:multiLevelType w:val="hybridMultilevel"/>
    <w:tmpl w:val="B0C4E41C"/>
    <w:lvl w:ilvl="0" w:tplc="1C52B8E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68250AE"/>
    <w:multiLevelType w:val="hybridMultilevel"/>
    <w:tmpl w:val="EC587A28"/>
    <w:lvl w:ilvl="0" w:tplc="F9A6207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6C71E35"/>
    <w:multiLevelType w:val="hybridMultilevel"/>
    <w:tmpl w:val="4E30DB42"/>
    <w:lvl w:ilvl="0" w:tplc="B9F2FE3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ED16ED"/>
    <w:multiLevelType w:val="hybridMultilevel"/>
    <w:tmpl w:val="0CD005C2"/>
    <w:lvl w:ilvl="0" w:tplc="2C20386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EB9108C"/>
    <w:multiLevelType w:val="hybridMultilevel"/>
    <w:tmpl w:val="19ECDAAE"/>
    <w:lvl w:ilvl="0" w:tplc="0C090001">
      <w:start w:val="1"/>
      <w:numFmt w:val="bullet"/>
      <w:lvlText w:val=""/>
      <w:lvlJc w:val="left"/>
      <w:pPr>
        <w:ind w:left="632" w:hanging="360"/>
      </w:pPr>
      <w:rPr>
        <w:rFonts w:ascii="Symbol" w:hAnsi="Symbol" w:hint="default"/>
      </w:rPr>
    </w:lvl>
    <w:lvl w:ilvl="1" w:tplc="0C090003" w:tentative="1">
      <w:start w:val="1"/>
      <w:numFmt w:val="bullet"/>
      <w:lvlText w:val="o"/>
      <w:lvlJc w:val="left"/>
      <w:pPr>
        <w:ind w:left="1352" w:hanging="360"/>
      </w:pPr>
      <w:rPr>
        <w:rFonts w:ascii="Courier New" w:hAnsi="Courier New" w:cs="Courier New" w:hint="default"/>
      </w:rPr>
    </w:lvl>
    <w:lvl w:ilvl="2" w:tplc="0C090005" w:tentative="1">
      <w:start w:val="1"/>
      <w:numFmt w:val="bullet"/>
      <w:lvlText w:val=""/>
      <w:lvlJc w:val="left"/>
      <w:pPr>
        <w:ind w:left="2072" w:hanging="360"/>
      </w:pPr>
      <w:rPr>
        <w:rFonts w:ascii="Wingdings" w:hAnsi="Wingdings" w:hint="default"/>
      </w:rPr>
    </w:lvl>
    <w:lvl w:ilvl="3" w:tplc="0C090001" w:tentative="1">
      <w:start w:val="1"/>
      <w:numFmt w:val="bullet"/>
      <w:lvlText w:val=""/>
      <w:lvlJc w:val="left"/>
      <w:pPr>
        <w:ind w:left="2792" w:hanging="360"/>
      </w:pPr>
      <w:rPr>
        <w:rFonts w:ascii="Symbol" w:hAnsi="Symbol" w:hint="default"/>
      </w:rPr>
    </w:lvl>
    <w:lvl w:ilvl="4" w:tplc="0C090003" w:tentative="1">
      <w:start w:val="1"/>
      <w:numFmt w:val="bullet"/>
      <w:lvlText w:val="o"/>
      <w:lvlJc w:val="left"/>
      <w:pPr>
        <w:ind w:left="3512" w:hanging="360"/>
      </w:pPr>
      <w:rPr>
        <w:rFonts w:ascii="Courier New" w:hAnsi="Courier New" w:cs="Courier New" w:hint="default"/>
      </w:rPr>
    </w:lvl>
    <w:lvl w:ilvl="5" w:tplc="0C090005" w:tentative="1">
      <w:start w:val="1"/>
      <w:numFmt w:val="bullet"/>
      <w:lvlText w:val=""/>
      <w:lvlJc w:val="left"/>
      <w:pPr>
        <w:ind w:left="4232" w:hanging="360"/>
      </w:pPr>
      <w:rPr>
        <w:rFonts w:ascii="Wingdings" w:hAnsi="Wingdings" w:hint="default"/>
      </w:rPr>
    </w:lvl>
    <w:lvl w:ilvl="6" w:tplc="0C090001" w:tentative="1">
      <w:start w:val="1"/>
      <w:numFmt w:val="bullet"/>
      <w:lvlText w:val=""/>
      <w:lvlJc w:val="left"/>
      <w:pPr>
        <w:ind w:left="4952" w:hanging="360"/>
      </w:pPr>
      <w:rPr>
        <w:rFonts w:ascii="Symbol" w:hAnsi="Symbol" w:hint="default"/>
      </w:rPr>
    </w:lvl>
    <w:lvl w:ilvl="7" w:tplc="0C090003" w:tentative="1">
      <w:start w:val="1"/>
      <w:numFmt w:val="bullet"/>
      <w:lvlText w:val="o"/>
      <w:lvlJc w:val="left"/>
      <w:pPr>
        <w:ind w:left="5672" w:hanging="360"/>
      </w:pPr>
      <w:rPr>
        <w:rFonts w:ascii="Courier New" w:hAnsi="Courier New" w:cs="Courier New" w:hint="default"/>
      </w:rPr>
    </w:lvl>
    <w:lvl w:ilvl="8" w:tplc="0C090005" w:tentative="1">
      <w:start w:val="1"/>
      <w:numFmt w:val="bullet"/>
      <w:lvlText w:val=""/>
      <w:lvlJc w:val="left"/>
      <w:pPr>
        <w:ind w:left="6392" w:hanging="360"/>
      </w:pPr>
      <w:rPr>
        <w:rFonts w:ascii="Wingdings" w:hAnsi="Wingdings" w:hint="default"/>
      </w:rPr>
    </w:lvl>
  </w:abstractNum>
  <w:abstractNum w:abstractNumId="7" w15:restartNumberingAfterBreak="0">
    <w:nsid w:val="10053F11"/>
    <w:multiLevelType w:val="multilevel"/>
    <w:tmpl w:val="575CEDBE"/>
    <w:styleLink w:val="NumberBullet"/>
    <w:lvl w:ilvl="0">
      <w:start w:val="2"/>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15058BA"/>
    <w:multiLevelType w:val="hybridMultilevel"/>
    <w:tmpl w:val="6BC273FA"/>
    <w:lvl w:ilvl="0" w:tplc="20C0C5A8">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4D73B0A"/>
    <w:multiLevelType w:val="hybridMultilevel"/>
    <w:tmpl w:val="AA924E70"/>
    <w:lvl w:ilvl="0" w:tplc="BE96018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07E2B2D"/>
    <w:multiLevelType w:val="hybridMultilevel"/>
    <w:tmpl w:val="2B40AA60"/>
    <w:lvl w:ilvl="0" w:tplc="7BFA8E78">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50F68B2"/>
    <w:multiLevelType w:val="hybridMultilevel"/>
    <w:tmpl w:val="068808D2"/>
    <w:lvl w:ilvl="0" w:tplc="46104932">
      <w:start w:val="1"/>
      <w:numFmt w:val="lowerLetter"/>
      <w:lvlText w:val="(%1)"/>
      <w:lvlJc w:val="left"/>
      <w:pPr>
        <w:ind w:left="951" w:hanging="360"/>
      </w:pPr>
      <w:rPr>
        <w:rFonts w:hint="default"/>
      </w:rPr>
    </w:lvl>
    <w:lvl w:ilvl="1" w:tplc="0C090019" w:tentative="1">
      <w:start w:val="1"/>
      <w:numFmt w:val="lowerLetter"/>
      <w:lvlText w:val="%2."/>
      <w:lvlJc w:val="left"/>
      <w:pPr>
        <w:ind w:left="1671" w:hanging="360"/>
      </w:pPr>
    </w:lvl>
    <w:lvl w:ilvl="2" w:tplc="0C09001B" w:tentative="1">
      <w:start w:val="1"/>
      <w:numFmt w:val="lowerRoman"/>
      <w:lvlText w:val="%3."/>
      <w:lvlJc w:val="right"/>
      <w:pPr>
        <w:ind w:left="2391" w:hanging="180"/>
      </w:pPr>
    </w:lvl>
    <w:lvl w:ilvl="3" w:tplc="0C09000F" w:tentative="1">
      <w:start w:val="1"/>
      <w:numFmt w:val="decimal"/>
      <w:lvlText w:val="%4."/>
      <w:lvlJc w:val="left"/>
      <w:pPr>
        <w:ind w:left="3111" w:hanging="360"/>
      </w:pPr>
    </w:lvl>
    <w:lvl w:ilvl="4" w:tplc="0C090019" w:tentative="1">
      <w:start w:val="1"/>
      <w:numFmt w:val="lowerLetter"/>
      <w:lvlText w:val="%5."/>
      <w:lvlJc w:val="left"/>
      <w:pPr>
        <w:ind w:left="3831" w:hanging="360"/>
      </w:pPr>
    </w:lvl>
    <w:lvl w:ilvl="5" w:tplc="0C09001B" w:tentative="1">
      <w:start w:val="1"/>
      <w:numFmt w:val="lowerRoman"/>
      <w:lvlText w:val="%6."/>
      <w:lvlJc w:val="right"/>
      <w:pPr>
        <w:ind w:left="4551" w:hanging="180"/>
      </w:pPr>
    </w:lvl>
    <w:lvl w:ilvl="6" w:tplc="0C09000F" w:tentative="1">
      <w:start w:val="1"/>
      <w:numFmt w:val="decimal"/>
      <w:lvlText w:val="%7."/>
      <w:lvlJc w:val="left"/>
      <w:pPr>
        <w:ind w:left="5271" w:hanging="360"/>
      </w:pPr>
    </w:lvl>
    <w:lvl w:ilvl="7" w:tplc="0C090019" w:tentative="1">
      <w:start w:val="1"/>
      <w:numFmt w:val="lowerLetter"/>
      <w:lvlText w:val="%8."/>
      <w:lvlJc w:val="left"/>
      <w:pPr>
        <w:ind w:left="5991" w:hanging="360"/>
      </w:pPr>
    </w:lvl>
    <w:lvl w:ilvl="8" w:tplc="0C09001B" w:tentative="1">
      <w:start w:val="1"/>
      <w:numFmt w:val="lowerRoman"/>
      <w:lvlText w:val="%9."/>
      <w:lvlJc w:val="right"/>
      <w:pPr>
        <w:ind w:left="6711" w:hanging="180"/>
      </w:pPr>
    </w:lvl>
  </w:abstractNum>
  <w:abstractNum w:abstractNumId="13" w15:restartNumberingAfterBreak="0">
    <w:nsid w:val="26177883"/>
    <w:multiLevelType w:val="hybridMultilevel"/>
    <w:tmpl w:val="F282179E"/>
    <w:lvl w:ilvl="0" w:tplc="3C96A5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C80669A"/>
    <w:multiLevelType w:val="hybridMultilevel"/>
    <w:tmpl w:val="B838B2BC"/>
    <w:lvl w:ilvl="0" w:tplc="68B43CE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ED31D20"/>
    <w:multiLevelType w:val="hybridMultilevel"/>
    <w:tmpl w:val="B3BEF966"/>
    <w:lvl w:ilvl="0" w:tplc="2258D5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1FA6E7F"/>
    <w:multiLevelType w:val="hybridMultilevel"/>
    <w:tmpl w:val="AE8E1BDE"/>
    <w:lvl w:ilvl="0" w:tplc="32380E2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2F35D25"/>
    <w:multiLevelType w:val="hybridMultilevel"/>
    <w:tmpl w:val="3D9AD0DE"/>
    <w:lvl w:ilvl="0" w:tplc="0E5074C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55D74FB"/>
    <w:multiLevelType w:val="hybridMultilevel"/>
    <w:tmpl w:val="31DC184A"/>
    <w:lvl w:ilvl="0" w:tplc="D500F9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15:restartNumberingAfterBreak="0">
    <w:nsid w:val="3B8638B4"/>
    <w:multiLevelType w:val="hybridMultilevel"/>
    <w:tmpl w:val="C7FA4CE2"/>
    <w:lvl w:ilvl="0" w:tplc="F7B6B16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11921DD"/>
    <w:multiLevelType w:val="hybridMultilevel"/>
    <w:tmpl w:val="A716AAD8"/>
    <w:lvl w:ilvl="0" w:tplc="1248BCA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91D1816"/>
    <w:multiLevelType w:val="hybridMultilevel"/>
    <w:tmpl w:val="88A6AF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D67141"/>
    <w:multiLevelType w:val="hybridMultilevel"/>
    <w:tmpl w:val="BA8C3F0E"/>
    <w:lvl w:ilvl="0" w:tplc="E04A2E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AB468C"/>
    <w:multiLevelType w:val="hybridMultilevel"/>
    <w:tmpl w:val="3CECBB2A"/>
    <w:lvl w:ilvl="0" w:tplc="46104932">
      <w:start w:val="1"/>
      <w:numFmt w:val="lowerLetter"/>
      <w:lvlText w:val="(%1)"/>
      <w:lvlJc w:val="left"/>
      <w:pPr>
        <w:ind w:left="951" w:hanging="360"/>
      </w:pPr>
      <w:rPr>
        <w:rFonts w:hint="default"/>
      </w:rPr>
    </w:lvl>
    <w:lvl w:ilvl="1" w:tplc="0C090019" w:tentative="1">
      <w:start w:val="1"/>
      <w:numFmt w:val="lowerLetter"/>
      <w:lvlText w:val="%2."/>
      <w:lvlJc w:val="left"/>
      <w:pPr>
        <w:ind w:left="1671" w:hanging="360"/>
      </w:pPr>
    </w:lvl>
    <w:lvl w:ilvl="2" w:tplc="0C09001B" w:tentative="1">
      <w:start w:val="1"/>
      <w:numFmt w:val="lowerRoman"/>
      <w:lvlText w:val="%3."/>
      <w:lvlJc w:val="right"/>
      <w:pPr>
        <w:ind w:left="2391" w:hanging="180"/>
      </w:pPr>
    </w:lvl>
    <w:lvl w:ilvl="3" w:tplc="0C09000F" w:tentative="1">
      <w:start w:val="1"/>
      <w:numFmt w:val="decimal"/>
      <w:lvlText w:val="%4."/>
      <w:lvlJc w:val="left"/>
      <w:pPr>
        <w:ind w:left="3111" w:hanging="360"/>
      </w:pPr>
    </w:lvl>
    <w:lvl w:ilvl="4" w:tplc="0C090019" w:tentative="1">
      <w:start w:val="1"/>
      <w:numFmt w:val="lowerLetter"/>
      <w:lvlText w:val="%5."/>
      <w:lvlJc w:val="left"/>
      <w:pPr>
        <w:ind w:left="3831" w:hanging="360"/>
      </w:pPr>
    </w:lvl>
    <w:lvl w:ilvl="5" w:tplc="0C09001B" w:tentative="1">
      <w:start w:val="1"/>
      <w:numFmt w:val="lowerRoman"/>
      <w:lvlText w:val="%6."/>
      <w:lvlJc w:val="right"/>
      <w:pPr>
        <w:ind w:left="4551" w:hanging="180"/>
      </w:pPr>
    </w:lvl>
    <w:lvl w:ilvl="6" w:tplc="0C09000F" w:tentative="1">
      <w:start w:val="1"/>
      <w:numFmt w:val="decimal"/>
      <w:lvlText w:val="%7."/>
      <w:lvlJc w:val="left"/>
      <w:pPr>
        <w:ind w:left="5271" w:hanging="360"/>
      </w:pPr>
    </w:lvl>
    <w:lvl w:ilvl="7" w:tplc="0C090019" w:tentative="1">
      <w:start w:val="1"/>
      <w:numFmt w:val="lowerLetter"/>
      <w:lvlText w:val="%8."/>
      <w:lvlJc w:val="left"/>
      <w:pPr>
        <w:ind w:left="5991" w:hanging="360"/>
      </w:pPr>
    </w:lvl>
    <w:lvl w:ilvl="8" w:tplc="0C09001B" w:tentative="1">
      <w:start w:val="1"/>
      <w:numFmt w:val="lowerRoman"/>
      <w:lvlText w:val="%9."/>
      <w:lvlJc w:val="right"/>
      <w:pPr>
        <w:ind w:left="6711" w:hanging="180"/>
      </w:pPr>
    </w:lvl>
  </w:abstractNum>
  <w:abstractNum w:abstractNumId="25" w15:restartNumberingAfterBreak="0">
    <w:nsid w:val="531E7694"/>
    <w:multiLevelType w:val="hybridMultilevel"/>
    <w:tmpl w:val="4E30DB42"/>
    <w:lvl w:ilvl="0" w:tplc="B9F2FE3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4E1F4B"/>
    <w:multiLevelType w:val="hybridMultilevel"/>
    <w:tmpl w:val="8A72D570"/>
    <w:lvl w:ilvl="0" w:tplc="A36A83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E786763"/>
    <w:multiLevelType w:val="hybridMultilevel"/>
    <w:tmpl w:val="76CA8CA2"/>
    <w:lvl w:ilvl="0" w:tplc="46104932">
      <w:start w:val="1"/>
      <w:numFmt w:val="lowerLetter"/>
      <w:lvlText w:val="(%1)"/>
      <w:lvlJc w:val="left"/>
      <w:pPr>
        <w:ind w:left="951" w:hanging="360"/>
      </w:pPr>
      <w:rPr>
        <w:rFonts w:hint="default"/>
      </w:rPr>
    </w:lvl>
    <w:lvl w:ilvl="1" w:tplc="0C090019" w:tentative="1">
      <w:start w:val="1"/>
      <w:numFmt w:val="lowerLetter"/>
      <w:lvlText w:val="%2."/>
      <w:lvlJc w:val="left"/>
      <w:pPr>
        <w:ind w:left="1671" w:hanging="360"/>
      </w:pPr>
    </w:lvl>
    <w:lvl w:ilvl="2" w:tplc="0C09001B" w:tentative="1">
      <w:start w:val="1"/>
      <w:numFmt w:val="lowerRoman"/>
      <w:lvlText w:val="%3."/>
      <w:lvlJc w:val="right"/>
      <w:pPr>
        <w:ind w:left="2391" w:hanging="180"/>
      </w:pPr>
    </w:lvl>
    <w:lvl w:ilvl="3" w:tplc="0C09000F" w:tentative="1">
      <w:start w:val="1"/>
      <w:numFmt w:val="decimal"/>
      <w:lvlText w:val="%4."/>
      <w:lvlJc w:val="left"/>
      <w:pPr>
        <w:ind w:left="3111" w:hanging="360"/>
      </w:pPr>
    </w:lvl>
    <w:lvl w:ilvl="4" w:tplc="0C090019" w:tentative="1">
      <w:start w:val="1"/>
      <w:numFmt w:val="lowerLetter"/>
      <w:lvlText w:val="%5."/>
      <w:lvlJc w:val="left"/>
      <w:pPr>
        <w:ind w:left="3831" w:hanging="360"/>
      </w:pPr>
    </w:lvl>
    <w:lvl w:ilvl="5" w:tplc="0C09001B" w:tentative="1">
      <w:start w:val="1"/>
      <w:numFmt w:val="lowerRoman"/>
      <w:lvlText w:val="%6."/>
      <w:lvlJc w:val="right"/>
      <w:pPr>
        <w:ind w:left="4551" w:hanging="180"/>
      </w:pPr>
    </w:lvl>
    <w:lvl w:ilvl="6" w:tplc="0C09000F" w:tentative="1">
      <w:start w:val="1"/>
      <w:numFmt w:val="decimal"/>
      <w:lvlText w:val="%7."/>
      <w:lvlJc w:val="left"/>
      <w:pPr>
        <w:ind w:left="5271" w:hanging="360"/>
      </w:pPr>
    </w:lvl>
    <w:lvl w:ilvl="7" w:tplc="0C090019" w:tentative="1">
      <w:start w:val="1"/>
      <w:numFmt w:val="lowerLetter"/>
      <w:lvlText w:val="%8."/>
      <w:lvlJc w:val="left"/>
      <w:pPr>
        <w:ind w:left="5991" w:hanging="360"/>
      </w:pPr>
    </w:lvl>
    <w:lvl w:ilvl="8" w:tplc="0C09001B" w:tentative="1">
      <w:start w:val="1"/>
      <w:numFmt w:val="lowerRoman"/>
      <w:lvlText w:val="%9."/>
      <w:lvlJc w:val="right"/>
      <w:pPr>
        <w:ind w:left="6711" w:hanging="180"/>
      </w:pPr>
    </w:lvl>
  </w:abstractNum>
  <w:abstractNum w:abstractNumId="28" w15:restartNumberingAfterBreak="0">
    <w:nsid w:val="65537F84"/>
    <w:multiLevelType w:val="hybridMultilevel"/>
    <w:tmpl w:val="A112CBAE"/>
    <w:lvl w:ilvl="0" w:tplc="65E0B1D4">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79A521E"/>
    <w:multiLevelType w:val="hybridMultilevel"/>
    <w:tmpl w:val="76CA8CA2"/>
    <w:lvl w:ilvl="0" w:tplc="46104932">
      <w:start w:val="1"/>
      <w:numFmt w:val="lowerLetter"/>
      <w:lvlText w:val="(%1)"/>
      <w:lvlJc w:val="left"/>
      <w:pPr>
        <w:ind w:left="951" w:hanging="360"/>
      </w:pPr>
      <w:rPr>
        <w:rFonts w:hint="default"/>
      </w:rPr>
    </w:lvl>
    <w:lvl w:ilvl="1" w:tplc="0C090019" w:tentative="1">
      <w:start w:val="1"/>
      <w:numFmt w:val="lowerLetter"/>
      <w:lvlText w:val="%2."/>
      <w:lvlJc w:val="left"/>
      <w:pPr>
        <w:ind w:left="1671" w:hanging="360"/>
      </w:pPr>
    </w:lvl>
    <w:lvl w:ilvl="2" w:tplc="0C09001B" w:tentative="1">
      <w:start w:val="1"/>
      <w:numFmt w:val="lowerRoman"/>
      <w:lvlText w:val="%3."/>
      <w:lvlJc w:val="right"/>
      <w:pPr>
        <w:ind w:left="2391" w:hanging="180"/>
      </w:pPr>
    </w:lvl>
    <w:lvl w:ilvl="3" w:tplc="0C09000F" w:tentative="1">
      <w:start w:val="1"/>
      <w:numFmt w:val="decimal"/>
      <w:lvlText w:val="%4."/>
      <w:lvlJc w:val="left"/>
      <w:pPr>
        <w:ind w:left="3111" w:hanging="360"/>
      </w:pPr>
    </w:lvl>
    <w:lvl w:ilvl="4" w:tplc="0C090019" w:tentative="1">
      <w:start w:val="1"/>
      <w:numFmt w:val="lowerLetter"/>
      <w:lvlText w:val="%5."/>
      <w:lvlJc w:val="left"/>
      <w:pPr>
        <w:ind w:left="3831" w:hanging="360"/>
      </w:pPr>
    </w:lvl>
    <w:lvl w:ilvl="5" w:tplc="0C09001B" w:tentative="1">
      <w:start w:val="1"/>
      <w:numFmt w:val="lowerRoman"/>
      <w:lvlText w:val="%6."/>
      <w:lvlJc w:val="right"/>
      <w:pPr>
        <w:ind w:left="4551" w:hanging="180"/>
      </w:pPr>
    </w:lvl>
    <w:lvl w:ilvl="6" w:tplc="0C09000F" w:tentative="1">
      <w:start w:val="1"/>
      <w:numFmt w:val="decimal"/>
      <w:lvlText w:val="%7."/>
      <w:lvlJc w:val="left"/>
      <w:pPr>
        <w:ind w:left="5271" w:hanging="360"/>
      </w:pPr>
    </w:lvl>
    <w:lvl w:ilvl="7" w:tplc="0C090019" w:tentative="1">
      <w:start w:val="1"/>
      <w:numFmt w:val="lowerLetter"/>
      <w:lvlText w:val="%8."/>
      <w:lvlJc w:val="left"/>
      <w:pPr>
        <w:ind w:left="5991" w:hanging="360"/>
      </w:pPr>
    </w:lvl>
    <w:lvl w:ilvl="8" w:tplc="0C09001B" w:tentative="1">
      <w:start w:val="1"/>
      <w:numFmt w:val="lowerRoman"/>
      <w:lvlText w:val="%9."/>
      <w:lvlJc w:val="right"/>
      <w:pPr>
        <w:ind w:left="6711" w:hanging="180"/>
      </w:pPr>
    </w:lvl>
  </w:abstractNum>
  <w:abstractNum w:abstractNumId="30" w15:restartNumberingAfterBreak="0">
    <w:nsid w:val="67C06B9E"/>
    <w:multiLevelType w:val="hybridMultilevel"/>
    <w:tmpl w:val="19B0D0C2"/>
    <w:lvl w:ilvl="0" w:tplc="D58C11B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DFB1257"/>
    <w:multiLevelType w:val="hybridMultilevel"/>
    <w:tmpl w:val="1AFED62E"/>
    <w:lvl w:ilvl="0" w:tplc="C3C02B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E323B87"/>
    <w:multiLevelType w:val="hybridMultilevel"/>
    <w:tmpl w:val="76CA8CA2"/>
    <w:lvl w:ilvl="0" w:tplc="46104932">
      <w:start w:val="1"/>
      <w:numFmt w:val="lowerLetter"/>
      <w:lvlText w:val="(%1)"/>
      <w:lvlJc w:val="left"/>
      <w:pPr>
        <w:ind w:left="951" w:hanging="360"/>
      </w:pPr>
      <w:rPr>
        <w:rFonts w:hint="default"/>
      </w:rPr>
    </w:lvl>
    <w:lvl w:ilvl="1" w:tplc="0C090019" w:tentative="1">
      <w:start w:val="1"/>
      <w:numFmt w:val="lowerLetter"/>
      <w:lvlText w:val="%2."/>
      <w:lvlJc w:val="left"/>
      <w:pPr>
        <w:ind w:left="1671" w:hanging="360"/>
      </w:pPr>
    </w:lvl>
    <w:lvl w:ilvl="2" w:tplc="0C09001B" w:tentative="1">
      <w:start w:val="1"/>
      <w:numFmt w:val="lowerRoman"/>
      <w:lvlText w:val="%3."/>
      <w:lvlJc w:val="right"/>
      <w:pPr>
        <w:ind w:left="2391" w:hanging="180"/>
      </w:pPr>
    </w:lvl>
    <w:lvl w:ilvl="3" w:tplc="0C09000F" w:tentative="1">
      <w:start w:val="1"/>
      <w:numFmt w:val="decimal"/>
      <w:lvlText w:val="%4."/>
      <w:lvlJc w:val="left"/>
      <w:pPr>
        <w:ind w:left="3111" w:hanging="360"/>
      </w:pPr>
    </w:lvl>
    <w:lvl w:ilvl="4" w:tplc="0C090019" w:tentative="1">
      <w:start w:val="1"/>
      <w:numFmt w:val="lowerLetter"/>
      <w:lvlText w:val="%5."/>
      <w:lvlJc w:val="left"/>
      <w:pPr>
        <w:ind w:left="3831" w:hanging="360"/>
      </w:pPr>
    </w:lvl>
    <w:lvl w:ilvl="5" w:tplc="0C09001B" w:tentative="1">
      <w:start w:val="1"/>
      <w:numFmt w:val="lowerRoman"/>
      <w:lvlText w:val="%6."/>
      <w:lvlJc w:val="right"/>
      <w:pPr>
        <w:ind w:left="4551" w:hanging="180"/>
      </w:pPr>
    </w:lvl>
    <w:lvl w:ilvl="6" w:tplc="0C09000F" w:tentative="1">
      <w:start w:val="1"/>
      <w:numFmt w:val="decimal"/>
      <w:lvlText w:val="%7."/>
      <w:lvlJc w:val="left"/>
      <w:pPr>
        <w:ind w:left="5271" w:hanging="360"/>
      </w:pPr>
    </w:lvl>
    <w:lvl w:ilvl="7" w:tplc="0C090019" w:tentative="1">
      <w:start w:val="1"/>
      <w:numFmt w:val="lowerLetter"/>
      <w:lvlText w:val="%8."/>
      <w:lvlJc w:val="left"/>
      <w:pPr>
        <w:ind w:left="5991" w:hanging="360"/>
      </w:pPr>
    </w:lvl>
    <w:lvl w:ilvl="8" w:tplc="0C09001B" w:tentative="1">
      <w:start w:val="1"/>
      <w:numFmt w:val="lowerRoman"/>
      <w:lvlText w:val="%9."/>
      <w:lvlJc w:val="right"/>
      <w:pPr>
        <w:ind w:left="6711" w:hanging="180"/>
      </w:pPr>
    </w:lvl>
  </w:abstractNum>
  <w:abstractNum w:abstractNumId="33" w15:restartNumberingAfterBreak="0">
    <w:nsid w:val="6FCD4CDE"/>
    <w:multiLevelType w:val="hybridMultilevel"/>
    <w:tmpl w:val="006ED8FC"/>
    <w:lvl w:ilvl="0" w:tplc="B45C9C9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A02FD7"/>
    <w:multiLevelType w:val="hybridMultilevel"/>
    <w:tmpl w:val="F9001EA0"/>
    <w:lvl w:ilvl="0" w:tplc="24788DA8">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9D5353B"/>
    <w:multiLevelType w:val="hybridMultilevel"/>
    <w:tmpl w:val="1BDE636C"/>
    <w:lvl w:ilvl="0" w:tplc="41E8B12A">
      <w:start w:val="1"/>
      <w:numFmt w:val="lowerRoman"/>
      <w:lvlText w:val="(%1)"/>
      <w:lvlJc w:val="left"/>
      <w:pPr>
        <w:ind w:left="1671" w:hanging="720"/>
      </w:pPr>
      <w:rPr>
        <w:rFonts w:hint="default"/>
      </w:rPr>
    </w:lvl>
    <w:lvl w:ilvl="1" w:tplc="0C090019" w:tentative="1">
      <w:start w:val="1"/>
      <w:numFmt w:val="lowerLetter"/>
      <w:lvlText w:val="%2."/>
      <w:lvlJc w:val="left"/>
      <w:pPr>
        <w:ind w:left="2031" w:hanging="360"/>
      </w:pPr>
    </w:lvl>
    <w:lvl w:ilvl="2" w:tplc="0C09001B" w:tentative="1">
      <w:start w:val="1"/>
      <w:numFmt w:val="lowerRoman"/>
      <w:lvlText w:val="%3."/>
      <w:lvlJc w:val="right"/>
      <w:pPr>
        <w:ind w:left="2751" w:hanging="180"/>
      </w:pPr>
    </w:lvl>
    <w:lvl w:ilvl="3" w:tplc="0C09000F" w:tentative="1">
      <w:start w:val="1"/>
      <w:numFmt w:val="decimal"/>
      <w:lvlText w:val="%4."/>
      <w:lvlJc w:val="left"/>
      <w:pPr>
        <w:ind w:left="3471" w:hanging="360"/>
      </w:pPr>
    </w:lvl>
    <w:lvl w:ilvl="4" w:tplc="0C090019" w:tentative="1">
      <w:start w:val="1"/>
      <w:numFmt w:val="lowerLetter"/>
      <w:lvlText w:val="%5."/>
      <w:lvlJc w:val="left"/>
      <w:pPr>
        <w:ind w:left="4191" w:hanging="360"/>
      </w:pPr>
    </w:lvl>
    <w:lvl w:ilvl="5" w:tplc="0C09001B" w:tentative="1">
      <w:start w:val="1"/>
      <w:numFmt w:val="lowerRoman"/>
      <w:lvlText w:val="%6."/>
      <w:lvlJc w:val="right"/>
      <w:pPr>
        <w:ind w:left="4911" w:hanging="180"/>
      </w:pPr>
    </w:lvl>
    <w:lvl w:ilvl="6" w:tplc="0C09000F" w:tentative="1">
      <w:start w:val="1"/>
      <w:numFmt w:val="decimal"/>
      <w:lvlText w:val="%7."/>
      <w:lvlJc w:val="left"/>
      <w:pPr>
        <w:ind w:left="5631" w:hanging="360"/>
      </w:pPr>
    </w:lvl>
    <w:lvl w:ilvl="7" w:tplc="0C090019" w:tentative="1">
      <w:start w:val="1"/>
      <w:numFmt w:val="lowerLetter"/>
      <w:lvlText w:val="%8."/>
      <w:lvlJc w:val="left"/>
      <w:pPr>
        <w:ind w:left="6351" w:hanging="360"/>
      </w:pPr>
    </w:lvl>
    <w:lvl w:ilvl="8" w:tplc="0C09001B" w:tentative="1">
      <w:start w:val="1"/>
      <w:numFmt w:val="lowerRoman"/>
      <w:lvlText w:val="%9."/>
      <w:lvlJc w:val="right"/>
      <w:pPr>
        <w:ind w:left="7071" w:hanging="180"/>
      </w:pPr>
    </w:lvl>
  </w:abstractNum>
  <w:abstractNum w:abstractNumId="37" w15:restartNumberingAfterBreak="0">
    <w:nsid w:val="7EB81DB3"/>
    <w:multiLevelType w:val="hybridMultilevel"/>
    <w:tmpl w:val="B532C1BE"/>
    <w:lvl w:ilvl="0" w:tplc="A28C77CC">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7"/>
  </w:num>
  <w:num w:numId="3">
    <w:abstractNumId w:val="10"/>
  </w:num>
  <w:num w:numId="4">
    <w:abstractNumId w:val="7"/>
  </w:num>
  <w:num w:numId="5">
    <w:abstractNumId w:val="19"/>
  </w:num>
  <w:num w:numId="6">
    <w:abstractNumId w:val="34"/>
  </w:num>
  <w:num w:numId="7">
    <w:abstractNumId w:val="22"/>
  </w:num>
  <w:num w:numId="8">
    <w:abstractNumId w:val="6"/>
  </w:num>
  <w:num w:numId="9">
    <w:abstractNumId w:val="23"/>
  </w:num>
  <w:num w:numId="10">
    <w:abstractNumId w:val="18"/>
  </w:num>
  <w:num w:numId="11">
    <w:abstractNumId w:val="32"/>
  </w:num>
  <w:num w:numId="12">
    <w:abstractNumId w:val="29"/>
  </w:num>
  <w:num w:numId="13">
    <w:abstractNumId w:val="36"/>
  </w:num>
  <w:num w:numId="14">
    <w:abstractNumId w:val="27"/>
  </w:num>
  <w:num w:numId="15">
    <w:abstractNumId w:val="12"/>
  </w:num>
  <w:num w:numId="16">
    <w:abstractNumId w:val="24"/>
  </w:num>
  <w:num w:numId="17">
    <w:abstractNumId w:val="37"/>
  </w:num>
  <w:num w:numId="18">
    <w:abstractNumId w:val="17"/>
  </w:num>
  <w:num w:numId="19">
    <w:abstractNumId w:val="11"/>
  </w:num>
  <w:num w:numId="20">
    <w:abstractNumId w:val="13"/>
  </w:num>
  <w:num w:numId="21">
    <w:abstractNumId w:val="8"/>
  </w:num>
  <w:num w:numId="22">
    <w:abstractNumId w:val="4"/>
  </w:num>
  <w:num w:numId="23">
    <w:abstractNumId w:val="9"/>
  </w:num>
  <w:num w:numId="24">
    <w:abstractNumId w:val="2"/>
  </w:num>
  <w:num w:numId="25">
    <w:abstractNumId w:val="26"/>
  </w:num>
  <w:num w:numId="26">
    <w:abstractNumId w:val="35"/>
  </w:num>
  <w:num w:numId="27">
    <w:abstractNumId w:val="15"/>
  </w:num>
  <w:num w:numId="28">
    <w:abstractNumId w:val="21"/>
  </w:num>
  <w:num w:numId="29">
    <w:abstractNumId w:val="5"/>
  </w:num>
  <w:num w:numId="30">
    <w:abstractNumId w:val="16"/>
  </w:num>
  <w:num w:numId="31">
    <w:abstractNumId w:val="33"/>
  </w:num>
  <w:num w:numId="32">
    <w:abstractNumId w:val="0"/>
  </w:num>
  <w:num w:numId="33">
    <w:abstractNumId w:val="14"/>
  </w:num>
  <w:num w:numId="34">
    <w:abstractNumId w:val="31"/>
  </w:num>
  <w:num w:numId="35">
    <w:abstractNumId w:val="20"/>
  </w:num>
  <w:num w:numId="36">
    <w:abstractNumId w:val="25"/>
  </w:num>
  <w:num w:numId="37">
    <w:abstractNumId w:val="3"/>
  </w:num>
  <w:num w:numId="38">
    <w:abstractNumId w:val="30"/>
  </w:num>
  <w:num w:numId="39">
    <w:abstractNumId w:val="28"/>
  </w:num>
  <w:num w:numId="40">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3926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EE"/>
    <w:rsid w:val="00002031"/>
    <w:rsid w:val="000031F9"/>
    <w:rsid w:val="00004176"/>
    <w:rsid w:val="00004734"/>
    <w:rsid w:val="000064E7"/>
    <w:rsid w:val="00006B22"/>
    <w:rsid w:val="0001140D"/>
    <w:rsid w:val="0001164E"/>
    <w:rsid w:val="000117F5"/>
    <w:rsid w:val="0001276A"/>
    <w:rsid w:val="000153D9"/>
    <w:rsid w:val="00017CCE"/>
    <w:rsid w:val="00022B83"/>
    <w:rsid w:val="000246AE"/>
    <w:rsid w:val="00025C67"/>
    <w:rsid w:val="00025E7C"/>
    <w:rsid w:val="00032383"/>
    <w:rsid w:val="0003252E"/>
    <w:rsid w:val="0003306D"/>
    <w:rsid w:val="00036E68"/>
    <w:rsid w:val="00052F55"/>
    <w:rsid w:val="00055129"/>
    <w:rsid w:val="000554B4"/>
    <w:rsid w:val="0005559E"/>
    <w:rsid w:val="00057486"/>
    <w:rsid w:val="00061027"/>
    <w:rsid w:val="00061E51"/>
    <w:rsid w:val="00063028"/>
    <w:rsid w:val="00075B32"/>
    <w:rsid w:val="00077775"/>
    <w:rsid w:val="000778F3"/>
    <w:rsid w:val="00090471"/>
    <w:rsid w:val="000910A7"/>
    <w:rsid w:val="00094A64"/>
    <w:rsid w:val="000958DF"/>
    <w:rsid w:val="000969F3"/>
    <w:rsid w:val="000A0965"/>
    <w:rsid w:val="000A32E1"/>
    <w:rsid w:val="000A3E57"/>
    <w:rsid w:val="000B0A5D"/>
    <w:rsid w:val="000B3532"/>
    <w:rsid w:val="000B3A75"/>
    <w:rsid w:val="000B7084"/>
    <w:rsid w:val="000C1C08"/>
    <w:rsid w:val="000C38B2"/>
    <w:rsid w:val="000C5A31"/>
    <w:rsid w:val="000D2A0C"/>
    <w:rsid w:val="000D391B"/>
    <w:rsid w:val="000D3D6D"/>
    <w:rsid w:val="000D4FC7"/>
    <w:rsid w:val="000D530F"/>
    <w:rsid w:val="000E0A17"/>
    <w:rsid w:val="000E3B8E"/>
    <w:rsid w:val="000E3BB5"/>
    <w:rsid w:val="000E409B"/>
    <w:rsid w:val="000E4A6D"/>
    <w:rsid w:val="000E4EB8"/>
    <w:rsid w:val="000F4869"/>
    <w:rsid w:val="000F5B42"/>
    <w:rsid w:val="000F62EA"/>
    <w:rsid w:val="000F6E6F"/>
    <w:rsid w:val="001003F2"/>
    <w:rsid w:val="001022CC"/>
    <w:rsid w:val="0010601F"/>
    <w:rsid w:val="00106F00"/>
    <w:rsid w:val="00107378"/>
    <w:rsid w:val="001109AA"/>
    <w:rsid w:val="00110EA5"/>
    <w:rsid w:val="001119DF"/>
    <w:rsid w:val="0011340F"/>
    <w:rsid w:val="00115240"/>
    <w:rsid w:val="00115A29"/>
    <w:rsid w:val="0011758D"/>
    <w:rsid w:val="00120424"/>
    <w:rsid w:val="00120AE1"/>
    <w:rsid w:val="00125091"/>
    <w:rsid w:val="00125318"/>
    <w:rsid w:val="001254B7"/>
    <w:rsid w:val="00126C3E"/>
    <w:rsid w:val="001305A2"/>
    <w:rsid w:val="00132294"/>
    <w:rsid w:val="00133238"/>
    <w:rsid w:val="00140FE3"/>
    <w:rsid w:val="0014117A"/>
    <w:rsid w:val="0014197B"/>
    <w:rsid w:val="00141ED0"/>
    <w:rsid w:val="001447CD"/>
    <w:rsid w:val="00147B94"/>
    <w:rsid w:val="00147F57"/>
    <w:rsid w:val="001516B1"/>
    <w:rsid w:val="00151820"/>
    <w:rsid w:val="001525B4"/>
    <w:rsid w:val="00156316"/>
    <w:rsid w:val="00160006"/>
    <w:rsid w:val="0016122A"/>
    <w:rsid w:val="00161466"/>
    <w:rsid w:val="00165389"/>
    <w:rsid w:val="00166E7D"/>
    <w:rsid w:val="00170CED"/>
    <w:rsid w:val="0017693F"/>
    <w:rsid w:val="0017775D"/>
    <w:rsid w:val="0018110E"/>
    <w:rsid w:val="00181684"/>
    <w:rsid w:val="001843C6"/>
    <w:rsid w:val="001850E0"/>
    <w:rsid w:val="0018693C"/>
    <w:rsid w:val="0019255A"/>
    <w:rsid w:val="001932EB"/>
    <w:rsid w:val="00196450"/>
    <w:rsid w:val="001A525F"/>
    <w:rsid w:val="001A69AB"/>
    <w:rsid w:val="001A7A62"/>
    <w:rsid w:val="001B09F9"/>
    <w:rsid w:val="001B3E3F"/>
    <w:rsid w:val="001B630E"/>
    <w:rsid w:val="001B6448"/>
    <w:rsid w:val="001C50F8"/>
    <w:rsid w:val="001D0E3C"/>
    <w:rsid w:val="001D480A"/>
    <w:rsid w:val="001D4D2B"/>
    <w:rsid w:val="001D5AB6"/>
    <w:rsid w:val="001E07CF"/>
    <w:rsid w:val="001E3205"/>
    <w:rsid w:val="001E59F1"/>
    <w:rsid w:val="001F1ADA"/>
    <w:rsid w:val="001F23BD"/>
    <w:rsid w:val="001F2CFB"/>
    <w:rsid w:val="001F49EB"/>
    <w:rsid w:val="001F6CBA"/>
    <w:rsid w:val="001F78B9"/>
    <w:rsid w:val="001F7EFD"/>
    <w:rsid w:val="00201D4E"/>
    <w:rsid w:val="00204F19"/>
    <w:rsid w:val="00205D75"/>
    <w:rsid w:val="00207515"/>
    <w:rsid w:val="00207568"/>
    <w:rsid w:val="0020778E"/>
    <w:rsid w:val="00211C7B"/>
    <w:rsid w:val="00216786"/>
    <w:rsid w:val="00220B8A"/>
    <w:rsid w:val="002210B5"/>
    <w:rsid w:val="002232C2"/>
    <w:rsid w:val="002257F3"/>
    <w:rsid w:val="00225E26"/>
    <w:rsid w:val="002264F6"/>
    <w:rsid w:val="002302EC"/>
    <w:rsid w:val="002303B0"/>
    <w:rsid w:val="002314E8"/>
    <w:rsid w:val="00233456"/>
    <w:rsid w:val="0023397F"/>
    <w:rsid w:val="002339A5"/>
    <w:rsid w:val="0024161E"/>
    <w:rsid w:val="002452E7"/>
    <w:rsid w:val="00245F98"/>
    <w:rsid w:val="00246194"/>
    <w:rsid w:val="00246443"/>
    <w:rsid w:val="002474F1"/>
    <w:rsid w:val="002538AE"/>
    <w:rsid w:val="002541E7"/>
    <w:rsid w:val="002553CE"/>
    <w:rsid w:val="00257138"/>
    <w:rsid w:val="00257848"/>
    <w:rsid w:val="00263A92"/>
    <w:rsid w:val="00263BF3"/>
    <w:rsid w:val="0027084A"/>
    <w:rsid w:val="00271109"/>
    <w:rsid w:val="0027257A"/>
    <w:rsid w:val="00273F44"/>
    <w:rsid w:val="00275BC6"/>
    <w:rsid w:val="00277EF5"/>
    <w:rsid w:val="00282676"/>
    <w:rsid w:val="00286434"/>
    <w:rsid w:val="00286C59"/>
    <w:rsid w:val="00287E58"/>
    <w:rsid w:val="00290063"/>
    <w:rsid w:val="002917A0"/>
    <w:rsid w:val="00292942"/>
    <w:rsid w:val="002942D1"/>
    <w:rsid w:val="002961F3"/>
    <w:rsid w:val="00297B2A"/>
    <w:rsid w:val="002A0556"/>
    <w:rsid w:val="002A2ABA"/>
    <w:rsid w:val="002A6570"/>
    <w:rsid w:val="002B0C2E"/>
    <w:rsid w:val="002B1638"/>
    <w:rsid w:val="002B706C"/>
    <w:rsid w:val="002C01C9"/>
    <w:rsid w:val="002C1D7D"/>
    <w:rsid w:val="002C2511"/>
    <w:rsid w:val="002C4F07"/>
    <w:rsid w:val="002C7492"/>
    <w:rsid w:val="002D1E25"/>
    <w:rsid w:val="002D1EDF"/>
    <w:rsid w:val="002D263E"/>
    <w:rsid w:val="002D3A0C"/>
    <w:rsid w:val="002E4C9A"/>
    <w:rsid w:val="002F11F8"/>
    <w:rsid w:val="002F1F77"/>
    <w:rsid w:val="002F2F49"/>
    <w:rsid w:val="002F3F56"/>
    <w:rsid w:val="002F44B5"/>
    <w:rsid w:val="00301851"/>
    <w:rsid w:val="00301F44"/>
    <w:rsid w:val="003022DC"/>
    <w:rsid w:val="003046F2"/>
    <w:rsid w:val="00307DC6"/>
    <w:rsid w:val="00311AC0"/>
    <w:rsid w:val="003160F5"/>
    <w:rsid w:val="003204DD"/>
    <w:rsid w:val="00322306"/>
    <w:rsid w:val="003247C6"/>
    <w:rsid w:val="00325A91"/>
    <w:rsid w:val="00331DBB"/>
    <w:rsid w:val="00332680"/>
    <w:rsid w:val="003341B5"/>
    <w:rsid w:val="003351C2"/>
    <w:rsid w:val="00336072"/>
    <w:rsid w:val="00345E1A"/>
    <w:rsid w:val="0035080A"/>
    <w:rsid w:val="003521E8"/>
    <w:rsid w:val="0036169B"/>
    <w:rsid w:val="00361ACF"/>
    <w:rsid w:val="00365DDD"/>
    <w:rsid w:val="003664BF"/>
    <w:rsid w:val="003728F3"/>
    <w:rsid w:val="00375941"/>
    <w:rsid w:val="00390900"/>
    <w:rsid w:val="00392A82"/>
    <w:rsid w:val="00395C59"/>
    <w:rsid w:val="003970C8"/>
    <w:rsid w:val="003A13F0"/>
    <w:rsid w:val="003A35BD"/>
    <w:rsid w:val="003B00C5"/>
    <w:rsid w:val="003B0250"/>
    <w:rsid w:val="003B3873"/>
    <w:rsid w:val="003B443E"/>
    <w:rsid w:val="003B46A2"/>
    <w:rsid w:val="003B564E"/>
    <w:rsid w:val="003B7E39"/>
    <w:rsid w:val="003C106A"/>
    <w:rsid w:val="003C3013"/>
    <w:rsid w:val="003C30DC"/>
    <w:rsid w:val="003C5524"/>
    <w:rsid w:val="003C58DC"/>
    <w:rsid w:val="003C7461"/>
    <w:rsid w:val="003D0CD9"/>
    <w:rsid w:val="003D0F5A"/>
    <w:rsid w:val="003D0F92"/>
    <w:rsid w:val="003D4932"/>
    <w:rsid w:val="003D69B9"/>
    <w:rsid w:val="003E0B2C"/>
    <w:rsid w:val="003E29AB"/>
    <w:rsid w:val="003E3208"/>
    <w:rsid w:val="003E3D34"/>
    <w:rsid w:val="003E607E"/>
    <w:rsid w:val="003E766C"/>
    <w:rsid w:val="003E7EAA"/>
    <w:rsid w:val="003F0B04"/>
    <w:rsid w:val="003F18AB"/>
    <w:rsid w:val="003F30FB"/>
    <w:rsid w:val="003F6F7D"/>
    <w:rsid w:val="003F7CB9"/>
    <w:rsid w:val="0040134E"/>
    <w:rsid w:val="00404E1E"/>
    <w:rsid w:val="0040562A"/>
    <w:rsid w:val="00406E3C"/>
    <w:rsid w:val="00407866"/>
    <w:rsid w:val="00410839"/>
    <w:rsid w:val="0041452B"/>
    <w:rsid w:val="004152C2"/>
    <w:rsid w:val="004169A8"/>
    <w:rsid w:val="00420725"/>
    <w:rsid w:val="004236EC"/>
    <w:rsid w:val="004327BB"/>
    <w:rsid w:val="004363BC"/>
    <w:rsid w:val="00440A2D"/>
    <w:rsid w:val="004414E4"/>
    <w:rsid w:val="00442D2C"/>
    <w:rsid w:val="00443991"/>
    <w:rsid w:val="00445501"/>
    <w:rsid w:val="00445A0E"/>
    <w:rsid w:val="00446684"/>
    <w:rsid w:val="004469FA"/>
    <w:rsid w:val="004524E6"/>
    <w:rsid w:val="00455A6F"/>
    <w:rsid w:val="004564A7"/>
    <w:rsid w:val="004617BF"/>
    <w:rsid w:val="004634F1"/>
    <w:rsid w:val="00465E90"/>
    <w:rsid w:val="0046794D"/>
    <w:rsid w:val="00471193"/>
    <w:rsid w:val="0047200D"/>
    <w:rsid w:val="00472CCC"/>
    <w:rsid w:val="004748E1"/>
    <w:rsid w:val="00475441"/>
    <w:rsid w:val="0047772E"/>
    <w:rsid w:val="00477BB1"/>
    <w:rsid w:val="00480032"/>
    <w:rsid w:val="004810CD"/>
    <w:rsid w:val="00482AA4"/>
    <w:rsid w:val="004923FF"/>
    <w:rsid w:val="00494E60"/>
    <w:rsid w:val="00496BA0"/>
    <w:rsid w:val="00496BAC"/>
    <w:rsid w:val="004A29D2"/>
    <w:rsid w:val="004A3605"/>
    <w:rsid w:val="004A654C"/>
    <w:rsid w:val="004B0FFC"/>
    <w:rsid w:val="004B4CB5"/>
    <w:rsid w:val="004B4CE4"/>
    <w:rsid w:val="004B589F"/>
    <w:rsid w:val="004B5A6B"/>
    <w:rsid w:val="004B7B76"/>
    <w:rsid w:val="004B7D10"/>
    <w:rsid w:val="004C0070"/>
    <w:rsid w:val="004C1BC7"/>
    <w:rsid w:val="004C2E29"/>
    <w:rsid w:val="004C485C"/>
    <w:rsid w:val="004C75A5"/>
    <w:rsid w:val="004D3B35"/>
    <w:rsid w:val="004D4590"/>
    <w:rsid w:val="004D51A6"/>
    <w:rsid w:val="004E0BA3"/>
    <w:rsid w:val="004E3443"/>
    <w:rsid w:val="004F04EB"/>
    <w:rsid w:val="004F0F38"/>
    <w:rsid w:val="004F13DB"/>
    <w:rsid w:val="004F18C1"/>
    <w:rsid w:val="004F1A46"/>
    <w:rsid w:val="004F38DE"/>
    <w:rsid w:val="004F3C2A"/>
    <w:rsid w:val="004F3E81"/>
    <w:rsid w:val="004F483D"/>
    <w:rsid w:val="004F4D12"/>
    <w:rsid w:val="004F601A"/>
    <w:rsid w:val="004F64C7"/>
    <w:rsid w:val="005010D7"/>
    <w:rsid w:val="00501921"/>
    <w:rsid w:val="00506F8B"/>
    <w:rsid w:val="00511904"/>
    <w:rsid w:val="00515674"/>
    <w:rsid w:val="00521D1F"/>
    <w:rsid w:val="00522A0C"/>
    <w:rsid w:val="005234E9"/>
    <w:rsid w:val="00530354"/>
    <w:rsid w:val="00531B11"/>
    <w:rsid w:val="00532FDA"/>
    <w:rsid w:val="00533466"/>
    <w:rsid w:val="00535C0B"/>
    <w:rsid w:val="00535CA5"/>
    <w:rsid w:val="00535DAC"/>
    <w:rsid w:val="0054111B"/>
    <w:rsid w:val="005434C6"/>
    <w:rsid w:val="00543B39"/>
    <w:rsid w:val="0054583D"/>
    <w:rsid w:val="00545A1A"/>
    <w:rsid w:val="00545E7E"/>
    <w:rsid w:val="005477E7"/>
    <w:rsid w:val="00550096"/>
    <w:rsid w:val="0055532D"/>
    <w:rsid w:val="0055575F"/>
    <w:rsid w:val="00555E92"/>
    <w:rsid w:val="0055747E"/>
    <w:rsid w:val="00557FF9"/>
    <w:rsid w:val="00561D2D"/>
    <w:rsid w:val="00576378"/>
    <w:rsid w:val="00577279"/>
    <w:rsid w:val="00577E38"/>
    <w:rsid w:val="005815A9"/>
    <w:rsid w:val="00585322"/>
    <w:rsid w:val="0059247F"/>
    <w:rsid w:val="005937C7"/>
    <w:rsid w:val="00593AD1"/>
    <w:rsid w:val="00594D03"/>
    <w:rsid w:val="00595078"/>
    <w:rsid w:val="00597877"/>
    <w:rsid w:val="005A0D27"/>
    <w:rsid w:val="005A0F4E"/>
    <w:rsid w:val="005A1131"/>
    <w:rsid w:val="005A2F5E"/>
    <w:rsid w:val="005A4E0C"/>
    <w:rsid w:val="005A61CE"/>
    <w:rsid w:val="005B0894"/>
    <w:rsid w:val="005B24AC"/>
    <w:rsid w:val="005C0FFB"/>
    <w:rsid w:val="005C5479"/>
    <w:rsid w:val="005C5570"/>
    <w:rsid w:val="005C79A4"/>
    <w:rsid w:val="005D0251"/>
    <w:rsid w:val="005D37A5"/>
    <w:rsid w:val="005D3882"/>
    <w:rsid w:val="005D4D13"/>
    <w:rsid w:val="005D4EA1"/>
    <w:rsid w:val="005D5442"/>
    <w:rsid w:val="005E3278"/>
    <w:rsid w:val="005E5173"/>
    <w:rsid w:val="005E6592"/>
    <w:rsid w:val="005E6C31"/>
    <w:rsid w:val="005F3BB1"/>
    <w:rsid w:val="005F6BB7"/>
    <w:rsid w:val="005F6EA5"/>
    <w:rsid w:val="006005D7"/>
    <w:rsid w:val="00600A7A"/>
    <w:rsid w:val="00602108"/>
    <w:rsid w:val="006060DB"/>
    <w:rsid w:val="006118C9"/>
    <w:rsid w:val="00611B57"/>
    <w:rsid w:val="00617EAC"/>
    <w:rsid w:val="006239CD"/>
    <w:rsid w:val="00626C4A"/>
    <w:rsid w:val="00630DD3"/>
    <w:rsid w:val="006316FA"/>
    <w:rsid w:val="00632FD6"/>
    <w:rsid w:val="00635645"/>
    <w:rsid w:val="00640190"/>
    <w:rsid w:val="006405A9"/>
    <w:rsid w:val="00640FC3"/>
    <w:rsid w:val="00642020"/>
    <w:rsid w:val="006436A6"/>
    <w:rsid w:val="0064436F"/>
    <w:rsid w:val="00651C87"/>
    <w:rsid w:val="00652BF4"/>
    <w:rsid w:val="00653058"/>
    <w:rsid w:val="0065337B"/>
    <w:rsid w:val="00653C5D"/>
    <w:rsid w:val="00653FBF"/>
    <w:rsid w:val="0065419D"/>
    <w:rsid w:val="006604D8"/>
    <w:rsid w:val="006618AD"/>
    <w:rsid w:val="00664A5B"/>
    <w:rsid w:val="00664B63"/>
    <w:rsid w:val="00665F8C"/>
    <w:rsid w:val="00667942"/>
    <w:rsid w:val="00667B4F"/>
    <w:rsid w:val="006701C3"/>
    <w:rsid w:val="00672FA7"/>
    <w:rsid w:val="0067472C"/>
    <w:rsid w:val="00676934"/>
    <w:rsid w:val="00680C08"/>
    <w:rsid w:val="00681CFD"/>
    <w:rsid w:val="0068544B"/>
    <w:rsid w:val="0068656A"/>
    <w:rsid w:val="0068741A"/>
    <w:rsid w:val="00690F3E"/>
    <w:rsid w:val="00691723"/>
    <w:rsid w:val="006931B1"/>
    <w:rsid w:val="00693CDB"/>
    <w:rsid w:val="006955B5"/>
    <w:rsid w:val="006974F1"/>
    <w:rsid w:val="006A15C0"/>
    <w:rsid w:val="006B188D"/>
    <w:rsid w:val="006B52DD"/>
    <w:rsid w:val="006C00D2"/>
    <w:rsid w:val="006C1F3B"/>
    <w:rsid w:val="006C3B63"/>
    <w:rsid w:val="006C3E2A"/>
    <w:rsid w:val="006C5CDB"/>
    <w:rsid w:val="006C626D"/>
    <w:rsid w:val="006C642F"/>
    <w:rsid w:val="006C65BB"/>
    <w:rsid w:val="006C6EDB"/>
    <w:rsid w:val="006C709E"/>
    <w:rsid w:val="006D039E"/>
    <w:rsid w:val="006D03E5"/>
    <w:rsid w:val="006D068B"/>
    <w:rsid w:val="006D0C3B"/>
    <w:rsid w:val="006D2D20"/>
    <w:rsid w:val="006D5D3E"/>
    <w:rsid w:val="006E08B3"/>
    <w:rsid w:val="006E1819"/>
    <w:rsid w:val="006E5AB4"/>
    <w:rsid w:val="006F0655"/>
    <w:rsid w:val="006F3406"/>
    <w:rsid w:val="006F572E"/>
    <w:rsid w:val="007046D6"/>
    <w:rsid w:val="00705DB0"/>
    <w:rsid w:val="00706AFE"/>
    <w:rsid w:val="00710A26"/>
    <w:rsid w:val="00725A8B"/>
    <w:rsid w:val="007277A4"/>
    <w:rsid w:val="007308A1"/>
    <w:rsid w:val="007328EA"/>
    <w:rsid w:val="0074066C"/>
    <w:rsid w:val="00742004"/>
    <w:rsid w:val="0074253D"/>
    <w:rsid w:val="0074386F"/>
    <w:rsid w:val="0074429B"/>
    <w:rsid w:val="0074714F"/>
    <w:rsid w:val="007477F8"/>
    <w:rsid w:val="00747B2E"/>
    <w:rsid w:val="00750040"/>
    <w:rsid w:val="00750741"/>
    <w:rsid w:val="00751C51"/>
    <w:rsid w:val="007533BA"/>
    <w:rsid w:val="00753819"/>
    <w:rsid w:val="007540F4"/>
    <w:rsid w:val="0075566E"/>
    <w:rsid w:val="00757E61"/>
    <w:rsid w:val="007615BC"/>
    <w:rsid w:val="00762F05"/>
    <w:rsid w:val="00763336"/>
    <w:rsid w:val="00763EA8"/>
    <w:rsid w:val="00764EB9"/>
    <w:rsid w:val="00765020"/>
    <w:rsid w:val="007652FF"/>
    <w:rsid w:val="00765933"/>
    <w:rsid w:val="00765D60"/>
    <w:rsid w:val="00766F39"/>
    <w:rsid w:val="00771329"/>
    <w:rsid w:val="00773A5A"/>
    <w:rsid w:val="00773EF7"/>
    <w:rsid w:val="00774E1D"/>
    <w:rsid w:val="00775576"/>
    <w:rsid w:val="0077675A"/>
    <w:rsid w:val="00780355"/>
    <w:rsid w:val="00785721"/>
    <w:rsid w:val="007909EC"/>
    <w:rsid w:val="007926B7"/>
    <w:rsid w:val="00793A59"/>
    <w:rsid w:val="00795C55"/>
    <w:rsid w:val="007A2162"/>
    <w:rsid w:val="007A51F5"/>
    <w:rsid w:val="007B302B"/>
    <w:rsid w:val="007B43ED"/>
    <w:rsid w:val="007B4BF9"/>
    <w:rsid w:val="007B6E1B"/>
    <w:rsid w:val="007C0F3D"/>
    <w:rsid w:val="007C1AF7"/>
    <w:rsid w:val="007C44B3"/>
    <w:rsid w:val="007C61A0"/>
    <w:rsid w:val="007C7A6D"/>
    <w:rsid w:val="007C7B5B"/>
    <w:rsid w:val="007D0368"/>
    <w:rsid w:val="007D50B7"/>
    <w:rsid w:val="007D7C9E"/>
    <w:rsid w:val="007E11AC"/>
    <w:rsid w:val="007E43FD"/>
    <w:rsid w:val="007E7BF8"/>
    <w:rsid w:val="007F2FF0"/>
    <w:rsid w:val="008010E3"/>
    <w:rsid w:val="00804933"/>
    <w:rsid w:val="00810598"/>
    <w:rsid w:val="00811166"/>
    <w:rsid w:val="00813F00"/>
    <w:rsid w:val="00814492"/>
    <w:rsid w:val="0081683C"/>
    <w:rsid w:val="008214A9"/>
    <w:rsid w:val="00821776"/>
    <w:rsid w:val="00821D63"/>
    <w:rsid w:val="008256F0"/>
    <w:rsid w:val="00825EBB"/>
    <w:rsid w:val="00826007"/>
    <w:rsid w:val="008321F5"/>
    <w:rsid w:val="00832369"/>
    <w:rsid w:val="00833EB7"/>
    <w:rsid w:val="0083448A"/>
    <w:rsid w:val="00834660"/>
    <w:rsid w:val="00834C8E"/>
    <w:rsid w:val="00836BC2"/>
    <w:rsid w:val="00837289"/>
    <w:rsid w:val="0084156C"/>
    <w:rsid w:val="00842AB5"/>
    <w:rsid w:val="0084580B"/>
    <w:rsid w:val="00845BCA"/>
    <w:rsid w:val="0085157F"/>
    <w:rsid w:val="00853C8F"/>
    <w:rsid w:val="00855EA7"/>
    <w:rsid w:val="0085641B"/>
    <w:rsid w:val="00857136"/>
    <w:rsid w:val="00857EAB"/>
    <w:rsid w:val="008610D5"/>
    <w:rsid w:val="00861857"/>
    <w:rsid w:val="00862AD0"/>
    <w:rsid w:val="008632AB"/>
    <w:rsid w:val="00863A96"/>
    <w:rsid w:val="00863D11"/>
    <w:rsid w:val="0086493F"/>
    <w:rsid w:val="00865904"/>
    <w:rsid w:val="00867C00"/>
    <w:rsid w:val="00867C3F"/>
    <w:rsid w:val="00870B12"/>
    <w:rsid w:val="008752CE"/>
    <w:rsid w:val="008821AA"/>
    <w:rsid w:val="0088311F"/>
    <w:rsid w:val="008832B1"/>
    <w:rsid w:val="008855B8"/>
    <w:rsid w:val="008932F3"/>
    <w:rsid w:val="00895A7E"/>
    <w:rsid w:val="00896018"/>
    <w:rsid w:val="008A07FF"/>
    <w:rsid w:val="008A2B9D"/>
    <w:rsid w:val="008A2FCF"/>
    <w:rsid w:val="008A4518"/>
    <w:rsid w:val="008A4AC5"/>
    <w:rsid w:val="008A5E0B"/>
    <w:rsid w:val="008A5E18"/>
    <w:rsid w:val="008A6D59"/>
    <w:rsid w:val="008A74ED"/>
    <w:rsid w:val="008A7A1B"/>
    <w:rsid w:val="008B06FA"/>
    <w:rsid w:val="008B0ED0"/>
    <w:rsid w:val="008B1B79"/>
    <w:rsid w:val="008B2D31"/>
    <w:rsid w:val="008B2EEE"/>
    <w:rsid w:val="008B4B03"/>
    <w:rsid w:val="008B5705"/>
    <w:rsid w:val="008B596F"/>
    <w:rsid w:val="008B7934"/>
    <w:rsid w:val="008B7B4F"/>
    <w:rsid w:val="008C159F"/>
    <w:rsid w:val="008C1623"/>
    <w:rsid w:val="008C51A9"/>
    <w:rsid w:val="008C56D9"/>
    <w:rsid w:val="008D2B09"/>
    <w:rsid w:val="008D4740"/>
    <w:rsid w:val="008D5ACC"/>
    <w:rsid w:val="008D6706"/>
    <w:rsid w:val="008E7B83"/>
    <w:rsid w:val="008F1CCC"/>
    <w:rsid w:val="008F2967"/>
    <w:rsid w:val="008F407A"/>
    <w:rsid w:val="008F5982"/>
    <w:rsid w:val="00900F96"/>
    <w:rsid w:val="00901780"/>
    <w:rsid w:val="0090354E"/>
    <w:rsid w:val="00905B77"/>
    <w:rsid w:val="00907ACE"/>
    <w:rsid w:val="00915F28"/>
    <w:rsid w:val="00920330"/>
    <w:rsid w:val="00920FF4"/>
    <w:rsid w:val="009219D7"/>
    <w:rsid w:val="00922D53"/>
    <w:rsid w:val="00923B70"/>
    <w:rsid w:val="009244C1"/>
    <w:rsid w:val="00925DC5"/>
    <w:rsid w:val="0092600B"/>
    <w:rsid w:val="00930237"/>
    <w:rsid w:val="00932C97"/>
    <w:rsid w:val="00934397"/>
    <w:rsid w:val="00935514"/>
    <w:rsid w:val="009401F6"/>
    <w:rsid w:val="00940F44"/>
    <w:rsid w:val="00941988"/>
    <w:rsid w:val="0094334E"/>
    <w:rsid w:val="00946E8F"/>
    <w:rsid w:val="00952562"/>
    <w:rsid w:val="00952FB1"/>
    <w:rsid w:val="009546C7"/>
    <w:rsid w:val="009571BA"/>
    <w:rsid w:val="0096389E"/>
    <w:rsid w:val="00963C08"/>
    <w:rsid w:val="0096741A"/>
    <w:rsid w:val="00971368"/>
    <w:rsid w:val="00972426"/>
    <w:rsid w:val="009760B8"/>
    <w:rsid w:val="00980605"/>
    <w:rsid w:val="009820E5"/>
    <w:rsid w:val="00986EE9"/>
    <w:rsid w:val="00993887"/>
    <w:rsid w:val="00997237"/>
    <w:rsid w:val="00997420"/>
    <w:rsid w:val="00997588"/>
    <w:rsid w:val="009A09AA"/>
    <w:rsid w:val="009A24D9"/>
    <w:rsid w:val="009A474D"/>
    <w:rsid w:val="009A4CED"/>
    <w:rsid w:val="009B15F1"/>
    <w:rsid w:val="009B1D12"/>
    <w:rsid w:val="009B2BD7"/>
    <w:rsid w:val="009B416B"/>
    <w:rsid w:val="009B5E7B"/>
    <w:rsid w:val="009C2C35"/>
    <w:rsid w:val="009C4BD5"/>
    <w:rsid w:val="009C758F"/>
    <w:rsid w:val="009D2E04"/>
    <w:rsid w:val="009D2FB2"/>
    <w:rsid w:val="009D3EBA"/>
    <w:rsid w:val="009D4837"/>
    <w:rsid w:val="009D6516"/>
    <w:rsid w:val="009D7B77"/>
    <w:rsid w:val="009E0BB0"/>
    <w:rsid w:val="009E3A55"/>
    <w:rsid w:val="009E3FBB"/>
    <w:rsid w:val="009E439B"/>
    <w:rsid w:val="009E636E"/>
    <w:rsid w:val="009E6865"/>
    <w:rsid w:val="009E71F4"/>
    <w:rsid w:val="009F018D"/>
    <w:rsid w:val="009F74E4"/>
    <w:rsid w:val="009F7D61"/>
    <w:rsid w:val="00A011C2"/>
    <w:rsid w:val="00A052B5"/>
    <w:rsid w:val="00A07296"/>
    <w:rsid w:val="00A110B4"/>
    <w:rsid w:val="00A11132"/>
    <w:rsid w:val="00A1235B"/>
    <w:rsid w:val="00A14DF7"/>
    <w:rsid w:val="00A15642"/>
    <w:rsid w:val="00A23F3C"/>
    <w:rsid w:val="00A25E6D"/>
    <w:rsid w:val="00A3246D"/>
    <w:rsid w:val="00A34CA3"/>
    <w:rsid w:val="00A3654F"/>
    <w:rsid w:val="00A36FA7"/>
    <w:rsid w:val="00A429F1"/>
    <w:rsid w:val="00A43C83"/>
    <w:rsid w:val="00A475B7"/>
    <w:rsid w:val="00A4799D"/>
    <w:rsid w:val="00A47AF7"/>
    <w:rsid w:val="00A47C3E"/>
    <w:rsid w:val="00A47EDC"/>
    <w:rsid w:val="00A50226"/>
    <w:rsid w:val="00A539AC"/>
    <w:rsid w:val="00A53F6C"/>
    <w:rsid w:val="00A56488"/>
    <w:rsid w:val="00A5697F"/>
    <w:rsid w:val="00A60BAD"/>
    <w:rsid w:val="00A64387"/>
    <w:rsid w:val="00A736F3"/>
    <w:rsid w:val="00A73A8D"/>
    <w:rsid w:val="00A7738B"/>
    <w:rsid w:val="00A84503"/>
    <w:rsid w:val="00A85B04"/>
    <w:rsid w:val="00A86940"/>
    <w:rsid w:val="00A87334"/>
    <w:rsid w:val="00AA059E"/>
    <w:rsid w:val="00AA3FA3"/>
    <w:rsid w:val="00AB5C5D"/>
    <w:rsid w:val="00AB6F47"/>
    <w:rsid w:val="00AC051D"/>
    <w:rsid w:val="00AC1A31"/>
    <w:rsid w:val="00AC2B40"/>
    <w:rsid w:val="00AC2BB2"/>
    <w:rsid w:val="00AC2C3C"/>
    <w:rsid w:val="00AC383C"/>
    <w:rsid w:val="00AC3BD9"/>
    <w:rsid w:val="00AC62E7"/>
    <w:rsid w:val="00AC7EB0"/>
    <w:rsid w:val="00AD6BD4"/>
    <w:rsid w:val="00AD70F1"/>
    <w:rsid w:val="00AE0320"/>
    <w:rsid w:val="00AE3E76"/>
    <w:rsid w:val="00AE4E3B"/>
    <w:rsid w:val="00AE65EB"/>
    <w:rsid w:val="00AE6DD2"/>
    <w:rsid w:val="00AE7277"/>
    <w:rsid w:val="00AE79B5"/>
    <w:rsid w:val="00AF1D94"/>
    <w:rsid w:val="00AF60C5"/>
    <w:rsid w:val="00B009C6"/>
    <w:rsid w:val="00B01548"/>
    <w:rsid w:val="00B01C4B"/>
    <w:rsid w:val="00B05F3A"/>
    <w:rsid w:val="00B17F7C"/>
    <w:rsid w:val="00B21D29"/>
    <w:rsid w:val="00B21FC5"/>
    <w:rsid w:val="00B21FEE"/>
    <w:rsid w:val="00B231D8"/>
    <w:rsid w:val="00B25034"/>
    <w:rsid w:val="00B26351"/>
    <w:rsid w:val="00B27A93"/>
    <w:rsid w:val="00B33863"/>
    <w:rsid w:val="00B37D17"/>
    <w:rsid w:val="00B40C62"/>
    <w:rsid w:val="00B40D48"/>
    <w:rsid w:val="00B4175E"/>
    <w:rsid w:val="00B510E1"/>
    <w:rsid w:val="00B54C25"/>
    <w:rsid w:val="00B5630D"/>
    <w:rsid w:val="00B600DA"/>
    <w:rsid w:val="00B60B9C"/>
    <w:rsid w:val="00B64F68"/>
    <w:rsid w:val="00B740B9"/>
    <w:rsid w:val="00B74B7C"/>
    <w:rsid w:val="00B76B91"/>
    <w:rsid w:val="00B76EAE"/>
    <w:rsid w:val="00B8409E"/>
    <w:rsid w:val="00B90034"/>
    <w:rsid w:val="00B91C30"/>
    <w:rsid w:val="00B92C72"/>
    <w:rsid w:val="00B965CC"/>
    <w:rsid w:val="00B972F2"/>
    <w:rsid w:val="00B97AFF"/>
    <w:rsid w:val="00BA1F9D"/>
    <w:rsid w:val="00BA3BEB"/>
    <w:rsid w:val="00BA6FF1"/>
    <w:rsid w:val="00BA76C8"/>
    <w:rsid w:val="00BB0909"/>
    <w:rsid w:val="00BB0F38"/>
    <w:rsid w:val="00BB4032"/>
    <w:rsid w:val="00BB6529"/>
    <w:rsid w:val="00BB7233"/>
    <w:rsid w:val="00BC1814"/>
    <w:rsid w:val="00BC1CAB"/>
    <w:rsid w:val="00BC622A"/>
    <w:rsid w:val="00BD6F8A"/>
    <w:rsid w:val="00BE0A78"/>
    <w:rsid w:val="00BE79F0"/>
    <w:rsid w:val="00BF046D"/>
    <w:rsid w:val="00BF5C5F"/>
    <w:rsid w:val="00BF5D04"/>
    <w:rsid w:val="00C01EF3"/>
    <w:rsid w:val="00C02B8F"/>
    <w:rsid w:val="00C03AC5"/>
    <w:rsid w:val="00C061A6"/>
    <w:rsid w:val="00C066C5"/>
    <w:rsid w:val="00C07233"/>
    <w:rsid w:val="00C07EA3"/>
    <w:rsid w:val="00C10E14"/>
    <w:rsid w:val="00C1131B"/>
    <w:rsid w:val="00C1273C"/>
    <w:rsid w:val="00C13563"/>
    <w:rsid w:val="00C15144"/>
    <w:rsid w:val="00C16360"/>
    <w:rsid w:val="00C16F7E"/>
    <w:rsid w:val="00C339C6"/>
    <w:rsid w:val="00C35BB9"/>
    <w:rsid w:val="00C35D8C"/>
    <w:rsid w:val="00C404A6"/>
    <w:rsid w:val="00C40A36"/>
    <w:rsid w:val="00C41C4F"/>
    <w:rsid w:val="00C44419"/>
    <w:rsid w:val="00C45E7B"/>
    <w:rsid w:val="00C471B1"/>
    <w:rsid w:val="00C52BEE"/>
    <w:rsid w:val="00C62535"/>
    <w:rsid w:val="00C6316B"/>
    <w:rsid w:val="00C634A9"/>
    <w:rsid w:val="00C73D6C"/>
    <w:rsid w:val="00C7432D"/>
    <w:rsid w:val="00C75005"/>
    <w:rsid w:val="00C769FB"/>
    <w:rsid w:val="00C772FF"/>
    <w:rsid w:val="00C77BC8"/>
    <w:rsid w:val="00C801AF"/>
    <w:rsid w:val="00C80256"/>
    <w:rsid w:val="00C94AFC"/>
    <w:rsid w:val="00C9507D"/>
    <w:rsid w:val="00C978BD"/>
    <w:rsid w:val="00CA77CC"/>
    <w:rsid w:val="00CB1ECC"/>
    <w:rsid w:val="00CB1EFD"/>
    <w:rsid w:val="00CB2623"/>
    <w:rsid w:val="00CB5EA6"/>
    <w:rsid w:val="00CB6BC0"/>
    <w:rsid w:val="00CC1B7C"/>
    <w:rsid w:val="00CC3355"/>
    <w:rsid w:val="00CC727F"/>
    <w:rsid w:val="00CD2699"/>
    <w:rsid w:val="00CD7871"/>
    <w:rsid w:val="00CE5128"/>
    <w:rsid w:val="00CE5BB0"/>
    <w:rsid w:val="00CE6E68"/>
    <w:rsid w:val="00CF15C3"/>
    <w:rsid w:val="00CF2B6F"/>
    <w:rsid w:val="00CF3409"/>
    <w:rsid w:val="00CF355F"/>
    <w:rsid w:val="00CF70D8"/>
    <w:rsid w:val="00D017ED"/>
    <w:rsid w:val="00D05E84"/>
    <w:rsid w:val="00D10273"/>
    <w:rsid w:val="00D10E74"/>
    <w:rsid w:val="00D12A98"/>
    <w:rsid w:val="00D153B1"/>
    <w:rsid w:val="00D2006B"/>
    <w:rsid w:val="00D224FE"/>
    <w:rsid w:val="00D229BA"/>
    <w:rsid w:val="00D235B0"/>
    <w:rsid w:val="00D24EE4"/>
    <w:rsid w:val="00D251BD"/>
    <w:rsid w:val="00D268BB"/>
    <w:rsid w:val="00D26A72"/>
    <w:rsid w:val="00D26AE7"/>
    <w:rsid w:val="00D26B84"/>
    <w:rsid w:val="00D27316"/>
    <w:rsid w:val="00D274D0"/>
    <w:rsid w:val="00D31F27"/>
    <w:rsid w:val="00D32E17"/>
    <w:rsid w:val="00D35EC5"/>
    <w:rsid w:val="00D37279"/>
    <w:rsid w:val="00D424A1"/>
    <w:rsid w:val="00D458E0"/>
    <w:rsid w:val="00D4737D"/>
    <w:rsid w:val="00D50355"/>
    <w:rsid w:val="00D50FD9"/>
    <w:rsid w:val="00D5616E"/>
    <w:rsid w:val="00D61523"/>
    <w:rsid w:val="00D634FE"/>
    <w:rsid w:val="00D6493E"/>
    <w:rsid w:val="00D655A3"/>
    <w:rsid w:val="00D70128"/>
    <w:rsid w:val="00D7384D"/>
    <w:rsid w:val="00D80143"/>
    <w:rsid w:val="00D83094"/>
    <w:rsid w:val="00D85AC0"/>
    <w:rsid w:val="00D94FBD"/>
    <w:rsid w:val="00D9593F"/>
    <w:rsid w:val="00D975F0"/>
    <w:rsid w:val="00D97F65"/>
    <w:rsid w:val="00DA1124"/>
    <w:rsid w:val="00DA1DEF"/>
    <w:rsid w:val="00DA3043"/>
    <w:rsid w:val="00DA50A6"/>
    <w:rsid w:val="00DA5326"/>
    <w:rsid w:val="00DB1010"/>
    <w:rsid w:val="00DB1878"/>
    <w:rsid w:val="00DB1CE8"/>
    <w:rsid w:val="00DB2113"/>
    <w:rsid w:val="00DB6725"/>
    <w:rsid w:val="00DC613C"/>
    <w:rsid w:val="00DC7E83"/>
    <w:rsid w:val="00DD032A"/>
    <w:rsid w:val="00DD4855"/>
    <w:rsid w:val="00DD4C9F"/>
    <w:rsid w:val="00DD75A3"/>
    <w:rsid w:val="00DD7A91"/>
    <w:rsid w:val="00DE02AE"/>
    <w:rsid w:val="00DE4746"/>
    <w:rsid w:val="00DE6A0C"/>
    <w:rsid w:val="00DE6C04"/>
    <w:rsid w:val="00DE75AC"/>
    <w:rsid w:val="00DE788D"/>
    <w:rsid w:val="00DF16E3"/>
    <w:rsid w:val="00DF1828"/>
    <w:rsid w:val="00DF1D7F"/>
    <w:rsid w:val="00DF33FB"/>
    <w:rsid w:val="00E00E78"/>
    <w:rsid w:val="00E02FB4"/>
    <w:rsid w:val="00E03160"/>
    <w:rsid w:val="00E07038"/>
    <w:rsid w:val="00E1340C"/>
    <w:rsid w:val="00E158B6"/>
    <w:rsid w:val="00E174F2"/>
    <w:rsid w:val="00E20571"/>
    <w:rsid w:val="00E21651"/>
    <w:rsid w:val="00E235F7"/>
    <w:rsid w:val="00E2375F"/>
    <w:rsid w:val="00E239D4"/>
    <w:rsid w:val="00E253B6"/>
    <w:rsid w:val="00E307AE"/>
    <w:rsid w:val="00E32326"/>
    <w:rsid w:val="00E32956"/>
    <w:rsid w:val="00E349CA"/>
    <w:rsid w:val="00E404EA"/>
    <w:rsid w:val="00E40B22"/>
    <w:rsid w:val="00E434E9"/>
    <w:rsid w:val="00E4588F"/>
    <w:rsid w:val="00E45BB6"/>
    <w:rsid w:val="00E46DA3"/>
    <w:rsid w:val="00E51164"/>
    <w:rsid w:val="00E53425"/>
    <w:rsid w:val="00E602F2"/>
    <w:rsid w:val="00E71E27"/>
    <w:rsid w:val="00E7431B"/>
    <w:rsid w:val="00E767C0"/>
    <w:rsid w:val="00E8120B"/>
    <w:rsid w:val="00E84DE2"/>
    <w:rsid w:val="00E866A2"/>
    <w:rsid w:val="00E869FF"/>
    <w:rsid w:val="00E8764D"/>
    <w:rsid w:val="00E90A8B"/>
    <w:rsid w:val="00E94E64"/>
    <w:rsid w:val="00EA16DE"/>
    <w:rsid w:val="00EA406B"/>
    <w:rsid w:val="00EA453A"/>
    <w:rsid w:val="00EA7431"/>
    <w:rsid w:val="00EB0798"/>
    <w:rsid w:val="00EB182C"/>
    <w:rsid w:val="00EB19F8"/>
    <w:rsid w:val="00EB35D6"/>
    <w:rsid w:val="00EB3B91"/>
    <w:rsid w:val="00EB40AD"/>
    <w:rsid w:val="00EB46ED"/>
    <w:rsid w:val="00EB586E"/>
    <w:rsid w:val="00EB5FC8"/>
    <w:rsid w:val="00EC1271"/>
    <w:rsid w:val="00EC2E57"/>
    <w:rsid w:val="00EC737F"/>
    <w:rsid w:val="00ED0C8B"/>
    <w:rsid w:val="00ED5A41"/>
    <w:rsid w:val="00EE1482"/>
    <w:rsid w:val="00EE255A"/>
    <w:rsid w:val="00EE285E"/>
    <w:rsid w:val="00EE4FF8"/>
    <w:rsid w:val="00EF0EAB"/>
    <w:rsid w:val="00EF1F5A"/>
    <w:rsid w:val="00EF47F3"/>
    <w:rsid w:val="00EF578B"/>
    <w:rsid w:val="00EF78E1"/>
    <w:rsid w:val="00F033EC"/>
    <w:rsid w:val="00F03966"/>
    <w:rsid w:val="00F04F68"/>
    <w:rsid w:val="00F0627D"/>
    <w:rsid w:val="00F11032"/>
    <w:rsid w:val="00F11A17"/>
    <w:rsid w:val="00F12670"/>
    <w:rsid w:val="00F14337"/>
    <w:rsid w:val="00F14B27"/>
    <w:rsid w:val="00F1540A"/>
    <w:rsid w:val="00F202AB"/>
    <w:rsid w:val="00F2035F"/>
    <w:rsid w:val="00F22939"/>
    <w:rsid w:val="00F24E19"/>
    <w:rsid w:val="00F3148D"/>
    <w:rsid w:val="00F3255D"/>
    <w:rsid w:val="00F32E40"/>
    <w:rsid w:val="00F33555"/>
    <w:rsid w:val="00F35298"/>
    <w:rsid w:val="00F3529E"/>
    <w:rsid w:val="00F36C32"/>
    <w:rsid w:val="00F40F73"/>
    <w:rsid w:val="00F4305F"/>
    <w:rsid w:val="00F44B0D"/>
    <w:rsid w:val="00F45194"/>
    <w:rsid w:val="00F4663D"/>
    <w:rsid w:val="00F467A6"/>
    <w:rsid w:val="00F467FC"/>
    <w:rsid w:val="00F46FDA"/>
    <w:rsid w:val="00F47E37"/>
    <w:rsid w:val="00F5021A"/>
    <w:rsid w:val="00F508A5"/>
    <w:rsid w:val="00F5267B"/>
    <w:rsid w:val="00F532AE"/>
    <w:rsid w:val="00F623FD"/>
    <w:rsid w:val="00F629F5"/>
    <w:rsid w:val="00F62C2A"/>
    <w:rsid w:val="00F62E95"/>
    <w:rsid w:val="00F63C0D"/>
    <w:rsid w:val="00F640B6"/>
    <w:rsid w:val="00F67B16"/>
    <w:rsid w:val="00F739D1"/>
    <w:rsid w:val="00F74A59"/>
    <w:rsid w:val="00F753DC"/>
    <w:rsid w:val="00F80E40"/>
    <w:rsid w:val="00F8365F"/>
    <w:rsid w:val="00F8404D"/>
    <w:rsid w:val="00F87B87"/>
    <w:rsid w:val="00F906C1"/>
    <w:rsid w:val="00FA45F7"/>
    <w:rsid w:val="00FA4AA1"/>
    <w:rsid w:val="00FA4D6D"/>
    <w:rsid w:val="00FA5B82"/>
    <w:rsid w:val="00FA639E"/>
    <w:rsid w:val="00FB5128"/>
    <w:rsid w:val="00FB59CE"/>
    <w:rsid w:val="00FC03C8"/>
    <w:rsid w:val="00FC1255"/>
    <w:rsid w:val="00FC25E4"/>
    <w:rsid w:val="00FC260C"/>
    <w:rsid w:val="00FC4741"/>
    <w:rsid w:val="00FC4EF7"/>
    <w:rsid w:val="00FC657E"/>
    <w:rsid w:val="00FC6764"/>
    <w:rsid w:val="00FD2F97"/>
    <w:rsid w:val="00FE1941"/>
    <w:rsid w:val="00FE1DEE"/>
    <w:rsid w:val="00FE4802"/>
    <w:rsid w:val="00FE5637"/>
    <w:rsid w:val="00FE618D"/>
    <w:rsid w:val="00FF1BDD"/>
    <w:rsid w:val="00FF2126"/>
    <w:rsid w:val="00FF311F"/>
    <w:rsid w:val="00FF3A87"/>
    <w:rsid w:val="00FF61C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234669F0"/>
  <w15:docId w15:val="{96F1E749-BB4D-49E3-BC04-67D37ADC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3"/>
      </w:numPr>
    </w:pPr>
  </w:style>
  <w:style w:type="paragraph" w:styleId="ListBullet2">
    <w:name w:val="List Bullet 2"/>
    <w:basedOn w:val="Normal"/>
    <w:uiPriority w:val="1"/>
    <w:qFormat/>
    <w:rsid w:val="004B5A6B"/>
    <w:pPr>
      <w:numPr>
        <w:ilvl w:val="1"/>
        <w:numId w:val="3"/>
      </w:numPr>
      <w:ind w:left="850" w:hanging="425"/>
    </w:pPr>
  </w:style>
  <w:style w:type="paragraph" w:styleId="ListBullet3">
    <w:name w:val="List Bullet 3"/>
    <w:basedOn w:val="Normal"/>
    <w:uiPriority w:val="2"/>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EE1482"/>
    <w:pPr>
      <w:numPr>
        <w:numId w:val="4"/>
      </w:numPr>
    </w:pPr>
  </w:style>
  <w:style w:type="paragraph" w:customStyle="1" w:styleId="Numberbullet2">
    <w:name w:val="Number bullet 2"/>
    <w:basedOn w:val="ListBullet2"/>
    <w:uiPriority w:val="3"/>
    <w:qFormat/>
    <w:rsid w:val="00EE1482"/>
    <w:pPr>
      <w:numPr>
        <w:numId w:val="4"/>
      </w:numPr>
    </w:pPr>
  </w:style>
  <w:style w:type="paragraph" w:customStyle="1" w:styleId="Numberbullet3">
    <w:name w:val="Number bullet 3"/>
    <w:basedOn w:val="Normal"/>
    <w:uiPriority w:val="2"/>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4F3E81"/>
    <w:pPr>
      <w:ind w:left="720"/>
      <w:contextualSpacing/>
    </w:pPr>
  </w:style>
  <w:style w:type="table" w:customStyle="1" w:styleId="TableTGAblue2">
    <w:name w:val="Table TGA blue2"/>
    <w:basedOn w:val="TableNormal"/>
    <w:uiPriority w:val="99"/>
    <w:qFormat/>
    <w:rsid w:val="00D975F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1">
    <w:name w:val="Table TGA blue21"/>
    <w:basedOn w:val="TableNormal"/>
    <w:uiPriority w:val="99"/>
    <w:qFormat/>
    <w:rsid w:val="00EF1F5A"/>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NormalWeb">
    <w:name w:val="Normal (Web)"/>
    <w:basedOn w:val="Normal"/>
    <w:uiPriority w:val="99"/>
    <w:semiHidden/>
    <w:unhideWhenUsed/>
    <w:rsid w:val="008B7934"/>
    <w:rPr>
      <w:rFonts w:ascii="Times New Roman" w:hAnsi="Times New Roman"/>
      <w:sz w:val="24"/>
      <w:szCs w:val="24"/>
    </w:rPr>
  </w:style>
  <w:style w:type="paragraph" w:customStyle="1" w:styleId="Tabletext">
    <w:name w:val="Tabletext"/>
    <w:aliases w:val="tt"/>
    <w:basedOn w:val="Normal"/>
    <w:rsid w:val="00535CA5"/>
    <w:pPr>
      <w:spacing w:before="60" w:after="0"/>
    </w:pPr>
    <w:rPr>
      <w:rFonts w:ascii="Times New Roman" w:eastAsia="Times New Roman" w:hAnsi="Times New Roman"/>
      <w:sz w:val="20"/>
      <w:lang w:eastAsia="en-AU"/>
    </w:rPr>
  </w:style>
  <w:style w:type="paragraph" w:customStyle="1" w:styleId="subsection">
    <w:name w:val="subsection"/>
    <w:aliases w:val="ss,Subsection"/>
    <w:basedOn w:val="Normal"/>
    <w:link w:val="subsectionChar"/>
    <w:rsid w:val="000969F3"/>
    <w:pPr>
      <w:tabs>
        <w:tab w:val="right" w:pos="1021"/>
      </w:tabs>
      <w:spacing w:before="180" w:after="0" w:line="240" w:lineRule="auto"/>
      <w:ind w:left="1134" w:hanging="1134"/>
    </w:pPr>
    <w:rPr>
      <w:rFonts w:ascii="Times New Roman" w:eastAsia="Times New Roman" w:hAnsi="Times New Roman"/>
      <w:lang w:eastAsia="en-AU"/>
    </w:rPr>
  </w:style>
  <w:style w:type="paragraph" w:customStyle="1" w:styleId="paragraphsub">
    <w:name w:val="paragraph(sub)"/>
    <w:aliases w:val="aa"/>
    <w:basedOn w:val="Normal"/>
    <w:rsid w:val="000969F3"/>
    <w:pPr>
      <w:tabs>
        <w:tab w:val="right" w:pos="1985"/>
      </w:tabs>
      <w:spacing w:before="40" w:after="0" w:line="240" w:lineRule="auto"/>
      <w:ind w:left="2098" w:hanging="2098"/>
    </w:pPr>
    <w:rPr>
      <w:rFonts w:ascii="Times New Roman" w:eastAsia="Times New Roman" w:hAnsi="Times New Roman"/>
      <w:lang w:eastAsia="en-AU"/>
    </w:rPr>
  </w:style>
  <w:style w:type="paragraph" w:customStyle="1" w:styleId="paragraph">
    <w:name w:val="paragraph"/>
    <w:aliases w:val="a"/>
    <w:basedOn w:val="Normal"/>
    <w:link w:val="paragraphChar"/>
    <w:rsid w:val="000969F3"/>
    <w:pPr>
      <w:tabs>
        <w:tab w:val="right" w:pos="1531"/>
      </w:tabs>
      <w:spacing w:before="40" w:after="0" w:line="240" w:lineRule="auto"/>
      <w:ind w:left="1644" w:hanging="1644"/>
    </w:pPr>
    <w:rPr>
      <w:rFonts w:ascii="Times New Roman" w:eastAsia="Times New Roman" w:hAnsi="Times New Roman"/>
      <w:lang w:eastAsia="en-AU"/>
    </w:rPr>
  </w:style>
  <w:style w:type="character" w:customStyle="1" w:styleId="subsectionChar">
    <w:name w:val="subsection Char"/>
    <w:aliases w:val="ss Char"/>
    <w:basedOn w:val="DefaultParagraphFont"/>
    <w:link w:val="subsection"/>
    <w:locked/>
    <w:rsid w:val="000969F3"/>
    <w:rPr>
      <w:rFonts w:ascii="Times New Roman" w:eastAsia="Times New Roman" w:hAnsi="Times New Roman"/>
      <w:sz w:val="22"/>
    </w:rPr>
  </w:style>
  <w:style w:type="character" w:customStyle="1" w:styleId="paragraphChar">
    <w:name w:val="paragraph Char"/>
    <w:aliases w:val="a Char"/>
    <w:basedOn w:val="DefaultParagraphFont"/>
    <w:link w:val="paragraph"/>
    <w:rsid w:val="000969F3"/>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585570">
      <w:bodyDiv w:val="1"/>
      <w:marLeft w:val="0"/>
      <w:marRight w:val="0"/>
      <w:marTop w:val="0"/>
      <w:marBottom w:val="0"/>
      <w:divBdr>
        <w:top w:val="none" w:sz="0" w:space="0" w:color="auto"/>
        <w:left w:val="none" w:sz="0" w:space="0" w:color="auto"/>
        <w:bottom w:val="none" w:sz="0" w:space="0" w:color="auto"/>
        <w:right w:val="none" w:sz="0" w:space="0" w:color="auto"/>
      </w:divBdr>
      <w:divsChild>
        <w:div w:id="925116559">
          <w:marLeft w:val="120"/>
          <w:marRight w:val="120"/>
          <w:marTop w:val="120"/>
          <w:marBottom w:val="120"/>
          <w:divBdr>
            <w:top w:val="none" w:sz="0" w:space="0" w:color="auto"/>
            <w:left w:val="none" w:sz="0" w:space="0" w:color="auto"/>
            <w:bottom w:val="none" w:sz="0" w:space="0" w:color="auto"/>
            <w:right w:val="none" w:sz="0" w:space="0" w:color="auto"/>
          </w:divBdr>
        </w:div>
      </w:divsChild>
    </w:div>
    <w:div w:id="464734059">
      <w:bodyDiv w:val="1"/>
      <w:marLeft w:val="0"/>
      <w:marRight w:val="0"/>
      <w:marTop w:val="0"/>
      <w:marBottom w:val="0"/>
      <w:divBdr>
        <w:top w:val="none" w:sz="0" w:space="0" w:color="auto"/>
        <w:left w:val="none" w:sz="0" w:space="0" w:color="auto"/>
        <w:bottom w:val="none" w:sz="0" w:space="0" w:color="auto"/>
        <w:right w:val="none" w:sz="0" w:space="0" w:color="auto"/>
      </w:divBdr>
      <w:divsChild>
        <w:div w:id="1649287241">
          <w:marLeft w:val="120"/>
          <w:marRight w:val="120"/>
          <w:marTop w:val="120"/>
          <w:marBottom w:val="0"/>
          <w:divBdr>
            <w:top w:val="none" w:sz="0" w:space="0" w:color="auto"/>
            <w:left w:val="none" w:sz="0" w:space="0" w:color="auto"/>
            <w:bottom w:val="none" w:sz="0" w:space="0" w:color="auto"/>
            <w:right w:val="none" w:sz="0" w:space="0" w:color="auto"/>
          </w:divBdr>
        </w:div>
      </w:divsChild>
    </w:div>
    <w:div w:id="1450780915">
      <w:bodyDiv w:val="1"/>
      <w:marLeft w:val="0"/>
      <w:marRight w:val="0"/>
      <w:marTop w:val="0"/>
      <w:marBottom w:val="0"/>
      <w:divBdr>
        <w:top w:val="none" w:sz="0" w:space="0" w:color="auto"/>
        <w:left w:val="none" w:sz="0" w:space="0" w:color="auto"/>
        <w:bottom w:val="none" w:sz="0" w:space="0" w:color="auto"/>
        <w:right w:val="none" w:sz="0" w:space="0" w:color="auto"/>
      </w:divBdr>
      <w:divsChild>
        <w:div w:id="916326152">
          <w:marLeft w:val="120"/>
          <w:marRight w:val="120"/>
          <w:marTop w:val="120"/>
          <w:marBottom w:val="0"/>
          <w:divBdr>
            <w:top w:val="none" w:sz="0" w:space="0" w:color="auto"/>
            <w:left w:val="none" w:sz="0" w:space="0" w:color="auto"/>
            <w:bottom w:val="none" w:sz="0" w:space="0" w:color="auto"/>
            <w:right w:val="none" w:sz="0" w:space="0" w:color="auto"/>
          </w:divBdr>
        </w:div>
      </w:divsChild>
    </w:div>
    <w:div w:id="1554539031">
      <w:bodyDiv w:val="1"/>
      <w:marLeft w:val="0"/>
      <w:marRight w:val="0"/>
      <w:marTop w:val="0"/>
      <w:marBottom w:val="0"/>
      <w:divBdr>
        <w:top w:val="none" w:sz="0" w:space="0" w:color="auto"/>
        <w:left w:val="none" w:sz="0" w:space="0" w:color="auto"/>
        <w:bottom w:val="none" w:sz="0" w:space="0" w:color="auto"/>
        <w:right w:val="none" w:sz="0" w:space="0" w:color="auto"/>
      </w:divBdr>
      <w:divsChild>
        <w:div w:id="790786425">
          <w:marLeft w:val="120"/>
          <w:marRight w:val="120"/>
          <w:marTop w:val="120"/>
          <w:marBottom w:val="0"/>
          <w:divBdr>
            <w:top w:val="none" w:sz="0" w:space="0" w:color="auto"/>
            <w:left w:val="none" w:sz="0" w:space="0" w:color="auto"/>
            <w:bottom w:val="none" w:sz="0" w:space="0" w:color="auto"/>
            <w:right w:val="none" w:sz="0" w:space="0" w:color="auto"/>
          </w:divBdr>
        </w:div>
      </w:divsChild>
    </w:div>
    <w:div w:id="1646474228">
      <w:bodyDiv w:val="1"/>
      <w:marLeft w:val="0"/>
      <w:marRight w:val="0"/>
      <w:marTop w:val="0"/>
      <w:marBottom w:val="0"/>
      <w:divBdr>
        <w:top w:val="none" w:sz="0" w:space="0" w:color="auto"/>
        <w:left w:val="none" w:sz="0" w:space="0" w:color="auto"/>
        <w:bottom w:val="none" w:sz="0" w:space="0" w:color="auto"/>
        <w:right w:val="none" w:sz="0" w:space="0" w:color="auto"/>
      </w:divBdr>
      <w:divsChild>
        <w:div w:id="193664788">
          <w:marLeft w:val="0"/>
          <w:marRight w:val="0"/>
          <w:marTop w:val="0"/>
          <w:marBottom w:val="0"/>
          <w:divBdr>
            <w:top w:val="none" w:sz="0" w:space="0" w:color="auto"/>
            <w:left w:val="none" w:sz="0" w:space="0" w:color="auto"/>
            <w:bottom w:val="none" w:sz="0" w:space="0" w:color="auto"/>
            <w:right w:val="none" w:sz="0" w:space="0" w:color="auto"/>
          </w:divBdr>
          <w:divsChild>
            <w:div w:id="20885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manufacturing-therapeutic-goods" TargetMode="External"/><Relationship Id="rId18" Type="http://schemas.openxmlformats.org/officeDocument/2006/relationships/hyperlink" Target="http://www.legislation.gov.au/Series/F2011L01490" TargetMode="External"/><Relationship Id="rId26" Type="http://schemas.openxmlformats.org/officeDocument/2006/relationships/hyperlink" Target="https://www.tga.gov.au/autologous-human-cells-and-tissues-products-regulation"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tga.gov.au/biologicals-0" TargetMode="External"/><Relationship Id="rId34" Type="http://schemas.openxmlformats.org/officeDocument/2006/relationships/hyperlink" Target="https://www.tga.gov.au/acronyms-glossary" TargetMode="External"/><Relationship Id="rId42" Type="http://schemas.openxmlformats.org/officeDocument/2006/relationships/hyperlink" Target="https://www.tga.gov.au"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www.legislation.gov.au/Series/F2011L01489" TargetMode="External"/><Relationship Id="rId25" Type="http://schemas.openxmlformats.org/officeDocument/2006/relationships/hyperlink" Target="https://www.tga.gov.au/autologous-human-cells-and-tissues-products-regulation" TargetMode="External"/><Relationship Id="rId33" Type="http://schemas.openxmlformats.org/officeDocument/2006/relationships/image" Target="media/image4.png"/><Relationship Id="rId38" Type="http://schemas.openxmlformats.org/officeDocument/2006/relationships/header" Target="header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ion.gov.au/Details/F2013L00854" TargetMode="External"/><Relationship Id="rId20" Type="http://schemas.openxmlformats.org/officeDocument/2006/relationships/hyperlink" Target="http://www.legislation.gov.au/Series/F2011L01492" TargetMode="External"/><Relationship Id="rId29" Type="http://schemas.openxmlformats.org/officeDocument/2006/relationships/hyperlink" Target="https://www.legislation.gov.au/Details/F2013L00854" TargetMode="External"/><Relationship Id="rId41"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publication/faecal-microbiota-transplant-fmt-product-regulation" TargetMode="External"/><Relationship Id="rId32" Type="http://schemas.openxmlformats.org/officeDocument/2006/relationships/hyperlink" Target="https://www.tga.gov.au/publication/australian-code-good-manufacturing-practice-human-blood-and-blood-components-human-tissues-and-human-cellular-therapy-products" TargetMode="External"/><Relationship Id="rId37" Type="http://schemas.openxmlformats.org/officeDocument/2006/relationships/header" Target="header4.xml"/><Relationship Id="rId40" Type="http://schemas.openxmlformats.org/officeDocument/2006/relationships/header" Target="header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ga.gov.au/therapeutic-goods-orders" TargetMode="External"/><Relationship Id="rId23" Type="http://schemas.openxmlformats.org/officeDocument/2006/relationships/hyperlink" Target="https://www.tga.gov.au/what-regulated-biological" TargetMode="External"/><Relationship Id="rId28" Type="http://schemas.openxmlformats.org/officeDocument/2006/relationships/hyperlink" Target="https://www.legislation.gov.au/Series/C2004A03952" TargetMode="External"/><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www.legislation.gov.au/Series/F2011L01491" TargetMode="External"/><Relationship Id="rId31" Type="http://schemas.openxmlformats.org/officeDocument/2006/relationships/hyperlink" Target="https://www.tga.gov.au/acronyms-glossary"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role-sponsor" TargetMode="External"/><Relationship Id="rId22" Type="http://schemas.openxmlformats.org/officeDocument/2006/relationships/hyperlink" Target="https://www.tga.gov.au/pharmacopoeias" TargetMode="External"/><Relationship Id="rId27" Type="http://schemas.openxmlformats.org/officeDocument/2006/relationships/hyperlink" Target="mailto:bloodandtissues@health.gov.au" TargetMode="External"/><Relationship Id="rId30" Type="http://schemas.openxmlformats.org/officeDocument/2006/relationships/hyperlink" Target="https://www.tga.gov.au/acronyms-glossary" TargetMode="External"/><Relationship Id="rId35" Type="http://schemas.openxmlformats.org/officeDocument/2006/relationships/header" Target="header3.xml"/><Relationship Id="rId43" Type="http://schemas.openxmlformats.org/officeDocument/2006/relationships/header" Target="header7.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20L0101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4DF3B-DC9A-4390-AF69-E75C3D5A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Template>
  <TotalTime>716</TotalTime>
  <Pages>35</Pages>
  <Words>10726</Words>
  <Characters>61140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71723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Brockwell, Natasha</dc:creator>
  <cp:lastModifiedBy>PAPATHANASIOU, Peter</cp:lastModifiedBy>
  <cp:revision>32</cp:revision>
  <cp:lastPrinted>2021-02-10T02:19:00Z</cp:lastPrinted>
  <dcterms:created xsi:type="dcterms:W3CDTF">2021-04-16T01:25:00Z</dcterms:created>
  <dcterms:modified xsi:type="dcterms:W3CDTF">2021-04-29T12:46:00Z</dcterms:modified>
</cp:coreProperties>
</file>