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8AF070B" w14:textId="77777777" w:rsidTr="002B29B2">
        <w:tc>
          <w:tcPr>
            <w:tcW w:w="8720" w:type="dxa"/>
          </w:tcPr>
          <w:p w14:paraId="38672D2D" w14:textId="2310EE4C" w:rsidR="00FC6317" w:rsidRDefault="002A6E4C" w:rsidP="002B29B2">
            <w:pPr>
              <w:pStyle w:val="Title"/>
            </w:pPr>
            <w:r>
              <w:t xml:space="preserve">TGA </w:t>
            </w:r>
            <w:r w:rsidR="00F50A90">
              <w:t>f</w:t>
            </w:r>
            <w:r w:rsidR="00FC6317" w:rsidRPr="00FC6317">
              <w:t xml:space="preserve">ees and charges proposal </w:t>
            </w:r>
          </w:p>
          <w:p w14:paraId="54799DFE" w14:textId="7252CE27" w:rsidR="00F401EF" w:rsidRPr="00215D48" w:rsidRDefault="00FC6317" w:rsidP="002B29B2">
            <w:pPr>
              <w:pStyle w:val="Title"/>
            </w:pPr>
            <w:r w:rsidRPr="00FC6317">
              <w:t>202</w:t>
            </w:r>
            <w:r w:rsidR="00615B0B">
              <w:t>4</w:t>
            </w:r>
            <w:r w:rsidRPr="00FC6317">
              <w:t>-</w:t>
            </w:r>
            <w:r w:rsidR="00615B0B" w:rsidRPr="00FC6317">
              <w:t>2</w:t>
            </w:r>
            <w:r w:rsidR="00615B0B">
              <w:t>5</w:t>
            </w:r>
          </w:p>
        </w:tc>
      </w:tr>
      <w:tr w:rsidR="002B29B2" w:rsidRPr="00215D48" w14:paraId="297ADE90" w14:textId="77777777" w:rsidTr="002B29B2">
        <w:trPr>
          <w:trHeight w:val="1916"/>
        </w:trPr>
        <w:tc>
          <w:tcPr>
            <w:tcW w:w="8720" w:type="dxa"/>
          </w:tcPr>
          <w:p w14:paraId="7C276EF2" w14:textId="77777777" w:rsidR="00711D16" w:rsidRDefault="00711D16" w:rsidP="002B29B2">
            <w:pPr>
              <w:pStyle w:val="Subtitle"/>
              <w:ind w:left="0"/>
            </w:pPr>
          </w:p>
          <w:p w14:paraId="4DAE0ECE" w14:textId="703D565F" w:rsidR="00F401EF" w:rsidRPr="00215D48" w:rsidRDefault="00FC6317" w:rsidP="002B29B2">
            <w:pPr>
              <w:pStyle w:val="Subtitle"/>
              <w:ind w:left="0"/>
            </w:pPr>
            <w:r w:rsidRPr="00FC6317">
              <w:t>Consultation paper</w:t>
            </w:r>
          </w:p>
        </w:tc>
      </w:tr>
      <w:tr w:rsidR="002B29B2" w:rsidRPr="00215D48" w14:paraId="78393C86" w14:textId="77777777" w:rsidTr="002B29B2">
        <w:tc>
          <w:tcPr>
            <w:tcW w:w="8720" w:type="dxa"/>
          </w:tcPr>
          <w:p w14:paraId="69B8F91A" w14:textId="373F065C" w:rsidR="002B29B2" w:rsidRPr="00215D48" w:rsidRDefault="004222B4" w:rsidP="00F54CA9">
            <w:pPr>
              <w:pStyle w:val="Date"/>
            </w:pPr>
            <w:r w:rsidRPr="004222B4">
              <w:t xml:space="preserve">Version </w:t>
            </w:r>
            <w:r w:rsidR="00FC6317">
              <w:t>1</w:t>
            </w:r>
            <w:r w:rsidRPr="004222B4">
              <w:t xml:space="preserve">, </w:t>
            </w:r>
            <w:r w:rsidR="00615B0B">
              <w:t xml:space="preserve">January </w:t>
            </w:r>
            <w:r w:rsidR="00615B0B" w:rsidRPr="004222B4">
              <w:t>202</w:t>
            </w:r>
            <w:r w:rsidR="00615B0B">
              <w:t>4</w:t>
            </w:r>
          </w:p>
        </w:tc>
      </w:tr>
    </w:tbl>
    <w:p w14:paraId="46D3D7F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4810FF2A" w14:textId="77777777" w:rsidR="005D1689" w:rsidRPr="00E1198B" w:rsidRDefault="005D1689" w:rsidP="00BA0DFC">
      <w:pPr>
        <w:pStyle w:val="LegalSubheading"/>
      </w:pPr>
      <w:r w:rsidRPr="00BA0DFC">
        <w:lastRenderedPageBreak/>
        <w:t>Copyright</w:t>
      </w:r>
    </w:p>
    <w:p w14:paraId="4F19BF54" w14:textId="71BEC76C" w:rsidR="00F274A2" w:rsidRDefault="005D1689" w:rsidP="0029069E">
      <w:pPr>
        <w:pStyle w:val="LegalCopy"/>
        <w:rPr>
          <w:rFonts w:cs="Arial"/>
        </w:rPr>
      </w:pPr>
      <w:r w:rsidRPr="00215D48">
        <w:rPr>
          <w:rFonts w:cs="Arial"/>
        </w:rPr>
        <w:t>© Commonwealth of Australia 20</w:t>
      </w:r>
      <w:r w:rsidR="00030D34">
        <w:rPr>
          <w:rFonts w:cs="Arial"/>
        </w:rPr>
        <w:t>2</w:t>
      </w:r>
      <w:r w:rsidR="00FC6317">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DF34A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6CCE4E31" w14:textId="419AB20D" w:rsidR="00FC6317" w:rsidRDefault="00FC6317" w:rsidP="0029069E">
      <w:pPr>
        <w:pStyle w:val="LegalCopy"/>
        <w:rPr>
          <w:rFonts w:cs="Arial"/>
        </w:rPr>
      </w:pPr>
    </w:p>
    <w:p w14:paraId="255A1EA1" w14:textId="77777777" w:rsidR="00FC6317" w:rsidRPr="009401F6" w:rsidRDefault="00FC6317" w:rsidP="00FC6317">
      <w:pPr>
        <w:pStyle w:val="LegalSubheading"/>
      </w:pPr>
      <w:r w:rsidRPr="009401F6">
        <w:t>Confidentiality</w:t>
      </w:r>
    </w:p>
    <w:p w14:paraId="0D55BE77" w14:textId="77777777" w:rsidR="00FC6317" w:rsidRPr="00EB182C" w:rsidRDefault="00FC6317" w:rsidP="00FC6317">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66AD6720" w14:textId="77777777" w:rsidR="00FC6317" w:rsidRDefault="00FC6317" w:rsidP="0029069E">
      <w:pPr>
        <w:pStyle w:val="LegalCopy"/>
        <w:rPr>
          <w:rFonts w:cs="Arial"/>
        </w:rPr>
      </w:pP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9CDE7E3" w14:textId="77777777" w:rsidR="00F401EF" w:rsidRPr="00215D48" w:rsidRDefault="00F401EF" w:rsidP="001F4CB4">
          <w:pPr>
            <w:pStyle w:val="NonTOCheading2"/>
          </w:pPr>
          <w:r w:rsidRPr="00215D48">
            <w:t>Contents</w:t>
          </w:r>
        </w:p>
        <w:p w14:paraId="1DF417E8" w14:textId="0FCE5CD0" w:rsidR="00E242E9" w:rsidRDefault="00F859D2">
          <w:pPr>
            <w:pStyle w:val="TOC1"/>
            <w:rPr>
              <w:rFonts w:asciiTheme="minorHAnsi" w:eastAsiaTheme="minorEastAsia" w:hAnsiTheme="minorHAnsi" w:cstheme="minorBidi"/>
              <w:b w:val="0"/>
              <w:noProof/>
              <w:color w:val="auto"/>
              <w:sz w:val="22"/>
              <w:szCs w:val="22"/>
              <w:lang w:eastAsia="en-AU"/>
            </w:rPr>
          </w:pPr>
          <w:r w:rsidRPr="00E10E80">
            <w:rPr>
              <w:sz w:val="28"/>
              <w:szCs w:val="28"/>
            </w:rPr>
            <w:fldChar w:fldCharType="begin"/>
          </w:r>
          <w:r w:rsidR="00F401EF" w:rsidRPr="00E10E80">
            <w:rPr>
              <w:sz w:val="28"/>
              <w:szCs w:val="28"/>
            </w:rPr>
            <w:instrText xml:space="preserve"> TOC \h \z \u \t "Heading 2,1,Heading 3,2,Heading 4,3" </w:instrText>
          </w:r>
          <w:r w:rsidRPr="00E10E80">
            <w:rPr>
              <w:sz w:val="28"/>
              <w:szCs w:val="28"/>
            </w:rPr>
            <w:fldChar w:fldCharType="separate"/>
          </w:r>
          <w:hyperlink w:anchor="_Toc153538013" w:history="1">
            <w:r w:rsidR="00E242E9" w:rsidRPr="007E4CAA">
              <w:rPr>
                <w:rStyle w:val="Hyperlink"/>
                <w:noProof/>
              </w:rPr>
              <w:t>Introduction</w:t>
            </w:r>
            <w:r w:rsidR="00E242E9">
              <w:rPr>
                <w:noProof/>
                <w:webHidden/>
              </w:rPr>
              <w:tab/>
            </w:r>
            <w:r w:rsidR="00E242E9">
              <w:rPr>
                <w:noProof/>
                <w:webHidden/>
              </w:rPr>
              <w:fldChar w:fldCharType="begin"/>
            </w:r>
            <w:r w:rsidR="00E242E9">
              <w:rPr>
                <w:noProof/>
                <w:webHidden/>
              </w:rPr>
              <w:instrText xml:space="preserve"> PAGEREF _Toc153538013 \h </w:instrText>
            </w:r>
            <w:r w:rsidR="00E242E9">
              <w:rPr>
                <w:noProof/>
                <w:webHidden/>
              </w:rPr>
            </w:r>
            <w:r w:rsidR="00E242E9">
              <w:rPr>
                <w:noProof/>
                <w:webHidden/>
              </w:rPr>
              <w:fldChar w:fldCharType="separate"/>
            </w:r>
            <w:r w:rsidR="00E242E9">
              <w:rPr>
                <w:noProof/>
                <w:webHidden/>
              </w:rPr>
              <w:t>4</w:t>
            </w:r>
            <w:r w:rsidR="00E242E9">
              <w:rPr>
                <w:noProof/>
                <w:webHidden/>
              </w:rPr>
              <w:fldChar w:fldCharType="end"/>
            </w:r>
          </w:hyperlink>
        </w:p>
        <w:p w14:paraId="3845E81D" w14:textId="48F0F6DA"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4" w:history="1">
            <w:r w:rsidR="00E242E9" w:rsidRPr="007E4CAA">
              <w:rPr>
                <w:rStyle w:val="Hyperlink"/>
                <w:noProof/>
              </w:rPr>
              <w:t>1.</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Description of TGA Activities</w:t>
            </w:r>
            <w:r w:rsidR="00E242E9">
              <w:rPr>
                <w:noProof/>
                <w:webHidden/>
              </w:rPr>
              <w:tab/>
            </w:r>
            <w:r w:rsidR="00E242E9">
              <w:rPr>
                <w:noProof/>
                <w:webHidden/>
              </w:rPr>
              <w:fldChar w:fldCharType="begin"/>
            </w:r>
            <w:r w:rsidR="00E242E9">
              <w:rPr>
                <w:noProof/>
                <w:webHidden/>
              </w:rPr>
              <w:instrText xml:space="preserve"> PAGEREF _Toc153538014 \h </w:instrText>
            </w:r>
            <w:r w:rsidR="00E242E9">
              <w:rPr>
                <w:noProof/>
                <w:webHidden/>
              </w:rPr>
            </w:r>
            <w:r w:rsidR="00E242E9">
              <w:rPr>
                <w:noProof/>
                <w:webHidden/>
              </w:rPr>
              <w:fldChar w:fldCharType="separate"/>
            </w:r>
            <w:r w:rsidR="00E242E9">
              <w:rPr>
                <w:noProof/>
                <w:webHidden/>
              </w:rPr>
              <w:t>4</w:t>
            </w:r>
            <w:r w:rsidR="00E242E9">
              <w:rPr>
                <w:noProof/>
                <w:webHidden/>
              </w:rPr>
              <w:fldChar w:fldCharType="end"/>
            </w:r>
          </w:hyperlink>
        </w:p>
        <w:p w14:paraId="6CE6694A" w14:textId="3AAE97F7"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5" w:history="1">
            <w:r w:rsidR="00E242E9" w:rsidRPr="007E4CAA">
              <w:rPr>
                <w:rStyle w:val="Hyperlink"/>
                <w:noProof/>
              </w:rPr>
              <w:t>2.</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Cost recovery obligations of the TGA</w:t>
            </w:r>
            <w:r w:rsidR="00E242E9">
              <w:rPr>
                <w:noProof/>
                <w:webHidden/>
              </w:rPr>
              <w:tab/>
            </w:r>
            <w:r w:rsidR="00E242E9">
              <w:rPr>
                <w:noProof/>
                <w:webHidden/>
              </w:rPr>
              <w:fldChar w:fldCharType="begin"/>
            </w:r>
            <w:r w:rsidR="00E242E9">
              <w:rPr>
                <w:noProof/>
                <w:webHidden/>
              </w:rPr>
              <w:instrText xml:space="preserve"> PAGEREF _Toc153538015 \h </w:instrText>
            </w:r>
            <w:r w:rsidR="00E242E9">
              <w:rPr>
                <w:noProof/>
                <w:webHidden/>
              </w:rPr>
            </w:r>
            <w:r w:rsidR="00E242E9">
              <w:rPr>
                <w:noProof/>
                <w:webHidden/>
              </w:rPr>
              <w:fldChar w:fldCharType="separate"/>
            </w:r>
            <w:r w:rsidR="00E242E9">
              <w:rPr>
                <w:noProof/>
                <w:webHidden/>
              </w:rPr>
              <w:t>5</w:t>
            </w:r>
            <w:r w:rsidR="00E242E9">
              <w:rPr>
                <w:noProof/>
                <w:webHidden/>
              </w:rPr>
              <w:fldChar w:fldCharType="end"/>
            </w:r>
          </w:hyperlink>
        </w:p>
        <w:p w14:paraId="5E622408" w14:textId="13901C51"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6" w:history="1">
            <w:r w:rsidR="00E242E9" w:rsidRPr="007E4CAA">
              <w:rPr>
                <w:rStyle w:val="Hyperlink"/>
                <w:noProof/>
              </w:rPr>
              <w:t>3.</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TGA funding Mechanism</w:t>
            </w:r>
            <w:r w:rsidR="00E242E9">
              <w:rPr>
                <w:noProof/>
                <w:webHidden/>
              </w:rPr>
              <w:tab/>
            </w:r>
            <w:r w:rsidR="00E242E9">
              <w:rPr>
                <w:noProof/>
                <w:webHidden/>
              </w:rPr>
              <w:fldChar w:fldCharType="begin"/>
            </w:r>
            <w:r w:rsidR="00E242E9">
              <w:rPr>
                <w:noProof/>
                <w:webHidden/>
              </w:rPr>
              <w:instrText xml:space="preserve"> PAGEREF _Toc153538016 \h </w:instrText>
            </w:r>
            <w:r w:rsidR="00E242E9">
              <w:rPr>
                <w:noProof/>
                <w:webHidden/>
              </w:rPr>
            </w:r>
            <w:r w:rsidR="00E242E9">
              <w:rPr>
                <w:noProof/>
                <w:webHidden/>
              </w:rPr>
              <w:fldChar w:fldCharType="separate"/>
            </w:r>
            <w:r w:rsidR="00E242E9">
              <w:rPr>
                <w:noProof/>
                <w:webHidden/>
              </w:rPr>
              <w:t>6</w:t>
            </w:r>
            <w:r w:rsidR="00E242E9">
              <w:rPr>
                <w:noProof/>
                <w:webHidden/>
              </w:rPr>
              <w:fldChar w:fldCharType="end"/>
            </w:r>
          </w:hyperlink>
        </w:p>
        <w:p w14:paraId="760D3353" w14:textId="3BF3908F"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7" w:history="1">
            <w:r w:rsidR="00E242E9" w:rsidRPr="007E4CAA">
              <w:rPr>
                <w:rStyle w:val="Hyperlink"/>
                <w:noProof/>
              </w:rPr>
              <w:t>4.</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TGA cash position as of 30 June 2023</w:t>
            </w:r>
            <w:r w:rsidR="00E242E9">
              <w:rPr>
                <w:noProof/>
                <w:webHidden/>
              </w:rPr>
              <w:tab/>
            </w:r>
            <w:r w:rsidR="00E242E9">
              <w:rPr>
                <w:noProof/>
                <w:webHidden/>
              </w:rPr>
              <w:fldChar w:fldCharType="begin"/>
            </w:r>
            <w:r w:rsidR="00E242E9">
              <w:rPr>
                <w:noProof/>
                <w:webHidden/>
              </w:rPr>
              <w:instrText xml:space="preserve"> PAGEREF _Toc153538017 \h </w:instrText>
            </w:r>
            <w:r w:rsidR="00E242E9">
              <w:rPr>
                <w:noProof/>
                <w:webHidden/>
              </w:rPr>
            </w:r>
            <w:r w:rsidR="00E242E9">
              <w:rPr>
                <w:noProof/>
                <w:webHidden/>
              </w:rPr>
              <w:fldChar w:fldCharType="separate"/>
            </w:r>
            <w:r w:rsidR="00E242E9">
              <w:rPr>
                <w:noProof/>
                <w:webHidden/>
              </w:rPr>
              <w:t>7</w:t>
            </w:r>
            <w:r w:rsidR="00E242E9">
              <w:rPr>
                <w:noProof/>
                <w:webHidden/>
              </w:rPr>
              <w:fldChar w:fldCharType="end"/>
            </w:r>
          </w:hyperlink>
        </w:p>
        <w:p w14:paraId="7376F0FC" w14:textId="737BE94C"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8" w:history="1">
            <w:r w:rsidR="00E242E9" w:rsidRPr="007E4CAA">
              <w:rPr>
                <w:rStyle w:val="Hyperlink"/>
                <w:noProof/>
              </w:rPr>
              <w:t>5.</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Annual review of fees and charges</w:t>
            </w:r>
            <w:r w:rsidR="00E242E9">
              <w:rPr>
                <w:noProof/>
                <w:webHidden/>
              </w:rPr>
              <w:tab/>
            </w:r>
            <w:r w:rsidR="00E242E9">
              <w:rPr>
                <w:noProof/>
                <w:webHidden/>
              </w:rPr>
              <w:fldChar w:fldCharType="begin"/>
            </w:r>
            <w:r w:rsidR="00E242E9">
              <w:rPr>
                <w:noProof/>
                <w:webHidden/>
              </w:rPr>
              <w:instrText xml:space="preserve"> PAGEREF _Toc153538018 \h </w:instrText>
            </w:r>
            <w:r w:rsidR="00E242E9">
              <w:rPr>
                <w:noProof/>
                <w:webHidden/>
              </w:rPr>
            </w:r>
            <w:r w:rsidR="00E242E9">
              <w:rPr>
                <w:noProof/>
                <w:webHidden/>
              </w:rPr>
              <w:fldChar w:fldCharType="separate"/>
            </w:r>
            <w:r w:rsidR="00E242E9">
              <w:rPr>
                <w:noProof/>
                <w:webHidden/>
              </w:rPr>
              <w:t>7</w:t>
            </w:r>
            <w:r w:rsidR="00E242E9">
              <w:rPr>
                <w:noProof/>
                <w:webHidden/>
              </w:rPr>
              <w:fldChar w:fldCharType="end"/>
            </w:r>
          </w:hyperlink>
        </w:p>
        <w:p w14:paraId="3507DAE0" w14:textId="4E5CD338"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19" w:history="1">
            <w:r w:rsidR="00E242E9" w:rsidRPr="007E4CAA">
              <w:rPr>
                <w:rStyle w:val="Hyperlink"/>
                <w:noProof/>
              </w:rPr>
              <w:t>6.</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Cost pressures in 2024-25</w:t>
            </w:r>
            <w:r w:rsidR="00E242E9">
              <w:rPr>
                <w:noProof/>
                <w:webHidden/>
              </w:rPr>
              <w:tab/>
            </w:r>
            <w:r w:rsidR="00E242E9">
              <w:rPr>
                <w:noProof/>
                <w:webHidden/>
              </w:rPr>
              <w:fldChar w:fldCharType="begin"/>
            </w:r>
            <w:r w:rsidR="00E242E9">
              <w:rPr>
                <w:noProof/>
                <w:webHidden/>
              </w:rPr>
              <w:instrText xml:space="preserve"> PAGEREF _Toc153538019 \h </w:instrText>
            </w:r>
            <w:r w:rsidR="00E242E9">
              <w:rPr>
                <w:noProof/>
                <w:webHidden/>
              </w:rPr>
            </w:r>
            <w:r w:rsidR="00E242E9">
              <w:rPr>
                <w:noProof/>
                <w:webHidden/>
              </w:rPr>
              <w:fldChar w:fldCharType="separate"/>
            </w:r>
            <w:r w:rsidR="00E242E9">
              <w:rPr>
                <w:noProof/>
                <w:webHidden/>
              </w:rPr>
              <w:t>7</w:t>
            </w:r>
            <w:r w:rsidR="00E242E9">
              <w:rPr>
                <w:noProof/>
                <w:webHidden/>
              </w:rPr>
              <w:fldChar w:fldCharType="end"/>
            </w:r>
          </w:hyperlink>
        </w:p>
        <w:p w14:paraId="09648970" w14:textId="07D3F40E"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20" w:history="1">
            <w:r w:rsidR="00E242E9" w:rsidRPr="007E4CAA">
              <w:rPr>
                <w:rStyle w:val="Hyperlink"/>
                <w:noProof/>
              </w:rPr>
              <w:t>7.</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Indexation factor for 2024-25</w:t>
            </w:r>
            <w:r w:rsidR="00E242E9">
              <w:rPr>
                <w:noProof/>
                <w:webHidden/>
              </w:rPr>
              <w:tab/>
            </w:r>
            <w:r w:rsidR="00E242E9">
              <w:rPr>
                <w:noProof/>
                <w:webHidden/>
              </w:rPr>
              <w:fldChar w:fldCharType="begin"/>
            </w:r>
            <w:r w:rsidR="00E242E9">
              <w:rPr>
                <w:noProof/>
                <w:webHidden/>
              </w:rPr>
              <w:instrText xml:space="preserve"> PAGEREF _Toc153538020 \h </w:instrText>
            </w:r>
            <w:r w:rsidR="00E242E9">
              <w:rPr>
                <w:noProof/>
                <w:webHidden/>
              </w:rPr>
            </w:r>
            <w:r w:rsidR="00E242E9">
              <w:rPr>
                <w:noProof/>
                <w:webHidden/>
              </w:rPr>
              <w:fldChar w:fldCharType="separate"/>
            </w:r>
            <w:r w:rsidR="00E242E9">
              <w:rPr>
                <w:noProof/>
                <w:webHidden/>
              </w:rPr>
              <w:t>8</w:t>
            </w:r>
            <w:r w:rsidR="00E242E9">
              <w:rPr>
                <w:noProof/>
                <w:webHidden/>
              </w:rPr>
              <w:fldChar w:fldCharType="end"/>
            </w:r>
          </w:hyperlink>
        </w:p>
        <w:p w14:paraId="70F93ACB" w14:textId="4CD25C37"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21" w:history="1">
            <w:r w:rsidR="00E242E9" w:rsidRPr="007E4CAA">
              <w:rPr>
                <w:rStyle w:val="Hyperlink"/>
                <w:noProof/>
              </w:rPr>
              <w:t>8.</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Proposed changes to fees and charges 2024-25</w:t>
            </w:r>
            <w:r w:rsidR="00E242E9">
              <w:rPr>
                <w:noProof/>
                <w:webHidden/>
              </w:rPr>
              <w:tab/>
            </w:r>
            <w:r w:rsidR="00E242E9">
              <w:rPr>
                <w:noProof/>
                <w:webHidden/>
              </w:rPr>
              <w:fldChar w:fldCharType="begin"/>
            </w:r>
            <w:r w:rsidR="00E242E9">
              <w:rPr>
                <w:noProof/>
                <w:webHidden/>
              </w:rPr>
              <w:instrText xml:space="preserve"> PAGEREF _Toc153538021 \h </w:instrText>
            </w:r>
            <w:r w:rsidR="00E242E9">
              <w:rPr>
                <w:noProof/>
                <w:webHidden/>
              </w:rPr>
            </w:r>
            <w:r w:rsidR="00E242E9">
              <w:rPr>
                <w:noProof/>
                <w:webHidden/>
              </w:rPr>
              <w:fldChar w:fldCharType="separate"/>
            </w:r>
            <w:r w:rsidR="00E242E9">
              <w:rPr>
                <w:noProof/>
                <w:webHidden/>
              </w:rPr>
              <w:t>8</w:t>
            </w:r>
            <w:r w:rsidR="00E242E9">
              <w:rPr>
                <w:noProof/>
                <w:webHidden/>
              </w:rPr>
              <w:fldChar w:fldCharType="end"/>
            </w:r>
          </w:hyperlink>
        </w:p>
        <w:p w14:paraId="245164ED" w14:textId="0A8F591E"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22" w:history="1">
            <w:r w:rsidR="00E242E9" w:rsidRPr="007E4CAA">
              <w:rPr>
                <w:rStyle w:val="Hyperlink"/>
                <w:noProof/>
              </w:rPr>
              <w:t>9.</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Summary of proposed changes to fees and charges in 2024-25</w:t>
            </w:r>
            <w:r w:rsidR="00E242E9">
              <w:rPr>
                <w:noProof/>
                <w:webHidden/>
              </w:rPr>
              <w:tab/>
            </w:r>
            <w:r w:rsidR="00E242E9">
              <w:rPr>
                <w:noProof/>
                <w:webHidden/>
              </w:rPr>
              <w:fldChar w:fldCharType="begin"/>
            </w:r>
            <w:r w:rsidR="00E242E9">
              <w:rPr>
                <w:noProof/>
                <w:webHidden/>
              </w:rPr>
              <w:instrText xml:space="preserve"> PAGEREF _Toc153538022 \h </w:instrText>
            </w:r>
            <w:r w:rsidR="00E242E9">
              <w:rPr>
                <w:noProof/>
                <w:webHidden/>
              </w:rPr>
            </w:r>
            <w:r w:rsidR="00E242E9">
              <w:rPr>
                <w:noProof/>
                <w:webHidden/>
              </w:rPr>
              <w:fldChar w:fldCharType="separate"/>
            </w:r>
            <w:r w:rsidR="00E242E9">
              <w:rPr>
                <w:noProof/>
                <w:webHidden/>
              </w:rPr>
              <w:t>11</w:t>
            </w:r>
            <w:r w:rsidR="00E242E9">
              <w:rPr>
                <w:noProof/>
                <w:webHidden/>
              </w:rPr>
              <w:fldChar w:fldCharType="end"/>
            </w:r>
          </w:hyperlink>
        </w:p>
        <w:p w14:paraId="61999038" w14:textId="3244ADFE"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23" w:history="1">
            <w:r w:rsidR="00E242E9" w:rsidRPr="007E4CAA">
              <w:rPr>
                <w:rStyle w:val="Hyperlink"/>
                <w:noProof/>
              </w:rPr>
              <w:t>10.</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Stakeholder Engagement</w:t>
            </w:r>
            <w:r w:rsidR="00E242E9">
              <w:rPr>
                <w:noProof/>
                <w:webHidden/>
              </w:rPr>
              <w:tab/>
            </w:r>
            <w:r w:rsidR="00E242E9">
              <w:rPr>
                <w:noProof/>
                <w:webHidden/>
              </w:rPr>
              <w:fldChar w:fldCharType="begin"/>
            </w:r>
            <w:r w:rsidR="00E242E9">
              <w:rPr>
                <w:noProof/>
                <w:webHidden/>
              </w:rPr>
              <w:instrText xml:space="preserve"> PAGEREF _Toc153538023 \h </w:instrText>
            </w:r>
            <w:r w:rsidR="00E242E9">
              <w:rPr>
                <w:noProof/>
                <w:webHidden/>
              </w:rPr>
            </w:r>
            <w:r w:rsidR="00E242E9">
              <w:rPr>
                <w:noProof/>
                <w:webHidden/>
              </w:rPr>
              <w:fldChar w:fldCharType="separate"/>
            </w:r>
            <w:r w:rsidR="00E242E9">
              <w:rPr>
                <w:noProof/>
                <w:webHidden/>
              </w:rPr>
              <w:t>11</w:t>
            </w:r>
            <w:r w:rsidR="00E242E9">
              <w:rPr>
                <w:noProof/>
                <w:webHidden/>
              </w:rPr>
              <w:fldChar w:fldCharType="end"/>
            </w:r>
          </w:hyperlink>
        </w:p>
        <w:p w14:paraId="5B3E900E" w14:textId="1831E4A4" w:rsidR="00E242E9" w:rsidRDefault="00C56546">
          <w:pPr>
            <w:pStyle w:val="TOC2"/>
            <w:tabs>
              <w:tab w:val="left" w:pos="1276"/>
            </w:tabs>
            <w:rPr>
              <w:rFonts w:asciiTheme="minorHAnsi" w:eastAsiaTheme="minorEastAsia" w:hAnsiTheme="minorHAnsi" w:cstheme="minorBidi"/>
              <w:b w:val="0"/>
              <w:noProof/>
              <w:color w:val="auto"/>
              <w:sz w:val="22"/>
              <w:szCs w:val="22"/>
              <w:lang w:eastAsia="en-AU"/>
            </w:rPr>
          </w:pPr>
          <w:hyperlink w:anchor="_Toc153538024" w:history="1">
            <w:r w:rsidR="00E242E9" w:rsidRPr="007E4CAA">
              <w:rPr>
                <w:rStyle w:val="Hyperlink"/>
                <w:noProof/>
              </w:rPr>
              <w:t>11.</w:t>
            </w:r>
            <w:r w:rsidR="00E242E9">
              <w:rPr>
                <w:rFonts w:asciiTheme="minorHAnsi" w:eastAsiaTheme="minorEastAsia" w:hAnsiTheme="minorHAnsi" w:cstheme="minorBidi"/>
                <w:b w:val="0"/>
                <w:noProof/>
                <w:color w:val="auto"/>
                <w:sz w:val="22"/>
                <w:szCs w:val="22"/>
                <w:lang w:eastAsia="en-AU"/>
              </w:rPr>
              <w:tab/>
            </w:r>
            <w:r w:rsidR="00E242E9" w:rsidRPr="007E4CAA">
              <w:rPr>
                <w:rStyle w:val="Hyperlink"/>
                <w:noProof/>
              </w:rPr>
              <w:t>Next steps</w:t>
            </w:r>
            <w:r w:rsidR="00E242E9">
              <w:rPr>
                <w:noProof/>
                <w:webHidden/>
              </w:rPr>
              <w:tab/>
            </w:r>
            <w:r w:rsidR="00E242E9">
              <w:rPr>
                <w:noProof/>
                <w:webHidden/>
              </w:rPr>
              <w:fldChar w:fldCharType="begin"/>
            </w:r>
            <w:r w:rsidR="00E242E9">
              <w:rPr>
                <w:noProof/>
                <w:webHidden/>
              </w:rPr>
              <w:instrText xml:space="preserve"> PAGEREF _Toc153538024 \h </w:instrText>
            </w:r>
            <w:r w:rsidR="00E242E9">
              <w:rPr>
                <w:noProof/>
                <w:webHidden/>
              </w:rPr>
            </w:r>
            <w:r w:rsidR="00E242E9">
              <w:rPr>
                <w:noProof/>
                <w:webHidden/>
              </w:rPr>
              <w:fldChar w:fldCharType="separate"/>
            </w:r>
            <w:r w:rsidR="00E242E9">
              <w:rPr>
                <w:noProof/>
                <w:webHidden/>
              </w:rPr>
              <w:t>12</w:t>
            </w:r>
            <w:r w:rsidR="00E242E9">
              <w:rPr>
                <w:noProof/>
                <w:webHidden/>
              </w:rPr>
              <w:fldChar w:fldCharType="end"/>
            </w:r>
          </w:hyperlink>
        </w:p>
        <w:p w14:paraId="0B262654" w14:textId="2E19A2B4" w:rsidR="00F401EF" w:rsidRPr="00215D48" w:rsidRDefault="00F859D2" w:rsidP="002C160A">
          <w:pPr>
            <w:tabs>
              <w:tab w:val="right" w:pos="9070"/>
            </w:tabs>
          </w:pPr>
          <w:r w:rsidRPr="00E10E80">
            <w:rPr>
              <w:sz w:val="28"/>
              <w:szCs w:val="28"/>
            </w:rPr>
            <w:fldChar w:fldCharType="end"/>
          </w:r>
          <w:r w:rsidR="002C160A">
            <w:tab/>
          </w:r>
        </w:p>
      </w:sdtContent>
    </w:sdt>
    <w:p w14:paraId="53C3E47A" w14:textId="195E3E6F" w:rsidR="00C378BA" w:rsidRDefault="00C378BA" w:rsidP="00C378BA">
      <w:pPr>
        <w:tabs>
          <w:tab w:val="left" w:pos="6840"/>
        </w:tabs>
      </w:pPr>
      <w:r>
        <w:tab/>
      </w:r>
    </w:p>
    <w:p w14:paraId="519917B1" w14:textId="57FCA4E3" w:rsidR="00AA3EB9" w:rsidRDefault="001525B4" w:rsidP="00C378BA">
      <w:pPr>
        <w:tabs>
          <w:tab w:val="left" w:pos="6840"/>
        </w:tabs>
      </w:pPr>
      <w:r w:rsidRPr="00C378BA">
        <w:br w:type="page"/>
      </w:r>
    </w:p>
    <w:p w14:paraId="1D52604E" w14:textId="77777777" w:rsidR="004222B4" w:rsidRPr="001F259D" w:rsidRDefault="004222B4" w:rsidP="00470FF9">
      <w:pPr>
        <w:pStyle w:val="Heading2"/>
        <w:pageBreakBefore/>
        <w:rPr>
          <w:rFonts w:asciiTheme="minorHAnsi" w:hAnsiTheme="minorHAnsi"/>
        </w:rPr>
      </w:pPr>
      <w:bookmarkStart w:id="0" w:name="_Toc114655149"/>
      <w:bookmarkStart w:id="1" w:name="_Toc153538013"/>
      <w:r w:rsidRPr="001F259D">
        <w:rPr>
          <w:rFonts w:asciiTheme="minorHAnsi" w:hAnsiTheme="minorHAnsi"/>
        </w:rPr>
        <w:lastRenderedPageBreak/>
        <w:t>Introduction</w:t>
      </w:r>
      <w:bookmarkEnd w:id="0"/>
      <w:bookmarkEnd w:id="1"/>
    </w:p>
    <w:p w14:paraId="080038CF" w14:textId="6D05B5AF" w:rsidR="00FC6317" w:rsidRPr="00FC6317" w:rsidRDefault="00FC6317" w:rsidP="00FC6317">
      <w:pPr>
        <w:rPr>
          <w:rFonts w:asciiTheme="minorHAnsi" w:hAnsiTheme="minorHAnsi"/>
        </w:rPr>
      </w:pPr>
      <w:bookmarkStart w:id="2" w:name="_Toc114655151"/>
      <w:r w:rsidRPr="00FC6317">
        <w:rPr>
          <w:rFonts w:asciiTheme="minorHAnsi" w:hAnsiTheme="minorHAnsi"/>
        </w:rPr>
        <w:t>The Therapeutic Goods Administration (TGA) within the Department of Health</w:t>
      </w:r>
      <w:r w:rsidR="00BF779E">
        <w:rPr>
          <w:rFonts w:asciiTheme="minorHAnsi" w:hAnsiTheme="minorHAnsi"/>
        </w:rPr>
        <w:t xml:space="preserve"> and Aged Care</w:t>
      </w:r>
      <w:r w:rsidR="001760E6">
        <w:rPr>
          <w:rFonts w:asciiTheme="minorHAnsi" w:hAnsiTheme="minorHAnsi"/>
        </w:rPr>
        <w:t xml:space="preserve"> (the Department)</w:t>
      </w:r>
      <w:r w:rsidRPr="00FC6317">
        <w:rPr>
          <w:rFonts w:asciiTheme="minorHAnsi" w:hAnsiTheme="minorHAnsi"/>
        </w:rPr>
        <w:t xml:space="preserve"> is responsible for </w:t>
      </w:r>
      <w:r w:rsidR="003F7336">
        <w:rPr>
          <w:rFonts w:asciiTheme="minorHAnsi" w:hAnsiTheme="minorHAnsi"/>
        </w:rPr>
        <w:t xml:space="preserve">regulating </w:t>
      </w:r>
      <w:r w:rsidRPr="00FC6317">
        <w:rPr>
          <w:rFonts w:asciiTheme="minorHAnsi" w:hAnsiTheme="minorHAnsi"/>
        </w:rPr>
        <w:t xml:space="preserve">the supply, import, export, manufacturing, and advertising of therapeutic goods. The TGA protects the health and safety of the community by regulating therapeutic goods for safety, </w:t>
      </w:r>
      <w:r w:rsidR="006A4B59" w:rsidRPr="00FC6317">
        <w:rPr>
          <w:rFonts w:asciiTheme="minorHAnsi" w:hAnsiTheme="minorHAnsi"/>
        </w:rPr>
        <w:t>effectiveness,</w:t>
      </w:r>
      <w:r w:rsidRPr="00FC6317">
        <w:rPr>
          <w:rFonts w:asciiTheme="minorHAnsi" w:hAnsiTheme="minorHAnsi"/>
        </w:rPr>
        <w:t xml:space="preserve"> and quality through administering the </w:t>
      </w:r>
      <w:hyperlink r:id="rId13" w:history="1">
        <w:r w:rsidRPr="005C46B0">
          <w:rPr>
            <w:rStyle w:val="Hyperlink"/>
            <w:rFonts w:asciiTheme="minorHAnsi" w:hAnsiTheme="minorHAnsi"/>
            <w:i/>
            <w:iCs/>
          </w:rPr>
          <w:t>Therapeutic Goods Act</w:t>
        </w:r>
        <w:r w:rsidRPr="005C46B0">
          <w:rPr>
            <w:rStyle w:val="Hyperlink"/>
            <w:rFonts w:asciiTheme="minorHAnsi" w:hAnsiTheme="minorHAnsi"/>
          </w:rPr>
          <w:t xml:space="preserve"> </w:t>
        </w:r>
        <w:r w:rsidRPr="005C46B0">
          <w:rPr>
            <w:rStyle w:val="Hyperlink"/>
            <w:rFonts w:asciiTheme="minorHAnsi" w:hAnsiTheme="minorHAnsi"/>
            <w:i/>
            <w:iCs/>
          </w:rPr>
          <w:t>1989</w:t>
        </w:r>
      </w:hyperlink>
      <w:r w:rsidRPr="00FC6317">
        <w:rPr>
          <w:rFonts w:asciiTheme="minorHAnsi" w:hAnsiTheme="minorHAnsi"/>
        </w:rPr>
        <w:t xml:space="preserve"> (the Act). To meet these responsibilities, the TGA recovers costs from industry in accordance with </w:t>
      </w:r>
      <w:r w:rsidR="00FF1872">
        <w:rPr>
          <w:rFonts w:asciiTheme="minorHAnsi" w:hAnsiTheme="minorHAnsi"/>
        </w:rPr>
        <w:t xml:space="preserve">the </w:t>
      </w:r>
      <w:r w:rsidRPr="00FC6317">
        <w:rPr>
          <w:rFonts w:asciiTheme="minorHAnsi" w:hAnsiTheme="minorHAnsi"/>
        </w:rPr>
        <w:t>Australian Government cost recovery arrangements.</w:t>
      </w:r>
    </w:p>
    <w:p w14:paraId="0B901B2B" w14:textId="588ABC7F" w:rsidR="00FC6317" w:rsidRPr="00FC6317" w:rsidRDefault="00FC6317" w:rsidP="00FC6317">
      <w:pPr>
        <w:rPr>
          <w:rFonts w:asciiTheme="minorHAnsi" w:hAnsiTheme="minorHAnsi"/>
        </w:rPr>
      </w:pPr>
      <w:r w:rsidRPr="00FC6317">
        <w:rPr>
          <w:rFonts w:asciiTheme="minorHAnsi" w:hAnsiTheme="minorHAnsi"/>
        </w:rPr>
        <w:t>The purpose of this consultation is to provide industry and other interested stakeholders with an opportunity to comment on the TGA’s proposed fees and charges for the 202</w:t>
      </w:r>
      <w:r w:rsidR="009F155D">
        <w:rPr>
          <w:rFonts w:asciiTheme="minorHAnsi" w:hAnsiTheme="minorHAnsi"/>
        </w:rPr>
        <w:t>4</w:t>
      </w:r>
      <w:r w:rsidRPr="00FC6317">
        <w:rPr>
          <w:rFonts w:asciiTheme="minorHAnsi" w:hAnsiTheme="minorHAnsi"/>
        </w:rPr>
        <w:t>-2</w:t>
      </w:r>
      <w:r w:rsidR="009F155D">
        <w:rPr>
          <w:rFonts w:asciiTheme="minorHAnsi" w:hAnsiTheme="minorHAnsi"/>
        </w:rPr>
        <w:t>5</w:t>
      </w:r>
      <w:r w:rsidRPr="00FC6317">
        <w:rPr>
          <w:rFonts w:asciiTheme="minorHAnsi" w:hAnsiTheme="minorHAnsi"/>
        </w:rPr>
        <w:t xml:space="preserve"> financial year. Specifically, we are seeking feedback on the potential impact of the </w:t>
      </w:r>
      <w:r w:rsidR="00FF2AB4">
        <w:rPr>
          <w:rFonts w:asciiTheme="minorHAnsi" w:hAnsiTheme="minorHAnsi"/>
        </w:rPr>
        <w:t>change</w:t>
      </w:r>
      <w:r w:rsidR="00FF1872">
        <w:rPr>
          <w:rFonts w:asciiTheme="minorHAnsi" w:hAnsiTheme="minorHAnsi"/>
        </w:rPr>
        <w:t>s</w:t>
      </w:r>
      <w:r w:rsidRPr="00FC6317">
        <w:rPr>
          <w:rFonts w:asciiTheme="minorHAnsi" w:hAnsiTheme="minorHAnsi"/>
        </w:rPr>
        <w:t xml:space="preserve"> prior to seeking approval from the Government.</w:t>
      </w:r>
    </w:p>
    <w:p w14:paraId="326EFC6A" w14:textId="48DC140B" w:rsidR="00FC6317" w:rsidRPr="00FC6317" w:rsidRDefault="00DE1830" w:rsidP="00FC6317">
      <w:pPr>
        <w:rPr>
          <w:rFonts w:asciiTheme="minorHAnsi" w:hAnsiTheme="minorHAnsi"/>
        </w:rPr>
      </w:pPr>
      <w:r>
        <w:rPr>
          <w:rFonts w:asciiTheme="minorHAnsi" w:hAnsiTheme="minorHAnsi"/>
        </w:rPr>
        <w:t>I</w:t>
      </w:r>
      <w:r w:rsidRPr="00FC6317">
        <w:rPr>
          <w:rFonts w:asciiTheme="minorHAnsi" w:hAnsiTheme="minorHAnsi"/>
        </w:rPr>
        <w:t>n consultation with stakeholders</w:t>
      </w:r>
      <w:r>
        <w:rPr>
          <w:rFonts w:asciiTheme="minorHAnsi" w:hAnsiTheme="minorHAnsi"/>
        </w:rPr>
        <w:t>,</w:t>
      </w:r>
      <w:r w:rsidRPr="00FC6317">
        <w:rPr>
          <w:rFonts w:asciiTheme="minorHAnsi" w:hAnsiTheme="minorHAnsi"/>
        </w:rPr>
        <w:t xml:space="preserve"> </w:t>
      </w:r>
      <w:r>
        <w:rPr>
          <w:rFonts w:asciiTheme="minorHAnsi" w:hAnsiTheme="minorHAnsi"/>
        </w:rPr>
        <w:t>f</w:t>
      </w:r>
      <w:r w:rsidR="00FC6317" w:rsidRPr="00FC6317">
        <w:rPr>
          <w:rFonts w:asciiTheme="minorHAnsi" w:hAnsiTheme="minorHAnsi"/>
        </w:rPr>
        <w:t xml:space="preserve">ees and charges are reviewed annually. The </w:t>
      </w:r>
      <w:r w:rsidR="001615C5" w:rsidRPr="00FC6317">
        <w:rPr>
          <w:rFonts w:asciiTheme="minorHAnsi" w:hAnsiTheme="minorHAnsi"/>
        </w:rPr>
        <w:t xml:space="preserve">TGA </w:t>
      </w:r>
      <w:r w:rsidR="001615C5">
        <w:rPr>
          <w:rFonts w:asciiTheme="minorHAnsi" w:hAnsiTheme="minorHAnsi"/>
        </w:rPr>
        <w:t>uses</w:t>
      </w:r>
      <w:r w:rsidR="00FC6317" w:rsidRPr="00FC6317">
        <w:rPr>
          <w:rFonts w:asciiTheme="minorHAnsi" w:hAnsiTheme="minorHAnsi"/>
        </w:rPr>
        <w:t xml:space="preserve"> other consultation mechanisms as needed</w:t>
      </w:r>
      <w:r w:rsidR="00FF1872">
        <w:rPr>
          <w:rFonts w:asciiTheme="minorHAnsi" w:hAnsiTheme="minorHAnsi"/>
        </w:rPr>
        <w:t xml:space="preserve"> when </w:t>
      </w:r>
      <w:r w:rsidR="00FC6317" w:rsidRPr="00FC6317">
        <w:rPr>
          <w:rFonts w:asciiTheme="minorHAnsi" w:hAnsiTheme="minorHAnsi"/>
        </w:rPr>
        <w:t>significant changes to fees and charges</w:t>
      </w:r>
      <w:r w:rsidR="00FF1872">
        <w:rPr>
          <w:rFonts w:asciiTheme="minorHAnsi" w:hAnsiTheme="minorHAnsi"/>
        </w:rPr>
        <w:t xml:space="preserve"> are required</w:t>
      </w:r>
      <w:r w:rsidR="00FC6317" w:rsidRPr="00FC6317">
        <w:rPr>
          <w:rFonts w:asciiTheme="minorHAnsi" w:hAnsiTheme="minorHAnsi"/>
        </w:rPr>
        <w:t>.</w:t>
      </w:r>
    </w:p>
    <w:p w14:paraId="65FE2F8A" w14:textId="69E8FAAD" w:rsidR="00FC6317" w:rsidRPr="00FC6317" w:rsidRDefault="00FC6317" w:rsidP="00FC6317">
      <w:pPr>
        <w:rPr>
          <w:rFonts w:asciiTheme="minorHAnsi" w:hAnsiTheme="minorHAnsi"/>
        </w:rPr>
      </w:pPr>
      <w:r w:rsidRPr="00FC6317">
        <w:rPr>
          <w:rFonts w:asciiTheme="minorHAnsi" w:hAnsiTheme="minorHAnsi"/>
        </w:rPr>
        <w:t xml:space="preserve">Meetings with peak industry bodies were held during </w:t>
      </w:r>
      <w:r w:rsidR="0069413B">
        <w:rPr>
          <w:rFonts w:asciiTheme="minorHAnsi" w:hAnsiTheme="minorHAnsi"/>
        </w:rPr>
        <w:t>l</w:t>
      </w:r>
      <w:r w:rsidR="009F155D">
        <w:rPr>
          <w:rFonts w:asciiTheme="minorHAnsi" w:hAnsiTheme="minorHAnsi"/>
        </w:rPr>
        <w:t xml:space="preserve">ate November and </w:t>
      </w:r>
      <w:r w:rsidR="0069413B">
        <w:rPr>
          <w:rFonts w:asciiTheme="minorHAnsi" w:hAnsiTheme="minorHAnsi"/>
        </w:rPr>
        <w:t xml:space="preserve">early </w:t>
      </w:r>
      <w:r w:rsidRPr="00FC6317">
        <w:rPr>
          <w:rFonts w:asciiTheme="minorHAnsi" w:hAnsiTheme="minorHAnsi"/>
        </w:rPr>
        <w:t xml:space="preserve">December </w:t>
      </w:r>
      <w:r w:rsidR="009F155D" w:rsidRPr="00FC6317">
        <w:rPr>
          <w:rFonts w:asciiTheme="minorHAnsi" w:hAnsiTheme="minorHAnsi"/>
        </w:rPr>
        <w:t>202</w:t>
      </w:r>
      <w:r w:rsidR="009F155D">
        <w:rPr>
          <w:rFonts w:asciiTheme="minorHAnsi" w:hAnsiTheme="minorHAnsi"/>
        </w:rPr>
        <w:t>3</w:t>
      </w:r>
      <w:r w:rsidR="009F155D" w:rsidRPr="00FC6317">
        <w:rPr>
          <w:rFonts w:asciiTheme="minorHAnsi" w:hAnsiTheme="minorHAnsi"/>
        </w:rPr>
        <w:t xml:space="preserve"> </w:t>
      </w:r>
      <w:r w:rsidRPr="00FC6317">
        <w:rPr>
          <w:rFonts w:asciiTheme="minorHAnsi" w:hAnsiTheme="minorHAnsi"/>
        </w:rPr>
        <w:t>to discuss the proposed changes set out in this paper.</w:t>
      </w:r>
    </w:p>
    <w:p w14:paraId="7489EA66" w14:textId="14E54A86" w:rsidR="004222B4" w:rsidRPr="001F259D" w:rsidRDefault="004222B4">
      <w:pPr>
        <w:pStyle w:val="Heading3"/>
        <w:numPr>
          <w:ilvl w:val="0"/>
          <w:numId w:val="18"/>
        </w:numPr>
        <w:rPr>
          <w:rFonts w:asciiTheme="minorHAnsi" w:hAnsiTheme="minorHAnsi"/>
        </w:rPr>
      </w:pPr>
      <w:bookmarkStart w:id="3" w:name="_Toc153538014"/>
      <w:r w:rsidRPr="001F259D">
        <w:rPr>
          <w:rFonts w:asciiTheme="minorHAnsi" w:hAnsiTheme="minorHAnsi"/>
        </w:rPr>
        <w:t xml:space="preserve">Description of </w:t>
      </w:r>
      <w:r w:rsidR="00FC6317">
        <w:rPr>
          <w:rFonts w:asciiTheme="minorHAnsi" w:hAnsiTheme="minorHAnsi"/>
        </w:rPr>
        <w:t xml:space="preserve">TGA </w:t>
      </w:r>
      <w:bookmarkEnd w:id="2"/>
      <w:r w:rsidR="00FC6317" w:rsidRPr="001F259D">
        <w:rPr>
          <w:rFonts w:asciiTheme="minorHAnsi" w:hAnsiTheme="minorHAnsi"/>
        </w:rPr>
        <w:t>Activit</w:t>
      </w:r>
      <w:r w:rsidR="00FC6317">
        <w:rPr>
          <w:rFonts w:asciiTheme="minorHAnsi" w:hAnsiTheme="minorHAnsi"/>
        </w:rPr>
        <w:t>ies</w:t>
      </w:r>
      <w:bookmarkEnd w:id="3"/>
    </w:p>
    <w:p w14:paraId="7345962C" w14:textId="77777777" w:rsidR="008654DD" w:rsidRDefault="004222B4" w:rsidP="008654DD">
      <w:pPr>
        <w:rPr>
          <w:rFonts w:asciiTheme="minorHAnsi" w:hAnsiTheme="minorHAnsi"/>
        </w:rPr>
      </w:pPr>
      <w:r w:rsidRPr="001F259D">
        <w:rPr>
          <w:rFonts w:asciiTheme="minorHAnsi" w:hAnsiTheme="minorHAnsi"/>
        </w:rPr>
        <w:t>To achieve th</w:t>
      </w:r>
      <w:r w:rsidR="00BF779E">
        <w:rPr>
          <w:rFonts w:asciiTheme="minorHAnsi" w:hAnsiTheme="minorHAnsi"/>
        </w:rPr>
        <w:t>e</w:t>
      </w:r>
      <w:r w:rsidRPr="001F259D">
        <w:rPr>
          <w:rFonts w:asciiTheme="minorHAnsi" w:hAnsiTheme="minorHAnsi"/>
        </w:rPr>
        <w:t xml:space="preserve"> outcome</w:t>
      </w:r>
      <w:r w:rsidR="00BF779E">
        <w:rPr>
          <w:rFonts w:asciiTheme="minorHAnsi" w:hAnsiTheme="minorHAnsi"/>
        </w:rPr>
        <w:t xml:space="preserve"> of </w:t>
      </w:r>
      <w:r w:rsidR="00BF779E" w:rsidRPr="001F259D">
        <w:rPr>
          <w:rFonts w:asciiTheme="minorHAnsi" w:hAnsiTheme="minorHAnsi"/>
        </w:rPr>
        <w:t>protect</w:t>
      </w:r>
      <w:r w:rsidR="00BF779E">
        <w:rPr>
          <w:rFonts w:asciiTheme="minorHAnsi" w:hAnsiTheme="minorHAnsi"/>
        </w:rPr>
        <w:t>ing</w:t>
      </w:r>
      <w:r w:rsidR="00BF779E" w:rsidRPr="001F259D">
        <w:rPr>
          <w:rFonts w:asciiTheme="minorHAnsi" w:hAnsiTheme="minorHAnsi"/>
        </w:rPr>
        <w:t xml:space="preserve"> the health and safety of the</w:t>
      </w:r>
      <w:r w:rsidR="00BF779E">
        <w:rPr>
          <w:rFonts w:asciiTheme="minorHAnsi" w:hAnsiTheme="minorHAnsi"/>
        </w:rPr>
        <w:t xml:space="preserve"> Australian</w:t>
      </w:r>
      <w:r w:rsidR="00BF779E" w:rsidRPr="001F259D">
        <w:rPr>
          <w:rFonts w:asciiTheme="minorHAnsi" w:hAnsiTheme="minorHAnsi"/>
        </w:rPr>
        <w:t xml:space="preserve"> community</w:t>
      </w:r>
      <w:r w:rsidRPr="001F259D">
        <w:rPr>
          <w:rFonts w:asciiTheme="minorHAnsi" w:hAnsiTheme="minorHAnsi"/>
        </w:rPr>
        <w:t xml:space="preserve">, the TGA approves and regulates products based on an assessment of risks against benefits. The community expects therapeutic goods in the marketplace to be safe, of high quality and of a standard at least equal to that of comparable countries. </w:t>
      </w:r>
    </w:p>
    <w:p w14:paraId="0DDCA06D" w14:textId="3B00B9CE" w:rsidR="008654DD" w:rsidRDefault="00A4602E" w:rsidP="008654DD">
      <w:pPr>
        <w:rPr>
          <w:rFonts w:asciiTheme="minorHAnsi" w:hAnsiTheme="minorHAnsi"/>
        </w:rPr>
      </w:pPr>
      <w:r w:rsidRPr="008654DD">
        <w:rPr>
          <w:rFonts w:asciiTheme="minorHAnsi" w:hAnsiTheme="minorHAnsi"/>
        </w:rPr>
        <w:t xml:space="preserve">To achieve this outcome, the TGA approves and regulates products based on an assessment of risks against benefits. The TGA regulates therapeutic goods </w:t>
      </w:r>
      <w:r w:rsidR="00711D16" w:rsidRPr="008654DD">
        <w:rPr>
          <w:rFonts w:asciiTheme="minorHAnsi" w:hAnsiTheme="minorHAnsi"/>
        </w:rPr>
        <w:t>through</w:t>
      </w:r>
      <w:r w:rsidR="008654DD">
        <w:rPr>
          <w:rFonts w:asciiTheme="minorHAnsi" w:hAnsiTheme="minorHAnsi"/>
        </w:rPr>
        <w:t>:</w:t>
      </w:r>
    </w:p>
    <w:p w14:paraId="673443E8" w14:textId="1AE438E9" w:rsidR="004222B4" w:rsidRPr="008654DD" w:rsidRDefault="008654DD" w:rsidP="008654DD">
      <w:pPr>
        <w:pStyle w:val="ListParagraph"/>
        <w:numPr>
          <w:ilvl w:val="0"/>
          <w:numId w:val="10"/>
        </w:numPr>
        <w:spacing w:after="120"/>
        <w:rPr>
          <w:rFonts w:asciiTheme="minorHAnsi" w:hAnsiTheme="minorHAnsi"/>
          <w:color w:val="333F48"/>
        </w:rPr>
      </w:pPr>
      <w:r>
        <w:rPr>
          <w:rFonts w:asciiTheme="minorHAnsi" w:hAnsiTheme="minorHAnsi"/>
          <w:color w:val="333F48"/>
        </w:rPr>
        <w:t>P</w:t>
      </w:r>
      <w:r w:rsidR="004222B4" w:rsidRPr="008654DD">
        <w:rPr>
          <w:rFonts w:asciiTheme="minorHAnsi" w:hAnsiTheme="minorHAnsi"/>
          <w:color w:val="333F48"/>
        </w:rPr>
        <w:t>re-market assessment</w:t>
      </w:r>
    </w:p>
    <w:p w14:paraId="5B1E0B73" w14:textId="44E50AAD" w:rsidR="004222B4" w:rsidRPr="00C17342" w:rsidRDefault="00D656E4" w:rsidP="007A6B1C">
      <w:pPr>
        <w:pStyle w:val="ListParagraph"/>
        <w:numPr>
          <w:ilvl w:val="0"/>
          <w:numId w:val="10"/>
        </w:numPr>
        <w:spacing w:after="120"/>
        <w:rPr>
          <w:rFonts w:asciiTheme="minorHAnsi" w:hAnsiTheme="minorHAnsi"/>
          <w:color w:val="333F48"/>
        </w:rPr>
      </w:pPr>
      <w:r>
        <w:rPr>
          <w:rFonts w:asciiTheme="minorHAnsi" w:hAnsiTheme="minorHAnsi"/>
          <w:color w:val="333F48"/>
        </w:rPr>
        <w:t>P</w:t>
      </w:r>
      <w:r w:rsidR="004222B4" w:rsidRPr="00C17342">
        <w:rPr>
          <w:rFonts w:asciiTheme="minorHAnsi" w:hAnsiTheme="minorHAnsi"/>
          <w:color w:val="333F48"/>
        </w:rPr>
        <w:t>ost-market monitoring and enforcement of standards</w:t>
      </w:r>
      <w:r w:rsidR="008654DD">
        <w:rPr>
          <w:rFonts w:asciiTheme="minorHAnsi" w:hAnsiTheme="minorHAnsi"/>
          <w:color w:val="333F48"/>
        </w:rPr>
        <w:t>; and</w:t>
      </w:r>
    </w:p>
    <w:p w14:paraId="2AAA1165" w14:textId="72D6100B" w:rsidR="004222B4" w:rsidRPr="00C17342" w:rsidRDefault="00D656E4" w:rsidP="007A6B1C">
      <w:pPr>
        <w:pStyle w:val="ListParagraph"/>
        <w:numPr>
          <w:ilvl w:val="0"/>
          <w:numId w:val="10"/>
        </w:numPr>
        <w:spacing w:after="120"/>
        <w:rPr>
          <w:rFonts w:asciiTheme="minorHAnsi" w:hAnsiTheme="minorHAnsi"/>
          <w:color w:val="333F48"/>
        </w:rPr>
      </w:pPr>
      <w:r>
        <w:rPr>
          <w:rFonts w:asciiTheme="minorHAnsi" w:hAnsiTheme="minorHAnsi"/>
          <w:color w:val="333F48"/>
        </w:rPr>
        <w:t>L</w:t>
      </w:r>
      <w:r w:rsidR="004222B4" w:rsidRPr="00C17342">
        <w:rPr>
          <w:rFonts w:asciiTheme="minorHAnsi" w:hAnsiTheme="minorHAnsi"/>
          <w:color w:val="333F48"/>
        </w:rPr>
        <w:t>icensing of Australian manufacturers and verifying overseas manufacturers' compliance with the same standards as their Australian counterparts.</w:t>
      </w:r>
    </w:p>
    <w:p w14:paraId="596A28A1" w14:textId="073F3A89" w:rsidR="004222B4" w:rsidRPr="001F259D" w:rsidRDefault="004222B4" w:rsidP="004222B4">
      <w:pPr>
        <w:rPr>
          <w:rFonts w:asciiTheme="minorHAnsi" w:hAnsiTheme="minorHAnsi"/>
        </w:rPr>
      </w:pPr>
      <w:r w:rsidRPr="001F259D">
        <w:rPr>
          <w:rFonts w:asciiTheme="minorHAnsi" w:hAnsiTheme="minorHAnsi"/>
        </w:rPr>
        <w:t xml:space="preserve">Therapeutic goods are divided broadly into three classes: medicines, medical </w:t>
      </w:r>
      <w:r w:rsidR="00711D16" w:rsidRPr="001F259D">
        <w:rPr>
          <w:rFonts w:asciiTheme="minorHAnsi" w:hAnsiTheme="minorHAnsi"/>
        </w:rPr>
        <w:t>devices,</w:t>
      </w:r>
      <w:r w:rsidRPr="001F259D">
        <w:rPr>
          <w:rFonts w:asciiTheme="minorHAnsi" w:hAnsiTheme="minorHAnsi"/>
        </w:rPr>
        <w:t xml:space="preserve"> and biologicals. Medicines must be entered as either 'registered' or 'listed' medicines </w:t>
      </w:r>
      <w:r w:rsidR="002C160A">
        <w:rPr>
          <w:rFonts w:asciiTheme="minorHAnsi" w:hAnsiTheme="minorHAnsi"/>
        </w:rPr>
        <w:t>i</w:t>
      </w:r>
      <w:r w:rsidRPr="001F259D">
        <w:rPr>
          <w:rFonts w:asciiTheme="minorHAnsi" w:hAnsiTheme="minorHAnsi"/>
        </w:rPr>
        <w:t xml:space="preserve">n the </w:t>
      </w:r>
      <w:r w:rsidR="00FC6317" w:rsidRPr="00FC6317">
        <w:rPr>
          <w:rFonts w:asciiTheme="minorHAnsi" w:hAnsiTheme="minorHAnsi"/>
        </w:rPr>
        <w:t>Australian Register of Therapeutic Goods</w:t>
      </w:r>
      <w:r w:rsidR="00FC6317">
        <w:rPr>
          <w:rFonts w:asciiTheme="minorHAnsi" w:hAnsiTheme="minorHAnsi"/>
        </w:rPr>
        <w:t xml:space="preserve"> (</w:t>
      </w:r>
      <w:r w:rsidRPr="001F259D">
        <w:rPr>
          <w:rFonts w:asciiTheme="minorHAnsi" w:hAnsiTheme="minorHAnsi"/>
        </w:rPr>
        <w:t>ARTG</w:t>
      </w:r>
      <w:r w:rsidR="00FC6317">
        <w:rPr>
          <w:rFonts w:asciiTheme="minorHAnsi" w:hAnsiTheme="minorHAnsi"/>
        </w:rPr>
        <w:t>)</w:t>
      </w:r>
      <w:r w:rsidRPr="001F259D">
        <w:rPr>
          <w:rFonts w:asciiTheme="minorHAnsi" w:hAnsiTheme="minorHAnsi"/>
        </w:rPr>
        <w:t xml:space="preserve">. Medical devices and biologicals must be 'included' </w:t>
      </w:r>
      <w:r w:rsidR="00D03C16">
        <w:rPr>
          <w:rFonts w:asciiTheme="minorHAnsi" w:hAnsiTheme="minorHAnsi"/>
        </w:rPr>
        <w:t>i</w:t>
      </w:r>
      <w:r w:rsidRPr="001F259D">
        <w:rPr>
          <w:rFonts w:asciiTheme="minorHAnsi" w:hAnsiTheme="minorHAnsi"/>
        </w:rPr>
        <w:t>n the ARTG before they may be supplied in or exported from Australia, unless exempt.</w:t>
      </w:r>
    </w:p>
    <w:p w14:paraId="58A599A1" w14:textId="20381B3E" w:rsidR="004222B4" w:rsidRPr="001F259D" w:rsidRDefault="004222B4" w:rsidP="004222B4">
      <w:pPr>
        <w:rPr>
          <w:rFonts w:asciiTheme="minorHAnsi" w:hAnsiTheme="minorHAnsi"/>
        </w:rPr>
      </w:pPr>
      <w:r w:rsidRPr="001F259D">
        <w:rPr>
          <w:rFonts w:asciiTheme="minorHAnsi" w:hAnsiTheme="minorHAnsi"/>
        </w:rPr>
        <w:t xml:space="preserve">If a problem is discovered with a </w:t>
      </w:r>
      <w:r w:rsidR="0014157B">
        <w:rPr>
          <w:rFonts w:asciiTheme="minorHAnsi" w:hAnsiTheme="minorHAnsi"/>
        </w:rPr>
        <w:t>therapeutic good</w:t>
      </w:r>
      <w:r w:rsidRPr="001F259D">
        <w:rPr>
          <w:rFonts w:asciiTheme="minorHAnsi" w:hAnsiTheme="minorHAnsi"/>
        </w:rPr>
        <w:t xml:space="preserve">, or </w:t>
      </w:r>
      <w:r w:rsidR="00BE6AF4">
        <w:rPr>
          <w:rFonts w:asciiTheme="minorHAnsi" w:hAnsiTheme="minorHAnsi"/>
        </w:rPr>
        <w:t xml:space="preserve">the </w:t>
      </w:r>
      <w:r w:rsidRPr="001F259D">
        <w:rPr>
          <w:rFonts w:asciiTheme="minorHAnsi" w:hAnsiTheme="minorHAnsi"/>
        </w:rPr>
        <w:t>manufacturer</w:t>
      </w:r>
      <w:r w:rsidR="00BE6AF4">
        <w:rPr>
          <w:rFonts w:asciiTheme="minorHAnsi" w:hAnsiTheme="minorHAnsi"/>
        </w:rPr>
        <w:t xml:space="preserve"> of </w:t>
      </w:r>
      <w:r w:rsidR="00475C93">
        <w:rPr>
          <w:rFonts w:asciiTheme="minorHAnsi" w:hAnsiTheme="minorHAnsi"/>
        </w:rPr>
        <w:t xml:space="preserve">a </w:t>
      </w:r>
      <w:r w:rsidR="00BE6AF4">
        <w:rPr>
          <w:rFonts w:asciiTheme="minorHAnsi" w:hAnsiTheme="minorHAnsi"/>
        </w:rPr>
        <w:t>therapeutic good</w:t>
      </w:r>
      <w:r w:rsidRPr="001F259D">
        <w:rPr>
          <w:rFonts w:asciiTheme="minorHAnsi" w:hAnsiTheme="minorHAnsi"/>
        </w:rPr>
        <w:t xml:space="preserve"> the TGA </w:t>
      </w:r>
      <w:r w:rsidR="00134F55">
        <w:rPr>
          <w:rFonts w:asciiTheme="minorHAnsi" w:hAnsiTheme="minorHAnsi"/>
        </w:rPr>
        <w:t xml:space="preserve">may take </w:t>
      </w:r>
      <w:r w:rsidRPr="001F259D">
        <w:rPr>
          <w:rFonts w:asciiTheme="minorHAnsi" w:hAnsiTheme="minorHAnsi"/>
        </w:rPr>
        <w:t>regulatory actions</w:t>
      </w:r>
      <w:r w:rsidR="00134F55">
        <w:rPr>
          <w:rFonts w:asciiTheme="minorHAnsi" w:hAnsiTheme="minorHAnsi"/>
        </w:rPr>
        <w:t xml:space="preserve"> including</w:t>
      </w:r>
      <w:r w:rsidR="0014157B">
        <w:rPr>
          <w:rFonts w:asciiTheme="minorHAnsi" w:hAnsiTheme="minorHAnsi"/>
        </w:rPr>
        <w:t>,</w:t>
      </w:r>
      <w:r w:rsidR="00134F55">
        <w:rPr>
          <w:rFonts w:asciiTheme="minorHAnsi" w:hAnsiTheme="minorHAnsi"/>
        </w:rPr>
        <w:t xml:space="preserve"> </w:t>
      </w:r>
      <w:r w:rsidR="00F3463A">
        <w:rPr>
          <w:rFonts w:asciiTheme="minorHAnsi" w:hAnsiTheme="minorHAnsi"/>
        </w:rPr>
        <w:t>but not</w:t>
      </w:r>
      <w:r w:rsidR="00D77B41">
        <w:rPr>
          <w:rFonts w:asciiTheme="minorHAnsi" w:hAnsiTheme="minorHAnsi"/>
        </w:rPr>
        <w:t xml:space="preserve"> </w:t>
      </w:r>
      <w:r w:rsidR="00134F55">
        <w:rPr>
          <w:rFonts w:asciiTheme="minorHAnsi" w:hAnsiTheme="minorHAnsi"/>
        </w:rPr>
        <w:t>limited to</w:t>
      </w:r>
      <w:r w:rsidR="0014157B">
        <w:rPr>
          <w:rFonts w:asciiTheme="minorHAnsi" w:hAnsiTheme="minorHAnsi"/>
        </w:rPr>
        <w:t>,</w:t>
      </w:r>
      <w:r w:rsidR="00134F55">
        <w:rPr>
          <w:rFonts w:asciiTheme="minorHAnsi" w:hAnsiTheme="minorHAnsi"/>
        </w:rPr>
        <w:t xml:space="preserve"> </w:t>
      </w:r>
      <w:r w:rsidRPr="001F259D">
        <w:rPr>
          <w:rFonts w:asciiTheme="minorHAnsi" w:hAnsiTheme="minorHAnsi"/>
        </w:rPr>
        <w:t>continued monitoring</w:t>
      </w:r>
      <w:r w:rsidR="00D03C16">
        <w:rPr>
          <w:rFonts w:asciiTheme="minorHAnsi" w:hAnsiTheme="minorHAnsi"/>
        </w:rPr>
        <w:t>,</w:t>
      </w:r>
      <w:r w:rsidRPr="001F259D">
        <w:rPr>
          <w:rFonts w:asciiTheme="minorHAnsi" w:hAnsiTheme="minorHAnsi"/>
        </w:rPr>
        <w:t xml:space="preserve"> withdrawing the product from the </w:t>
      </w:r>
      <w:r w:rsidR="00711D16" w:rsidRPr="001F259D">
        <w:rPr>
          <w:rFonts w:asciiTheme="minorHAnsi" w:hAnsiTheme="minorHAnsi"/>
        </w:rPr>
        <w:t>market,</w:t>
      </w:r>
      <w:r w:rsidRPr="001F259D">
        <w:rPr>
          <w:rFonts w:asciiTheme="minorHAnsi" w:hAnsiTheme="minorHAnsi"/>
        </w:rPr>
        <w:t xml:space="preserve"> and revoking or cancelling </w:t>
      </w:r>
      <w:r w:rsidR="00FF1872">
        <w:rPr>
          <w:rFonts w:asciiTheme="minorHAnsi" w:hAnsiTheme="minorHAnsi"/>
        </w:rPr>
        <w:t>the</w:t>
      </w:r>
      <w:r w:rsidR="00FF1872" w:rsidRPr="001F259D">
        <w:rPr>
          <w:rFonts w:asciiTheme="minorHAnsi" w:hAnsiTheme="minorHAnsi"/>
        </w:rPr>
        <w:t xml:space="preserve"> </w:t>
      </w:r>
      <w:r w:rsidRPr="001F259D">
        <w:rPr>
          <w:rFonts w:asciiTheme="minorHAnsi" w:hAnsiTheme="minorHAnsi"/>
        </w:rPr>
        <w:t>manufacturing licence.</w:t>
      </w:r>
    </w:p>
    <w:p w14:paraId="640399F7" w14:textId="779F3C84" w:rsidR="004222B4" w:rsidRPr="00E5290F" w:rsidRDefault="00134F55" w:rsidP="004222B4">
      <w:pPr>
        <w:rPr>
          <w:rStyle w:val="Hyperlink"/>
          <w:rFonts w:asciiTheme="minorHAnsi" w:hAnsiTheme="minorHAnsi"/>
        </w:rPr>
      </w:pPr>
      <w:r>
        <w:rPr>
          <w:rFonts w:asciiTheme="minorHAnsi" w:hAnsiTheme="minorHAnsi"/>
        </w:rPr>
        <w:t>T</w:t>
      </w:r>
      <w:r w:rsidR="004222B4" w:rsidRPr="001F259D">
        <w:rPr>
          <w:rFonts w:asciiTheme="minorHAnsi" w:hAnsiTheme="minorHAnsi"/>
        </w:rPr>
        <w:t xml:space="preserve">he TGA </w:t>
      </w:r>
      <w:r>
        <w:rPr>
          <w:rFonts w:asciiTheme="minorHAnsi" w:hAnsiTheme="minorHAnsi"/>
        </w:rPr>
        <w:t xml:space="preserve">also </w:t>
      </w:r>
      <w:r w:rsidR="004222B4" w:rsidRPr="001F259D">
        <w:rPr>
          <w:rFonts w:asciiTheme="minorHAnsi" w:hAnsiTheme="minorHAnsi"/>
        </w:rPr>
        <w:t xml:space="preserve">undertakes public health activities </w:t>
      </w:r>
      <w:r w:rsidR="002A6E4C">
        <w:rPr>
          <w:rFonts w:asciiTheme="minorHAnsi" w:hAnsiTheme="minorHAnsi"/>
        </w:rPr>
        <w:t>for</w:t>
      </w:r>
      <w:r w:rsidR="002A6E4C" w:rsidRPr="001F259D">
        <w:rPr>
          <w:rFonts w:asciiTheme="minorHAnsi" w:hAnsiTheme="minorHAnsi"/>
        </w:rPr>
        <w:t xml:space="preserve"> </w:t>
      </w:r>
      <w:r w:rsidR="004222B4" w:rsidRPr="001F259D">
        <w:rPr>
          <w:rFonts w:asciiTheme="minorHAnsi" w:hAnsiTheme="minorHAnsi"/>
        </w:rPr>
        <w:t>the public good</w:t>
      </w:r>
      <w:r w:rsidR="002A6E4C">
        <w:rPr>
          <w:rFonts w:asciiTheme="minorHAnsi" w:hAnsiTheme="minorHAnsi"/>
        </w:rPr>
        <w:t xml:space="preserve"> rather </w:t>
      </w:r>
      <w:r w:rsidR="00FE0B11">
        <w:rPr>
          <w:rFonts w:asciiTheme="minorHAnsi" w:hAnsiTheme="minorHAnsi"/>
        </w:rPr>
        <w:t xml:space="preserve">than </w:t>
      </w:r>
      <w:r w:rsidR="002A6E4C">
        <w:rPr>
          <w:rFonts w:asciiTheme="minorHAnsi" w:hAnsiTheme="minorHAnsi"/>
        </w:rPr>
        <w:t>direct industry benefit</w:t>
      </w:r>
      <w:r w:rsidR="004222B4" w:rsidRPr="001F259D">
        <w:rPr>
          <w:rFonts w:asciiTheme="minorHAnsi" w:hAnsiTheme="minorHAnsi"/>
        </w:rPr>
        <w:t>.</w:t>
      </w:r>
      <w:r w:rsidR="00FE0B11">
        <w:rPr>
          <w:rFonts w:asciiTheme="minorHAnsi" w:hAnsiTheme="minorHAnsi"/>
        </w:rPr>
        <w:t>,</w:t>
      </w:r>
      <w:r w:rsidR="004222B4" w:rsidRPr="001F259D">
        <w:rPr>
          <w:rFonts w:asciiTheme="minorHAnsi" w:hAnsiTheme="minorHAnsi"/>
        </w:rPr>
        <w:t xml:space="preserve"> </w:t>
      </w:r>
      <w:r w:rsidR="00FE0B11">
        <w:rPr>
          <w:rFonts w:asciiTheme="minorHAnsi" w:hAnsiTheme="minorHAnsi"/>
        </w:rPr>
        <w:t>t</w:t>
      </w:r>
      <w:r w:rsidR="0014157B">
        <w:rPr>
          <w:rFonts w:asciiTheme="minorHAnsi" w:hAnsiTheme="minorHAnsi"/>
        </w:rPr>
        <w:t>hese activities are funded by the Australian Government</w:t>
      </w:r>
      <w:r w:rsidR="00C74402">
        <w:rPr>
          <w:rFonts w:asciiTheme="minorHAnsi" w:hAnsiTheme="minorHAnsi"/>
        </w:rPr>
        <w:t xml:space="preserve"> and are </w:t>
      </w:r>
      <w:r w:rsidR="004222B4" w:rsidRPr="001F259D">
        <w:rPr>
          <w:rFonts w:asciiTheme="minorHAnsi" w:hAnsiTheme="minorHAnsi"/>
        </w:rPr>
        <w:t xml:space="preserve">discussed in detail in </w:t>
      </w:r>
      <w:r>
        <w:rPr>
          <w:rFonts w:asciiTheme="minorHAnsi" w:hAnsiTheme="minorHAnsi"/>
        </w:rPr>
        <w:t xml:space="preserve">the </w:t>
      </w:r>
      <w:r w:rsidR="00E5290F">
        <w:rPr>
          <w:rFonts w:asciiTheme="minorHAnsi" w:hAnsiTheme="minorHAnsi"/>
        </w:rPr>
        <w:fldChar w:fldCharType="begin"/>
      </w:r>
      <w:r w:rsidR="00E5290F">
        <w:rPr>
          <w:rFonts w:asciiTheme="minorHAnsi" w:hAnsiTheme="minorHAnsi"/>
        </w:rPr>
        <w:instrText xml:space="preserve"> HYPERLINK "https://www.tga.gov.au/resources/publication/publications/cost-recovery-implementation-statement-2023-2024" </w:instrText>
      </w:r>
      <w:r w:rsidR="00E5290F">
        <w:rPr>
          <w:rFonts w:asciiTheme="minorHAnsi" w:hAnsiTheme="minorHAnsi"/>
        </w:rPr>
      </w:r>
      <w:r w:rsidR="00E5290F">
        <w:rPr>
          <w:rFonts w:asciiTheme="minorHAnsi" w:hAnsiTheme="minorHAnsi"/>
        </w:rPr>
        <w:fldChar w:fldCharType="separate"/>
      </w:r>
      <w:r w:rsidR="00FC6317" w:rsidRPr="00E5290F">
        <w:rPr>
          <w:rStyle w:val="Hyperlink"/>
          <w:rFonts w:asciiTheme="minorHAnsi" w:hAnsiTheme="minorHAnsi"/>
        </w:rPr>
        <w:t>TGA</w:t>
      </w:r>
      <w:r w:rsidR="004222B4" w:rsidRPr="00E5290F">
        <w:rPr>
          <w:rStyle w:val="Hyperlink"/>
          <w:rFonts w:asciiTheme="minorHAnsi" w:hAnsiTheme="minorHAnsi"/>
        </w:rPr>
        <w:t xml:space="preserve"> C</w:t>
      </w:r>
      <w:r w:rsidR="00FC6317" w:rsidRPr="00E5290F">
        <w:rPr>
          <w:rStyle w:val="Hyperlink"/>
          <w:rFonts w:asciiTheme="minorHAnsi" w:hAnsiTheme="minorHAnsi"/>
        </w:rPr>
        <w:t>ost Recovery Implementation Statement</w:t>
      </w:r>
      <w:r w:rsidR="00A704C0">
        <w:rPr>
          <w:rStyle w:val="Hyperlink"/>
          <w:rFonts w:asciiTheme="minorHAnsi" w:hAnsiTheme="minorHAnsi"/>
        </w:rPr>
        <w:t xml:space="preserve"> (</w:t>
      </w:r>
      <w:r w:rsidR="00DE29F8">
        <w:rPr>
          <w:rStyle w:val="Hyperlink"/>
          <w:rFonts w:asciiTheme="minorHAnsi" w:hAnsiTheme="minorHAnsi"/>
        </w:rPr>
        <w:t>CRIS)</w:t>
      </w:r>
      <w:r w:rsidR="004222B4" w:rsidRPr="00E5290F">
        <w:rPr>
          <w:rStyle w:val="Hyperlink"/>
          <w:rFonts w:asciiTheme="minorHAnsi" w:hAnsiTheme="minorHAnsi"/>
        </w:rPr>
        <w:t>.</w:t>
      </w:r>
      <w:r w:rsidR="00260F55">
        <w:rPr>
          <w:rStyle w:val="Hyperlink"/>
          <w:rFonts w:asciiTheme="minorHAnsi" w:hAnsiTheme="minorHAnsi"/>
        </w:rPr>
        <w:t xml:space="preserve"> </w:t>
      </w:r>
    </w:p>
    <w:p w14:paraId="712E6027" w14:textId="77777777" w:rsidR="00260F55" w:rsidRDefault="00E5290F" w:rsidP="00C332A7">
      <w:pPr>
        <w:pStyle w:val="Heading3"/>
        <w:ind w:left="360"/>
        <w:rPr>
          <w:rFonts w:asciiTheme="minorHAnsi" w:eastAsia="Cambria" w:hAnsiTheme="minorHAnsi"/>
          <w:b w:val="0"/>
          <w:bCs w:val="0"/>
          <w:color w:val="333F48"/>
          <w:sz w:val="22"/>
          <w:szCs w:val="20"/>
        </w:rPr>
      </w:pPr>
      <w:r>
        <w:rPr>
          <w:rFonts w:asciiTheme="minorHAnsi" w:eastAsia="Cambria" w:hAnsiTheme="minorHAnsi"/>
          <w:b w:val="0"/>
          <w:bCs w:val="0"/>
          <w:color w:val="333F48"/>
          <w:sz w:val="22"/>
          <w:szCs w:val="20"/>
        </w:rPr>
        <w:fldChar w:fldCharType="end"/>
      </w:r>
    </w:p>
    <w:p w14:paraId="76B48D2F" w14:textId="77777777" w:rsidR="00260F55" w:rsidRDefault="00260F55">
      <w:pPr>
        <w:spacing w:before="0" w:after="0" w:line="240" w:lineRule="auto"/>
        <w:rPr>
          <w:rFonts w:asciiTheme="minorHAnsi" w:hAnsiTheme="minorHAnsi"/>
        </w:rPr>
      </w:pPr>
      <w:r>
        <w:rPr>
          <w:rFonts w:asciiTheme="minorHAnsi" w:hAnsiTheme="minorHAnsi"/>
          <w:b/>
          <w:bCs/>
        </w:rPr>
        <w:br w:type="page"/>
      </w:r>
    </w:p>
    <w:p w14:paraId="67343280" w14:textId="08B0B932" w:rsidR="00FC6317" w:rsidRPr="00FC6317" w:rsidRDefault="00FC6317">
      <w:pPr>
        <w:pStyle w:val="Heading3"/>
        <w:numPr>
          <w:ilvl w:val="0"/>
          <w:numId w:val="18"/>
        </w:numPr>
        <w:rPr>
          <w:rFonts w:asciiTheme="minorHAnsi" w:hAnsiTheme="minorHAnsi"/>
        </w:rPr>
      </w:pPr>
      <w:bookmarkStart w:id="4" w:name="_Toc153538015"/>
      <w:r w:rsidRPr="00FC6317">
        <w:rPr>
          <w:rFonts w:asciiTheme="minorHAnsi" w:hAnsiTheme="minorHAnsi"/>
        </w:rPr>
        <w:lastRenderedPageBreak/>
        <w:t>Cost recovery obligations of the TGA</w:t>
      </w:r>
      <w:bookmarkEnd w:id="4"/>
    </w:p>
    <w:p w14:paraId="705EB965" w14:textId="65839F9A" w:rsidR="004222B4" w:rsidRDefault="004222B4" w:rsidP="004222B4">
      <w:pPr>
        <w:spacing w:after="120"/>
        <w:rPr>
          <w:rFonts w:asciiTheme="minorHAnsi" w:hAnsiTheme="minorHAnsi"/>
        </w:rPr>
      </w:pPr>
      <w:r w:rsidRPr="001F259D">
        <w:rPr>
          <w:rFonts w:asciiTheme="minorHAnsi" w:hAnsiTheme="minorHAnsi"/>
        </w:rPr>
        <w:t xml:space="preserve">In the </w:t>
      </w:r>
      <w:hyperlink r:id="rId14" w:history="1">
        <w:r w:rsidRPr="001F259D">
          <w:rPr>
            <w:rStyle w:val="Hyperlink"/>
            <w:rFonts w:asciiTheme="minorHAnsi" w:hAnsiTheme="minorHAnsi"/>
          </w:rPr>
          <w:t>1997–98 Budget, Budget Paper No.2, and Part II: Revenue Measures</w:t>
        </w:r>
      </w:hyperlink>
      <w:r w:rsidRPr="001F259D">
        <w:rPr>
          <w:rFonts w:asciiTheme="minorHAnsi" w:hAnsiTheme="minorHAnsi"/>
        </w:rPr>
        <w:t xml:space="preserve"> it was stated that from 1998-99 the TGA would fully recover all costs of activities covered under the Act from industry.</w:t>
      </w:r>
      <w:r w:rsidR="004130BB">
        <w:rPr>
          <w:rFonts w:asciiTheme="minorHAnsi" w:hAnsiTheme="minorHAnsi"/>
        </w:rPr>
        <w:t xml:space="preserve"> </w:t>
      </w:r>
      <w:r w:rsidR="004130BB" w:rsidRPr="004130BB">
        <w:rPr>
          <w:rFonts w:asciiTheme="minorHAnsi" w:hAnsiTheme="minorHAnsi"/>
        </w:rPr>
        <w:t xml:space="preserve">Cost recovery involves </w:t>
      </w:r>
      <w:r w:rsidR="00FE0B11">
        <w:rPr>
          <w:rFonts w:asciiTheme="minorHAnsi" w:hAnsiTheme="minorHAnsi"/>
        </w:rPr>
        <w:t xml:space="preserve">Government </w:t>
      </w:r>
      <w:r w:rsidR="004130BB" w:rsidRPr="004130BB">
        <w:rPr>
          <w:rFonts w:asciiTheme="minorHAnsi" w:hAnsiTheme="minorHAnsi"/>
        </w:rPr>
        <w:t xml:space="preserve">entities charging individuals or </w:t>
      </w:r>
      <w:r w:rsidR="006B4B02">
        <w:rPr>
          <w:rFonts w:asciiTheme="minorHAnsi" w:hAnsiTheme="minorHAnsi"/>
        </w:rPr>
        <w:t>industry</w:t>
      </w:r>
      <w:r w:rsidR="004130BB" w:rsidRPr="004130BB">
        <w:rPr>
          <w:rFonts w:asciiTheme="minorHAnsi" w:hAnsiTheme="minorHAnsi"/>
        </w:rPr>
        <w:t xml:space="preserve"> organisations some or </w:t>
      </w:r>
      <w:r w:rsidR="00730D66" w:rsidRPr="004130BB">
        <w:rPr>
          <w:rFonts w:asciiTheme="minorHAnsi" w:hAnsiTheme="minorHAnsi"/>
        </w:rPr>
        <w:t>all efficient</w:t>
      </w:r>
      <w:r w:rsidR="004130BB" w:rsidRPr="004130BB">
        <w:rPr>
          <w:rFonts w:asciiTheme="minorHAnsi" w:hAnsiTheme="minorHAnsi"/>
        </w:rPr>
        <w:t xml:space="preserve"> costs of a specific </w:t>
      </w:r>
      <w:r w:rsidR="00FE0B11">
        <w:rPr>
          <w:rFonts w:asciiTheme="minorHAnsi" w:hAnsiTheme="minorHAnsi"/>
        </w:rPr>
        <w:t xml:space="preserve">government </w:t>
      </w:r>
      <w:r w:rsidR="004130BB" w:rsidRPr="004130BB">
        <w:rPr>
          <w:rFonts w:asciiTheme="minorHAnsi" w:hAnsiTheme="minorHAnsi"/>
        </w:rPr>
        <w:t xml:space="preserve">activity. The </w:t>
      </w:r>
      <w:hyperlink r:id="rId15" w:history="1">
        <w:r w:rsidR="005171DB" w:rsidRPr="00AE0A49">
          <w:rPr>
            <w:rStyle w:val="Hyperlink"/>
            <w:rFonts w:asciiTheme="minorHAnsi" w:hAnsiTheme="minorHAnsi"/>
          </w:rPr>
          <w:t>Australian Government Cost Recovery Policy</w:t>
        </w:r>
      </w:hyperlink>
      <w:r w:rsidR="005171DB" w:rsidRPr="005171DB" w:rsidDel="005171DB">
        <w:rPr>
          <w:rFonts w:asciiTheme="minorHAnsi" w:hAnsiTheme="minorHAnsi"/>
        </w:rPr>
        <w:t xml:space="preserve"> </w:t>
      </w:r>
      <w:r w:rsidR="00730D66">
        <w:rPr>
          <w:rFonts w:asciiTheme="minorHAnsi" w:hAnsiTheme="minorHAnsi"/>
        </w:rPr>
        <w:t>(</w:t>
      </w:r>
      <w:r w:rsidR="00AE0A49">
        <w:rPr>
          <w:rFonts w:asciiTheme="minorHAnsi" w:hAnsiTheme="minorHAnsi"/>
        </w:rPr>
        <w:t>CRP</w:t>
      </w:r>
      <w:r w:rsidR="00730D66">
        <w:rPr>
          <w:rFonts w:asciiTheme="minorHAnsi" w:hAnsiTheme="minorHAnsi"/>
        </w:rPr>
        <w:t xml:space="preserve">) </w:t>
      </w:r>
      <w:r w:rsidR="004130BB" w:rsidRPr="004130BB">
        <w:rPr>
          <w:rFonts w:asciiTheme="minorHAnsi" w:hAnsiTheme="minorHAnsi"/>
        </w:rPr>
        <w:t>set</w:t>
      </w:r>
      <w:r w:rsidR="001615C5">
        <w:rPr>
          <w:rFonts w:asciiTheme="minorHAnsi" w:hAnsiTheme="minorHAnsi"/>
        </w:rPr>
        <w:t>s</w:t>
      </w:r>
      <w:r w:rsidR="004130BB" w:rsidRPr="004130BB">
        <w:rPr>
          <w:rFonts w:asciiTheme="minorHAnsi" w:hAnsiTheme="minorHAnsi"/>
        </w:rPr>
        <w:t xml:space="preserve"> out the overarching framework under which Government entities design, implement and review cost recovered activities. Accordingly, the TGA generally operates on a full cost recovery basis. This includes the application of annual charges, evaluation fees, conformity assessment fees and inspection fees to sponsors and manufacturers of </w:t>
      </w:r>
      <w:r w:rsidR="0014157B">
        <w:rPr>
          <w:rFonts w:asciiTheme="minorHAnsi" w:hAnsiTheme="minorHAnsi"/>
        </w:rPr>
        <w:t>therapeutic goods</w:t>
      </w:r>
      <w:r w:rsidR="004130BB" w:rsidRPr="004130BB">
        <w:rPr>
          <w:rFonts w:asciiTheme="minorHAnsi" w:hAnsiTheme="minorHAnsi"/>
        </w:rPr>
        <w:t>.</w:t>
      </w:r>
    </w:p>
    <w:p w14:paraId="653B604D" w14:textId="77777777" w:rsidR="00356B32" w:rsidRPr="004130BB" w:rsidRDefault="00356B32" w:rsidP="00356B32">
      <w:pPr>
        <w:spacing w:after="120"/>
        <w:rPr>
          <w:rFonts w:asciiTheme="minorHAnsi" w:hAnsiTheme="minorHAnsi"/>
        </w:rPr>
      </w:pPr>
      <w:r w:rsidRPr="004130BB">
        <w:rPr>
          <w:rFonts w:asciiTheme="minorHAnsi" w:hAnsiTheme="minorHAnsi"/>
        </w:rPr>
        <w:t>The TGA’s cost recovery arrangements cover the following industry sectors:</w:t>
      </w:r>
    </w:p>
    <w:p w14:paraId="31EA592B" w14:textId="4A1EF500"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P</w:t>
      </w:r>
      <w:r w:rsidR="00356B32" w:rsidRPr="00C17342">
        <w:rPr>
          <w:rFonts w:asciiTheme="minorHAnsi" w:hAnsiTheme="minorHAnsi"/>
          <w:color w:val="333F48"/>
        </w:rPr>
        <w:t>rescription medicines</w:t>
      </w:r>
      <w:r>
        <w:rPr>
          <w:rFonts w:asciiTheme="minorHAnsi" w:hAnsiTheme="minorHAnsi"/>
          <w:color w:val="333F48"/>
        </w:rPr>
        <w:t>;</w:t>
      </w:r>
    </w:p>
    <w:p w14:paraId="066B8F61" w14:textId="20A9DE4A"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O</w:t>
      </w:r>
      <w:r w:rsidR="00356B32" w:rsidRPr="00C17342">
        <w:rPr>
          <w:rFonts w:asciiTheme="minorHAnsi" w:hAnsiTheme="minorHAnsi"/>
          <w:color w:val="333F48"/>
        </w:rPr>
        <w:t>ver the counter</w:t>
      </w:r>
      <w:r w:rsidR="00356B32">
        <w:rPr>
          <w:rFonts w:asciiTheme="minorHAnsi" w:hAnsiTheme="minorHAnsi"/>
          <w:color w:val="333F48"/>
        </w:rPr>
        <w:t xml:space="preserve"> (OTC)</w:t>
      </w:r>
      <w:r w:rsidR="00356B32" w:rsidRPr="00C17342">
        <w:rPr>
          <w:rFonts w:asciiTheme="minorHAnsi" w:hAnsiTheme="minorHAnsi"/>
          <w:color w:val="333F48"/>
        </w:rPr>
        <w:t xml:space="preserve"> medicines</w:t>
      </w:r>
      <w:r>
        <w:rPr>
          <w:rFonts w:asciiTheme="minorHAnsi" w:hAnsiTheme="minorHAnsi"/>
          <w:color w:val="333F48"/>
        </w:rPr>
        <w:t>;</w:t>
      </w:r>
    </w:p>
    <w:p w14:paraId="67683E06" w14:textId="2FC175D4"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C</w:t>
      </w:r>
      <w:r w:rsidR="00356B32" w:rsidRPr="00C17342">
        <w:rPr>
          <w:rFonts w:asciiTheme="minorHAnsi" w:hAnsiTheme="minorHAnsi"/>
          <w:color w:val="333F48"/>
        </w:rPr>
        <w:t>omplementary medicines</w:t>
      </w:r>
      <w:r>
        <w:rPr>
          <w:rFonts w:asciiTheme="minorHAnsi" w:hAnsiTheme="minorHAnsi"/>
          <w:color w:val="333F48"/>
        </w:rPr>
        <w:t>;</w:t>
      </w:r>
    </w:p>
    <w:p w14:paraId="25205874" w14:textId="2BD221A8"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M</w:t>
      </w:r>
      <w:r w:rsidR="00356B32" w:rsidRPr="00C17342">
        <w:rPr>
          <w:rFonts w:asciiTheme="minorHAnsi" w:hAnsiTheme="minorHAnsi"/>
          <w:color w:val="333F48"/>
        </w:rPr>
        <w:t>edical devices, including in</w:t>
      </w:r>
      <w:r w:rsidR="00356B32">
        <w:rPr>
          <w:rFonts w:asciiTheme="minorHAnsi" w:hAnsiTheme="minorHAnsi"/>
          <w:color w:val="333F48"/>
        </w:rPr>
        <w:t xml:space="preserve"> </w:t>
      </w:r>
      <w:r w:rsidR="00356B32" w:rsidRPr="00C17342">
        <w:rPr>
          <w:rFonts w:asciiTheme="minorHAnsi" w:hAnsiTheme="minorHAnsi"/>
          <w:color w:val="333F48"/>
        </w:rPr>
        <w:t>vitro diagnostic (IVD) devices</w:t>
      </w:r>
      <w:r>
        <w:rPr>
          <w:rFonts w:asciiTheme="minorHAnsi" w:hAnsiTheme="minorHAnsi"/>
          <w:color w:val="333F48"/>
        </w:rPr>
        <w:t>;</w:t>
      </w:r>
    </w:p>
    <w:p w14:paraId="64EE1FAC" w14:textId="3761E321"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B</w:t>
      </w:r>
      <w:r w:rsidR="00356B32" w:rsidRPr="00C17342">
        <w:rPr>
          <w:rFonts w:asciiTheme="minorHAnsi" w:hAnsiTheme="minorHAnsi"/>
          <w:color w:val="333F48"/>
        </w:rPr>
        <w:t>lood, blood components and biologicals</w:t>
      </w:r>
      <w:r>
        <w:rPr>
          <w:rFonts w:asciiTheme="minorHAnsi" w:hAnsiTheme="minorHAnsi"/>
          <w:color w:val="333F48"/>
        </w:rPr>
        <w:t xml:space="preserve">; and </w:t>
      </w:r>
    </w:p>
    <w:p w14:paraId="1E41F8E8" w14:textId="21742C4D" w:rsidR="00356B32" w:rsidRPr="00C17342" w:rsidRDefault="008654DD" w:rsidP="007A6B1C">
      <w:pPr>
        <w:pStyle w:val="ListParagraph"/>
        <w:numPr>
          <w:ilvl w:val="0"/>
          <w:numId w:val="10"/>
        </w:numPr>
        <w:spacing w:after="120"/>
        <w:rPr>
          <w:rFonts w:asciiTheme="minorHAnsi" w:hAnsiTheme="minorHAnsi"/>
          <w:color w:val="333F48"/>
        </w:rPr>
      </w:pPr>
      <w:r>
        <w:rPr>
          <w:rFonts w:asciiTheme="minorHAnsi" w:hAnsiTheme="minorHAnsi"/>
          <w:color w:val="333F48"/>
        </w:rPr>
        <w:t>G</w:t>
      </w:r>
      <w:r w:rsidR="00356B32" w:rsidRPr="00C17342">
        <w:rPr>
          <w:rFonts w:asciiTheme="minorHAnsi" w:hAnsiTheme="minorHAnsi"/>
          <w:color w:val="333F48"/>
        </w:rPr>
        <w:t>ood manufacturing practice (GMP)</w:t>
      </w:r>
      <w:r w:rsidR="006F47BB">
        <w:rPr>
          <w:rFonts w:asciiTheme="minorHAnsi" w:hAnsiTheme="minorHAnsi"/>
          <w:color w:val="333F48"/>
        </w:rPr>
        <w:t>.</w:t>
      </w:r>
    </w:p>
    <w:p w14:paraId="476F24D0" w14:textId="428F0292" w:rsidR="00356B32" w:rsidRDefault="004130BB" w:rsidP="004130BB">
      <w:pPr>
        <w:spacing w:after="120"/>
        <w:rPr>
          <w:rFonts w:asciiTheme="minorHAnsi" w:hAnsiTheme="minorHAnsi"/>
        </w:rPr>
      </w:pPr>
      <w:r w:rsidRPr="004130BB">
        <w:rPr>
          <w:rFonts w:asciiTheme="minorHAnsi" w:hAnsiTheme="minorHAnsi"/>
        </w:rPr>
        <w:t xml:space="preserve">The TGA also provides </w:t>
      </w:r>
      <w:r w:rsidR="00D03C16" w:rsidRPr="004130BB">
        <w:rPr>
          <w:rFonts w:asciiTheme="minorHAnsi" w:hAnsiTheme="minorHAnsi"/>
        </w:rPr>
        <w:t>several</w:t>
      </w:r>
      <w:r w:rsidRPr="004130BB">
        <w:rPr>
          <w:rFonts w:asciiTheme="minorHAnsi" w:hAnsiTheme="minorHAnsi"/>
        </w:rPr>
        <w:t xml:space="preserve"> fee-free services </w:t>
      </w:r>
      <w:r w:rsidR="00385335">
        <w:rPr>
          <w:rFonts w:asciiTheme="minorHAnsi" w:hAnsiTheme="minorHAnsi"/>
        </w:rPr>
        <w:t>for</w:t>
      </w:r>
      <w:r w:rsidRPr="004130BB">
        <w:rPr>
          <w:rFonts w:asciiTheme="minorHAnsi" w:hAnsiTheme="minorHAnsi"/>
        </w:rPr>
        <w:t xml:space="preserve"> the public good and undertakes a range of compliance, legal enforcement and consumer </w:t>
      </w:r>
      <w:r w:rsidR="00D77B41">
        <w:rPr>
          <w:rFonts w:asciiTheme="minorHAnsi" w:hAnsiTheme="minorHAnsi"/>
        </w:rPr>
        <w:t xml:space="preserve">and health professional </w:t>
      </w:r>
      <w:r w:rsidRPr="004130BB">
        <w:rPr>
          <w:rFonts w:asciiTheme="minorHAnsi" w:hAnsiTheme="minorHAnsi"/>
        </w:rPr>
        <w:t>awareness activities which do not directly relate to any product or industry group</w:t>
      </w:r>
      <w:r w:rsidR="00F01194">
        <w:rPr>
          <w:rFonts w:asciiTheme="minorHAnsi" w:hAnsiTheme="minorHAnsi"/>
        </w:rPr>
        <w:t xml:space="preserve"> and cannot be cost-recovered</w:t>
      </w:r>
      <w:r w:rsidRPr="004130BB">
        <w:rPr>
          <w:rFonts w:asciiTheme="minorHAnsi" w:hAnsiTheme="minorHAnsi"/>
        </w:rPr>
        <w:t xml:space="preserve">. </w:t>
      </w:r>
      <w:r w:rsidR="00867C0D" w:rsidRPr="00867C0D">
        <w:rPr>
          <w:rFonts w:asciiTheme="minorHAnsi" w:hAnsiTheme="minorHAnsi"/>
        </w:rPr>
        <w:t>While from time to time the TGA also receives time limited funding (such as for health emergency or pandemic measures), the vast majority (around 85%) of funding is generated through fees and charges set under the cost recovery arrangements.</w:t>
      </w:r>
    </w:p>
    <w:p w14:paraId="51D7EFE6" w14:textId="2DC33052" w:rsidR="004222B4" w:rsidRDefault="004222B4" w:rsidP="004222B4">
      <w:pPr>
        <w:spacing w:after="120"/>
        <w:rPr>
          <w:rFonts w:asciiTheme="minorHAnsi" w:hAnsiTheme="minorHAnsi"/>
        </w:rPr>
      </w:pPr>
      <w:r w:rsidRPr="001F259D">
        <w:rPr>
          <w:rFonts w:asciiTheme="minorHAnsi" w:hAnsiTheme="minorHAnsi"/>
        </w:rPr>
        <w:t xml:space="preserve">In the </w:t>
      </w:r>
      <w:hyperlink r:id="rId16" w:history="1">
        <w:r w:rsidRPr="001F259D">
          <w:rPr>
            <w:rStyle w:val="Hyperlink"/>
            <w:rFonts w:asciiTheme="minorHAnsi" w:hAnsiTheme="minorHAnsi"/>
          </w:rPr>
          <w:t>2019-20 Mid-year Economic &amp; Fiscal Outlook (MYEFO)</w:t>
        </w:r>
      </w:hyperlink>
      <w:r w:rsidRPr="001F259D">
        <w:rPr>
          <w:rFonts w:asciiTheme="minorHAnsi" w:hAnsiTheme="minorHAnsi"/>
        </w:rPr>
        <w:t xml:space="preserve"> as part of </w:t>
      </w:r>
      <w:r w:rsidR="001615C5">
        <w:rPr>
          <w:rFonts w:asciiTheme="minorHAnsi" w:hAnsiTheme="minorHAnsi"/>
        </w:rPr>
        <w:t xml:space="preserve">an </w:t>
      </w:r>
      <w:r w:rsidRPr="001F259D">
        <w:rPr>
          <w:rFonts w:asciiTheme="minorHAnsi" w:hAnsiTheme="minorHAnsi"/>
        </w:rPr>
        <w:t>ongoing measure, Improving Access to Medicines, Item 7, the Government announced funding of $33</w:t>
      </w:r>
      <w:r w:rsidR="001A3E1B">
        <w:rPr>
          <w:rFonts w:asciiTheme="minorHAnsi" w:hAnsiTheme="minorHAnsi"/>
        </w:rPr>
        <w:t>.0</w:t>
      </w:r>
      <w:r w:rsidRPr="001F259D">
        <w:rPr>
          <w:rFonts w:asciiTheme="minorHAnsi" w:hAnsiTheme="minorHAnsi"/>
        </w:rPr>
        <w:t xml:space="preserve"> million over four years for the TGA with $15 million per year ongoing</w:t>
      </w:r>
      <w:r w:rsidR="000254B1">
        <w:rPr>
          <w:rFonts w:asciiTheme="minorHAnsi" w:hAnsiTheme="minorHAnsi"/>
        </w:rPr>
        <w:t xml:space="preserve"> from</w:t>
      </w:r>
      <w:r w:rsidRPr="001F259D">
        <w:rPr>
          <w:rFonts w:asciiTheme="minorHAnsi" w:hAnsiTheme="minorHAnsi"/>
        </w:rPr>
        <w:t xml:space="preserve"> 2022-23. This funding </w:t>
      </w:r>
      <w:r w:rsidR="009E51EB">
        <w:rPr>
          <w:rFonts w:asciiTheme="minorHAnsi" w:hAnsiTheme="minorHAnsi"/>
        </w:rPr>
        <w:t>will be used to deliver</w:t>
      </w:r>
      <w:r w:rsidRPr="001F259D">
        <w:rPr>
          <w:rFonts w:asciiTheme="minorHAnsi" w:hAnsiTheme="minorHAnsi"/>
        </w:rPr>
        <w:t xml:space="preserve"> fee-free services</w:t>
      </w:r>
      <w:r w:rsidR="00D77B41">
        <w:rPr>
          <w:rFonts w:asciiTheme="minorHAnsi" w:hAnsiTheme="minorHAnsi"/>
        </w:rPr>
        <w:t>, such as registration of orphan drugs and consumer access to unapproved therapeutic goods through the Special Access Scheme</w:t>
      </w:r>
      <w:r w:rsidR="00B606A9">
        <w:rPr>
          <w:rFonts w:asciiTheme="minorHAnsi" w:hAnsiTheme="minorHAnsi"/>
        </w:rPr>
        <w:t xml:space="preserve"> (SAS)</w:t>
      </w:r>
      <w:r w:rsidR="004003C2">
        <w:rPr>
          <w:rFonts w:asciiTheme="minorHAnsi" w:hAnsiTheme="minorHAnsi"/>
        </w:rPr>
        <w:t>.</w:t>
      </w:r>
    </w:p>
    <w:p w14:paraId="55DDA612" w14:textId="054F2581" w:rsidR="006904C5" w:rsidRPr="000C5D75" w:rsidRDefault="006904C5" w:rsidP="006904C5">
      <w:pPr>
        <w:rPr>
          <w:rFonts w:asciiTheme="minorHAnsi" w:hAnsiTheme="minorHAnsi" w:cstheme="minorHAnsi"/>
        </w:rPr>
      </w:pPr>
      <w:r w:rsidRPr="000C5D75">
        <w:rPr>
          <w:rFonts w:asciiTheme="minorHAnsi" w:hAnsiTheme="minorHAnsi"/>
        </w:rPr>
        <w:t xml:space="preserve">In the </w:t>
      </w:r>
      <w:hyperlink r:id="rId17" w:history="1">
        <w:r w:rsidRPr="000C5D75">
          <w:rPr>
            <w:rStyle w:val="Hyperlink"/>
            <w:rFonts w:asciiTheme="minorHAnsi" w:hAnsiTheme="minorHAnsi"/>
          </w:rPr>
          <w:t>2023-24 Budget</w:t>
        </w:r>
      </w:hyperlink>
      <w:r w:rsidRPr="000C5D75">
        <w:rPr>
          <w:rFonts w:asciiTheme="minorHAnsi" w:hAnsiTheme="minorHAnsi"/>
        </w:rPr>
        <w:t xml:space="preserve"> </w:t>
      </w:r>
      <w:r w:rsidRPr="000C5D75">
        <w:rPr>
          <w:rFonts w:asciiTheme="minorHAnsi" w:hAnsiTheme="minorHAnsi" w:cstheme="minorHAnsi"/>
        </w:rPr>
        <w:t xml:space="preserve">the Government provided $61 million over four years </w:t>
      </w:r>
      <w:r w:rsidR="004003C2">
        <w:rPr>
          <w:rFonts w:asciiTheme="minorHAnsi" w:hAnsiTheme="minorHAnsi" w:cstheme="minorHAnsi"/>
        </w:rPr>
        <w:t xml:space="preserve">to deliver a range of other </w:t>
      </w:r>
      <w:r w:rsidRPr="000C5D75">
        <w:rPr>
          <w:rFonts w:asciiTheme="minorHAnsi" w:hAnsiTheme="minorHAnsi" w:cstheme="minorHAnsi"/>
        </w:rPr>
        <w:t>public good activities, such as:</w:t>
      </w:r>
    </w:p>
    <w:p w14:paraId="3338D37D" w14:textId="05878D25" w:rsidR="006904C5" w:rsidRPr="00C378BA" w:rsidRDefault="006904C5" w:rsidP="00C378BA">
      <w:pPr>
        <w:pStyle w:val="ListParagraph"/>
        <w:numPr>
          <w:ilvl w:val="0"/>
          <w:numId w:val="10"/>
        </w:numPr>
        <w:spacing w:after="120"/>
        <w:rPr>
          <w:rFonts w:asciiTheme="minorHAnsi" w:hAnsiTheme="minorHAnsi"/>
          <w:color w:val="333F48"/>
        </w:rPr>
      </w:pPr>
      <w:r w:rsidRPr="00C378BA">
        <w:rPr>
          <w:rFonts w:asciiTheme="minorHAnsi" w:hAnsiTheme="minorHAnsi"/>
          <w:color w:val="333F48"/>
        </w:rPr>
        <w:t xml:space="preserve">Compliance and enforcement for products and companies </w:t>
      </w:r>
      <w:r w:rsidR="001615C5">
        <w:rPr>
          <w:rFonts w:asciiTheme="minorHAnsi" w:hAnsiTheme="minorHAnsi"/>
          <w:color w:val="333F48"/>
        </w:rPr>
        <w:t xml:space="preserve">operating </w:t>
      </w:r>
      <w:r w:rsidRPr="00C378BA">
        <w:rPr>
          <w:rFonts w:asciiTheme="minorHAnsi" w:hAnsiTheme="minorHAnsi"/>
          <w:color w:val="333F48"/>
        </w:rPr>
        <w:t>outside the regulatory system</w:t>
      </w:r>
    </w:p>
    <w:p w14:paraId="26162446" w14:textId="77777777" w:rsidR="006904C5" w:rsidRPr="00C378BA" w:rsidRDefault="006904C5" w:rsidP="00C378BA">
      <w:pPr>
        <w:pStyle w:val="ListParagraph"/>
        <w:numPr>
          <w:ilvl w:val="0"/>
          <w:numId w:val="10"/>
        </w:numPr>
        <w:spacing w:after="120"/>
        <w:rPr>
          <w:rFonts w:asciiTheme="minorHAnsi" w:hAnsiTheme="minorHAnsi"/>
          <w:color w:val="333F48"/>
        </w:rPr>
      </w:pPr>
      <w:r w:rsidRPr="00C378BA">
        <w:rPr>
          <w:rFonts w:asciiTheme="minorHAnsi" w:hAnsiTheme="minorHAnsi"/>
          <w:color w:val="333F48"/>
        </w:rPr>
        <w:t>Managing medicine and medical device shortages</w:t>
      </w:r>
    </w:p>
    <w:p w14:paraId="3A7A5E4F" w14:textId="3140BA43" w:rsidR="006904C5" w:rsidRPr="00C378BA" w:rsidRDefault="00C74402" w:rsidP="00C378BA">
      <w:pPr>
        <w:pStyle w:val="ListParagraph"/>
        <w:numPr>
          <w:ilvl w:val="0"/>
          <w:numId w:val="10"/>
        </w:numPr>
        <w:spacing w:after="120"/>
        <w:rPr>
          <w:rFonts w:asciiTheme="minorHAnsi" w:hAnsiTheme="minorHAnsi"/>
          <w:color w:val="333F48"/>
        </w:rPr>
      </w:pPr>
      <w:r>
        <w:rPr>
          <w:rFonts w:asciiTheme="minorHAnsi" w:hAnsiTheme="minorHAnsi"/>
          <w:color w:val="333F48"/>
        </w:rPr>
        <w:t>Providing educational and communication activities for</w:t>
      </w:r>
      <w:r w:rsidR="006904C5" w:rsidRPr="00C378BA">
        <w:rPr>
          <w:rFonts w:asciiTheme="minorHAnsi" w:hAnsiTheme="minorHAnsi"/>
          <w:color w:val="333F48"/>
        </w:rPr>
        <w:t xml:space="preserve"> consumers and healthcare professionals</w:t>
      </w:r>
    </w:p>
    <w:p w14:paraId="0380BE1E" w14:textId="0D2D4A4A" w:rsidR="006904C5" w:rsidRDefault="006904C5" w:rsidP="00C378BA">
      <w:pPr>
        <w:pStyle w:val="ListParagraph"/>
        <w:numPr>
          <w:ilvl w:val="0"/>
          <w:numId w:val="10"/>
        </w:numPr>
        <w:spacing w:after="120"/>
        <w:rPr>
          <w:rFonts w:asciiTheme="minorHAnsi" w:hAnsiTheme="minorHAnsi"/>
          <w:color w:val="333F48"/>
        </w:rPr>
      </w:pPr>
      <w:r w:rsidRPr="00C378BA">
        <w:rPr>
          <w:rFonts w:asciiTheme="minorHAnsi" w:hAnsiTheme="minorHAnsi"/>
          <w:color w:val="333F48"/>
        </w:rPr>
        <w:t xml:space="preserve">Continued assistance to small and medium enterprises in the sector, particularly those developing emerging technologies. </w:t>
      </w:r>
    </w:p>
    <w:tbl>
      <w:tblPr>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398"/>
        <w:gridCol w:w="1397"/>
        <w:gridCol w:w="1352"/>
        <w:gridCol w:w="1373"/>
        <w:gridCol w:w="1373"/>
      </w:tblGrid>
      <w:tr w:rsidR="00FE0B11" w:rsidRPr="000C5D75" w14:paraId="2B4F6CC9" w14:textId="77777777" w:rsidTr="00B633E1">
        <w:trPr>
          <w:trHeight w:val="442"/>
        </w:trPr>
        <w:tc>
          <w:tcPr>
            <w:tcW w:w="1471" w:type="pct"/>
            <w:tcBorders>
              <w:top w:val="single" w:sz="4" w:space="0" w:color="auto"/>
              <w:left w:val="single" w:sz="4" w:space="0" w:color="auto"/>
              <w:bottom w:val="single" w:sz="4" w:space="0" w:color="auto"/>
              <w:right w:val="single" w:sz="4" w:space="0" w:color="auto"/>
            </w:tcBorders>
            <w:shd w:val="clear" w:color="auto" w:fill="BED6FF" w:themeFill="accent1" w:themeFillTint="33"/>
            <w:tcMar>
              <w:top w:w="0" w:type="dxa"/>
              <w:left w:w="113" w:type="dxa"/>
              <w:bottom w:w="0" w:type="dxa"/>
              <w:right w:w="113" w:type="dxa"/>
            </w:tcMar>
            <w:vAlign w:val="center"/>
          </w:tcPr>
          <w:p w14:paraId="13111AC0" w14:textId="50B54BCB" w:rsidR="00FE0B11" w:rsidRPr="008654DD" w:rsidRDefault="00FE0B11" w:rsidP="006D0F87">
            <w:pPr>
              <w:spacing w:before="0" w:after="0" w:line="240" w:lineRule="auto"/>
              <w:rPr>
                <w:rFonts w:asciiTheme="minorHAnsi" w:hAnsiTheme="minorHAnsi"/>
                <w:sz w:val="20"/>
              </w:rPr>
            </w:pPr>
            <w:r>
              <w:rPr>
                <w:rFonts w:asciiTheme="minorHAnsi" w:hAnsiTheme="minorHAnsi"/>
                <w:sz w:val="20"/>
              </w:rPr>
              <w:t>Department</w:t>
            </w:r>
          </w:p>
        </w:tc>
        <w:tc>
          <w:tcPr>
            <w:tcW w:w="715" w:type="pct"/>
            <w:tcBorders>
              <w:top w:val="single" w:sz="4" w:space="0" w:color="auto"/>
              <w:left w:val="single" w:sz="4" w:space="0" w:color="auto"/>
              <w:bottom w:val="single" w:sz="4" w:space="0" w:color="auto"/>
              <w:right w:val="single" w:sz="4" w:space="0" w:color="auto"/>
            </w:tcBorders>
            <w:shd w:val="clear" w:color="auto" w:fill="BED6FF" w:themeFill="accent1" w:themeFillTint="33"/>
            <w:vAlign w:val="center"/>
          </w:tcPr>
          <w:p w14:paraId="18F41529"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2023-24</w:t>
            </w:r>
          </w:p>
          <w:p w14:paraId="66DC8F8C"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15" w:type="pct"/>
            <w:tcBorders>
              <w:top w:val="single" w:sz="4" w:space="0" w:color="auto"/>
              <w:left w:val="single" w:sz="4" w:space="0" w:color="auto"/>
              <w:bottom w:val="single" w:sz="4" w:space="0" w:color="auto"/>
              <w:right w:val="single" w:sz="4" w:space="0" w:color="auto"/>
            </w:tcBorders>
            <w:shd w:val="clear" w:color="auto" w:fill="BED6FF" w:themeFill="accent1" w:themeFillTint="33"/>
            <w:tcMar>
              <w:top w:w="0" w:type="dxa"/>
              <w:left w:w="113" w:type="dxa"/>
              <w:bottom w:w="0" w:type="dxa"/>
              <w:right w:w="113" w:type="dxa"/>
            </w:tcMar>
            <w:vAlign w:val="center"/>
            <w:hideMark/>
          </w:tcPr>
          <w:p w14:paraId="367BDCE7"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2024-25</w:t>
            </w:r>
          </w:p>
          <w:p w14:paraId="48D66B1A"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692" w:type="pct"/>
            <w:tcBorders>
              <w:top w:val="single" w:sz="4" w:space="0" w:color="auto"/>
              <w:left w:val="single" w:sz="4" w:space="0" w:color="auto"/>
              <w:bottom w:val="single" w:sz="4" w:space="0" w:color="auto"/>
              <w:right w:val="single" w:sz="4" w:space="0" w:color="auto"/>
            </w:tcBorders>
            <w:shd w:val="clear" w:color="auto" w:fill="BED6FF" w:themeFill="accent1" w:themeFillTint="33"/>
            <w:vAlign w:val="center"/>
            <w:hideMark/>
          </w:tcPr>
          <w:p w14:paraId="64D78E79"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2025-26</w:t>
            </w:r>
          </w:p>
          <w:p w14:paraId="3C81A37B"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03" w:type="pct"/>
            <w:tcBorders>
              <w:top w:val="single" w:sz="4" w:space="0" w:color="auto"/>
              <w:left w:val="single" w:sz="4" w:space="0" w:color="auto"/>
              <w:bottom w:val="single" w:sz="4" w:space="0" w:color="auto"/>
              <w:right w:val="single" w:sz="4" w:space="0" w:color="auto"/>
            </w:tcBorders>
            <w:shd w:val="clear" w:color="auto" w:fill="BED6FF" w:themeFill="accent1" w:themeFillTint="33"/>
            <w:vAlign w:val="center"/>
            <w:hideMark/>
          </w:tcPr>
          <w:p w14:paraId="54697242"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2026-27</w:t>
            </w:r>
          </w:p>
          <w:p w14:paraId="6C51403D"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c>
          <w:tcPr>
            <w:tcW w:w="703" w:type="pct"/>
            <w:tcBorders>
              <w:top w:val="single" w:sz="4" w:space="0" w:color="auto"/>
              <w:left w:val="single" w:sz="4" w:space="0" w:color="auto"/>
              <w:bottom w:val="single" w:sz="4" w:space="0" w:color="auto"/>
              <w:right w:val="single" w:sz="4" w:space="0" w:color="auto"/>
            </w:tcBorders>
            <w:shd w:val="clear" w:color="auto" w:fill="BED6FF" w:themeFill="accent1" w:themeFillTint="33"/>
          </w:tcPr>
          <w:p w14:paraId="041A6471"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Total</w:t>
            </w:r>
          </w:p>
          <w:p w14:paraId="038BF555" w14:textId="77777777" w:rsidR="00FE0B11" w:rsidRPr="008654DD" w:rsidRDefault="00FE0B11" w:rsidP="008654DD">
            <w:pPr>
              <w:spacing w:before="0" w:after="0" w:line="240" w:lineRule="auto"/>
              <w:jc w:val="center"/>
              <w:rPr>
                <w:rFonts w:asciiTheme="minorHAnsi" w:hAnsiTheme="minorHAnsi"/>
                <w:b/>
                <w:bCs/>
                <w:sz w:val="20"/>
              </w:rPr>
            </w:pPr>
            <w:r w:rsidRPr="008654DD">
              <w:rPr>
                <w:rFonts w:asciiTheme="minorHAnsi" w:hAnsiTheme="minorHAnsi"/>
                <w:b/>
                <w:bCs/>
                <w:sz w:val="20"/>
              </w:rPr>
              <w:t>$’m</w:t>
            </w:r>
          </w:p>
        </w:tc>
      </w:tr>
      <w:tr w:rsidR="00FE0B11" w:rsidRPr="000C5D75" w14:paraId="522614FD" w14:textId="77777777" w:rsidTr="00B633E1">
        <w:trPr>
          <w:trHeight w:val="374"/>
        </w:trPr>
        <w:tc>
          <w:tcPr>
            <w:tcW w:w="14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0D299F" w14:textId="6F58302F" w:rsidR="00FE0B11" w:rsidRPr="008654DD" w:rsidRDefault="00FE0B11" w:rsidP="006D0F87">
            <w:pPr>
              <w:spacing w:before="0" w:after="0" w:line="240" w:lineRule="auto"/>
              <w:rPr>
                <w:rFonts w:asciiTheme="minorHAnsi" w:hAnsiTheme="minorHAnsi"/>
                <w:sz w:val="20"/>
              </w:rPr>
            </w:pPr>
            <w:r w:rsidRPr="008654DD">
              <w:rPr>
                <w:rFonts w:asciiTheme="minorHAnsi" w:hAnsiTheme="minorHAnsi"/>
                <w:sz w:val="20"/>
              </w:rPr>
              <w:t>Health and Aged Care</w:t>
            </w:r>
          </w:p>
        </w:tc>
        <w:tc>
          <w:tcPr>
            <w:tcW w:w="715" w:type="pct"/>
            <w:tcBorders>
              <w:top w:val="single" w:sz="4" w:space="0" w:color="auto"/>
              <w:left w:val="single" w:sz="4" w:space="0" w:color="auto"/>
              <w:bottom w:val="single" w:sz="4" w:space="0" w:color="auto"/>
              <w:right w:val="single" w:sz="4" w:space="0" w:color="auto"/>
            </w:tcBorders>
          </w:tcPr>
          <w:p w14:paraId="281B6E03" w14:textId="77777777" w:rsidR="00FE0B11" w:rsidRPr="008654DD" w:rsidRDefault="00FE0B11" w:rsidP="006F47BB">
            <w:pPr>
              <w:spacing w:before="0" w:after="0" w:line="240" w:lineRule="auto"/>
              <w:jc w:val="right"/>
              <w:rPr>
                <w:rFonts w:asciiTheme="minorHAnsi" w:hAnsiTheme="minorHAnsi"/>
                <w:sz w:val="20"/>
              </w:rPr>
            </w:pPr>
            <w:r w:rsidRPr="008654DD">
              <w:rPr>
                <w:rFonts w:asciiTheme="minorHAnsi" w:hAnsiTheme="minorHAnsi"/>
                <w:sz w:val="20"/>
              </w:rPr>
              <w:t>14.979</w:t>
            </w:r>
          </w:p>
        </w:tc>
        <w:tc>
          <w:tcPr>
            <w:tcW w:w="715"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14:paraId="3F58257B" w14:textId="77777777" w:rsidR="00FE0B11" w:rsidRPr="008654DD" w:rsidRDefault="00FE0B11" w:rsidP="006F47BB">
            <w:pPr>
              <w:spacing w:before="0" w:after="0" w:line="240" w:lineRule="auto"/>
              <w:jc w:val="right"/>
              <w:rPr>
                <w:rFonts w:asciiTheme="minorHAnsi" w:hAnsiTheme="minorHAnsi"/>
                <w:sz w:val="20"/>
              </w:rPr>
            </w:pPr>
            <w:r w:rsidRPr="008654DD">
              <w:rPr>
                <w:rFonts w:asciiTheme="minorHAnsi" w:hAnsiTheme="minorHAnsi"/>
                <w:sz w:val="20"/>
              </w:rPr>
              <w:t>15.214</w:t>
            </w:r>
          </w:p>
        </w:tc>
        <w:tc>
          <w:tcPr>
            <w:tcW w:w="692" w:type="pct"/>
            <w:tcBorders>
              <w:top w:val="single" w:sz="4" w:space="0" w:color="auto"/>
              <w:left w:val="single" w:sz="4" w:space="0" w:color="auto"/>
              <w:bottom w:val="single" w:sz="4" w:space="0" w:color="auto"/>
              <w:right w:val="single" w:sz="4" w:space="0" w:color="auto"/>
            </w:tcBorders>
            <w:hideMark/>
          </w:tcPr>
          <w:p w14:paraId="33A2C8F5" w14:textId="77777777" w:rsidR="00FE0B11" w:rsidRPr="008654DD" w:rsidRDefault="00FE0B11" w:rsidP="006F47BB">
            <w:pPr>
              <w:spacing w:before="0" w:after="0" w:line="240" w:lineRule="auto"/>
              <w:jc w:val="right"/>
              <w:rPr>
                <w:rFonts w:asciiTheme="minorHAnsi" w:hAnsiTheme="minorHAnsi"/>
                <w:sz w:val="20"/>
              </w:rPr>
            </w:pPr>
            <w:r w:rsidRPr="008654DD">
              <w:rPr>
                <w:rFonts w:asciiTheme="minorHAnsi" w:hAnsiTheme="minorHAnsi"/>
                <w:sz w:val="20"/>
              </w:rPr>
              <w:t>15.332</w:t>
            </w:r>
          </w:p>
        </w:tc>
        <w:tc>
          <w:tcPr>
            <w:tcW w:w="703" w:type="pct"/>
            <w:tcBorders>
              <w:top w:val="single" w:sz="4" w:space="0" w:color="auto"/>
              <w:left w:val="single" w:sz="4" w:space="0" w:color="auto"/>
              <w:bottom w:val="single" w:sz="4" w:space="0" w:color="auto"/>
              <w:right w:val="single" w:sz="4" w:space="0" w:color="auto"/>
            </w:tcBorders>
            <w:hideMark/>
          </w:tcPr>
          <w:p w14:paraId="070440B7" w14:textId="77777777" w:rsidR="00FE0B11" w:rsidRPr="008654DD" w:rsidRDefault="00FE0B11" w:rsidP="006F47BB">
            <w:pPr>
              <w:spacing w:before="0" w:after="0" w:line="240" w:lineRule="auto"/>
              <w:jc w:val="right"/>
              <w:rPr>
                <w:rFonts w:asciiTheme="minorHAnsi" w:hAnsiTheme="minorHAnsi"/>
                <w:b/>
                <w:sz w:val="20"/>
              </w:rPr>
            </w:pPr>
            <w:r w:rsidRPr="008654DD">
              <w:rPr>
                <w:rFonts w:asciiTheme="minorHAnsi" w:hAnsiTheme="minorHAnsi"/>
                <w:sz w:val="20"/>
              </w:rPr>
              <w:t>15.467</w:t>
            </w:r>
          </w:p>
        </w:tc>
        <w:tc>
          <w:tcPr>
            <w:tcW w:w="703" w:type="pct"/>
            <w:tcBorders>
              <w:top w:val="single" w:sz="4" w:space="0" w:color="auto"/>
              <w:left w:val="single" w:sz="4" w:space="0" w:color="auto"/>
              <w:bottom w:val="single" w:sz="4" w:space="0" w:color="auto"/>
              <w:right w:val="single" w:sz="4" w:space="0" w:color="auto"/>
            </w:tcBorders>
          </w:tcPr>
          <w:p w14:paraId="49335A90" w14:textId="77777777" w:rsidR="00FE0B11" w:rsidRPr="008654DD" w:rsidRDefault="00FE0B11" w:rsidP="006F47BB">
            <w:pPr>
              <w:spacing w:before="0" w:after="0" w:line="240" w:lineRule="auto"/>
              <w:jc w:val="right"/>
              <w:rPr>
                <w:rFonts w:asciiTheme="minorHAnsi" w:hAnsiTheme="minorHAnsi"/>
                <w:sz w:val="20"/>
              </w:rPr>
            </w:pPr>
            <w:r w:rsidRPr="008654DD">
              <w:rPr>
                <w:rFonts w:asciiTheme="minorHAnsi" w:hAnsiTheme="minorHAnsi"/>
                <w:sz w:val="20"/>
              </w:rPr>
              <w:t>60.992</w:t>
            </w:r>
          </w:p>
        </w:tc>
      </w:tr>
      <w:tr w:rsidR="00FE0B11" w:rsidRPr="000C5D75" w14:paraId="69E98EF7" w14:textId="77777777" w:rsidTr="00B633E1">
        <w:trPr>
          <w:trHeight w:val="374"/>
        </w:trPr>
        <w:tc>
          <w:tcPr>
            <w:tcW w:w="14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FFFD1D" w14:textId="77777777" w:rsidR="00FE0B11" w:rsidRPr="008654DD" w:rsidRDefault="00FE0B11" w:rsidP="006D0F87">
            <w:pPr>
              <w:spacing w:before="0" w:after="0" w:line="240" w:lineRule="auto"/>
              <w:rPr>
                <w:rFonts w:asciiTheme="minorHAnsi" w:hAnsiTheme="minorHAnsi"/>
                <w:b/>
                <w:bCs/>
                <w:sz w:val="20"/>
              </w:rPr>
            </w:pPr>
            <w:r w:rsidRPr="008654DD">
              <w:rPr>
                <w:rFonts w:asciiTheme="minorHAnsi" w:hAnsiTheme="minorHAnsi"/>
                <w:b/>
                <w:bCs/>
                <w:sz w:val="20"/>
              </w:rPr>
              <w:t>Total</w:t>
            </w:r>
          </w:p>
        </w:tc>
        <w:tc>
          <w:tcPr>
            <w:tcW w:w="715" w:type="pct"/>
            <w:tcBorders>
              <w:top w:val="single" w:sz="4" w:space="0" w:color="auto"/>
              <w:left w:val="single" w:sz="4" w:space="0" w:color="auto"/>
              <w:bottom w:val="single" w:sz="4" w:space="0" w:color="auto"/>
              <w:right w:val="single" w:sz="4" w:space="0" w:color="auto"/>
            </w:tcBorders>
          </w:tcPr>
          <w:p w14:paraId="22C4A627" w14:textId="77777777" w:rsidR="00FE0B11" w:rsidRPr="008654DD" w:rsidRDefault="00FE0B11" w:rsidP="006F47BB">
            <w:pPr>
              <w:spacing w:before="0" w:after="0" w:line="240" w:lineRule="auto"/>
              <w:jc w:val="right"/>
              <w:rPr>
                <w:rFonts w:asciiTheme="minorHAnsi" w:hAnsiTheme="minorHAnsi"/>
                <w:b/>
                <w:bCs/>
                <w:sz w:val="20"/>
              </w:rPr>
            </w:pPr>
            <w:r w:rsidRPr="008654DD">
              <w:rPr>
                <w:rFonts w:asciiTheme="minorHAnsi" w:hAnsiTheme="minorHAnsi"/>
                <w:b/>
                <w:bCs/>
                <w:sz w:val="20"/>
              </w:rPr>
              <w:t>14.979</w:t>
            </w:r>
          </w:p>
        </w:tc>
        <w:tc>
          <w:tcPr>
            <w:tcW w:w="715" w:type="pc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14:paraId="6D26E58E" w14:textId="77777777" w:rsidR="00FE0B11" w:rsidRPr="008654DD" w:rsidRDefault="00FE0B11" w:rsidP="006F47BB">
            <w:pPr>
              <w:spacing w:before="0" w:after="0" w:line="240" w:lineRule="auto"/>
              <w:jc w:val="right"/>
              <w:rPr>
                <w:rFonts w:asciiTheme="minorHAnsi" w:hAnsiTheme="minorHAnsi"/>
                <w:b/>
                <w:bCs/>
                <w:sz w:val="20"/>
              </w:rPr>
            </w:pPr>
            <w:r w:rsidRPr="008654DD">
              <w:rPr>
                <w:rFonts w:asciiTheme="minorHAnsi" w:hAnsiTheme="minorHAnsi"/>
                <w:b/>
                <w:bCs/>
                <w:sz w:val="20"/>
              </w:rPr>
              <w:t>15.214</w:t>
            </w:r>
          </w:p>
        </w:tc>
        <w:tc>
          <w:tcPr>
            <w:tcW w:w="692" w:type="pct"/>
            <w:tcBorders>
              <w:top w:val="single" w:sz="4" w:space="0" w:color="auto"/>
              <w:left w:val="single" w:sz="4" w:space="0" w:color="auto"/>
              <w:bottom w:val="single" w:sz="4" w:space="0" w:color="auto"/>
              <w:right w:val="single" w:sz="4" w:space="0" w:color="auto"/>
            </w:tcBorders>
            <w:hideMark/>
          </w:tcPr>
          <w:p w14:paraId="08416C0E" w14:textId="77777777" w:rsidR="00FE0B11" w:rsidRPr="008654DD" w:rsidRDefault="00FE0B11" w:rsidP="006F47BB">
            <w:pPr>
              <w:spacing w:before="0" w:after="0" w:line="240" w:lineRule="auto"/>
              <w:jc w:val="right"/>
              <w:rPr>
                <w:rFonts w:asciiTheme="minorHAnsi" w:hAnsiTheme="minorHAnsi"/>
                <w:b/>
                <w:bCs/>
                <w:sz w:val="20"/>
              </w:rPr>
            </w:pPr>
            <w:r w:rsidRPr="008654DD">
              <w:rPr>
                <w:rFonts w:asciiTheme="minorHAnsi" w:hAnsiTheme="minorHAnsi"/>
                <w:b/>
                <w:bCs/>
                <w:sz w:val="20"/>
              </w:rPr>
              <w:t>15.332</w:t>
            </w:r>
          </w:p>
        </w:tc>
        <w:tc>
          <w:tcPr>
            <w:tcW w:w="703" w:type="pct"/>
            <w:tcBorders>
              <w:top w:val="single" w:sz="4" w:space="0" w:color="auto"/>
              <w:left w:val="single" w:sz="4" w:space="0" w:color="auto"/>
              <w:bottom w:val="single" w:sz="4" w:space="0" w:color="auto"/>
              <w:right w:val="single" w:sz="4" w:space="0" w:color="auto"/>
            </w:tcBorders>
            <w:hideMark/>
          </w:tcPr>
          <w:p w14:paraId="50DB051D" w14:textId="77777777" w:rsidR="00FE0B11" w:rsidRPr="008654DD" w:rsidRDefault="00FE0B11" w:rsidP="006F47BB">
            <w:pPr>
              <w:spacing w:before="0" w:after="0" w:line="240" w:lineRule="auto"/>
              <w:jc w:val="right"/>
              <w:rPr>
                <w:rFonts w:asciiTheme="minorHAnsi" w:hAnsiTheme="minorHAnsi"/>
                <w:b/>
                <w:bCs/>
                <w:sz w:val="20"/>
              </w:rPr>
            </w:pPr>
            <w:r w:rsidRPr="008654DD">
              <w:rPr>
                <w:rFonts w:asciiTheme="minorHAnsi" w:hAnsiTheme="minorHAnsi"/>
                <w:b/>
                <w:bCs/>
                <w:sz w:val="20"/>
              </w:rPr>
              <w:t>15.467</w:t>
            </w:r>
          </w:p>
        </w:tc>
        <w:tc>
          <w:tcPr>
            <w:tcW w:w="703" w:type="pct"/>
            <w:tcBorders>
              <w:top w:val="single" w:sz="4" w:space="0" w:color="auto"/>
              <w:left w:val="single" w:sz="4" w:space="0" w:color="auto"/>
              <w:bottom w:val="single" w:sz="4" w:space="0" w:color="auto"/>
              <w:right w:val="single" w:sz="4" w:space="0" w:color="auto"/>
            </w:tcBorders>
          </w:tcPr>
          <w:p w14:paraId="7D6013EE" w14:textId="77777777" w:rsidR="00FE0B11" w:rsidRPr="008654DD" w:rsidRDefault="00FE0B11" w:rsidP="006F47BB">
            <w:pPr>
              <w:spacing w:before="0" w:after="0" w:line="240" w:lineRule="auto"/>
              <w:jc w:val="right"/>
              <w:rPr>
                <w:rFonts w:asciiTheme="minorHAnsi" w:hAnsiTheme="minorHAnsi"/>
                <w:b/>
                <w:bCs/>
                <w:sz w:val="20"/>
              </w:rPr>
            </w:pPr>
            <w:r w:rsidRPr="008654DD">
              <w:rPr>
                <w:rFonts w:asciiTheme="minorHAnsi" w:hAnsiTheme="minorHAnsi"/>
                <w:b/>
                <w:bCs/>
                <w:sz w:val="20"/>
              </w:rPr>
              <w:t>60.992</w:t>
            </w:r>
          </w:p>
        </w:tc>
      </w:tr>
    </w:tbl>
    <w:p w14:paraId="513229D7" w14:textId="6645CCDF" w:rsidR="005B6BBD" w:rsidRDefault="005B6BBD" w:rsidP="005B6BBD">
      <w:pPr>
        <w:spacing w:after="120"/>
        <w:rPr>
          <w:rFonts w:asciiTheme="minorHAnsi" w:hAnsiTheme="minorHAnsi"/>
        </w:rPr>
      </w:pPr>
      <w:r>
        <w:rPr>
          <w:rFonts w:asciiTheme="minorHAnsi" w:hAnsiTheme="minorHAnsi"/>
        </w:rPr>
        <w:t xml:space="preserve">Additionally, </w:t>
      </w:r>
      <w:r w:rsidRPr="001F259D">
        <w:rPr>
          <w:rFonts w:asciiTheme="minorHAnsi" w:hAnsiTheme="minorHAnsi"/>
        </w:rPr>
        <w:t>small amount</w:t>
      </w:r>
      <w:r>
        <w:rPr>
          <w:rFonts w:asciiTheme="minorHAnsi" w:hAnsiTheme="minorHAnsi"/>
        </w:rPr>
        <w:t>s</w:t>
      </w:r>
      <w:r w:rsidRPr="001F259D">
        <w:rPr>
          <w:rFonts w:asciiTheme="minorHAnsi" w:hAnsiTheme="minorHAnsi"/>
        </w:rPr>
        <w:t xml:space="preserve"> of </w:t>
      </w:r>
      <w:r w:rsidR="009D53E7">
        <w:rPr>
          <w:rFonts w:asciiTheme="minorHAnsi" w:hAnsiTheme="minorHAnsi"/>
        </w:rPr>
        <w:t>Australian Government</w:t>
      </w:r>
      <w:r w:rsidR="00FE0B11">
        <w:rPr>
          <w:rFonts w:asciiTheme="minorHAnsi" w:hAnsiTheme="minorHAnsi"/>
        </w:rPr>
        <w:t xml:space="preserve"> (appropriation)</w:t>
      </w:r>
      <w:r w:rsidRPr="001F259D">
        <w:rPr>
          <w:rFonts w:asciiTheme="minorHAnsi" w:hAnsiTheme="minorHAnsi"/>
        </w:rPr>
        <w:t xml:space="preserve"> funding </w:t>
      </w:r>
      <w:proofErr w:type="gramStart"/>
      <w:r w:rsidR="009D53E7">
        <w:rPr>
          <w:rFonts w:asciiTheme="minorHAnsi" w:hAnsiTheme="minorHAnsi"/>
        </w:rPr>
        <w:t>is</w:t>
      </w:r>
      <w:proofErr w:type="gramEnd"/>
      <w:r w:rsidR="009D53E7">
        <w:rPr>
          <w:rFonts w:asciiTheme="minorHAnsi" w:hAnsiTheme="minorHAnsi"/>
        </w:rPr>
        <w:t xml:space="preserve"> </w:t>
      </w:r>
      <w:r w:rsidRPr="001F259D">
        <w:rPr>
          <w:rFonts w:asciiTheme="minorHAnsi" w:hAnsiTheme="minorHAnsi"/>
        </w:rPr>
        <w:t xml:space="preserve">provided to meet the secretariat costs for medicines and chemicals scheduling regulation, and in </w:t>
      </w:r>
      <w:r w:rsidR="00B93541">
        <w:rPr>
          <w:rFonts w:asciiTheme="minorHAnsi" w:hAnsiTheme="minorHAnsi"/>
        </w:rPr>
        <w:t xml:space="preserve">lieu of interest earned by the Government </w:t>
      </w:r>
      <w:r w:rsidR="004E4D58">
        <w:rPr>
          <w:rFonts w:asciiTheme="minorHAnsi" w:hAnsiTheme="minorHAnsi"/>
        </w:rPr>
        <w:t xml:space="preserve">on </w:t>
      </w:r>
      <w:r w:rsidR="004E4D58" w:rsidRPr="001F259D">
        <w:rPr>
          <w:rFonts w:asciiTheme="minorHAnsi" w:hAnsiTheme="minorHAnsi"/>
        </w:rPr>
        <w:t>the</w:t>
      </w:r>
      <w:r w:rsidRPr="001F259D">
        <w:rPr>
          <w:rFonts w:asciiTheme="minorHAnsi" w:hAnsiTheme="minorHAnsi"/>
        </w:rPr>
        <w:t xml:space="preserve"> special account balance. </w:t>
      </w:r>
    </w:p>
    <w:p w14:paraId="616481E2" w14:textId="7A16622C" w:rsidR="00C74402" w:rsidRPr="00E10E80" w:rsidRDefault="00C74402" w:rsidP="008654DD">
      <w:pPr>
        <w:pStyle w:val="ListBullet"/>
        <w:numPr>
          <w:ilvl w:val="0"/>
          <w:numId w:val="17"/>
        </w:numPr>
        <w:rPr>
          <w:rFonts w:asciiTheme="minorHAnsi" w:hAnsiTheme="minorHAnsi"/>
          <w:b/>
          <w:bCs/>
        </w:rPr>
      </w:pPr>
      <w:r>
        <w:rPr>
          <w:rFonts w:asciiTheme="minorHAnsi" w:hAnsiTheme="minorHAnsi"/>
          <w:b/>
          <w:bCs/>
        </w:rPr>
        <w:t>Legal authority to charge</w:t>
      </w:r>
      <w:r w:rsidRPr="00E10E80">
        <w:rPr>
          <w:rFonts w:asciiTheme="minorHAnsi" w:hAnsiTheme="minorHAnsi"/>
          <w:b/>
          <w:bCs/>
        </w:rPr>
        <w:t xml:space="preserve"> </w:t>
      </w:r>
    </w:p>
    <w:p w14:paraId="7EDA592C" w14:textId="73800A1A" w:rsidR="004222B4" w:rsidRDefault="00D03C16" w:rsidP="004222B4">
      <w:pPr>
        <w:spacing w:after="120"/>
        <w:rPr>
          <w:rFonts w:asciiTheme="minorHAnsi" w:hAnsiTheme="minorHAnsi"/>
        </w:rPr>
      </w:pPr>
      <w:r w:rsidRPr="001F259D">
        <w:rPr>
          <w:rFonts w:asciiTheme="minorHAnsi" w:hAnsiTheme="minorHAnsi"/>
        </w:rPr>
        <w:t>The Act</w:t>
      </w:r>
      <w:r w:rsidR="004222B4" w:rsidRPr="001F259D">
        <w:rPr>
          <w:rFonts w:asciiTheme="minorHAnsi" w:hAnsiTheme="minorHAnsi"/>
        </w:rPr>
        <w:t xml:space="preserve"> provides a legal authority for the TGA to charge for its activities within the scope of the Act. The </w:t>
      </w:r>
      <w:hyperlink r:id="rId18" w:history="1">
        <w:r w:rsidR="004222B4" w:rsidRPr="0075288B">
          <w:rPr>
            <w:rStyle w:val="Hyperlink"/>
            <w:rFonts w:asciiTheme="minorHAnsi" w:hAnsiTheme="minorHAnsi"/>
            <w:i/>
          </w:rPr>
          <w:t>Therapeutic Goods (Charges) Act 1989</w:t>
        </w:r>
      </w:hyperlink>
      <w:r w:rsidR="004222B4" w:rsidRPr="001F259D">
        <w:rPr>
          <w:rFonts w:asciiTheme="minorHAnsi" w:hAnsiTheme="minorHAnsi"/>
        </w:rPr>
        <w:t xml:space="preserve"> (the Charges Act) provides a legal authority to levy annual charges (a type of tax) on sponsors and manufacturers of medicines and medical </w:t>
      </w:r>
      <w:r w:rsidR="004222B4" w:rsidRPr="001F259D">
        <w:rPr>
          <w:rFonts w:asciiTheme="minorHAnsi" w:hAnsiTheme="minorHAnsi"/>
        </w:rPr>
        <w:lastRenderedPageBreak/>
        <w:t>devices. Applicable fees and charges are prescribed in the subordinate regulations made under these Acts.</w:t>
      </w:r>
    </w:p>
    <w:p w14:paraId="3066546F" w14:textId="77777777" w:rsidR="004130BB" w:rsidRPr="004130BB" w:rsidRDefault="004130BB" w:rsidP="004130BB">
      <w:pPr>
        <w:spacing w:after="120"/>
        <w:rPr>
          <w:rFonts w:asciiTheme="minorHAnsi" w:hAnsiTheme="minorHAnsi"/>
        </w:rPr>
      </w:pPr>
      <w:r w:rsidRPr="004130BB">
        <w:rPr>
          <w:rFonts w:asciiTheme="minorHAnsi" w:hAnsiTheme="minorHAnsi"/>
        </w:rPr>
        <w:t>The fees and charges are deposited into the TGA Special Account set up under section 45 of the Act. Any unspent funds at the end of a financial year remain in a reserve for the TGA for future spending for regulatory purposes only, such as business improvement, IT systems enhancement and regulatory reforms.</w:t>
      </w:r>
    </w:p>
    <w:p w14:paraId="535D7E20" w14:textId="37BBB3BE" w:rsidR="004130BB" w:rsidRDefault="004130BB" w:rsidP="004130BB">
      <w:pPr>
        <w:spacing w:after="120"/>
        <w:rPr>
          <w:rFonts w:asciiTheme="minorHAnsi" w:hAnsiTheme="minorHAnsi"/>
        </w:rPr>
      </w:pPr>
      <w:r w:rsidRPr="004130BB">
        <w:rPr>
          <w:rFonts w:asciiTheme="minorHAnsi" w:hAnsiTheme="minorHAnsi"/>
        </w:rPr>
        <w:t>The TGA’s current CRIS expands further on the cost recovery activities and methodology.</w:t>
      </w:r>
    </w:p>
    <w:p w14:paraId="7D626CFC" w14:textId="0A0913DA" w:rsidR="00730D66" w:rsidRDefault="00730D66">
      <w:pPr>
        <w:pStyle w:val="Heading3"/>
        <w:numPr>
          <w:ilvl w:val="0"/>
          <w:numId w:val="18"/>
        </w:numPr>
        <w:rPr>
          <w:rFonts w:asciiTheme="minorHAnsi" w:hAnsiTheme="minorHAnsi"/>
        </w:rPr>
      </w:pPr>
      <w:bookmarkStart w:id="5" w:name="_Toc153538016"/>
      <w:r w:rsidRPr="002E02F3">
        <w:rPr>
          <w:rFonts w:asciiTheme="minorHAnsi" w:hAnsiTheme="minorHAnsi"/>
        </w:rPr>
        <w:t>TGA funding</w:t>
      </w:r>
      <w:r>
        <w:rPr>
          <w:rFonts w:asciiTheme="minorHAnsi" w:hAnsiTheme="minorHAnsi"/>
        </w:rPr>
        <w:t xml:space="preserve"> Mechanism</w:t>
      </w:r>
      <w:bookmarkEnd w:id="5"/>
      <w:r>
        <w:rPr>
          <w:rFonts w:asciiTheme="minorHAnsi" w:hAnsiTheme="minorHAnsi"/>
        </w:rPr>
        <w:t xml:space="preserve"> </w:t>
      </w:r>
    </w:p>
    <w:p w14:paraId="0CC70AF8" w14:textId="7C2C2208" w:rsidR="004520E5" w:rsidRPr="00E10E80" w:rsidRDefault="004520E5" w:rsidP="004520E5">
      <w:pPr>
        <w:rPr>
          <w:rFonts w:asciiTheme="minorHAnsi" w:hAnsiTheme="minorHAnsi"/>
        </w:rPr>
      </w:pPr>
      <w:r w:rsidRPr="00E10E80">
        <w:rPr>
          <w:rFonts w:asciiTheme="minorHAnsi" w:hAnsiTheme="minorHAnsi"/>
        </w:rPr>
        <w:t>The funding for the TGA falls under three broad categories. These are detailed below.</w:t>
      </w:r>
    </w:p>
    <w:p w14:paraId="43FBF27D" w14:textId="77777777" w:rsidR="00730D66" w:rsidRPr="00E10E80" w:rsidRDefault="00730D66" w:rsidP="008654DD">
      <w:pPr>
        <w:pStyle w:val="ListBullet"/>
        <w:numPr>
          <w:ilvl w:val="0"/>
          <w:numId w:val="23"/>
        </w:numPr>
        <w:rPr>
          <w:rFonts w:asciiTheme="minorHAnsi" w:hAnsiTheme="minorHAnsi"/>
          <w:b/>
          <w:bCs/>
        </w:rPr>
      </w:pPr>
      <w:r w:rsidRPr="00E10E80">
        <w:rPr>
          <w:rFonts w:asciiTheme="minorHAnsi" w:hAnsiTheme="minorHAnsi"/>
          <w:b/>
          <w:bCs/>
        </w:rPr>
        <w:t xml:space="preserve">Fees for services </w:t>
      </w:r>
    </w:p>
    <w:p w14:paraId="33927177" w14:textId="0653DB7D" w:rsidR="00730D66" w:rsidRPr="00E10E80" w:rsidRDefault="00730D66" w:rsidP="00730D66">
      <w:pPr>
        <w:rPr>
          <w:rFonts w:asciiTheme="minorHAnsi" w:hAnsiTheme="minorHAnsi"/>
        </w:rPr>
      </w:pPr>
      <w:r w:rsidRPr="00E10E80">
        <w:rPr>
          <w:rFonts w:asciiTheme="minorHAnsi" w:hAnsiTheme="minorHAnsi"/>
        </w:rPr>
        <w:t xml:space="preserve">The </w:t>
      </w:r>
      <w:r w:rsidR="00391BF6" w:rsidRPr="00E10E80">
        <w:rPr>
          <w:rFonts w:asciiTheme="minorHAnsi" w:hAnsiTheme="minorHAnsi"/>
        </w:rPr>
        <w:t xml:space="preserve">CRP </w:t>
      </w:r>
      <w:r w:rsidRPr="00E10E80">
        <w:rPr>
          <w:rFonts w:asciiTheme="minorHAnsi" w:hAnsiTheme="minorHAnsi"/>
        </w:rPr>
        <w:t>state</w:t>
      </w:r>
      <w:r w:rsidR="00B447D9">
        <w:rPr>
          <w:rFonts w:asciiTheme="minorHAnsi" w:hAnsiTheme="minorHAnsi"/>
        </w:rPr>
        <w:t>s</w:t>
      </w:r>
      <w:r w:rsidRPr="00E10E80">
        <w:rPr>
          <w:rFonts w:asciiTheme="minorHAnsi" w:hAnsiTheme="minorHAnsi"/>
        </w:rPr>
        <w:t xml:space="preserve"> that cost recovery fees are charged when a good, service or regulation is provided directly to a specific individual or organisation. Fees are used to mainly recover the cost of the pre-market services performed by the TGA. Fees are designed to reflect as closely as possible the underlying cost of service.</w:t>
      </w:r>
    </w:p>
    <w:p w14:paraId="61DB5939" w14:textId="3594B4F0" w:rsidR="00730D66" w:rsidRPr="00E10E80" w:rsidRDefault="00730D66" w:rsidP="00F622AF">
      <w:pPr>
        <w:rPr>
          <w:rFonts w:asciiTheme="minorHAnsi" w:hAnsiTheme="minorHAnsi"/>
          <w:highlight w:val="yellow"/>
        </w:rPr>
      </w:pPr>
      <w:r w:rsidRPr="00E10E80">
        <w:rPr>
          <w:rFonts w:asciiTheme="minorHAnsi" w:hAnsiTheme="minorHAnsi"/>
        </w:rPr>
        <w:t xml:space="preserve">The TGA </w:t>
      </w:r>
      <w:r w:rsidR="000254B1" w:rsidRPr="00E10E80">
        <w:rPr>
          <w:rFonts w:asciiTheme="minorHAnsi" w:hAnsiTheme="minorHAnsi"/>
        </w:rPr>
        <w:t>applies</w:t>
      </w:r>
      <w:r w:rsidRPr="00E10E80">
        <w:rPr>
          <w:rFonts w:asciiTheme="minorHAnsi" w:hAnsiTheme="minorHAnsi"/>
        </w:rPr>
        <w:t xml:space="preserve"> fees for entering new products </w:t>
      </w:r>
      <w:r w:rsidR="002C160A" w:rsidRPr="00E10E80">
        <w:rPr>
          <w:rFonts w:asciiTheme="minorHAnsi" w:hAnsiTheme="minorHAnsi"/>
        </w:rPr>
        <w:t>i</w:t>
      </w:r>
      <w:r w:rsidRPr="00E10E80">
        <w:rPr>
          <w:rFonts w:asciiTheme="minorHAnsi" w:hAnsiTheme="minorHAnsi"/>
        </w:rPr>
        <w:t>n the ARTG or making any variations to them, issue of manufacturing</w:t>
      </w:r>
      <w:r w:rsidR="00F56062" w:rsidRPr="00E10E80">
        <w:rPr>
          <w:rFonts w:asciiTheme="minorHAnsi" w:hAnsiTheme="minorHAnsi"/>
        </w:rPr>
        <w:t xml:space="preserve"> clearances, </w:t>
      </w:r>
      <w:r w:rsidR="00716248" w:rsidRPr="00E10E80">
        <w:rPr>
          <w:rFonts w:asciiTheme="minorHAnsi" w:hAnsiTheme="minorHAnsi"/>
        </w:rPr>
        <w:t>certification,</w:t>
      </w:r>
      <w:r w:rsidR="00F56062" w:rsidRPr="00E10E80">
        <w:rPr>
          <w:rFonts w:asciiTheme="minorHAnsi" w:hAnsiTheme="minorHAnsi"/>
        </w:rPr>
        <w:t xml:space="preserve"> and </w:t>
      </w:r>
      <w:r w:rsidRPr="00E10E80">
        <w:rPr>
          <w:rFonts w:asciiTheme="minorHAnsi" w:hAnsiTheme="minorHAnsi"/>
        </w:rPr>
        <w:t>licences</w:t>
      </w:r>
      <w:r w:rsidR="00F56062" w:rsidRPr="00E10E80">
        <w:rPr>
          <w:rFonts w:asciiTheme="minorHAnsi" w:hAnsiTheme="minorHAnsi"/>
        </w:rPr>
        <w:t>,</w:t>
      </w:r>
      <w:r w:rsidRPr="00E10E80">
        <w:rPr>
          <w:rFonts w:asciiTheme="minorHAnsi" w:hAnsiTheme="minorHAnsi"/>
        </w:rPr>
        <w:t xml:space="preserve"> and GMP inspections. Numbers, timeframe</w:t>
      </w:r>
      <w:r w:rsidR="00F56062" w:rsidRPr="00E10E80">
        <w:rPr>
          <w:rFonts w:asciiTheme="minorHAnsi" w:hAnsiTheme="minorHAnsi"/>
        </w:rPr>
        <w:t>s</w:t>
      </w:r>
      <w:r w:rsidRPr="00E10E80">
        <w:rPr>
          <w:rFonts w:asciiTheme="minorHAnsi" w:hAnsiTheme="minorHAnsi"/>
        </w:rPr>
        <w:t xml:space="preserve"> for these services are available in the </w:t>
      </w:r>
      <w:hyperlink r:id="rId19" w:history="1">
        <w:r w:rsidRPr="00E10E80">
          <w:rPr>
            <w:rStyle w:val="Hyperlink"/>
            <w:rFonts w:asciiTheme="minorHAnsi" w:hAnsiTheme="minorHAnsi"/>
          </w:rPr>
          <w:t>TGA Annual Performance Report</w:t>
        </w:r>
      </w:hyperlink>
      <w:r w:rsidRPr="00E10E80">
        <w:rPr>
          <w:rFonts w:asciiTheme="minorHAnsi" w:hAnsiTheme="minorHAnsi"/>
        </w:rPr>
        <w:t xml:space="preserve">.  </w:t>
      </w:r>
    </w:p>
    <w:p w14:paraId="36FAD38C" w14:textId="77777777" w:rsidR="00730D66" w:rsidRPr="00E10E80" w:rsidRDefault="00730D66" w:rsidP="008654DD">
      <w:pPr>
        <w:pStyle w:val="ListBullet"/>
        <w:numPr>
          <w:ilvl w:val="0"/>
          <w:numId w:val="23"/>
        </w:numPr>
        <w:rPr>
          <w:rFonts w:asciiTheme="minorHAnsi" w:hAnsiTheme="minorHAnsi"/>
          <w:b/>
          <w:bCs/>
        </w:rPr>
      </w:pPr>
      <w:r w:rsidRPr="00E10E80">
        <w:rPr>
          <w:rFonts w:asciiTheme="minorHAnsi" w:hAnsiTheme="minorHAnsi"/>
          <w:b/>
          <w:bCs/>
        </w:rPr>
        <w:t>Annual charges</w:t>
      </w:r>
    </w:p>
    <w:p w14:paraId="6D81EFC7" w14:textId="485E8B9F" w:rsidR="00D14A21" w:rsidRPr="00E10E80" w:rsidRDefault="00730D66" w:rsidP="00D14A21">
      <w:pPr>
        <w:rPr>
          <w:rFonts w:asciiTheme="minorHAnsi" w:hAnsiTheme="minorHAnsi"/>
        </w:rPr>
      </w:pPr>
      <w:r w:rsidRPr="00E10E80">
        <w:rPr>
          <w:rFonts w:asciiTheme="minorHAnsi" w:hAnsiTheme="minorHAnsi"/>
        </w:rPr>
        <w:t xml:space="preserve">The </w:t>
      </w:r>
      <w:r w:rsidR="007F12A4" w:rsidRPr="00E10E80">
        <w:rPr>
          <w:rFonts w:asciiTheme="minorHAnsi" w:hAnsiTheme="minorHAnsi"/>
        </w:rPr>
        <w:t xml:space="preserve">CRP </w:t>
      </w:r>
      <w:r w:rsidRPr="00E10E80">
        <w:rPr>
          <w:rFonts w:asciiTheme="minorHAnsi" w:hAnsiTheme="minorHAnsi"/>
        </w:rPr>
        <w:t>state</w:t>
      </w:r>
      <w:r w:rsidR="00B447D9">
        <w:rPr>
          <w:rFonts w:asciiTheme="minorHAnsi" w:hAnsiTheme="minorHAnsi"/>
        </w:rPr>
        <w:t>s</w:t>
      </w:r>
      <w:r w:rsidRPr="00E10E80">
        <w:rPr>
          <w:rFonts w:asciiTheme="minorHAnsi" w:hAnsiTheme="minorHAnsi"/>
        </w:rPr>
        <w:t xml:space="preserve"> that charges are imposed when a good, service or regulation is provided to a group of individuals or organisations (</w:t>
      </w:r>
      <w:proofErr w:type="gramStart"/>
      <w:r w:rsidR="00592A60" w:rsidRPr="00E10E80">
        <w:rPr>
          <w:rFonts w:asciiTheme="minorHAnsi" w:hAnsiTheme="minorHAnsi"/>
        </w:rPr>
        <w:t>e.g.</w:t>
      </w:r>
      <w:proofErr w:type="gramEnd"/>
      <w:r w:rsidRPr="00E10E80">
        <w:rPr>
          <w:rFonts w:asciiTheme="minorHAnsi" w:hAnsiTheme="minorHAnsi"/>
        </w:rPr>
        <w:t xml:space="preserve"> an industry sector). An annual charge is a type of levy or tax. Revenue from charges is ‘earmarked’ to fund activities provided for the purpose for which charges have been levied. This is different from general taxation </w:t>
      </w:r>
      <w:r w:rsidR="00522767" w:rsidRPr="00E10E80">
        <w:rPr>
          <w:rFonts w:asciiTheme="minorHAnsi" w:hAnsiTheme="minorHAnsi"/>
        </w:rPr>
        <w:t>that</w:t>
      </w:r>
      <w:r w:rsidRPr="00E10E80">
        <w:rPr>
          <w:rFonts w:asciiTheme="minorHAnsi" w:hAnsiTheme="minorHAnsi"/>
        </w:rPr>
        <w:t xml:space="preserve"> can be spent as the Government deems appropriate. </w:t>
      </w:r>
    </w:p>
    <w:p w14:paraId="55FC4453" w14:textId="22106873" w:rsidR="00730D66" w:rsidRPr="00E10E80" w:rsidRDefault="00730D66" w:rsidP="008654DD">
      <w:pPr>
        <w:pStyle w:val="ListBullet"/>
        <w:numPr>
          <w:ilvl w:val="0"/>
          <w:numId w:val="23"/>
        </w:numPr>
        <w:rPr>
          <w:rFonts w:asciiTheme="minorHAnsi" w:hAnsiTheme="minorHAnsi"/>
          <w:b/>
          <w:bCs/>
        </w:rPr>
      </w:pPr>
      <w:r w:rsidRPr="00E10E80">
        <w:rPr>
          <w:rFonts w:asciiTheme="minorHAnsi" w:hAnsiTheme="minorHAnsi"/>
          <w:b/>
          <w:bCs/>
        </w:rPr>
        <w:t xml:space="preserve">Government </w:t>
      </w:r>
      <w:r w:rsidR="005E5036">
        <w:rPr>
          <w:rFonts w:asciiTheme="minorHAnsi" w:hAnsiTheme="minorHAnsi"/>
          <w:b/>
          <w:bCs/>
        </w:rPr>
        <w:t>funding</w:t>
      </w:r>
      <w:r w:rsidR="005E5036" w:rsidRPr="00E10E80">
        <w:rPr>
          <w:rFonts w:asciiTheme="minorHAnsi" w:hAnsiTheme="minorHAnsi"/>
          <w:b/>
          <w:bCs/>
        </w:rPr>
        <w:t xml:space="preserve"> </w:t>
      </w:r>
    </w:p>
    <w:p w14:paraId="49D60556" w14:textId="3DCE5D9C" w:rsidR="00730D66" w:rsidRDefault="00730D66" w:rsidP="00730D66">
      <w:pPr>
        <w:rPr>
          <w:rFonts w:asciiTheme="minorHAnsi" w:hAnsiTheme="minorHAnsi"/>
        </w:rPr>
      </w:pPr>
      <w:r w:rsidRPr="00F5213B">
        <w:rPr>
          <w:rFonts w:asciiTheme="minorHAnsi" w:hAnsiTheme="minorHAnsi"/>
        </w:rPr>
        <w:t xml:space="preserve">In undertaking its regulatory functions, the TGA is required to provide an increasing number of </w:t>
      </w:r>
      <w:r w:rsidR="005E5036">
        <w:rPr>
          <w:rFonts w:asciiTheme="minorHAnsi" w:hAnsiTheme="minorHAnsi"/>
        </w:rPr>
        <w:t xml:space="preserve">fee-free </w:t>
      </w:r>
      <w:r w:rsidRPr="00F5213B">
        <w:rPr>
          <w:rFonts w:asciiTheme="minorHAnsi" w:hAnsiTheme="minorHAnsi"/>
        </w:rPr>
        <w:t xml:space="preserve">services in the public good. These services include, but are not limited to, providing timely access to unapproved medicines (including </w:t>
      </w:r>
      <w:r w:rsidRPr="00F622AF">
        <w:rPr>
          <w:rFonts w:asciiTheme="minorHAnsi" w:hAnsiTheme="minorHAnsi"/>
        </w:rPr>
        <w:t>medicinal cannabis</w:t>
      </w:r>
      <w:r w:rsidRPr="00707B68">
        <w:rPr>
          <w:rFonts w:asciiTheme="minorHAnsi" w:hAnsiTheme="minorHAnsi"/>
        </w:rPr>
        <w:t>, cell and</w:t>
      </w:r>
      <w:r w:rsidRPr="00F5213B">
        <w:rPr>
          <w:rFonts w:asciiTheme="minorHAnsi" w:hAnsiTheme="minorHAnsi"/>
        </w:rPr>
        <w:t xml:space="preserve"> tissue therapies and medical devices) to patients under the SAS, the Authorised Prescriber (AP) Scheme</w:t>
      </w:r>
      <w:r>
        <w:rPr>
          <w:rFonts w:asciiTheme="minorHAnsi" w:hAnsiTheme="minorHAnsi"/>
        </w:rPr>
        <w:t>, t</w:t>
      </w:r>
      <w:r w:rsidRPr="00F5213B">
        <w:rPr>
          <w:rFonts w:asciiTheme="minorHAnsi" w:hAnsiTheme="minorHAnsi"/>
        </w:rPr>
        <w:t>he Orphan Drug Program</w:t>
      </w:r>
      <w:r>
        <w:rPr>
          <w:rFonts w:asciiTheme="minorHAnsi" w:hAnsiTheme="minorHAnsi"/>
        </w:rPr>
        <w:t xml:space="preserve"> and management of critical medicine </w:t>
      </w:r>
      <w:r w:rsidR="000001E0">
        <w:rPr>
          <w:rFonts w:asciiTheme="minorHAnsi" w:hAnsiTheme="minorHAnsi"/>
        </w:rPr>
        <w:t xml:space="preserve">and medical device </w:t>
      </w:r>
      <w:r>
        <w:rPr>
          <w:rFonts w:asciiTheme="minorHAnsi" w:hAnsiTheme="minorHAnsi"/>
        </w:rPr>
        <w:t>shortages</w:t>
      </w:r>
      <w:r w:rsidRPr="00F5213B">
        <w:rPr>
          <w:rFonts w:asciiTheme="minorHAnsi" w:hAnsiTheme="minorHAnsi"/>
        </w:rPr>
        <w:t xml:space="preserve">. </w:t>
      </w:r>
      <w:r>
        <w:rPr>
          <w:rFonts w:asciiTheme="minorHAnsi" w:hAnsiTheme="minorHAnsi"/>
        </w:rPr>
        <w:t>Additionally, the TGA routinely undertakes a range of consumer and professional education, compliance</w:t>
      </w:r>
      <w:r w:rsidR="005E5036">
        <w:rPr>
          <w:rFonts w:asciiTheme="minorHAnsi" w:hAnsiTheme="minorHAnsi"/>
        </w:rPr>
        <w:t xml:space="preserve"> </w:t>
      </w:r>
      <w:r>
        <w:rPr>
          <w:rFonts w:asciiTheme="minorHAnsi" w:hAnsiTheme="minorHAnsi"/>
        </w:rPr>
        <w:t xml:space="preserve">enforcement and litigation activities which are neither provided to </w:t>
      </w:r>
      <w:r w:rsidR="000001E0">
        <w:rPr>
          <w:rFonts w:asciiTheme="minorHAnsi" w:hAnsiTheme="minorHAnsi"/>
        </w:rPr>
        <w:t xml:space="preserve">the </w:t>
      </w:r>
      <w:r>
        <w:rPr>
          <w:rFonts w:asciiTheme="minorHAnsi" w:hAnsiTheme="minorHAnsi"/>
        </w:rPr>
        <w:t xml:space="preserve">therapeutic </w:t>
      </w:r>
      <w:r w:rsidR="000001E0">
        <w:rPr>
          <w:rFonts w:asciiTheme="minorHAnsi" w:hAnsiTheme="minorHAnsi"/>
        </w:rPr>
        <w:t xml:space="preserve">goods </w:t>
      </w:r>
      <w:r>
        <w:rPr>
          <w:rFonts w:asciiTheme="minorHAnsi" w:hAnsiTheme="minorHAnsi"/>
        </w:rPr>
        <w:t xml:space="preserve">industry nor </w:t>
      </w:r>
      <w:r w:rsidR="00A03FA4">
        <w:rPr>
          <w:rFonts w:asciiTheme="minorHAnsi" w:hAnsiTheme="minorHAnsi"/>
        </w:rPr>
        <w:t xml:space="preserve">do </w:t>
      </w:r>
      <w:r>
        <w:rPr>
          <w:rFonts w:asciiTheme="minorHAnsi" w:hAnsiTheme="minorHAnsi"/>
        </w:rPr>
        <w:t>they relate to regulated products or entities.</w:t>
      </w:r>
      <w:r w:rsidR="002B0235">
        <w:rPr>
          <w:rFonts w:asciiTheme="minorHAnsi" w:hAnsiTheme="minorHAnsi"/>
        </w:rPr>
        <w:t xml:space="preserve"> </w:t>
      </w:r>
      <w:r w:rsidR="001705DA">
        <w:rPr>
          <w:rFonts w:asciiTheme="minorHAnsi" w:hAnsiTheme="minorHAnsi"/>
        </w:rPr>
        <w:t>U</w:t>
      </w:r>
      <w:r>
        <w:rPr>
          <w:rFonts w:asciiTheme="minorHAnsi" w:hAnsiTheme="minorHAnsi"/>
        </w:rPr>
        <w:t xml:space="preserve">nder the </w:t>
      </w:r>
      <w:hyperlink r:id="rId20" w:history="1">
        <w:r w:rsidRPr="00857495">
          <w:rPr>
            <w:rStyle w:val="Hyperlink"/>
            <w:rFonts w:asciiTheme="minorHAnsi" w:hAnsiTheme="minorHAnsi"/>
          </w:rPr>
          <w:t>Australian Government Charging Framework</w:t>
        </w:r>
      </w:hyperlink>
      <w:r>
        <w:rPr>
          <w:rFonts w:asciiTheme="minorHAnsi" w:hAnsiTheme="minorHAnsi"/>
        </w:rPr>
        <w:t xml:space="preserve"> (Charging Framework)</w:t>
      </w:r>
      <w:r w:rsidR="001705DA">
        <w:rPr>
          <w:rFonts w:asciiTheme="minorHAnsi" w:hAnsiTheme="minorHAnsi"/>
        </w:rPr>
        <w:t xml:space="preserve"> these activities are not appropriate to cost recover, and </w:t>
      </w:r>
      <w:r>
        <w:rPr>
          <w:rFonts w:asciiTheme="minorHAnsi" w:hAnsiTheme="minorHAnsi"/>
        </w:rPr>
        <w:t>the TGA r</w:t>
      </w:r>
      <w:r w:rsidRPr="00EA1811">
        <w:rPr>
          <w:rFonts w:asciiTheme="minorHAnsi" w:hAnsiTheme="minorHAnsi"/>
        </w:rPr>
        <w:t>eceive</w:t>
      </w:r>
      <w:r>
        <w:rPr>
          <w:rFonts w:asciiTheme="minorHAnsi" w:hAnsiTheme="minorHAnsi"/>
        </w:rPr>
        <w:t>s</w:t>
      </w:r>
      <w:r w:rsidRPr="00EA1811">
        <w:rPr>
          <w:rFonts w:asciiTheme="minorHAnsi" w:hAnsiTheme="minorHAnsi"/>
        </w:rPr>
        <w:t xml:space="preserve"> </w:t>
      </w:r>
      <w:r w:rsidR="002B0235">
        <w:rPr>
          <w:rFonts w:asciiTheme="minorHAnsi" w:hAnsiTheme="minorHAnsi"/>
        </w:rPr>
        <w:t xml:space="preserve">funding </w:t>
      </w:r>
      <w:r w:rsidRPr="00D656E4">
        <w:rPr>
          <w:rFonts w:asciiTheme="minorHAnsi" w:hAnsiTheme="minorHAnsi"/>
        </w:rPr>
        <w:t xml:space="preserve">from </w:t>
      </w:r>
      <w:r w:rsidR="00DC7DEE" w:rsidRPr="00D656E4">
        <w:rPr>
          <w:rFonts w:asciiTheme="minorHAnsi" w:hAnsiTheme="minorHAnsi"/>
        </w:rPr>
        <w:t>the G</w:t>
      </w:r>
      <w:r w:rsidRPr="00D656E4">
        <w:rPr>
          <w:rFonts w:asciiTheme="minorHAnsi" w:hAnsiTheme="minorHAnsi"/>
        </w:rPr>
        <w:t xml:space="preserve">overnment to </w:t>
      </w:r>
      <w:r w:rsidR="000001E0">
        <w:rPr>
          <w:rFonts w:asciiTheme="minorHAnsi" w:hAnsiTheme="minorHAnsi"/>
        </w:rPr>
        <w:t>assist in the delivery of these activities</w:t>
      </w:r>
      <w:r w:rsidRPr="00D656E4">
        <w:rPr>
          <w:rFonts w:asciiTheme="minorHAnsi" w:hAnsiTheme="minorHAnsi"/>
        </w:rPr>
        <w:t>.</w:t>
      </w:r>
      <w:r w:rsidR="006B4B02">
        <w:rPr>
          <w:rFonts w:asciiTheme="minorHAnsi" w:hAnsiTheme="minorHAnsi"/>
        </w:rPr>
        <w:t xml:space="preserve"> </w:t>
      </w:r>
    </w:p>
    <w:p w14:paraId="2BCD5C48" w14:textId="759F4C24" w:rsidR="00861D46" w:rsidRPr="00861D46" w:rsidRDefault="00861D46">
      <w:pPr>
        <w:pStyle w:val="Heading3"/>
        <w:numPr>
          <w:ilvl w:val="0"/>
          <w:numId w:val="18"/>
        </w:numPr>
        <w:rPr>
          <w:rFonts w:asciiTheme="minorHAnsi" w:hAnsiTheme="minorHAnsi"/>
        </w:rPr>
      </w:pPr>
      <w:bookmarkStart w:id="6" w:name="_Toc153538017"/>
      <w:r w:rsidRPr="00861D46">
        <w:rPr>
          <w:rFonts w:asciiTheme="minorHAnsi" w:hAnsiTheme="minorHAnsi"/>
        </w:rPr>
        <w:t xml:space="preserve">TGA cash position as of 30 June </w:t>
      </w:r>
      <w:r w:rsidR="00D90F55" w:rsidRPr="00861D46">
        <w:rPr>
          <w:rFonts w:asciiTheme="minorHAnsi" w:hAnsiTheme="minorHAnsi"/>
        </w:rPr>
        <w:t>202</w:t>
      </w:r>
      <w:r w:rsidR="00D90F55">
        <w:rPr>
          <w:rFonts w:asciiTheme="minorHAnsi" w:hAnsiTheme="minorHAnsi"/>
        </w:rPr>
        <w:t>3</w:t>
      </w:r>
      <w:bookmarkEnd w:id="6"/>
    </w:p>
    <w:p w14:paraId="0059EE82" w14:textId="64647887" w:rsidR="00861D46" w:rsidRPr="00DF3B42" w:rsidRDefault="00861D46" w:rsidP="00861D46">
      <w:pPr>
        <w:rPr>
          <w:rFonts w:asciiTheme="minorHAnsi" w:hAnsiTheme="minorHAnsi"/>
        </w:rPr>
      </w:pPr>
      <w:r w:rsidRPr="00DF3B42">
        <w:rPr>
          <w:rFonts w:asciiTheme="minorHAnsi" w:hAnsiTheme="minorHAnsi"/>
        </w:rPr>
        <w:t xml:space="preserve">As of </w:t>
      </w:r>
      <w:r w:rsidR="00CF1245" w:rsidRPr="00DF3B42">
        <w:rPr>
          <w:rFonts w:asciiTheme="minorHAnsi" w:hAnsiTheme="minorHAnsi"/>
        </w:rPr>
        <w:t xml:space="preserve">30 </w:t>
      </w:r>
      <w:r w:rsidR="00711D16" w:rsidRPr="00DF3B42">
        <w:rPr>
          <w:rFonts w:asciiTheme="minorHAnsi" w:hAnsiTheme="minorHAnsi"/>
        </w:rPr>
        <w:t>June</w:t>
      </w:r>
      <w:r w:rsidRPr="00DF3B42">
        <w:rPr>
          <w:rFonts w:asciiTheme="minorHAnsi" w:hAnsiTheme="minorHAnsi"/>
        </w:rPr>
        <w:t xml:space="preserve"> </w:t>
      </w:r>
      <w:r w:rsidR="00D90F55" w:rsidRPr="00DF3B42">
        <w:rPr>
          <w:rFonts w:asciiTheme="minorHAnsi" w:hAnsiTheme="minorHAnsi"/>
        </w:rPr>
        <w:t>202</w:t>
      </w:r>
      <w:r w:rsidR="00D90F55">
        <w:rPr>
          <w:rFonts w:asciiTheme="minorHAnsi" w:hAnsiTheme="minorHAnsi"/>
        </w:rPr>
        <w:t>3</w:t>
      </w:r>
      <w:r w:rsidRPr="00DF3B42">
        <w:rPr>
          <w:rFonts w:asciiTheme="minorHAnsi" w:hAnsiTheme="minorHAnsi"/>
        </w:rPr>
        <w:t>, the TGA had cash reserves of $</w:t>
      </w:r>
      <w:r w:rsidR="00476C8E">
        <w:rPr>
          <w:rFonts w:asciiTheme="minorHAnsi" w:hAnsiTheme="minorHAnsi"/>
        </w:rPr>
        <w:t xml:space="preserve">8.2 </w:t>
      </w:r>
      <w:r w:rsidRPr="00DF3B42">
        <w:rPr>
          <w:rFonts w:asciiTheme="minorHAnsi" w:hAnsiTheme="minorHAnsi"/>
        </w:rPr>
        <w:t>m</w:t>
      </w:r>
      <w:r>
        <w:rPr>
          <w:rFonts w:asciiTheme="minorHAnsi" w:hAnsiTheme="minorHAnsi"/>
        </w:rPr>
        <w:t>illion</w:t>
      </w:r>
      <w:r w:rsidRPr="00DF3B42">
        <w:rPr>
          <w:rFonts w:asciiTheme="minorHAnsi" w:hAnsiTheme="minorHAnsi"/>
        </w:rPr>
        <w:t xml:space="preserve"> available for investment. </w:t>
      </w:r>
      <w:r w:rsidR="005E757B">
        <w:rPr>
          <w:rFonts w:asciiTheme="minorHAnsi" w:hAnsiTheme="minorHAnsi"/>
        </w:rPr>
        <w:t>The cash reserve</w:t>
      </w:r>
      <w:r w:rsidR="008672E4">
        <w:rPr>
          <w:rFonts w:asciiTheme="minorHAnsi" w:hAnsiTheme="minorHAnsi"/>
        </w:rPr>
        <w:t>s have</w:t>
      </w:r>
      <w:r w:rsidRPr="00DF3B42">
        <w:rPr>
          <w:rFonts w:asciiTheme="minorHAnsi" w:hAnsiTheme="minorHAnsi"/>
        </w:rPr>
        <w:t xml:space="preserve"> significantly</w:t>
      </w:r>
      <w:r w:rsidR="003E3EB7">
        <w:rPr>
          <w:rFonts w:asciiTheme="minorHAnsi" w:hAnsiTheme="minorHAnsi"/>
        </w:rPr>
        <w:t xml:space="preserve"> </w:t>
      </w:r>
      <w:r w:rsidR="008672E4">
        <w:rPr>
          <w:rFonts w:asciiTheme="minorHAnsi" w:hAnsiTheme="minorHAnsi"/>
        </w:rPr>
        <w:t>reduced in the last few year years, mainly</w:t>
      </w:r>
      <w:r w:rsidRPr="00DF3B42">
        <w:rPr>
          <w:rFonts w:asciiTheme="minorHAnsi" w:hAnsiTheme="minorHAnsi"/>
        </w:rPr>
        <w:t xml:space="preserve"> </w:t>
      </w:r>
      <w:r>
        <w:rPr>
          <w:rFonts w:asciiTheme="minorHAnsi" w:hAnsiTheme="minorHAnsi"/>
        </w:rPr>
        <w:t xml:space="preserve">due to </w:t>
      </w:r>
      <w:r w:rsidR="00931682">
        <w:rPr>
          <w:rFonts w:asciiTheme="minorHAnsi" w:hAnsiTheme="minorHAnsi"/>
        </w:rPr>
        <w:t xml:space="preserve">draw down of cash for </w:t>
      </w:r>
      <w:r w:rsidRPr="00DF3B42">
        <w:rPr>
          <w:rFonts w:asciiTheme="minorHAnsi" w:hAnsiTheme="minorHAnsi"/>
        </w:rPr>
        <w:t xml:space="preserve">the following investments: </w:t>
      </w:r>
    </w:p>
    <w:p w14:paraId="151F951F" w14:textId="551C9595" w:rsidR="00861D46" w:rsidRDefault="00B2553D">
      <w:pPr>
        <w:pStyle w:val="ListParagraph"/>
        <w:numPr>
          <w:ilvl w:val="0"/>
          <w:numId w:val="12"/>
        </w:numPr>
        <w:spacing w:after="120"/>
        <w:rPr>
          <w:rFonts w:asciiTheme="minorHAnsi" w:hAnsiTheme="minorHAnsi"/>
          <w:color w:val="333F48"/>
        </w:rPr>
      </w:pPr>
      <w:r>
        <w:rPr>
          <w:rFonts w:asciiTheme="minorHAnsi" w:hAnsiTheme="minorHAnsi"/>
          <w:color w:val="333F48"/>
        </w:rPr>
        <w:t xml:space="preserve">Investment </w:t>
      </w:r>
      <w:r w:rsidR="003533C6">
        <w:rPr>
          <w:rFonts w:asciiTheme="minorHAnsi" w:hAnsiTheme="minorHAnsi"/>
          <w:color w:val="333F48"/>
        </w:rPr>
        <w:t xml:space="preserve">of $19.7 million </w:t>
      </w:r>
      <w:r w:rsidR="008672E4">
        <w:rPr>
          <w:rFonts w:asciiTheme="minorHAnsi" w:hAnsiTheme="minorHAnsi"/>
          <w:color w:val="333F48"/>
        </w:rPr>
        <w:t xml:space="preserve">in the TGA’s </w:t>
      </w:r>
      <w:r w:rsidR="003533C6">
        <w:rPr>
          <w:rFonts w:asciiTheme="minorHAnsi" w:hAnsiTheme="minorHAnsi"/>
          <w:color w:val="333F48"/>
        </w:rPr>
        <w:t xml:space="preserve">digital transformation </w:t>
      </w:r>
      <w:r w:rsidR="005B6BBD">
        <w:rPr>
          <w:rFonts w:asciiTheme="minorHAnsi" w:hAnsiTheme="minorHAnsi"/>
          <w:color w:val="333F48"/>
        </w:rPr>
        <w:t xml:space="preserve">program </w:t>
      </w:r>
      <w:r w:rsidR="003533C6">
        <w:rPr>
          <w:rFonts w:asciiTheme="minorHAnsi" w:hAnsiTheme="minorHAnsi"/>
          <w:color w:val="333F48"/>
        </w:rPr>
        <w:t xml:space="preserve">and </w:t>
      </w:r>
      <w:r w:rsidR="008672E4">
        <w:rPr>
          <w:rFonts w:asciiTheme="minorHAnsi" w:hAnsiTheme="minorHAnsi"/>
          <w:color w:val="333F48"/>
        </w:rPr>
        <w:t xml:space="preserve">the </w:t>
      </w:r>
      <w:r w:rsidR="00861D46" w:rsidRPr="00DF3B42">
        <w:rPr>
          <w:rFonts w:asciiTheme="minorHAnsi" w:hAnsiTheme="minorHAnsi"/>
          <w:color w:val="333F48"/>
        </w:rPr>
        <w:t>Unique Device Identif</w:t>
      </w:r>
      <w:r w:rsidR="008672E4">
        <w:rPr>
          <w:rFonts w:asciiTheme="minorHAnsi" w:hAnsiTheme="minorHAnsi"/>
          <w:color w:val="333F48"/>
        </w:rPr>
        <w:t xml:space="preserve">ication (UDI) </w:t>
      </w:r>
      <w:r w:rsidR="008D6212">
        <w:rPr>
          <w:rFonts w:asciiTheme="minorHAnsi" w:hAnsiTheme="minorHAnsi"/>
          <w:color w:val="333F48"/>
        </w:rPr>
        <w:t xml:space="preserve">system, </w:t>
      </w:r>
      <w:r w:rsidR="008672E4">
        <w:rPr>
          <w:rFonts w:asciiTheme="minorHAnsi" w:hAnsiTheme="minorHAnsi"/>
          <w:color w:val="333F48"/>
        </w:rPr>
        <w:t>as per the 2020-21 Budget decision</w:t>
      </w:r>
      <w:r w:rsidR="00D656E4">
        <w:rPr>
          <w:rFonts w:asciiTheme="minorHAnsi" w:hAnsiTheme="minorHAnsi"/>
          <w:color w:val="333F48"/>
        </w:rPr>
        <w:t>; and</w:t>
      </w:r>
    </w:p>
    <w:p w14:paraId="7C71EB07" w14:textId="189980FA" w:rsidR="008672E4" w:rsidRDefault="008D6212">
      <w:pPr>
        <w:pStyle w:val="ListParagraph"/>
        <w:numPr>
          <w:ilvl w:val="0"/>
          <w:numId w:val="12"/>
        </w:numPr>
        <w:spacing w:after="120"/>
        <w:rPr>
          <w:rFonts w:asciiTheme="minorHAnsi" w:hAnsiTheme="minorHAnsi"/>
          <w:color w:val="333F48"/>
        </w:rPr>
      </w:pPr>
      <w:r>
        <w:rPr>
          <w:rFonts w:asciiTheme="minorHAnsi" w:hAnsiTheme="minorHAnsi"/>
          <w:color w:val="333F48"/>
        </w:rPr>
        <w:t>Further investment</w:t>
      </w:r>
      <w:r w:rsidR="008672E4">
        <w:rPr>
          <w:rFonts w:asciiTheme="minorHAnsi" w:hAnsiTheme="minorHAnsi"/>
          <w:color w:val="333F48"/>
        </w:rPr>
        <w:t xml:space="preserve"> of $23.3 million </w:t>
      </w:r>
      <w:r w:rsidRPr="00C378BA">
        <w:rPr>
          <w:rFonts w:asciiTheme="minorHAnsi" w:hAnsiTheme="minorHAnsi"/>
        </w:rPr>
        <w:t>to complete digital and business transformation and full implementation of the UDI system</w:t>
      </w:r>
      <w:r>
        <w:rPr>
          <w:rFonts w:asciiTheme="minorHAnsi" w:hAnsiTheme="minorHAnsi"/>
        </w:rPr>
        <w:t>, as per the October 2022 Budget decision</w:t>
      </w:r>
      <w:r w:rsidR="008672E4">
        <w:rPr>
          <w:rFonts w:asciiTheme="minorHAnsi" w:hAnsiTheme="minorHAnsi"/>
          <w:color w:val="333F48"/>
        </w:rPr>
        <w:t>.</w:t>
      </w:r>
    </w:p>
    <w:p w14:paraId="09A45D10" w14:textId="77777777" w:rsidR="0014245A" w:rsidRPr="00DF3B42" w:rsidRDefault="00C44DAA" w:rsidP="0014245A">
      <w:pPr>
        <w:rPr>
          <w:rFonts w:asciiTheme="minorHAnsi" w:hAnsiTheme="minorHAnsi"/>
        </w:rPr>
      </w:pPr>
      <w:r>
        <w:rPr>
          <w:rFonts w:asciiTheme="minorHAnsi" w:hAnsiTheme="minorHAnsi"/>
        </w:rPr>
        <w:lastRenderedPageBreak/>
        <w:t xml:space="preserve">The current cash </w:t>
      </w:r>
      <w:r w:rsidR="00E85AC2">
        <w:rPr>
          <w:rFonts w:asciiTheme="minorHAnsi" w:hAnsiTheme="minorHAnsi"/>
        </w:rPr>
        <w:t xml:space="preserve">reserves </w:t>
      </w:r>
      <w:r w:rsidR="001E06B7">
        <w:rPr>
          <w:rFonts w:asciiTheme="minorHAnsi" w:hAnsiTheme="minorHAnsi"/>
        </w:rPr>
        <w:t>are</w:t>
      </w:r>
      <w:r w:rsidR="00E85AC2">
        <w:rPr>
          <w:rFonts w:asciiTheme="minorHAnsi" w:hAnsiTheme="minorHAnsi"/>
        </w:rPr>
        <w:t xml:space="preserve"> less than 5% of TGA’s budget. </w:t>
      </w:r>
      <w:r w:rsidR="0014245A">
        <w:rPr>
          <w:rFonts w:asciiTheme="minorHAnsi" w:hAnsiTheme="minorHAnsi"/>
        </w:rPr>
        <w:t>It is important to note, t</w:t>
      </w:r>
      <w:r w:rsidR="0014245A" w:rsidRPr="00D656E4">
        <w:rPr>
          <w:rFonts w:asciiTheme="minorHAnsi" w:hAnsiTheme="minorHAnsi"/>
        </w:rPr>
        <w:t>he TGA also needs to retain cash to cover staff entitlements ($</w:t>
      </w:r>
      <w:r w:rsidR="0014245A">
        <w:rPr>
          <w:rFonts w:asciiTheme="minorHAnsi" w:hAnsiTheme="minorHAnsi"/>
        </w:rPr>
        <w:t>31</w:t>
      </w:r>
      <w:r w:rsidR="0014245A" w:rsidRPr="00D656E4">
        <w:rPr>
          <w:rFonts w:asciiTheme="minorHAnsi" w:hAnsiTheme="minorHAnsi"/>
        </w:rPr>
        <w:t xml:space="preserve"> million) and fees received in advance for product evaluations under way ($</w:t>
      </w:r>
      <w:r w:rsidR="0014245A">
        <w:rPr>
          <w:rFonts w:asciiTheme="minorHAnsi" w:hAnsiTheme="minorHAnsi"/>
        </w:rPr>
        <w:t>25</w:t>
      </w:r>
      <w:r w:rsidR="0014245A" w:rsidRPr="00D656E4">
        <w:rPr>
          <w:rFonts w:asciiTheme="minorHAnsi" w:hAnsiTheme="minorHAnsi"/>
        </w:rPr>
        <w:t xml:space="preserve"> million).</w:t>
      </w:r>
    </w:p>
    <w:p w14:paraId="04B9AFF5" w14:textId="57BD31CF" w:rsidR="00C44DAA" w:rsidRDefault="00C06445" w:rsidP="00861D46">
      <w:pPr>
        <w:rPr>
          <w:rFonts w:asciiTheme="minorHAnsi" w:hAnsiTheme="minorHAnsi"/>
        </w:rPr>
      </w:pPr>
      <w:r w:rsidRPr="00C06445">
        <w:rPr>
          <w:rFonts w:asciiTheme="minorHAnsi" w:hAnsiTheme="minorHAnsi"/>
        </w:rPr>
        <w:t>This balance will be partially replenished through the increased charges (from this year) through to 2028-29. It will raise $23.3 million over the next six financial years.</w:t>
      </w:r>
    </w:p>
    <w:p w14:paraId="1A385899" w14:textId="77777777" w:rsidR="00F9013B" w:rsidRPr="00C22A50" w:rsidRDefault="00F9013B">
      <w:pPr>
        <w:pStyle w:val="Heading3"/>
        <w:numPr>
          <w:ilvl w:val="0"/>
          <w:numId w:val="18"/>
        </w:numPr>
        <w:rPr>
          <w:rFonts w:asciiTheme="minorHAnsi" w:hAnsiTheme="minorHAnsi"/>
        </w:rPr>
      </w:pPr>
      <w:bookmarkStart w:id="7" w:name="_Toc93946205"/>
      <w:bookmarkStart w:id="8" w:name="_Toc153538018"/>
      <w:r w:rsidRPr="00C22A50">
        <w:rPr>
          <w:rFonts w:asciiTheme="minorHAnsi" w:hAnsiTheme="minorHAnsi"/>
        </w:rPr>
        <w:t>Annual review of fees and charges</w:t>
      </w:r>
      <w:bookmarkEnd w:id="7"/>
      <w:bookmarkEnd w:id="8"/>
    </w:p>
    <w:p w14:paraId="5802BB80" w14:textId="00525691" w:rsidR="00F9013B" w:rsidRPr="00E242E9" w:rsidRDefault="00F9013B" w:rsidP="00E242E9">
      <w:pPr>
        <w:rPr>
          <w:rFonts w:asciiTheme="minorHAnsi" w:hAnsiTheme="minorHAnsi"/>
        </w:rPr>
      </w:pPr>
      <w:r w:rsidRPr="00F9013B">
        <w:rPr>
          <w:rFonts w:asciiTheme="minorHAnsi" w:hAnsiTheme="minorHAnsi"/>
        </w:rPr>
        <w:t xml:space="preserve">The TGA’s operations are mostly funded through the fees and charges it collects for its regulatory activities. Every year, the TGA undertakes a review of its fees and charges to ensure they are set at the appropriate level and cost recovery for each therapeutic industry sector is appropriate. Necessary adjustments to fees and charges are made, after seeking Government approval, by considering known cost increases including any annual wage and other cost movements. </w:t>
      </w:r>
      <w:r w:rsidR="00D272B9">
        <w:rPr>
          <w:rFonts w:asciiTheme="minorHAnsi" w:hAnsiTheme="minorHAnsi"/>
        </w:rPr>
        <w:t xml:space="preserve">The </w:t>
      </w:r>
      <w:r w:rsidRPr="00F9013B">
        <w:rPr>
          <w:rFonts w:asciiTheme="minorHAnsi" w:hAnsiTheme="minorHAnsi"/>
        </w:rPr>
        <w:t xml:space="preserve">increase to the TGA fees and charges </w:t>
      </w:r>
      <w:r w:rsidR="00D272B9">
        <w:rPr>
          <w:rFonts w:asciiTheme="minorHAnsi" w:hAnsiTheme="minorHAnsi"/>
        </w:rPr>
        <w:t xml:space="preserve">is </w:t>
      </w:r>
      <w:r w:rsidRPr="00F9013B">
        <w:rPr>
          <w:rFonts w:asciiTheme="minorHAnsi" w:hAnsiTheme="minorHAnsi"/>
        </w:rPr>
        <w:t xml:space="preserve">based on an indexation factor combining </w:t>
      </w:r>
      <w:r w:rsidR="005F08D5">
        <w:rPr>
          <w:rFonts w:asciiTheme="minorHAnsi" w:hAnsiTheme="minorHAnsi"/>
        </w:rPr>
        <w:t>50%</w:t>
      </w:r>
      <w:r w:rsidR="00D272B9">
        <w:rPr>
          <w:rFonts w:asciiTheme="minorHAnsi" w:hAnsiTheme="minorHAnsi"/>
        </w:rPr>
        <w:t xml:space="preserve"> </w:t>
      </w:r>
      <w:r w:rsidR="005F08D5">
        <w:rPr>
          <w:rFonts w:asciiTheme="minorHAnsi" w:hAnsiTheme="minorHAnsi"/>
        </w:rPr>
        <w:t xml:space="preserve">of </w:t>
      </w:r>
      <w:r w:rsidRPr="00F9013B">
        <w:rPr>
          <w:rFonts w:asciiTheme="minorHAnsi" w:hAnsiTheme="minorHAnsi"/>
        </w:rPr>
        <w:t xml:space="preserve">the </w:t>
      </w:r>
      <w:r w:rsidR="005E5036">
        <w:rPr>
          <w:rFonts w:asciiTheme="minorHAnsi" w:hAnsiTheme="minorHAnsi"/>
        </w:rPr>
        <w:t>W</w:t>
      </w:r>
      <w:r w:rsidRPr="00F9013B">
        <w:rPr>
          <w:rFonts w:asciiTheme="minorHAnsi" w:hAnsiTheme="minorHAnsi"/>
        </w:rPr>
        <w:t xml:space="preserve">age </w:t>
      </w:r>
      <w:r w:rsidR="005E5036">
        <w:rPr>
          <w:rFonts w:asciiTheme="minorHAnsi" w:hAnsiTheme="minorHAnsi"/>
        </w:rPr>
        <w:t>P</w:t>
      </w:r>
      <w:r w:rsidRPr="00F9013B">
        <w:rPr>
          <w:rFonts w:asciiTheme="minorHAnsi" w:hAnsiTheme="minorHAnsi"/>
        </w:rPr>
        <w:t xml:space="preserve">rice </w:t>
      </w:r>
      <w:r w:rsidR="005E5036">
        <w:rPr>
          <w:rFonts w:asciiTheme="minorHAnsi" w:hAnsiTheme="minorHAnsi"/>
        </w:rPr>
        <w:t>I</w:t>
      </w:r>
      <w:r w:rsidRPr="00F9013B">
        <w:rPr>
          <w:rFonts w:asciiTheme="minorHAnsi" w:hAnsiTheme="minorHAnsi"/>
        </w:rPr>
        <w:t xml:space="preserve">ndex (WPI) and </w:t>
      </w:r>
      <w:r w:rsidR="005F08D5">
        <w:rPr>
          <w:rFonts w:asciiTheme="minorHAnsi" w:hAnsiTheme="minorHAnsi"/>
        </w:rPr>
        <w:t xml:space="preserve">50% of </w:t>
      </w:r>
      <w:r w:rsidRPr="00F9013B">
        <w:rPr>
          <w:rFonts w:asciiTheme="minorHAnsi" w:hAnsiTheme="minorHAnsi"/>
        </w:rPr>
        <w:t xml:space="preserve">the </w:t>
      </w:r>
      <w:r w:rsidR="005E5036">
        <w:rPr>
          <w:rFonts w:asciiTheme="minorHAnsi" w:hAnsiTheme="minorHAnsi"/>
        </w:rPr>
        <w:t>C</w:t>
      </w:r>
      <w:r w:rsidRPr="00F9013B">
        <w:rPr>
          <w:rFonts w:asciiTheme="minorHAnsi" w:hAnsiTheme="minorHAnsi"/>
        </w:rPr>
        <w:t xml:space="preserve">onsumer </w:t>
      </w:r>
      <w:r w:rsidR="005E5036">
        <w:rPr>
          <w:rFonts w:asciiTheme="minorHAnsi" w:hAnsiTheme="minorHAnsi"/>
        </w:rPr>
        <w:t>P</w:t>
      </w:r>
      <w:r w:rsidRPr="00F9013B">
        <w:rPr>
          <w:rFonts w:asciiTheme="minorHAnsi" w:hAnsiTheme="minorHAnsi"/>
        </w:rPr>
        <w:t xml:space="preserve">rice </w:t>
      </w:r>
      <w:r w:rsidR="005E5036">
        <w:rPr>
          <w:rFonts w:asciiTheme="minorHAnsi" w:hAnsiTheme="minorHAnsi"/>
        </w:rPr>
        <w:t>I</w:t>
      </w:r>
      <w:r w:rsidRPr="00F9013B">
        <w:rPr>
          <w:rFonts w:asciiTheme="minorHAnsi" w:hAnsiTheme="minorHAnsi"/>
        </w:rPr>
        <w:t xml:space="preserve">ndex (CPI) </w:t>
      </w:r>
      <w:r w:rsidR="00D272B9">
        <w:rPr>
          <w:rFonts w:asciiTheme="minorHAnsi" w:hAnsiTheme="minorHAnsi"/>
        </w:rPr>
        <w:t>to form a new index</w:t>
      </w:r>
      <w:r w:rsidR="005F08D5">
        <w:rPr>
          <w:rFonts w:asciiTheme="minorHAnsi" w:hAnsiTheme="minorHAnsi"/>
        </w:rPr>
        <w:t>ation factor for increase in TGA fees and charges</w:t>
      </w:r>
      <w:r w:rsidR="006B4B02">
        <w:rPr>
          <w:rFonts w:asciiTheme="minorHAnsi" w:hAnsiTheme="minorHAnsi"/>
        </w:rPr>
        <w:t xml:space="preserve">. </w:t>
      </w:r>
    </w:p>
    <w:p w14:paraId="774E2EEC" w14:textId="30EA07A2" w:rsidR="00B2553D" w:rsidRPr="008D6212" w:rsidRDefault="00936AC8" w:rsidP="00A21FF2">
      <w:pPr>
        <w:rPr>
          <w:rFonts w:asciiTheme="minorHAnsi" w:hAnsiTheme="minorHAnsi"/>
        </w:rPr>
      </w:pPr>
      <w:r w:rsidRPr="008D6212">
        <w:rPr>
          <w:rFonts w:asciiTheme="minorHAnsi" w:hAnsiTheme="minorHAnsi"/>
        </w:rPr>
        <w:t xml:space="preserve">After an unprecedented rise of </w:t>
      </w:r>
      <w:r w:rsidR="00B2553D" w:rsidRPr="008D6212">
        <w:rPr>
          <w:rFonts w:asciiTheme="minorHAnsi" w:hAnsiTheme="minorHAnsi"/>
        </w:rPr>
        <w:t xml:space="preserve">the </w:t>
      </w:r>
      <w:r w:rsidRPr="008D6212">
        <w:rPr>
          <w:rFonts w:asciiTheme="minorHAnsi" w:hAnsiTheme="minorHAnsi"/>
        </w:rPr>
        <w:t xml:space="preserve">CPI to over 7% last </w:t>
      </w:r>
      <w:r w:rsidR="008672E4" w:rsidRPr="008D6212">
        <w:rPr>
          <w:rFonts w:asciiTheme="minorHAnsi" w:hAnsiTheme="minorHAnsi"/>
        </w:rPr>
        <w:t>year (September 2021 to September 2022),</w:t>
      </w:r>
      <w:r w:rsidRPr="008D6212">
        <w:rPr>
          <w:rFonts w:asciiTheme="minorHAnsi" w:hAnsiTheme="minorHAnsi"/>
        </w:rPr>
        <w:t xml:space="preserve"> it has </w:t>
      </w:r>
      <w:r w:rsidR="00FB5A9B">
        <w:rPr>
          <w:rFonts w:asciiTheme="minorHAnsi" w:hAnsiTheme="minorHAnsi"/>
        </w:rPr>
        <w:t>reduced</w:t>
      </w:r>
      <w:r w:rsidRPr="008D6212">
        <w:rPr>
          <w:rFonts w:asciiTheme="minorHAnsi" w:hAnsiTheme="minorHAnsi"/>
        </w:rPr>
        <w:t xml:space="preserve"> to 5.4% this year</w:t>
      </w:r>
      <w:r w:rsidR="00B2553D" w:rsidRPr="008D6212">
        <w:rPr>
          <w:rFonts w:asciiTheme="minorHAnsi" w:hAnsiTheme="minorHAnsi"/>
        </w:rPr>
        <w:t xml:space="preserve"> which results into a lower proposed indexation for 2024-25</w:t>
      </w:r>
      <w:r w:rsidRPr="008D6212">
        <w:rPr>
          <w:rFonts w:asciiTheme="minorHAnsi" w:hAnsiTheme="minorHAnsi"/>
        </w:rPr>
        <w:t xml:space="preserve">. In addition to the </w:t>
      </w:r>
      <w:r w:rsidR="00B2553D" w:rsidRPr="008D6212">
        <w:rPr>
          <w:rFonts w:asciiTheme="minorHAnsi" w:hAnsiTheme="minorHAnsi"/>
        </w:rPr>
        <w:t>indexation-based</w:t>
      </w:r>
      <w:r w:rsidRPr="008D6212">
        <w:rPr>
          <w:rFonts w:asciiTheme="minorHAnsi" w:hAnsiTheme="minorHAnsi"/>
        </w:rPr>
        <w:t xml:space="preserve"> increase, the TGA annual charge will need to factor in the remaining 50% increase for cost recovery of digital transformation</w:t>
      </w:r>
      <w:r w:rsidR="008672E4" w:rsidRPr="008D6212">
        <w:rPr>
          <w:rFonts w:asciiTheme="minorHAnsi" w:hAnsiTheme="minorHAnsi"/>
        </w:rPr>
        <w:t>, and for commencement of the UDI cost recovery</w:t>
      </w:r>
      <w:r w:rsidR="005B6BBD">
        <w:rPr>
          <w:rFonts w:asciiTheme="minorHAnsi" w:hAnsiTheme="minorHAnsi"/>
        </w:rPr>
        <w:t xml:space="preserve"> from 1 July 2024</w:t>
      </w:r>
      <w:r w:rsidRPr="008D6212">
        <w:rPr>
          <w:rFonts w:asciiTheme="minorHAnsi" w:hAnsiTheme="minorHAnsi"/>
        </w:rPr>
        <w:t xml:space="preserve">. As detailed in last year’s </w:t>
      </w:r>
      <w:r w:rsidR="00B207E2" w:rsidRPr="008D6212">
        <w:rPr>
          <w:rFonts w:asciiTheme="minorHAnsi" w:hAnsiTheme="minorHAnsi"/>
        </w:rPr>
        <w:t xml:space="preserve">consultation paper </w:t>
      </w:r>
      <w:hyperlink r:id="rId21" w:history="1">
        <w:r w:rsidR="008D6212" w:rsidRPr="008D6212">
          <w:rPr>
            <w:rStyle w:val="Hyperlink"/>
            <w:rFonts w:asciiTheme="minorHAnsi" w:hAnsiTheme="minorHAnsi"/>
          </w:rPr>
          <w:t>Public Consultation - TGA Fees and Charges proposal 2023-24</w:t>
        </w:r>
      </w:hyperlink>
      <w:r w:rsidR="00B207E2" w:rsidRPr="008D6212">
        <w:rPr>
          <w:rFonts w:asciiTheme="minorHAnsi" w:hAnsiTheme="minorHAnsi"/>
        </w:rPr>
        <w:t>, the</w:t>
      </w:r>
      <w:r w:rsidR="006F046C" w:rsidRPr="008D6212">
        <w:rPr>
          <w:rFonts w:asciiTheme="minorHAnsi" w:hAnsiTheme="minorHAnsi"/>
        </w:rPr>
        <w:t xml:space="preserve"> Government</w:t>
      </w:r>
      <w:r w:rsidR="00B207E2" w:rsidRPr="008D6212">
        <w:rPr>
          <w:rFonts w:asciiTheme="minorHAnsi" w:hAnsiTheme="minorHAnsi"/>
        </w:rPr>
        <w:t xml:space="preserve">’s October 2022 </w:t>
      </w:r>
      <w:r w:rsidR="007B5185">
        <w:rPr>
          <w:rFonts w:asciiTheme="minorHAnsi" w:hAnsiTheme="minorHAnsi"/>
        </w:rPr>
        <w:t xml:space="preserve">Budget </w:t>
      </w:r>
      <w:r w:rsidR="00B2553D" w:rsidRPr="008D6212">
        <w:rPr>
          <w:rFonts w:asciiTheme="minorHAnsi" w:hAnsiTheme="minorHAnsi"/>
        </w:rPr>
        <w:t>decision required</w:t>
      </w:r>
      <w:r w:rsidR="00B207E2" w:rsidRPr="008D6212">
        <w:rPr>
          <w:rFonts w:asciiTheme="minorHAnsi" w:hAnsiTheme="minorHAnsi"/>
        </w:rPr>
        <w:t xml:space="preserve"> cost </w:t>
      </w:r>
      <w:r w:rsidR="006F046C" w:rsidRPr="008D6212">
        <w:rPr>
          <w:rFonts w:asciiTheme="minorHAnsi" w:hAnsiTheme="minorHAnsi"/>
        </w:rPr>
        <w:t>recover</w:t>
      </w:r>
      <w:r w:rsidR="00B207E2" w:rsidRPr="008D6212">
        <w:rPr>
          <w:rFonts w:asciiTheme="minorHAnsi" w:hAnsiTheme="minorHAnsi"/>
        </w:rPr>
        <w:t xml:space="preserve">y of </w:t>
      </w:r>
      <w:r w:rsidR="00543082" w:rsidRPr="008D6212">
        <w:rPr>
          <w:rFonts w:asciiTheme="minorHAnsi" w:hAnsiTheme="minorHAnsi"/>
        </w:rPr>
        <w:t xml:space="preserve">$23.7 million </w:t>
      </w:r>
      <w:r w:rsidR="00B207E2" w:rsidRPr="008D6212">
        <w:rPr>
          <w:rFonts w:asciiTheme="minorHAnsi" w:hAnsiTheme="minorHAnsi"/>
        </w:rPr>
        <w:t>investment</w:t>
      </w:r>
      <w:r w:rsidR="00543082" w:rsidRPr="008D6212">
        <w:rPr>
          <w:rFonts w:asciiTheme="minorHAnsi" w:hAnsiTheme="minorHAnsi"/>
        </w:rPr>
        <w:t xml:space="preserve"> in the TGA business transformation and </w:t>
      </w:r>
      <w:r w:rsidR="00E07E9F">
        <w:rPr>
          <w:rFonts w:asciiTheme="minorHAnsi" w:hAnsiTheme="minorHAnsi"/>
        </w:rPr>
        <w:t xml:space="preserve">the </w:t>
      </w:r>
      <w:r w:rsidR="00754347" w:rsidRPr="008D6212">
        <w:rPr>
          <w:rFonts w:asciiTheme="minorHAnsi" w:hAnsiTheme="minorHAnsi"/>
        </w:rPr>
        <w:t>UDI system</w:t>
      </w:r>
      <w:r w:rsidR="003907CE" w:rsidRPr="008D6212">
        <w:rPr>
          <w:rFonts w:asciiTheme="minorHAnsi" w:hAnsiTheme="minorHAnsi"/>
        </w:rPr>
        <w:t xml:space="preserve"> from industry over five years</w:t>
      </w:r>
      <w:r w:rsidR="00B207E2" w:rsidRPr="008D6212">
        <w:rPr>
          <w:rFonts w:asciiTheme="minorHAnsi" w:hAnsiTheme="minorHAnsi"/>
        </w:rPr>
        <w:t xml:space="preserve"> (six financial year</w:t>
      </w:r>
      <w:r w:rsidR="00A70DFE">
        <w:rPr>
          <w:rFonts w:asciiTheme="minorHAnsi" w:hAnsiTheme="minorHAnsi"/>
        </w:rPr>
        <w:t>s</w:t>
      </w:r>
      <w:r w:rsidR="00B207E2" w:rsidRPr="008D6212">
        <w:rPr>
          <w:rFonts w:asciiTheme="minorHAnsi" w:hAnsiTheme="minorHAnsi"/>
        </w:rPr>
        <w:t>)</w:t>
      </w:r>
      <w:r w:rsidR="003907CE" w:rsidRPr="008D6212">
        <w:rPr>
          <w:rFonts w:asciiTheme="minorHAnsi" w:hAnsiTheme="minorHAnsi"/>
        </w:rPr>
        <w:t xml:space="preserve">. </w:t>
      </w:r>
    </w:p>
    <w:p w14:paraId="21D91C02" w14:textId="0F500E92" w:rsidR="00543082" w:rsidRPr="008D6212" w:rsidRDefault="003907CE" w:rsidP="00E242E9">
      <w:pPr>
        <w:rPr>
          <w:rFonts w:asciiTheme="minorHAnsi" w:hAnsiTheme="minorHAnsi"/>
        </w:rPr>
      </w:pPr>
      <w:r w:rsidRPr="008D6212">
        <w:rPr>
          <w:rFonts w:asciiTheme="minorHAnsi" w:hAnsiTheme="minorHAnsi"/>
        </w:rPr>
        <w:t xml:space="preserve">Additionally, there are </w:t>
      </w:r>
      <w:r w:rsidR="00B207E2" w:rsidRPr="008D6212">
        <w:rPr>
          <w:rFonts w:asciiTheme="minorHAnsi" w:hAnsiTheme="minorHAnsi"/>
        </w:rPr>
        <w:t xml:space="preserve">a small number of other changes </w:t>
      </w:r>
      <w:r w:rsidR="00B2553D" w:rsidRPr="008D6212">
        <w:rPr>
          <w:rFonts w:asciiTheme="minorHAnsi" w:hAnsiTheme="minorHAnsi"/>
        </w:rPr>
        <w:t xml:space="preserve">proposed </w:t>
      </w:r>
      <w:r w:rsidR="00B207E2" w:rsidRPr="008D6212">
        <w:rPr>
          <w:rFonts w:asciiTheme="minorHAnsi" w:hAnsiTheme="minorHAnsi"/>
        </w:rPr>
        <w:t>to medicine and medical device</w:t>
      </w:r>
      <w:r w:rsidR="009B4D09" w:rsidRPr="008D6212">
        <w:rPr>
          <w:rFonts w:asciiTheme="minorHAnsi" w:hAnsiTheme="minorHAnsi"/>
        </w:rPr>
        <w:t xml:space="preserve"> fees</w:t>
      </w:r>
      <w:r w:rsidR="00B2553D" w:rsidRPr="008D6212">
        <w:rPr>
          <w:rFonts w:asciiTheme="minorHAnsi" w:hAnsiTheme="minorHAnsi"/>
        </w:rPr>
        <w:t xml:space="preserve"> and charges</w:t>
      </w:r>
      <w:r w:rsidR="00E07E9F">
        <w:rPr>
          <w:rFonts w:asciiTheme="minorHAnsi" w:hAnsiTheme="minorHAnsi"/>
        </w:rPr>
        <w:t xml:space="preserve"> which are not significant in nature</w:t>
      </w:r>
      <w:r w:rsidR="00754347" w:rsidRPr="008D6212">
        <w:rPr>
          <w:rFonts w:asciiTheme="minorHAnsi" w:hAnsiTheme="minorHAnsi"/>
        </w:rPr>
        <w:t>.</w:t>
      </w:r>
    </w:p>
    <w:p w14:paraId="0D46E65C" w14:textId="332A1833" w:rsidR="00754347" w:rsidRDefault="00754347" w:rsidP="00E242E9">
      <w:pPr>
        <w:rPr>
          <w:rFonts w:asciiTheme="minorHAnsi" w:hAnsiTheme="minorHAnsi"/>
        </w:rPr>
      </w:pPr>
      <w:r>
        <w:rPr>
          <w:rFonts w:asciiTheme="minorHAnsi" w:hAnsiTheme="minorHAnsi"/>
        </w:rPr>
        <w:t xml:space="preserve">The </w:t>
      </w:r>
      <w:r w:rsidR="009E10D5">
        <w:rPr>
          <w:rFonts w:asciiTheme="minorHAnsi" w:hAnsiTheme="minorHAnsi"/>
        </w:rPr>
        <w:t>required</w:t>
      </w:r>
      <w:r>
        <w:rPr>
          <w:rFonts w:asciiTheme="minorHAnsi" w:hAnsiTheme="minorHAnsi"/>
        </w:rPr>
        <w:t xml:space="preserve"> changes </w:t>
      </w:r>
      <w:r w:rsidR="00C247A1">
        <w:rPr>
          <w:rFonts w:asciiTheme="minorHAnsi" w:hAnsiTheme="minorHAnsi"/>
        </w:rPr>
        <w:t>to TGA annu</w:t>
      </w:r>
      <w:r w:rsidR="00BE7BB3">
        <w:rPr>
          <w:rFonts w:asciiTheme="minorHAnsi" w:hAnsiTheme="minorHAnsi"/>
        </w:rPr>
        <w:t>a</w:t>
      </w:r>
      <w:r w:rsidR="00C247A1">
        <w:rPr>
          <w:rFonts w:asciiTheme="minorHAnsi" w:hAnsiTheme="minorHAnsi"/>
        </w:rPr>
        <w:t xml:space="preserve">l charges </w:t>
      </w:r>
      <w:r>
        <w:rPr>
          <w:rFonts w:asciiTheme="minorHAnsi" w:hAnsiTheme="minorHAnsi"/>
        </w:rPr>
        <w:t xml:space="preserve">and the annual indexation increase </w:t>
      </w:r>
      <w:r w:rsidR="00C247A1">
        <w:rPr>
          <w:rFonts w:asciiTheme="minorHAnsi" w:hAnsiTheme="minorHAnsi"/>
        </w:rPr>
        <w:t xml:space="preserve">to all fees and charges </w:t>
      </w:r>
      <w:r>
        <w:rPr>
          <w:rFonts w:asciiTheme="minorHAnsi" w:hAnsiTheme="minorHAnsi"/>
        </w:rPr>
        <w:t xml:space="preserve">are discussed in detail </w:t>
      </w:r>
      <w:r w:rsidR="00BE7BB3">
        <w:rPr>
          <w:rFonts w:asciiTheme="minorHAnsi" w:hAnsiTheme="minorHAnsi"/>
        </w:rPr>
        <w:t>below</w:t>
      </w:r>
      <w:r>
        <w:rPr>
          <w:rFonts w:asciiTheme="minorHAnsi" w:hAnsiTheme="minorHAnsi"/>
        </w:rPr>
        <w:t xml:space="preserve">. </w:t>
      </w:r>
    </w:p>
    <w:p w14:paraId="0889CAF0" w14:textId="231960F7" w:rsidR="00F9013B" w:rsidRPr="00371ADC" w:rsidRDefault="00861D46">
      <w:pPr>
        <w:pStyle w:val="Heading3"/>
        <w:numPr>
          <w:ilvl w:val="0"/>
          <w:numId w:val="18"/>
        </w:numPr>
        <w:rPr>
          <w:rFonts w:asciiTheme="minorHAnsi" w:hAnsiTheme="minorHAnsi"/>
        </w:rPr>
      </w:pPr>
      <w:bookmarkStart w:id="9" w:name="_Toc153538019"/>
      <w:r>
        <w:rPr>
          <w:rFonts w:asciiTheme="minorHAnsi" w:hAnsiTheme="minorHAnsi"/>
        </w:rPr>
        <w:t>Co</w:t>
      </w:r>
      <w:r w:rsidR="008D6212">
        <w:rPr>
          <w:rFonts w:asciiTheme="minorHAnsi" w:hAnsiTheme="minorHAnsi"/>
        </w:rPr>
        <w:t xml:space="preserve">st pressures in </w:t>
      </w:r>
      <w:r w:rsidR="00F9013B" w:rsidRPr="00371ADC">
        <w:rPr>
          <w:rFonts w:asciiTheme="minorHAnsi" w:hAnsiTheme="minorHAnsi"/>
        </w:rPr>
        <w:t>202</w:t>
      </w:r>
      <w:r w:rsidR="008672E4">
        <w:rPr>
          <w:rFonts w:asciiTheme="minorHAnsi" w:hAnsiTheme="minorHAnsi"/>
        </w:rPr>
        <w:t>4-25</w:t>
      </w:r>
      <w:bookmarkEnd w:id="9"/>
    </w:p>
    <w:p w14:paraId="2A22BA59" w14:textId="1D33A327" w:rsidR="00F9013B" w:rsidRDefault="00F9013B" w:rsidP="00F9013B">
      <w:pPr>
        <w:spacing w:after="120"/>
        <w:rPr>
          <w:rFonts w:asciiTheme="minorHAnsi" w:hAnsiTheme="minorHAnsi"/>
        </w:rPr>
      </w:pPr>
      <w:r w:rsidRPr="00F9013B">
        <w:rPr>
          <w:rFonts w:asciiTheme="minorHAnsi" w:hAnsiTheme="minorHAnsi"/>
        </w:rPr>
        <w:t>Known increases to the TGA expenses in 202</w:t>
      </w:r>
      <w:r w:rsidR="00331240">
        <w:rPr>
          <w:rFonts w:asciiTheme="minorHAnsi" w:hAnsiTheme="minorHAnsi"/>
        </w:rPr>
        <w:t>4</w:t>
      </w:r>
      <w:r w:rsidRPr="00F9013B">
        <w:rPr>
          <w:rFonts w:asciiTheme="minorHAnsi" w:hAnsiTheme="minorHAnsi"/>
        </w:rPr>
        <w:t>-2</w:t>
      </w:r>
      <w:r w:rsidR="00331240">
        <w:rPr>
          <w:rFonts w:asciiTheme="minorHAnsi" w:hAnsiTheme="minorHAnsi"/>
        </w:rPr>
        <w:t>5</w:t>
      </w:r>
      <w:r w:rsidRPr="00F9013B">
        <w:rPr>
          <w:rFonts w:asciiTheme="minorHAnsi" w:hAnsiTheme="minorHAnsi"/>
        </w:rPr>
        <w:t xml:space="preserve"> are estimated to be approximately $</w:t>
      </w:r>
      <w:r w:rsidR="00331240">
        <w:rPr>
          <w:rFonts w:asciiTheme="minorHAnsi" w:hAnsiTheme="minorHAnsi"/>
        </w:rPr>
        <w:t>14</w:t>
      </w:r>
      <w:r w:rsidR="006F3BDA">
        <w:rPr>
          <w:rFonts w:asciiTheme="minorHAnsi" w:hAnsiTheme="minorHAnsi"/>
        </w:rPr>
        <w:t xml:space="preserve">.3 </w:t>
      </w:r>
      <w:r w:rsidR="006D22E9">
        <w:rPr>
          <w:rFonts w:asciiTheme="minorHAnsi" w:hAnsiTheme="minorHAnsi"/>
        </w:rPr>
        <w:t>million</w:t>
      </w:r>
      <w:r w:rsidRPr="00F9013B">
        <w:rPr>
          <w:rFonts w:asciiTheme="minorHAnsi" w:hAnsiTheme="minorHAnsi"/>
        </w:rPr>
        <w:t xml:space="preserve">. The </w:t>
      </w:r>
      <w:r w:rsidR="006F324B">
        <w:rPr>
          <w:rFonts w:asciiTheme="minorHAnsi" w:hAnsiTheme="minorHAnsi"/>
        </w:rPr>
        <w:t xml:space="preserve">two </w:t>
      </w:r>
      <w:r w:rsidRPr="00F9013B">
        <w:rPr>
          <w:rFonts w:asciiTheme="minorHAnsi" w:hAnsiTheme="minorHAnsi"/>
        </w:rPr>
        <w:t xml:space="preserve">major </w:t>
      </w:r>
      <w:r w:rsidR="008D6212">
        <w:rPr>
          <w:rFonts w:asciiTheme="minorHAnsi" w:hAnsiTheme="minorHAnsi"/>
        </w:rPr>
        <w:t xml:space="preserve">cost pressures, </w:t>
      </w:r>
      <w:r w:rsidR="00D272B9">
        <w:rPr>
          <w:rFonts w:asciiTheme="minorHAnsi" w:hAnsiTheme="minorHAnsi"/>
        </w:rPr>
        <w:t>outside</w:t>
      </w:r>
      <w:r w:rsidR="008D6212">
        <w:rPr>
          <w:rFonts w:asciiTheme="minorHAnsi" w:hAnsiTheme="minorHAnsi"/>
        </w:rPr>
        <w:t xml:space="preserve"> our control,</w:t>
      </w:r>
      <w:r w:rsidRPr="00F9013B">
        <w:rPr>
          <w:rFonts w:asciiTheme="minorHAnsi" w:hAnsiTheme="minorHAnsi"/>
        </w:rPr>
        <w:t xml:space="preserve"> are outlined below</w:t>
      </w:r>
      <w:r w:rsidR="00B207E2">
        <w:rPr>
          <w:rFonts w:asciiTheme="minorHAnsi" w:hAnsiTheme="minorHAnsi"/>
        </w:rPr>
        <w:t>:</w:t>
      </w:r>
    </w:p>
    <w:p w14:paraId="5B3E908D" w14:textId="77777777" w:rsidR="00E061FC" w:rsidRPr="00E10E80" w:rsidRDefault="00F9013B">
      <w:pPr>
        <w:pStyle w:val="ListBullet"/>
        <w:numPr>
          <w:ilvl w:val="0"/>
          <w:numId w:val="16"/>
        </w:numPr>
        <w:rPr>
          <w:rFonts w:asciiTheme="minorHAnsi" w:hAnsiTheme="minorHAnsi"/>
          <w:b/>
          <w:bCs/>
        </w:rPr>
      </w:pPr>
      <w:r w:rsidRPr="00E10E80">
        <w:rPr>
          <w:rFonts w:asciiTheme="minorHAnsi" w:hAnsiTheme="minorHAnsi"/>
          <w:b/>
          <w:bCs/>
        </w:rPr>
        <w:t>Anticipated increase in salary, contractor, and related costs</w:t>
      </w:r>
    </w:p>
    <w:p w14:paraId="1134A859" w14:textId="78E3ED83" w:rsidR="00E061FC" w:rsidRDefault="00E061FC" w:rsidP="00E061FC">
      <w:pPr>
        <w:rPr>
          <w:rFonts w:asciiTheme="minorHAnsi" w:hAnsiTheme="minorHAnsi"/>
        </w:rPr>
      </w:pPr>
      <w:r w:rsidRPr="00E10E80">
        <w:rPr>
          <w:rFonts w:asciiTheme="minorHAnsi" w:hAnsiTheme="minorHAnsi"/>
        </w:rPr>
        <w:t>The single largest component of the TGA costs is salary, contractors and other staff related costs. Employee costs are estimated to increase by $</w:t>
      </w:r>
      <w:r w:rsidR="00997FE1" w:rsidRPr="00E10E80">
        <w:rPr>
          <w:rFonts w:asciiTheme="minorHAnsi" w:hAnsiTheme="minorHAnsi"/>
        </w:rPr>
        <w:t xml:space="preserve">7.0 </w:t>
      </w:r>
      <w:r w:rsidRPr="00E10E80">
        <w:rPr>
          <w:rFonts w:asciiTheme="minorHAnsi" w:hAnsiTheme="minorHAnsi"/>
        </w:rPr>
        <w:t>million for the 202</w:t>
      </w:r>
      <w:r w:rsidR="00997FE1" w:rsidRPr="00E10E80">
        <w:rPr>
          <w:rFonts w:asciiTheme="minorHAnsi" w:hAnsiTheme="minorHAnsi"/>
        </w:rPr>
        <w:t>4</w:t>
      </w:r>
      <w:r w:rsidRPr="00E10E80">
        <w:rPr>
          <w:rFonts w:asciiTheme="minorHAnsi" w:hAnsiTheme="minorHAnsi"/>
        </w:rPr>
        <w:t>-2</w:t>
      </w:r>
      <w:r w:rsidR="00997FE1" w:rsidRPr="00E10E80">
        <w:rPr>
          <w:rFonts w:asciiTheme="minorHAnsi" w:hAnsiTheme="minorHAnsi"/>
        </w:rPr>
        <w:t>5</w:t>
      </w:r>
      <w:r w:rsidRPr="00E10E80">
        <w:rPr>
          <w:rFonts w:asciiTheme="minorHAnsi" w:hAnsiTheme="minorHAnsi"/>
        </w:rPr>
        <w:t xml:space="preserve"> </w:t>
      </w:r>
      <w:r w:rsidR="006D22E9" w:rsidRPr="00E10E80">
        <w:rPr>
          <w:rFonts w:asciiTheme="minorHAnsi" w:hAnsiTheme="minorHAnsi"/>
        </w:rPr>
        <w:t xml:space="preserve">financial </w:t>
      </w:r>
      <w:r w:rsidRPr="00E10E80">
        <w:rPr>
          <w:rFonts w:asciiTheme="minorHAnsi" w:hAnsiTheme="minorHAnsi"/>
        </w:rPr>
        <w:t xml:space="preserve">year mainly related to </w:t>
      </w:r>
      <w:r w:rsidR="006D22E9" w:rsidRPr="00E10E80">
        <w:rPr>
          <w:rFonts w:asciiTheme="minorHAnsi" w:hAnsiTheme="minorHAnsi"/>
        </w:rPr>
        <w:t xml:space="preserve">the </w:t>
      </w:r>
      <w:r w:rsidR="00997FE1" w:rsidRPr="00E10E80">
        <w:rPr>
          <w:rFonts w:asciiTheme="minorHAnsi" w:hAnsiTheme="minorHAnsi"/>
        </w:rPr>
        <w:t>4</w:t>
      </w:r>
      <w:r w:rsidRPr="00E10E80">
        <w:rPr>
          <w:rFonts w:asciiTheme="minorHAnsi" w:hAnsiTheme="minorHAnsi"/>
        </w:rPr>
        <w:t xml:space="preserve">% pay </w:t>
      </w:r>
      <w:r w:rsidR="006F3BDA">
        <w:rPr>
          <w:rFonts w:asciiTheme="minorHAnsi" w:hAnsiTheme="minorHAnsi"/>
        </w:rPr>
        <w:t>increase</w:t>
      </w:r>
      <w:r w:rsidR="006B4B02" w:rsidRPr="00E10E80">
        <w:rPr>
          <w:rFonts w:asciiTheme="minorHAnsi" w:hAnsiTheme="minorHAnsi"/>
        </w:rPr>
        <w:t xml:space="preserve"> for non-senior executive staff</w:t>
      </w:r>
      <w:r w:rsidRPr="00E10E80">
        <w:rPr>
          <w:rFonts w:asciiTheme="minorHAnsi" w:hAnsiTheme="minorHAnsi"/>
        </w:rPr>
        <w:t xml:space="preserve"> </w:t>
      </w:r>
      <w:r w:rsidR="006D22E9" w:rsidRPr="00E10E80">
        <w:rPr>
          <w:rFonts w:asciiTheme="minorHAnsi" w:hAnsiTheme="minorHAnsi"/>
        </w:rPr>
        <w:t>that will take</w:t>
      </w:r>
      <w:r w:rsidRPr="00E10E80">
        <w:rPr>
          <w:rFonts w:asciiTheme="minorHAnsi" w:hAnsiTheme="minorHAnsi"/>
        </w:rPr>
        <w:t xml:space="preserve"> effect </w:t>
      </w:r>
      <w:r w:rsidR="006D22E9" w:rsidRPr="00E10E80">
        <w:rPr>
          <w:rFonts w:asciiTheme="minorHAnsi" w:hAnsiTheme="minorHAnsi"/>
        </w:rPr>
        <w:t xml:space="preserve">from </w:t>
      </w:r>
      <w:r w:rsidRPr="00E10E80">
        <w:rPr>
          <w:rFonts w:asciiTheme="minorHAnsi" w:hAnsiTheme="minorHAnsi"/>
        </w:rPr>
        <w:t xml:space="preserve">March </w:t>
      </w:r>
      <w:r w:rsidR="00FD528E" w:rsidRPr="00E10E80">
        <w:rPr>
          <w:rFonts w:asciiTheme="minorHAnsi" w:hAnsiTheme="minorHAnsi"/>
        </w:rPr>
        <w:t>202</w:t>
      </w:r>
      <w:r w:rsidR="00010D7E" w:rsidRPr="00E10E80">
        <w:rPr>
          <w:rFonts w:asciiTheme="minorHAnsi" w:hAnsiTheme="minorHAnsi"/>
        </w:rPr>
        <w:t>4</w:t>
      </w:r>
      <w:r w:rsidR="00FD528E" w:rsidRPr="00E10E80">
        <w:rPr>
          <w:rFonts w:asciiTheme="minorHAnsi" w:hAnsiTheme="minorHAnsi"/>
        </w:rPr>
        <w:t xml:space="preserve"> </w:t>
      </w:r>
      <w:r w:rsidRPr="00E10E80">
        <w:rPr>
          <w:rFonts w:asciiTheme="minorHAnsi" w:hAnsiTheme="minorHAnsi"/>
        </w:rPr>
        <w:t>(as per the Department’s Enterprise Agreement</w:t>
      </w:r>
      <w:r w:rsidR="006F3BDA">
        <w:rPr>
          <w:rFonts w:asciiTheme="minorHAnsi" w:hAnsiTheme="minorHAnsi"/>
        </w:rPr>
        <w:t xml:space="preserve"> (EA)</w:t>
      </w:r>
      <w:r w:rsidRPr="00E10E80">
        <w:rPr>
          <w:rFonts w:asciiTheme="minorHAnsi" w:hAnsiTheme="minorHAnsi"/>
        </w:rPr>
        <w:t>)</w:t>
      </w:r>
      <w:r w:rsidR="00FD528E" w:rsidRPr="00E10E80">
        <w:rPr>
          <w:rFonts w:asciiTheme="minorHAnsi" w:hAnsiTheme="minorHAnsi"/>
        </w:rPr>
        <w:t xml:space="preserve">. This will also </w:t>
      </w:r>
      <w:r w:rsidR="00B30E9B" w:rsidRPr="00E10E80">
        <w:rPr>
          <w:rFonts w:asciiTheme="minorHAnsi" w:hAnsiTheme="minorHAnsi"/>
        </w:rPr>
        <w:t xml:space="preserve">include </w:t>
      </w:r>
      <w:r w:rsidR="005E5036">
        <w:rPr>
          <w:rFonts w:asciiTheme="minorHAnsi" w:hAnsiTheme="minorHAnsi"/>
        </w:rPr>
        <w:t xml:space="preserve">a </w:t>
      </w:r>
      <w:r w:rsidRPr="00E10E80">
        <w:rPr>
          <w:rFonts w:asciiTheme="minorHAnsi" w:hAnsiTheme="minorHAnsi"/>
        </w:rPr>
        <w:t>leave provision increase</w:t>
      </w:r>
      <w:r w:rsidR="00E07E9F">
        <w:rPr>
          <w:rFonts w:asciiTheme="minorHAnsi" w:hAnsiTheme="minorHAnsi"/>
        </w:rPr>
        <w:t>,</w:t>
      </w:r>
      <w:r w:rsidRPr="00E10E80">
        <w:rPr>
          <w:rFonts w:asciiTheme="minorHAnsi" w:hAnsiTheme="minorHAnsi"/>
        </w:rPr>
        <w:t xml:space="preserve"> </w:t>
      </w:r>
      <w:r w:rsidR="004361F6" w:rsidRPr="00E10E80">
        <w:rPr>
          <w:rFonts w:asciiTheme="minorHAnsi" w:hAnsiTheme="minorHAnsi"/>
        </w:rPr>
        <w:t>and</w:t>
      </w:r>
      <w:r w:rsidRPr="00E10E80">
        <w:rPr>
          <w:rFonts w:asciiTheme="minorHAnsi" w:hAnsiTheme="minorHAnsi"/>
        </w:rPr>
        <w:t xml:space="preserve"> staff pay increments due </w:t>
      </w:r>
      <w:r w:rsidR="006D22E9" w:rsidRPr="00E10E80">
        <w:rPr>
          <w:rFonts w:asciiTheme="minorHAnsi" w:hAnsiTheme="minorHAnsi"/>
        </w:rPr>
        <w:t xml:space="preserve">in </w:t>
      </w:r>
      <w:r w:rsidR="00B207E2">
        <w:rPr>
          <w:rFonts w:asciiTheme="minorHAnsi" w:hAnsiTheme="minorHAnsi"/>
        </w:rPr>
        <w:t>July</w:t>
      </w:r>
      <w:r w:rsidR="00B207E2" w:rsidRPr="00E10E80">
        <w:rPr>
          <w:rFonts w:asciiTheme="minorHAnsi" w:hAnsiTheme="minorHAnsi"/>
        </w:rPr>
        <w:t xml:space="preserve"> </w:t>
      </w:r>
      <w:r w:rsidR="0067791B" w:rsidRPr="00E10E80">
        <w:rPr>
          <w:rFonts w:asciiTheme="minorHAnsi" w:hAnsiTheme="minorHAnsi"/>
        </w:rPr>
        <w:t>2024</w:t>
      </w:r>
      <w:r w:rsidR="00B30E9B" w:rsidRPr="00E10E80">
        <w:rPr>
          <w:rFonts w:asciiTheme="minorHAnsi" w:hAnsiTheme="minorHAnsi"/>
        </w:rPr>
        <w:t xml:space="preserve"> </w:t>
      </w:r>
      <w:r w:rsidRPr="00E10E80">
        <w:rPr>
          <w:rFonts w:asciiTheme="minorHAnsi" w:hAnsiTheme="minorHAnsi"/>
        </w:rPr>
        <w:t xml:space="preserve">(all staff with at least 3 months of service and a satisfactory performance rating are eligible for an increment in line with </w:t>
      </w:r>
      <w:r w:rsidR="00B95EA6" w:rsidRPr="00E10E80">
        <w:rPr>
          <w:rFonts w:asciiTheme="minorHAnsi" w:hAnsiTheme="minorHAnsi"/>
        </w:rPr>
        <w:t>the</w:t>
      </w:r>
      <w:r w:rsidR="00520662" w:rsidRPr="00E10E80">
        <w:rPr>
          <w:rFonts w:asciiTheme="minorHAnsi" w:hAnsiTheme="minorHAnsi"/>
        </w:rPr>
        <w:t xml:space="preserve"> Department’s</w:t>
      </w:r>
      <w:r w:rsidR="00B95EA6" w:rsidRPr="00E10E80">
        <w:rPr>
          <w:rFonts w:asciiTheme="minorHAnsi" w:hAnsiTheme="minorHAnsi"/>
        </w:rPr>
        <w:t xml:space="preserve"> </w:t>
      </w:r>
      <w:r w:rsidR="006F3BDA">
        <w:rPr>
          <w:rFonts w:asciiTheme="minorHAnsi" w:hAnsiTheme="minorHAnsi"/>
        </w:rPr>
        <w:t>EA</w:t>
      </w:r>
      <w:r w:rsidRPr="00E10E80">
        <w:rPr>
          <w:rFonts w:asciiTheme="minorHAnsi" w:hAnsiTheme="minorHAnsi"/>
        </w:rPr>
        <w:t>).</w:t>
      </w:r>
    </w:p>
    <w:p w14:paraId="69E182DA" w14:textId="786F017D" w:rsidR="00E061FC" w:rsidRPr="00E10E80" w:rsidRDefault="00E061FC">
      <w:pPr>
        <w:pStyle w:val="ListBullet"/>
        <w:numPr>
          <w:ilvl w:val="0"/>
          <w:numId w:val="16"/>
        </w:numPr>
        <w:rPr>
          <w:rFonts w:asciiTheme="minorHAnsi" w:hAnsiTheme="minorHAnsi"/>
          <w:b/>
          <w:bCs/>
        </w:rPr>
      </w:pPr>
      <w:r w:rsidRPr="00E10E80">
        <w:rPr>
          <w:rFonts w:asciiTheme="minorHAnsi" w:hAnsiTheme="minorHAnsi"/>
          <w:b/>
          <w:bCs/>
        </w:rPr>
        <w:t>Increase in corporate costs</w:t>
      </w:r>
    </w:p>
    <w:p w14:paraId="55990EDF" w14:textId="3CCF12F4" w:rsidR="00E061FC" w:rsidRDefault="00E061FC" w:rsidP="00E061FC">
      <w:pPr>
        <w:rPr>
          <w:rFonts w:asciiTheme="minorHAnsi" w:hAnsiTheme="minorHAnsi"/>
        </w:rPr>
      </w:pPr>
      <w:r w:rsidRPr="00F5213B">
        <w:rPr>
          <w:rFonts w:asciiTheme="minorHAnsi" w:hAnsiTheme="minorHAnsi"/>
        </w:rPr>
        <w:t xml:space="preserve">The corporate </w:t>
      </w:r>
      <w:r w:rsidR="003650F2">
        <w:rPr>
          <w:rFonts w:asciiTheme="minorHAnsi" w:hAnsiTheme="minorHAnsi"/>
        </w:rPr>
        <w:t xml:space="preserve">and other </w:t>
      </w:r>
      <w:r w:rsidRPr="00F5213B">
        <w:rPr>
          <w:rFonts w:asciiTheme="minorHAnsi" w:hAnsiTheme="minorHAnsi"/>
        </w:rPr>
        <w:t>cost</w:t>
      </w:r>
      <w:r w:rsidR="00E64F5C">
        <w:rPr>
          <w:rFonts w:asciiTheme="minorHAnsi" w:hAnsiTheme="minorHAnsi"/>
        </w:rPr>
        <w:t>s,</w:t>
      </w:r>
      <w:r w:rsidRPr="00F5213B">
        <w:rPr>
          <w:rFonts w:asciiTheme="minorHAnsi" w:hAnsiTheme="minorHAnsi"/>
        </w:rPr>
        <w:t xml:space="preserve"> including depreciation</w:t>
      </w:r>
      <w:r w:rsidR="00E64F5C">
        <w:rPr>
          <w:rFonts w:asciiTheme="minorHAnsi" w:hAnsiTheme="minorHAnsi"/>
        </w:rPr>
        <w:t>,</w:t>
      </w:r>
      <w:r w:rsidR="0022687A">
        <w:rPr>
          <w:rFonts w:asciiTheme="minorHAnsi" w:hAnsiTheme="minorHAnsi"/>
        </w:rPr>
        <w:t xml:space="preserve"> </w:t>
      </w:r>
      <w:r w:rsidR="00E64F5C">
        <w:rPr>
          <w:rFonts w:asciiTheme="minorHAnsi" w:hAnsiTheme="minorHAnsi"/>
        </w:rPr>
        <w:t>are</w:t>
      </w:r>
      <w:r w:rsidRPr="00F5213B">
        <w:rPr>
          <w:rFonts w:asciiTheme="minorHAnsi" w:hAnsiTheme="minorHAnsi"/>
        </w:rPr>
        <w:t xml:space="preserve"> estimated to increase by $</w:t>
      </w:r>
      <w:r w:rsidR="00C0679D">
        <w:rPr>
          <w:rFonts w:asciiTheme="minorHAnsi" w:hAnsiTheme="minorHAnsi"/>
        </w:rPr>
        <w:t>7.3</w:t>
      </w:r>
      <w:r w:rsidRPr="00F5213B">
        <w:rPr>
          <w:rFonts w:asciiTheme="minorHAnsi" w:hAnsiTheme="minorHAnsi"/>
        </w:rPr>
        <w:t xml:space="preserve"> million </w:t>
      </w:r>
      <w:r w:rsidR="00E64F5C">
        <w:rPr>
          <w:rFonts w:asciiTheme="minorHAnsi" w:hAnsiTheme="minorHAnsi"/>
        </w:rPr>
        <w:t>in 202</w:t>
      </w:r>
      <w:r w:rsidR="007515DF">
        <w:rPr>
          <w:rFonts w:asciiTheme="minorHAnsi" w:hAnsiTheme="minorHAnsi"/>
        </w:rPr>
        <w:t>4</w:t>
      </w:r>
      <w:r w:rsidR="00E64F5C">
        <w:rPr>
          <w:rFonts w:asciiTheme="minorHAnsi" w:hAnsiTheme="minorHAnsi"/>
        </w:rPr>
        <w:t>-2</w:t>
      </w:r>
      <w:r w:rsidR="007515DF">
        <w:rPr>
          <w:rFonts w:asciiTheme="minorHAnsi" w:hAnsiTheme="minorHAnsi"/>
        </w:rPr>
        <w:t>5</w:t>
      </w:r>
      <w:r w:rsidR="00E64F5C">
        <w:rPr>
          <w:rFonts w:asciiTheme="minorHAnsi" w:hAnsiTheme="minorHAnsi"/>
        </w:rPr>
        <w:t xml:space="preserve"> </w:t>
      </w:r>
      <w:r w:rsidRPr="00F5213B">
        <w:rPr>
          <w:rFonts w:asciiTheme="minorHAnsi" w:hAnsiTheme="minorHAnsi"/>
        </w:rPr>
        <w:t xml:space="preserve">mainly due to </w:t>
      </w:r>
      <w:r w:rsidR="00B207E2" w:rsidRPr="00F5213B">
        <w:rPr>
          <w:rFonts w:asciiTheme="minorHAnsi" w:hAnsiTheme="minorHAnsi"/>
        </w:rPr>
        <w:t xml:space="preserve">the yearly increase apportioned for depreciation/amortisation </w:t>
      </w:r>
      <w:r w:rsidR="00B207E2">
        <w:rPr>
          <w:rFonts w:asciiTheme="minorHAnsi" w:hAnsiTheme="minorHAnsi"/>
        </w:rPr>
        <w:t>($6.1 million)</w:t>
      </w:r>
      <w:r w:rsidR="00B207E2" w:rsidRPr="00F5213B">
        <w:rPr>
          <w:rFonts w:asciiTheme="minorHAnsi" w:hAnsiTheme="minorHAnsi"/>
        </w:rPr>
        <w:t xml:space="preserve"> on </w:t>
      </w:r>
      <w:r w:rsidR="00E07E9F">
        <w:rPr>
          <w:rFonts w:asciiTheme="minorHAnsi" w:hAnsiTheme="minorHAnsi"/>
        </w:rPr>
        <w:t>TGA’s business and IT</w:t>
      </w:r>
      <w:r w:rsidR="00B207E2" w:rsidRPr="00F5213B">
        <w:rPr>
          <w:rFonts w:asciiTheme="minorHAnsi" w:hAnsiTheme="minorHAnsi"/>
        </w:rPr>
        <w:t xml:space="preserve"> </w:t>
      </w:r>
      <w:r w:rsidR="00B207E2">
        <w:rPr>
          <w:rFonts w:asciiTheme="minorHAnsi" w:hAnsiTheme="minorHAnsi"/>
        </w:rPr>
        <w:t xml:space="preserve">software </w:t>
      </w:r>
      <w:r w:rsidR="00E07E9F">
        <w:rPr>
          <w:rFonts w:asciiTheme="minorHAnsi" w:hAnsiTheme="minorHAnsi"/>
        </w:rPr>
        <w:t>systems</w:t>
      </w:r>
      <w:r w:rsidR="00B207E2">
        <w:rPr>
          <w:rFonts w:asciiTheme="minorHAnsi" w:hAnsiTheme="minorHAnsi"/>
        </w:rPr>
        <w:t xml:space="preserve"> and the </w:t>
      </w:r>
      <w:r w:rsidR="00B95EA6">
        <w:rPr>
          <w:rFonts w:asciiTheme="minorHAnsi" w:hAnsiTheme="minorHAnsi"/>
        </w:rPr>
        <w:t>inflation-based increase to corporate charge back</w:t>
      </w:r>
      <w:r w:rsidRPr="00F5213B">
        <w:rPr>
          <w:rFonts w:asciiTheme="minorHAnsi" w:hAnsiTheme="minorHAnsi"/>
        </w:rPr>
        <w:t xml:space="preserve"> </w:t>
      </w:r>
      <w:r w:rsidR="00713E04">
        <w:rPr>
          <w:rFonts w:asciiTheme="minorHAnsi" w:hAnsiTheme="minorHAnsi"/>
        </w:rPr>
        <w:t>($</w:t>
      </w:r>
      <w:r w:rsidR="00492EF3">
        <w:rPr>
          <w:rFonts w:asciiTheme="minorHAnsi" w:hAnsiTheme="minorHAnsi"/>
        </w:rPr>
        <w:t>1.</w:t>
      </w:r>
      <w:r w:rsidR="00A1070E">
        <w:rPr>
          <w:rFonts w:asciiTheme="minorHAnsi" w:hAnsiTheme="minorHAnsi"/>
        </w:rPr>
        <w:t>2</w:t>
      </w:r>
      <w:r w:rsidR="00713E04">
        <w:rPr>
          <w:rFonts w:asciiTheme="minorHAnsi" w:hAnsiTheme="minorHAnsi"/>
        </w:rPr>
        <w:t>million)</w:t>
      </w:r>
      <w:r w:rsidR="00E07E9F">
        <w:rPr>
          <w:rFonts w:asciiTheme="minorHAnsi" w:hAnsiTheme="minorHAnsi"/>
        </w:rPr>
        <w:t xml:space="preserve"> payable to the </w:t>
      </w:r>
      <w:r w:rsidR="006F3BDA">
        <w:rPr>
          <w:rFonts w:asciiTheme="minorHAnsi" w:hAnsiTheme="minorHAnsi"/>
        </w:rPr>
        <w:t>D</w:t>
      </w:r>
      <w:r w:rsidR="00E07E9F">
        <w:rPr>
          <w:rFonts w:asciiTheme="minorHAnsi" w:hAnsiTheme="minorHAnsi"/>
        </w:rPr>
        <w:t>epartment</w:t>
      </w:r>
      <w:r w:rsidRPr="00F5213B">
        <w:rPr>
          <w:rFonts w:asciiTheme="minorHAnsi" w:hAnsiTheme="minorHAnsi"/>
        </w:rPr>
        <w:t>.</w:t>
      </w:r>
    </w:p>
    <w:p w14:paraId="64B6DAA5" w14:textId="4F8D91C6" w:rsidR="00861D46" w:rsidRPr="00371ADC" w:rsidRDefault="00861D46">
      <w:pPr>
        <w:pStyle w:val="Heading3"/>
        <w:numPr>
          <w:ilvl w:val="0"/>
          <w:numId w:val="18"/>
        </w:numPr>
        <w:rPr>
          <w:rFonts w:asciiTheme="minorHAnsi" w:hAnsiTheme="minorHAnsi"/>
        </w:rPr>
      </w:pPr>
      <w:bookmarkStart w:id="10" w:name="_Toc153372017"/>
      <w:bookmarkStart w:id="11" w:name="_Toc153372018"/>
      <w:bookmarkStart w:id="12" w:name="_Toc93946209"/>
      <w:bookmarkStart w:id="13" w:name="_Toc153538020"/>
      <w:bookmarkEnd w:id="10"/>
      <w:bookmarkEnd w:id="11"/>
      <w:r w:rsidRPr="00371ADC">
        <w:rPr>
          <w:rFonts w:asciiTheme="minorHAnsi" w:hAnsiTheme="minorHAnsi"/>
        </w:rPr>
        <w:lastRenderedPageBreak/>
        <w:t xml:space="preserve">Indexation factor for </w:t>
      </w:r>
      <w:r w:rsidR="008C1D18" w:rsidRPr="00371ADC">
        <w:rPr>
          <w:rFonts w:asciiTheme="minorHAnsi" w:hAnsiTheme="minorHAnsi"/>
        </w:rPr>
        <w:t>202</w:t>
      </w:r>
      <w:r w:rsidR="008C1D18">
        <w:rPr>
          <w:rFonts w:asciiTheme="minorHAnsi" w:hAnsiTheme="minorHAnsi"/>
        </w:rPr>
        <w:t>4</w:t>
      </w:r>
      <w:r w:rsidRPr="00371ADC">
        <w:rPr>
          <w:rFonts w:asciiTheme="minorHAnsi" w:hAnsiTheme="minorHAnsi"/>
        </w:rPr>
        <w:t>-2</w:t>
      </w:r>
      <w:r w:rsidR="008C1D18">
        <w:rPr>
          <w:rFonts w:asciiTheme="minorHAnsi" w:hAnsiTheme="minorHAnsi"/>
        </w:rPr>
        <w:t>5</w:t>
      </w:r>
      <w:bookmarkEnd w:id="12"/>
      <w:bookmarkEnd w:id="13"/>
    </w:p>
    <w:p w14:paraId="55EEEB65" w14:textId="09FDCAAD" w:rsidR="00861D46" w:rsidRDefault="00861D46" w:rsidP="00861D46">
      <w:pPr>
        <w:spacing w:before="0" w:after="0" w:line="240" w:lineRule="auto"/>
        <w:rPr>
          <w:rFonts w:asciiTheme="minorHAnsi" w:hAnsiTheme="minorHAnsi"/>
        </w:rPr>
      </w:pPr>
      <w:r w:rsidRPr="00075D49">
        <w:rPr>
          <w:rFonts w:asciiTheme="minorHAnsi" w:hAnsiTheme="minorHAnsi"/>
        </w:rPr>
        <w:t>The indexation factor for 202</w:t>
      </w:r>
      <w:r w:rsidR="008C1D18">
        <w:rPr>
          <w:rFonts w:asciiTheme="minorHAnsi" w:hAnsiTheme="minorHAnsi"/>
        </w:rPr>
        <w:t>4</w:t>
      </w:r>
      <w:r w:rsidRPr="00075D49">
        <w:rPr>
          <w:rFonts w:asciiTheme="minorHAnsi" w:hAnsiTheme="minorHAnsi"/>
        </w:rPr>
        <w:t>-2</w:t>
      </w:r>
      <w:r w:rsidR="008C1D18">
        <w:rPr>
          <w:rFonts w:asciiTheme="minorHAnsi" w:hAnsiTheme="minorHAnsi"/>
        </w:rPr>
        <w:t>5</w:t>
      </w:r>
      <w:r w:rsidRPr="00075D49">
        <w:rPr>
          <w:rFonts w:asciiTheme="minorHAnsi" w:hAnsiTheme="minorHAnsi"/>
        </w:rPr>
        <w:t xml:space="preserve">, based on the previously used formulae of the average (composite indexation) of the CPI and the WPI, is </w:t>
      </w:r>
      <w:r w:rsidR="008C1D18">
        <w:rPr>
          <w:rFonts w:asciiTheme="minorHAnsi" w:hAnsiTheme="minorHAnsi"/>
        </w:rPr>
        <w:t>4</w:t>
      </w:r>
      <w:r>
        <w:rPr>
          <w:rFonts w:asciiTheme="minorHAnsi" w:hAnsiTheme="minorHAnsi"/>
        </w:rPr>
        <w:t>.</w:t>
      </w:r>
      <w:r w:rsidR="008C1D18">
        <w:rPr>
          <w:rFonts w:asciiTheme="minorHAnsi" w:hAnsiTheme="minorHAnsi"/>
        </w:rPr>
        <w:t>7</w:t>
      </w:r>
      <w:r w:rsidRPr="00075D49">
        <w:rPr>
          <w:rFonts w:asciiTheme="minorHAnsi" w:hAnsiTheme="minorHAnsi"/>
        </w:rPr>
        <w:t>%:</w:t>
      </w:r>
    </w:p>
    <w:p w14:paraId="49C95A68" w14:textId="5C2719DE" w:rsidR="00861D46" w:rsidRPr="00EE01E8" w:rsidRDefault="00861D46">
      <w:pPr>
        <w:pStyle w:val="ListParagraph"/>
        <w:numPr>
          <w:ilvl w:val="0"/>
          <w:numId w:val="15"/>
        </w:numPr>
        <w:rPr>
          <w:rFonts w:asciiTheme="minorHAnsi" w:hAnsiTheme="minorHAnsi"/>
          <w:color w:val="333F48"/>
        </w:rPr>
      </w:pPr>
      <w:r w:rsidRPr="00EE01E8">
        <w:rPr>
          <w:rFonts w:asciiTheme="minorHAnsi" w:hAnsiTheme="minorHAnsi"/>
          <w:color w:val="333F48"/>
        </w:rPr>
        <w:t>50% of cost price index Sep 202</w:t>
      </w:r>
      <w:r w:rsidR="008C1D18" w:rsidRPr="00EE01E8">
        <w:rPr>
          <w:rFonts w:asciiTheme="minorHAnsi" w:hAnsiTheme="minorHAnsi"/>
          <w:color w:val="333F48"/>
        </w:rPr>
        <w:t>2</w:t>
      </w:r>
      <w:r w:rsidRPr="00EE01E8">
        <w:rPr>
          <w:rFonts w:asciiTheme="minorHAnsi" w:hAnsiTheme="minorHAnsi"/>
          <w:color w:val="333F48"/>
        </w:rPr>
        <w:t xml:space="preserve"> to Sep 202</w:t>
      </w:r>
      <w:r w:rsidR="008C1D18" w:rsidRPr="00EE01E8">
        <w:rPr>
          <w:rFonts w:asciiTheme="minorHAnsi" w:hAnsiTheme="minorHAnsi"/>
          <w:color w:val="333F48"/>
        </w:rPr>
        <w:t>3</w:t>
      </w:r>
      <w:r w:rsidR="00E07E9F">
        <w:rPr>
          <w:rFonts w:asciiTheme="minorHAnsi" w:hAnsiTheme="minorHAnsi"/>
          <w:color w:val="333F48"/>
        </w:rPr>
        <w:t xml:space="preserve"> of </w:t>
      </w:r>
      <w:r w:rsidR="003C7ED1" w:rsidRPr="00EE01E8">
        <w:rPr>
          <w:rFonts w:asciiTheme="minorHAnsi" w:hAnsiTheme="minorHAnsi"/>
          <w:color w:val="333F48"/>
        </w:rPr>
        <w:t>5</w:t>
      </w:r>
      <w:r w:rsidRPr="00EE01E8">
        <w:rPr>
          <w:rFonts w:asciiTheme="minorHAnsi" w:hAnsiTheme="minorHAnsi"/>
          <w:color w:val="333F48"/>
        </w:rPr>
        <w:t>.</w:t>
      </w:r>
      <w:r w:rsidR="003C7ED1" w:rsidRPr="00EE01E8">
        <w:rPr>
          <w:rFonts w:asciiTheme="minorHAnsi" w:hAnsiTheme="minorHAnsi"/>
          <w:color w:val="333F48"/>
        </w:rPr>
        <w:t>4</w:t>
      </w:r>
      <w:r w:rsidRPr="00EE01E8">
        <w:rPr>
          <w:rFonts w:asciiTheme="minorHAnsi" w:hAnsiTheme="minorHAnsi"/>
          <w:color w:val="333F48"/>
        </w:rPr>
        <w:t>%</w:t>
      </w:r>
      <w:r w:rsidR="00E07E9F">
        <w:rPr>
          <w:rFonts w:asciiTheme="minorHAnsi" w:hAnsiTheme="minorHAnsi"/>
          <w:color w:val="333F48"/>
        </w:rPr>
        <w:t xml:space="preserve"> - </w:t>
      </w:r>
      <w:r w:rsidR="003C7ED1" w:rsidRPr="00EE01E8">
        <w:rPr>
          <w:rFonts w:asciiTheme="minorHAnsi" w:hAnsiTheme="minorHAnsi"/>
          <w:color w:val="333F48"/>
        </w:rPr>
        <w:t>2.7</w:t>
      </w:r>
      <w:r w:rsidRPr="00EE01E8">
        <w:rPr>
          <w:rFonts w:asciiTheme="minorHAnsi" w:hAnsiTheme="minorHAnsi"/>
          <w:color w:val="333F48"/>
        </w:rPr>
        <w:t>%</w:t>
      </w:r>
      <w:r w:rsidR="00226EC1">
        <w:rPr>
          <w:rFonts w:asciiTheme="minorHAnsi" w:hAnsiTheme="minorHAnsi"/>
          <w:color w:val="333F48"/>
        </w:rPr>
        <w:t>; and</w:t>
      </w:r>
    </w:p>
    <w:p w14:paraId="4C9E2404" w14:textId="40254447" w:rsidR="00861D46" w:rsidRPr="00EE01E8" w:rsidRDefault="00861D46">
      <w:pPr>
        <w:pStyle w:val="ListParagraph"/>
        <w:numPr>
          <w:ilvl w:val="0"/>
          <w:numId w:val="15"/>
        </w:numPr>
        <w:rPr>
          <w:rFonts w:asciiTheme="minorHAnsi" w:hAnsiTheme="minorHAnsi"/>
          <w:color w:val="333F48"/>
        </w:rPr>
      </w:pPr>
      <w:r w:rsidRPr="00EE01E8">
        <w:rPr>
          <w:rFonts w:asciiTheme="minorHAnsi" w:hAnsiTheme="minorHAnsi"/>
          <w:color w:val="333F48"/>
        </w:rPr>
        <w:t>50% of wage price index Sep 202</w:t>
      </w:r>
      <w:r w:rsidR="003C7ED1" w:rsidRPr="00EE01E8">
        <w:rPr>
          <w:rFonts w:asciiTheme="minorHAnsi" w:hAnsiTheme="minorHAnsi"/>
          <w:color w:val="333F48"/>
        </w:rPr>
        <w:t>2</w:t>
      </w:r>
      <w:r w:rsidRPr="00EE01E8">
        <w:rPr>
          <w:rFonts w:asciiTheme="minorHAnsi" w:hAnsiTheme="minorHAnsi"/>
          <w:color w:val="333F48"/>
        </w:rPr>
        <w:t xml:space="preserve"> to Sep 202</w:t>
      </w:r>
      <w:r w:rsidR="00A21FF2">
        <w:rPr>
          <w:rFonts w:asciiTheme="minorHAnsi" w:hAnsiTheme="minorHAnsi"/>
          <w:color w:val="333F48"/>
        </w:rPr>
        <w:t>3</w:t>
      </w:r>
      <w:r w:rsidR="00E07E9F">
        <w:rPr>
          <w:rFonts w:asciiTheme="minorHAnsi" w:hAnsiTheme="minorHAnsi"/>
          <w:color w:val="333F48"/>
        </w:rPr>
        <w:t xml:space="preserve"> of </w:t>
      </w:r>
      <w:r w:rsidR="003C7ED1" w:rsidRPr="00EE01E8">
        <w:rPr>
          <w:rFonts w:asciiTheme="minorHAnsi" w:hAnsiTheme="minorHAnsi"/>
          <w:color w:val="333F48"/>
        </w:rPr>
        <w:t>4.0</w:t>
      </w:r>
      <w:r w:rsidRPr="00EE01E8">
        <w:rPr>
          <w:rFonts w:asciiTheme="minorHAnsi" w:hAnsiTheme="minorHAnsi"/>
          <w:color w:val="333F48"/>
        </w:rPr>
        <w:t>%</w:t>
      </w:r>
      <w:r w:rsidR="00E07E9F">
        <w:rPr>
          <w:rFonts w:asciiTheme="minorHAnsi" w:hAnsiTheme="minorHAnsi"/>
          <w:color w:val="333F48"/>
        </w:rPr>
        <w:t xml:space="preserve"> - </w:t>
      </w:r>
      <w:r w:rsidR="008A2E99" w:rsidRPr="00EE01E8">
        <w:rPr>
          <w:rFonts w:asciiTheme="minorHAnsi" w:hAnsiTheme="minorHAnsi"/>
          <w:color w:val="333F48"/>
        </w:rPr>
        <w:t>2</w:t>
      </w:r>
      <w:r w:rsidRPr="00EE01E8">
        <w:rPr>
          <w:rFonts w:asciiTheme="minorHAnsi" w:hAnsiTheme="minorHAnsi"/>
          <w:color w:val="333F48"/>
        </w:rPr>
        <w:t>.</w:t>
      </w:r>
      <w:r w:rsidR="008A2E99" w:rsidRPr="00EE01E8">
        <w:rPr>
          <w:rFonts w:asciiTheme="minorHAnsi" w:hAnsiTheme="minorHAnsi"/>
          <w:color w:val="333F48"/>
        </w:rPr>
        <w:t>0</w:t>
      </w:r>
      <w:r w:rsidRPr="00EE01E8">
        <w:rPr>
          <w:rFonts w:asciiTheme="minorHAnsi" w:hAnsiTheme="minorHAnsi"/>
          <w:color w:val="333F48"/>
        </w:rPr>
        <w:t>%</w:t>
      </w:r>
    </w:p>
    <w:p w14:paraId="57AF3216" w14:textId="53DC6CEB" w:rsidR="00A86BA7" w:rsidRPr="00C22A50" w:rsidRDefault="00A86BA7">
      <w:pPr>
        <w:pStyle w:val="Heading3"/>
        <w:numPr>
          <w:ilvl w:val="0"/>
          <w:numId w:val="18"/>
        </w:numPr>
        <w:rPr>
          <w:rFonts w:asciiTheme="minorHAnsi" w:hAnsiTheme="minorHAnsi"/>
        </w:rPr>
      </w:pPr>
      <w:bookmarkStart w:id="14" w:name="_Toc153538021"/>
      <w:r w:rsidRPr="00C22A50">
        <w:rPr>
          <w:rFonts w:asciiTheme="minorHAnsi" w:hAnsiTheme="minorHAnsi"/>
        </w:rPr>
        <w:t>Proposed changes to fees and charges 202</w:t>
      </w:r>
      <w:r w:rsidR="008A2E99">
        <w:rPr>
          <w:rFonts w:asciiTheme="minorHAnsi" w:hAnsiTheme="minorHAnsi"/>
        </w:rPr>
        <w:t>4</w:t>
      </w:r>
      <w:r w:rsidR="00D923E8" w:rsidRPr="00C22A50">
        <w:rPr>
          <w:rFonts w:asciiTheme="minorHAnsi" w:hAnsiTheme="minorHAnsi"/>
        </w:rPr>
        <w:t>-2</w:t>
      </w:r>
      <w:r w:rsidR="008A2E99">
        <w:rPr>
          <w:rFonts w:asciiTheme="minorHAnsi" w:hAnsiTheme="minorHAnsi"/>
        </w:rPr>
        <w:t>5</w:t>
      </w:r>
      <w:bookmarkEnd w:id="14"/>
    </w:p>
    <w:p w14:paraId="5F8DEC41" w14:textId="71CFAED9" w:rsidR="005547DB" w:rsidRPr="00C22A50" w:rsidRDefault="005547DB" w:rsidP="005547DB">
      <w:pPr>
        <w:rPr>
          <w:rFonts w:asciiTheme="minorHAnsi" w:hAnsiTheme="minorHAnsi"/>
        </w:rPr>
      </w:pPr>
      <w:r w:rsidRPr="00C22A50">
        <w:rPr>
          <w:rFonts w:asciiTheme="minorHAnsi" w:hAnsiTheme="minorHAnsi"/>
        </w:rPr>
        <w:t xml:space="preserve">The proposed changes to the fees and charges are made up of </w:t>
      </w:r>
      <w:r w:rsidR="00E07E9F">
        <w:rPr>
          <w:rFonts w:asciiTheme="minorHAnsi" w:hAnsiTheme="minorHAnsi"/>
        </w:rPr>
        <w:t xml:space="preserve">three </w:t>
      </w:r>
      <w:r w:rsidRPr="00C22A50">
        <w:rPr>
          <w:rFonts w:asciiTheme="minorHAnsi" w:hAnsiTheme="minorHAnsi"/>
        </w:rPr>
        <w:t xml:space="preserve">components: </w:t>
      </w:r>
      <w:r w:rsidR="00925ED2">
        <w:rPr>
          <w:rFonts w:asciiTheme="minorHAnsi" w:hAnsiTheme="minorHAnsi"/>
        </w:rPr>
        <w:t>a</w:t>
      </w:r>
      <w:r w:rsidR="00B207E2">
        <w:rPr>
          <w:rFonts w:asciiTheme="minorHAnsi" w:hAnsiTheme="minorHAnsi"/>
        </w:rPr>
        <w:t>)</w:t>
      </w:r>
      <w:r w:rsidRPr="00C22A50">
        <w:rPr>
          <w:rFonts w:asciiTheme="minorHAnsi" w:hAnsiTheme="minorHAnsi"/>
        </w:rPr>
        <w:t> </w:t>
      </w:r>
      <w:r w:rsidR="004E43DB">
        <w:rPr>
          <w:rFonts w:asciiTheme="minorHAnsi" w:hAnsiTheme="minorHAnsi"/>
        </w:rPr>
        <w:t>i</w:t>
      </w:r>
      <w:r w:rsidRPr="00C22A50">
        <w:rPr>
          <w:rFonts w:asciiTheme="minorHAnsi" w:hAnsiTheme="minorHAnsi"/>
        </w:rPr>
        <w:t>ndexation</w:t>
      </w:r>
      <w:r w:rsidR="005E7B55">
        <w:rPr>
          <w:rFonts w:asciiTheme="minorHAnsi" w:hAnsiTheme="minorHAnsi"/>
        </w:rPr>
        <w:t xml:space="preserve"> of fees and charges</w:t>
      </w:r>
      <w:r w:rsidRPr="00C22A50">
        <w:rPr>
          <w:rFonts w:asciiTheme="minorHAnsi" w:hAnsiTheme="minorHAnsi"/>
        </w:rPr>
        <w:t xml:space="preserve">; </w:t>
      </w:r>
      <w:r w:rsidR="00925ED2">
        <w:rPr>
          <w:rFonts w:asciiTheme="minorHAnsi" w:hAnsiTheme="minorHAnsi"/>
        </w:rPr>
        <w:t>b</w:t>
      </w:r>
      <w:r w:rsidR="00B207E2">
        <w:rPr>
          <w:rFonts w:asciiTheme="minorHAnsi" w:hAnsiTheme="minorHAnsi"/>
        </w:rPr>
        <w:t>)</w:t>
      </w:r>
      <w:r w:rsidRPr="00C22A50">
        <w:rPr>
          <w:rFonts w:asciiTheme="minorHAnsi" w:hAnsiTheme="minorHAnsi"/>
        </w:rPr>
        <w:t xml:space="preserve"> digital transformation</w:t>
      </w:r>
      <w:r w:rsidR="005E7B55">
        <w:rPr>
          <w:rFonts w:asciiTheme="minorHAnsi" w:hAnsiTheme="minorHAnsi"/>
        </w:rPr>
        <w:t xml:space="preserve"> </w:t>
      </w:r>
      <w:r w:rsidR="00B207E2">
        <w:rPr>
          <w:rFonts w:asciiTheme="minorHAnsi" w:hAnsiTheme="minorHAnsi"/>
        </w:rPr>
        <w:t>and UDI cost recovery</w:t>
      </w:r>
      <w:r w:rsidRPr="00C22A50">
        <w:rPr>
          <w:rFonts w:asciiTheme="minorHAnsi" w:hAnsiTheme="minorHAnsi"/>
        </w:rPr>
        <w:t xml:space="preserve">; </w:t>
      </w:r>
      <w:r w:rsidR="00A92E4D" w:rsidRPr="00C22A50">
        <w:rPr>
          <w:rFonts w:asciiTheme="minorHAnsi" w:hAnsiTheme="minorHAnsi"/>
        </w:rPr>
        <w:t>and</w:t>
      </w:r>
      <w:r w:rsidR="008E67F3">
        <w:rPr>
          <w:rFonts w:asciiTheme="minorHAnsi" w:hAnsiTheme="minorHAnsi"/>
        </w:rPr>
        <w:t xml:space="preserve"> c) a small number of other</w:t>
      </w:r>
      <w:r w:rsidR="00A92E4D" w:rsidRPr="00C22A50">
        <w:rPr>
          <w:rFonts w:asciiTheme="minorHAnsi" w:hAnsiTheme="minorHAnsi"/>
        </w:rPr>
        <w:t xml:space="preserve"> </w:t>
      </w:r>
      <w:r w:rsidR="005E7B55">
        <w:rPr>
          <w:rFonts w:asciiTheme="minorHAnsi" w:hAnsiTheme="minorHAnsi"/>
        </w:rPr>
        <w:t xml:space="preserve">changes to </w:t>
      </w:r>
      <w:r w:rsidR="008E67F3">
        <w:rPr>
          <w:rFonts w:asciiTheme="minorHAnsi" w:hAnsiTheme="minorHAnsi"/>
        </w:rPr>
        <w:t xml:space="preserve">medicine and </w:t>
      </w:r>
      <w:r w:rsidR="005E7B55">
        <w:rPr>
          <w:rFonts w:asciiTheme="minorHAnsi" w:hAnsiTheme="minorHAnsi"/>
        </w:rPr>
        <w:t>medical device fees</w:t>
      </w:r>
      <w:r w:rsidR="008E67F3">
        <w:rPr>
          <w:rFonts w:asciiTheme="minorHAnsi" w:hAnsiTheme="minorHAnsi"/>
        </w:rPr>
        <w:t xml:space="preserve"> and charges</w:t>
      </w:r>
      <w:r w:rsidRPr="00C22A50">
        <w:rPr>
          <w:rFonts w:asciiTheme="minorHAnsi" w:hAnsiTheme="minorHAnsi"/>
        </w:rPr>
        <w:t>.</w:t>
      </w:r>
      <w:r w:rsidR="007E483D" w:rsidRPr="00C22A50">
        <w:rPr>
          <w:rFonts w:asciiTheme="minorHAnsi" w:hAnsiTheme="minorHAnsi"/>
        </w:rPr>
        <w:t xml:space="preserve"> </w:t>
      </w:r>
      <w:r w:rsidR="00447488">
        <w:rPr>
          <w:rFonts w:asciiTheme="minorHAnsi" w:hAnsiTheme="minorHAnsi"/>
        </w:rPr>
        <w:t>N</w:t>
      </w:r>
      <w:r w:rsidR="007E483D" w:rsidRPr="00C22A50">
        <w:rPr>
          <w:rFonts w:asciiTheme="minorHAnsi" w:hAnsiTheme="minorHAnsi"/>
        </w:rPr>
        <w:t>ot all changes relate to all areas of industry.</w:t>
      </w:r>
    </w:p>
    <w:p w14:paraId="55A4B607" w14:textId="1B19B095" w:rsidR="00D923E8" w:rsidRPr="00E10E80" w:rsidRDefault="005E7B55">
      <w:pPr>
        <w:pStyle w:val="ListBullet"/>
        <w:numPr>
          <w:ilvl w:val="0"/>
          <w:numId w:val="19"/>
        </w:numPr>
        <w:rPr>
          <w:rFonts w:asciiTheme="minorHAnsi" w:hAnsiTheme="minorHAnsi"/>
          <w:b/>
          <w:bCs/>
        </w:rPr>
      </w:pPr>
      <w:r w:rsidRPr="00E10E80">
        <w:rPr>
          <w:rFonts w:asciiTheme="minorHAnsi" w:hAnsiTheme="minorHAnsi"/>
          <w:b/>
          <w:bCs/>
        </w:rPr>
        <w:t>Indexation of f</w:t>
      </w:r>
      <w:r w:rsidR="00D923E8" w:rsidRPr="00E10E80">
        <w:rPr>
          <w:rFonts w:asciiTheme="minorHAnsi" w:hAnsiTheme="minorHAnsi"/>
          <w:b/>
          <w:bCs/>
        </w:rPr>
        <w:t xml:space="preserve">ees and charges </w:t>
      </w:r>
    </w:p>
    <w:p w14:paraId="2AE816E4" w14:textId="3497C923" w:rsidR="00D923E8" w:rsidRPr="00F5213B" w:rsidRDefault="007E483D" w:rsidP="00F5213B">
      <w:pPr>
        <w:rPr>
          <w:rFonts w:asciiTheme="minorHAnsi" w:hAnsiTheme="minorHAnsi"/>
        </w:rPr>
      </w:pPr>
      <w:r>
        <w:rPr>
          <w:rFonts w:asciiTheme="minorHAnsi" w:hAnsiTheme="minorHAnsi"/>
        </w:rPr>
        <w:t>F</w:t>
      </w:r>
      <w:r w:rsidR="00D923E8" w:rsidRPr="00F5213B">
        <w:rPr>
          <w:rFonts w:asciiTheme="minorHAnsi" w:hAnsiTheme="minorHAnsi"/>
        </w:rPr>
        <w:t xml:space="preserve">ees and charges would increase by </w:t>
      </w:r>
      <w:r>
        <w:rPr>
          <w:rFonts w:asciiTheme="minorHAnsi" w:hAnsiTheme="minorHAnsi"/>
        </w:rPr>
        <w:t xml:space="preserve">the calculated indexation factor of </w:t>
      </w:r>
      <w:r w:rsidR="003C2882">
        <w:rPr>
          <w:rFonts w:asciiTheme="minorHAnsi" w:hAnsiTheme="minorHAnsi"/>
        </w:rPr>
        <w:t>4.7</w:t>
      </w:r>
      <w:r w:rsidR="00D923E8" w:rsidRPr="00F5213B">
        <w:rPr>
          <w:rFonts w:asciiTheme="minorHAnsi" w:hAnsiTheme="minorHAnsi"/>
        </w:rPr>
        <w:t xml:space="preserve">%. The </w:t>
      </w:r>
      <w:r w:rsidR="005547DB">
        <w:rPr>
          <w:rFonts w:asciiTheme="minorHAnsi" w:hAnsiTheme="minorHAnsi"/>
        </w:rPr>
        <w:t xml:space="preserve">proposed </w:t>
      </w:r>
      <w:r w:rsidR="00D923E8" w:rsidRPr="00F5213B">
        <w:rPr>
          <w:rFonts w:asciiTheme="minorHAnsi" w:hAnsiTheme="minorHAnsi"/>
        </w:rPr>
        <w:t xml:space="preserve">indexation increase is consistent with the long-established practice </w:t>
      </w:r>
      <w:proofErr w:type="gramStart"/>
      <w:r w:rsidR="001D506E">
        <w:rPr>
          <w:rFonts w:asciiTheme="minorHAnsi" w:hAnsiTheme="minorHAnsi"/>
        </w:rPr>
        <w:t>and</w:t>
      </w:r>
      <w:r w:rsidR="00D923E8" w:rsidRPr="00F5213B">
        <w:rPr>
          <w:rFonts w:asciiTheme="minorHAnsi" w:hAnsiTheme="minorHAnsi"/>
        </w:rPr>
        <w:t xml:space="preserve"> also</w:t>
      </w:r>
      <w:proofErr w:type="gramEnd"/>
      <w:r w:rsidR="00D923E8" w:rsidRPr="00F5213B">
        <w:rPr>
          <w:rFonts w:asciiTheme="minorHAnsi" w:hAnsiTheme="minorHAnsi"/>
        </w:rPr>
        <w:t xml:space="preserve"> provides opportunities for efficiency gains through business process improvements</w:t>
      </w:r>
      <w:r w:rsidR="00447488">
        <w:rPr>
          <w:rFonts w:asciiTheme="minorHAnsi" w:hAnsiTheme="minorHAnsi"/>
        </w:rPr>
        <w:t xml:space="preserve"> as the level of known cost increases </w:t>
      </w:r>
      <w:r w:rsidR="00E07E9F">
        <w:rPr>
          <w:rFonts w:asciiTheme="minorHAnsi" w:hAnsiTheme="minorHAnsi"/>
        </w:rPr>
        <w:t xml:space="preserve">will require a </w:t>
      </w:r>
      <w:r w:rsidR="00447488">
        <w:rPr>
          <w:rFonts w:asciiTheme="minorHAnsi" w:hAnsiTheme="minorHAnsi"/>
        </w:rPr>
        <w:t>higher</w:t>
      </w:r>
      <w:r w:rsidR="008E67F3">
        <w:rPr>
          <w:rFonts w:asciiTheme="minorHAnsi" w:hAnsiTheme="minorHAnsi"/>
        </w:rPr>
        <w:t xml:space="preserve"> </w:t>
      </w:r>
      <w:r w:rsidR="00E07E9F">
        <w:rPr>
          <w:rFonts w:asciiTheme="minorHAnsi" w:hAnsiTheme="minorHAnsi"/>
        </w:rPr>
        <w:t xml:space="preserve">increase </w:t>
      </w:r>
      <w:r w:rsidR="008E67F3">
        <w:rPr>
          <w:rFonts w:asciiTheme="minorHAnsi" w:hAnsiTheme="minorHAnsi"/>
        </w:rPr>
        <w:t>(around 7%)</w:t>
      </w:r>
      <w:r w:rsidR="00D923E8" w:rsidRPr="00F5213B">
        <w:rPr>
          <w:rFonts w:asciiTheme="minorHAnsi" w:hAnsiTheme="minorHAnsi"/>
        </w:rPr>
        <w:t xml:space="preserve">. This </w:t>
      </w:r>
      <w:r w:rsidR="0027137F">
        <w:rPr>
          <w:rFonts w:asciiTheme="minorHAnsi" w:hAnsiTheme="minorHAnsi"/>
        </w:rPr>
        <w:t>aligns</w:t>
      </w:r>
      <w:r w:rsidR="00D923E8" w:rsidRPr="00F5213B">
        <w:rPr>
          <w:rFonts w:asciiTheme="minorHAnsi" w:hAnsiTheme="minorHAnsi"/>
        </w:rPr>
        <w:t xml:space="preserve"> with the Government’s policy for cost recovered activities.</w:t>
      </w:r>
      <w:r w:rsidR="00FB096B">
        <w:rPr>
          <w:rFonts w:asciiTheme="minorHAnsi" w:hAnsiTheme="minorHAnsi"/>
        </w:rPr>
        <w:t xml:space="preserve"> As the </w:t>
      </w:r>
      <w:r w:rsidR="0083738D">
        <w:rPr>
          <w:rFonts w:asciiTheme="minorHAnsi" w:hAnsiTheme="minorHAnsi"/>
        </w:rPr>
        <w:t>4.7</w:t>
      </w:r>
      <w:r w:rsidR="00FB096B">
        <w:rPr>
          <w:rFonts w:asciiTheme="minorHAnsi" w:hAnsiTheme="minorHAnsi"/>
        </w:rPr>
        <w:t>% will not cover all known cost increases</w:t>
      </w:r>
      <w:r w:rsidR="005547DB">
        <w:rPr>
          <w:rFonts w:asciiTheme="minorHAnsi" w:hAnsiTheme="minorHAnsi"/>
        </w:rPr>
        <w:t xml:space="preserve"> (salary and corporate costs</w:t>
      </w:r>
      <w:r w:rsidR="00447488">
        <w:rPr>
          <w:rFonts w:asciiTheme="minorHAnsi" w:hAnsiTheme="minorHAnsi"/>
        </w:rPr>
        <w:t xml:space="preserve">) </w:t>
      </w:r>
      <w:r w:rsidR="00FB096B">
        <w:rPr>
          <w:rFonts w:asciiTheme="minorHAnsi" w:hAnsiTheme="minorHAnsi"/>
        </w:rPr>
        <w:t>in 202</w:t>
      </w:r>
      <w:r w:rsidR="00F335D4">
        <w:rPr>
          <w:rFonts w:asciiTheme="minorHAnsi" w:hAnsiTheme="minorHAnsi"/>
        </w:rPr>
        <w:t>4</w:t>
      </w:r>
      <w:r w:rsidR="00FB096B">
        <w:rPr>
          <w:rFonts w:asciiTheme="minorHAnsi" w:hAnsiTheme="minorHAnsi"/>
        </w:rPr>
        <w:t>-2</w:t>
      </w:r>
      <w:r w:rsidR="00F335D4">
        <w:rPr>
          <w:rFonts w:asciiTheme="minorHAnsi" w:hAnsiTheme="minorHAnsi"/>
        </w:rPr>
        <w:t>5</w:t>
      </w:r>
      <w:r w:rsidR="00FB096B">
        <w:rPr>
          <w:rFonts w:asciiTheme="minorHAnsi" w:hAnsiTheme="minorHAnsi"/>
        </w:rPr>
        <w:t xml:space="preserve">, the TGA will need </w:t>
      </w:r>
      <w:r w:rsidR="00A05318">
        <w:rPr>
          <w:rFonts w:asciiTheme="minorHAnsi" w:hAnsiTheme="minorHAnsi"/>
        </w:rPr>
        <w:t xml:space="preserve">to </w:t>
      </w:r>
      <w:r w:rsidR="00FB096B">
        <w:rPr>
          <w:rFonts w:asciiTheme="minorHAnsi" w:hAnsiTheme="minorHAnsi"/>
        </w:rPr>
        <w:t xml:space="preserve">find </w:t>
      </w:r>
      <w:r w:rsidR="00E07E9F">
        <w:rPr>
          <w:rFonts w:asciiTheme="minorHAnsi" w:hAnsiTheme="minorHAnsi"/>
        </w:rPr>
        <w:t xml:space="preserve">efficiencies </w:t>
      </w:r>
      <w:r w:rsidR="00144F2A">
        <w:rPr>
          <w:rFonts w:asciiTheme="minorHAnsi" w:hAnsiTheme="minorHAnsi"/>
        </w:rPr>
        <w:t xml:space="preserve">and </w:t>
      </w:r>
      <w:r w:rsidR="00E07E9F">
        <w:rPr>
          <w:rFonts w:asciiTheme="minorHAnsi" w:hAnsiTheme="minorHAnsi"/>
        </w:rPr>
        <w:t>savings in discretionary costs</w:t>
      </w:r>
      <w:r w:rsidR="00FB096B">
        <w:rPr>
          <w:rFonts w:asciiTheme="minorHAnsi" w:hAnsiTheme="minorHAnsi"/>
        </w:rPr>
        <w:t>.</w:t>
      </w:r>
    </w:p>
    <w:p w14:paraId="02486C5B" w14:textId="61F52A3E" w:rsidR="002749FB" w:rsidRDefault="00D923E8" w:rsidP="00D923E8">
      <w:pPr>
        <w:rPr>
          <w:rFonts w:asciiTheme="minorHAnsi" w:hAnsiTheme="minorHAnsi"/>
        </w:rPr>
      </w:pPr>
      <w:r w:rsidRPr="00F5213B">
        <w:rPr>
          <w:rFonts w:asciiTheme="minorHAnsi" w:hAnsiTheme="minorHAnsi"/>
        </w:rPr>
        <w:t>Should th</w:t>
      </w:r>
      <w:r w:rsidR="00144F2A">
        <w:rPr>
          <w:rFonts w:asciiTheme="minorHAnsi" w:hAnsiTheme="minorHAnsi"/>
        </w:rPr>
        <w:t>is</w:t>
      </w:r>
      <w:r w:rsidRPr="00F5213B">
        <w:rPr>
          <w:rFonts w:asciiTheme="minorHAnsi" w:hAnsiTheme="minorHAnsi"/>
        </w:rPr>
        <w:t xml:space="preserve"> be accepted by</w:t>
      </w:r>
      <w:r w:rsidR="00F95D21">
        <w:rPr>
          <w:rFonts w:asciiTheme="minorHAnsi" w:hAnsiTheme="minorHAnsi"/>
        </w:rPr>
        <w:t xml:space="preserve"> the</w:t>
      </w:r>
      <w:r w:rsidRPr="00F5213B">
        <w:rPr>
          <w:rFonts w:asciiTheme="minorHAnsi" w:hAnsiTheme="minorHAnsi"/>
        </w:rPr>
        <w:t xml:space="preserve"> Government, additional </w:t>
      </w:r>
      <w:r w:rsidRPr="00002DBE">
        <w:rPr>
          <w:rFonts w:asciiTheme="minorHAnsi" w:hAnsiTheme="minorHAnsi"/>
        </w:rPr>
        <w:t xml:space="preserve">revenue of </w:t>
      </w:r>
      <w:r w:rsidRPr="006F47BB">
        <w:rPr>
          <w:rFonts w:asciiTheme="minorHAnsi" w:hAnsiTheme="minorHAnsi"/>
        </w:rPr>
        <w:t>$</w:t>
      </w:r>
      <w:r w:rsidR="00A6752E" w:rsidRPr="006F47BB">
        <w:rPr>
          <w:rFonts w:asciiTheme="minorHAnsi" w:hAnsiTheme="minorHAnsi"/>
        </w:rPr>
        <w:t>10.6</w:t>
      </w:r>
      <w:r w:rsidRPr="006F47BB">
        <w:rPr>
          <w:rFonts w:asciiTheme="minorHAnsi" w:hAnsiTheme="minorHAnsi"/>
        </w:rPr>
        <w:t xml:space="preserve"> million</w:t>
      </w:r>
      <w:r w:rsidRPr="00002DBE">
        <w:rPr>
          <w:rFonts w:asciiTheme="minorHAnsi" w:hAnsiTheme="minorHAnsi"/>
        </w:rPr>
        <w:t xml:space="preserve"> would be generated, assuming constant volumes of ARTG products and products exempt from</w:t>
      </w:r>
      <w:r w:rsidRPr="00F5213B">
        <w:rPr>
          <w:rFonts w:asciiTheme="minorHAnsi" w:hAnsiTheme="minorHAnsi"/>
        </w:rPr>
        <w:t xml:space="preserve"> annual charges under the A</w:t>
      </w:r>
      <w:r w:rsidR="00144F2A">
        <w:rPr>
          <w:rFonts w:asciiTheme="minorHAnsi" w:hAnsiTheme="minorHAnsi"/>
        </w:rPr>
        <w:t xml:space="preserve">nnual Compliance Exemption </w:t>
      </w:r>
      <w:r w:rsidRPr="00F5213B">
        <w:rPr>
          <w:rFonts w:asciiTheme="minorHAnsi" w:hAnsiTheme="minorHAnsi"/>
        </w:rPr>
        <w:t xml:space="preserve">scheme. </w:t>
      </w:r>
      <w:r w:rsidR="00447488">
        <w:rPr>
          <w:rFonts w:asciiTheme="minorHAnsi" w:hAnsiTheme="minorHAnsi"/>
        </w:rPr>
        <w:t xml:space="preserve">However, it is possible that some sponsors may consolidate their listings on the ARTG reducing income from TGA annual charges. </w:t>
      </w:r>
    </w:p>
    <w:p w14:paraId="2FDAABAF" w14:textId="38F41414" w:rsidR="00DA5F2C" w:rsidRDefault="00D923E8" w:rsidP="00D923E8">
      <w:pPr>
        <w:rPr>
          <w:rFonts w:asciiTheme="minorHAnsi" w:hAnsiTheme="minorHAnsi"/>
        </w:rPr>
      </w:pPr>
      <w:r w:rsidRPr="00F5213B">
        <w:rPr>
          <w:rFonts w:asciiTheme="minorHAnsi" w:hAnsiTheme="minorHAnsi"/>
        </w:rPr>
        <w:t xml:space="preserve">The financial impact on sponsors of this proposal, if implemented, will be a </w:t>
      </w:r>
      <w:r w:rsidR="005555F3">
        <w:rPr>
          <w:rFonts w:asciiTheme="minorHAnsi" w:hAnsiTheme="minorHAnsi"/>
        </w:rPr>
        <w:t>4.7</w:t>
      </w:r>
      <w:r w:rsidRPr="00F5213B">
        <w:rPr>
          <w:rFonts w:asciiTheme="minorHAnsi" w:hAnsiTheme="minorHAnsi"/>
        </w:rPr>
        <w:t>% increase from 1</w:t>
      </w:r>
      <w:r w:rsidR="002749FB">
        <w:rPr>
          <w:rFonts w:asciiTheme="minorHAnsi" w:hAnsiTheme="minorHAnsi"/>
        </w:rPr>
        <w:t> </w:t>
      </w:r>
      <w:r w:rsidRPr="00F5213B">
        <w:rPr>
          <w:rFonts w:asciiTheme="minorHAnsi" w:hAnsiTheme="minorHAnsi"/>
        </w:rPr>
        <w:t>July 202</w:t>
      </w:r>
      <w:r w:rsidR="005555F3">
        <w:rPr>
          <w:rFonts w:asciiTheme="minorHAnsi" w:hAnsiTheme="minorHAnsi"/>
        </w:rPr>
        <w:t>4</w:t>
      </w:r>
      <w:r w:rsidRPr="00F5213B">
        <w:rPr>
          <w:rFonts w:asciiTheme="minorHAnsi" w:hAnsiTheme="minorHAnsi"/>
        </w:rPr>
        <w:t xml:space="preserve">. For example, a company which paid $10,000 in </w:t>
      </w:r>
      <w:r w:rsidR="00DA5F2C">
        <w:rPr>
          <w:rFonts w:asciiTheme="minorHAnsi" w:hAnsiTheme="minorHAnsi"/>
        </w:rPr>
        <w:t>fees</w:t>
      </w:r>
      <w:r w:rsidRPr="00F5213B">
        <w:rPr>
          <w:rFonts w:asciiTheme="minorHAnsi" w:hAnsiTheme="minorHAnsi"/>
        </w:rPr>
        <w:t xml:space="preserve"> this financial year would be required to pay $</w:t>
      </w:r>
      <w:r w:rsidR="000C78A0">
        <w:rPr>
          <w:rFonts w:asciiTheme="minorHAnsi" w:hAnsiTheme="minorHAnsi"/>
        </w:rPr>
        <w:t>470</w:t>
      </w:r>
      <w:r w:rsidR="000C78A0" w:rsidRPr="00F5213B">
        <w:rPr>
          <w:rFonts w:asciiTheme="minorHAnsi" w:hAnsiTheme="minorHAnsi"/>
        </w:rPr>
        <w:t xml:space="preserve"> </w:t>
      </w:r>
      <w:r w:rsidRPr="00F5213B">
        <w:rPr>
          <w:rFonts w:asciiTheme="minorHAnsi" w:hAnsiTheme="minorHAnsi"/>
        </w:rPr>
        <w:t>more next financial year</w:t>
      </w:r>
      <w:r w:rsidR="003A57C6">
        <w:rPr>
          <w:rFonts w:asciiTheme="minorHAnsi" w:hAnsiTheme="minorHAnsi"/>
        </w:rPr>
        <w:t xml:space="preserve">. </w:t>
      </w:r>
      <w:r w:rsidR="002749FB">
        <w:rPr>
          <w:rFonts w:asciiTheme="minorHAnsi" w:hAnsiTheme="minorHAnsi"/>
        </w:rPr>
        <w:t xml:space="preserve">It is important to note that this is </w:t>
      </w:r>
      <w:r w:rsidR="00447488">
        <w:rPr>
          <w:rFonts w:asciiTheme="minorHAnsi" w:hAnsiTheme="minorHAnsi"/>
        </w:rPr>
        <w:t xml:space="preserve">only </w:t>
      </w:r>
      <w:r w:rsidR="002749FB">
        <w:rPr>
          <w:rFonts w:asciiTheme="minorHAnsi" w:hAnsiTheme="minorHAnsi"/>
        </w:rPr>
        <w:t>the impact of the indexation component of the increase. The other required</w:t>
      </w:r>
      <w:r w:rsidR="003A57C6">
        <w:rPr>
          <w:rFonts w:asciiTheme="minorHAnsi" w:hAnsiTheme="minorHAnsi"/>
        </w:rPr>
        <w:t xml:space="preserve"> </w:t>
      </w:r>
      <w:r w:rsidR="002749FB">
        <w:rPr>
          <w:rFonts w:asciiTheme="minorHAnsi" w:hAnsiTheme="minorHAnsi"/>
        </w:rPr>
        <w:t xml:space="preserve">additional </w:t>
      </w:r>
      <w:r w:rsidR="003A57C6">
        <w:rPr>
          <w:rFonts w:asciiTheme="minorHAnsi" w:hAnsiTheme="minorHAnsi"/>
        </w:rPr>
        <w:t>annual charge increase</w:t>
      </w:r>
      <w:r w:rsidR="00E64F5C">
        <w:rPr>
          <w:rFonts w:asciiTheme="minorHAnsi" w:hAnsiTheme="minorHAnsi"/>
        </w:rPr>
        <w:t>s</w:t>
      </w:r>
      <w:r w:rsidR="003A57C6">
        <w:rPr>
          <w:rFonts w:asciiTheme="minorHAnsi" w:hAnsiTheme="minorHAnsi"/>
        </w:rPr>
        <w:t xml:space="preserve"> </w:t>
      </w:r>
      <w:r w:rsidR="002749FB">
        <w:rPr>
          <w:rFonts w:asciiTheme="minorHAnsi" w:hAnsiTheme="minorHAnsi"/>
        </w:rPr>
        <w:t xml:space="preserve">are </w:t>
      </w:r>
      <w:r w:rsidR="003A57C6">
        <w:rPr>
          <w:rFonts w:asciiTheme="minorHAnsi" w:hAnsiTheme="minorHAnsi"/>
        </w:rPr>
        <w:t xml:space="preserve">discussed in </w:t>
      </w:r>
      <w:r w:rsidR="00E64F5C">
        <w:rPr>
          <w:rFonts w:asciiTheme="minorHAnsi" w:hAnsiTheme="minorHAnsi"/>
        </w:rPr>
        <w:t xml:space="preserve">the </w:t>
      </w:r>
      <w:r w:rsidR="003A57C6">
        <w:rPr>
          <w:rFonts w:asciiTheme="minorHAnsi" w:hAnsiTheme="minorHAnsi"/>
        </w:rPr>
        <w:t>following para</w:t>
      </w:r>
      <w:r w:rsidR="002749FB">
        <w:rPr>
          <w:rFonts w:asciiTheme="minorHAnsi" w:hAnsiTheme="minorHAnsi"/>
        </w:rPr>
        <w:t>graphs</w:t>
      </w:r>
      <w:r w:rsidR="003A57C6">
        <w:rPr>
          <w:rFonts w:asciiTheme="minorHAnsi" w:hAnsiTheme="minorHAnsi"/>
        </w:rPr>
        <w:t>.</w:t>
      </w:r>
    </w:p>
    <w:p w14:paraId="57287502" w14:textId="4B02EA21" w:rsidR="004114D3" w:rsidRPr="00E10E80" w:rsidRDefault="0071131D">
      <w:pPr>
        <w:pStyle w:val="ListBullet"/>
        <w:numPr>
          <w:ilvl w:val="0"/>
          <w:numId w:val="19"/>
        </w:numPr>
        <w:rPr>
          <w:rFonts w:asciiTheme="minorHAnsi" w:hAnsiTheme="minorHAnsi"/>
          <w:b/>
          <w:bCs/>
        </w:rPr>
      </w:pPr>
      <w:r w:rsidRPr="00E10E80">
        <w:rPr>
          <w:rFonts w:asciiTheme="minorHAnsi" w:hAnsiTheme="minorHAnsi"/>
          <w:b/>
          <w:bCs/>
        </w:rPr>
        <w:t xml:space="preserve"> </w:t>
      </w:r>
      <w:r w:rsidR="008D6212">
        <w:rPr>
          <w:rFonts w:asciiTheme="minorHAnsi" w:hAnsiTheme="minorHAnsi"/>
          <w:b/>
          <w:bCs/>
        </w:rPr>
        <w:t>Mandated</w:t>
      </w:r>
      <w:r w:rsidR="00F018A6" w:rsidRPr="00E10E80">
        <w:rPr>
          <w:rFonts w:asciiTheme="minorHAnsi" w:hAnsiTheme="minorHAnsi"/>
          <w:b/>
          <w:bCs/>
        </w:rPr>
        <w:t xml:space="preserve"> i</w:t>
      </w:r>
      <w:r w:rsidRPr="00E10E80">
        <w:rPr>
          <w:rFonts w:asciiTheme="minorHAnsi" w:hAnsiTheme="minorHAnsi"/>
          <w:b/>
          <w:bCs/>
        </w:rPr>
        <w:t>ncrease to annual charges to cost recover investment in the TGA’s Digital transformation and business systems enhancements</w:t>
      </w:r>
      <w:r w:rsidR="00206736" w:rsidRPr="00E10E80">
        <w:rPr>
          <w:rFonts w:asciiTheme="minorHAnsi" w:hAnsiTheme="minorHAnsi"/>
          <w:b/>
          <w:bCs/>
        </w:rPr>
        <w:t xml:space="preserve"> </w:t>
      </w:r>
    </w:p>
    <w:p w14:paraId="44C222E3" w14:textId="1B819104" w:rsidR="000E5067" w:rsidRPr="00C378BA" w:rsidRDefault="008E67F3" w:rsidP="00C378BA">
      <w:pPr>
        <w:spacing w:after="120"/>
        <w:rPr>
          <w:rFonts w:asciiTheme="minorHAnsi" w:hAnsiTheme="minorHAnsi"/>
        </w:rPr>
      </w:pPr>
      <w:r>
        <w:rPr>
          <w:rFonts w:asciiTheme="minorHAnsi" w:hAnsiTheme="minorHAnsi"/>
        </w:rPr>
        <w:t xml:space="preserve">The </w:t>
      </w:r>
      <w:r w:rsidR="000E5067" w:rsidRPr="00C378BA">
        <w:rPr>
          <w:rFonts w:asciiTheme="minorHAnsi" w:hAnsiTheme="minorHAnsi"/>
        </w:rPr>
        <w:t xml:space="preserve">October 2022 Budget provided </w:t>
      </w:r>
      <w:r w:rsidR="00552F85">
        <w:rPr>
          <w:rFonts w:asciiTheme="minorHAnsi" w:hAnsiTheme="minorHAnsi"/>
        </w:rPr>
        <w:t xml:space="preserve">approval to drawn down from TGA reserves, </w:t>
      </w:r>
      <w:r w:rsidR="000E5067" w:rsidRPr="00C378BA">
        <w:rPr>
          <w:rFonts w:asciiTheme="minorHAnsi" w:hAnsiTheme="minorHAnsi"/>
        </w:rPr>
        <w:t xml:space="preserve">funding of $23.3 million over the two financial years, 2022-23 and 2023-24, to complete digital and business transformation and full implementation of the UDI system to expand its scope to include medium and high-risk devices. While this money </w:t>
      </w:r>
      <w:r w:rsidR="001C4ABB">
        <w:rPr>
          <w:rFonts w:asciiTheme="minorHAnsi" w:hAnsiTheme="minorHAnsi"/>
        </w:rPr>
        <w:t xml:space="preserve">has been </w:t>
      </w:r>
      <w:r w:rsidR="000E5067" w:rsidRPr="00C378BA">
        <w:rPr>
          <w:rFonts w:asciiTheme="minorHAnsi" w:hAnsiTheme="minorHAnsi"/>
        </w:rPr>
        <w:t>drawn from the TGA Special Account cash reserves, the Budget decision requires this amount to be cost recovered from industry over five years commencing from 1 January 2024 (six financial years), except for the cost recovery of the UDI system which will commence from 1 July 2024.</w:t>
      </w:r>
    </w:p>
    <w:p w14:paraId="66E92677" w14:textId="49DCD6D2" w:rsidR="0071131D" w:rsidRDefault="000E5067" w:rsidP="005B1084">
      <w:pPr>
        <w:rPr>
          <w:rFonts w:asciiTheme="minorHAnsi" w:hAnsiTheme="minorHAnsi"/>
        </w:rPr>
      </w:pPr>
      <w:r w:rsidRPr="00C378BA">
        <w:rPr>
          <w:rFonts w:asciiTheme="minorHAnsi" w:hAnsiTheme="minorHAnsi"/>
        </w:rPr>
        <w:t>In the 2023-24 financial year the</w:t>
      </w:r>
      <w:r w:rsidR="00C43E97">
        <w:rPr>
          <w:rFonts w:asciiTheme="minorHAnsi" w:hAnsiTheme="minorHAnsi"/>
        </w:rPr>
        <w:t xml:space="preserve"> increase to annual charges </w:t>
      </w:r>
      <w:r w:rsidR="008E67F3">
        <w:rPr>
          <w:rFonts w:asciiTheme="minorHAnsi" w:hAnsiTheme="minorHAnsi"/>
        </w:rPr>
        <w:t xml:space="preserve">(other than for the UDI system) </w:t>
      </w:r>
      <w:r w:rsidR="005B1084">
        <w:rPr>
          <w:rFonts w:asciiTheme="minorHAnsi" w:hAnsiTheme="minorHAnsi"/>
        </w:rPr>
        <w:t>was</w:t>
      </w:r>
      <w:r w:rsidRPr="00C378BA">
        <w:rPr>
          <w:rFonts w:asciiTheme="minorHAnsi" w:hAnsiTheme="minorHAnsi"/>
        </w:rPr>
        <w:t xml:space="preserve"> pro-rated for the 6-month period (50% of a full year attribution). A full year attribution of cost recovery, including for the UDI system, will commence in 2024-25.</w:t>
      </w:r>
      <w:r w:rsidR="008D6212">
        <w:rPr>
          <w:rFonts w:asciiTheme="minorHAnsi" w:hAnsiTheme="minorHAnsi"/>
        </w:rPr>
        <w:t xml:space="preserve"> </w:t>
      </w:r>
    </w:p>
    <w:p w14:paraId="165937C4" w14:textId="77777777" w:rsidR="00B633E1" w:rsidRDefault="00B633E1">
      <w:pPr>
        <w:spacing w:before="0" w:after="0" w:line="240" w:lineRule="auto"/>
        <w:rPr>
          <w:rFonts w:asciiTheme="minorHAnsi" w:hAnsiTheme="minorHAnsi"/>
        </w:rPr>
      </w:pPr>
      <w:r>
        <w:rPr>
          <w:rFonts w:asciiTheme="minorHAnsi" w:hAnsiTheme="minorHAnsi"/>
        </w:rPr>
        <w:br w:type="page"/>
      </w:r>
    </w:p>
    <w:p w14:paraId="27D7DE69" w14:textId="7114FAE6" w:rsidR="008D6212" w:rsidRDefault="008D6212" w:rsidP="003F669A">
      <w:pPr>
        <w:spacing w:after="120"/>
        <w:rPr>
          <w:rFonts w:asciiTheme="minorHAnsi" w:hAnsiTheme="minorHAnsi"/>
        </w:rPr>
      </w:pPr>
      <w:r>
        <w:rPr>
          <w:rFonts w:asciiTheme="minorHAnsi" w:hAnsiTheme="minorHAnsi"/>
        </w:rPr>
        <w:lastRenderedPageBreak/>
        <w:t xml:space="preserve">The changes foreshadowed for 2024-25 </w:t>
      </w:r>
      <w:r w:rsidR="00A56F4F">
        <w:rPr>
          <w:rFonts w:asciiTheme="minorHAnsi" w:hAnsiTheme="minorHAnsi"/>
        </w:rPr>
        <w:t>in last year</w:t>
      </w:r>
      <w:r w:rsidR="004E43DB">
        <w:rPr>
          <w:rFonts w:asciiTheme="minorHAnsi" w:hAnsiTheme="minorHAnsi"/>
        </w:rPr>
        <w:t>’s</w:t>
      </w:r>
      <w:r w:rsidR="00A56F4F">
        <w:rPr>
          <w:rFonts w:asciiTheme="minorHAnsi" w:hAnsiTheme="minorHAnsi"/>
        </w:rPr>
        <w:t xml:space="preserve"> consultation paper </w:t>
      </w:r>
      <w:r>
        <w:rPr>
          <w:rFonts w:asciiTheme="minorHAnsi" w:hAnsiTheme="minorHAnsi"/>
        </w:rPr>
        <w:t>are summarised in the table below.</w:t>
      </w:r>
      <w:r w:rsidR="00D24F3D">
        <w:rPr>
          <w:rFonts w:asciiTheme="minorHAnsi" w:hAnsiTheme="minorHAnsi"/>
        </w:rPr>
        <w:t xml:space="preserve"> Please note that the figures below have been updated and revised on page 11.</w:t>
      </w:r>
    </w:p>
    <w:tbl>
      <w:tblPr>
        <w:tblStyle w:val="TableTGAblue"/>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3"/>
        <w:gridCol w:w="1683"/>
        <w:gridCol w:w="1171"/>
        <w:gridCol w:w="1292"/>
        <w:gridCol w:w="1186"/>
        <w:gridCol w:w="1205"/>
      </w:tblGrid>
      <w:tr w:rsidR="003F669A" w14:paraId="58723B32" w14:textId="77777777" w:rsidTr="00C01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shd w:val="clear" w:color="auto" w:fill="BED6FF" w:themeFill="accent1" w:themeFillTint="33"/>
          </w:tcPr>
          <w:p w14:paraId="79FC7C66" w14:textId="3E0C1889" w:rsidR="008D6212" w:rsidRPr="00002DBE" w:rsidRDefault="00B202E7" w:rsidP="006A37E0">
            <w:pPr>
              <w:spacing w:before="0" w:after="0" w:line="240" w:lineRule="auto"/>
              <w:rPr>
                <w:rFonts w:asciiTheme="minorHAnsi" w:hAnsiTheme="minorHAnsi"/>
                <w:sz w:val="20"/>
                <w:szCs w:val="20"/>
              </w:rPr>
            </w:pPr>
            <w:r>
              <w:rPr>
                <w:rFonts w:asciiTheme="minorHAnsi" w:hAnsiTheme="minorHAnsi"/>
                <w:sz w:val="20"/>
                <w:szCs w:val="20"/>
              </w:rPr>
              <w:t xml:space="preserve">Proposed </w:t>
            </w:r>
            <w:r w:rsidR="005F656C">
              <w:rPr>
                <w:rFonts w:asciiTheme="minorHAnsi" w:hAnsiTheme="minorHAnsi"/>
                <w:sz w:val="20"/>
                <w:szCs w:val="20"/>
              </w:rPr>
              <w:t>i</w:t>
            </w:r>
            <w:r w:rsidR="008D6212" w:rsidRPr="00002DBE">
              <w:rPr>
                <w:rFonts w:asciiTheme="minorHAnsi" w:hAnsiTheme="minorHAnsi"/>
                <w:sz w:val="20"/>
                <w:szCs w:val="20"/>
              </w:rPr>
              <w:t>ncrease to annual charges in 2024-25</w:t>
            </w:r>
          </w:p>
        </w:tc>
        <w:tc>
          <w:tcPr>
            <w:tcW w:w="1683" w:type="dxa"/>
            <w:shd w:val="clear" w:color="auto" w:fill="BED6FF" w:themeFill="accent1" w:themeFillTint="33"/>
          </w:tcPr>
          <w:p w14:paraId="663D582D" w14:textId="77777777" w:rsidR="008D6212" w:rsidRPr="00002DBE" w:rsidRDefault="008D6212" w:rsidP="006A37E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02DBE">
              <w:rPr>
                <w:rFonts w:asciiTheme="minorHAnsi" w:hAnsiTheme="minorHAnsi"/>
                <w:sz w:val="20"/>
                <w:szCs w:val="20"/>
              </w:rPr>
              <w:t>Digital Transformation</w:t>
            </w:r>
          </w:p>
        </w:tc>
        <w:tc>
          <w:tcPr>
            <w:tcW w:w="1171" w:type="dxa"/>
            <w:shd w:val="clear" w:color="auto" w:fill="BED6FF" w:themeFill="accent1" w:themeFillTint="33"/>
          </w:tcPr>
          <w:p w14:paraId="5A6CB1C1" w14:textId="77777777" w:rsidR="008D6212" w:rsidRPr="00002DBE" w:rsidRDefault="008D6212" w:rsidP="006A37E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02DBE">
              <w:rPr>
                <w:rFonts w:asciiTheme="minorHAnsi" w:hAnsiTheme="minorHAnsi"/>
                <w:sz w:val="20"/>
                <w:szCs w:val="20"/>
              </w:rPr>
              <w:t>AEMS</w:t>
            </w:r>
          </w:p>
        </w:tc>
        <w:tc>
          <w:tcPr>
            <w:tcW w:w="1292" w:type="dxa"/>
            <w:shd w:val="clear" w:color="auto" w:fill="BED6FF" w:themeFill="accent1" w:themeFillTint="33"/>
          </w:tcPr>
          <w:p w14:paraId="16EC192D" w14:textId="77777777" w:rsidR="008D6212" w:rsidRPr="00002DBE" w:rsidRDefault="008D6212" w:rsidP="006A37E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02DBE">
              <w:rPr>
                <w:rFonts w:asciiTheme="minorHAnsi" w:hAnsiTheme="minorHAnsi"/>
                <w:sz w:val="20"/>
                <w:szCs w:val="20"/>
              </w:rPr>
              <w:t>Devices Digitisation</w:t>
            </w:r>
          </w:p>
        </w:tc>
        <w:tc>
          <w:tcPr>
            <w:tcW w:w="1186" w:type="dxa"/>
            <w:shd w:val="clear" w:color="auto" w:fill="BED6FF" w:themeFill="accent1" w:themeFillTint="33"/>
          </w:tcPr>
          <w:p w14:paraId="7A8E8193" w14:textId="77777777" w:rsidR="008D6212" w:rsidRPr="00002DBE" w:rsidRDefault="008D6212" w:rsidP="006A37E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02DBE">
              <w:rPr>
                <w:rFonts w:asciiTheme="minorHAnsi" w:hAnsiTheme="minorHAnsi"/>
                <w:sz w:val="20"/>
                <w:szCs w:val="20"/>
              </w:rPr>
              <w:t>UDI System</w:t>
            </w:r>
          </w:p>
        </w:tc>
        <w:tc>
          <w:tcPr>
            <w:tcW w:w="1205" w:type="dxa"/>
            <w:shd w:val="clear" w:color="auto" w:fill="BED6FF" w:themeFill="accent1" w:themeFillTint="33"/>
          </w:tcPr>
          <w:p w14:paraId="480DE760" w14:textId="77777777" w:rsidR="008D6212" w:rsidRPr="00002DBE" w:rsidRDefault="008D6212" w:rsidP="006A37E0">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002DBE">
              <w:rPr>
                <w:rFonts w:asciiTheme="minorHAnsi" w:hAnsiTheme="minorHAnsi"/>
                <w:sz w:val="20"/>
                <w:szCs w:val="20"/>
              </w:rPr>
              <w:t>Total Increase</w:t>
            </w:r>
          </w:p>
        </w:tc>
      </w:tr>
      <w:tr w:rsidR="00C01BC4" w14:paraId="3C00482B" w14:textId="77777777" w:rsidTr="00C01BC4">
        <w:tc>
          <w:tcPr>
            <w:cnfStyle w:val="001000000000" w:firstRow="0" w:lastRow="0" w:firstColumn="1" w:lastColumn="0" w:oddVBand="0" w:evenVBand="0" w:oddHBand="0" w:evenHBand="0" w:firstRowFirstColumn="0" w:firstRowLastColumn="0" w:lastRowFirstColumn="0" w:lastRowLastColumn="0"/>
            <w:tcW w:w="2513" w:type="dxa"/>
          </w:tcPr>
          <w:p w14:paraId="3155C787" w14:textId="77777777" w:rsidR="00C01BC4" w:rsidRPr="00C01BC4" w:rsidRDefault="00C01BC4" w:rsidP="00C01BC4">
            <w:pPr>
              <w:spacing w:before="0" w:after="0" w:line="240" w:lineRule="auto"/>
              <w:rPr>
                <w:rFonts w:asciiTheme="minorHAnsi" w:hAnsiTheme="minorHAnsi"/>
                <w:sz w:val="20"/>
                <w:szCs w:val="20"/>
              </w:rPr>
            </w:pPr>
            <w:r w:rsidRPr="00C01BC4">
              <w:rPr>
                <w:rFonts w:asciiTheme="minorHAnsi" w:hAnsiTheme="minorHAnsi"/>
                <w:sz w:val="20"/>
                <w:szCs w:val="20"/>
              </w:rPr>
              <w:t>Medicines and biologicals</w:t>
            </w:r>
          </w:p>
        </w:tc>
        <w:tc>
          <w:tcPr>
            <w:tcW w:w="1683" w:type="dxa"/>
            <w:vAlign w:val="center"/>
          </w:tcPr>
          <w:p w14:paraId="42D46221" w14:textId="6496F633"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1.78%</w:t>
            </w:r>
          </w:p>
        </w:tc>
        <w:tc>
          <w:tcPr>
            <w:tcW w:w="1171" w:type="dxa"/>
            <w:vAlign w:val="center"/>
          </w:tcPr>
          <w:p w14:paraId="68C56EE4" w14:textId="790EBE26"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0.46%</w:t>
            </w:r>
          </w:p>
        </w:tc>
        <w:tc>
          <w:tcPr>
            <w:tcW w:w="1292" w:type="dxa"/>
            <w:vAlign w:val="center"/>
          </w:tcPr>
          <w:p w14:paraId="793C1809"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86" w:type="dxa"/>
            <w:vAlign w:val="center"/>
          </w:tcPr>
          <w:p w14:paraId="1173111A"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05" w:type="dxa"/>
            <w:vAlign w:val="center"/>
          </w:tcPr>
          <w:p w14:paraId="0663C16E" w14:textId="64B5FD95" w:rsidR="00C01BC4" w:rsidRPr="00951542"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951542">
              <w:rPr>
                <w:rFonts w:asciiTheme="minorHAnsi" w:hAnsiTheme="minorHAnsi"/>
                <w:b/>
                <w:bCs/>
                <w:sz w:val="20"/>
                <w:szCs w:val="20"/>
              </w:rPr>
              <w:t>2.24%</w:t>
            </w:r>
          </w:p>
        </w:tc>
      </w:tr>
      <w:tr w:rsidR="00C01BC4" w14:paraId="4F0F81FA" w14:textId="77777777" w:rsidTr="00C01BC4">
        <w:tc>
          <w:tcPr>
            <w:cnfStyle w:val="001000000000" w:firstRow="0" w:lastRow="0" w:firstColumn="1" w:lastColumn="0" w:oddVBand="0" w:evenVBand="0" w:oddHBand="0" w:evenHBand="0" w:firstRowFirstColumn="0" w:firstRowLastColumn="0" w:lastRowFirstColumn="0" w:lastRowLastColumn="0"/>
            <w:tcW w:w="2513" w:type="dxa"/>
          </w:tcPr>
          <w:p w14:paraId="71DD5DBA" w14:textId="77777777" w:rsidR="00C01BC4" w:rsidRPr="00C01BC4" w:rsidRDefault="00C01BC4" w:rsidP="00C01BC4">
            <w:pPr>
              <w:spacing w:before="0" w:after="0" w:line="240" w:lineRule="auto"/>
              <w:rPr>
                <w:rFonts w:asciiTheme="minorHAnsi" w:hAnsiTheme="minorHAnsi"/>
                <w:sz w:val="20"/>
                <w:szCs w:val="20"/>
              </w:rPr>
            </w:pPr>
            <w:r w:rsidRPr="00C01BC4">
              <w:rPr>
                <w:rFonts w:asciiTheme="minorHAnsi" w:hAnsiTheme="minorHAnsi"/>
                <w:sz w:val="20"/>
                <w:szCs w:val="20"/>
              </w:rPr>
              <w:t>Medical devices Class II and above, including implantable devices</w:t>
            </w:r>
          </w:p>
        </w:tc>
        <w:tc>
          <w:tcPr>
            <w:tcW w:w="1683" w:type="dxa"/>
            <w:vAlign w:val="center"/>
          </w:tcPr>
          <w:p w14:paraId="5461AD0B" w14:textId="646A7633"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1.78%</w:t>
            </w:r>
          </w:p>
        </w:tc>
        <w:tc>
          <w:tcPr>
            <w:tcW w:w="1171" w:type="dxa"/>
            <w:vAlign w:val="center"/>
          </w:tcPr>
          <w:p w14:paraId="42385E3B"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92" w:type="dxa"/>
            <w:vAlign w:val="center"/>
          </w:tcPr>
          <w:p w14:paraId="0783D21B" w14:textId="79879634"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1.23%</w:t>
            </w:r>
          </w:p>
        </w:tc>
        <w:tc>
          <w:tcPr>
            <w:tcW w:w="1186" w:type="dxa"/>
            <w:vAlign w:val="center"/>
          </w:tcPr>
          <w:p w14:paraId="67201306" w14:textId="736F3804"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1.97%</w:t>
            </w:r>
          </w:p>
        </w:tc>
        <w:tc>
          <w:tcPr>
            <w:tcW w:w="1205" w:type="dxa"/>
            <w:vAlign w:val="center"/>
          </w:tcPr>
          <w:p w14:paraId="5486B661" w14:textId="7A522D88" w:rsidR="00C01BC4" w:rsidRPr="00951542"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951542">
              <w:rPr>
                <w:rFonts w:asciiTheme="minorHAnsi" w:hAnsiTheme="minorHAnsi"/>
                <w:b/>
                <w:bCs/>
                <w:sz w:val="20"/>
                <w:szCs w:val="20"/>
              </w:rPr>
              <w:t>4.98%</w:t>
            </w:r>
          </w:p>
        </w:tc>
      </w:tr>
      <w:tr w:rsidR="00C01BC4" w14:paraId="500D7504" w14:textId="77777777" w:rsidTr="00C01BC4">
        <w:tc>
          <w:tcPr>
            <w:cnfStyle w:val="001000000000" w:firstRow="0" w:lastRow="0" w:firstColumn="1" w:lastColumn="0" w:oddVBand="0" w:evenVBand="0" w:oddHBand="0" w:evenHBand="0" w:firstRowFirstColumn="0" w:firstRowLastColumn="0" w:lastRowFirstColumn="0" w:lastRowLastColumn="0"/>
            <w:tcW w:w="2513" w:type="dxa"/>
          </w:tcPr>
          <w:p w14:paraId="20FA2C63" w14:textId="77777777" w:rsidR="00C01BC4" w:rsidRPr="00C01BC4" w:rsidRDefault="00C01BC4" w:rsidP="00C01BC4">
            <w:pPr>
              <w:spacing w:before="0" w:after="0" w:line="240" w:lineRule="auto"/>
              <w:rPr>
                <w:rFonts w:asciiTheme="minorHAnsi" w:hAnsiTheme="minorHAnsi"/>
                <w:sz w:val="20"/>
                <w:szCs w:val="20"/>
              </w:rPr>
            </w:pPr>
            <w:r w:rsidRPr="00C01BC4">
              <w:rPr>
                <w:rFonts w:asciiTheme="minorHAnsi" w:hAnsiTheme="minorHAnsi"/>
                <w:sz w:val="20"/>
                <w:szCs w:val="20"/>
              </w:rPr>
              <w:t xml:space="preserve">Medical devices Class I, </w:t>
            </w:r>
            <w:proofErr w:type="spellStart"/>
            <w:r w:rsidRPr="00C01BC4">
              <w:rPr>
                <w:rFonts w:asciiTheme="minorHAnsi" w:hAnsiTheme="minorHAnsi"/>
                <w:sz w:val="20"/>
                <w:szCs w:val="20"/>
              </w:rPr>
              <w:t>Im</w:t>
            </w:r>
            <w:proofErr w:type="spellEnd"/>
            <w:r w:rsidRPr="00C01BC4">
              <w:rPr>
                <w:rFonts w:asciiTheme="minorHAnsi" w:hAnsiTheme="minorHAnsi"/>
                <w:sz w:val="20"/>
                <w:szCs w:val="20"/>
              </w:rPr>
              <w:t xml:space="preserve"> and Is and all classes of IVD devices</w:t>
            </w:r>
          </w:p>
        </w:tc>
        <w:tc>
          <w:tcPr>
            <w:tcW w:w="1683" w:type="dxa"/>
            <w:vAlign w:val="center"/>
          </w:tcPr>
          <w:p w14:paraId="3885A044" w14:textId="31F5F52E"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1.78%</w:t>
            </w:r>
          </w:p>
        </w:tc>
        <w:tc>
          <w:tcPr>
            <w:tcW w:w="1171" w:type="dxa"/>
            <w:vAlign w:val="center"/>
          </w:tcPr>
          <w:p w14:paraId="7962236C"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92" w:type="dxa"/>
            <w:vAlign w:val="center"/>
          </w:tcPr>
          <w:p w14:paraId="44F5D474" w14:textId="75F42A45"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1.23%</w:t>
            </w:r>
          </w:p>
        </w:tc>
        <w:tc>
          <w:tcPr>
            <w:tcW w:w="1186" w:type="dxa"/>
            <w:vAlign w:val="center"/>
          </w:tcPr>
          <w:p w14:paraId="25E44779"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05" w:type="dxa"/>
            <w:vAlign w:val="center"/>
          </w:tcPr>
          <w:p w14:paraId="4196C4EC" w14:textId="1C4A3F3C" w:rsidR="00C01BC4" w:rsidRPr="00951542"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951542">
              <w:rPr>
                <w:rFonts w:asciiTheme="minorHAnsi" w:hAnsiTheme="minorHAnsi"/>
                <w:b/>
                <w:bCs/>
                <w:sz w:val="20"/>
                <w:szCs w:val="20"/>
              </w:rPr>
              <w:t>3.01%</w:t>
            </w:r>
          </w:p>
        </w:tc>
      </w:tr>
      <w:tr w:rsidR="00C01BC4" w:rsidRPr="009D4394" w14:paraId="74ABF807" w14:textId="77777777" w:rsidTr="00C01BC4">
        <w:tc>
          <w:tcPr>
            <w:cnfStyle w:val="001000000000" w:firstRow="0" w:lastRow="0" w:firstColumn="1" w:lastColumn="0" w:oddVBand="0" w:evenVBand="0" w:oddHBand="0" w:evenHBand="0" w:firstRowFirstColumn="0" w:firstRowLastColumn="0" w:lastRowFirstColumn="0" w:lastRowLastColumn="0"/>
            <w:tcW w:w="2513" w:type="dxa"/>
          </w:tcPr>
          <w:p w14:paraId="2F4EE7C8" w14:textId="43790C4B" w:rsidR="00C01BC4" w:rsidRPr="00C01BC4" w:rsidRDefault="00C01BC4" w:rsidP="00C01BC4">
            <w:pPr>
              <w:keepNext/>
              <w:spacing w:before="0" w:after="0" w:line="240" w:lineRule="auto"/>
              <w:rPr>
                <w:rFonts w:asciiTheme="minorHAnsi" w:hAnsiTheme="minorHAnsi"/>
                <w:sz w:val="20"/>
                <w:szCs w:val="20"/>
              </w:rPr>
            </w:pPr>
            <w:r w:rsidRPr="00C01BC4">
              <w:rPr>
                <w:rFonts w:asciiTheme="minorHAnsi" w:hAnsiTheme="minorHAnsi"/>
                <w:sz w:val="20"/>
                <w:szCs w:val="20"/>
              </w:rPr>
              <w:t>Other annual charges i.e., manufacturing licences, Other Therapeutic Goods</w:t>
            </w:r>
          </w:p>
        </w:tc>
        <w:tc>
          <w:tcPr>
            <w:tcW w:w="1683" w:type="dxa"/>
            <w:vAlign w:val="center"/>
          </w:tcPr>
          <w:p w14:paraId="011EA885" w14:textId="36B5FD6F"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01BC4">
              <w:rPr>
                <w:rFonts w:asciiTheme="minorHAnsi" w:hAnsiTheme="minorHAnsi"/>
                <w:sz w:val="20"/>
                <w:szCs w:val="20"/>
              </w:rPr>
              <w:t>1.78%</w:t>
            </w:r>
          </w:p>
        </w:tc>
        <w:tc>
          <w:tcPr>
            <w:tcW w:w="1171" w:type="dxa"/>
            <w:vAlign w:val="center"/>
          </w:tcPr>
          <w:p w14:paraId="1033A706"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92" w:type="dxa"/>
            <w:vAlign w:val="center"/>
          </w:tcPr>
          <w:p w14:paraId="289B4735"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86" w:type="dxa"/>
            <w:vAlign w:val="center"/>
          </w:tcPr>
          <w:p w14:paraId="680779CE" w14:textId="77777777" w:rsidR="00C01BC4" w:rsidRPr="00C01BC4"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05" w:type="dxa"/>
            <w:vAlign w:val="center"/>
          </w:tcPr>
          <w:p w14:paraId="01D8C937" w14:textId="6576D51D" w:rsidR="00C01BC4" w:rsidRPr="00951542" w:rsidRDefault="00C01BC4" w:rsidP="00C01BC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951542">
              <w:rPr>
                <w:rFonts w:asciiTheme="minorHAnsi" w:hAnsiTheme="minorHAnsi"/>
                <w:b/>
                <w:bCs/>
                <w:sz w:val="20"/>
                <w:szCs w:val="20"/>
              </w:rPr>
              <w:t>1.78%</w:t>
            </w:r>
          </w:p>
        </w:tc>
      </w:tr>
    </w:tbl>
    <w:p w14:paraId="04571577" w14:textId="77777777" w:rsidR="008D6212" w:rsidRDefault="008D6212" w:rsidP="008D6212">
      <w:pPr>
        <w:spacing w:before="0" w:after="0" w:line="240" w:lineRule="auto"/>
        <w:rPr>
          <w:rFonts w:asciiTheme="minorHAnsi" w:hAnsiTheme="minorHAnsi"/>
        </w:rPr>
      </w:pPr>
    </w:p>
    <w:p w14:paraId="6B23F747" w14:textId="5A929C90" w:rsidR="00A56F4F" w:rsidRDefault="00415863">
      <w:pPr>
        <w:pStyle w:val="ListBullet"/>
        <w:numPr>
          <w:ilvl w:val="0"/>
          <w:numId w:val="19"/>
        </w:numPr>
        <w:rPr>
          <w:rFonts w:asciiTheme="minorHAnsi" w:hAnsiTheme="minorHAnsi"/>
          <w:b/>
          <w:bCs/>
        </w:rPr>
      </w:pPr>
      <w:r>
        <w:rPr>
          <w:rFonts w:asciiTheme="minorHAnsi" w:hAnsiTheme="minorHAnsi"/>
          <w:b/>
          <w:bCs/>
        </w:rPr>
        <w:t xml:space="preserve">Other </w:t>
      </w:r>
      <w:r w:rsidR="006F3BDA">
        <w:rPr>
          <w:rFonts w:asciiTheme="minorHAnsi" w:hAnsiTheme="minorHAnsi"/>
          <w:b/>
          <w:bCs/>
        </w:rPr>
        <w:t xml:space="preserve">fees and charges </w:t>
      </w:r>
      <w:r>
        <w:rPr>
          <w:rFonts w:asciiTheme="minorHAnsi" w:hAnsiTheme="minorHAnsi"/>
          <w:b/>
          <w:bCs/>
        </w:rPr>
        <w:t xml:space="preserve">changes </w:t>
      </w:r>
    </w:p>
    <w:p w14:paraId="5F980D34" w14:textId="79DD4037" w:rsidR="00415863" w:rsidRDefault="00415863" w:rsidP="00002DBE">
      <w:pPr>
        <w:pStyle w:val="ListBullet"/>
        <w:numPr>
          <w:ilvl w:val="0"/>
          <w:numId w:val="0"/>
        </w:numPr>
        <w:rPr>
          <w:rFonts w:asciiTheme="minorHAnsi" w:hAnsiTheme="minorHAnsi"/>
          <w:b/>
          <w:bCs/>
        </w:rPr>
      </w:pPr>
      <w:r>
        <w:rPr>
          <w:rFonts w:asciiTheme="minorHAnsi" w:hAnsiTheme="minorHAnsi"/>
          <w:b/>
          <w:bCs/>
        </w:rPr>
        <w:t>Medical Device</w:t>
      </w:r>
      <w:r w:rsidR="00A56F4F">
        <w:rPr>
          <w:rFonts w:asciiTheme="minorHAnsi" w:hAnsiTheme="minorHAnsi"/>
          <w:b/>
          <w:bCs/>
        </w:rPr>
        <w:t>s</w:t>
      </w:r>
    </w:p>
    <w:p w14:paraId="28487E83" w14:textId="598B9056" w:rsidR="00EE01E8" w:rsidRPr="00002DBE" w:rsidRDefault="00EE01E8" w:rsidP="00002DBE">
      <w:pPr>
        <w:pStyle w:val="ListParagraph"/>
        <w:numPr>
          <w:ilvl w:val="0"/>
          <w:numId w:val="21"/>
        </w:numPr>
        <w:spacing w:after="120"/>
        <w:rPr>
          <w:rFonts w:asciiTheme="minorHAnsi" w:hAnsiTheme="minorHAnsi"/>
          <w:b/>
          <w:bCs/>
          <w:i/>
          <w:iCs/>
          <w:lang w:val="en-US"/>
        </w:rPr>
      </w:pPr>
      <w:r w:rsidRPr="00002DBE">
        <w:rPr>
          <w:rFonts w:asciiTheme="minorHAnsi" w:hAnsiTheme="minorHAnsi"/>
          <w:b/>
          <w:bCs/>
          <w:i/>
          <w:iCs/>
        </w:rPr>
        <w:t>Application audit assessment fee for Class 3 and 4 IVDs</w:t>
      </w:r>
    </w:p>
    <w:p w14:paraId="61ED4878" w14:textId="2A91C1F1" w:rsidR="00EE01E8" w:rsidRDefault="00EE01E8" w:rsidP="00EE01E8">
      <w:pPr>
        <w:spacing w:after="120"/>
      </w:pPr>
      <w:r>
        <w:rPr>
          <w:rFonts w:asciiTheme="minorHAnsi" w:hAnsiTheme="minorHAnsi"/>
          <w:lang w:val="en-US"/>
        </w:rPr>
        <w:t xml:space="preserve">In </w:t>
      </w:r>
      <w:r w:rsidR="0096449B">
        <w:rPr>
          <w:rFonts w:asciiTheme="minorHAnsi" w:hAnsiTheme="minorHAnsi"/>
          <w:lang w:val="en-US"/>
        </w:rPr>
        <w:t xml:space="preserve">the </w:t>
      </w:r>
      <w:r>
        <w:rPr>
          <w:rFonts w:asciiTheme="minorHAnsi" w:hAnsiTheme="minorHAnsi"/>
          <w:lang w:val="en-US"/>
        </w:rPr>
        <w:t>2023-24</w:t>
      </w:r>
      <w:r w:rsidR="00253466">
        <w:rPr>
          <w:rFonts w:asciiTheme="minorHAnsi" w:hAnsiTheme="minorHAnsi"/>
          <w:lang w:val="en-US"/>
        </w:rPr>
        <w:t xml:space="preserve"> financial year</w:t>
      </w:r>
      <w:r>
        <w:rPr>
          <w:rFonts w:asciiTheme="minorHAnsi" w:hAnsiTheme="minorHAnsi"/>
          <w:lang w:val="en-US"/>
        </w:rPr>
        <w:t xml:space="preserve"> </w:t>
      </w:r>
      <w:r w:rsidR="004E43DB" w:rsidRPr="00EE01E8">
        <w:rPr>
          <w:rFonts w:asciiTheme="minorHAnsi" w:hAnsiTheme="minorHAnsi"/>
          <w:lang w:val="en-US"/>
        </w:rPr>
        <w:t>several</w:t>
      </w:r>
      <w:r w:rsidRPr="00EE01E8">
        <w:rPr>
          <w:rFonts w:asciiTheme="minorHAnsi" w:hAnsiTheme="minorHAnsi"/>
          <w:lang w:val="en-US"/>
        </w:rPr>
        <w:t xml:space="preserve"> medical device fees were </w:t>
      </w:r>
      <w:r w:rsidR="0096449B" w:rsidRPr="00EE01E8">
        <w:rPr>
          <w:rFonts w:asciiTheme="minorHAnsi" w:hAnsiTheme="minorHAnsi"/>
          <w:lang w:val="en-US"/>
        </w:rPr>
        <w:t>r</w:t>
      </w:r>
      <w:r w:rsidR="0096449B">
        <w:rPr>
          <w:rFonts w:asciiTheme="minorHAnsi" w:hAnsiTheme="minorHAnsi"/>
          <w:lang w:val="en-US"/>
        </w:rPr>
        <w:t>evised</w:t>
      </w:r>
      <w:r w:rsidR="0096449B" w:rsidRPr="00EE01E8">
        <w:rPr>
          <w:rFonts w:asciiTheme="minorHAnsi" w:hAnsiTheme="minorHAnsi"/>
          <w:lang w:val="en-US"/>
        </w:rPr>
        <w:t xml:space="preserve"> </w:t>
      </w:r>
      <w:r w:rsidRPr="00EE01E8">
        <w:rPr>
          <w:rFonts w:asciiTheme="minorHAnsi" w:hAnsiTheme="minorHAnsi"/>
          <w:lang w:val="en-US"/>
        </w:rPr>
        <w:t xml:space="preserve">– </w:t>
      </w:r>
      <w:r w:rsidR="00C43E28">
        <w:rPr>
          <w:rFonts w:asciiTheme="minorHAnsi" w:hAnsiTheme="minorHAnsi"/>
          <w:lang w:val="en-US"/>
        </w:rPr>
        <w:t xml:space="preserve">resulting in </w:t>
      </w:r>
      <w:r w:rsidRPr="00EE01E8">
        <w:rPr>
          <w:rFonts w:asciiTheme="minorHAnsi" w:hAnsiTheme="minorHAnsi"/>
          <w:lang w:val="en-US"/>
        </w:rPr>
        <w:t xml:space="preserve">some </w:t>
      </w:r>
      <w:r w:rsidR="00C43E28">
        <w:rPr>
          <w:rFonts w:asciiTheme="minorHAnsi" w:hAnsiTheme="minorHAnsi"/>
          <w:lang w:val="en-US"/>
        </w:rPr>
        <w:t>increasing</w:t>
      </w:r>
      <w:r w:rsidRPr="00EE01E8">
        <w:rPr>
          <w:rFonts w:asciiTheme="minorHAnsi" w:hAnsiTheme="minorHAnsi"/>
          <w:lang w:val="en-US"/>
        </w:rPr>
        <w:t xml:space="preserve"> and some </w:t>
      </w:r>
      <w:r w:rsidR="00C43E28">
        <w:rPr>
          <w:rFonts w:asciiTheme="minorHAnsi" w:hAnsiTheme="minorHAnsi"/>
          <w:lang w:val="en-US"/>
        </w:rPr>
        <w:t>decreasing</w:t>
      </w:r>
      <w:r>
        <w:rPr>
          <w:rFonts w:asciiTheme="minorHAnsi" w:hAnsiTheme="minorHAnsi"/>
          <w:lang w:val="en-US"/>
        </w:rPr>
        <w:t xml:space="preserve">. </w:t>
      </w:r>
      <w:r w:rsidRPr="00EE01E8">
        <w:rPr>
          <w:rFonts w:asciiTheme="minorHAnsi" w:hAnsiTheme="minorHAnsi"/>
          <w:lang w:val="en-US"/>
        </w:rPr>
        <w:t xml:space="preserve">Class 3 and 4 IVD application audit assessments had significant under recovery mainly during the COVID time </w:t>
      </w:r>
      <w:r>
        <w:rPr>
          <w:rFonts w:asciiTheme="minorHAnsi" w:hAnsiTheme="minorHAnsi"/>
          <w:lang w:val="en-US"/>
        </w:rPr>
        <w:t xml:space="preserve">and to </w:t>
      </w:r>
      <w:r w:rsidRPr="00EE01E8">
        <w:rPr>
          <w:rFonts w:asciiTheme="minorHAnsi" w:hAnsiTheme="minorHAnsi"/>
          <w:lang w:val="en-US"/>
        </w:rPr>
        <w:t xml:space="preserve">address </w:t>
      </w:r>
      <w:r>
        <w:rPr>
          <w:rFonts w:asciiTheme="minorHAnsi" w:hAnsiTheme="minorHAnsi"/>
          <w:lang w:val="en-US"/>
        </w:rPr>
        <w:t>the under recovery</w:t>
      </w:r>
      <w:r w:rsidRPr="00EE01E8">
        <w:rPr>
          <w:rFonts w:asciiTheme="minorHAnsi" w:hAnsiTheme="minorHAnsi"/>
          <w:lang w:val="en-US"/>
        </w:rPr>
        <w:t>, the fee for Class 3 and 4 IVD application audit assessment was increased from $7,387 to $22,387.</w:t>
      </w:r>
      <w:r w:rsidRPr="00EE01E8">
        <w:t xml:space="preserve"> </w:t>
      </w:r>
    </w:p>
    <w:p w14:paraId="1C8D26BD" w14:textId="34C9F3B9" w:rsidR="00EE01E8" w:rsidRDefault="00EE01E8" w:rsidP="00EE01E8">
      <w:pPr>
        <w:spacing w:after="120"/>
        <w:rPr>
          <w:rFonts w:asciiTheme="minorHAnsi" w:hAnsiTheme="minorHAnsi"/>
          <w:lang w:val="en-US"/>
        </w:rPr>
      </w:pPr>
      <w:r w:rsidRPr="00EE01E8">
        <w:rPr>
          <w:rFonts w:asciiTheme="minorHAnsi" w:hAnsiTheme="minorHAnsi"/>
          <w:lang w:val="en-US"/>
        </w:rPr>
        <w:t>This fee was based on the estimated cost of undertaking application audit assessment of these classes of IVDs, including the cost of laboratory testing. A recent review of these applications and associated activities found that not all Class 3 and 4 IVD application audit assessments required laboratory testing.</w:t>
      </w:r>
      <w:r>
        <w:rPr>
          <w:rFonts w:asciiTheme="minorHAnsi" w:hAnsiTheme="minorHAnsi"/>
          <w:lang w:val="en-US"/>
        </w:rPr>
        <w:t xml:space="preserve"> </w:t>
      </w:r>
    </w:p>
    <w:p w14:paraId="01773FEB" w14:textId="2CBD02AB" w:rsidR="00EE01E8" w:rsidRDefault="00EE01E8" w:rsidP="00EE01E8">
      <w:pPr>
        <w:spacing w:after="120"/>
        <w:rPr>
          <w:rFonts w:asciiTheme="minorHAnsi" w:hAnsiTheme="minorHAnsi"/>
        </w:rPr>
      </w:pPr>
      <w:r>
        <w:rPr>
          <w:rFonts w:asciiTheme="minorHAnsi" w:hAnsiTheme="minorHAnsi"/>
          <w:lang w:val="en-US"/>
        </w:rPr>
        <w:t>To align the fee</w:t>
      </w:r>
      <w:r w:rsidR="000420A9">
        <w:rPr>
          <w:rFonts w:asciiTheme="minorHAnsi" w:hAnsiTheme="minorHAnsi"/>
          <w:lang w:val="en-US"/>
        </w:rPr>
        <w:t>s</w:t>
      </w:r>
      <w:r>
        <w:rPr>
          <w:rFonts w:asciiTheme="minorHAnsi" w:hAnsiTheme="minorHAnsi"/>
          <w:lang w:val="en-US"/>
        </w:rPr>
        <w:t xml:space="preserve"> with the cost</w:t>
      </w:r>
      <w:r w:rsidR="000420A9">
        <w:rPr>
          <w:rFonts w:asciiTheme="minorHAnsi" w:hAnsiTheme="minorHAnsi"/>
          <w:lang w:val="en-US"/>
        </w:rPr>
        <w:t>s</w:t>
      </w:r>
      <w:r>
        <w:rPr>
          <w:rFonts w:asciiTheme="minorHAnsi" w:hAnsiTheme="minorHAnsi"/>
          <w:lang w:val="en-US"/>
        </w:rPr>
        <w:t xml:space="preserve"> incurred</w:t>
      </w:r>
      <w:r w:rsidR="00C43E97">
        <w:rPr>
          <w:rFonts w:asciiTheme="minorHAnsi" w:hAnsiTheme="minorHAnsi"/>
          <w:lang w:val="en-US"/>
        </w:rPr>
        <w:t>,</w:t>
      </w:r>
      <w:r>
        <w:rPr>
          <w:rFonts w:asciiTheme="minorHAnsi" w:hAnsiTheme="minorHAnsi"/>
          <w:lang w:val="en-US"/>
        </w:rPr>
        <w:t xml:space="preserve"> </w:t>
      </w:r>
      <w:r w:rsidR="00823C41">
        <w:rPr>
          <w:rFonts w:asciiTheme="minorHAnsi" w:hAnsiTheme="minorHAnsi"/>
          <w:lang w:val="en-US"/>
        </w:rPr>
        <w:t>it is proposed that there be two</w:t>
      </w:r>
      <w:r w:rsidRPr="00EE01E8">
        <w:rPr>
          <w:rFonts w:asciiTheme="minorHAnsi" w:hAnsiTheme="minorHAnsi"/>
        </w:rPr>
        <w:t xml:space="preserve"> application audit assessment fee</w:t>
      </w:r>
      <w:r w:rsidR="00823C41">
        <w:rPr>
          <w:rFonts w:asciiTheme="minorHAnsi" w:hAnsiTheme="minorHAnsi"/>
        </w:rPr>
        <w:t>s</w:t>
      </w:r>
      <w:r w:rsidRPr="00EE01E8">
        <w:rPr>
          <w:rFonts w:asciiTheme="minorHAnsi" w:hAnsiTheme="minorHAnsi"/>
        </w:rPr>
        <w:t xml:space="preserve"> for Class 3 and 4 IVDs</w:t>
      </w:r>
      <w:r w:rsidR="00253466">
        <w:rPr>
          <w:rFonts w:asciiTheme="minorHAnsi" w:hAnsiTheme="minorHAnsi"/>
        </w:rPr>
        <w:t>.</w:t>
      </w:r>
      <w:r>
        <w:rPr>
          <w:rFonts w:asciiTheme="minorHAnsi" w:hAnsiTheme="minorHAnsi"/>
        </w:rPr>
        <w:t xml:space="preserve"> </w:t>
      </w:r>
      <w:r w:rsidRPr="00EE01E8">
        <w:rPr>
          <w:rFonts w:asciiTheme="minorHAnsi" w:hAnsiTheme="minorHAnsi"/>
        </w:rPr>
        <w:t>It is proposed to reduce th</w:t>
      </w:r>
      <w:r w:rsidR="00AF3E56">
        <w:rPr>
          <w:rFonts w:asciiTheme="minorHAnsi" w:hAnsiTheme="minorHAnsi"/>
        </w:rPr>
        <w:t>e</w:t>
      </w:r>
      <w:r w:rsidRPr="00EE01E8">
        <w:rPr>
          <w:rFonts w:asciiTheme="minorHAnsi" w:hAnsiTheme="minorHAnsi"/>
        </w:rPr>
        <w:t xml:space="preserve"> fee </w:t>
      </w:r>
      <w:r>
        <w:rPr>
          <w:rFonts w:asciiTheme="minorHAnsi" w:hAnsiTheme="minorHAnsi"/>
        </w:rPr>
        <w:t xml:space="preserve">from $22,387 to </w:t>
      </w:r>
      <w:r w:rsidRPr="00EE01E8">
        <w:rPr>
          <w:rFonts w:asciiTheme="minorHAnsi" w:hAnsiTheme="minorHAnsi"/>
        </w:rPr>
        <w:t>$14,198</w:t>
      </w:r>
      <w:r>
        <w:rPr>
          <w:rFonts w:asciiTheme="minorHAnsi" w:hAnsiTheme="minorHAnsi"/>
        </w:rPr>
        <w:t xml:space="preserve"> (</w:t>
      </w:r>
      <w:r w:rsidR="004E43DB">
        <w:rPr>
          <w:rFonts w:asciiTheme="minorHAnsi" w:hAnsiTheme="minorHAnsi"/>
        </w:rPr>
        <w:t>subject to indexation</w:t>
      </w:r>
      <w:r>
        <w:rPr>
          <w:rFonts w:asciiTheme="minorHAnsi" w:hAnsiTheme="minorHAnsi"/>
        </w:rPr>
        <w:t>)</w:t>
      </w:r>
      <w:r w:rsidRPr="00EE01E8">
        <w:rPr>
          <w:rFonts w:asciiTheme="minorHAnsi" w:hAnsiTheme="minorHAnsi"/>
        </w:rPr>
        <w:t xml:space="preserve"> if no laboratory testing is required</w:t>
      </w:r>
      <w:r>
        <w:rPr>
          <w:rFonts w:asciiTheme="minorHAnsi" w:hAnsiTheme="minorHAnsi"/>
        </w:rPr>
        <w:t xml:space="preserve">. </w:t>
      </w:r>
      <w:r w:rsidRPr="00EE01E8">
        <w:rPr>
          <w:rFonts w:asciiTheme="minorHAnsi" w:hAnsiTheme="minorHAnsi"/>
        </w:rPr>
        <w:t xml:space="preserve">The current fee </w:t>
      </w:r>
      <w:r>
        <w:rPr>
          <w:rFonts w:asciiTheme="minorHAnsi" w:hAnsiTheme="minorHAnsi"/>
        </w:rPr>
        <w:t>of $22,387 (subject to indexation)</w:t>
      </w:r>
      <w:r w:rsidR="00253466">
        <w:rPr>
          <w:rFonts w:asciiTheme="minorHAnsi" w:hAnsiTheme="minorHAnsi"/>
        </w:rPr>
        <w:t xml:space="preserve"> still</w:t>
      </w:r>
      <w:r>
        <w:rPr>
          <w:rFonts w:asciiTheme="minorHAnsi" w:hAnsiTheme="minorHAnsi"/>
        </w:rPr>
        <w:t xml:space="preserve"> </w:t>
      </w:r>
      <w:r w:rsidRPr="00EE01E8">
        <w:rPr>
          <w:rFonts w:asciiTheme="minorHAnsi" w:hAnsiTheme="minorHAnsi"/>
        </w:rPr>
        <w:t>applies where laboratory testing is required</w:t>
      </w:r>
      <w:r w:rsidR="004E43DB">
        <w:rPr>
          <w:rFonts w:asciiTheme="minorHAnsi" w:hAnsiTheme="minorHAnsi"/>
        </w:rPr>
        <w:t>.</w:t>
      </w:r>
    </w:p>
    <w:p w14:paraId="620A6AD5" w14:textId="2243C718" w:rsidR="0048564C" w:rsidRPr="001A7E2F" w:rsidRDefault="00805547" w:rsidP="00002DBE">
      <w:pPr>
        <w:pStyle w:val="ListParagraph"/>
        <w:numPr>
          <w:ilvl w:val="0"/>
          <w:numId w:val="21"/>
        </w:numPr>
        <w:spacing w:after="120"/>
        <w:rPr>
          <w:rFonts w:asciiTheme="minorHAnsi" w:hAnsiTheme="minorHAnsi"/>
          <w:b/>
          <w:bCs/>
          <w:i/>
          <w:iCs/>
        </w:rPr>
      </w:pPr>
      <w:bookmarkStart w:id="15" w:name="_Toc93946212"/>
      <w:r w:rsidRPr="00805547">
        <w:rPr>
          <w:rFonts w:asciiTheme="minorHAnsi" w:hAnsiTheme="minorHAnsi"/>
          <w:b/>
          <w:bCs/>
          <w:i/>
          <w:iCs/>
        </w:rPr>
        <w:t xml:space="preserve">Clinical Trial Notification </w:t>
      </w:r>
      <w:bookmarkEnd w:id="15"/>
      <w:r>
        <w:rPr>
          <w:rFonts w:asciiTheme="minorHAnsi" w:hAnsiTheme="minorHAnsi"/>
          <w:b/>
          <w:bCs/>
          <w:i/>
          <w:iCs/>
        </w:rPr>
        <w:t>fees</w:t>
      </w:r>
      <w:r w:rsidR="008D421A" w:rsidRPr="008D421A">
        <w:rPr>
          <w:rFonts w:asciiTheme="minorHAnsi" w:hAnsiTheme="minorHAnsi"/>
          <w:b/>
          <w:bCs/>
          <w:i/>
          <w:iCs/>
        </w:rPr>
        <w:t xml:space="preserve"> for additional </w:t>
      </w:r>
      <w:r w:rsidR="001A7E2F">
        <w:rPr>
          <w:rFonts w:asciiTheme="minorHAnsi" w:hAnsiTheme="minorHAnsi"/>
          <w:b/>
          <w:bCs/>
          <w:i/>
          <w:iCs/>
        </w:rPr>
        <w:t xml:space="preserve">unapproved </w:t>
      </w:r>
      <w:r w:rsidR="008D421A" w:rsidRPr="008D421A">
        <w:rPr>
          <w:rFonts w:asciiTheme="minorHAnsi" w:hAnsiTheme="minorHAnsi"/>
          <w:b/>
          <w:bCs/>
          <w:i/>
          <w:iCs/>
        </w:rPr>
        <w:t>medical devices site</w:t>
      </w:r>
    </w:p>
    <w:p w14:paraId="66A38B37" w14:textId="77777777" w:rsidR="00C60920" w:rsidRPr="00C60920" w:rsidRDefault="00C60920" w:rsidP="00C60920">
      <w:pPr>
        <w:spacing w:after="120"/>
        <w:rPr>
          <w:rFonts w:asciiTheme="minorHAnsi" w:hAnsiTheme="minorHAnsi"/>
        </w:rPr>
      </w:pPr>
      <w:r w:rsidRPr="00C60920">
        <w:rPr>
          <w:rFonts w:asciiTheme="minorHAnsi" w:hAnsiTheme="minorHAnsi"/>
        </w:rPr>
        <w:t xml:space="preserve">Under the Act, clinical trials conducted in Australia are subject to TGA regulatory controls to ensure the safety of participants. The Clinical Trial Notification (CTN) schemes provide for the lawful importation into and/or supply in Australia of ‘unapproved’ therapeutic goods for use solely for experimental purposes in humans (i.e., clinical trials). The overall decision as to whether a CTN is required in relation to the use of the therapeutic goods is the responsibility of the trial sponsor. </w:t>
      </w:r>
    </w:p>
    <w:p w14:paraId="2B2098FE" w14:textId="07DB74F3" w:rsidR="00C60920" w:rsidRPr="00C60920" w:rsidRDefault="00C60920" w:rsidP="00C60920">
      <w:pPr>
        <w:spacing w:after="120"/>
        <w:rPr>
          <w:rFonts w:asciiTheme="minorHAnsi" w:hAnsiTheme="minorHAnsi"/>
        </w:rPr>
      </w:pPr>
      <w:r w:rsidRPr="00C60920">
        <w:rPr>
          <w:rFonts w:asciiTheme="minorHAnsi" w:hAnsiTheme="minorHAnsi"/>
        </w:rPr>
        <w:t xml:space="preserve">Fees are currently applied to notify the TGA of an additional clinical trial site for unapproved medicines, </w:t>
      </w:r>
      <w:proofErr w:type="gramStart"/>
      <w:r w:rsidRPr="00C60920">
        <w:rPr>
          <w:rFonts w:asciiTheme="minorHAnsi" w:hAnsiTheme="minorHAnsi"/>
        </w:rPr>
        <w:t>biologicals</w:t>
      </w:r>
      <w:proofErr w:type="gramEnd"/>
      <w:r w:rsidRPr="00C60920">
        <w:rPr>
          <w:rFonts w:asciiTheme="minorHAnsi" w:hAnsiTheme="minorHAnsi"/>
        </w:rPr>
        <w:t xml:space="preserve"> and medical devices (including IVDs). While these are long-standing </w:t>
      </w:r>
      <w:r w:rsidR="00A23ADD" w:rsidRPr="00C60920">
        <w:rPr>
          <w:rFonts w:asciiTheme="minorHAnsi" w:hAnsiTheme="minorHAnsi"/>
        </w:rPr>
        <w:t>fees, the</w:t>
      </w:r>
      <w:r w:rsidRPr="00C60920">
        <w:rPr>
          <w:rFonts w:asciiTheme="minorHAnsi" w:hAnsiTheme="minorHAnsi"/>
        </w:rPr>
        <w:t xml:space="preserve"> fee for notification of an additional site for medical devices was omitted from the Therapeutic Goods (Medical Device) Regulations 2002.  It is proposed to correct this omission and include a clinical notification fee of $410 ($429) if the proposed indexation is approved) for each notification of an additional site for unapproved medical devices (including IVDs). </w:t>
      </w:r>
    </w:p>
    <w:p w14:paraId="4702985A" w14:textId="1C9A2437" w:rsidR="00C43E97" w:rsidRDefault="00C60920" w:rsidP="00C60920">
      <w:pPr>
        <w:spacing w:after="120"/>
        <w:rPr>
          <w:rFonts w:asciiTheme="minorHAnsi" w:hAnsiTheme="minorHAnsi"/>
        </w:rPr>
      </w:pPr>
      <w:r w:rsidRPr="00C60920">
        <w:rPr>
          <w:rFonts w:asciiTheme="minorHAnsi" w:hAnsiTheme="minorHAnsi"/>
        </w:rPr>
        <w:t>The fee is consistent with the fee for unapproved medicine or biological for notification of an additional clinical trial site.</w:t>
      </w:r>
    </w:p>
    <w:p w14:paraId="464D9163" w14:textId="77777777" w:rsidR="00E242E9" w:rsidRDefault="00E242E9" w:rsidP="00002DBE">
      <w:pPr>
        <w:pStyle w:val="ListBullet"/>
        <w:numPr>
          <w:ilvl w:val="0"/>
          <w:numId w:val="0"/>
        </w:numPr>
        <w:ind w:left="360" w:hanging="360"/>
        <w:rPr>
          <w:rFonts w:asciiTheme="minorHAnsi" w:hAnsiTheme="minorHAnsi"/>
          <w:b/>
          <w:bCs/>
        </w:rPr>
      </w:pPr>
    </w:p>
    <w:p w14:paraId="2C522BE8" w14:textId="77777777" w:rsidR="00B633E1" w:rsidRDefault="00B633E1">
      <w:pPr>
        <w:spacing w:before="0" w:after="0" w:line="240" w:lineRule="auto"/>
        <w:rPr>
          <w:rFonts w:asciiTheme="minorHAnsi" w:hAnsiTheme="minorHAnsi"/>
          <w:b/>
          <w:bCs/>
        </w:rPr>
      </w:pPr>
      <w:r>
        <w:rPr>
          <w:rFonts w:asciiTheme="minorHAnsi" w:hAnsiTheme="minorHAnsi"/>
          <w:b/>
          <w:bCs/>
        </w:rPr>
        <w:br w:type="page"/>
      </w:r>
    </w:p>
    <w:p w14:paraId="0D119379" w14:textId="77BD1817" w:rsidR="00A56F4F" w:rsidRDefault="00A56F4F" w:rsidP="00002DBE">
      <w:pPr>
        <w:pStyle w:val="ListBullet"/>
        <w:numPr>
          <w:ilvl w:val="0"/>
          <w:numId w:val="0"/>
        </w:numPr>
        <w:ind w:left="360" w:hanging="360"/>
        <w:rPr>
          <w:rFonts w:asciiTheme="minorHAnsi" w:hAnsiTheme="minorHAnsi"/>
          <w:b/>
          <w:bCs/>
        </w:rPr>
      </w:pPr>
      <w:r>
        <w:rPr>
          <w:rFonts w:asciiTheme="minorHAnsi" w:hAnsiTheme="minorHAnsi"/>
          <w:b/>
          <w:bCs/>
        </w:rPr>
        <w:lastRenderedPageBreak/>
        <w:t>Medicines</w:t>
      </w:r>
    </w:p>
    <w:p w14:paraId="617766D2" w14:textId="40914187" w:rsidR="00415863" w:rsidRDefault="00B94F38" w:rsidP="006F47BB">
      <w:pPr>
        <w:pStyle w:val="ListParagraph"/>
        <w:numPr>
          <w:ilvl w:val="0"/>
          <w:numId w:val="24"/>
        </w:numPr>
        <w:spacing w:after="120"/>
        <w:rPr>
          <w:rFonts w:asciiTheme="minorHAnsi" w:hAnsiTheme="minorHAnsi"/>
          <w:b/>
          <w:bCs/>
          <w:i/>
          <w:iCs/>
        </w:rPr>
      </w:pPr>
      <w:r w:rsidRPr="00B94F38">
        <w:rPr>
          <w:rFonts w:asciiTheme="minorHAnsi" w:hAnsiTheme="minorHAnsi"/>
          <w:b/>
          <w:bCs/>
          <w:i/>
          <w:iCs/>
        </w:rPr>
        <w:t>Removal of higher annual charge for certain medicines</w:t>
      </w:r>
    </w:p>
    <w:p w14:paraId="6A39DE57" w14:textId="77777777" w:rsidR="001A16DD" w:rsidRDefault="00B142C6" w:rsidP="001A16DD">
      <w:pPr>
        <w:spacing w:after="120"/>
        <w:rPr>
          <w:rFonts w:asciiTheme="minorHAnsi" w:hAnsiTheme="minorHAnsi"/>
        </w:rPr>
      </w:pPr>
      <w:r w:rsidRPr="00595C15">
        <w:rPr>
          <w:rFonts w:asciiTheme="minorHAnsi" w:hAnsiTheme="minorHAnsi"/>
        </w:rPr>
        <w:t>When annual charges were significantly lowered for most generic medicines in 2015, a higher annual charge was prescribed for prescription medicines that contain one of the named ingredients</w:t>
      </w:r>
      <w:r w:rsidR="001A16DD">
        <w:rPr>
          <w:rFonts w:asciiTheme="minorHAnsi" w:hAnsiTheme="minorHAnsi"/>
        </w:rPr>
        <w:t>:</w:t>
      </w:r>
    </w:p>
    <w:p w14:paraId="10D72FDA" w14:textId="5EFD3C7D"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Thalidomide</w:t>
      </w:r>
    </w:p>
    <w:p w14:paraId="3E434C58" w14:textId="158837C8"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Leflunomide</w:t>
      </w:r>
    </w:p>
    <w:p w14:paraId="4D819AF6" w14:textId="4F9F26F2"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Lenalidomide</w:t>
      </w:r>
    </w:p>
    <w:p w14:paraId="3DB5EEA4" w14:textId="5CD5ED04"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Mifepristone</w:t>
      </w:r>
    </w:p>
    <w:p w14:paraId="262C4C29" w14:textId="211D4D33"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Clozapine</w:t>
      </w:r>
    </w:p>
    <w:p w14:paraId="7AEF5F7F" w14:textId="731F665C" w:rsidR="001A16DD" w:rsidRPr="00D63588" w:rsidRDefault="001A16DD">
      <w:pPr>
        <w:pStyle w:val="ListParagraph"/>
        <w:numPr>
          <w:ilvl w:val="0"/>
          <w:numId w:val="15"/>
        </w:numPr>
        <w:rPr>
          <w:rFonts w:asciiTheme="minorHAnsi" w:hAnsiTheme="minorHAnsi"/>
          <w:color w:val="333F48"/>
        </w:rPr>
      </w:pPr>
      <w:r w:rsidRPr="00D63588">
        <w:rPr>
          <w:rFonts w:asciiTheme="minorHAnsi" w:hAnsiTheme="minorHAnsi"/>
          <w:color w:val="333F48"/>
        </w:rPr>
        <w:t>Isotretinoin</w:t>
      </w:r>
    </w:p>
    <w:p w14:paraId="07A1797E" w14:textId="68397A97" w:rsidR="001A16DD" w:rsidRDefault="001A16DD" w:rsidP="001A16DD">
      <w:pPr>
        <w:spacing w:after="120"/>
        <w:rPr>
          <w:rFonts w:asciiTheme="minorHAnsi" w:hAnsiTheme="minorHAnsi"/>
        </w:rPr>
      </w:pPr>
      <w:r w:rsidRPr="001A16DD">
        <w:rPr>
          <w:rFonts w:asciiTheme="minorHAnsi" w:hAnsiTheme="minorHAnsi"/>
        </w:rPr>
        <w:t>The main reason for</w:t>
      </w:r>
      <w:r w:rsidR="002737E1">
        <w:rPr>
          <w:rFonts w:asciiTheme="minorHAnsi" w:hAnsiTheme="minorHAnsi"/>
        </w:rPr>
        <w:t xml:space="preserve"> a</w:t>
      </w:r>
      <w:r w:rsidRPr="001A16DD">
        <w:rPr>
          <w:rFonts w:asciiTheme="minorHAnsi" w:hAnsiTheme="minorHAnsi"/>
        </w:rPr>
        <w:t xml:space="preserve"> higher annual charge for specified medicines was</w:t>
      </w:r>
      <w:r>
        <w:rPr>
          <w:rFonts w:asciiTheme="minorHAnsi" w:hAnsiTheme="minorHAnsi"/>
        </w:rPr>
        <w:t xml:space="preserve"> due to</w:t>
      </w:r>
      <w:r w:rsidRPr="001A16DD">
        <w:rPr>
          <w:rFonts w:asciiTheme="minorHAnsi" w:hAnsiTheme="minorHAnsi"/>
        </w:rPr>
        <w:t xml:space="preserve"> significant risk management activities associated with them</w:t>
      </w:r>
      <w:r w:rsidR="00C43E97">
        <w:rPr>
          <w:rFonts w:asciiTheme="minorHAnsi" w:hAnsiTheme="minorHAnsi"/>
        </w:rPr>
        <w:t>.</w:t>
      </w:r>
      <w:r w:rsidRPr="001A16DD">
        <w:rPr>
          <w:rFonts w:asciiTheme="minorHAnsi" w:hAnsiTheme="minorHAnsi"/>
        </w:rPr>
        <w:t xml:space="preserve"> </w:t>
      </w:r>
      <w:r>
        <w:rPr>
          <w:rFonts w:asciiTheme="minorHAnsi" w:hAnsiTheme="minorHAnsi"/>
        </w:rPr>
        <w:t>Risk</w:t>
      </w:r>
      <w:r w:rsidRPr="00595C15">
        <w:rPr>
          <w:rFonts w:asciiTheme="minorHAnsi" w:hAnsiTheme="minorHAnsi"/>
        </w:rPr>
        <w:t xml:space="preserve"> minimisation programs</w:t>
      </w:r>
      <w:r>
        <w:rPr>
          <w:rFonts w:asciiTheme="minorHAnsi" w:hAnsiTheme="minorHAnsi"/>
        </w:rPr>
        <w:t xml:space="preserve"> for the</w:t>
      </w:r>
      <w:r w:rsidR="00232313">
        <w:rPr>
          <w:rFonts w:asciiTheme="minorHAnsi" w:hAnsiTheme="minorHAnsi"/>
        </w:rPr>
        <w:t>se</w:t>
      </w:r>
      <w:r>
        <w:rPr>
          <w:rFonts w:asciiTheme="minorHAnsi" w:hAnsiTheme="minorHAnsi"/>
        </w:rPr>
        <w:t xml:space="preserve"> </w:t>
      </w:r>
      <w:r w:rsidRPr="00307ADD">
        <w:rPr>
          <w:rFonts w:asciiTheme="minorHAnsi" w:hAnsiTheme="minorHAnsi"/>
        </w:rPr>
        <w:t xml:space="preserve">medicines </w:t>
      </w:r>
      <w:r w:rsidR="00CB4D81">
        <w:rPr>
          <w:rFonts w:asciiTheme="minorHAnsi" w:hAnsiTheme="minorHAnsi"/>
        </w:rPr>
        <w:t>are now</w:t>
      </w:r>
      <w:r>
        <w:rPr>
          <w:rFonts w:asciiTheme="minorHAnsi" w:hAnsiTheme="minorHAnsi"/>
        </w:rPr>
        <w:t xml:space="preserve"> </w:t>
      </w:r>
      <w:r w:rsidRPr="00595C15">
        <w:rPr>
          <w:rFonts w:asciiTheme="minorHAnsi" w:hAnsiTheme="minorHAnsi"/>
        </w:rPr>
        <w:t>well established and require</w:t>
      </w:r>
      <w:r w:rsidR="00232313">
        <w:rPr>
          <w:rFonts w:asciiTheme="minorHAnsi" w:hAnsiTheme="minorHAnsi"/>
        </w:rPr>
        <w:t>s</w:t>
      </w:r>
      <w:r w:rsidRPr="00595C15">
        <w:rPr>
          <w:rFonts w:asciiTheme="minorHAnsi" w:hAnsiTheme="minorHAnsi"/>
        </w:rPr>
        <w:t xml:space="preserve"> less regulatory oversight</w:t>
      </w:r>
      <w:r w:rsidR="00CB4D81">
        <w:rPr>
          <w:rFonts w:asciiTheme="minorHAnsi" w:hAnsiTheme="minorHAnsi"/>
        </w:rPr>
        <w:t>.</w:t>
      </w:r>
      <w:r w:rsidR="00E3576B">
        <w:rPr>
          <w:rFonts w:asciiTheme="minorHAnsi" w:hAnsiTheme="minorHAnsi"/>
        </w:rPr>
        <w:t xml:space="preserve"> </w:t>
      </w:r>
      <w:r w:rsidR="00B11C71">
        <w:rPr>
          <w:rFonts w:asciiTheme="minorHAnsi" w:hAnsiTheme="minorHAnsi"/>
        </w:rPr>
        <w:t>Therefore,</w:t>
      </w:r>
      <w:r w:rsidR="00C43E97">
        <w:rPr>
          <w:rFonts w:asciiTheme="minorHAnsi" w:hAnsiTheme="minorHAnsi"/>
        </w:rPr>
        <w:t xml:space="preserve"> it is proposed to reduce this charge</w:t>
      </w:r>
      <w:r w:rsidR="000F6CD4">
        <w:rPr>
          <w:rFonts w:asciiTheme="minorHAnsi" w:hAnsiTheme="minorHAnsi"/>
        </w:rPr>
        <w:t xml:space="preserve"> from $4,876 to $3,972 </w:t>
      </w:r>
      <w:r w:rsidR="00E3576B">
        <w:rPr>
          <w:rFonts w:asciiTheme="minorHAnsi" w:hAnsiTheme="minorHAnsi"/>
        </w:rPr>
        <w:t>(subject to indexation</w:t>
      </w:r>
      <w:r w:rsidR="00E3576B" w:rsidRPr="00805547">
        <w:rPr>
          <w:rFonts w:asciiTheme="minorHAnsi" w:hAnsiTheme="minorHAnsi"/>
        </w:rPr>
        <w:t>)</w:t>
      </w:r>
      <w:r w:rsidR="00E3576B">
        <w:rPr>
          <w:rFonts w:asciiTheme="minorHAnsi" w:hAnsiTheme="minorHAnsi"/>
        </w:rPr>
        <w:t>.</w:t>
      </w:r>
    </w:p>
    <w:p w14:paraId="35FD5D99" w14:textId="2FDEBA24" w:rsidR="001A16DD" w:rsidRPr="00595C15" w:rsidRDefault="001A16DD" w:rsidP="00595C15">
      <w:pPr>
        <w:tabs>
          <w:tab w:val="num" w:pos="720"/>
        </w:tabs>
        <w:spacing w:after="120"/>
        <w:rPr>
          <w:rFonts w:asciiTheme="minorHAnsi" w:hAnsiTheme="minorHAnsi"/>
        </w:rPr>
      </w:pPr>
      <w:r w:rsidRPr="001A16DD">
        <w:rPr>
          <w:rFonts w:asciiTheme="minorHAnsi" w:hAnsiTheme="minorHAnsi"/>
        </w:rPr>
        <w:t xml:space="preserve">There are currently 234 entries on the ARTG that fall into this category. </w:t>
      </w:r>
      <w:r w:rsidR="006F3BDA">
        <w:rPr>
          <w:rFonts w:asciiTheme="minorHAnsi" w:hAnsiTheme="minorHAnsi"/>
        </w:rPr>
        <w:t xml:space="preserve">The reduction of </w:t>
      </w:r>
      <w:r w:rsidR="00CB4D81">
        <w:rPr>
          <w:rFonts w:asciiTheme="minorHAnsi" w:hAnsiTheme="minorHAnsi"/>
        </w:rPr>
        <w:t xml:space="preserve">the </w:t>
      </w:r>
      <w:r w:rsidRPr="001A16DD">
        <w:rPr>
          <w:rFonts w:asciiTheme="minorHAnsi" w:hAnsiTheme="minorHAnsi"/>
        </w:rPr>
        <w:t xml:space="preserve">annual charge per entry will provide a total saving of </w:t>
      </w:r>
      <w:r>
        <w:rPr>
          <w:rFonts w:asciiTheme="minorHAnsi" w:hAnsiTheme="minorHAnsi"/>
        </w:rPr>
        <w:t>approx</w:t>
      </w:r>
      <w:r w:rsidR="00CB4D81">
        <w:rPr>
          <w:rFonts w:asciiTheme="minorHAnsi" w:hAnsiTheme="minorHAnsi"/>
        </w:rPr>
        <w:t>imately</w:t>
      </w:r>
      <w:r>
        <w:rPr>
          <w:rFonts w:asciiTheme="minorHAnsi" w:hAnsiTheme="minorHAnsi"/>
        </w:rPr>
        <w:t xml:space="preserve"> </w:t>
      </w:r>
      <w:r w:rsidRPr="001A16DD">
        <w:rPr>
          <w:rFonts w:asciiTheme="minorHAnsi" w:hAnsiTheme="minorHAnsi"/>
        </w:rPr>
        <w:t>$211</w:t>
      </w:r>
      <w:r w:rsidR="00CB4D81">
        <w:rPr>
          <w:rFonts w:asciiTheme="minorHAnsi" w:hAnsiTheme="minorHAnsi"/>
        </w:rPr>
        <w:t>,000</w:t>
      </w:r>
      <w:r w:rsidRPr="001A16DD">
        <w:rPr>
          <w:rFonts w:asciiTheme="minorHAnsi" w:hAnsiTheme="minorHAnsi"/>
        </w:rPr>
        <w:t xml:space="preserve"> to the sponsors of prescription medicines who currently have one or more products such products on the ARTG</w:t>
      </w:r>
      <w:r>
        <w:rPr>
          <w:rFonts w:asciiTheme="minorHAnsi" w:hAnsiTheme="minorHAnsi"/>
        </w:rPr>
        <w:t>.</w:t>
      </w:r>
    </w:p>
    <w:p w14:paraId="108E1C53" w14:textId="019576B6" w:rsidR="002208B9" w:rsidRDefault="00124A72" w:rsidP="006F47BB">
      <w:pPr>
        <w:pStyle w:val="ListParagraph"/>
        <w:numPr>
          <w:ilvl w:val="0"/>
          <w:numId w:val="24"/>
        </w:numPr>
        <w:spacing w:after="120"/>
        <w:rPr>
          <w:rFonts w:asciiTheme="minorHAnsi" w:hAnsiTheme="minorHAnsi"/>
          <w:b/>
          <w:bCs/>
          <w:i/>
          <w:iCs/>
        </w:rPr>
      </w:pPr>
      <w:r>
        <w:rPr>
          <w:rFonts w:asciiTheme="minorHAnsi" w:hAnsiTheme="minorHAnsi"/>
          <w:b/>
          <w:bCs/>
          <w:i/>
          <w:iCs/>
        </w:rPr>
        <w:t>C</w:t>
      </w:r>
      <w:r w:rsidRPr="00124A72">
        <w:rPr>
          <w:rFonts w:asciiTheme="minorHAnsi" w:hAnsiTheme="minorHAnsi"/>
          <w:b/>
          <w:bCs/>
          <w:i/>
          <w:iCs/>
        </w:rPr>
        <w:t>onsent to supply prescription medicines</w:t>
      </w:r>
      <w:r>
        <w:rPr>
          <w:rFonts w:asciiTheme="minorHAnsi" w:hAnsiTheme="minorHAnsi"/>
          <w:b/>
          <w:bCs/>
          <w:i/>
          <w:iCs/>
        </w:rPr>
        <w:t xml:space="preserve"> fees</w:t>
      </w:r>
      <w:r w:rsidR="004C30C9">
        <w:rPr>
          <w:rFonts w:asciiTheme="minorHAnsi" w:hAnsiTheme="minorHAnsi"/>
          <w:b/>
          <w:bCs/>
          <w:i/>
          <w:iCs/>
        </w:rPr>
        <w:t xml:space="preserve"> (medicinal cannabis)</w:t>
      </w:r>
    </w:p>
    <w:p w14:paraId="19B611A4" w14:textId="0E97D365" w:rsidR="007721A5" w:rsidRDefault="00124A72" w:rsidP="007721A5">
      <w:pPr>
        <w:spacing w:after="120"/>
        <w:rPr>
          <w:rFonts w:asciiTheme="minorHAnsi" w:hAnsiTheme="minorHAnsi"/>
        </w:rPr>
      </w:pPr>
      <w:r w:rsidRPr="00595C15">
        <w:rPr>
          <w:rFonts w:asciiTheme="minorHAnsi" w:hAnsiTheme="minorHAnsi"/>
        </w:rPr>
        <w:t xml:space="preserve">The quality standard for medicinal cannabis, Therapeutic Goods (Standard for Medicinal Cannabis) (TGO 93) Order 2017 was updated in December 2022 to include requirements for labelling of medicinal cannabis products and for manufacturers overseas to hold equivalent GMP authorisations as domestic manufacturers. These changes </w:t>
      </w:r>
      <w:r w:rsidR="00CB4D81">
        <w:rPr>
          <w:rFonts w:asciiTheme="minorHAnsi" w:hAnsiTheme="minorHAnsi"/>
        </w:rPr>
        <w:t>were effective from</w:t>
      </w:r>
      <w:r w:rsidRPr="00595C15">
        <w:rPr>
          <w:rFonts w:asciiTheme="minorHAnsi" w:hAnsiTheme="minorHAnsi"/>
        </w:rPr>
        <w:t xml:space="preserve"> 1 July 2023</w:t>
      </w:r>
      <w:r w:rsidR="00CB4D81">
        <w:rPr>
          <w:rFonts w:asciiTheme="minorHAnsi" w:hAnsiTheme="minorHAnsi"/>
        </w:rPr>
        <w:t>.</w:t>
      </w:r>
    </w:p>
    <w:p w14:paraId="092E8AC4" w14:textId="719574C6" w:rsidR="007721A5" w:rsidRPr="00595C15" w:rsidRDefault="007721A5" w:rsidP="00595C15">
      <w:pPr>
        <w:spacing w:after="120"/>
        <w:rPr>
          <w:rFonts w:asciiTheme="minorHAnsi" w:hAnsiTheme="minorHAnsi"/>
          <w:b/>
          <w:bCs/>
          <w:i/>
          <w:iCs/>
        </w:rPr>
      </w:pPr>
      <w:r w:rsidRPr="00595C15">
        <w:rPr>
          <w:rFonts w:asciiTheme="minorHAnsi" w:hAnsiTheme="minorHAnsi"/>
        </w:rPr>
        <w:t>Since the update to the requirements for imported medicinal cannabis to be manufactured at sites that hold the GMP evidence specified in section 13(3) of TGO 93, the TGA has received 6 section 14/14A application for consent to supply medicinal cannabis products that do not meet TGO 93.</w:t>
      </w:r>
    </w:p>
    <w:p w14:paraId="188CA513" w14:textId="5CE33F08" w:rsidR="007721A5" w:rsidRPr="00D63588" w:rsidRDefault="007721A5" w:rsidP="007721A5">
      <w:pPr>
        <w:spacing w:after="120"/>
        <w:rPr>
          <w:rFonts w:asciiTheme="minorHAnsi" w:hAnsiTheme="minorHAnsi"/>
        </w:rPr>
      </w:pPr>
      <w:r w:rsidRPr="00D63588">
        <w:rPr>
          <w:rFonts w:asciiTheme="minorHAnsi" w:hAnsiTheme="minorHAnsi"/>
        </w:rPr>
        <w:t xml:space="preserve">There is currently no fee prescribed for the assessment of these applications. A fee would legitimise the section 14/14A pathway consistent with </w:t>
      </w:r>
      <w:r w:rsidR="006833D6">
        <w:rPr>
          <w:rFonts w:asciiTheme="minorHAnsi" w:hAnsiTheme="minorHAnsi"/>
        </w:rPr>
        <w:t>the Good Clinical Practice</w:t>
      </w:r>
      <w:r w:rsidRPr="00D63588">
        <w:rPr>
          <w:rFonts w:asciiTheme="minorHAnsi" w:hAnsiTheme="minorHAnsi"/>
        </w:rPr>
        <w:t xml:space="preserve">. </w:t>
      </w:r>
      <w:r w:rsidR="00595C15" w:rsidRPr="00D63588">
        <w:rPr>
          <w:rFonts w:asciiTheme="minorHAnsi" w:hAnsiTheme="minorHAnsi"/>
        </w:rPr>
        <w:t>Based on staff effort required for assessment of these applications</w:t>
      </w:r>
      <w:bookmarkStart w:id="16" w:name="_Hlk153300643"/>
      <w:r w:rsidR="00595C15" w:rsidRPr="00D63588">
        <w:rPr>
          <w:rFonts w:asciiTheme="minorHAnsi" w:hAnsiTheme="minorHAnsi"/>
        </w:rPr>
        <w:t>, it is proposed to implement the following application fees with effect from 1 July 2024:</w:t>
      </w:r>
    </w:p>
    <w:bookmarkEnd w:id="16"/>
    <w:p w14:paraId="0D1EA994" w14:textId="4DD96A39" w:rsidR="00595C15" w:rsidRDefault="00595C15">
      <w:pPr>
        <w:pStyle w:val="ListParagraph"/>
        <w:numPr>
          <w:ilvl w:val="0"/>
          <w:numId w:val="15"/>
        </w:numPr>
        <w:rPr>
          <w:rFonts w:asciiTheme="minorHAnsi" w:hAnsiTheme="minorHAnsi"/>
          <w:color w:val="333F48"/>
        </w:rPr>
      </w:pPr>
      <w:r w:rsidRPr="00D63588">
        <w:rPr>
          <w:rFonts w:asciiTheme="minorHAnsi" w:hAnsiTheme="minorHAnsi"/>
          <w:color w:val="333F48"/>
        </w:rPr>
        <w:t xml:space="preserve">Application fee - $3,545 </w:t>
      </w:r>
      <w:r w:rsidR="00E3576B">
        <w:rPr>
          <w:rFonts w:asciiTheme="minorHAnsi" w:hAnsiTheme="minorHAnsi"/>
        </w:rPr>
        <w:t>(subject to indexation</w:t>
      </w:r>
      <w:r w:rsidR="00E3576B" w:rsidRPr="00805547">
        <w:rPr>
          <w:rFonts w:asciiTheme="minorHAnsi" w:hAnsiTheme="minorHAnsi"/>
        </w:rPr>
        <w:t>)</w:t>
      </w:r>
      <w:r w:rsidR="00E3576B">
        <w:rPr>
          <w:rFonts w:asciiTheme="minorHAnsi" w:hAnsiTheme="minorHAnsi"/>
        </w:rPr>
        <w:t xml:space="preserve">. </w:t>
      </w:r>
    </w:p>
    <w:p w14:paraId="2FB52703" w14:textId="77777777" w:rsidR="00260F55" w:rsidRPr="00D63588" w:rsidRDefault="00260F55" w:rsidP="00002DBE">
      <w:pPr>
        <w:pStyle w:val="ListParagraph"/>
        <w:rPr>
          <w:rFonts w:asciiTheme="minorHAnsi" w:hAnsiTheme="minorHAnsi"/>
          <w:color w:val="333F48"/>
        </w:rPr>
      </w:pPr>
    </w:p>
    <w:p w14:paraId="2AF8AA81" w14:textId="5F39700C" w:rsidR="00595C15" w:rsidRDefault="00E01568" w:rsidP="006F47BB">
      <w:pPr>
        <w:pStyle w:val="ListParagraph"/>
        <w:numPr>
          <w:ilvl w:val="0"/>
          <w:numId w:val="24"/>
        </w:numPr>
        <w:spacing w:after="120"/>
        <w:rPr>
          <w:rFonts w:asciiTheme="minorHAnsi" w:hAnsiTheme="minorHAnsi"/>
          <w:b/>
          <w:bCs/>
          <w:i/>
          <w:iCs/>
        </w:rPr>
      </w:pPr>
      <w:r>
        <w:rPr>
          <w:rFonts w:asciiTheme="minorHAnsi" w:hAnsiTheme="minorHAnsi"/>
          <w:b/>
          <w:bCs/>
          <w:i/>
          <w:iCs/>
        </w:rPr>
        <w:t>Fees for r</w:t>
      </w:r>
      <w:r w:rsidRPr="00D63588">
        <w:rPr>
          <w:rFonts w:asciiTheme="minorHAnsi" w:hAnsiTheme="minorHAnsi"/>
          <w:b/>
          <w:bCs/>
          <w:i/>
          <w:iCs/>
        </w:rPr>
        <w:t>equests made under subsection 28(3A)</w:t>
      </w:r>
    </w:p>
    <w:p w14:paraId="3A5B536F" w14:textId="3CF38457" w:rsidR="00AE2AAD" w:rsidRPr="00D63588" w:rsidRDefault="00CB4D81" w:rsidP="00AE2AAD">
      <w:pPr>
        <w:spacing w:after="120"/>
        <w:rPr>
          <w:rFonts w:asciiTheme="minorHAnsi" w:hAnsiTheme="minorHAnsi"/>
        </w:rPr>
      </w:pPr>
      <w:r>
        <w:rPr>
          <w:rFonts w:asciiTheme="minorHAnsi" w:hAnsiTheme="minorHAnsi"/>
        </w:rPr>
        <w:t xml:space="preserve">There is currently </w:t>
      </w:r>
      <w:r w:rsidR="00AE2AAD" w:rsidRPr="00D63588">
        <w:rPr>
          <w:rFonts w:asciiTheme="minorHAnsi" w:hAnsiTheme="minorHAnsi"/>
        </w:rPr>
        <w:t xml:space="preserve">no fee prescribed in </w:t>
      </w:r>
      <w:r w:rsidR="00AE2AAD">
        <w:rPr>
          <w:rFonts w:asciiTheme="minorHAnsi" w:hAnsiTheme="minorHAnsi"/>
        </w:rPr>
        <w:t>the</w:t>
      </w:r>
      <w:r w:rsidR="00AE2AAD" w:rsidRPr="00D63588">
        <w:rPr>
          <w:rFonts w:asciiTheme="minorHAnsi" w:hAnsiTheme="minorHAnsi"/>
        </w:rPr>
        <w:t xml:space="preserve"> regulations </w:t>
      </w:r>
      <w:r w:rsidR="00E4194B" w:rsidRPr="00D63588">
        <w:rPr>
          <w:rFonts w:asciiTheme="minorHAnsi" w:hAnsiTheme="minorHAnsi"/>
        </w:rPr>
        <w:t>for requests made under subsection 28(3A) of the Act for varying conditions of listing and registration of medicines conditions</w:t>
      </w:r>
      <w:r w:rsidR="00E4194B">
        <w:rPr>
          <w:rFonts w:asciiTheme="minorHAnsi" w:hAnsiTheme="minorHAnsi"/>
        </w:rPr>
        <w:t>.</w:t>
      </w:r>
      <w:r w:rsidR="00596530">
        <w:rPr>
          <w:rFonts w:asciiTheme="minorHAnsi" w:hAnsiTheme="minorHAnsi"/>
        </w:rPr>
        <w:t xml:space="preserve"> </w:t>
      </w:r>
      <w:r w:rsidR="00E4194B">
        <w:rPr>
          <w:rFonts w:asciiTheme="minorHAnsi" w:hAnsiTheme="minorHAnsi"/>
        </w:rPr>
        <w:t>B</w:t>
      </w:r>
      <w:r w:rsidR="00AE2AAD" w:rsidRPr="00D63588">
        <w:rPr>
          <w:rFonts w:asciiTheme="minorHAnsi" w:hAnsiTheme="minorHAnsi"/>
        </w:rPr>
        <w:t xml:space="preserve">ased on </w:t>
      </w:r>
      <w:r>
        <w:rPr>
          <w:rFonts w:asciiTheme="minorHAnsi" w:hAnsiTheme="minorHAnsi"/>
        </w:rPr>
        <w:t>cost estimates</w:t>
      </w:r>
      <w:r w:rsidR="00D63588">
        <w:rPr>
          <w:rFonts w:asciiTheme="minorHAnsi" w:hAnsiTheme="minorHAnsi"/>
        </w:rPr>
        <w:t>,</w:t>
      </w:r>
      <w:r w:rsidR="00D63588" w:rsidRPr="00D63588">
        <w:rPr>
          <w:rFonts w:asciiTheme="minorHAnsi" w:hAnsiTheme="minorHAnsi"/>
        </w:rPr>
        <w:t xml:space="preserve"> it is proposed to implement the following application fees with effect from 1 July 2024:</w:t>
      </w:r>
      <w:r w:rsidR="00AE2AAD" w:rsidRPr="00D63588">
        <w:rPr>
          <w:rFonts w:asciiTheme="minorHAnsi" w:hAnsiTheme="minorHAnsi"/>
        </w:rPr>
        <w:t xml:space="preserve"> </w:t>
      </w:r>
    </w:p>
    <w:p w14:paraId="5C9C8BB6" w14:textId="590CC4A2" w:rsidR="00AE2AAD" w:rsidRPr="00D63588" w:rsidRDefault="00AE2AAD">
      <w:pPr>
        <w:pStyle w:val="ListParagraph"/>
        <w:numPr>
          <w:ilvl w:val="0"/>
          <w:numId w:val="15"/>
        </w:numPr>
        <w:rPr>
          <w:rFonts w:asciiTheme="minorHAnsi" w:hAnsiTheme="minorHAnsi"/>
          <w:color w:val="333F48"/>
        </w:rPr>
      </w:pPr>
      <w:r w:rsidRPr="00D63588">
        <w:rPr>
          <w:rFonts w:asciiTheme="minorHAnsi" w:hAnsiTheme="minorHAnsi"/>
          <w:color w:val="333F48"/>
        </w:rPr>
        <w:t>Prescription medicine $2,750</w:t>
      </w:r>
      <w:r w:rsidR="00D63588">
        <w:rPr>
          <w:rFonts w:asciiTheme="minorHAnsi" w:hAnsiTheme="minorHAnsi"/>
          <w:color w:val="333F48"/>
        </w:rPr>
        <w:t xml:space="preserve"> </w:t>
      </w:r>
      <w:r w:rsidR="00D63588" w:rsidRPr="00307ADD">
        <w:rPr>
          <w:rFonts w:asciiTheme="minorHAnsi" w:hAnsiTheme="minorHAnsi"/>
          <w:color w:val="333F48"/>
        </w:rPr>
        <w:t>(</w:t>
      </w:r>
      <w:r w:rsidR="008247D3" w:rsidRPr="008247D3">
        <w:rPr>
          <w:rFonts w:asciiTheme="minorHAnsi" w:hAnsiTheme="minorHAnsi"/>
          <w:color w:val="333F48"/>
        </w:rPr>
        <w:t>subject to indexation</w:t>
      </w:r>
      <w:r w:rsidR="00D63588" w:rsidRPr="00307ADD">
        <w:rPr>
          <w:rFonts w:asciiTheme="minorHAnsi" w:hAnsiTheme="minorHAnsi"/>
          <w:color w:val="333F48"/>
        </w:rPr>
        <w:t>)</w:t>
      </w:r>
      <w:r w:rsidR="00226EC1">
        <w:rPr>
          <w:rFonts w:asciiTheme="minorHAnsi" w:hAnsiTheme="minorHAnsi"/>
          <w:color w:val="333F48"/>
        </w:rPr>
        <w:t>;</w:t>
      </w:r>
    </w:p>
    <w:p w14:paraId="7CA89C68" w14:textId="491F5350" w:rsidR="00AE2AAD" w:rsidRPr="00D63588" w:rsidRDefault="00AE2AAD">
      <w:pPr>
        <w:pStyle w:val="ListParagraph"/>
        <w:numPr>
          <w:ilvl w:val="0"/>
          <w:numId w:val="15"/>
        </w:numPr>
        <w:rPr>
          <w:rFonts w:asciiTheme="minorHAnsi" w:hAnsiTheme="minorHAnsi"/>
          <w:color w:val="333F48"/>
        </w:rPr>
      </w:pPr>
      <w:r w:rsidRPr="00D63588">
        <w:rPr>
          <w:rFonts w:asciiTheme="minorHAnsi" w:hAnsiTheme="minorHAnsi"/>
          <w:color w:val="333F48"/>
        </w:rPr>
        <w:t>Other medicines $1,710</w:t>
      </w:r>
      <w:r w:rsidR="00D63588">
        <w:rPr>
          <w:rFonts w:asciiTheme="minorHAnsi" w:hAnsiTheme="minorHAnsi"/>
          <w:color w:val="333F48"/>
        </w:rPr>
        <w:t xml:space="preserve"> </w:t>
      </w:r>
      <w:r w:rsidR="00D63588" w:rsidRPr="00307ADD">
        <w:rPr>
          <w:rFonts w:asciiTheme="minorHAnsi" w:hAnsiTheme="minorHAnsi"/>
          <w:color w:val="333F48"/>
        </w:rPr>
        <w:t>(</w:t>
      </w:r>
      <w:r w:rsidR="008247D3" w:rsidRPr="008247D3">
        <w:rPr>
          <w:rFonts w:asciiTheme="minorHAnsi" w:hAnsiTheme="minorHAnsi"/>
          <w:color w:val="333F48"/>
        </w:rPr>
        <w:t>subject to indexation</w:t>
      </w:r>
      <w:r w:rsidR="00002DBE" w:rsidRPr="00307ADD" w:rsidDel="00AC7997">
        <w:rPr>
          <w:rFonts w:asciiTheme="minorHAnsi" w:hAnsiTheme="minorHAnsi"/>
          <w:color w:val="333F48"/>
        </w:rPr>
        <w:t>)</w:t>
      </w:r>
      <w:r w:rsidR="00226EC1">
        <w:rPr>
          <w:rFonts w:asciiTheme="minorHAnsi" w:hAnsiTheme="minorHAnsi"/>
          <w:color w:val="333F48"/>
        </w:rPr>
        <w:t>; and</w:t>
      </w:r>
    </w:p>
    <w:p w14:paraId="398C6629" w14:textId="73AEBD72" w:rsidR="00AE2AAD" w:rsidRDefault="00AE2AAD">
      <w:pPr>
        <w:pStyle w:val="ListParagraph"/>
        <w:numPr>
          <w:ilvl w:val="0"/>
          <w:numId w:val="15"/>
        </w:numPr>
        <w:rPr>
          <w:rFonts w:asciiTheme="minorHAnsi" w:hAnsiTheme="minorHAnsi"/>
          <w:color w:val="333F48"/>
        </w:rPr>
      </w:pPr>
      <w:r w:rsidRPr="00D63588">
        <w:rPr>
          <w:rFonts w:asciiTheme="minorHAnsi" w:hAnsiTheme="minorHAnsi"/>
          <w:color w:val="333F48"/>
        </w:rPr>
        <w:t>Biologicals $1,920</w:t>
      </w:r>
      <w:r w:rsidR="00D63588">
        <w:rPr>
          <w:rFonts w:asciiTheme="minorHAnsi" w:hAnsiTheme="minorHAnsi"/>
          <w:color w:val="333F48"/>
        </w:rPr>
        <w:t xml:space="preserve"> </w:t>
      </w:r>
      <w:r w:rsidR="00D63588" w:rsidRPr="00307ADD">
        <w:rPr>
          <w:rFonts w:asciiTheme="minorHAnsi" w:hAnsiTheme="minorHAnsi"/>
          <w:color w:val="333F48"/>
        </w:rPr>
        <w:t>(</w:t>
      </w:r>
      <w:r w:rsidR="008247D3" w:rsidRPr="008247D3">
        <w:rPr>
          <w:rFonts w:asciiTheme="minorHAnsi" w:hAnsiTheme="minorHAnsi"/>
          <w:color w:val="333F48"/>
        </w:rPr>
        <w:t>subject to indexation</w:t>
      </w:r>
      <w:r w:rsidR="00002DBE" w:rsidRPr="00307ADD" w:rsidDel="00AC7997">
        <w:rPr>
          <w:rFonts w:asciiTheme="minorHAnsi" w:hAnsiTheme="minorHAnsi"/>
          <w:color w:val="333F48"/>
        </w:rPr>
        <w:t>)</w:t>
      </w:r>
      <w:r w:rsidR="00226EC1">
        <w:rPr>
          <w:rFonts w:asciiTheme="minorHAnsi" w:hAnsiTheme="minorHAnsi"/>
          <w:color w:val="333F48"/>
        </w:rPr>
        <w:t>.</w:t>
      </w:r>
    </w:p>
    <w:p w14:paraId="470C3B6B" w14:textId="77777777" w:rsidR="00AC7997" w:rsidRPr="00D63588" w:rsidRDefault="00AC7997" w:rsidP="006F47BB">
      <w:pPr>
        <w:pStyle w:val="ListParagraph"/>
        <w:rPr>
          <w:rFonts w:asciiTheme="minorHAnsi" w:hAnsiTheme="minorHAnsi"/>
          <w:color w:val="333F48"/>
        </w:rPr>
      </w:pPr>
    </w:p>
    <w:p w14:paraId="186ADC0E" w14:textId="77777777" w:rsidR="00B633E1" w:rsidRDefault="00B633E1">
      <w:pPr>
        <w:spacing w:before="0" w:after="0" w:line="240" w:lineRule="auto"/>
        <w:rPr>
          <w:rFonts w:asciiTheme="minorHAnsi" w:eastAsia="Times New Roman" w:hAnsiTheme="minorHAnsi"/>
          <w:b/>
          <w:bCs/>
          <w:color w:val="001871"/>
          <w:sz w:val="32"/>
          <w:szCs w:val="32"/>
        </w:rPr>
      </w:pPr>
      <w:bookmarkStart w:id="17" w:name="_Toc153538022"/>
      <w:r>
        <w:rPr>
          <w:rFonts w:asciiTheme="minorHAnsi" w:hAnsiTheme="minorHAnsi"/>
        </w:rPr>
        <w:br w:type="page"/>
      </w:r>
    </w:p>
    <w:p w14:paraId="53698DB8" w14:textId="676B3F5E" w:rsidR="0039140E" w:rsidRPr="00C22A50" w:rsidRDefault="0039140E">
      <w:pPr>
        <w:pStyle w:val="Heading3"/>
        <w:numPr>
          <w:ilvl w:val="0"/>
          <w:numId w:val="18"/>
        </w:numPr>
        <w:rPr>
          <w:rFonts w:asciiTheme="minorHAnsi" w:hAnsiTheme="minorHAnsi"/>
        </w:rPr>
      </w:pPr>
      <w:r w:rsidRPr="00C22A50">
        <w:rPr>
          <w:rFonts w:asciiTheme="minorHAnsi" w:hAnsiTheme="minorHAnsi"/>
        </w:rPr>
        <w:lastRenderedPageBreak/>
        <w:t>Summary of proposed changes to fees and charges in 202</w:t>
      </w:r>
      <w:r w:rsidR="00AC7997">
        <w:rPr>
          <w:rFonts w:asciiTheme="minorHAnsi" w:hAnsiTheme="minorHAnsi"/>
        </w:rPr>
        <w:t>4-25</w:t>
      </w:r>
      <w:bookmarkEnd w:id="17"/>
    </w:p>
    <w:p w14:paraId="35E57C1B" w14:textId="778C9227" w:rsidR="007E483D" w:rsidRDefault="007E483D" w:rsidP="007E483D">
      <w:pPr>
        <w:spacing w:before="0" w:after="0" w:line="240" w:lineRule="auto"/>
        <w:rPr>
          <w:rFonts w:asciiTheme="minorHAnsi" w:hAnsiTheme="minorHAnsi"/>
        </w:rPr>
      </w:pPr>
      <w:bookmarkStart w:id="18" w:name="_Hlk126870073"/>
      <w:r>
        <w:rPr>
          <w:rFonts w:asciiTheme="minorHAnsi" w:hAnsiTheme="minorHAnsi"/>
        </w:rPr>
        <w:t>To summarise, in 202</w:t>
      </w:r>
      <w:r w:rsidR="0060733C">
        <w:rPr>
          <w:rFonts w:asciiTheme="minorHAnsi" w:hAnsiTheme="minorHAnsi"/>
        </w:rPr>
        <w:t>4</w:t>
      </w:r>
      <w:r>
        <w:rPr>
          <w:rFonts w:asciiTheme="minorHAnsi" w:hAnsiTheme="minorHAnsi"/>
        </w:rPr>
        <w:t>-2</w:t>
      </w:r>
      <w:r w:rsidR="0060733C">
        <w:rPr>
          <w:rFonts w:asciiTheme="minorHAnsi" w:hAnsiTheme="minorHAnsi"/>
        </w:rPr>
        <w:t>5</w:t>
      </w:r>
      <w:r>
        <w:rPr>
          <w:rFonts w:asciiTheme="minorHAnsi" w:hAnsiTheme="minorHAnsi"/>
        </w:rPr>
        <w:t>:</w:t>
      </w:r>
    </w:p>
    <w:p w14:paraId="3FD6EB34" w14:textId="4199BD5C" w:rsidR="007E483D" w:rsidRPr="00C22A50" w:rsidRDefault="007E483D" w:rsidP="007A6B1C">
      <w:pPr>
        <w:pStyle w:val="ListParagraph"/>
        <w:numPr>
          <w:ilvl w:val="0"/>
          <w:numId w:val="11"/>
        </w:numPr>
        <w:spacing w:before="0" w:after="0" w:line="240" w:lineRule="auto"/>
        <w:rPr>
          <w:rFonts w:asciiTheme="minorHAnsi" w:hAnsiTheme="minorHAnsi"/>
          <w:color w:val="333F48"/>
        </w:rPr>
      </w:pPr>
      <w:r w:rsidRPr="00A77FB2">
        <w:rPr>
          <w:rFonts w:asciiTheme="minorHAnsi" w:hAnsiTheme="minorHAnsi"/>
          <w:color w:val="333F48"/>
        </w:rPr>
        <w:t xml:space="preserve">all fees and charges </w:t>
      </w:r>
      <w:r>
        <w:rPr>
          <w:rFonts w:asciiTheme="minorHAnsi" w:hAnsiTheme="minorHAnsi"/>
          <w:color w:val="333F48"/>
        </w:rPr>
        <w:t xml:space="preserve">are proposed to increase by </w:t>
      </w:r>
      <w:r w:rsidRPr="00A77FB2">
        <w:rPr>
          <w:rFonts w:asciiTheme="minorHAnsi" w:hAnsiTheme="minorHAnsi"/>
          <w:color w:val="333F48"/>
        </w:rPr>
        <w:t xml:space="preserve">an </w:t>
      </w:r>
      <w:r>
        <w:rPr>
          <w:rFonts w:asciiTheme="minorHAnsi" w:hAnsiTheme="minorHAnsi"/>
          <w:color w:val="333F48"/>
        </w:rPr>
        <w:t>i</w:t>
      </w:r>
      <w:r w:rsidRPr="00A77FB2">
        <w:rPr>
          <w:rFonts w:asciiTheme="minorHAnsi" w:hAnsiTheme="minorHAnsi"/>
          <w:color w:val="333F48"/>
        </w:rPr>
        <w:t>nflation</w:t>
      </w:r>
      <w:r>
        <w:rPr>
          <w:rFonts w:asciiTheme="minorHAnsi" w:hAnsiTheme="minorHAnsi"/>
          <w:color w:val="333F48"/>
        </w:rPr>
        <w:t>-</w:t>
      </w:r>
      <w:r w:rsidRPr="00A77FB2">
        <w:rPr>
          <w:rFonts w:asciiTheme="minorHAnsi" w:hAnsiTheme="minorHAnsi"/>
          <w:color w:val="333F48"/>
        </w:rPr>
        <w:t>based in</w:t>
      </w:r>
      <w:r>
        <w:rPr>
          <w:rFonts w:asciiTheme="minorHAnsi" w:hAnsiTheme="minorHAnsi"/>
          <w:color w:val="333F48"/>
        </w:rPr>
        <w:t xml:space="preserve">dexation </w:t>
      </w:r>
      <w:r w:rsidRPr="00A77FB2">
        <w:rPr>
          <w:rFonts w:asciiTheme="minorHAnsi" w:hAnsiTheme="minorHAnsi"/>
          <w:color w:val="333F48"/>
        </w:rPr>
        <w:t>of</w:t>
      </w:r>
      <w:r>
        <w:rPr>
          <w:rFonts w:asciiTheme="minorHAnsi" w:hAnsiTheme="minorHAnsi"/>
          <w:color w:val="333F48"/>
        </w:rPr>
        <w:t xml:space="preserve"> </w:t>
      </w:r>
      <w:r w:rsidR="00D67BBF">
        <w:rPr>
          <w:rFonts w:asciiTheme="minorHAnsi" w:hAnsiTheme="minorHAnsi"/>
          <w:color w:val="333F48"/>
        </w:rPr>
        <w:t>4.7</w:t>
      </w:r>
      <w:r w:rsidRPr="00A77FB2">
        <w:rPr>
          <w:rFonts w:asciiTheme="minorHAnsi" w:hAnsiTheme="minorHAnsi"/>
          <w:color w:val="333F48"/>
        </w:rPr>
        <w:t xml:space="preserve">% – capped at the previously </w:t>
      </w:r>
      <w:r w:rsidR="00CB4D81">
        <w:rPr>
          <w:rFonts w:asciiTheme="minorHAnsi" w:hAnsiTheme="minorHAnsi"/>
          <w:color w:val="333F48"/>
        </w:rPr>
        <w:t>agreed</w:t>
      </w:r>
      <w:r w:rsidR="00CB4D81" w:rsidRPr="00A77FB2">
        <w:rPr>
          <w:rFonts w:asciiTheme="minorHAnsi" w:hAnsiTheme="minorHAnsi"/>
          <w:color w:val="333F48"/>
        </w:rPr>
        <w:t xml:space="preserve"> </w:t>
      </w:r>
      <w:r w:rsidRPr="00A77FB2">
        <w:rPr>
          <w:rFonts w:asciiTheme="minorHAnsi" w:hAnsiTheme="minorHAnsi"/>
          <w:color w:val="333F48"/>
        </w:rPr>
        <w:t xml:space="preserve">indexation </w:t>
      </w:r>
      <w:r w:rsidRPr="001A16DD">
        <w:rPr>
          <w:rFonts w:asciiTheme="minorHAnsi" w:hAnsiTheme="minorHAnsi"/>
          <w:color w:val="333F48"/>
        </w:rPr>
        <w:t xml:space="preserve">formula </w:t>
      </w:r>
      <w:r w:rsidRPr="00595C15">
        <w:rPr>
          <w:rFonts w:asciiTheme="minorHAnsi" w:hAnsiTheme="minorHAnsi"/>
          <w:color w:val="333F48"/>
        </w:rPr>
        <w:t>(</w:t>
      </w:r>
      <w:r w:rsidR="00C22A50" w:rsidRPr="00595C15">
        <w:rPr>
          <w:rFonts w:asciiTheme="minorHAnsi" w:hAnsiTheme="minorHAnsi"/>
          <w:color w:val="333F48"/>
        </w:rPr>
        <w:t xml:space="preserve">refer </w:t>
      </w:r>
      <w:r w:rsidRPr="00595C15">
        <w:rPr>
          <w:rFonts w:asciiTheme="minorHAnsi" w:hAnsiTheme="minorHAnsi"/>
          <w:color w:val="333F48"/>
        </w:rPr>
        <w:t xml:space="preserve">section </w:t>
      </w:r>
      <w:r w:rsidR="00CF6790" w:rsidRPr="00595C15">
        <w:rPr>
          <w:rFonts w:asciiTheme="minorHAnsi" w:hAnsiTheme="minorHAnsi"/>
          <w:color w:val="333F48"/>
        </w:rPr>
        <w:t>8(a)</w:t>
      </w:r>
      <w:r w:rsidRPr="00595C15">
        <w:rPr>
          <w:rFonts w:asciiTheme="minorHAnsi" w:hAnsiTheme="minorHAnsi"/>
          <w:color w:val="333F48"/>
        </w:rPr>
        <w:t>)</w:t>
      </w:r>
      <w:r w:rsidR="00226EC1">
        <w:rPr>
          <w:rFonts w:asciiTheme="minorHAnsi" w:hAnsiTheme="minorHAnsi"/>
          <w:color w:val="333F48"/>
        </w:rPr>
        <w:t>;</w:t>
      </w:r>
    </w:p>
    <w:p w14:paraId="330A0A1A" w14:textId="699CEC94" w:rsidR="007E483D" w:rsidRPr="00C22A50" w:rsidRDefault="00CB4D81" w:rsidP="007A6B1C">
      <w:pPr>
        <w:pStyle w:val="ListParagraph"/>
        <w:numPr>
          <w:ilvl w:val="0"/>
          <w:numId w:val="11"/>
        </w:numPr>
        <w:spacing w:before="0" w:after="0" w:line="240" w:lineRule="auto"/>
        <w:rPr>
          <w:rFonts w:asciiTheme="minorHAnsi" w:hAnsiTheme="minorHAnsi"/>
          <w:color w:val="333F48"/>
        </w:rPr>
      </w:pPr>
      <w:r>
        <w:rPr>
          <w:rFonts w:asciiTheme="minorHAnsi" w:hAnsiTheme="minorHAnsi"/>
          <w:color w:val="333F48"/>
        </w:rPr>
        <w:t xml:space="preserve">there will be </w:t>
      </w:r>
      <w:r w:rsidR="007E483D" w:rsidRPr="00C22A50">
        <w:rPr>
          <w:rFonts w:asciiTheme="minorHAnsi" w:hAnsiTheme="minorHAnsi"/>
          <w:color w:val="333F48"/>
        </w:rPr>
        <w:t>increase</w:t>
      </w:r>
      <w:r>
        <w:rPr>
          <w:rFonts w:asciiTheme="minorHAnsi" w:hAnsiTheme="minorHAnsi"/>
          <w:color w:val="333F48"/>
        </w:rPr>
        <w:t>s</w:t>
      </w:r>
      <w:r w:rsidR="007E483D" w:rsidRPr="00C22A50">
        <w:rPr>
          <w:rFonts w:asciiTheme="minorHAnsi" w:hAnsiTheme="minorHAnsi"/>
          <w:color w:val="333F48"/>
        </w:rPr>
        <w:t xml:space="preserve"> to annual charges for cost recovery for </w:t>
      </w:r>
      <w:r>
        <w:rPr>
          <w:rFonts w:asciiTheme="minorHAnsi" w:hAnsiTheme="minorHAnsi"/>
          <w:color w:val="333F48"/>
        </w:rPr>
        <w:t xml:space="preserve">the </w:t>
      </w:r>
      <w:r w:rsidR="007E483D" w:rsidRPr="00C22A50">
        <w:rPr>
          <w:rFonts w:asciiTheme="minorHAnsi" w:hAnsiTheme="minorHAnsi"/>
          <w:color w:val="333F48"/>
        </w:rPr>
        <w:t>final phase of digital and business transformation (</w:t>
      </w:r>
      <w:r w:rsidR="00C22A50" w:rsidRPr="00C22A50">
        <w:rPr>
          <w:rFonts w:asciiTheme="minorHAnsi" w:hAnsiTheme="minorHAnsi"/>
          <w:color w:val="333F48"/>
        </w:rPr>
        <w:t xml:space="preserve">refer </w:t>
      </w:r>
      <w:r w:rsidR="00B14029">
        <w:rPr>
          <w:rFonts w:asciiTheme="minorHAnsi" w:hAnsiTheme="minorHAnsi"/>
          <w:color w:val="333F48"/>
        </w:rPr>
        <w:t xml:space="preserve">section </w:t>
      </w:r>
      <w:r w:rsidR="00CF6790" w:rsidRPr="00C22A50">
        <w:rPr>
          <w:rFonts w:asciiTheme="minorHAnsi" w:hAnsiTheme="minorHAnsi"/>
          <w:color w:val="333F48"/>
        </w:rPr>
        <w:t>8(b)</w:t>
      </w:r>
      <w:r w:rsidR="00C70520">
        <w:rPr>
          <w:rFonts w:asciiTheme="minorHAnsi" w:hAnsiTheme="minorHAnsi"/>
          <w:color w:val="333F48"/>
        </w:rPr>
        <w:t>)</w:t>
      </w:r>
      <w:r w:rsidR="00226EC1">
        <w:rPr>
          <w:rFonts w:asciiTheme="minorHAnsi" w:hAnsiTheme="minorHAnsi"/>
          <w:color w:val="333F48"/>
        </w:rPr>
        <w:t>;</w:t>
      </w:r>
    </w:p>
    <w:p w14:paraId="2332439D" w14:textId="0519FFDB" w:rsidR="007E483D" w:rsidRPr="00C22A50" w:rsidRDefault="00CB4D81" w:rsidP="007A6B1C">
      <w:pPr>
        <w:pStyle w:val="ListParagraph"/>
        <w:numPr>
          <w:ilvl w:val="0"/>
          <w:numId w:val="11"/>
        </w:numPr>
        <w:spacing w:before="0" w:after="0" w:line="240" w:lineRule="auto"/>
        <w:rPr>
          <w:rFonts w:asciiTheme="minorHAnsi" w:hAnsiTheme="minorHAnsi"/>
          <w:color w:val="333F48"/>
        </w:rPr>
      </w:pPr>
      <w:r>
        <w:rPr>
          <w:rFonts w:asciiTheme="minorHAnsi" w:hAnsiTheme="minorHAnsi"/>
          <w:color w:val="333F48"/>
        </w:rPr>
        <w:t xml:space="preserve">there will be an </w:t>
      </w:r>
      <w:r w:rsidR="007E483D" w:rsidRPr="00C22A50">
        <w:rPr>
          <w:rFonts w:asciiTheme="minorHAnsi" w:hAnsiTheme="minorHAnsi"/>
          <w:color w:val="333F48"/>
        </w:rPr>
        <w:t xml:space="preserve">increase to </w:t>
      </w:r>
      <w:r w:rsidR="004C6D3F" w:rsidRPr="004C6D3F">
        <w:rPr>
          <w:rFonts w:asciiTheme="minorHAnsi" w:hAnsiTheme="minorHAnsi"/>
          <w:color w:val="333F48"/>
        </w:rPr>
        <w:t>Medical Devices Class II and above</w:t>
      </w:r>
      <w:r w:rsidR="006F3BDA">
        <w:rPr>
          <w:rFonts w:asciiTheme="minorHAnsi" w:hAnsiTheme="minorHAnsi"/>
          <w:color w:val="333F48"/>
        </w:rPr>
        <w:t>, (including implantables)</w:t>
      </w:r>
      <w:r w:rsidR="004C6D3F" w:rsidRPr="004C6D3F">
        <w:rPr>
          <w:rFonts w:asciiTheme="minorHAnsi" w:hAnsiTheme="minorHAnsi"/>
          <w:color w:val="333F48"/>
        </w:rPr>
        <w:t xml:space="preserve"> </w:t>
      </w:r>
      <w:r w:rsidR="007E483D" w:rsidRPr="00C22A50">
        <w:rPr>
          <w:rFonts w:asciiTheme="minorHAnsi" w:hAnsiTheme="minorHAnsi"/>
          <w:color w:val="333F48"/>
        </w:rPr>
        <w:t xml:space="preserve">annual charges </w:t>
      </w:r>
      <w:r w:rsidR="00147246" w:rsidRPr="00C22A50">
        <w:rPr>
          <w:rFonts w:asciiTheme="minorHAnsi" w:hAnsiTheme="minorHAnsi"/>
          <w:color w:val="333F48"/>
        </w:rPr>
        <w:t xml:space="preserve">for </w:t>
      </w:r>
      <w:r w:rsidR="00E07736" w:rsidRPr="009E4B0E">
        <w:rPr>
          <w:rFonts w:asciiTheme="minorHAnsi" w:hAnsiTheme="minorHAnsi"/>
          <w:color w:val="333F48"/>
          <w:szCs w:val="22"/>
        </w:rPr>
        <w:t>the UDI system</w:t>
      </w:r>
      <w:r w:rsidR="00E07736">
        <w:rPr>
          <w:rFonts w:asciiTheme="minorHAnsi" w:hAnsiTheme="minorHAnsi"/>
          <w:color w:val="333F48"/>
        </w:rPr>
        <w:t xml:space="preserve"> </w:t>
      </w:r>
      <w:r w:rsidR="007E483D" w:rsidRPr="00C22A50">
        <w:rPr>
          <w:rFonts w:asciiTheme="minorHAnsi" w:hAnsiTheme="minorHAnsi"/>
          <w:color w:val="333F48"/>
        </w:rPr>
        <w:t>(</w:t>
      </w:r>
      <w:r w:rsidR="00C22A50" w:rsidRPr="00C22A50">
        <w:rPr>
          <w:rFonts w:asciiTheme="minorHAnsi" w:hAnsiTheme="minorHAnsi"/>
          <w:color w:val="333F48"/>
        </w:rPr>
        <w:t xml:space="preserve">refer </w:t>
      </w:r>
      <w:r w:rsidR="007E483D" w:rsidRPr="00C22A50">
        <w:rPr>
          <w:rFonts w:asciiTheme="minorHAnsi" w:hAnsiTheme="minorHAnsi"/>
          <w:color w:val="333F48"/>
        </w:rPr>
        <w:t xml:space="preserve">section </w:t>
      </w:r>
      <w:r w:rsidR="00CF6790" w:rsidRPr="00C22A50">
        <w:rPr>
          <w:rFonts w:asciiTheme="minorHAnsi" w:hAnsiTheme="minorHAnsi"/>
          <w:color w:val="333F48"/>
        </w:rPr>
        <w:t>8(</w:t>
      </w:r>
      <w:r w:rsidR="00636864">
        <w:rPr>
          <w:rFonts w:asciiTheme="minorHAnsi" w:hAnsiTheme="minorHAnsi"/>
          <w:color w:val="333F48"/>
        </w:rPr>
        <w:t>b</w:t>
      </w:r>
      <w:r w:rsidR="007E483D" w:rsidRPr="00C22A50">
        <w:rPr>
          <w:rFonts w:asciiTheme="minorHAnsi" w:hAnsiTheme="minorHAnsi"/>
          <w:color w:val="333F48"/>
        </w:rPr>
        <w:t>)</w:t>
      </w:r>
      <w:r w:rsidR="00C70520">
        <w:rPr>
          <w:rFonts w:asciiTheme="minorHAnsi" w:hAnsiTheme="minorHAnsi"/>
          <w:color w:val="333F48"/>
        </w:rPr>
        <w:t>)</w:t>
      </w:r>
      <w:r w:rsidR="00226EC1">
        <w:rPr>
          <w:rFonts w:asciiTheme="minorHAnsi" w:hAnsiTheme="minorHAnsi"/>
          <w:color w:val="333F48"/>
        </w:rPr>
        <w:t>; and</w:t>
      </w:r>
    </w:p>
    <w:p w14:paraId="5A58B267" w14:textId="6A58AB29" w:rsidR="007E483D" w:rsidRDefault="00CB4D81" w:rsidP="007A6B1C">
      <w:pPr>
        <w:pStyle w:val="ListParagraph"/>
        <w:numPr>
          <w:ilvl w:val="0"/>
          <w:numId w:val="11"/>
        </w:numPr>
        <w:spacing w:before="0" w:after="0" w:line="240" w:lineRule="auto"/>
        <w:rPr>
          <w:rFonts w:asciiTheme="minorHAnsi" w:hAnsiTheme="minorHAnsi"/>
          <w:color w:val="333F48"/>
        </w:rPr>
      </w:pPr>
      <w:r>
        <w:rPr>
          <w:rFonts w:asciiTheme="minorHAnsi" w:hAnsiTheme="minorHAnsi"/>
          <w:color w:val="333F48"/>
        </w:rPr>
        <w:t xml:space="preserve">there will be </w:t>
      </w:r>
      <w:r w:rsidR="007E483D" w:rsidRPr="00C22A50">
        <w:rPr>
          <w:rFonts w:asciiTheme="minorHAnsi" w:hAnsiTheme="minorHAnsi"/>
          <w:color w:val="333F48"/>
        </w:rPr>
        <w:t xml:space="preserve">changes to certain </w:t>
      </w:r>
      <w:r w:rsidR="00E07736">
        <w:rPr>
          <w:rFonts w:asciiTheme="minorHAnsi" w:hAnsiTheme="minorHAnsi"/>
          <w:color w:val="333F48"/>
        </w:rPr>
        <w:t xml:space="preserve">medicines and </w:t>
      </w:r>
      <w:r w:rsidR="007E483D" w:rsidRPr="00C22A50">
        <w:rPr>
          <w:rFonts w:asciiTheme="minorHAnsi" w:hAnsiTheme="minorHAnsi"/>
          <w:color w:val="333F48"/>
        </w:rPr>
        <w:t xml:space="preserve">medical device fees </w:t>
      </w:r>
      <w:r w:rsidR="00E07736">
        <w:rPr>
          <w:rFonts w:asciiTheme="minorHAnsi" w:hAnsiTheme="minorHAnsi"/>
          <w:color w:val="333F48"/>
        </w:rPr>
        <w:t xml:space="preserve">and charges </w:t>
      </w:r>
      <w:r w:rsidR="007E483D" w:rsidRPr="00C22A50">
        <w:rPr>
          <w:rFonts w:asciiTheme="minorHAnsi" w:hAnsiTheme="minorHAnsi"/>
          <w:color w:val="333F48"/>
        </w:rPr>
        <w:t>as discussed above (</w:t>
      </w:r>
      <w:r w:rsidR="00C22A50" w:rsidRPr="00C22A50">
        <w:rPr>
          <w:rFonts w:asciiTheme="minorHAnsi" w:hAnsiTheme="minorHAnsi"/>
          <w:color w:val="333F48"/>
        </w:rPr>
        <w:t xml:space="preserve">refer </w:t>
      </w:r>
      <w:r w:rsidR="007E483D" w:rsidRPr="00C22A50">
        <w:rPr>
          <w:rFonts w:asciiTheme="minorHAnsi" w:hAnsiTheme="minorHAnsi"/>
          <w:color w:val="333F48"/>
        </w:rPr>
        <w:t xml:space="preserve">section </w:t>
      </w:r>
      <w:r w:rsidR="00CF6790" w:rsidRPr="00C22A50">
        <w:rPr>
          <w:rFonts w:asciiTheme="minorHAnsi" w:hAnsiTheme="minorHAnsi"/>
          <w:color w:val="333F48"/>
        </w:rPr>
        <w:t>8(</w:t>
      </w:r>
      <w:r w:rsidR="00415863">
        <w:rPr>
          <w:rFonts w:asciiTheme="minorHAnsi" w:hAnsiTheme="minorHAnsi"/>
          <w:color w:val="333F48"/>
        </w:rPr>
        <w:t>c</w:t>
      </w:r>
      <w:r w:rsidR="00CF6790" w:rsidRPr="00C22A50">
        <w:rPr>
          <w:rFonts w:asciiTheme="minorHAnsi" w:hAnsiTheme="minorHAnsi"/>
          <w:color w:val="333F48"/>
        </w:rPr>
        <w:t>)</w:t>
      </w:r>
      <w:r w:rsidR="007E483D" w:rsidRPr="00C22A50">
        <w:rPr>
          <w:rFonts w:asciiTheme="minorHAnsi" w:hAnsiTheme="minorHAnsi"/>
          <w:color w:val="333F48"/>
        </w:rPr>
        <w:t>)</w:t>
      </w:r>
      <w:r w:rsidR="00226EC1">
        <w:rPr>
          <w:rFonts w:asciiTheme="minorHAnsi" w:hAnsiTheme="minorHAnsi"/>
          <w:color w:val="333F48"/>
        </w:rPr>
        <w:t>.</w:t>
      </w:r>
    </w:p>
    <w:p w14:paraId="1061511B" w14:textId="77777777" w:rsidR="006F47BB" w:rsidRDefault="006F47BB" w:rsidP="006F47BB">
      <w:pPr>
        <w:spacing w:before="0" w:after="0" w:line="240" w:lineRule="auto"/>
        <w:rPr>
          <w:rFonts w:asciiTheme="minorHAnsi" w:hAnsiTheme="minorHAnsi"/>
        </w:rPr>
      </w:pPr>
    </w:p>
    <w:p w14:paraId="39AA8A8B" w14:textId="136F43FD" w:rsidR="000E0D45" w:rsidRDefault="006F47BB" w:rsidP="006F47BB">
      <w:pPr>
        <w:spacing w:before="0" w:after="0" w:line="240" w:lineRule="auto"/>
        <w:rPr>
          <w:rFonts w:asciiTheme="minorHAnsi" w:hAnsiTheme="minorHAnsi"/>
        </w:rPr>
      </w:pPr>
      <w:r w:rsidRPr="006F47BB">
        <w:rPr>
          <w:rFonts w:asciiTheme="minorHAnsi" w:hAnsiTheme="minorHAnsi"/>
        </w:rPr>
        <w:t xml:space="preserve">The </w:t>
      </w:r>
      <w:r w:rsidR="006F3BDA">
        <w:rPr>
          <w:rFonts w:asciiTheme="minorHAnsi" w:hAnsiTheme="minorHAnsi"/>
        </w:rPr>
        <w:t xml:space="preserve">impact of the </w:t>
      </w:r>
      <w:r w:rsidRPr="006F47BB">
        <w:rPr>
          <w:rFonts w:asciiTheme="minorHAnsi" w:hAnsiTheme="minorHAnsi"/>
        </w:rPr>
        <w:t xml:space="preserve">proposed changes to 2024-25 fees and charges (other than the small number of changes </w:t>
      </w:r>
      <w:r w:rsidR="006F3BDA">
        <w:rPr>
          <w:rFonts w:asciiTheme="minorHAnsi" w:hAnsiTheme="minorHAnsi"/>
        </w:rPr>
        <w:t>discussed in</w:t>
      </w:r>
      <w:r w:rsidRPr="006F47BB">
        <w:rPr>
          <w:rFonts w:asciiTheme="minorHAnsi" w:hAnsiTheme="minorHAnsi"/>
        </w:rPr>
        <w:t xml:space="preserve"> para 8(c) above) are summarised </w:t>
      </w:r>
      <w:r w:rsidR="000E0D45">
        <w:rPr>
          <w:rFonts w:asciiTheme="minorHAnsi" w:hAnsiTheme="minorHAnsi"/>
        </w:rPr>
        <w:t xml:space="preserve">in the table </w:t>
      </w:r>
      <w:r w:rsidRPr="006F47BB">
        <w:rPr>
          <w:rFonts w:asciiTheme="minorHAnsi" w:hAnsiTheme="minorHAnsi"/>
        </w:rPr>
        <w:t>below</w:t>
      </w:r>
      <w:r w:rsidR="000E0D45">
        <w:rPr>
          <w:rFonts w:asciiTheme="minorHAnsi" w:hAnsiTheme="minorHAnsi"/>
        </w:rPr>
        <w:t>:</w:t>
      </w:r>
    </w:p>
    <w:p w14:paraId="1CB5A59E" w14:textId="15ADF195" w:rsidR="006F47BB" w:rsidRPr="006F47BB" w:rsidRDefault="006F47BB" w:rsidP="006F47BB">
      <w:pPr>
        <w:spacing w:before="0" w:after="0" w:line="240" w:lineRule="auto"/>
        <w:rPr>
          <w:rFonts w:asciiTheme="minorHAnsi" w:hAnsiTheme="minorHAnsi"/>
        </w:rPr>
      </w:pPr>
    </w:p>
    <w:tbl>
      <w:tblPr>
        <w:tblW w:w="9502" w:type="dxa"/>
        <w:tblCellMar>
          <w:left w:w="0" w:type="dxa"/>
          <w:right w:w="0" w:type="dxa"/>
        </w:tblCellMar>
        <w:tblLook w:val="04A0" w:firstRow="1" w:lastRow="0" w:firstColumn="1" w:lastColumn="0" w:noHBand="0" w:noVBand="1"/>
      </w:tblPr>
      <w:tblGrid>
        <w:gridCol w:w="952"/>
        <w:gridCol w:w="3404"/>
        <w:gridCol w:w="1355"/>
        <w:gridCol w:w="1380"/>
        <w:gridCol w:w="1068"/>
        <w:gridCol w:w="1343"/>
      </w:tblGrid>
      <w:tr w:rsidR="004D351D" w:rsidRPr="00E225A9" w14:paraId="63751E41" w14:textId="77777777" w:rsidTr="009E4B0E">
        <w:trPr>
          <w:trHeight w:val="1018"/>
        </w:trPr>
        <w:tc>
          <w:tcPr>
            <w:tcW w:w="4356" w:type="dxa"/>
            <w:gridSpan w:val="2"/>
            <w:tcBorders>
              <w:top w:val="single" w:sz="8" w:space="0" w:color="auto"/>
              <w:left w:val="single" w:sz="8" w:space="0" w:color="auto"/>
              <w:bottom w:val="single" w:sz="8" w:space="0" w:color="auto"/>
              <w:right w:val="single" w:sz="8" w:space="0" w:color="000000"/>
            </w:tcBorders>
            <w:shd w:val="clear" w:color="auto" w:fill="BED6FF" w:themeFill="accent1" w:themeFillTint="33"/>
            <w:noWrap/>
            <w:tcMar>
              <w:top w:w="0" w:type="dxa"/>
              <w:left w:w="108" w:type="dxa"/>
              <w:bottom w:w="0" w:type="dxa"/>
              <w:right w:w="108" w:type="dxa"/>
            </w:tcMar>
            <w:vAlign w:val="center"/>
            <w:hideMark/>
          </w:tcPr>
          <w:p w14:paraId="2E48A7A1" w14:textId="7701EBC8" w:rsidR="004D351D" w:rsidRPr="00E225A9" w:rsidRDefault="00002DBE" w:rsidP="00E225A9">
            <w:pPr>
              <w:spacing w:before="0" w:after="0" w:line="240" w:lineRule="auto"/>
              <w:jc w:val="center"/>
              <w:rPr>
                <w:rFonts w:ascii="Calibri" w:eastAsia="Calibri" w:hAnsi="Calibri" w:cs="Calibri"/>
                <w:b/>
                <w:bCs/>
                <w:color w:val="000000"/>
                <w:sz w:val="24"/>
                <w:szCs w:val="24"/>
                <w:lang w:eastAsia="en-AU"/>
              </w:rPr>
            </w:pPr>
            <w:r w:rsidRPr="009E4B0E">
              <w:rPr>
                <w:rFonts w:ascii="Calibri" w:eastAsia="Calibri" w:hAnsi="Calibri" w:cs="Calibri"/>
                <w:b/>
                <w:bCs/>
                <w:color w:val="000000"/>
                <w:sz w:val="18"/>
                <w:szCs w:val="18"/>
                <w:lang w:eastAsia="en-AU"/>
              </w:rPr>
              <w:t>Details</w:t>
            </w:r>
            <w:r w:rsidR="004D351D" w:rsidRPr="009E4B0E">
              <w:rPr>
                <w:rFonts w:ascii="Calibri" w:eastAsia="Calibri" w:hAnsi="Calibri" w:cs="Calibri"/>
                <w:b/>
                <w:bCs/>
                <w:color w:val="000000"/>
                <w:sz w:val="18"/>
                <w:szCs w:val="18"/>
                <w:lang w:eastAsia="en-AU"/>
              </w:rPr>
              <w:t> </w:t>
            </w:r>
          </w:p>
        </w:tc>
        <w:tc>
          <w:tcPr>
            <w:tcW w:w="1404" w:type="dxa"/>
            <w:tcBorders>
              <w:top w:val="single" w:sz="8" w:space="0" w:color="auto"/>
              <w:left w:val="nil"/>
              <w:bottom w:val="single" w:sz="8" w:space="0" w:color="auto"/>
              <w:right w:val="single" w:sz="8" w:space="0" w:color="auto"/>
            </w:tcBorders>
            <w:shd w:val="clear" w:color="auto" w:fill="BED6FF" w:themeFill="accent1" w:themeFillTint="33"/>
            <w:tcMar>
              <w:top w:w="0" w:type="dxa"/>
              <w:left w:w="108" w:type="dxa"/>
              <w:bottom w:w="0" w:type="dxa"/>
              <w:right w:w="108" w:type="dxa"/>
            </w:tcMar>
            <w:vAlign w:val="center"/>
            <w:hideMark/>
          </w:tcPr>
          <w:p w14:paraId="3453A15B" w14:textId="1C872D82" w:rsidR="004D351D" w:rsidRPr="00E225A9" w:rsidRDefault="004D351D" w:rsidP="00E225A9">
            <w:pPr>
              <w:spacing w:before="0" w:after="0" w:line="240" w:lineRule="auto"/>
              <w:jc w:val="center"/>
              <w:rPr>
                <w:rFonts w:ascii="Calibri" w:eastAsia="Calibri" w:hAnsi="Calibri" w:cs="Calibri"/>
                <w:b/>
                <w:bCs/>
                <w:color w:val="000000"/>
                <w:sz w:val="18"/>
                <w:szCs w:val="18"/>
                <w:lang w:eastAsia="en-AU"/>
              </w:rPr>
            </w:pPr>
            <w:r w:rsidRPr="00E225A9">
              <w:rPr>
                <w:rFonts w:ascii="Calibri" w:eastAsia="Calibri" w:hAnsi="Calibri" w:cs="Calibri"/>
                <w:b/>
                <w:bCs/>
                <w:color w:val="000000"/>
                <w:sz w:val="18"/>
                <w:szCs w:val="18"/>
                <w:lang w:eastAsia="en-AU"/>
              </w:rPr>
              <w:t>Index</w:t>
            </w:r>
            <w:r w:rsidR="00E07736">
              <w:rPr>
                <w:rFonts w:ascii="Calibri" w:eastAsia="Calibri" w:hAnsi="Calibri" w:cs="Calibri"/>
                <w:b/>
                <w:bCs/>
                <w:color w:val="000000"/>
                <w:sz w:val="18"/>
                <w:szCs w:val="18"/>
                <w:lang w:eastAsia="en-AU"/>
              </w:rPr>
              <w:t xml:space="preserve">ation </w:t>
            </w:r>
            <w:r w:rsidR="00002DBE">
              <w:rPr>
                <w:rFonts w:ascii="Calibri" w:eastAsia="Calibri" w:hAnsi="Calibri" w:cs="Calibri"/>
                <w:b/>
                <w:bCs/>
                <w:color w:val="000000"/>
                <w:sz w:val="18"/>
                <w:szCs w:val="18"/>
                <w:lang w:eastAsia="en-AU"/>
              </w:rPr>
              <w:t xml:space="preserve">Based </w:t>
            </w:r>
            <w:r w:rsidR="00002DBE" w:rsidRPr="00E225A9">
              <w:rPr>
                <w:rFonts w:ascii="Calibri" w:eastAsia="Calibri" w:hAnsi="Calibri" w:cs="Calibri"/>
                <w:b/>
                <w:bCs/>
                <w:color w:val="000000"/>
                <w:sz w:val="18"/>
                <w:szCs w:val="18"/>
                <w:lang w:eastAsia="en-AU"/>
              </w:rPr>
              <w:t>Increase</w:t>
            </w:r>
            <w:r w:rsidRPr="00E225A9">
              <w:rPr>
                <w:rFonts w:ascii="Calibri" w:eastAsia="Calibri" w:hAnsi="Calibri" w:cs="Calibri"/>
                <w:b/>
                <w:bCs/>
                <w:color w:val="000000"/>
                <w:sz w:val="18"/>
                <w:szCs w:val="18"/>
                <w:lang w:eastAsia="en-AU"/>
              </w:rPr>
              <w:t xml:space="preserve"> </w:t>
            </w:r>
          </w:p>
        </w:tc>
        <w:tc>
          <w:tcPr>
            <w:tcW w:w="1247" w:type="dxa"/>
            <w:tcBorders>
              <w:top w:val="single" w:sz="8" w:space="0" w:color="auto"/>
              <w:left w:val="nil"/>
              <w:bottom w:val="single" w:sz="8" w:space="0" w:color="auto"/>
              <w:right w:val="single" w:sz="8" w:space="0" w:color="auto"/>
            </w:tcBorders>
            <w:shd w:val="clear" w:color="auto" w:fill="BED6FF" w:themeFill="accent1" w:themeFillTint="33"/>
            <w:tcMar>
              <w:top w:w="0" w:type="dxa"/>
              <w:left w:w="108" w:type="dxa"/>
              <w:bottom w:w="0" w:type="dxa"/>
              <w:right w:w="108" w:type="dxa"/>
            </w:tcMar>
            <w:vAlign w:val="center"/>
            <w:hideMark/>
          </w:tcPr>
          <w:p w14:paraId="0762000C" w14:textId="558BE0CF" w:rsidR="004D351D" w:rsidRPr="00E225A9" w:rsidRDefault="004D351D" w:rsidP="00E225A9">
            <w:pPr>
              <w:spacing w:before="0" w:after="0" w:line="240" w:lineRule="auto"/>
              <w:jc w:val="center"/>
              <w:rPr>
                <w:rFonts w:ascii="Calibri" w:eastAsia="Calibri" w:hAnsi="Calibri" w:cs="Calibri"/>
                <w:b/>
                <w:bCs/>
                <w:color w:val="000000"/>
                <w:sz w:val="18"/>
                <w:szCs w:val="18"/>
                <w:lang w:eastAsia="en-AU"/>
              </w:rPr>
            </w:pPr>
            <w:r w:rsidRPr="00E225A9">
              <w:rPr>
                <w:rFonts w:ascii="Calibri" w:eastAsia="Calibri" w:hAnsi="Calibri" w:cs="Calibri"/>
                <w:b/>
                <w:bCs/>
                <w:color w:val="000000"/>
                <w:sz w:val="18"/>
                <w:szCs w:val="18"/>
                <w:lang w:eastAsia="en-AU"/>
              </w:rPr>
              <w:t>Dig</w:t>
            </w:r>
            <w:r w:rsidR="00E07736">
              <w:rPr>
                <w:rFonts w:ascii="Calibri" w:eastAsia="Calibri" w:hAnsi="Calibri" w:cs="Calibri"/>
                <w:b/>
                <w:bCs/>
                <w:color w:val="000000"/>
                <w:sz w:val="18"/>
                <w:szCs w:val="18"/>
                <w:lang w:eastAsia="en-AU"/>
              </w:rPr>
              <w:t>ital Transformation</w:t>
            </w:r>
            <w:r w:rsidRPr="00E225A9">
              <w:rPr>
                <w:rFonts w:ascii="Calibri" w:eastAsia="Calibri" w:hAnsi="Calibri" w:cs="Calibri"/>
                <w:b/>
                <w:bCs/>
                <w:color w:val="000000"/>
                <w:sz w:val="18"/>
                <w:szCs w:val="18"/>
                <w:lang w:eastAsia="en-AU"/>
              </w:rPr>
              <w:t xml:space="preserve"> Cost Recovery </w:t>
            </w:r>
          </w:p>
        </w:tc>
        <w:tc>
          <w:tcPr>
            <w:tcW w:w="1091" w:type="dxa"/>
            <w:tcBorders>
              <w:top w:val="single" w:sz="8" w:space="0" w:color="auto"/>
              <w:left w:val="nil"/>
              <w:bottom w:val="single" w:sz="8" w:space="0" w:color="auto"/>
              <w:right w:val="single" w:sz="8" w:space="0" w:color="auto"/>
            </w:tcBorders>
            <w:shd w:val="clear" w:color="auto" w:fill="BED6FF" w:themeFill="accent1" w:themeFillTint="33"/>
            <w:tcMar>
              <w:top w:w="0" w:type="dxa"/>
              <w:left w:w="108" w:type="dxa"/>
              <w:bottom w:w="0" w:type="dxa"/>
              <w:right w:w="108" w:type="dxa"/>
            </w:tcMar>
            <w:vAlign w:val="center"/>
            <w:hideMark/>
          </w:tcPr>
          <w:p w14:paraId="55A8739F" w14:textId="0959B70D" w:rsidR="004D351D" w:rsidRPr="00E225A9" w:rsidRDefault="004D351D" w:rsidP="00E225A9">
            <w:pPr>
              <w:spacing w:before="0" w:after="0" w:line="240" w:lineRule="auto"/>
              <w:jc w:val="center"/>
              <w:rPr>
                <w:rFonts w:ascii="Calibri" w:eastAsia="Calibri" w:hAnsi="Calibri" w:cs="Calibri"/>
                <w:b/>
                <w:bCs/>
                <w:color w:val="000000"/>
                <w:sz w:val="18"/>
                <w:szCs w:val="18"/>
                <w:lang w:eastAsia="en-AU"/>
              </w:rPr>
            </w:pPr>
            <w:r w:rsidRPr="00E225A9">
              <w:rPr>
                <w:rFonts w:ascii="Calibri" w:eastAsia="Calibri" w:hAnsi="Calibri" w:cs="Calibri"/>
                <w:b/>
                <w:bCs/>
                <w:color w:val="000000"/>
                <w:sz w:val="18"/>
                <w:szCs w:val="18"/>
                <w:lang w:eastAsia="en-AU"/>
              </w:rPr>
              <w:t xml:space="preserve">UDI Cost Recovery </w:t>
            </w:r>
          </w:p>
        </w:tc>
        <w:tc>
          <w:tcPr>
            <w:tcW w:w="1404" w:type="dxa"/>
            <w:tcBorders>
              <w:top w:val="single" w:sz="8" w:space="0" w:color="auto"/>
              <w:left w:val="nil"/>
              <w:bottom w:val="single" w:sz="8" w:space="0" w:color="auto"/>
              <w:right w:val="single" w:sz="8" w:space="0" w:color="auto"/>
            </w:tcBorders>
            <w:shd w:val="clear" w:color="auto" w:fill="BED6FF" w:themeFill="accent1" w:themeFillTint="33"/>
            <w:tcMar>
              <w:top w:w="0" w:type="dxa"/>
              <w:left w:w="108" w:type="dxa"/>
              <w:bottom w:w="0" w:type="dxa"/>
              <w:right w:w="108" w:type="dxa"/>
            </w:tcMar>
            <w:vAlign w:val="center"/>
            <w:hideMark/>
          </w:tcPr>
          <w:p w14:paraId="3A687B7F" w14:textId="71A63421" w:rsidR="004D351D" w:rsidRPr="00E225A9" w:rsidRDefault="004D351D" w:rsidP="00E225A9">
            <w:pPr>
              <w:spacing w:before="0" w:after="0" w:line="240" w:lineRule="auto"/>
              <w:jc w:val="center"/>
              <w:rPr>
                <w:rFonts w:ascii="Calibri" w:eastAsia="Calibri" w:hAnsi="Calibri" w:cs="Calibri"/>
                <w:b/>
                <w:bCs/>
                <w:color w:val="000000"/>
                <w:sz w:val="18"/>
                <w:szCs w:val="18"/>
                <w:lang w:eastAsia="en-AU"/>
              </w:rPr>
            </w:pPr>
            <w:r w:rsidRPr="00E225A9">
              <w:rPr>
                <w:rFonts w:ascii="Calibri" w:eastAsia="Calibri" w:hAnsi="Calibri" w:cs="Calibri"/>
                <w:b/>
                <w:bCs/>
                <w:color w:val="000000"/>
                <w:sz w:val="18"/>
                <w:szCs w:val="18"/>
                <w:lang w:eastAsia="en-AU"/>
              </w:rPr>
              <w:t xml:space="preserve">Total Proposed Increase </w:t>
            </w:r>
          </w:p>
        </w:tc>
      </w:tr>
      <w:tr w:rsidR="004D351D" w:rsidRPr="00E225A9" w14:paraId="5B762F9C" w14:textId="77777777" w:rsidTr="009E4B0E">
        <w:trPr>
          <w:trHeight w:val="275"/>
        </w:trPr>
        <w:tc>
          <w:tcPr>
            <w:tcW w:w="4356"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7AAA544"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All TGA Fees</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92DC60"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4.70%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51D0AF9"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63A997F"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11F68F7" w14:textId="77777777" w:rsidR="004D351D" w:rsidRPr="009E4B0E" w:rsidRDefault="004D351D" w:rsidP="00E225A9">
            <w:pPr>
              <w:spacing w:before="0" w:after="0" w:line="240" w:lineRule="auto"/>
              <w:jc w:val="center"/>
              <w:rPr>
                <w:rFonts w:asciiTheme="minorHAnsi" w:eastAsia="Calibri" w:hAnsiTheme="minorHAnsi" w:cs="Calibri"/>
                <w:b/>
                <w:bCs/>
                <w:color w:val="000000"/>
                <w:sz w:val="20"/>
                <w:lang w:eastAsia="en-AU"/>
              </w:rPr>
            </w:pPr>
            <w:r w:rsidRPr="009E4B0E">
              <w:rPr>
                <w:rFonts w:asciiTheme="minorHAnsi" w:eastAsia="Calibri" w:hAnsiTheme="minorHAnsi" w:cs="Calibri"/>
                <w:b/>
                <w:bCs/>
                <w:color w:val="000000"/>
                <w:sz w:val="20"/>
                <w:lang w:eastAsia="en-AU"/>
              </w:rPr>
              <w:t>4.70%</w:t>
            </w:r>
          </w:p>
        </w:tc>
      </w:tr>
      <w:tr w:rsidR="004D351D" w:rsidRPr="00E225A9" w14:paraId="399E7C9E" w14:textId="77777777" w:rsidTr="009E4B0E">
        <w:trPr>
          <w:trHeight w:val="275"/>
        </w:trPr>
        <w:tc>
          <w:tcPr>
            <w:tcW w:w="952"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00D4890" w14:textId="42FB7508" w:rsidR="004D351D" w:rsidRPr="009E4B0E" w:rsidRDefault="00AC7997" w:rsidP="00002DBE">
            <w:pPr>
              <w:spacing w:before="0" w:after="0" w:line="240" w:lineRule="auto"/>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xml:space="preserve">Annual </w:t>
            </w:r>
            <w:r w:rsidR="004D351D" w:rsidRPr="009E4B0E">
              <w:rPr>
                <w:rFonts w:asciiTheme="minorHAnsi" w:eastAsia="Calibri" w:hAnsiTheme="minorHAnsi" w:cs="Calibri"/>
                <w:color w:val="000000"/>
                <w:sz w:val="20"/>
                <w:lang w:eastAsia="en-AU"/>
              </w:rPr>
              <w:t>Charges</w:t>
            </w:r>
          </w:p>
        </w:tc>
        <w:tc>
          <w:tcPr>
            <w:tcW w:w="34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8A5B4CB" w14:textId="723C5331" w:rsidR="004D351D" w:rsidRPr="009E4B0E" w:rsidRDefault="004D351D" w:rsidP="00E225A9">
            <w:pPr>
              <w:spacing w:before="0" w:after="0" w:line="240" w:lineRule="auto"/>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xml:space="preserve">Medicines and Biologicals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15D2F3"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4.70%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84A69DA" w14:textId="4233D680"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2.</w:t>
            </w:r>
            <w:r w:rsidR="009E4B0E">
              <w:rPr>
                <w:rFonts w:asciiTheme="minorHAnsi" w:eastAsia="Calibri" w:hAnsiTheme="minorHAnsi" w:cs="Calibri"/>
                <w:color w:val="000000"/>
                <w:sz w:val="20"/>
                <w:lang w:eastAsia="en-AU"/>
              </w:rPr>
              <w:t>01</w:t>
            </w:r>
            <w:r w:rsidRPr="009E4B0E">
              <w:rPr>
                <w:rFonts w:asciiTheme="minorHAnsi" w:eastAsia="Calibri" w:hAnsiTheme="minorHAnsi" w:cs="Calibri"/>
                <w:color w:val="000000"/>
                <w:sz w:val="20"/>
                <w:lang w:eastAsia="en-AU"/>
              </w:rPr>
              <w:t>%</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9CBA529"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48C1559" w14:textId="59B8C0CB" w:rsidR="004D351D" w:rsidRPr="009E4B0E" w:rsidRDefault="004D351D" w:rsidP="00E225A9">
            <w:pPr>
              <w:spacing w:before="0" w:after="0" w:line="240" w:lineRule="auto"/>
              <w:jc w:val="center"/>
              <w:rPr>
                <w:rFonts w:asciiTheme="minorHAnsi" w:eastAsia="Calibri" w:hAnsiTheme="minorHAnsi" w:cs="Calibri"/>
                <w:b/>
                <w:bCs/>
                <w:color w:val="000000"/>
                <w:sz w:val="20"/>
                <w:lang w:eastAsia="en-AU"/>
              </w:rPr>
            </w:pPr>
            <w:r w:rsidRPr="009E4B0E">
              <w:rPr>
                <w:rFonts w:asciiTheme="minorHAnsi" w:eastAsia="Calibri" w:hAnsiTheme="minorHAnsi" w:cs="Calibri"/>
                <w:b/>
                <w:bCs/>
                <w:color w:val="000000"/>
                <w:sz w:val="20"/>
                <w:lang w:eastAsia="en-AU"/>
              </w:rPr>
              <w:t>6.</w:t>
            </w:r>
            <w:r w:rsidR="009E4B0E">
              <w:rPr>
                <w:rFonts w:asciiTheme="minorHAnsi" w:eastAsia="Calibri" w:hAnsiTheme="minorHAnsi" w:cs="Calibri"/>
                <w:b/>
                <w:bCs/>
                <w:color w:val="000000"/>
                <w:sz w:val="20"/>
                <w:lang w:eastAsia="en-AU"/>
              </w:rPr>
              <w:t>71</w:t>
            </w:r>
            <w:r w:rsidRPr="009E4B0E">
              <w:rPr>
                <w:rFonts w:asciiTheme="minorHAnsi" w:eastAsia="Calibri" w:hAnsiTheme="minorHAnsi" w:cs="Calibri"/>
                <w:b/>
                <w:bCs/>
                <w:color w:val="000000"/>
                <w:sz w:val="20"/>
                <w:lang w:eastAsia="en-AU"/>
              </w:rPr>
              <w:t>%</w:t>
            </w:r>
          </w:p>
        </w:tc>
      </w:tr>
      <w:tr w:rsidR="004D351D" w:rsidRPr="00E225A9" w14:paraId="68E89C07" w14:textId="77777777" w:rsidTr="009E4B0E">
        <w:trPr>
          <w:trHeight w:val="27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5FCD100F" w14:textId="77777777" w:rsidR="004D351D" w:rsidRPr="009E4B0E" w:rsidRDefault="004D351D" w:rsidP="00E225A9">
            <w:pPr>
              <w:spacing w:before="0" w:after="0" w:line="240" w:lineRule="auto"/>
              <w:rPr>
                <w:rFonts w:asciiTheme="minorHAnsi" w:eastAsia="Calibri" w:hAnsiTheme="minorHAnsi" w:cs="Calibri"/>
                <w:color w:val="000000"/>
                <w:sz w:val="20"/>
                <w:lang w:eastAsia="en-AU"/>
              </w:rPr>
            </w:pPr>
          </w:p>
        </w:tc>
        <w:tc>
          <w:tcPr>
            <w:tcW w:w="34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8EDFE6B" w14:textId="2E8FF849" w:rsidR="004D351D" w:rsidRPr="009E4B0E" w:rsidRDefault="004D351D" w:rsidP="00E225A9">
            <w:pPr>
              <w:spacing w:before="0" w:after="0" w:line="240" w:lineRule="auto"/>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Medical Devices Class II and above</w:t>
            </w:r>
            <w:r w:rsidR="00AC7997" w:rsidRPr="009E4B0E">
              <w:rPr>
                <w:rFonts w:asciiTheme="minorHAnsi" w:eastAsia="Calibri" w:hAnsiTheme="minorHAnsi" w:cs="Calibri"/>
                <w:color w:val="000000"/>
                <w:sz w:val="20"/>
                <w:lang w:eastAsia="en-AU"/>
              </w:rPr>
              <w:t>, including implantable</w:t>
            </w:r>
            <w:r w:rsidR="006F3BDA">
              <w:rPr>
                <w:rFonts w:asciiTheme="minorHAnsi" w:eastAsia="Calibri" w:hAnsiTheme="minorHAnsi" w:cs="Calibri"/>
                <w:color w:val="000000"/>
                <w:sz w:val="20"/>
                <w:lang w:eastAsia="en-AU"/>
              </w:rPr>
              <w:t>s</w:t>
            </w:r>
            <w:r w:rsidRPr="009E4B0E">
              <w:rPr>
                <w:rFonts w:asciiTheme="minorHAnsi" w:eastAsia="Calibri" w:hAnsiTheme="minorHAnsi" w:cs="Calibri"/>
                <w:color w:val="000000"/>
                <w:sz w:val="20"/>
                <w:lang w:eastAsia="en-AU"/>
              </w:rPr>
              <w:t xml:space="preserve">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D462916"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4.70%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7A2FF24" w14:textId="1FC912DA" w:rsidR="004D351D" w:rsidRPr="009E4B0E" w:rsidRDefault="009E4B0E" w:rsidP="00E225A9">
            <w:pPr>
              <w:spacing w:before="0" w:after="0" w:line="240" w:lineRule="auto"/>
              <w:jc w:val="center"/>
              <w:rPr>
                <w:rFonts w:asciiTheme="minorHAnsi" w:eastAsia="Calibri" w:hAnsiTheme="minorHAnsi" w:cs="Calibri"/>
                <w:color w:val="000000"/>
                <w:sz w:val="20"/>
                <w:lang w:eastAsia="en-AU"/>
              </w:rPr>
            </w:pPr>
            <w:r>
              <w:rPr>
                <w:rFonts w:asciiTheme="minorHAnsi" w:eastAsia="Calibri" w:hAnsiTheme="minorHAnsi" w:cs="Calibri"/>
                <w:color w:val="000000"/>
                <w:sz w:val="20"/>
                <w:lang w:eastAsia="en-AU"/>
              </w:rPr>
              <w:t>2.68</w:t>
            </w:r>
            <w:r w:rsidR="004D351D" w:rsidRPr="009E4B0E">
              <w:rPr>
                <w:rFonts w:asciiTheme="minorHAnsi" w:eastAsia="Calibri" w:hAnsiTheme="minorHAnsi" w:cs="Calibri"/>
                <w:color w:val="000000"/>
                <w:sz w:val="20"/>
                <w:lang w:eastAsia="en-AU"/>
              </w:rPr>
              <w:t>%</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322F33A" w14:textId="7FE4E645"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1.</w:t>
            </w:r>
            <w:r w:rsidR="009E4B0E">
              <w:rPr>
                <w:rFonts w:asciiTheme="minorHAnsi" w:eastAsia="Calibri" w:hAnsiTheme="minorHAnsi" w:cs="Calibri"/>
                <w:color w:val="000000"/>
                <w:sz w:val="20"/>
                <w:lang w:eastAsia="en-AU"/>
              </w:rPr>
              <w:t>75</w:t>
            </w:r>
            <w:r w:rsidRPr="009E4B0E">
              <w:rPr>
                <w:rFonts w:asciiTheme="minorHAnsi" w:eastAsia="Calibri" w:hAnsiTheme="minorHAnsi" w:cs="Calibri"/>
                <w:color w:val="000000"/>
                <w:sz w:val="20"/>
                <w:lang w:eastAsia="en-AU"/>
              </w:rPr>
              <w:t>%</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D9C82A" w14:textId="0B62E44C" w:rsidR="004D351D" w:rsidRPr="009E4B0E" w:rsidRDefault="004D351D" w:rsidP="00E225A9">
            <w:pPr>
              <w:spacing w:before="0" w:after="0" w:line="240" w:lineRule="auto"/>
              <w:jc w:val="center"/>
              <w:rPr>
                <w:rFonts w:asciiTheme="minorHAnsi" w:eastAsia="Calibri" w:hAnsiTheme="minorHAnsi" w:cs="Calibri"/>
                <w:b/>
                <w:bCs/>
                <w:color w:val="000000"/>
                <w:sz w:val="20"/>
                <w:lang w:eastAsia="en-AU"/>
              </w:rPr>
            </w:pPr>
            <w:r w:rsidRPr="009E4B0E">
              <w:rPr>
                <w:rFonts w:asciiTheme="minorHAnsi" w:eastAsia="Calibri" w:hAnsiTheme="minorHAnsi" w:cs="Calibri"/>
                <w:b/>
                <w:bCs/>
                <w:color w:val="000000"/>
                <w:sz w:val="20"/>
                <w:lang w:eastAsia="en-AU"/>
              </w:rPr>
              <w:t>9.</w:t>
            </w:r>
            <w:r w:rsidR="009E4B0E">
              <w:rPr>
                <w:rFonts w:asciiTheme="minorHAnsi" w:eastAsia="Calibri" w:hAnsiTheme="minorHAnsi" w:cs="Calibri"/>
                <w:b/>
                <w:bCs/>
                <w:color w:val="000000"/>
                <w:sz w:val="20"/>
                <w:lang w:eastAsia="en-AU"/>
              </w:rPr>
              <w:t>13</w:t>
            </w:r>
            <w:r w:rsidRPr="009E4B0E">
              <w:rPr>
                <w:rFonts w:asciiTheme="minorHAnsi" w:eastAsia="Calibri" w:hAnsiTheme="minorHAnsi" w:cs="Calibri"/>
                <w:b/>
                <w:bCs/>
                <w:color w:val="000000"/>
                <w:sz w:val="20"/>
                <w:lang w:eastAsia="en-AU"/>
              </w:rPr>
              <w:t>%</w:t>
            </w:r>
          </w:p>
        </w:tc>
      </w:tr>
      <w:tr w:rsidR="004D351D" w:rsidRPr="00E225A9" w14:paraId="6F7F5B9A" w14:textId="77777777" w:rsidTr="009E4B0E">
        <w:trPr>
          <w:trHeight w:val="27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3EB6A2CB" w14:textId="77777777" w:rsidR="004D351D" w:rsidRPr="009E4B0E" w:rsidRDefault="004D351D" w:rsidP="00E225A9">
            <w:pPr>
              <w:spacing w:before="0" w:after="0" w:line="240" w:lineRule="auto"/>
              <w:rPr>
                <w:rFonts w:asciiTheme="minorHAnsi" w:eastAsia="Calibri" w:hAnsiTheme="minorHAnsi" w:cs="Calibri"/>
                <w:color w:val="000000"/>
                <w:sz w:val="20"/>
                <w:lang w:eastAsia="en-AU"/>
              </w:rPr>
            </w:pPr>
          </w:p>
        </w:tc>
        <w:tc>
          <w:tcPr>
            <w:tcW w:w="34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F900EF3" w14:textId="0B972150" w:rsidR="004D351D" w:rsidRPr="009E4B0E" w:rsidRDefault="004D351D" w:rsidP="00E225A9">
            <w:pPr>
              <w:spacing w:before="0" w:after="0" w:line="240" w:lineRule="auto"/>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xml:space="preserve">Medical Devices </w:t>
            </w:r>
            <w:r w:rsidR="00AC7997" w:rsidRPr="009E4B0E">
              <w:rPr>
                <w:rFonts w:asciiTheme="minorHAnsi" w:eastAsia="Calibri" w:hAnsiTheme="minorHAnsi" w:cs="Calibri"/>
                <w:color w:val="000000"/>
                <w:sz w:val="20"/>
                <w:lang w:eastAsia="en-AU"/>
              </w:rPr>
              <w:t xml:space="preserve">Class I, </w:t>
            </w:r>
            <w:proofErr w:type="spellStart"/>
            <w:r w:rsidR="00AC7997" w:rsidRPr="009E4B0E">
              <w:rPr>
                <w:rFonts w:asciiTheme="minorHAnsi" w:eastAsia="Calibri" w:hAnsiTheme="minorHAnsi" w:cs="Calibri"/>
                <w:color w:val="000000"/>
                <w:sz w:val="20"/>
                <w:lang w:eastAsia="en-AU"/>
              </w:rPr>
              <w:t>Im</w:t>
            </w:r>
            <w:proofErr w:type="spellEnd"/>
            <w:r w:rsidR="00AC7997" w:rsidRPr="009E4B0E">
              <w:rPr>
                <w:rFonts w:asciiTheme="minorHAnsi" w:eastAsia="Calibri" w:hAnsiTheme="minorHAnsi" w:cs="Calibri"/>
                <w:color w:val="000000"/>
                <w:sz w:val="20"/>
                <w:lang w:eastAsia="en-AU"/>
              </w:rPr>
              <w:t xml:space="preserve"> and Is </w:t>
            </w:r>
            <w:r w:rsidRPr="009E4B0E">
              <w:rPr>
                <w:rFonts w:asciiTheme="minorHAnsi" w:eastAsia="Calibri" w:hAnsiTheme="minorHAnsi" w:cs="Calibri"/>
                <w:color w:val="000000"/>
                <w:sz w:val="20"/>
                <w:lang w:eastAsia="en-AU"/>
              </w:rPr>
              <w:t xml:space="preserve">and </w:t>
            </w:r>
            <w:r w:rsidR="00AC7997" w:rsidRPr="009E4B0E">
              <w:rPr>
                <w:rFonts w:asciiTheme="minorHAnsi" w:eastAsia="Calibri" w:hAnsiTheme="minorHAnsi" w:cs="Calibri"/>
                <w:color w:val="000000"/>
                <w:sz w:val="20"/>
                <w:lang w:eastAsia="en-AU"/>
              </w:rPr>
              <w:t xml:space="preserve">all classes of </w:t>
            </w:r>
            <w:r w:rsidRPr="009E4B0E">
              <w:rPr>
                <w:rFonts w:asciiTheme="minorHAnsi" w:eastAsia="Calibri" w:hAnsiTheme="minorHAnsi" w:cs="Calibri"/>
                <w:color w:val="000000"/>
                <w:sz w:val="20"/>
                <w:lang w:eastAsia="en-AU"/>
              </w:rPr>
              <w:t>IVD</w:t>
            </w:r>
            <w:r w:rsidR="006F3BDA">
              <w:rPr>
                <w:rFonts w:asciiTheme="minorHAnsi" w:eastAsia="Calibri" w:hAnsiTheme="minorHAnsi" w:cs="Calibri"/>
                <w:color w:val="000000"/>
                <w:sz w:val="20"/>
                <w:lang w:eastAsia="en-AU"/>
              </w:rPr>
              <w:t xml:space="preserve"> devices</w:t>
            </w:r>
            <w:r w:rsidRPr="009E4B0E">
              <w:rPr>
                <w:rFonts w:asciiTheme="minorHAnsi" w:eastAsia="Calibri" w:hAnsiTheme="minorHAnsi" w:cs="Calibri"/>
                <w:color w:val="000000"/>
                <w:sz w:val="20"/>
                <w:lang w:eastAsia="en-AU"/>
              </w:rPr>
              <w:t xml:space="preserve">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49A6BE0"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4.70%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32943EC" w14:textId="6BDCFB91" w:rsidR="004D351D" w:rsidRPr="009E4B0E" w:rsidRDefault="009E4B0E" w:rsidP="00E225A9">
            <w:pPr>
              <w:spacing w:before="0" w:after="0" w:line="240" w:lineRule="auto"/>
              <w:jc w:val="center"/>
              <w:rPr>
                <w:rFonts w:asciiTheme="minorHAnsi" w:eastAsia="Calibri" w:hAnsiTheme="minorHAnsi" w:cs="Calibri"/>
                <w:color w:val="000000"/>
                <w:sz w:val="20"/>
                <w:lang w:eastAsia="en-AU"/>
              </w:rPr>
            </w:pPr>
            <w:r>
              <w:rPr>
                <w:rFonts w:asciiTheme="minorHAnsi" w:eastAsia="Calibri" w:hAnsiTheme="minorHAnsi" w:cs="Calibri"/>
                <w:color w:val="000000"/>
                <w:sz w:val="20"/>
                <w:lang w:eastAsia="en-AU"/>
              </w:rPr>
              <w:t>2.68</w:t>
            </w:r>
            <w:r w:rsidR="004D351D" w:rsidRPr="009E4B0E">
              <w:rPr>
                <w:rFonts w:asciiTheme="minorHAnsi" w:eastAsia="Calibri" w:hAnsiTheme="minorHAnsi" w:cs="Calibri"/>
                <w:color w:val="000000"/>
                <w:sz w:val="20"/>
                <w:lang w:eastAsia="en-AU"/>
              </w:rPr>
              <w:t>%</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11F7C85"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FF8AE3E" w14:textId="17ABE037" w:rsidR="004D351D" w:rsidRPr="009E4B0E" w:rsidRDefault="004D351D" w:rsidP="00E225A9">
            <w:pPr>
              <w:spacing w:before="0" w:after="0" w:line="240" w:lineRule="auto"/>
              <w:jc w:val="center"/>
              <w:rPr>
                <w:rFonts w:asciiTheme="minorHAnsi" w:eastAsia="Calibri" w:hAnsiTheme="minorHAnsi" w:cs="Calibri"/>
                <w:b/>
                <w:bCs/>
                <w:color w:val="000000"/>
                <w:sz w:val="20"/>
                <w:lang w:eastAsia="en-AU"/>
              </w:rPr>
            </w:pPr>
            <w:r w:rsidRPr="009E4B0E">
              <w:rPr>
                <w:rFonts w:asciiTheme="minorHAnsi" w:eastAsia="Calibri" w:hAnsiTheme="minorHAnsi" w:cs="Calibri"/>
                <w:b/>
                <w:bCs/>
                <w:color w:val="000000"/>
                <w:sz w:val="20"/>
                <w:lang w:eastAsia="en-AU"/>
              </w:rPr>
              <w:t>7.</w:t>
            </w:r>
            <w:r w:rsidR="009E4B0E">
              <w:rPr>
                <w:rFonts w:asciiTheme="minorHAnsi" w:eastAsia="Calibri" w:hAnsiTheme="minorHAnsi" w:cs="Calibri"/>
                <w:b/>
                <w:bCs/>
                <w:color w:val="000000"/>
                <w:sz w:val="20"/>
                <w:lang w:eastAsia="en-AU"/>
              </w:rPr>
              <w:t>38</w:t>
            </w:r>
            <w:r w:rsidRPr="009E4B0E">
              <w:rPr>
                <w:rFonts w:asciiTheme="minorHAnsi" w:eastAsia="Calibri" w:hAnsiTheme="minorHAnsi" w:cs="Calibri"/>
                <w:b/>
                <w:bCs/>
                <w:color w:val="000000"/>
                <w:sz w:val="20"/>
                <w:lang w:eastAsia="en-AU"/>
              </w:rPr>
              <w:t>%</w:t>
            </w:r>
          </w:p>
        </w:tc>
      </w:tr>
      <w:tr w:rsidR="004D351D" w:rsidRPr="00E225A9" w14:paraId="657FDA71" w14:textId="0B49D841" w:rsidTr="009E4B0E">
        <w:trPr>
          <w:trHeight w:val="27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3EA19C9" w14:textId="77777777" w:rsidR="004D351D" w:rsidRPr="009E4B0E" w:rsidRDefault="004D351D" w:rsidP="00E225A9">
            <w:pPr>
              <w:spacing w:before="0" w:after="0" w:line="240" w:lineRule="auto"/>
              <w:rPr>
                <w:rFonts w:asciiTheme="minorHAnsi" w:eastAsia="Calibri" w:hAnsiTheme="minorHAnsi" w:cs="Calibri"/>
                <w:color w:val="000000"/>
                <w:sz w:val="20"/>
                <w:lang w:eastAsia="en-AU"/>
              </w:rPr>
            </w:pPr>
          </w:p>
        </w:tc>
        <w:tc>
          <w:tcPr>
            <w:tcW w:w="34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6EBEACB" w14:textId="56FA474C" w:rsidR="004D351D" w:rsidRPr="009E4B0E" w:rsidRDefault="004D351D" w:rsidP="00E225A9">
            <w:pPr>
              <w:spacing w:before="0" w:after="0" w:line="240" w:lineRule="auto"/>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Other</w:t>
            </w:r>
            <w:r w:rsidR="00AC7997" w:rsidRPr="009E4B0E">
              <w:rPr>
                <w:rFonts w:asciiTheme="minorHAnsi" w:eastAsia="Calibri" w:hAnsiTheme="minorHAnsi" w:cs="Calibri"/>
                <w:color w:val="000000"/>
                <w:sz w:val="20"/>
                <w:lang w:eastAsia="en-AU"/>
              </w:rPr>
              <w:t xml:space="preserve">s </w:t>
            </w:r>
            <w:r w:rsidRPr="009E4B0E">
              <w:rPr>
                <w:rFonts w:asciiTheme="minorHAnsi" w:eastAsia="Calibri" w:hAnsiTheme="minorHAnsi" w:cs="Calibri"/>
                <w:color w:val="000000"/>
                <w:sz w:val="20"/>
                <w:lang w:eastAsia="en-AU"/>
              </w:rPr>
              <w:t>i.e., manufacturing licences and O</w:t>
            </w:r>
            <w:r w:rsidR="00AC7997" w:rsidRPr="009E4B0E">
              <w:rPr>
                <w:rFonts w:asciiTheme="minorHAnsi" w:eastAsia="Calibri" w:hAnsiTheme="minorHAnsi" w:cs="Calibri"/>
                <w:color w:val="000000"/>
                <w:sz w:val="20"/>
                <w:lang w:eastAsia="en-AU"/>
              </w:rPr>
              <w:t>ther Therapeutic Goods</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39B3F1E"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4.70%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5D145C7" w14:textId="37C55F3E"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1.</w:t>
            </w:r>
            <w:r w:rsidR="009E4B0E">
              <w:rPr>
                <w:rFonts w:asciiTheme="minorHAnsi" w:eastAsia="Calibri" w:hAnsiTheme="minorHAnsi" w:cs="Calibri"/>
                <w:color w:val="000000"/>
                <w:sz w:val="20"/>
                <w:lang w:eastAsia="en-AU"/>
              </w:rPr>
              <w:t>60</w:t>
            </w:r>
            <w:r w:rsidRPr="009E4B0E">
              <w:rPr>
                <w:rFonts w:asciiTheme="minorHAnsi" w:eastAsia="Calibri" w:hAnsiTheme="minorHAnsi" w:cs="Calibri"/>
                <w:color w:val="000000"/>
                <w:sz w:val="20"/>
                <w:lang w:eastAsia="en-AU"/>
              </w:rPr>
              <w:t>%</w:t>
            </w:r>
          </w:p>
        </w:tc>
        <w:tc>
          <w:tcPr>
            <w:tcW w:w="1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86EC200" w14:textId="77777777" w:rsidR="004D351D" w:rsidRPr="009E4B0E" w:rsidRDefault="004D351D" w:rsidP="00E225A9">
            <w:pPr>
              <w:spacing w:before="0" w:after="0" w:line="240" w:lineRule="auto"/>
              <w:jc w:val="center"/>
              <w:rPr>
                <w:rFonts w:asciiTheme="minorHAnsi" w:eastAsia="Calibri" w:hAnsiTheme="minorHAnsi" w:cs="Calibri"/>
                <w:color w:val="000000"/>
                <w:sz w:val="20"/>
                <w:lang w:eastAsia="en-AU"/>
              </w:rPr>
            </w:pPr>
            <w:r w:rsidRPr="009E4B0E">
              <w:rPr>
                <w:rFonts w:asciiTheme="minorHAnsi" w:eastAsia="Calibri" w:hAnsiTheme="minorHAnsi" w:cs="Calibri"/>
                <w:color w:val="000000"/>
                <w:sz w:val="20"/>
                <w:lang w:eastAsia="en-AU"/>
              </w:rPr>
              <w:t> </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C156A9E" w14:textId="29E3AF62" w:rsidR="004D351D" w:rsidRPr="009E4B0E" w:rsidRDefault="004D351D" w:rsidP="00E225A9">
            <w:pPr>
              <w:spacing w:before="0" w:after="0" w:line="240" w:lineRule="auto"/>
              <w:jc w:val="center"/>
              <w:rPr>
                <w:rFonts w:asciiTheme="minorHAnsi" w:eastAsia="Calibri" w:hAnsiTheme="minorHAnsi" w:cs="Calibri"/>
                <w:b/>
                <w:bCs/>
                <w:color w:val="000000"/>
                <w:sz w:val="20"/>
                <w:lang w:eastAsia="en-AU"/>
              </w:rPr>
            </w:pPr>
            <w:r w:rsidRPr="009E4B0E">
              <w:rPr>
                <w:rFonts w:asciiTheme="minorHAnsi" w:eastAsia="Calibri" w:hAnsiTheme="minorHAnsi" w:cs="Calibri"/>
                <w:b/>
                <w:bCs/>
                <w:color w:val="000000"/>
                <w:sz w:val="20"/>
                <w:lang w:eastAsia="en-AU"/>
              </w:rPr>
              <w:t>6.</w:t>
            </w:r>
            <w:r w:rsidR="009E4B0E">
              <w:rPr>
                <w:rFonts w:asciiTheme="minorHAnsi" w:eastAsia="Calibri" w:hAnsiTheme="minorHAnsi" w:cs="Calibri"/>
                <w:b/>
                <w:bCs/>
                <w:color w:val="000000"/>
                <w:sz w:val="20"/>
                <w:lang w:eastAsia="en-AU"/>
              </w:rPr>
              <w:t>30</w:t>
            </w:r>
            <w:r w:rsidRPr="009E4B0E">
              <w:rPr>
                <w:rFonts w:asciiTheme="minorHAnsi" w:eastAsia="Calibri" w:hAnsiTheme="minorHAnsi" w:cs="Calibri"/>
                <w:b/>
                <w:bCs/>
                <w:color w:val="000000"/>
                <w:sz w:val="20"/>
                <w:lang w:eastAsia="en-AU"/>
              </w:rPr>
              <w:t>%</w:t>
            </w:r>
          </w:p>
        </w:tc>
      </w:tr>
    </w:tbl>
    <w:p w14:paraId="30BC02EC" w14:textId="62DEC161" w:rsidR="00E07736" w:rsidRPr="00E242E9" w:rsidRDefault="00E07736" w:rsidP="00E242E9">
      <w:pPr>
        <w:spacing w:after="120"/>
        <w:rPr>
          <w:rFonts w:asciiTheme="minorHAnsi" w:hAnsiTheme="minorHAnsi"/>
          <w:i/>
          <w:iCs/>
          <w:sz w:val="20"/>
        </w:rPr>
      </w:pPr>
      <w:bookmarkStart w:id="19" w:name="_Toc153536028"/>
      <w:bookmarkEnd w:id="18"/>
      <w:r w:rsidRPr="00E242E9">
        <w:rPr>
          <w:rFonts w:asciiTheme="minorHAnsi" w:hAnsiTheme="minorHAnsi"/>
          <w:i/>
          <w:iCs/>
          <w:sz w:val="20"/>
        </w:rPr>
        <w:t xml:space="preserve">Note: </w:t>
      </w:r>
      <w:r w:rsidR="00AC7997" w:rsidRPr="00E242E9">
        <w:rPr>
          <w:rFonts w:asciiTheme="minorHAnsi" w:hAnsiTheme="minorHAnsi"/>
          <w:i/>
          <w:iCs/>
          <w:sz w:val="20"/>
        </w:rPr>
        <w:t>Increase</w:t>
      </w:r>
      <w:r w:rsidR="006F3BDA">
        <w:rPr>
          <w:rFonts w:asciiTheme="minorHAnsi" w:hAnsiTheme="minorHAnsi"/>
          <w:i/>
          <w:iCs/>
          <w:sz w:val="20"/>
        </w:rPr>
        <w:t>s</w:t>
      </w:r>
      <w:r w:rsidRPr="00E242E9">
        <w:rPr>
          <w:rFonts w:asciiTheme="minorHAnsi" w:hAnsiTheme="minorHAnsi"/>
          <w:i/>
          <w:iCs/>
          <w:sz w:val="20"/>
        </w:rPr>
        <w:t xml:space="preserve"> required for cost recovery of digital transformation and UDI have been adjusted for indexation and other increases in 2023-24</w:t>
      </w:r>
      <w:r w:rsidR="007D4F2B">
        <w:rPr>
          <w:rFonts w:asciiTheme="minorHAnsi" w:hAnsiTheme="minorHAnsi"/>
          <w:i/>
          <w:iCs/>
          <w:sz w:val="20"/>
        </w:rPr>
        <w:t xml:space="preserve"> which resulted in lower percentage increases than previously discussed</w:t>
      </w:r>
      <w:r w:rsidRPr="00E242E9">
        <w:rPr>
          <w:rFonts w:asciiTheme="minorHAnsi" w:hAnsiTheme="minorHAnsi"/>
          <w:i/>
          <w:iCs/>
          <w:sz w:val="20"/>
        </w:rPr>
        <w:t>.</w:t>
      </w:r>
      <w:bookmarkEnd w:id="19"/>
    </w:p>
    <w:p w14:paraId="603ABE28" w14:textId="5B53C58D" w:rsidR="0000066C" w:rsidRPr="00C22A50" w:rsidRDefault="0000066C">
      <w:pPr>
        <w:pStyle w:val="Heading3"/>
        <w:numPr>
          <w:ilvl w:val="0"/>
          <w:numId w:val="18"/>
        </w:numPr>
        <w:rPr>
          <w:rFonts w:asciiTheme="minorHAnsi" w:hAnsiTheme="minorHAnsi"/>
        </w:rPr>
      </w:pPr>
      <w:bookmarkStart w:id="20" w:name="_Toc153538023"/>
      <w:r w:rsidRPr="00C22A50">
        <w:rPr>
          <w:rFonts w:asciiTheme="minorHAnsi" w:hAnsiTheme="minorHAnsi"/>
        </w:rPr>
        <w:t>Stakeholder Engagement</w:t>
      </w:r>
      <w:bookmarkEnd w:id="20"/>
    </w:p>
    <w:p w14:paraId="22601783" w14:textId="72A98B96" w:rsidR="0000066C" w:rsidRPr="00E10E80" w:rsidRDefault="0000066C">
      <w:pPr>
        <w:pStyle w:val="ListBullet"/>
        <w:numPr>
          <w:ilvl w:val="0"/>
          <w:numId w:val="20"/>
        </w:numPr>
        <w:rPr>
          <w:rFonts w:asciiTheme="minorHAnsi" w:hAnsiTheme="minorHAnsi"/>
          <w:b/>
          <w:bCs/>
        </w:rPr>
      </w:pPr>
      <w:r w:rsidRPr="00E10E80">
        <w:rPr>
          <w:rFonts w:asciiTheme="minorHAnsi" w:hAnsiTheme="minorHAnsi"/>
          <w:b/>
          <w:bCs/>
        </w:rPr>
        <w:t>Consultation on 202</w:t>
      </w:r>
      <w:r w:rsidR="00126A5C" w:rsidRPr="00E10E80">
        <w:rPr>
          <w:rFonts w:asciiTheme="minorHAnsi" w:hAnsiTheme="minorHAnsi"/>
          <w:b/>
          <w:bCs/>
        </w:rPr>
        <w:t>4</w:t>
      </w:r>
      <w:r w:rsidR="00A736E1" w:rsidRPr="00E10E80">
        <w:rPr>
          <w:rFonts w:asciiTheme="minorHAnsi" w:hAnsiTheme="minorHAnsi"/>
          <w:b/>
          <w:bCs/>
        </w:rPr>
        <w:t>-2</w:t>
      </w:r>
      <w:r w:rsidR="00126A5C" w:rsidRPr="00E10E80">
        <w:rPr>
          <w:rFonts w:asciiTheme="minorHAnsi" w:hAnsiTheme="minorHAnsi"/>
          <w:b/>
          <w:bCs/>
        </w:rPr>
        <w:t>5</w:t>
      </w:r>
      <w:r w:rsidRPr="00E10E80">
        <w:rPr>
          <w:rFonts w:asciiTheme="minorHAnsi" w:hAnsiTheme="minorHAnsi"/>
          <w:b/>
          <w:bCs/>
        </w:rPr>
        <w:t xml:space="preserve"> fees and charges proposals</w:t>
      </w:r>
    </w:p>
    <w:p w14:paraId="2C03FFB6" w14:textId="1E282BFD" w:rsidR="0000066C" w:rsidRPr="0000066C" w:rsidRDefault="0000066C" w:rsidP="0000066C">
      <w:pPr>
        <w:spacing w:after="120"/>
        <w:rPr>
          <w:rFonts w:asciiTheme="minorHAnsi" w:hAnsiTheme="minorHAnsi"/>
        </w:rPr>
      </w:pPr>
      <w:r w:rsidRPr="0000066C">
        <w:rPr>
          <w:rFonts w:asciiTheme="minorHAnsi" w:hAnsiTheme="minorHAnsi"/>
        </w:rPr>
        <w:t xml:space="preserve">The following industry representative groups were consulted on the proposed changes to fees and charges in </w:t>
      </w:r>
      <w:r w:rsidR="00556C02">
        <w:rPr>
          <w:rFonts w:asciiTheme="minorHAnsi" w:hAnsiTheme="minorHAnsi"/>
        </w:rPr>
        <w:t>November/</w:t>
      </w:r>
      <w:r w:rsidRPr="0000066C">
        <w:rPr>
          <w:rFonts w:asciiTheme="minorHAnsi" w:hAnsiTheme="minorHAnsi"/>
        </w:rPr>
        <w:t>December 202</w:t>
      </w:r>
      <w:r w:rsidR="00556C02">
        <w:rPr>
          <w:rFonts w:asciiTheme="minorHAnsi" w:hAnsiTheme="minorHAnsi"/>
        </w:rPr>
        <w:t>3</w:t>
      </w:r>
      <w:r w:rsidRPr="0000066C">
        <w:rPr>
          <w:rFonts w:asciiTheme="minorHAnsi" w:hAnsiTheme="minorHAnsi"/>
        </w:rPr>
        <w:t>:</w:t>
      </w:r>
    </w:p>
    <w:p w14:paraId="3075A549" w14:textId="2B187329"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w:t>
      </w:r>
      <w:r w:rsidRPr="00C17342">
        <w:rPr>
          <w:rFonts w:asciiTheme="minorHAnsi" w:hAnsiTheme="minorHAnsi"/>
          <w:color w:val="333F48"/>
        </w:rPr>
        <w:tab/>
        <w:t>Medicines Australia</w:t>
      </w:r>
      <w:r w:rsidR="006F47BB">
        <w:rPr>
          <w:rFonts w:asciiTheme="minorHAnsi" w:hAnsiTheme="minorHAnsi"/>
          <w:color w:val="333F48"/>
        </w:rPr>
        <w:t>;</w:t>
      </w:r>
    </w:p>
    <w:p w14:paraId="2C52B5E4" w14:textId="005314D8"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2.</w:t>
      </w:r>
      <w:r w:rsidRPr="00C17342">
        <w:rPr>
          <w:rFonts w:asciiTheme="minorHAnsi" w:hAnsiTheme="minorHAnsi"/>
          <w:color w:val="333F48"/>
        </w:rPr>
        <w:tab/>
        <w:t>Generic and Biosimilar Medicines Association</w:t>
      </w:r>
      <w:r w:rsidR="006F47BB">
        <w:rPr>
          <w:rFonts w:asciiTheme="minorHAnsi" w:hAnsiTheme="minorHAnsi"/>
          <w:color w:val="333F48"/>
        </w:rPr>
        <w:t>;</w:t>
      </w:r>
    </w:p>
    <w:p w14:paraId="7C18B388" w14:textId="20605F60"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3.</w:t>
      </w:r>
      <w:r w:rsidRPr="00C17342">
        <w:rPr>
          <w:rFonts w:asciiTheme="minorHAnsi" w:hAnsiTheme="minorHAnsi"/>
          <w:color w:val="333F48"/>
        </w:rPr>
        <w:tab/>
        <w:t>AusBiotech</w:t>
      </w:r>
      <w:r w:rsidR="006F47BB">
        <w:rPr>
          <w:rFonts w:asciiTheme="minorHAnsi" w:hAnsiTheme="minorHAnsi"/>
          <w:color w:val="333F48"/>
        </w:rPr>
        <w:t>;</w:t>
      </w:r>
    </w:p>
    <w:p w14:paraId="5AAC6217" w14:textId="62177F89"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4.</w:t>
      </w:r>
      <w:r w:rsidRPr="00C17342">
        <w:rPr>
          <w:rFonts w:asciiTheme="minorHAnsi" w:hAnsiTheme="minorHAnsi"/>
          <w:color w:val="333F48"/>
        </w:rPr>
        <w:tab/>
        <w:t>Medical Technology Association of Australia</w:t>
      </w:r>
      <w:r w:rsidR="006F47BB">
        <w:rPr>
          <w:rFonts w:asciiTheme="minorHAnsi" w:hAnsiTheme="minorHAnsi"/>
          <w:color w:val="333F48"/>
        </w:rPr>
        <w:t>;</w:t>
      </w:r>
    </w:p>
    <w:p w14:paraId="223BE599" w14:textId="343032DC"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5.</w:t>
      </w:r>
      <w:r w:rsidRPr="00C17342">
        <w:rPr>
          <w:rFonts w:asciiTheme="minorHAnsi" w:hAnsiTheme="minorHAnsi"/>
          <w:color w:val="333F48"/>
        </w:rPr>
        <w:tab/>
        <w:t>Pathology Technology Australia</w:t>
      </w:r>
      <w:r w:rsidR="006F47BB">
        <w:rPr>
          <w:rFonts w:asciiTheme="minorHAnsi" w:hAnsiTheme="minorHAnsi"/>
          <w:color w:val="333F48"/>
        </w:rPr>
        <w:t>;</w:t>
      </w:r>
    </w:p>
    <w:p w14:paraId="6EE3DEDE" w14:textId="27F9C0ED"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6.</w:t>
      </w:r>
      <w:r w:rsidRPr="00C17342">
        <w:rPr>
          <w:rFonts w:asciiTheme="minorHAnsi" w:hAnsiTheme="minorHAnsi"/>
          <w:color w:val="333F48"/>
        </w:rPr>
        <w:tab/>
        <w:t>Australian Dental Industry Association</w:t>
      </w:r>
      <w:r w:rsidR="006F47BB">
        <w:rPr>
          <w:rFonts w:asciiTheme="minorHAnsi" w:hAnsiTheme="minorHAnsi"/>
          <w:color w:val="333F48"/>
        </w:rPr>
        <w:t>;</w:t>
      </w:r>
    </w:p>
    <w:p w14:paraId="36E9E502" w14:textId="2EA5F373"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7.</w:t>
      </w:r>
      <w:r w:rsidRPr="00C17342">
        <w:rPr>
          <w:rFonts w:asciiTheme="minorHAnsi" w:hAnsiTheme="minorHAnsi"/>
          <w:color w:val="333F48"/>
        </w:rPr>
        <w:tab/>
        <w:t>Consumer Healthcare Products Australia</w:t>
      </w:r>
      <w:r w:rsidR="006F47BB">
        <w:rPr>
          <w:rFonts w:asciiTheme="minorHAnsi" w:hAnsiTheme="minorHAnsi"/>
          <w:color w:val="333F48"/>
        </w:rPr>
        <w:t>;</w:t>
      </w:r>
    </w:p>
    <w:p w14:paraId="46034908" w14:textId="75EA78A6"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8.</w:t>
      </w:r>
      <w:r w:rsidRPr="00C17342">
        <w:rPr>
          <w:rFonts w:asciiTheme="minorHAnsi" w:hAnsiTheme="minorHAnsi"/>
          <w:color w:val="333F48"/>
        </w:rPr>
        <w:tab/>
        <w:t>Complementary Medicines Australia</w:t>
      </w:r>
      <w:r w:rsidR="006F47BB">
        <w:rPr>
          <w:rFonts w:asciiTheme="minorHAnsi" w:hAnsiTheme="minorHAnsi"/>
          <w:color w:val="333F48"/>
        </w:rPr>
        <w:t>;</w:t>
      </w:r>
    </w:p>
    <w:p w14:paraId="07158071" w14:textId="2BA0109F"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9.</w:t>
      </w:r>
      <w:r w:rsidRPr="00C17342">
        <w:rPr>
          <w:rFonts w:asciiTheme="minorHAnsi" w:hAnsiTheme="minorHAnsi"/>
          <w:color w:val="333F48"/>
        </w:rPr>
        <w:tab/>
        <w:t>Accord Australasia</w:t>
      </w:r>
      <w:r w:rsidR="006F47BB">
        <w:rPr>
          <w:rFonts w:asciiTheme="minorHAnsi" w:hAnsiTheme="minorHAnsi"/>
          <w:color w:val="333F48"/>
        </w:rPr>
        <w:t>;</w:t>
      </w:r>
    </w:p>
    <w:p w14:paraId="5EED1BEE" w14:textId="381BFFA8"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10.</w:t>
      </w:r>
      <w:r w:rsidRPr="00C17342">
        <w:rPr>
          <w:rFonts w:asciiTheme="minorHAnsi" w:hAnsiTheme="minorHAnsi"/>
          <w:color w:val="333F48"/>
        </w:rPr>
        <w:tab/>
        <w:t>Optical Distributors &amp; Manufacturers Association of Australia</w:t>
      </w:r>
      <w:r w:rsidR="006F47BB">
        <w:rPr>
          <w:rFonts w:asciiTheme="minorHAnsi" w:hAnsiTheme="minorHAnsi"/>
          <w:color w:val="333F48"/>
        </w:rPr>
        <w:t>;</w:t>
      </w:r>
    </w:p>
    <w:p w14:paraId="49557218" w14:textId="2E094102"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11.</w:t>
      </w:r>
      <w:r w:rsidRPr="00C17342">
        <w:rPr>
          <w:rFonts w:asciiTheme="minorHAnsi" w:hAnsiTheme="minorHAnsi"/>
          <w:color w:val="333F48"/>
        </w:rPr>
        <w:tab/>
        <w:t>Assistive Technology Suppliers Australasia</w:t>
      </w:r>
      <w:r w:rsidR="006F47BB">
        <w:rPr>
          <w:rFonts w:asciiTheme="minorHAnsi" w:hAnsiTheme="minorHAnsi"/>
          <w:color w:val="333F48"/>
        </w:rPr>
        <w:t>;</w:t>
      </w:r>
    </w:p>
    <w:p w14:paraId="6E06ED7D" w14:textId="597BCCBA"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12.</w:t>
      </w:r>
      <w:r w:rsidRPr="00C17342">
        <w:rPr>
          <w:rFonts w:asciiTheme="minorHAnsi" w:hAnsiTheme="minorHAnsi"/>
          <w:color w:val="333F48"/>
        </w:rPr>
        <w:tab/>
        <w:t>Australian Medical Device Distribution Association</w:t>
      </w:r>
      <w:r w:rsidR="006F47BB">
        <w:rPr>
          <w:rFonts w:asciiTheme="minorHAnsi" w:hAnsiTheme="minorHAnsi"/>
          <w:color w:val="333F48"/>
        </w:rPr>
        <w:t>; and</w:t>
      </w:r>
    </w:p>
    <w:p w14:paraId="624CABBF" w14:textId="38AC38E3"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13.</w:t>
      </w:r>
      <w:r w:rsidRPr="00C17342">
        <w:rPr>
          <w:rFonts w:asciiTheme="minorHAnsi" w:hAnsiTheme="minorHAnsi"/>
          <w:color w:val="333F48"/>
        </w:rPr>
        <w:tab/>
        <w:t>MTP Connect</w:t>
      </w:r>
      <w:r w:rsidR="000E0D45">
        <w:rPr>
          <w:rFonts w:asciiTheme="minorHAnsi" w:hAnsiTheme="minorHAnsi"/>
          <w:color w:val="333F48"/>
        </w:rPr>
        <w:t>.</w:t>
      </w:r>
    </w:p>
    <w:p w14:paraId="0E2A157C" w14:textId="3921CAE2" w:rsidR="007F761C" w:rsidRDefault="003260D0" w:rsidP="0000066C">
      <w:pPr>
        <w:spacing w:after="120"/>
        <w:rPr>
          <w:rFonts w:asciiTheme="minorHAnsi" w:hAnsiTheme="minorHAnsi"/>
        </w:rPr>
      </w:pPr>
      <w:r w:rsidRPr="006F47BB">
        <w:rPr>
          <w:rFonts w:asciiTheme="minorHAnsi" w:hAnsiTheme="minorHAnsi"/>
        </w:rPr>
        <w:t xml:space="preserve">Consistent with their feedback </w:t>
      </w:r>
      <w:r w:rsidR="00D1501A">
        <w:rPr>
          <w:rFonts w:asciiTheme="minorHAnsi" w:hAnsiTheme="minorHAnsi"/>
        </w:rPr>
        <w:t>of previous</w:t>
      </w:r>
      <w:r w:rsidRPr="006F47BB">
        <w:rPr>
          <w:rFonts w:asciiTheme="minorHAnsi" w:hAnsiTheme="minorHAnsi"/>
        </w:rPr>
        <w:t xml:space="preserve"> years, industry peak bodies were generally supportive of the</w:t>
      </w:r>
      <w:r w:rsidR="00654EC4" w:rsidRPr="006F47BB">
        <w:rPr>
          <w:rFonts w:asciiTheme="minorHAnsi" w:hAnsiTheme="minorHAnsi"/>
        </w:rPr>
        <w:t xml:space="preserve"> </w:t>
      </w:r>
      <w:r w:rsidR="00654EC4">
        <w:rPr>
          <w:rFonts w:asciiTheme="minorHAnsi" w:hAnsiTheme="minorHAnsi"/>
        </w:rPr>
        <w:t>annual indexation increase which is based on an established formula</w:t>
      </w:r>
      <w:r w:rsidRPr="006F47BB">
        <w:rPr>
          <w:rFonts w:asciiTheme="minorHAnsi" w:hAnsiTheme="minorHAnsi"/>
        </w:rPr>
        <w:t>.</w:t>
      </w:r>
      <w:r w:rsidR="00E5111F" w:rsidRPr="006F47BB">
        <w:rPr>
          <w:rFonts w:asciiTheme="minorHAnsi" w:hAnsiTheme="minorHAnsi"/>
        </w:rPr>
        <w:t xml:space="preserve"> </w:t>
      </w:r>
      <w:r w:rsidR="00A70415">
        <w:rPr>
          <w:rFonts w:asciiTheme="minorHAnsi" w:hAnsiTheme="minorHAnsi"/>
        </w:rPr>
        <w:t xml:space="preserve">Industry </w:t>
      </w:r>
      <w:r w:rsidR="00A70415">
        <w:rPr>
          <w:rFonts w:asciiTheme="minorHAnsi" w:hAnsiTheme="minorHAnsi"/>
        </w:rPr>
        <w:lastRenderedPageBreak/>
        <w:t xml:space="preserve">maintained its </w:t>
      </w:r>
      <w:r w:rsidR="00AC7997">
        <w:rPr>
          <w:rFonts w:asciiTheme="minorHAnsi" w:hAnsiTheme="minorHAnsi"/>
        </w:rPr>
        <w:t xml:space="preserve">concerns raised last year in </w:t>
      </w:r>
      <w:r w:rsidR="00443902">
        <w:rPr>
          <w:rFonts w:asciiTheme="minorHAnsi" w:hAnsiTheme="minorHAnsi"/>
        </w:rPr>
        <w:t xml:space="preserve">respect of </w:t>
      </w:r>
      <w:r w:rsidR="00CF5B3D">
        <w:rPr>
          <w:rFonts w:asciiTheme="minorHAnsi" w:hAnsiTheme="minorHAnsi"/>
        </w:rPr>
        <w:t xml:space="preserve">additional annual charge increases to </w:t>
      </w:r>
      <w:r w:rsidR="00443902">
        <w:rPr>
          <w:rFonts w:asciiTheme="minorHAnsi" w:hAnsiTheme="minorHAnsi"/>
        </w:rPr>
        <w:t>cost recover</w:t>
      </w:r>
      <w:r w:rsidR="00CF5B3D">
        <w:rPr>
          <w:rFonts w:asciiTheme="minorHAnsi" w:hAnsiTheme="minorHAnsi"/>
        </w:rPr>
        <w:t xml:space="preserve"> </w:t>
      </w:r>
      <w:r w:rsidR="00443902">
        <w:rPr>
          <w:rFonts w:asciiTheme="minorHAnsi" w:hAnsiTheme="minorHAnsi"/>
        </w:rPr>
        <w:t xml:space="preserve">$23.7 million investment in </w:t>
      </w:r>
      <w:r w:rsidR="00CB4D81">
        <w:rPr>
          <w:rFonts w:asciiTheme="minorHAnsi" w:hAnsiTheme="minorHAnsi"/>
        </w:rPr>
        <w:t xml:space="preserve">the </w:t>
      </w:r>
      <w:r w:rsidR="00443902">
        <w:rPr>
          <w:rFonts w:asciiTheme="minorHAnsi" w:hAnsiTheme="minorHAnsi"/>
        </w:rPr>
        <w:t>TGA’s digital and business systems</w:t>
      </w:r>
      <w:r w:rsidR="00376A1E">
        <w:rPr>
          <w:rFonts w:asciiTheme="minorHAnsi" w:hAnsiTheme="minorHAnsi"/>
        </w:rPr>
        <w:t xml:space="preserve">. </w:t>
      </w:r>
      <w:r w:rsidR="00A857D3">
        <w:rPr>
          <w:rFonts w:asciiTheme="minorHAnsi" w:hAnsiTheme="minorHAnsi"/>
        </w:rPr>
        <w:t xml:space="preserve">Whilst industry acknowledges </w:t>
      </w:r>
      <w:r w:rsidR="002E4596">
        <w:rPr>
          <w:rFonts w:asciiTheme="minorHAnsi" w:hAnsiTheme="minorHAnsi"/>
        </w:rPr>
        <w:t xml:space="preserve">this </w:t>
      </w:r>
      <w:proofErr w:type="gramStart"/>
      <w:r w:rsidR="00A857D3">
        <w:rPr>
          <w:rFonts w:asciiTheme="minorHAnsi" w:hAnsiTheme="minorHAnsi"/>
        </w:rPr>
        <w:t xml:space="preserve">was </w:t>
      </w:r>
      <w:r w:rsidR="002E4596">
        <w:rPr>
          <w:rFonts w:asciiTheme="minorHAnsi" w:hAnsiTheme="minorHAnsi"/>
        </w:rPr>
        <w:t xml:space="preserve"> </w:t>
      </w:r>
      <w:r w:rsidR="00D25C8C">
        <w:rPr>
          <w:rFonts w:asciiTheme="minorHAnsi" w:hAnsiTheme="minorHAnsi"/>
        </w:rPr>
        <w:t>a</w:t>
      </w:r>
      <w:proofErr w:type="gramEnd"/>
      <w:r w:rsidR="00D25C8C">
        <w:rPr>
          <w:rFonts w:asciiTheme="minorHAnsi" w:hAnsiTheme="minorHAnsi"/>
        </w:rPr>
        <w:t xml:space="preserve"> decision of </w:t>
      </w:r>
      <w:r w:rsidR="00A857D3">
        <w:rPr>
          <w:rFonts w:asciiTheme="minorHAnsi" w:hAnsiTheme="minorHAnsi"/>
        </w:rPr>
        <w:t>G</w:t>
      </w:r>
      <w:r w:rsidR="00D25C8C">
        <w:rPr>
          <w:rFonts w:asciiTheme="minorHAnsi" w:hAnsiTheme="minorHAnsi"/>
        </w:rPr>
        <w:t xml:space="preserve">overnment </w:t>
      </w:r>
      <w:r w:rsidR="00305C6E">
        <w:rPr>
          <w:rFonts w:asciiTheme="minorHAnsi" w:hAnsiTheme="minorHAnsi"/>
        </w:rPr>
        <w:t>the cumulative effect, especially on smaller sponsors, and the impacts of parallel cost increases by other parts of the Government (e.g. reimbursement processes) were note</w:t>
      </w:r>
      <w:r w:rsidR="00F87FD2">
        <w:rPr>
          <w:rFonts w:asciiTheme="minorHAnsi" w:hAnsiTheme="minorHAnsi"/>
        </w:rPr>
        <w:t>d</w:t>
      </w:r>
      <w:r w:rsidR="00D25C8C">
        <w:rPr>
          <w:rFonts w:asciiTheme="minorHAnsi" w:hAnsiTheme="minorHAnsi"/>
        </w:rPr>
        <w:t xml:space="preserve">. </w:t>
      </w:r>
    </w:p>
    <w:p w14:paraId="4C4FDB58" w14:textId="2B6EF5A2" w:rsidR="009425E1" w:rsidRDefault="00A647D9" w:rsidP="0000066C">
      <w:pPr>
        <w:spacing w:after="120"/>
        <w:rPr>
          <w:rFonts w:asciiTheme="minorHAnsi" w:hAnsiTheme="minorHAnsi"/>
        </w:rPr>
      </w:pPr>
      <w:proofErr w:type="gramStart"/>
      <w:r w:rsidRPr="006F47BB">
        <w:rPr>
          <w:rFonts w:asciiTheme="minorHAnsi" w:hAnsiTheme="minorHAnsi"/>
        </w:rPr>
        <w:t>In order to</w:t>
      </w:r>
      <w:proofErr w:type="gramEnd"/>
      <w:r w:rsidR="0000066C" w:rsidRPr="0000066C">
        <w:rPr>
          <w:rFonts w:asciiTheme="minorHAnsi" w:hAnsiTheme="minorHAnsi"/>
        </w:rPr>
        <w:t xml:space="preserve"> obtain broader feedback from industry, the TGA encourages all stakeholders to provide their comments on the proposed 202</w:t>
      </w:r>
      <w:r w:rsidR="0060733C">
        <w:rPr>
          <w:rFonts w:asciiTheme="minorHAnsi" w:hAnsiTheme="minorHAnsi"/>
        </w:rPr>
        <w:t>4</w:t>
      </w:r>
      <w:r w:rsidR="0000066C" w:rsidRPr="0000066C">
        <w:rPr>
          <w:rFonts w:asciiTheme="minorHAnsi" w:hAnsiTheme="minorHAnsi"/>
        </w:rPr>
        <w:t>-2</w:t>
      </w:r>
      <w:r w:rsidR="0060733C">
        <w:rPr>
          <w:rFonts w:asciiTheme="minorHAnsi" w:hAnsiTheme="minorHAnsi"/>
        </w:rPr>
        <w:t>5</w:t>
      </w:r>
      <w:r w:rsidR="0000066C" w:rsidRPr="0000066C">
        <w:rPr>
          <w:rFonts w:asciiTheme="minorHAnsi" w:hAnsiTheme="minorHAnsi"/>
        </w:rPr>
        <w:t xml:space="preserve"> fees and charges (preferably through their relevant peak body). The feedback will inform the final proposal to Government for consideration and decision.</w:t>
      </w:r>
    </w:p>
    <w:p w14:paraId="4326E595" w14:textId="2414AE55" w:rsidR="009425E1" w:rsidRPr="00E10E80" w:rsidRDefault="00F636DF">
      <w:pPr>
        <w:pStyle w:val="ListBullet"/>
        <w:numPr>
          <w:ilvl w:val="0"/>
          <w:numId w:val="20"/>
        </w:numPr>
        <w:rPr>
          <w:rFonts w:asciiTheme="minorHAnsi" w:hAnsiTheme="minorHAnsi"/>
          <w:b/>
          <w:bCs/>
        </w:rPr>
      </w:pPr>
      <w:bookmarkStart w:id="21" w:name="_Toc93946216"/>
      <w:r w:rsidRPr="00E10E80">
        <w:rPr>
          <w:rFonts w:asciiTheme="minorHAnsi" w:hAnsiTheme="minorHAnsi"/>
          <w:b/>
          <w:bCs/>
        </w:rPr>
        <w:t xml:space="preserve">Regulatory </w:t>
      </w:r>
      <w:r w:rsidR="00D50221" w:rsidRPr="00E10E80">
        <w:rPr>
          <w:rFonts w:asciiTheme="minorHAnsi" w:hAnsiTheme="minorHAnsi"/>
          <w:b/>
          <w:bCs/>
        </w:rPr>
        <w:t>I</w:t>
      </w:r>
      <w:r w:rsidR="009425E1" w:rsidRPr="00E10E80">
        <w:rPr>
          <w:rFonts w:asciiTheme="minorHAnsi" w:hAnsiTheme="minorHAnsi"/>
          <w:b/>
          <w:bCs/>
        </w:rPr>
        <w:t>mpact a</w:t>
      </w:r>
      <w:bookmarkEnd w:id="21"/>
      <w:r w:rsidR="00BD5710" w:rsidRPr="00E10E80">
        <w:rPr>
          <w:rFonts w:asciiTheme="minorHAnsi" w:hAnsiTheme="minorHAnsi"/>
          <w:b/>
          <w:bCs/>
        </w:rPr>
        <w:t>nalysis</w:t>
      </w:r>
      <w:r w:rsidR="00AC7997">
        <w:rPr>
          <w:rFonts w:asciiTheme="minorHAnsi" w:hAnsiTheme="minorHAnsi"/>
          <w:b/>
          <w:bCs/>
        </w:rPr>
        <w:t xml:space="preserve"> </w:t>
      </w:r>
    </w:p>
    <w:p w14:paraId="20605BCA" w14:textId="706B0A0E" w:rsidR="00001106" w:rsidRDefault="009425E1" w:rsidP="009425E1">
      <w:pPr>
        <w:spacing w:after="120"/>
        <w:rPr>
          <w:rFonts w:asciiTheme="minorHAnsi" w:hAnsiTheme="minorHAnsi"/>
        </w:rPr>
      </w:pPr>
      <w:r w:rsidRPr="009425E1">
        <w:rPr>
          <w:rFonts w:asciiTheme="minorHAnsi" w:hAnsiTheme="minorHAnsi"/>
        </w:rPr>
        <w:t xml:space="preserve">The proposed </w:t>
      </w:r>
      <w:r w:rsidR="001777E2">
        <w:rPr>
          <w:rFonts w:asciiTheme="minorHAnsi" w:hAnsiTheme="minorHAnsi"/>
        </w:rPr>
        <w:t>4.7</w:t>
      </w:r>
      <w:r w:rsidR="00001106">
        <w:rPr>
          <w:rFonts w:asciiTheme="minorHAnsi" w:hAnsiTheme="minorHAnsi"/>
        </w:rPr>
        <w:t xml:space="preserve">% increase </w:t>
      </w:r>
      <w:r w:rsidRPr="009425E1">
        <w:rPr>
          <w:rFonts w:asciiTheme="minorHAnsi" w:hAnsiTheme="minorHAnsi"/>
        </w:rPr>
        <w:t xml:space="preserve">to </w:t>
      </w:r>
      <w:r w:rsidR="00001106">
        <w:rPr>
          <w:rFonts w:asciiTheme="minorHAnsi" w:hAnsiTheme="minorHAnsi"/>
        </w:rPr>
        <w:t xml:space="preserve">all </w:t>
      </w:r>
      <w:r w:rsidRPr="009425E1">
        <w:rPr>
          <w:rFonts w:asciiTheme="minorHAnsi" w:hAnsiTheme="minorHAnsi"/>
        </w:rPr>
        <w:t xml:space="preserve">TGA fees and charges </w:t>
      </w:r>
      <w:r w:rsidR="00A86BA7" w:rsidRPr="009425E1">
        <w:rPr>
          <w:rFonts w:asciiTheme="minorHAnsi" w:hAnsiTheme="minorHAnsi"/>
        </w:rPr>
        <w:t>are</w:t>
      </w:r>
      <w:r w:rsidRPr="009425E1">
        <w:rPr>
          <w:rFonts w:asciiTheme="minorHAnsi" w:hAnsiTheme="minorHAnsi"/>
        </w:rPr>
        <w:t xml:space="preserve"> within the parameters of the </w:t>
      </w:r>
      <w:r w:rsidR="00001106">
        <w:rPr>
          <w:rFonts w:asciiTheme="minorHAnsi" w:hAnsiTheme="minorHAnsi"/>
        </w:rPr>
        <w:t xml:space="preserve">agreed </w:t>
      </w:r>
      <w:r w:rsidRPr="009425E1">
        <w:rPr>
          <w:rFonts w:asciiTheme="minorHAnsi" w:hAnsiTheme="minorHAnsi"/>
        </w:rPr>
        <w:t>carve-out</w:t>
      </w:r>
      <w:r w:rsidR="00001106">
        <w:rPr>
          <w:rFonts w:asciiTheme="minorHAnsi" w:hAnsiTheme="minorHAnsi"/>
        </w:rPr>
        <w:t xml:space="preserve"> between the Department and the Office of Impact Analysis</w:t>
      </w:r>
      <w:r w:rsidRPr="009425E1">
        <w:rPr>
          <w:rFonts w:asciiTheme="minorHAnsi" w:hAnsiTheme="minorHAnsi"/>
        </w:rPr>
        <w:t>.</w:t>
      </w:r>
    </w:p>
    <w:p w14:paraId="51C9A308" w14:textId="4F7734C5" w:rsidR="004E79E7" w:rsidRDefault="004E79E7" w:rsidP="00A86BA7">
      <w:pPr>
        <w:spacing w:after="120"/>
        <w:rPr>
          <w:rFonts w:asciiTheme="minorHAnsi" w:hAnsiTheme="minorHAnsi"/>
        </w:rPr>
      </w:pPr>
      <w:r>
        <w:rPr>
          <w:rFonts w:asciiTheme="minorHAnsi" w:hAnsiTheme="minorHAnsi"/>
        </w:rPr>
        <w:t xml:space="preserve">Increases to annual charges for digital transformation and UDI cost recovery are in accordance with the </w:t>
      </w:r>
      <w:r w:rsidR="00E10E80">
        <w:rPr>
          <w:rFonts w:asciiTheme="minorHAnsi" w:hAnsiTheme="minorHAnsi"/>
        </w:rPr>
        <w:t>October</w:t>
      </w:r>
      <w:r w:rsidR="00306DAB">
        <w:rPr>
          <w:rFonts w:asciiTheme="minorHAnsi" w:hAnsiTheme="minorHAnsi"/>
        </w:rPr>
        <w:t xml:space="preserve"> 2022 </w:t>
      </w:r>
      <w:r>
        <w:rPr>
          <w:rFonts w:asciiTheme="minorHAnsi" w:hAnsiTheme="minorHAnsi"/>
        </w:rPr>
        <w:t>B</w:t>
      </w:r>
      <w:r w:rsidR="00195ED7">
        <w:rPr>
          <w:rFonts w:asciiTheme="minorHAnsi" w:hAnsiTheme="minorHAnsi"/>
        </w:rPr>
        <w:t xml:space="preserve">udget </w:t>
      </w:r>
      <w:r>
        <w:rPr>
          <w:rFonts w:asciiTheme="minorHAnsi" w:hAnsiTheme="minorHAnsi"/>
        </w:rPr>
        <w:t xml:space="preserve">decision in which </w:t>
      </w:r>
      <w:r w:rsidR="00306DAB">
        <w:rPr>
          <w:rFonts w:asciiTheme="minorHAnsi" w:hAnsiTheme="minorHAnsi"/>
        </w:rPr>
        <w:t>t</w:t>
      </w:r>
      <w:r w:rsidR="00001106">
        <w:rPr>
          <w:rFonts w:asciiTheme="minorHAnsi" w:hAnsiTheme="minorHAnsi"/>
        </w:rPr>
        <w:t xml:space="preserve">he </w:t>
      </w:r>
      <w:r w:rsidR="00161051">
        <w:rPr>
          <w:rFonts w:asciiTheme="minorHAnsi" w:hAnsiTheme="minorHAnsi"/>
        </w:rPr>
        <w:t>Government a</w:t>
      </w:r>
      <w:r w:rsidR="00AC7997">
        <w:rPr>
          <w:rFonts w:asciiTheme="minorHAnsi" w:hAnsiTheme="minorHAnsi"/>
        </w:rPr>
        <w:t>sked</w:t>
      </w:r>
      <w:r w:rsidR="00161051">
        <w:rPr>
          <w:rFonts w:asciiTheme="minorHAnsi" w:hAnsiTheme="minorHAnsi"/>
        </w:rPr>
        <w:t xml:space="preserve"> </w:t>
      </w:r>
      <w:r>
        <w:rPr>
          <w:rFonts w:asciiTheme="minorHAnsi" w:hAnsiTheme="minorHAnsi"/>
        </w:rPr>
        <w:t xml:space="preserve">the Department </w:t>
      </w:r>
      <w:r w:rsidR="00306DAB">
        <w:rPr>
          <w:rFonts w:asciiTheme="minorHAnsi" w:hAnsiTheme="minorHAnsi"/>
        </w:rPr>
        <w:t>to raise</w:t>
      </w:r>
      <w:r>
        <w:rPr>
          <w:rFonts w:asciiTheme="minorHAnsi" w:hAnsiTheme="minorHAnsi"/>
        </w:rPr>
        <w:t xml:space="preserve"> </w:t>
      </w:r>
      <w:r w:rsidR="00306DAB">
        <w:rPr>
          <w:rFonts w:asciiTheme="minorHAnsi" w:hAnsiTheme="minorHAnsi"/>
        </w:rPr>
        <w:t>$23.</w:t>
      </w:r>
      <w:r w:rsidR="00CF5B3D">
        <w:rPr>
          <w:rFonts w:asciiTheme="minorHAnsi" w:hAnsiTheme="minorHAnsi"/>
        </w:rPr>
        <w:t>7</w:t>
      </w:r>
      <w:r w:rsidR="00AC7997">
        <w:rPr>
          <w:rFonts w:asciiTheme="minorHAnsi" w:hAnsiTheme="minorHAnsi"/>
        </w:rPr>
        <w:t xml:space="preserve"> million</w:t>
      </w:r>
      <w:r w:rsidR="00306DAB">
        <w:rPr>
          <w:rFonts w:asciiTheme="minorHAnsi" w:hAnsiTheme="minorHAnsi"/>
        </w:rPr>
        <w:t xml:space="preserve"> over </w:t>
      </w:r>
      <w:r w:rsidR="00AC7997">
        <w:rPr>
          <w:rFonts w:asciiTheme="minorHAnsi" w:hAnsiTheme="minorHAnsi"/>
        </w:rPr>
        <w:t xml:space="preserve">five </w:t>
      </w:r>
      <w:r w:rsidR="00306DAB">
        <w:rPr>
          <w:rFonts w:asciiTheme="minorHAnsi" w:hAnsiTheme="minorHAnsi"/>
        </w:rPr>
        <w:t xml:space="preserve">years from </w:t>
      </w:r>
      <w:r w:rsidR="00504012">
        <w:rPr>
          <w:rFonts w:asciiTheme="minorHAnsi" w:hAnsiTheme="minorHAnsi"/>
        </w:rPr>
        <w:t>industry</w:t>
      </w:r>
      <w:r w:rsidR="00AC7997">
        <w:rPr>
          <w:rFonts w:asciiTheme="minorHAnsi" w:hAnsiTheme="minorHAnsi"/>
        </w:rPr>
        <w:t xml:space="preserve"> </w:t>
      </w:r>
      <w:r w:rsidR="00385C4A">
        <w:rPr>
          <w:rFonts w:asciiTheme="minorHAnsi" w:hAnsiTheme="minorHAnsi"/>
        </w:rPr>
        <w:t xml:space="preserve">through </w:t>
      </w:r>
      <w:r>
        <w:rPr>
          <w:rFonts w:asciiTheme="minorHAnsi" w:hAnsiTheme="minorHAnsi"/>
        </w:rPr>
        <w:t xml:space="preserve">the TGA </w:t>
      </w:r>
      <w:r w:rsidR="00306DAB">
        <w:rPr>
          <w:rFonts w:asciiTheme="minorHAnsi" w:hAnsiTheme="minorHAnsi"/>
        </w:rPr>
        <w:t>cost recovery</w:t>
      </w:r>
      <w:r>
        <w:rPr>
          <w:rFonts w:asciiTheme="minorHAnsi" w:hAnsiTheme="minorHAnsi"/>
        </w:rPr>
        <w:t xml:space="preserve">. The </w:t>
      </w:r>
      <w:r w:rsidR="00B633E1">
        <w:rPr>
          <w:rFonts w:asciiTheme="minorHAnsi" w:hAnsiTheme="minorHAnsi"/>
        </w:rPr>
        <w:t>regulatory</w:t>
      </w:r>
      <w:r>
        <w:rPr>
          <w:rFonts w:asciiTheme="minorHAnsi" w:hAnsiTheme="minorHAnsi"/>
        </w:rPr>
        <w:t xml:space="preserve"> impact of this decision was captured through the 2022-23 Budget process.</w:t>
      </w:r>
    </w:p>
    <w:p w14:paraId="0D537DD7" w14:textId="664F6E9D" w:rsidR="009425E1" w:rsidRPr="00A86BA7" w:rsidRDefault="00A86BA7" w:rsidP="00A86BA7">
      <w:pPr>
        <w:spacing w:after="120"/>
        <w:rPr>
          <w:rFonts w:asciiTheme="minorHAnsi" w:hAnsiTheme="minorHAnsi"/>
        </w:rPr>
      </w:pPr>
      <w:r>
        <w:rPr>
          <w:rFonts w:asciiTheme="minorHAnsi" w:hAnsiTheme="minorHAnsi"/>
        </w:rPr>
        <w:t>The</w:t>
      </w:r>
      <w:r w:rsidR="009425E1" w:rsidRPr="00A86BA7">
        <w:rPr>
          <w:rFonts w:asciiTheme="minorHAnsi" w:hAnsiTheme="minorHAnsi"/>
        </w:rPr>
        <w:t xml:space="preserve"> </w:t>
      </w:r>
      <w:r w:rsidR="0069270F">
        <w:rPr>
          <w:rFonts w:asciiTheme="minorHAnsi" w:hAnsiTheme="minorHAnsi"/>
        </w:rPr>
        <w:t xml:space="preserve">other </w:t>
      </w:r>
      <w:r w:rsidR="009425E1" w:rsidRPr="00A86BA7">
        <w:rPr>
          <w:rFonts w:asciiTheme="minorHAnsi" w:hAnsiTheme="minorHAnsi"/>
        </w:rPr>
        <w:t>changes discussed in this paper are not likely to change the regulatory burden on stakeholders</w:t>
      </w:r>
      <w:r w:rsidR="00DA226B">
        <w:rPr>
          <w:rFonts w:asciiTheme="minorHAnsi" w:hAnsiTheme="minorHAnsi"/>
        </w:rPr>
        <w:t xml:space="preserve"> and the TGA is proposing no further impact analysis is required.</w:t>
      </w:r>
    </w:p>
    <w:p w14:paraId="070C261E" w14:textId="77777777" w:rsidR="00A86BA7" w:rsidRPr="00C22A50" w:rsidRDefault="00A86BA7">
      <w:pPr>
        <w:pStyle w:val="Heading3"/>
        <w:numPr>
          <w:ilvl w:val="0"/>
          <w:numId w:val="18"/>
        </w:numPr>
        <w:rPr>
          <w:rFonts w:asciiTheme="minorHAnsi" w:hAnsiTheme="minorHAnsi"/>
        </w:rPr>
      </w:pPr>
      <w:bookmarkStart w:id="22" w:name="_Toc153538024"/>
      <w:r w:rsidRPr="00C22A50">
        <w:rPr>
          <w:rFonts w:asciiTheme="minorHAnsi" w:hAnsiTheme="minorHAnsi"/>
        </w:rPr>
        <w:t>Next steps</w:t>
      </w:r>
      <w:bookmarkEnd w:id="22"/>
    </w:p>
    <w:p w14:paraId="535E5C2B" w14:textId="6E00FE71" w:rsidR="00D50221" w:rsidRDefault="00A86BA7" w:rsidP="00A86BA7">
      <w:pPr>
        <w:spacing w:after="120"/>
        <w:rPr>
          <w:rFonts w:asciiTheme="minorHAnsi" w:hAnsiTheme="minorHAnsi"/>
        </w:rPr>
      </w:pPr>
      <w:r w:rsidRPr="00A86BA7">
        <w:rPr>
          <w:rFonts w:asciiTheme="minorHAnsi" w:hAnsiTheme="minorHAnsi"/>
        </w:rPr>
        <w:t xml:space="preserve">Through this consultation paper, the TGA is inviting submissions </w:t>
      </w:r>
      <w:r w:rsidR="00C81D8F">
        <w:rPr>
          <w:rFonts w:asciiTheme="minorHAnsi" w:hAnsiTheme="minorHAnsi"/>
        </w:rPr>
        <w:t xml:space="preserve">through </w:t>
      </w:r>
      <w:r w:rsidR="00DA226B">
        <w:rPr>
          <w:rFonts w:asciiTheme="minorHAnsi" w:hAnsiTheme="minorHAnsi"/>
        </w:rPr>
        <w:t xml:space="preserve">the </w:t>
      </w:r>
      <w:hyperlink r:id="rId22" w:history="1">
        <w:r w:rsidR="00C81D8F" w:rsidRPr="004229A0">
          <w:rPr>
            <w:rStyle w:val="Hyperlink"/>
            <w:rFonts w:asciiTheme="minorHAnsi" w:hAnsiTheme="minorHAnsi"/>
          </w:rPr>
          <w:t>consultation hub</w:t>
        </w:r>
      </w:hyperlink>
      <w:r w:rsidR="00116791">
        <w:rPr>
          <w:rFonts w:asciiTheme="minorHAnsi" w:hAnsiTheme="minorHAnsi"/>
        </w:rPr>
        <w:t xml:space="preserve"> </w:t>
      </w:r>
      <w:r w:rsidR="00DA226B">
        <w:rPr>
          <w:rFonts w:asciiTheme="minorHAnsi" w:hAnsiTheme="minorHAnsi"/>
        </w:rPr>
        <w:t>for</w:t>
      </w:r>
      <w:r w:rsidRPr="00A86BA7">
        <w:rPr>
          <w:rFonts w:asciiTheme="minorHAnsi" w:hAnsiTheme="minorHAnsi"/>
        </w:rPr>
        <w:t xml:space="preserve"> the 20</w:t>
      </w:r>
      <w:r w:rsidR="00871D3E">
        <w:rPr>
          <w:rFonts w:asciiTheme="minorHAnsi" w:hAnsiTheme="minorHAnsi"/>
        </w:rPr>
        <w:t>24</w:t>
      </w:r>
      <w:r w:rsidRPr="00A86BA7">
        <w:rPr>
          <w:rFonts w:asciiTheme="minorHAnsi" w:hAnsiTheme="minorHAnsi"/>
        </w:rPr>
        <w:t>-2</w:t>
      </w:r>
      <w:r w:rsidR="00B10858">
        <w:rPr>
          <w:rFonts w:asciiTheme="minorHAnsi" w:hAnsiTheme="minorHAnsi"/>
        </w:rPr>
        <w:t>5</w:t>
      </w:r>
      <w:r w:rsidRPr="00A86BA7">
        <w:rPr>
          <w:rFonts w:asciiTheme="minorHAnsi" w:hAnsiTheme="minorHAnsi"/>
        </w:rPr>
        <w:t xml:space="preserve"> fees and charges. </w:t>
      </w:r>
    </w:p>
    <w:p w14:paraId="781F0B9C" w14:textId="5CF9010B" w:rsidR="00A86BA7" w:rsidRPr="00A86BA7" w:rsidRDefault="00A86BA7" w:rsidP="00A86BA7">
      <w:pPr>
        <w:spacing w:after="120"/>
        <w:rPr>
          <w:rFonts w:asciiTheme="minorHAnsi" w:hAnsiTheme="minorHAnsi"/>
        </w:rPr>
      </w:pPr>
      <w:r w:rsidRPr="00A86BA7">
        <w:rPr>
          <w:rFonts w:asciiTheme="minorHAnsi" w:hAnsiTheme="minorHAnsi"/>
        </w:rPr>
        <w:t xml:space="preserve">The TGA will consider the feedback before seeking approval of </w:t>
      </w:r>
      <w:r w:rsidR="00DA226B">
        <w:rPr>
          <w:rFonts w:asciiTheme="minorHAnsi" w:hAnsiTheme="minorHAnsi"/>
        </w:rPr>
        <w:t xml:space="preserve">the proposed </w:t>
      </w:r>
      <w:r w:rsidRPr="00A86BA7">
        <w:rPr>
          <w:rFonts w:asciiTheme="minorHAnsi" w:hAnsiTheme="minorHAnsi"/>
        </w:rPr>
        <w:t>fees and charges for 202</w:t>
      </w:r>
      <w:r w:rsidR="00BB4CDD">
        <w:rPr>
          <w:rFonts w:asciiTheme="minorHAnsi" w:hAnsiTheme="minorHAnsi"/>
        </w:rPr>
        <w:t>4</w:t>
      </w:r>
      <w:r w:rsidRPr="00A86BA7">
        <w:rPr>
          <w:rFonts w:asciiTheme="minorHAnsi" w:hAnsiTheme="minorHAnsi"/>
        </w:rPr>
        <w:t>-2</w:t>
      </w:r>
      <w:r w:rsidR="00BB4CDD">
        <w:rPr>
          <w:rFonts w:asciiTheme="minorHAnsi" w:hAnsiTheme="minorHAnsi"/>
        </w:rPr>
        <w:t>5</w:t>
      </w:r>
      <w:r w:rsidRPr="00A86BA7">
        <w:rPr>
          <w:rFonts w:asciiTheme="minorHAnsi" w:hAnsiTheme="minorHAnsi"/>
        </w:rPr>
        <w:t xml:space="preserve"> from the Minister for Health and Aged Care. Subject to Ministerial approval, it is expected that the amendment regulation to give effect to the new fees and charges will be submitted for consideration by the Federal Executive Council in May 202</w:t>
      </w:r>
      <w:r w:rsidR="00BB4CDD">
        <w:rPr>
          <w:rFonts w:asciiTheme="minorHAnsi" w:hAnsiTheme="minorHAnsi"/>
        </w:rPr>
        <w:t>4</w:t>
      </w:r>
      <w:r w:rsidRPr="00A86BA7">
        <w:rPr>
          <w:rFonts w:asciiTheme="minorHAnsi" w:hAnsiTheme="minorHAnsi"/>
        </w:rPr>
        <w:t xml:space="preserve">.  This will allow sufficient notice to </w:t>
      </w:r>
      <w:r w:rsidR="00D50221">
        <w:rPr>
          <w:rFonts w:asciiTheme="minorHAnsi" w:hAnsiTheme="minorHAnsi"/>
        </w:rPr>
        <w:t>affected businesses</w:t>
      </w:r>
      <w:r w:rsidR="00BB4CDD">
        <w:rPr>
          <w:rFonts w:asciiTheme="minorHAnsi" w:hAnsiTheme="minorHAnsi"/>
        </w:rPr>
        <w:t xml:space="preserve">/ </w:t>
      </w:r>
      <w:r w:rsidR="00126A5C">
        <w:rPr>
          <w:rFonts w:asciiTheme="minorHAnsi" w:hAnsiTheme="minorHAnsi"/>
        </w:rPr>
        <w:t>sponsors</w:t>
      </w:r>
      <w:r w:rsidR="00D50221">
        <w:rPr>
          <w:rFonts w:asciiTheme="minorHAnsi" w:hAnsiTheme="minorHAnsi"/>
        </w:rPr>
        <w:t xml:space="preserve"> </w:t>
      </w:r>
      <w:r w:rsidRPr="00A86BA7">
        <w:rPr>
          <w:rFonts w:asciiTheme="minorHAnsi" w:hAnsiTheme="minorHAnsi"/>
        </w:rPr>
        <w:t>about changes to fees and charges effective from 1 July 202</w:t>
      </w:r>
      <w:r w:rsidR="004D2BA3">
        <w:rPr>
          <w:rFonts w:asciiTheme="minorHAnsi" w:hAnsiTheme="minorHAnsi"/>
        </w:rPr>
        <w:t>4</w:t>
      </w:r>
      <w:r w:rsidRPr="00A86BA7">
        <w:rPr>
          <w:rFonts w:asciiTheme="minorHAnsi" w:hAnsiTheme="minorHAnsi"/>
        </w:rPr>
        <w:t>.</w:t>
      </w:r>
    </w:p>
    <w:p w14:paraId="1D9BFB6C" w14:textId="28EF45CF" w:rsidR="00ED1E56" w:rsidRDefault="00A86BA7" w:rsidP="00F5213B">
      <w:pPr>
        <w:spacing w:after="120"/>
        <w:rPr>
          <w:rFonts w:asciiTheme="minorHAnsi" w:hAnsiTheme="minorHAnsi"/>
        </w:rPr>
      </w:pPr>
      <w:r w:rsidRPr="00A86BA7">
        <w:rPr>
          <w:rFonts w:asciiTheme="minorHAnsi" w:hAnsiTheme="minorHAnsi"/>
        </w:rPr>
        <w:t>The TGA Cost Recovery Implementation Statement will be published on the TGA website before the revised fees and charges take effect. The TGA fees and charges on the website will also be updated.</w:t>
      </w:r>
    </w:p>
    <w:p w14:paraId="7E55CC12" w14:textId="3C82BF62" w:rsidR="00C81D8F" w:rsidRPr="006A526A" w:rsidRDefault="00C81D8F" w:rsidP="00F5213B">
      <w:pPr>
        <w:spacing w:after="120"/>
        <w:rPr>
          <w:rFonts w:ascii="Calibri" w:eastAsia="Times New Roman" w:hAnsi="Calibri"/>
          <w:b/>
          <w:bCs/>
          <w:color w:val="001871"/>
          <w:sz w:val="28"/>
          <w:szCs w:val="28"/>
        </w:rPr>
      </w:pPr>
      <w:r w:rsidRPr="006A526A">
        <w:rPr>
          <w:rFonts w:asciiTheme="minorHAnsi" w:hAnsiTheme="minorHAnsi"/>
        </w:rPr>
        <w:t>Any questions relating to submissions should be emailed to</w:t>
      </w:r>
      <w:r w:rsidRPr="004229A0">
        <w:rPr>
          <w:rFonts w:asciiTheme="minorHAnsi" w:hAnsiTheme="minorHAnsi"/>
        </w:rPr>
        <w:t xml:space="preserve"> </w:t>
      </w:r>
      <w:hyperlink r:id="rId23" w:history="1">
        <w:r w:rsidRPr="004229A0">
          <w:rPr>
            <w:rStyle w:val="Hyperlink"/>
            <w:rFonts w:asciiTheme="minorHAnsi" w:hAnsiTheme="minorHAnsi"/>
          </w:rPr>
          <w:t>TGAFeesAndCharges@health.gov.au</w:t>
        </w:r>
      </w:hyperlink>
    </w:p>
    <w:p w14:paraId="3C8FF1EF" w14:textId="15B49997" w:rsidR="009E7842" w:rsidRDefault="009E7842">
      <w:pPr>
        <w:spacing w:before="0" w:after="0" w:line="240" w:lineRule="auto"/>
        <w:rPr>
          <w:rFonts w:asciiTheme="minorHAnsi" w:eastAsia="Times New Roman" w:hAnsiTheme="minorHAnsi"/>
          <w:b/>
          <w:bCs/>
          <w:color w:val="001871"/>
          <w:sz w:val="28"/>
          <w:szCs w:val="28"/>
        </w:rPr>
      </w:pPr>
      <w:r>
        <w:rPr>
          <w:rFonts w:asciiTheme="minorHAnsi" w:hAnsiTheme="minorHAnsi"/>
          <w:sz w:val="28"/>
          <w:szCs w:val="28"/>
        </w:rPr>
        <w:br w:type="page"/>
      </w:r>
    </w:p>
    <w:p w14:paraId="53F6D0BB" w14:textId="450B123A" w:rsidR="00E60356" w:rsidRPr="00215D48" w:rsidRDefault="00E60356" w:rsidP="00706634">
      <w:pPr>
        <w:spacing w:before="0" w:after="0" w:line="240" w:lineRule="auto"/>
        <w:rPr>
          <w:sz w:val="20"/>
        </w:rPr>
        <w:sectPr w:rsidR="00E60356" w:rsidRPr="00215D48" w:rsidSect="00AE7C6A">
          <w:headerReference w:type="default" r:id="rId24"/>
          <w:footerReference w:type="default" r:id="rId2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111B299" w14:textId="77777777" w:rsidTr="001F4CB4">
        <w:trPr>
          <w:trHeight w:hRule="exact" w:val="565"/>
          <w:jc w:val="center"/>
        </w:trPr>
        <w:tc>
          <w:tcPr>
            <w:tcW w:w="9145" w:type="dxa"/>
          </w:tcPr>
          <w:p w14:paraId="3EB28128" w14:textId="77777777" w:rsidR="00C50E5C" w:rsidRPr="00215D48" w:rsidRDefault="00C50E5C" w:rsidP="001F4CB4">
            <w:pPr>
              <w:pStyle w:val="TGASignoff"/>
            </w:pPr>
            <w:r w:rsidRPr="00215D48">
              <w:lastRenderedPageBreak/>
              <w:t>Therapeutic Goods Administration</w:t>
            </w:r>
          </w:p>
        </w:tc>
      </w:tr>
      <w:tr w:rsidR="00C50E5C" w:rsidRPr="00215D48" w14:paraId="4DE3799A" w14:textId="77777777" w:rsidTr="001F4CB4">
        <w:trPr>
          <w:trHeight w:val="963"/>
          <w:jc w:val="center"/>
        </w:trPr>
        <w:tc>
          <w:tcPr>
            <w:tcW w:w="9145" w:type="dxa"/>
            <w:tcMar>
              <w:top w:w="28" w:type="dxa"/>
            </w:tcMar>
          </w:tcPr>
          <w:p w14:paraId="7EFD73F7" w14:textId="77777777" w:rsidR="00C50E5C" w:rsidRPr="00215D48" w:rsidRDefault="00C50E5C" w:rsidP="00EB5622">
            <w:pPr>
              <w:pStyle w:val="Address"/>
              <w:jc w:val="center"/>
            </w:pPr>
            <w:r w:rsidRPr="00215D48">
              <w:t>PO Box 100 Woden ACT 2606 Australia</w:t>
            </w:r>
          </w:p>
          <w:p w14:paraId="5C56C982" w14:textId="33F76638" w:rsidR="001A3190" w:rsidRDefault="00C50E5C">
            <w:pPr>
              <w:pStyle w:val="Address"/>
              <w:jc w:val="center"/>
              <w:rPr>
                <w:sz w:val="22"/>
                <w:szCs w:val="22"/>
              </w:rPr>
            </w:pPr>
            <w:r w:rsidRPr="00215D48">
              <w:t xml:space="preserve">Email: </w:t>
            </w:r>
            <w:hyperlink r:id="rId26" w:history="1">
              <w:r w:rsidRPr="00215D48">
                <w:rPr>
                  <w:rStyle w:val="Hyperlink"/>
                </w:rPr>
                <w:t>info@tga.gov.au</w:t>
              </w:r>
            </w:hyperlink>
            <w:r w:rsidRPr="00215D48">
              <w:t xml:space="preserve">  Phone: 1800 020 </w:t>
            </w:r>
            <w:r w:rsidR="009A6388" w:rsidRPr="00215D48">
              <w:t>653 Fax</w:t>
            </w:r>
            <w:r w:rsidRPr="00215D48">
              <w:t xml:space="preserve">: </w:t>
            </w:r>
            <w:r w:rsidR="001A3190" w:rsidRPr="00BA0DFC">
              <w:t>02 6203 1605</w:t>
            </w:r>
          </w:p>
          <w:p w14:paraId="087D66F5" w14:textId="77777777" w:rsidR="00C50E5C" w:rsidRPr="00215D48" w:rsidRDefault="00C56546">
            <w:pPr>
              <w:pStyle w:val="Address"/>
              <w:jc w:val="center"/>
              <w:rPr>
                <w:rStyle w:val="Hyperlink"/>
                <w:b/>
                <w:color w:val="auto"/>
                <w:sz w:val="22"/>
                <w:u w:val="none"/>
              </w:rPr>
            </w:pPr>
            <w:hyperlink r:id="rId27" w:history="1">
              <w:r w:rsidR="00215D48" w:rsidRPr="00C4721A">
                <w:rPr>
                  <w:rStyle w:val="Hyperlink"/>
                  <w:b/>
                </w:rPr>
                <w:t>https://www.tga.gov.au</w:t>
              </w:r>
            </w:hyperlink>
          </w:p>
        </w:tc>
      </w:tr>
      <w:tr w:rsidR="00C50E5C" w:rsidRPr="00215D48" w14:paraId="2E4628CF" w14:textId="77777777" w:rsidTr="001F4CB4">
        <w:trPr>
          <w:trHeight w:val="251"/>
          <w:jc w:val="center"/>
        </w:trPr>
        <w:tc>
          <w:tcPr>
            <w:tcW w:w="9145" w:type="dxa"/>
            <w:tcMar>
              <w:top w:w="28" w:type="dxa"/>
            </w:tcMar>
          </w:tcPr>
          <w:p w14:paraId="2ABCF66B" w14:textId="7F218CA0" w:rsidR="00C50E5C" w:rsidRPr="00215D48" w:rsidRDefault="00C50E5C" w:rsidP="00EB5622">
            <w:pPr>
              <w:pStyle w:val="Address"/>
              <w:jc w:val="center"/>
            </w:pPr>
          </w:p>
        </w:tc>
      </w:tr>
    </w:tbl>
    <w:p w14:paraId="5498610B" w14:textId="77777777" w:rsidR="00706634" w:rsidRPr="00215D48" w:rsidRDefault="00706634" w:rsidP="004A3084">
      <w:pPr>
        <w:rPr>
          <w:sz w:val="20"/>
        </w:rPr>
      </w:pPr>
    </w:p>
    <w:sectPr w:rsidR="00706634" w:rsidRPr="00215D48" w:rsidSect="00AE7C6A">
      <w:headerReference w:type="first" r:id="rId28"/>
      <w:footerReference w:type="first" r:id="rId2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2536" w14:textId="77777777" w:rsidR="00933AE3" w:rsidRDefault="00933AE3" w:rsidP="00C40A36">
      <w:pPr>
        <w:spacing w:after="0"/>
      </w:pPr>
      <w:r>
        <w:separator/>
      </w:r>
    </w:p>
  </w:endnote>
  <w:endnote w:type="continuationSeparator" w:id="0">
    <w:p w14:paraId="5702BE35" w14:textId="77777777" w:rsidR="00933AE3" w:rsidRDefault="00933AE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E18972A" w14:textId="77777777" w:rsidTr="000B30E5">
      <w:trPr>
        <w:trHeight w:val="423"/>
      </w:trPr>
      <w:tc>
        <w:tcPr>
          <w:tcW w:w="4360" w:type="dxa"/>
          <w:tcBorders>
            <w:top w:val="single" w:sz="4" w:space="0" w:color="auto"/>
          </w:tcBorders>
        </w:tcPr>
        <w:p w14:paraId="0BA5BFD0" w14:textId="77777777" w:rsidR="00A77452" w:rsidRDefault="00A77452" w:rsidP="000B30E5">
          <w:pPr>
            <w:pStyle w:val="Footer"/>
          </w:pPr>
        </w:p>
        <w:p w14:paraId="70BC42A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1554A46" w14:textId="77E0BEFF" w:rsidR="00A77452" w:rsidRDefault="00A77452" w:rsidP="000B30E5">
              <w:pPr>
                <w:pStyle w:val="Footer"/>
                <w:jc w:val="right"/>
              </w:pPr>
            </w:p>
            <w:p w14:paraId="400F1800" w14:textId="359F9FC5"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390C9478" w14:textId="77777777" w:rsidTr="000B30E5">
      <w:trPr>
        <w:trHeight w:val="263"/>
      </w:trPr>
      <w:tc>
        <w:tcPr>
          <w:tcW w:w="4360" w:type="dxa"/>
        </w:tcPr>
        <w:p w14:paraId="306BD90F"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3472F422" w14:textId="77777777" w:rsidR="00A77452" w:rsidRPr="00257138" w:rsidRDefault="00A77452" w:rsidP="000B30E5">
          <w:pPr>
            <w:pStyle w:val="Footer"/>
            <w:jc w:val="right"/>
          </w:pPr>
        </w:p>
      </w:tc>
    </w:tr>
  </w:tbl>
  <w:p w14:paraId="32A88A7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155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5B7B3D84" w14:textId="77777777" w:rsidTr="00030D34">
      <w:trPr>
        <w:trHeight w:val="423"/>
      </w:trPr>
      <w:tc>
        <w:tcPr>
          <w:tcW w:w="7338" w:type="dxa"/>
          <w:tcBorders>
            <w:top w:val="single" w:sz="4" w:space="0" w:color="auto"/>
          </w:tcBorders>
        </w:tcPr>
        <w:p w14:paraId="4C8FEE70" w14:textId="1BD1381B" w:rsidR="00FC6317" w:rsidRDefault="00FC6317" w:rsidP="00FC6317">
          <w:pPr>
            <w:pStyle w:val="Footer"/>
          </w:pPr>
          <w:r>
            <w:t>Fees and charges proposal 202</w:t>
          </w:r>
          <w:r w:rsidR="00615B0B">
            <w:t>4</w:t>
          </w:r>
          <w:r>
            <w:t>-2</w:t>
          </w:r>
          <w:r w:rsidR="00615B0B">
            <w:t>5</w:t>
          </w:r>
        </w:p>
        <w:p w14:paraId="10C70C14" w14:textId="75B37DB0" w:rsidR="00A77452" w:rsidRPr="004A3084" w:rsidRDefault="00FC6317" w:rsidP="00FC6317">
          <w:pPr>
            <w:pStyle w:val="Footer"/>
          </w:pPr>
          <w:r>
            <w:t xml:space="preserve">V1.0 </w:t>
          </w:r>
          <w:r w:rsidR="00615B0B">
            <w:t xml:space="preserve">January </w:t>
          </w:r>
          <w:r>
            <w:t>202</w:t>
          </w:r>
          <w:r w:rsidR="00615B0B">
            <w:t>4</w:t>
          </w:r>
        </w:p>
      </w:tc>
      <w:tc>
        <w:tcPr>
          <w:tcW w:w="1734" w:type="dxa"/>
          <w:tcBorders>
            <w:top w:val="single" w:sz="4" w:space="0" w:color="auto"/>
          </w:tcBorders>
        </w:tcPr>
        <w:sdt>
          <w:sdtPr>
            <w:id w:val="11571659"/>
            <w:docPartObj>
              <w:docPartGallery w:val="Page Numbers (Top of Page)"/>
              <w:docPartUnique/>
            </w:docPartObj>
          </w:sdtPr>
          <w:sdtEndPr/>
          <w:sdtContent>
            <w:p w14:paraId="3F27231F" w14:textId="6AF877ED"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21F3E8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02F6"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99DF" w14:textId="77777777" w:rsidR="00933AE3" w:rsidRDefault="00933AE3" w:rsidP="00C40A36">
      <w:pPr>
        <w:spacing w:after="0"/>
      </w:pPr>
      <w:r>
        <w:separator/>
      </w:r>
    </w:p>
  </w:footnote>
  <w:footnote w:type="continuationSeparator" w:id="0">
    <w:p w14:paraId="44755822" w14:textId="77777777" w:rsidR="00933AE3" w:rsidRDefault="00933AE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793F" w14:textId="77777777" w:rsidR="00A77452" w:rsidRDefault="00C56546" w:rsidP="00C3408D">
    <w:pPr>
      <w:pStyle w:val="Header"/>
    </w:pPr>
    <w:sdt>
      <w:sdtPr>
        <w:id w:val="-203553135"/>
        <w:docPartObj>
          <w:docPartGallery w:val="Watermarks"/>
          <w:docPartUnique/>
        </w:docPartObj>
      </w:sdtPr>
      <w:sdtEndPr/>
      <w:sdtContent>
        <w:r>
          <w:rPr>
            <w:noProof/>
          </w:rPr>
          <w:pict w14:anchorId="53BD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22354A38" w14:textId="77777777" w:rsidTr="00F71E1E">
      <w:trPr>
        <w:trHeight w:hRule="exact" w:val="8845"/>
      </w:trPr>
      <w:tc>
        <w:tcPr>
          <w:tcW w:w="11964" w:type="dxa"/>
          <w:vAlign w:val="center"/>
        </w:tcPr>
        <w:p w14:paraId="134A3DE6" w14:textId="77777777" w:rsidR="00A77452" w:rsidRPr="002B29B2" w:rsidRDefault="00C56546"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D46F12D" wp14:editId="459F1AEC">
                    <wp:extent cx="7631430" cy="552386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16CF984"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3D8A5D5" wp14:editId="295E848B">
          <wp:simplePos x="0" y="0"/>
          <wp:positionH relativeFrom="page">
            <wp:align>left</wp:align>
          </wp:positionH>
          <wp:positionV relativeFrom="page">
            <wp:posOffset>3239495</wp:posOffset>
          </wp:positionV>
          <wp:extent cx="7663815" cy="4323091"/>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2A0F89C3" wp14:editId="3124B956">
          <wp:simplePos x="0" y="0"/>
          <wp:positionH relativeFrom="column">
            <wp:posOffset>-186055</wp:posOffset>
          </wp:positionH>
          <wp:positionV relativeFrom="paragraph">
            <wp:posOffset>136525</wp:posOffset>
          </wp:positionV>
          <wp:extent cx="3524250" cy="8191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175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9E2E"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EE941E7"/>
    <w:multiLevelType w:val="multilevel"/>
    <w:tmpl w:val="1C52F5D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07A009A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96B5E63"/>
    <w:multiLevelType w:val="multilevel"/>
    <w:tmpl w:val="E3BC312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A457C3"/>
    <w:multiLevelType w:val="hybridMultilevel"/>
    <w:tmpl w:val="1FB2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534B1"/>
    <w:multiLevelType w:val="hybridMultilevel"/>
    <w:tmpl w:val="67E67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E426BF"/>
    <w:multiLevelType w:val="hybridMultilevel"/>
    <w:tmpl w:val="5D24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80752EF"/>
    <w:multiLevelType w:val="hybridMultilevel"/>
    <w:tmpl w:val="D414C450"/>
    <w:lvl w:ilvl="0" w:tplc="F5DC808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646341"/>
    <w:multiLevelType w:val="multilevel"/>
    <w:tmpl w:val="85F47CA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9D2731B"/>
    <w:multiLevelType w:val="hybridMultilevel"/>
    <w:tmpl w:val="369ED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4D1520"/>
    <w:multiLevelType w:val="hybridMultilevel"/>
    <w:tmpl w:val="3AEA7DA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6F3C8D"/>
    <w:multiLevelType w:val="hybridMultilevel"/>
    <w:tmpl w:val="51B85C8C"/>
    <w:lvl w:ilvl="0" w:tplc="B92A1CD0">
      <w:start w:val="1"/>
      <w:numFmt w:val="lowerLetter"/>
      <w:pStyle w:val="Numberbullet2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2C017C"/>
    <w:multiLevelType w:val="hybridMultilevel"/>
    <w:tmpl w:val="C5D4CA28"/>
    <w:lvl w:ilvl="0" w:tplc="0C090001">
      <w:start w:val="1"/>
      <w:numFmt w:val="bullet"/>
      <w:lvlText w:val=""/>
      <w:lvlJc w:val="left"/>
      <w:pPr>
        <w:ind w:left="720" w:hanging="360"/>
      </w:pPr>
      <w:rPr>
        <w:rFonts w:ascii="Symbol" w:hAnsi="Symbol" w:hint="default"/>
        <w:b w:val="0"/>
        <w:bCs w:val="0"/>
        <w:color w:val="3C3C3C" w:themeColor="background2" w:themeShade="4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F34C41"/>
    <w:multiLevelType w:val="multilevel"/>
    <w:tmpl w:val="2BD03BC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62134740"/>
    <w:multiLevelType w:val="multilevel"/>
    <w:tmpl w:val="5B94D53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76F26231"/>
    <w:multiLevelType w:val="hybridMultilevel"/>
    <w:tmpl w:val="C5889A8E"/>
    <w:lvl w:ilvl="0" w:tplc="2CF40824">
      <w:start w:val="1"/>
      <w:numFmt w:val="bullet"/>
      <w:pStyle w:val="CABBulletList"/>
      <w:lvlText w:val=""/>
      <w:lvlJc w:val="left"/>
      <w:pPr>
        <w:ind w:left="284" w:hanging="284"/>
      </w:pPr>
      <w:rPr>
        <w:rFonts w:ascii="Symbol" w:hAnsi="Symbol" w:hint="default"/>
        <w:color w:val="auto"/>
      </w:rPr>
    </w:lvl>
    <w:lvl w:ilvl="1" w:tplc="8D86B02A">
      <w:start w:val="1"/>
      <w:numFmt w:val="bullet"/>
      <w:lvlText w:val="o"/>
      <w:lvlJc w:val="left"/>
      <w:pPr>
        <w:ind w:left="1440" w:hanging="360"/>
      </w:pPr>
      <w:rPr>
        <w:rFonts w:ascii="Courier New" w:hAnsi="Courier New" w:cs="Times New Roman" w:hint="default"/>
      </w:rPr>
    </w:lvl>
    <w:lvl w:ilvl="2" w:tplc="D2E89418">
      <w:start w:val="1"/>
      <w:numFmt w:val="bullet"/>
      <w:lvlText w:val=""/>
      <w:lvlJc w:val="left"/>
      <w:pPr>
        <w:ind w:left="2160" w:hanging="360"/>
      </w:pPr>
      <w:rPr>
        <w:rFonts w:ascii="Wingdings" w:hAnsi="Wingdings" w:hint="default"/>
      </w:rPr>
    </w:lvl>
    <w:lvl w:ilvl="3" w:tplc="C60067B6">
      <w:start w:val="1"/>
      <w:numFmt w:val="bullet"/>
      <w:lvlText w:val=""/>
      <w:lvlJc w:val="left"/>
      <w:pPr>
        <w:ind w:left="2880" w:hanging="360"/>
      </w:pPr>
      <w:rPr>
        <w:rFonts w:ascii="Symbol" w:hAnsi="Symbol" w:hint="default"/>
      </w:rPr>
    </w:lvl>
    <w:lvl w:ilvl="4" w:tplc="0B66A73C">
      <w:start w:val="1"/>
      <w:numFmt w:val="bullet"/>
      <w:lvlText w:val="o"/>
      <w:lvlJc w:val="left"/>
      <w:pPr>
        <w:ind w:left="3600" w:hanging="360"/>
      </w:pPr>
      <w:rPr>
        <w:rFonts w:ascii="Courier New" w:hAnsi="Courier New" w:cs="Times New Roman" w:hint="default"/>
      </w:rPr>
    </w:lvl>
    <w:lvl w:ilvl="5" w:tplc="16DC449E">
      <w:start w:val="1"/>
      <w:numFmt w:val="bullet"/>
      <w:lvlText w:val=""/>
      <w:lvlJc w:val="left"/>
      <w:pPr>
        <w:ind w:left="4320" w:hanging="360"/>
      </w:pPr>
      <w:rPr>
        <w:rFonts w:ascii="Wingdings" w:hAnsi="Wingdings" w:hint="default"/>
      </w:rPr>
    </w:lvl>
    <w:lvl w:ilvl="6" w:tplc="C7D6E6A0">
      <w:start w:val="1"/>
      <w:numFmt w:val="bullet"/>
      <w:lvlText w:val=""/>
      <w:lvlJc w:val="left"/>
      <w:pPr>
        <w:ind w:left="5040" w:hanging="360"/>
      </w:pPr>
      <w:rPr>
        <w:rFonts w:ascii="Symbol" w:hAnsi="Symbol" w:hint="default"/>
      </w:rPr>
    </w:lvl>
    <w:lvl w:ilvl="7" w:tplc="3A820F88">
      <w:start w:val="1"/>
      <w:numFmt w:val="bullet"/>
      <w:lvlText w:val="o"/>
      <w:lvlJc w:val="left"/>
      <w:pPr>
        <w:ind w:left="5760" w:hanging="360"/>
      </w:pPr>
      <w:rPr>
        <w:rFonts w:ascii="Courier New" w:hAnsi="Courier New" w:cs="Times New Roman" w:hint="default"/>
      </w:rPr>
    </w:lvl>
    <w:lvl w:ilvl="8" w:tplc="1542E266">
      <w:start w:val="1"/>
      <w:numFmt w:val="bullet"/>
      <w:lvlText w:val=""/>
      <w:lvlJc w:val="left"/>
      <w:pPr>
        <w:ind w:left="6480" w:hanging="360"/>
      </w:pPr>
      <w:rPr>
        <w:rFonts w:ascii="Wingdings" w:hAnsi="Wingdings" w:hint="default"/>
      </w:rPr>
    </w:lvl>
  </w:abstractNum>
  <w:num w:numId="1" w16cid:durableId="1056004402">
    <w:abstractNumId w:val="4"/>
  </w:num>
  <w:num w:numId="2" w16cid:durableId="148445119">
    <w:abstractNumId w:val="2"/>
  </w:num>
  <w:num w:numId="3" w16cid:durableId="2121603048">
    <w:abstractNumId w:val="4"/>
  </w:num>
  <w:num w:numId="4" w16cid:durableId="564143541">
    <w:abstractNumId w:val="2"/>
  </w:num>
  <w:num w:numId="5" w16cid:durableId="1743063317">
    <w:abstractNumId w:val="3"/>
  </w:num>
  <w:num w:numId="6" w16cid:durableId="427895396">
    <w:abstractNumId w:val="16"/>
  </w:num>
  <w:num w:numId="7" w16cid:durableId="1467505614">
    <w:abstractNumId w:val="9"/>
  </w:num>
  <w:num w:numId="8" w16cid:durableId="580212944">
    <w:abstractNumId w:val="15"/>
  </w:num>
  <w:num w:numId="9" w16cid:durableId="1246842903">
    <w:abstractNumId w:val="14"/>
  </w:num>
  <w:num w:numId="10" w16cid:durableId="1281456435">
    <w:abstractNumId w:val="8"/>
  </w:num>
  <w:num w:numId="11" w16cid:durableId="840202000">
    <w:abstractNumId w:val="6"/>
  </w:num>
  <w:num w:numId="12" w16cid:durableId="2063826286">
    <w:abstractNumId w:val="17"/>
  </w:num>
  <w:num w:numId="13" w16cid:durableId="1957447072">
    <w:abstractNumId w:val="0"/>
  </w:num>
  <w:num w:numId="14" w16cid:durableId="1590889052">
    <w:abstractNumId w:val="20"/>
  </w:num>
  <w:num w:numId="15" w16cid:durableId="1381056281">
    <w:abstractNumId w:val="12"/>
  </w:num>
  <w:num w:numId="16" w16cid:durableId="477697349">
    <w:abstractNumId w:val="19"/>
  </w:num>
  <w:num w:numId="17" w16cid:durableId="2007318258">
    <w:abstractNumId w:val="1"/>
  </w:num>
  <w:num w:numId="18" w16cid:durableId="1893612837">
    <w:abstractNumId w:val="13"/>
  </w:num>
  <w:num w:numId="19" w16cid:durableId="896815713">
    <w:abstractNumId w:val="11"/>
  </w:num>
  <w:num w:numId="20" w16cid:durableId="371273254">
    <w:abstractNumId w:val="5"/>
  </w:num>
  <w:num w:numId="21" w16cid:durableId="1937130534">
    <w:abstractNumId w:val="7"/>
  </w:num>
  <w:num w:numId="22" w16cid:durableId="1380670748">
    <w:abstractNumId w:val="4"/>
  </w:num>
  <w:num w:numId="23" w16cid:durableId="109249214">
    <w:abstractNumId w:val="18"/>
  </w:num>
  <w:num w:numId="24" w16cid:durableId="75282046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B4"/>
    <w:rsid w:val="000001E0"/>
    <w:rsid w:val="0000066C"/>
    <w:rsid w:val="0000067F"/>
    <w:rsid w:val="00001106"/>
    <w:rsid w:val="00002031"/>
    <w:rsid w:val="00002DBE"/>
    <w:rsid w:val="000040A0"/>
    <w:rsid w:val="000040BA"/>
    <w:rsid w:val="00004734"/>
    <w:rsid w:val="00006B22"/>
    <w:rsid w:val="00007A42"/>
    <w:rsid w:val="00010D7E"/>
    <w:rsid w:val="00010E4D"/>
    <w:rsid w:val="0001276A"/>
    <w:rsid w:val="00016BEB"/>
    <w:rsid w:val="0001772A"/>
    <w:rsid w:val="0002338D"/>
    <w:rsid w:val="00024145"/>
    <w:rsid w:val="000246AE"/>
    <w:rsid w:val="00024DDF"/>
    <w:rsid w:val="000254B1"/>
    <w:rsid w:val="00025C67"/>
    <w:rsid w:val="00030D34"/>
    <w:rsid w:val="00031A6B"/>
    <w:rsid w:val="00032FFB"/>
    <w:rsid w:val="00033497"/>
    <w:rsid w:val="000345AA"/>
    <w:rsid w:val="00034E5A"/>
    <w:rsid w:val="000420A9"/>
    <w:rsid w:val="00042CD7"/>
    <w:rsid w:val="0005559E"/>
    <w:rsid w:val="000566A5"/>
    <w:rsid w:val="000703AB"/>
    <w:rsid w:val="00070F2A"/>
    <w:rsid w:val="000724FC"/>
    <w:rsid w:val="0007339D"/>
    <w:rsid w:val="00074A62"/>
    <w:rsid w:val="00074CAE"/>
    <w:rsid w:val="00075D49"/>
    <w:rsid w:val="00077775"/>
    <w:rsid w:val="00080F2C"/>
    <w:rsid w:val="0008467B"/>
    <w:rsid w:val="00087DD7"/>
    <w:rsid w:val="00090471"/>
    <w:rsid w:val="000911ED"/>
    <w:rsid w:val="000934A6"/>
    <w:rsid w:val="000962B9"/>
    <w:rsid w:val="000A18EA"/>
    <w:rsid w:val="000A2864"/>
    <w:rsid w:val="000A29BB"/>
    <w:rsid w:val="000A3543"/>
    <w:rsid w:val="000A4371"/>
    <w:rsid w:val="000A6513"/>
    <w:rsid w:val="000B30E5"/>
    <w:rsid w:val="000B3532"/>
    <w:rsid w:val="000B3A75"/>
    <w:rsid w:val="000B574E"/>
    <w:rsid w:val="000B5E4E"/>
    <w:rsid w:val="000B6CAE"/>
    <w:rsid w:val="000B7084"/>
    <w:rsid w:val="000C78A0"/>
    <w:rsid w:val="000D0851"/>
    <w:rsid w:val="000D157F"/>
    <w:rsid w:val="000D391B"/>
    <w:rsid w:val="000D3D6D"/>
    <w:rsid w:val="000D4FC7"/>
    <w:rsid w:val="000E0D45"/>
    <w:rsid w:val="000E5067"/>
    <w:rsid w:val="000F0241"/>
    <w:rsid w:val="000F1C73"/>
    <w:rsid w:val="000F1D3F"/>
    <w:rsid w:val="000F3347"/>
    <w:rsid w:val="000F4869"/>
    <w:rsid w:val="000F5176"/>
    <w:rsid w:val="000F5978"/>
    <w:rsid w:val="000F5B42"/>
    <w:rsid w:val="000F6CD4"/>
    <w:rsid w:val="000F6E6F"/>
    <w:rsid w:val="001003F2"/>
    <w:rsid w:val="00102BDA"/>
    <w:rsid w:val="0010601F"/>
    <w:rsid w:val="00110EA5"/>
    <w:rsid w:val="00111260"/>
    <w:rsid w:val="001138FC"/>
    <w:rsid w:val="00115240"/>
    <w:rsid w:val="00115508"/>
    <w:rsid w:val="00116791"/>
    <w:rsid w:val="00120784"/>
    <w:rsid w:val="001210F1"/>
    <w:rsid w:val="0012271B"/>
    <w:rsid w:val="00124A72"/>
    <w:rsid w:val="00125091"/>
    <w:rsid w:val="00125318"/>
    <w:rsid w:val="00126A5C"/>
    <w:rsid w:val="001304C4"/>
    <w:rsid w:val="001305A2"/>
    <w:rsid w:val="0013109F"/>
    <w:rsid w:val="00132CA4"/>
    <w:rsid w:val="00133238"/>
    <w:rsid w:val="00134F55"/>
    <w:rsid w:val="0013722A"/>
    <w:rsid w:val="00140FE3"/>
    <w:rsid w:val="0014157B"/>
    <w:rsid w:val="0014197B"/>
    <w:rsid w:val="0014245A"/>
    <w:rsid w:val="0014247A"/>
    <w:rsid w:val="001447CD"/>
    <w:rsid w:val="00144F2A"/>
    <w:rsid w:val="00145E0D"/>
    <w:rsid w:val="00147246"/>
    <w:rsid w:val="00147351"/>
    <w:rsid w:val="001500F7"/>
    <w:rsid w:val="001516B1"/>
    <w:rsid w:val="001525B4"/>
    <w:rsid w:val="0015383E"/>
    <w:rsid w:val="00156316"/>
    <w:rsid w:val="00157151"/>
    <w:rsid w:val="00161051"/>
    <w:rsid w:val="001615C5"/>
    <w:rsid w:val="00165389"/>
    <w:rsid w:val="00165DC3"/>
    <w:rsid w:val="001705DA"/>
    <w:rsid w:val="001713A3"/>
    <w:rsid w:val="00172A15"/>
    <w:rsid w:val="001760E6"/>
    <w:rsid w:val="0017693F"/>
    <w:rsid w:val="001777E2"/>
    <w:rsid w:val="0018110E"/>
    <w:rsid w:val="00181684"/>
    <w:rsid w:val="00182629"/>
    <w:rsid w:val="001843C6"/>
    <w:rsid w:val="001850E0"/>
    <w:rsid w:val="0018660B"/>
    <w:rsid w:val="00186A09"/>
    <w:rsid w:val="0018762E"/>
    <w:rsid w:val="00190997"/>
    <w:rsid w:val="00192390"/>
    <w:rsid w:val="00192AAA"/>
    <w:rsid w:val="00195CE1"/>
    <w:rsid w:val="00195ED7"/>
    <w:rsid w:val="001A16DD"/>
    <w:rsid w:val="001A3190"/>
    <w:rsid w:val="001A3E1B"/>
    <w:rsid w:val="001A525F"/>
    <w:rsid w:val="001A7E2F"/>
    <w:rsid w:val="001B09F9"/>
    <w:rsid w:val="001B6448"/>
    <w:rsid w:val="001C0FE8"/>
    <w:rsid w:val="001C2827"/>
    <w:rsid w:val="001C3A9E"/>
    <w:rsid w:val="001C4ABB"/>
    <w:rsid w:val="001D2E7A"/>
    <w:rsid w:val="001D456C"/>
    <w:rsid w:val="001D506E"/>
    <w:rsid w:val="001D7224"/>
    <w:rsid w:val="001E06B7"/>
    <w:rsid w:val="001E07CF"/>
    <w:rsid w:val="001E0EA6"/>
    <w:rsid w:val="001E275A"/>
    <w:rsid w:val="001E3CC7"/>
    <w:rsid w:val="001E4A20"/>
    <w:rsid w:val="001E59F1"/>
    <w:rsid w:val="001F124F"/>
    <w:rsid w:val="001F20F9"/>
    <w:rsid w:val="001F4398"/>
    <w:rsid w:val="001F49EB"/>
    <w:rsid w:val="001F4CB4"/>
    <w:rsid w:val="001F5E19"/>
    <w:rsid w:val="001F6CBA"/>
    <w:rsid w:val="00201D4E"/>
    <w:rsid w:val="00206736"/>
    <w:rsid w:val="00215D48"/>
    <w:rsid w:val="00217091"/>
    <w:rsid w:val="00217F2F"/>
    <w:rsid w:val="002208B9"/>
    <w:rsid w:val="00220B8A"/>
    <w:rsid w:val="00222C9A"/>
    <w:rsid w:val="002257F3"/>
    <w:rsid w:val="0022687A"/>
    <w:rsid w:val="00226EC1"/>
    <w:rsid w:val="00231E8D"/>
    <w:rsid w:val="00232313"/>
    <w:rsid w:val="00233456"/>
    <w:rsid w:val="002339A5"/>
    <w:rsid w:val="00235FEB"/>
    <w:rsid w:val="00237691"/>
    <w:rsid w:val="00247FB9"/>
    <w:rsid w:val="00251A51"/>
    <w:rsid w:val="00251FC0"/>
    <w:rsid w:val="00253466"/>
    <w:rsid w:val="00256E6E"/>
    <w:rsid w:val="00257138"/>
    <w:rsid w:val="00257848"/>
    <w:rsid w:val="00260F55"/>
    <w:rsid w:val="00263312"/>
    <w:rsid w:val="00267633"/>
    <w:rsid w:val="0027084A"/>
    <w:rsid w:val="0027137F"/>
    <w:rsid w:val="002737E1"/>
    <w:rsid w:val="002749FB"/>
    <w:rsid w:val="00286434"/>
    <w:rsid w:val="00286C59"/>
    <w:rsid w:val="00287A1C"/>
    <w:rsid w:val="0029069E"/>
    <w:rsid w:val="00290795"/>
    <w:rsid w:val="002942D1"/>
    <w:rsid w:val="002A0556"/>
    <w:rsid w:val="002A19B2"/>
    <w:rsid w:val="002A592C"/>
    <w:rsid w:val="002A5B3A"/>
    <w:rsid w:val="002A6E4C"/>
    <w:rsid w:val="002A706C"/>
    <w:rsid w:val="002A77AA"/>
    <w:rsid w:val="002B0235"/>
    <w:rsid w:val="002B1638"/>
    <w:rsid w:val="002B16EB"/>
    <w:rsid w:val="002B25CB"/>
    <w:rsid w:val="002B29B2"/>
    <w:rsid w:val="002B5842"/>
    <w:rsid w:val="002C160A"/>
    <w:rsid w:val="002C376C"/>
    <w:rsid w:val="002C647D"/>
    <w:rsid w:val="002C6D74"/>
    <w:rsid w:val="002C6E9C"/>
    <w:rsid w:val="002D09AB"/>
    <w:rsid w:val="002D4915"/>
    <w:rsid w:val="002E02F3"/>
    <w:rsid w:val="002E193A"/>
    <w:rsid w:val="002E364F"/>
    <w:rsid w:val="002E4596"/>
    <w:rsid w:val="002E4C9A"/>
    <w:rsid w:val="002F11F8"/>
    <w:rsid w:val="002F1372"/>
    <w:rsid w:val="002F260A"/>
    <w:rsid w:val="002F35F0"/>
    <w:rsid w:val="002F3F56"/>
    <w:rsid w:val="002F44B5"/>
    <w:rsid w:val="002F45E3"/>
    <w:rsid w:val="00300350"/>
    <w:rsid w:val="0030080E"/>
    <w:rsid w:val="00301FA3"/>
    <w:rsid w:val="00303914"/>
    <w:rsid w:val="00305C6E"/>
    <w:rsid w:val="00306BFA"/>
    <w:rsid w:val="00306DAB"/>
    <w:rsid w:val="00311AC0"/>
    <w:rsid w:val="00320E5C"/>
    <w:rsid w:val="003234A1"/>
    <w:rsid w:val="00323F14"/>
    <w:rsid w:val="003252DE"/>
    <w:rsid w:val="00325399"/>
    <w:rsid w:val="00325D24"/>
    <w:rsid w:val="003260D0"/>
    <w:rsid w:val="00331240"/>
    <w:rsid w:val="00331DBB"/>
    <w:rsid w:val="00335C3B"/>
    <w:rsid w:val="003361D1"/>
    <w:rsid w:val="00336D21"/>
    <w:rsid w:val="003451E2"/>
    <w:rsid w:val="00350236"/>
    <w:rsid w:val="00351056"/>
    <w:rsid w:val="0035146C"/>
    <w:rsid w:val="00351925"/>
    <w:rsid w:val="003521E8"/>
    <w:rsid w:val="003533C6"/>
    <w:rsid w:val="00356B32"/>
    <w:rsid w:val="00357700"/>
    <w:rsid w:val="003619D2"/>
    <w:rsid w:val="0036361E"/>
    <w:rsid w:val="00364802"/>
    <w:rsid w:val="003650F2"/>
    <w:rsid w:val="003664BF"/>
    <w:rsid w:val="00367F70"/>
    <w:rsid w:val="00371ADC"/>
    <w:rsid w:val="003728F3"/>
    <w:rsid w:val="00376793"/>
    <w:rsid w:val="00376A1E"/>
    <w:rsid w:val="00380E31"/>
    <w:rsid w:val="003843F6"/>
    <w:rsid w:val="00384BB6"/>
    <w:rsid w:val="00385335"/>
    <w:rsid w:val="00385C4A"/>
    <w:rsid w:val="00387E8F"/>
    <w:rsid w:val="003907CE"/>
    <w:rsid w:val="00390900"/>
    <w:rsid w:val="0039140E"/>
    <w:rsid w:val="00391BF6"/>
    <w:rsid w:val="00393398"/>
    <w:rsid w:val="00397E37"/>
    <w:rsid w:val="003A2DDF"/>
    <w:rsid w:val="003A57C6"/>
    <w:rsid w:val="003B14AF"/>
    <w:rsid w:val="003B2B38"/>
    <w:rsid w:val="003B362C"/>
    <w:rsid w:val="003B7E39"/>
    <w:rsid w:val="003C21E0"/>
    <w:rsid w:val="003C2843"/>
    <w:rsid w:val="003C2882"/>
    <w:rsid w:val="003C409A"/>
    <w:rsid w:val="003C58DC"/>
    <w:rsid w:val="003C6434"/>
    <w:rsid w:val="003C65F8"/>
    <w:rsid w:val="003C7ED1"/>
    <w:rsid w:val="003D3B63"/>
    <w:rsid w:val="003D3FF0"/>
    <w:rsid w:val="003D56AF"/>
    <w:rsid w:val="003D57F3"/>
    <w:rsid w:val="003D6B56"/>
    <w:rsid w:val="003D7EB4"/>
    <w:rsid w:val="003E0A89"/>
    <w:rsid w:val="003E15EB"/>
    <w:rsid w:val="003E3208"/>
    <w:rsid w:val="003E3EB7"/>
    <w:rsid w:val="003E776F"/>
    <w:rsid w:val="003F0B04"/>
    <w:rsid w:val="003F282B"/>
    <w:rsid w:val="003F2E95"/>
    <w:rsid w:val="003F669A"/>
    <w:rsid w:val="003F7336"/>
    <w:rsid w:val="003F7553"/>
    <w:rsid w:val="003F7C8B"/>
    <w:rsid w:val="003F7E99"/>
    <w:rsid w:val="004003C2"/>
    <w:rsid w:val="0040134E"/>
    <w:rsid w:val="00404B57"/>
    <w:rsid w:val="00406DB9"/>
    <w:rsid w:val="004077D6"/>
    <w:rsid w:val="004114D3"/>
    <w:rsid w:val="004130BB"/>
    <w:rsid w:val="00415863"/>
    <w:rsid w:val="00416BCB"/>
    <w:rsid w:val="004222B4"/>
    <w:rsid w:val="004229A0"/>
    <w:rsid w:val="00423448"/>
    <w:rsid w:val="00423479"/>
    <w:rsid w:val="004244DA"/>
    <w:rsid w:val="004361F6"/>
    <w:rsid w:val="00440A2D"/>
    <w:rsid w:val="00442DA9"/>
    <w:rsid w:val="00443902"/>
    <w:rsid w:val="004473F8"/>
    <w:rsid w:val="00447488"/>
    <w:rsid w:val="0045040C"/>
    <w:rsid w:val="004520E5"/>
    <w:rsid w:val="004564A7"/>
    <w:rsid w:val="004617BF"/>
    <w:rsid w:val="00465FBA"/>
    <w:rsid w:val="00470FF9"/>
    <w:rsid w:val="00473864"/>
    <w:rsid w:val="00475C93"/>
    <w:rsid w:val="00476C8E"/>
    <w:rsid w:val="00483D37"/>
    <w:rsid w:val="004854CD"/>
    <w:rsid w:val="0048564C"/>
    <w:rsid w:val="004923FF"/>
    <w:rsid w:val="004927EC"/>
    <w:rsid w:val="00492EF3"/>
    <w:rsid w:val="00494CA4"/>
    <w:rsid w:val="00494E60"/>
    <w:rsid w:val="004961B4"/>
    <w:rsid w:val="0049734C"/>
    <w:rsid w:val="004A2C5A"/>
    <w:rsid w:val="004A3084"/>
    <w:rsid w:val="004B7B76"/>
    <w:rsid w:val="004C0070"/>
    <w:rsid w:val="004C100A"/>
    <w:rsid w:val="004C1EBB"/>
    <w:rsid w:val="004C30C9"/>
    <w:rsid w:val="004C4096"/>
    <w:rsid w:val="004C6D3F"/>
    <w:rsid w:val="004C6E9B"/>
    <w:rsid w:val="004D2BA3"/>
    <w:rsid w:val="004D3478"/>
    <w:rsid w:val="004D351D"/>
    <w:rsid w:val="004D4473"/>
    <w:rsid w:val="004D51A6"/>
    <w:rsid w:val="004D5382"/>
    <w:rsid w:val="004D661C"/>
    <w:rsid w:val="004D663B"/>
    <w:rsid w:val="004E43DB"/>
    <w:rsid w:val="004E4590"/>
    <w:rsid w:val="004E4D58"/>
    <w:rsid w:val="004E79E7"/>
    <w:rsid w:val="004E7E09"/>
    <w:rsid w:val="004F0F38"/>
    <w:rsid w:val="004F1240"/>
    <w:rsid w:val="004F40D8"/>
    <w:rsid w:val="004F484B"/>
    <w:rsid w:val="004F7A5D"/>
    <w:rsid w:val="00501921"/>
    <w:rsid w:val="00504012"/>
    <w:rsid w:val="00505BCE"/>
    <w:rsid w:val="00507506"/>
    <w:rsid w:val="005171DB"/>
    <w:rsid w:val="00520662"/>
    <w:rsid w:val="00522767"/>
    <w:rsid w:val="00523FB1"/>
    <w:rsid w:val="00525165"/>
    <w:rsid w:val="00526B28"/>
    <w:rsid w:val="00530354"/>
    <w:rsid w:val="00531B69"/>
    <w:rsid w:val="00535605"/>
    <w:rsid w:val="00535D83"/>
    <w:rsid w:val="0054053C"/>
    <w:rsid w:val="00541FD8"/>
    <w:rsid w:val="005423EF"/>
    <w:rsid w:val="00543082"/>
    <w:rsid w:val="005434C6"/>
    <w:rsid w:val="00543B39"/>
    <w:rsid w:val="00550096"/>
    <w:rsid w:val="0055012F"/>
    <w:rsid w:val="00552F85"/>
    <w:rsid w:val="005547DB"/>
    <w:rsid w:val="005555F3"/>
    <w:rsid w:val="0055653F"/>
    <w:rsid w:val="00556C02"/>
    <w:rsid w:val="00557806"/>
    <w:rsid w:val="00557FF9"/>
    <w:rsid w:val="00560037"/>
    <w:rsid w:val="005640AC"/>
    <w:rsid w:val="00567A2E"/>
    <w:rsid w:val="00573095"/>
    <w:rsid w:val="0057564C"/>
    <w:rsid w:val="00576378"/>
    <w:rsid w:val="00577E38"/>
    <w:rsid w:val="00584285"/>
    <w:rsid w:val="00585322"/>
    <w:rsid w:val="00592A60"/>
    <w:rsid w:val="0059345B"/>
    <w:rsid w:val="00593AD1"/>
    <w:rsid w:val="00595C15"/>
    <w:rsid w:val="00596530"/>
    <w:rsid w:val="00596DD6"/>
    <w:rsid w:val="005A01FF"/>
    <w:rsid w:val="005A1131"/>
    <w:rsid w:val="005A53C3"/>
    <w:rsid w:val="005B1084"/>
    <w:rsid w:val="005B6BBD"/>
    <w:rsid w:val="005C46B0"/>
    <w:rsid w:val="005C5570"/>
    <w:rsid w:val="005C5FD4"/>
    <w:rsid w:val="005C79A4"/>
    <w:rsid w:val="005D1689"/>
    <w:rsid w:val="005D2182"/>
    <w:rsid w:val="005D248B"/>
    <w:rsid w:val="005D5442"/>
    <w:rsid w:val="005D55A3"/>
    <w:rsid w:val="005D6197"/>
    <w:rsid w:val="005E5036"/>
    <w:rsid w:val="005E5568"/>
    <w:rsid w:val="005E6D53"/>
    <w:rsid w:val="005E6D99"/>
    <w:rsid w:val="005E757B"/>
    <w:rsid w:val="005E7B55"/>
    <w:rsid w:val="005F08D5"/>
    <w:rsid w:val="005F2CA2"/>
    <w:rsid w:val="005F458A"/>
    <w:rsid w:val="005F5830"/>
    <w:rsid w:val="005F656C"/>
    <w:rsid w:val="005F70A0"/>
    <w:rsid w:val="00603A64"/>
    <w:rsid w:val="0060733C"/>
    <w:rsid w:val="00610D73"/>
    <w:rsid w:val="006155D6"/>
    <w:rsid w:val="00615B0B"/>
    <w:rsid w:val="00625015"/>
    <w:rsid w:val="0062573C"/>
    <w:rsid w:val="00633E17"/>
    <w:rsid w:val="00635D38"/>
    <w:rsid w:val="00636864"/>
    <w:rsid w:val="00640FC3"/>
    <w:rsid w:val="00642020"/>
    <w:rsid w:val="00650031"/>
    <w:rsid w:val="006508F9"/>
    <w:rsid w:val="0065200D"/>
    <w:rsid w:val="0065337B"/>
    <w:rsid w:val="00653D1E"/>
    <w:rsid w:val="0065419D"/>
    <w:rsid w:val="00654EC4"/>
    <w:rsid w:val="006604D8"/>
    <w:rsid w:val="00660E8A"/>
    <w:rsid w:val="00664935"/>
    <w:rsid w:val="00664A5B"/>
    <w:rsid w:val="006663B7"/>
    <w:rsid w:val="00666C1A"/>
    <w:rsid w:val="00667942"/>
    <w:rsid w:val="006743A8"/>
    <w:rsid w:val="0067791B"/>
    <w:rsid w:val="00680880"/>
    <w:rsid w:val="00680C08"/>
    <w:rsid w:val="006833D6"/>
    <w:rsid w:val="00684953"/>
    <w:rsid w:val="0068741A"/>
    <w:rsid w:val="006904C5"/>
    <w:rsid w:val="0069270F"/>
    <w:rsid w:val="006931B1"/>
    <w:rsid w:val="0069413B"/>
    <w:rsid w:val="0069523A"/>
    <w:rsid w:val="00696091"/>
    <w:rsid w:val="006974FD"/>
    <w:rsid w:val="006A0BBC"/>
    <w:rsid w:val="006A15C0"/>
    <w:rsid w:val="006A2426"/>
    <w:rsid w:val="006A2A31"/>
    <w:rsid w:val="006A38E4"/>
    <w:rsid w:val="006A4B59"/>
    <w:rsid w:val="006A526A"/>
    <w:rsid w:val="006B03D4"/>
    <w:rsid w:val="006B4B02"/>
    <w:rsid w:val="006B5F53"/>
    <w:rsid w:val="006B615E"/>
    <w:rsid w:val="006C1F3B"/>
    <w:rsid w:val="006C3E2A"/>
    <w:rsid w:val="006C43B5"/>
    <w:rsid w:val="006C642F"/>
    <w:rsid w:val="006D03E5"/>
    <w:rsid w:val="006D18EE"/>
    <w:rsid w:val="006D22E9"/>
    <w:rsid w:val="006D5D3E"/>
    <w:rsid w:val="006E08B3"/>
    <w:rsid w:val="006E4139"/>
    <w:rsid w:val="006E4E00"/>
    <w:rsid w:val="006E651B"/>
    <w:rsid w:val="006F046C"/>
    <w:rsid w:val="006F0AD6"/>
    <w:rsid w:val="006F1604"/>
    <w:rsid w:val="006F185E"/>
    <w:rsid w:val="006F324B"/>
    <w:rsid w:val="006F3339"/>
    <w:rsid w:val="006F3BDA"/>
    <w:rsid w:val="006F46EA"/>
    <w:rsid w:val="006F47BB"/>
    <w:rsid w:val="006F572E"/>
    <w:rsid w:val="006F6284"/>
    <w:rsid w:val="006F652C"/>
    <w:rsid w:val="006F6C81"/>
    <w:rsid w:val="00704259"/>
    <w:rsid w:val="007046D6"/>
    <w:rsid w:val="00705DB0"/>
    <w:rsid w:val="007060CD"/>
    <w:rsid w:val="00706634"/>
    <w:rsid w:val="00706AFE"/>
    <w:rsid w:val="00707B68"/>
    <w:rsid w:val="0071131D"/>
    <w:rsid w:val="00711D16"/>
    <w:rsid w:val="00713E04"/>
    <w:rsid w:val="00714820"/>
    <w:rsid w:val="00716248"/>
    <w:rsid w:val="0072094D"/>
    <w:rsid w:val="00723BF8"/>
    <w:rsid w:val="00724E0E"/>
    <w:rsid w:val="00730D66"/>
    <w:rsid w:val="00732FEE"/>
    <w:rsid w:val="007330EF"/>
    <w:rsid w:val="0074253D"/>
    <w:rsid w:val="007437AF"/>
    <w:rsid w:val="0074429B"/>
    <w:rsid w:val="007477F8"/>
    <w:rsid w:val="007515DF"/>
    <w:rsid w:val="00751EBD"/>
    <w:rsid w:val="0075288B"/>
    <w:rsid w:val="00753687"/>
    <w:rsid w:val="00753A56"/>
    <w:rsid w:val="00753A6B"/>
    <w:rsid w:val="00753C3B"/>
    <w:rsid w:val="00754347"/>
    <w:rsid w:val="0075524A"/>
    <w:rsid w:val="00756C9D"/>
    <w:rsid w:val="0075705B"/>
    <w:rsid w:val="007615BC"/>
    <w:rsid w:val="00761CCE"/>
    <w:rsid w:val="007622D7"/>
    <w:rsid w:val="00762F05"/>
    <w:rsid w:val="00762F5A"/>
    <w:rsid w:val="007632BB"/>
    <w:rsid w:val="00764FC4"/>
    <w:rsid w:val="007652FF"/>
    <w:rsid w:val="00765E43"/>
    <w:rsid w:val="00771329"/>
    <w:rsid w:val="00771FDA"/>
    <w:rsid w:val="007721A5"/>
    <w:rsid w:val="00773EF7"/>
    <w:rsid w:val="007740FB"/>
    <w:rsid w:val="00774E1D"/>
    <w:rsid w:val="0077675A"/>
    <w:rsid w:val="00780129"/>
    <w:rsid w:val="00780355"/>
    <w:rsid w:val="00785440"/>
    <w:rsid w:val="00785721"/>
    <w:rsid w:val="0078745C"/>
    <w:rsid w:val="00793A59"/>
    <w:rsid w:val="00795DC5"/>
    <w:rsid w:val="00797B12"/>
    <w:rsid w:val="007A2162"/>
    <w:rsid w:val="007A6B1C"/>
    <w:rsid w:val="007B2047"/>
    <w:rsid w:val="007B3C16"/>
    <w:rsid w:val="007B5185"/>
    <w:rsid w:val="007B5919"/>
    <w:rsid w:val="007C0F3D"/>
    <w:rsid w:val="007C1AF7"/>
    <w:rsid w:val="007C36BA"/>
    <w:rsid w:val="007D2AAF"/>
    <w:rsid w:val="007D4F2B"/>
    <w:rsid w:val="007D6466"/>
    <w:rsid w:val="007D6ED1"/>
    <w:rsid w:val="007E08A1"/>
    <w:rsid w:val="007E175B"/>
    <w:rsid w:val="007E483D"/>
    <w:rsid w:val="007F12A4"/>
    <w:rsid w:val="007F17AF"/>
    <w:rsid w:val="007F2054"/>
    <w:rsid w:val="007F761C"/>
    <w:rsid w:val="0080126C"/>
    <w:rsid w:val="00803801"/>
    <w:rsid w:val="00804AB0"/>
    <w:rsid w:val="00805547"/>
    <w:rsid w:val="00806FC9"/>
    <w:rsid w:val="00816164"/>
    <w:rsid w:val="00821776"/>
    <w:rsid w:val="00823C41"/>
    <w:rsid w:val="008247D3"/>
    <w:rsid w:val="00826007"/>
    <w:rsid w:val="0082630F"/>
    <w:rsid w:val="00826F36"/>
    <w:rsid w:val="008320C3"/>
    <w:rsid w:val="008321F5"/>
    <w:rsid w:val="00832369"/>
    <w:rsid w:val="00834660"/>
    <w:rsid w:val="00836BC2"/>
    <w:rsid w:val="0083738D"/>
    <w:rsid w:val="008405E6"/>
    <w:rsid w:val="00845337"/>
    <w:rsid w:val="00855289"/>
    <w:rsid w:val="0085641B"/>
    <w:rsid w:val="00857136"/>
    <w:rsid w:val="00857495"/>
    <w:rsid w:val="00857714"/>
    <w:rsid w:val="00861D46"/>
    <w:rsid w:val="008629F2"/>
    <w:rsid w:val="008654DD"/>
    <w:rsid w:val="00866FF9"/>
    <w:rsid w:val="008672E4"/>
    <w:rsid w:val="00867607"/>
    <w:rsid w:val="00867C0D"/>
    <w:rsid w:val="00867CD0"/>
    <w:rsid w:val="00871D3E"/>
    <w:rsid w:val="00874B90"/>
    <w:rsid w:val="0088139F"/>
    <w:rsid w:val="00885DAA"/>
    <w:rsid w:val="00886816"/>
    <w:rsid w:val="0089376D"/>
    <w:rsid w:val="00895DB4"/>
    <w:rsid w:val="00896018"/>
    <w:rsid w:val="008A2B9D"/>
    <w:rsid w:val="008A2E99"/>
    <w:rsid w:val="008A5E0B"/>
    <w:rsid w:val="008A6D59"/>
    <w:rsid w:val="008A7095"/>
    <w:rsid w:val="008B1A25"/>
    <w:rsid w:val="008B3FDC"/>
    <w:rsid w:val="008B4B03"/>
    <w:rsid w:val="008B553E"/>
    <w:rsid w:val="008B596F"/>
    <w:rsid w:val="008B5BE5"/>
    <w:rsid w:val="008C0F6B"/>
    <w:rsid w:val="008C159F"/>
    <w:rsid w:val="008C1623"/>
    <w:rsid w:val="008C1D18"/>
    <w:rsid w:val="008C38DE"/>
    <w:rsid w:val="008C51A9"/>
    <w:rsid w:val="008C63C5"/>
    <w:rsid w:val="008C7541"/>
    <w:rsid w:val="008D421A"/>
    <w:rsid w:val="008D6212"/>
    <w:rsid w:val="008E09FC"/>
    <w:rsid w:val="008E3C43"/>
    <w:rsid w:val="008E3FF2"/>
    <w:rsid w:val="008E405B"/>
    <w:rsid w:val="008E67F3"/>
    <w:rsid w:val="008F1CCC"/>
    <w:rsid w:val="008F2967"/>
    <w:rsid w:val="008F6EF7"/>
    <w:rsid w:val="008F71F1"/>
    <w:rsid w:val="00906C06"/>
    <w:rsid w:val="009074DB"/>
    <w:rsid w:val="0091177D"/>
    <w:rsid w:val="00911EB5"/>
    <w:rsid w:val="00915823"/>
    <w:rsid w:val="00920330"/>
    <w:rsid w:val="00920FF4"/>
    <w:rsid w:val="009219D7"/>
    <w:rsid w:val="00922D53"/>
    <w:rsid w:val="00923B70"/>
    <w:rsid w:val="00925ED2"/>
    <w:rsid w:val="0092600B"/>
    <w:rsid w:val="00926B0E"/>
    <w:rsid w:val="00926B60"/>
    <w:rsid w:val="00930237"/>
    <w:rsid w:val="009306E4"/>
    <w:rsid w:val="009308DF"/>
    <w:rsid w:val="00931682"/>
    <w:rsid w:val="00932BBB"/>
    <w:rsid w:val="00933AE3"/>
    <w:rsid w:val="00936AC8"/>
    <w:rsid w:val="00937673"/>
    <w:rsid w:val="00937E8E"/>
    <w:rsid w:val="009425E1"/>
    <w:rsid w:val="00947BE9"/>
    <w:rsid w:val="00951542"/>
    <w:rsid w:val="0096319D"/>
    <w:rsid w:val="0096327A"/>
    <w:rsid w:val="00963C08"/>
    <w:rsid w:val="0096449B"/>
    <w:rsid w:val="00964F68"/>
    <w:rsid w:val="00965189"/>
    <w:rsid w:val="00966635"/>
    <w:rsid w:val="009707B8"/>
    <w:rsid w:val="00974DBB"/>
    <w:rsid w:val="00983CBE"/>
    <w:rsid w:val="00990A34"/>
    <w:rsid w:val="0099110E"/>
    <w:rsid w:val="00993456"/>
    <w:rsid w:val="00994189"/>
    <w:rsid w:val="00997FE1"/>
    <w:rsid w:val="009A4847"/>
    <w:rsid w:val="009A4CED"/>
    <w:rsid w:val="009A5BC7"/>
    <w:rsid w:val="009A6388"/>
    <w:rsid w:val="009B1D12"/>
    <w:rsid w:val="009B3475"/>
    <w:rsid w:val="009B416B"/>
    <w:rsid w:val="009B4D09"/>
    <w:rsid w:val="009B68A6"/>
    <w:rsid w:val="009C4BD5"/>
    <w:rsid w:val="009D059A"/>
    <w:rsid w:val="009D119E"/>
    <w:rsid w:val="009D1230"/>
    <w:rsid w:val="009D2E04"/>
    <w:rsid w:val="009D4394"/>
    <w:rsid w:val="009D53E7"/>
    <w:rsid w:val="009D69B8"/>
    <w:rsid w:val="009D7B77"/>
    <w:rsid w:val="009E0BB0"/>
    <w:rsid w:val="009E10D5"/>
    <w:rsid w:val="009E32D4"/>
    <w:rsid w:val="009E3FBB"/>
    <w:rsid w:val="009E45E7"/>
    <w:rsid w:val="009E4B0E"/>
    <w:rsid w:val="009E4C51"/>
    <w:rsid w:val="009E51EB"/>
    <w:rsid w:val="009E6D11"/>
    <w:rsid w:val="009E7842"/>
    <w:rsid w:val="009F018D"/>
    <w:rsid w:val="009F0A3E"/>
    <w:rsid w:val="009F0B33"/>
    <w:rsid w:val="009F155D"/>
    <w:rsid w:val="00A03FA4"/>
    <w:rsid w:val="00A05318"/>
    <w:rsid w:val="00A1070E"/>
    <w:rsid w:val="00A1235B"/>
    <w:rsid w:val="00A1418C"/>
    <w:rsid w:val="00A14DF7"/>
    <w:rsid w:val="00A21FF2"/>
    <w:rsid w:val="00A233AA"/>
    <w:rsid w:val="00A23ADD"/>
    <w:rsid w:val="00A26E24"/>
    <w:rsid w:val="00A3246D"/>
    <w:rsid w:val="00A36FA7"/>
    <w:rsid w:val="00A4235C"/>
    <w:rsid w:val="00A450B4"/>
    <w:rsid w:val="00A4602E"/>
    <w:rsid w:val="00A47459"/>
    <w:rsid w:val="00A475B7"/>
    <w:rsid w:val="00A47AF7"/>
    <w:rsid w:val="00A47C3E"/>
    <w:rsid w:val="00A50226"/>
    <w:rsid w:val="00A54431"/>
    <w:rsid w:val="00A56F4F"/>
    <w:rsid w:val="00A57A8C"/>
    <w:rsid w:val="00A6071B"/>
    <w:rsid w:val="00A60BAD"/>
    <w:rsid w:val="00A629FF"/>
    <w:rsid w:val="00A63771"/>
    <w:rsid w:val="00A644D1"/>
    <w:rsid w:val="00A647D9"/>
    <w:rsid w:val="00A6752E"/>
    <w:rsid w:val="00A70415"/>
    <w:rsid w:val="00A704C0"/>
    <w:rsid w:val="00A70DFE"/>
    <w:rsid w:val="00A72237"/>
    <w:rsid w:val="00A736E1"/>
    <w:rsid w:val="00A73A8D"/>
    <w:rsid w:val="00A762A0"/>
    <w:rsid w:val="00A77452"/>
    <w:rsid w:val="00A778F2"/>
    <w:rsid w:val="00A77FB2"/>
    <w:rsid w:val="00A8477F"/>
    <w:rsid w:val="00A857D3"/>
    <w:rsid w:val="00A86BA7"/>
    <w:rsid w:val="00A87334"/>
    <w:rsid w:val="00A9026B"/>
    <w:rsid w:val="00A912D4"/>
    <w:rsid w:val="00A92343"/>
    <w:rsid w:val="00A92E4D"/>
    <w:rsid w:val="00AA1E13"/>
    <w:rsid w:val="00AA3EB9"/>
    <w:rsid w:val="00AA49D9"/>
    <w:rsid w:val="00AB1520"/>
    <w:rsid w:val="00AB42A2"/>
    <w:rsid w:val="00AB735C"/>
    <w:rsid w:val="00AC2B40"/>
    <w:rsid w:val="00AC2BB2"/>
    <w:rsid w:val="00AC2C3C"/>
    <w:rsid w:val="00AC3BD9"/>
    <w:rsid w:val="00AC3D45"/>
    <w:rsid w:val="00AC4641"/>
    <w:rsid w:val="00AC7997"/>
    <w:rsid w:val="00AC79C9"/>
    <w:rsid w:val="00AD4E34"/>
    <w:rsid w:val="00AD5831"/>
    <w:rsid w:val="00AD7F38"/>
    <w:rsid w:val="00AE034C"/>
    <w:rsid w:val="00AE0A49"/>
    <w:rsid w:val="00AE2AAD"/>
    <w:rsid w:val="00AE50EE"/>
    <w:rsid w:val="00AE5AB2"/>
    <w:rsid w:val="00AE65EB"/>
    <w:rsid w:val="00AE7C6A"/>
    <w:rsid w:val="00AF1D94"/>
    <w:rsid w:val="00AF3E56"/>
    <w:rsid w:val="00AF60C5"/>
    <w:rsid w:val="00AF69CB"/>
    <w:rsid w:val="00AF6DF5"/>
    <w:rsid w:val="00B009C6"/>
    <w:rsid w:val="00B00ACB"/>
    <w:rsid w:val="00B01548"/>
    <w:rsid w:val="00B01551"/>
    <w:rsid w:val="00B05502"/>
    <w:rsid w:val="00B10858"/>
    <w:rsid w:val="00B11C71"/>
    <w:rsid w:val="00B130C4"/>
    <w:rsid w:val="00B13FBA"/>
    <w:rsid w:val="00B14029"/>
    <w:rsid w:val="00B142C6"/>
    <w:rsid w:val="00B143F3"/>
    <w:rsid w:val="00B147DA"/>
    <w:rsid w:val="00B202E7"/>
    <w:rsid w:val="00B207E2"/>
    <w:rsid w:val="00B21D29"/>
    <w:rsid w:val="00B21FC5"/>
    <w:rsid w:val="00B22BEC"/>
    <w:rsid w:val="00B23323"/>
    <w:rsid w:val="00B24940"/>
    <w:rsid w:val="00B24FF5"/>
    <w:rsid w:val="00B25034"/>
    <w:rsid w:val="00B2553D"/>
    <w:rsid w:val="00B30E9B"/>
    <w:rsid w:val="00B33863"/>
    <w:rsid w:val="00B37D17"/>
    <w:rsid w:val="00B4175E"/>
    <w:rsid w:val="00B447D9"/>
    <w:rsid w:val="00B4533F"/>
    <w:rsid w:val="00B469FB"/>
    <w:rsid w:val="00B5070B"/>
    <w:rsid w:val="00B50CB9"/>
    <w:rsid w:val="00B510E1"/>
    <w:rsid w:val="00B54C25"/>
    <w:rsid w:val="00B606A9"/>
    <w:rsid w:val="00B633E1"/>
    <w:rsid w:val="00B728DE"/>
    <w:rsid w:val="00B76B91"/>
    <w:rsid w:val="00B838B6"/>
    <w:rsid w:val="00B8467A"/>
    <w:rsid w:val="00B85CCD"/>
    <w:rsid w:val="00B87BB7"/>
    <w:rsid w:val="00B93541"/>
    <w:rsid w:val="00B935A0"/>
    <w:rsid w:val="00B946A9"/>
    <w:rsid w:val="00B9484C"/>
    <w:rsid w:val="00B94CFB"/>
    <w:rsid w:val="00B94F38"/>
    <w:rsid w:val="00B95EA6"/>
    <w:rsid w:val="00BA0DFC"/>
    <w:rsid w:val="00BA7BA5"/>
    <w:rsid w:val="00BB4CDD"/>
    <w:rsid w:val="00BC08A3"/>
    <w:rsid w:val="00BC1CAB"/>
    <w:rsid w:val="00BC200B"/>
    <w:rsid w:val="00BC622A"/>
    <w:rsid w:val="00BD0B28"/>
    <w:rsid w:val="00BD1730"/>
    <w:rsid w:val="00BD2F2D"/>
    <w:rsid w:val="00BD5710"/>
    <w:rsid w:val="00BD7D02"/>
    <w:rsid w:val="00BE0A78"/>
    <w:rsid w:val="00BE1F18"/>
    <w:rsid w:val="00BE202C"/>
    <w:rsid w:val="00BE243C"/>
    <w:rsid w:val="00BE6AF4"/>
    <w:rsid w:val="00BE79F0"/>
    <w:rsid w:val="00BE7BB3"/>
    <w:rsid w:val="00BF046D"/>
    <w:rsid w:val="00BF3B1F"/>
    <w:rsid w:val="00BF43F2"/>
    <w:rsid w:val="00BF5D04"/>
    <w:rsid w:val="00BF779E"/>
    <w:rsid w:val="00C01BC4"/>
    <w:rsid w:val="00C0278A"/>
    <w:rsid w:val="00C06445"/>
    <w:rsid w:val="00C0679D"/>
    <w:rsid w:val="00C13563"/>
    <w:rsid w:val="00C14835"/>
    <w:rsid w:val="00C14E85"/>
    <w:rsid w:val="00C1617C"/>
    <w:rsid w:val="00C17342"/>
    <w:rsid w:val="00C222A8"/>
    <w:rsid w:val="00C22A50"/>
    <w:rsid w:val="00C2317E"/>
    <w:rsid w:val="00C23477"/>
    <w:rsid w:val="00C247A1"/>
    <w:rsid w:val="00C24FC6"/>
    <w:rsid w:val="00C332A7"/>
    <w:rsid w:val="00C334BF"/>
    <w:rsid w:val="00C3408D"/>
    <w:rsid w:val="00C36545"/>
    <w:rsid w:val="00C36A28"/>
    <w:rsid w:val="00C371A9"/>
    <w:rsid w:val="00C378BA"/>
    <w:rsid w:val="00C404A6"/>
    <w:rsid w:val="00C40A36"/>
    <w:rsid w:val="00C43E28"/>
    <w:rsid w:val="00C43E97"/>
    <w:rsid w:val="00C44419"/>
    <w:rsid w:val="00C44DAA"/>
    <w:rsid w:val="00C45E7B"/>
    <w:rsid w:val="00C471B1"/>
    <w:rsid w:val="00C4743E"/>
    <w:rsid w:val="00C478BD"/>
    <w:rsid w:val="00C50E5C"/>
    <w:rsid w:val="00C5532F"/>
    <w:rsid w:val="00C60920"/>
    <w:rsid w:val="00C6316B"/>
    <w:rsid w:val="00C634A9"/>
    <w:rsid w:val="00C70520"/>
    <w:rsid w:val="00C71313"/>
    <w:rsid w:val="00C74402"/>
    <w:rsid w:val="00C7475B"/>
    <w:rsid w:val="00C74BE2"/>
    <w:rsid w:val="00C76805"/>
    <w:rsid w:val="00C772FF"/>
    <w:rsid w:val="00C801AF"/>
    <w:rsid w:val="00C80256"/>
    <w:rsid w:val="00C81D8F"/>
    <w:rsid w:val="00C85953"/>
    <w:rsid w:val="00C87DC4"/>
    <w:rsid w:val="00CA03E1"/>
    <w:rsid w:val="00CA42A2"/>
    <w:rsid w:val="00CA43F4"/>
    <w:rsid w:val="00CA7F9C"/>
    <w:rsid w:val="00CB4D81"/>
    <w:rsid w:val="00CB58F4"/>
    <w:rsid w:val="00CB6BC0"/>
    <w:rsid w:val="00CB73C5"/>
    <w:rsid w:val="00CC1B7C"/>
    <w:rsid w:val="00CC62DC"/>
    <w:rsid w:val="00CC727F"/>
    <w:rsid w:val="00CD1F02"/>
    <w:rsid w:val="00CD30CC"/>
    <w:rsid w:val="00CD6FCC"/>
    <w:rsid w:val="00CE2ACB"/>
    <w:rsid w:val="00CE5067"/>
    <w:rsid w:val="00CE5BB0"/>
    <w:rsid w:val="00CE64B0"/>
    <w:rsid w:val="00CE7715"/>
    <w:rsid w:val="00CF1245"/>
    <w:rsid w:val="00CF15C3"/>
    <w:rsid w:val="00CF2B6F"/>
    <w:rsid w:val="00CF343E"/>
    <w:rsid w:val="00CF4791"/>
    <w:rsid w:val="00CF5B3D"/>
    <w:rsid w:val="00CF6790"/>
    <w:rsid w:val="00D017ED"/>
    <w:rsid w:val="00D03C16"/>
    <w:rsid w:val="00D05487"/>
    <w:rsid w:val="00D11F5C"/>
    <w:rsid w:val="00D14A21"/>
    <w:rsid w:val="00D1501A"/>
    <w:rsid w:val="00D153B1"/>
    <w:rsid w:val="00D20C54"/>
    <w:rsid w:val="00D224FE"/>
    <w:rsid w:val="00D229BA"/>
    <w:rsid w:val="00D24F3D"/>
    <w:rsid w:val="00D25C8C"/>
    <w:rsid w:val="00D25F22"/>
    <w:rsid w:val="00D26AF0"/>
    <w:rsid w:val="00D272B9"/>
    <w:rsid w:val="00D27857"/>
    <w:rsid w:val="00D27953"/>
    <w:rsid w:val="00D30526"/>
    <w:rsid w:val="00D31A7D"/>
    <w:rsid w:val="00D355FB"/>
    <w:rsid w:val="00D3646E"/>
    <w:rsid w:val="00D41FFA"/>
    <w:rsid w:val="00D47807"/>
    <w:rsid w:val="00D50221"/>
    <w:rsid w:val="00D55652"/>
    <w:rsid w:val="00D63588"/>
    <w:rsid w:val="00D63F6E"/>
    <w:rsid w:val="00D64401"/>
    <w:rsid w:val="00D6493E"/>
    <w:rsid w:val="00D656E4"/>
    <w:rsid w:val="00D663FD"/>
    <w:rsid w:val="00D67BBF"/>
    <w:rsid w:val="00D725F5"/>
    <w:rsid w:val="00D729F3"/>
    <w:rsid w:val="00D744BD"/>
    <w:rsid w:val="00D77B41"/>
    <w:rsid w:val="00D832B1"/>
    <w:rsid w:val="00D85417"/>
    <w:rsid w:val="00D90F55"/>
    <w:rsid w:val="00D9141E"/>
    <w:rsid w:val="00D923E8"/>
    <w:rsid w:val="00D9393F"/>
    <w:rsid w:val="00DA1124"/>
    <w:rsid w:val="00DA1F4C"/>
    <w:rsid w:val="00DA226B"/>
    <w:rsid w:val="00DA24C7"/>
    <w:rsid w:val="00DA381C"/>
    <w:rsid w:val="00DA3BC9"/>
    <w:rsid w:val="00DA4724"/>
    <w:rsid w:val="00DA4CD9"/>
    <w:rsid w:val="00DA5F2C"/>
    <w:rsid w:val="00DA6448"/>
    <w:rsid w:val="00DB537E"/>
    <w:rsid w:val="00DC425B"/>
    <w:rsid w:val="00DC7DEE"/>
    <w:rsid w:val="00DD75A3"/>
    <w:rsid w:val="00DD76DE"/>
    <w:rsid w:val="00DE02AE"/>
    <w:rsid w:val="00DE1310"/>
    <w:rsid w:val="00DE1830"/>
    <w:rsid w:val="00DE29F8"/>
    <w:rsid w:val="00DE3010"/>
    <w:rsid w:val="00DE6A0C"/>
    <w:rsid w:val="00DE6C04"/>
    <w:rsid w:val="00DF08E9"/>
    <w:rsid w:val="00DF1D7F"/>
    <w:rsid w:val="00DF34AB"/>
    <w:rsid w:val="00DF3B42"/>
    <w:rsid w:val="00DF45B9"/>
    <w:rsid w:val="00DF6BE8"/>
    <w:rsid w:val="00E01568"/>
    <w:rsid w:val="00E02FB4"/>
    <w:rsid w:val="00E04148"/>
    <w:rsid w:val="00E061FC"/>
    <w:rsid w:val="00E063A0"/>
    <w:rsid w:val="00E07736"/>
    <w:rsid w:val="00E07E9F"/>
    <w:rsid w:val="00E109AA"/>
    <w:rsid w:val="00E10E80"/>
    <w:rsid w:val="00E1198B"/>
    <w:rsid w:val="00E11E4D"/>
    <w:rsid w:val="00E1340C"/>
    <w:rsid w:val="00E177F4"/>
    <w:rsid w:val="00E20571"/>
    <w:rsid w:val="00E21651"/>
    <w:rsid w:val="00E225A9"/>
    <w:rsid w:val="00E22953"/>
    <w:rsid w:val="00E235F7"/>
    <w:rsid w:val="00E239D4"/>
    <w:rsid w:val="00E242E9"/>
    <w:rsid w:val="00E276E5"/>
    <w:rsid w:val="00E30C88"/>
    <w:rsid w:val="00E32A5C"/>
    <w:rsid w:val="00E34EE5"/>
    <w:rsid w:val="00E3576B"/>
    <w:rsid w:val="00E3685D"/>
    <w:rsid w:val="00E40B22"/>
    <w:rsid w:val="00E4194B"/>
    <w:rsid w:val="00E439DB"/>
    <w:rsid w:val="00E4588F"/>
    <w:rsid w:val="00E4610C"/>
    <w:rsid w:val="00E46DA3"/>
    <w:rsid w:val="00E47660"/>
    <w:rsid w:val="00E5111F"/>
    <w:rsid w:val="00E5290F"/>
    <w:rsid w:val="00E60356"/>
    <w:rsid w:val="00E608E1"/>
    <w:rsid w:val="00E64F5C"/>
    <w:rsid w:val="00E67774"/>
    <w:rsid w:val="00E76DCC"/>
    <w:rsid w:val="00E77E79"/>
    <w:rsid w:val="00E80723"/>
    <w:rsid w:val="00E85AC2"/>
    <w:rsid w:val="00E87E2D"/>
    <w:rsid w:val="00E917BC"/>
    <w:rsid w:val="00E926F1"/>
    <w:rsid w:val="00E97526"/>
    <w:rsid w:val="00EA16DE"/>
    <w:rsid w:val="00EA1811"/>
    <w:rsid w:val="00EA1F09"/>
    <w:rsid w:val="00EA2E1F"/>
    <w:rsid w:val="00EA406B"/>
    <w:rsid w:val="00EA7E1D"/>
    <w:rsid w:val="00EB0798"/>
    <w:rsid w:val="00EB40AD"/>
    <w:rsid w:val="00EB44C3"/>
    <w:rsid w:val="00EB5622"/>
    <w:rsid w:val="00EB586E"/>
    <w:rsid w:val="00EB5FC8"/>
    <w:rsid w:val="00EB6CAF"/>
    <w:rsid w:val="00EC7DA9"/>
    <w:rsid w:val="00ED1E56"/>
    <w:rsid w:val="00ED555A"/>
    <w:rsid w:val="00ED5A41"/>
    <w:rsid w:val="00ED6A67"/>
    <w:rsid w:val="00EE01E8"/>
    <w:rsid w:val="00EE233E"/>
    <w:rsid w:val="00EE4304"/>
    <w:rsid w:val="00EE510E"/>
    <w:rsid w:val="00EF3EF2"/>
    <w:rsid w:val="00EF3F86"/>
    <w:rsid w:val="00EF578B"/>
    <w:rsid w:val="00EF6895"/>
    <w:rsid w:val="00F0012C"/>
    <w:rsid w:val="00F01194"/>
    <w:rsid w:val="00F018A6"/>
    <w:rsid w:val="00F033EC"/>
    <w:rsid w:val="00F04575"/>
    <w:rsid w:val="00F04F68"/>
    <w:rsid w:val="00F0622D"/>
    <w:rsid w:val="00F12670"/>
    <w:rsid w:val="00F14B27"/>
    <w:rsid w:val="00F174D4"/>
    <w:rsid w:val="00F2301F"/>
    <w:rsid w:val="00F25394"/>
    <w:rsid w:val="00F27030"/>
    <w:rsid w:val="00F274A2"/>
    <w:rsid w:val="00F30F92"/>
    <w:rsid w:val="00F31011"/>
    <w:rsid w:val="00F3148D"/>
    <w:rsid w:val="00F32150"/>
    <w:rsid w:val="00F335D4"/>
    <w:rsid w:val="00F3463A"/>
    <w:rsid w:val="00F34641"/>
    <w:rsid w:val="00F35298"/>
    <w:rsid w:val="00F3529E"/>
    <w:rsid w:val="00F35CA1"/>
    <w:rsid w:val="00F401EF"/>
    <w:rsid w:val="00F427F0"/>
    <w:rsid w:val="00F46AFA"/>
    <w:rsid w:val="00F47E37"/>
    <w:rsid w:val="00F50A90"/>
    <w:rsid w:val="00F50D3A"/>
    <w:rsid w:val="00F5213B"/>
    <w:rsid w:val="00F5213E"/>
    <w:rsid w:val="00F54CA9"/>
    <w:rsid w:val="00F55C4A"/>
    <w:rsid w:val="00F55FAD"/>
    <w:rsid w:val="00F56062"/>
    <w:rsid w:val="00F56B9D"/>
    <w:rsid w:val="00F60CF8"/>
    <w:rsid w:val="00F622AF"/>
    <w:rsid w:val="00F636DF"/>
    <w:rsid w:val="00F640B6"/>
    <w:rsid w:val="00F66576"/>
    <w:rsid w:val="00F71E1E"/>
    <w:rsid w:val="00F73741"/>
    <w:rsid w:val="00F75347"/>
    <w:rsid w:val="00F75B9A"/>
    <w:rsid w:val="00F80E40"/>
    <w:rsid w:val="00F859D2"/>
    <w:rsid w:val="00F8709D"/>
    <w:rsid w:val="00F87FD2"/>
    <w:rsid w:val="00F9013B"/>
    <w:rsid w:val="00F9022D"/>
    <w:rsid w:val="00F91AE5"/>
    <w:rsid w:val="00F92194"/>
    <w:rsid w:val="00F95D21"/>
    <w:rsid w:val="00F95F31"/>
    <w:rsid w:val="00F970F8"/>
    <w:rsid w:val="00FA2B8E"/>
    <w:rsid w:val="00FA43E5"/>
    <w:rsid w:val="00FA5B82"/>
    <w:rsid w:val="00FA639E"/>
    <w:rsid w:val="00FA64B5"/>
    <w:rsid w:val="00FA7C37"/>
    <w:rsid w:val="00FB0241"/>
    <w:rsid w:val="00FB096B"/>
    <w:rsid w:val="00FB432F"/>
    <w:rsid w:val="00FB5A9B"/>
    <w:rsid w:val="00FC0247"/>
    <w:rsid w:val="00FC03C8"/>
    <w:rsid w:val="00FC1750"/>
    <w:rsid w:val="00FC25E4"/>
    <w:rsid w:val="00FC3D43"/>
    <w:rsid w:val="00FC4EF7"/>
    <w:rsid w:val="00FC6317"/>
    <w:rsid w:val="00FD27A0"/>
    <w:rsid w:val="00FD528E"/>
    <w:rsid w:val="00FE0B11"/>
    <w:rsid w:val="00FE1DCE"/>
    <w:rsid w:val="00FE1DEE"/>
    <w:rsid w:val="00FE206C"/>
    <w:rsid w:val="00FE501F"/>
    <w:rsid w:val="00FE5BC0"/>
    <w:rsid w:val="00FE6716"/>
    <w:rsid w:val="00FE7C49"/>
    <w:rsid w:val="00FF122B"/>
    <w:rsid w:val="00FF1872"/>
    <w:rsid w:val="00FF2126"/>
    <w:rsid w:val="00FF2993"/>
    <w:rsid w:val="00FF2AB4"/>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27AAD63"/>
  <w15:docId w15:val="{953969A4-E3F8-4537-B2A8-7AB5B97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2C9A"/>
    <w:pPr>
      <w:spacing w:before="120" w:after="180" w:line="240" w:lineRule="atLeast"/>
    </w:pPr>
    <w:rPr>
      <w:rFonts w:ascii="Arial" w:hAnsi="Arial"/>
      <w:color w:val="333F48"/>
      <w:sz w:val="22"/>
      <w:lang w:eastAsia="en-US"/>
    </w:rPr>
  </w:style>
  <w:style w:type="paragraph" w:styleId="Heading1">
    <w:name w:val="heading 1"/>
    <w:aliases w:val="Heading 1 Cab"/>
    <w:basedOn w:val="Normal"/>
    <w:next w:val="Normal"/>
    <w:link w:val="Heading1Char"/>
    <w:uiPriority w:val="4"/>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A592C"/>
    <w:pPr>
      <w:numPr>
        <w:numId w:val="3"/>
      </w:numPr>
    </w:pPr>
  </w:style>
  <w:style w:type="paragraph" w:styleId="ListBullet2">
    <w:name w:val="List Bullet 2"/>
    <w:basedOn w:val="Normal"/>
    <w:uiPriority w:val="99"/>
    <w:qFormat/>
    <w:rsid w:val="009D059A"/>
    <w:pPr>
      <w:numPr>
        <w:ilvl w:val="1"/>
        <w:numId w:val="3"/>
      </w:numPr>
      <w:ind w:left="850" w:hanging="425"/>
    </w:pPr>
  </w:style>
  <w:style w:type="paragraph" w:styleId="ListBullet3">
    <w:name w:val="List Bullet 3"/>
    <w:basedOn w:val="Normal"/>
    <w:uiPriority w:val="99"/>
    <w:qFormat/>
    <w:rsid w:val="00FA2B8E"/>
    <w:pPr>
      <w:numPr>
        <w:numId w:val="5"/>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2"/>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Revision">
    <w:name w:val="Revision"/>
    <w:hidden/>
    <w:uiPriority w:val="99"/>
    <w:semiHidden/>
    <w:rsid w:val="004222B4"/>
    <w:rPr>
      <w:sz w:val="22"/>
      <w:lang w:eastAsia="en-US"/>
    </w:rPr>
  </w:style>
  <w:style w:type="paragraph" w:customStyle="1" w:styleId="Default">
    <w:name w:val="Default"/>
    <w:rsid w:val="004222B4"/>
    <w:pPr>
      <w:autoSpaceDE w:val="0"/>
      <w:autoSpaceDN w:val="0"/>
      <w:adjustRightInd w:val="0"/>
    </w:pPr>
    <w:rPr>
      <w:rFonts w:ascii="Segoe UI" w:hAnsi="Segoe UI" w:cs="Segoe UI"/>
      <w:color w:val="000000"/>
      <w:sz w:val="24"/>
      <w:szCs w:val="24"/>
    </w:rPr>
  </w:style>
  <w:style w:type="paragraph" w:customStyle="1" w:styleId="Pa15">
    <w:name w:val="Pa15"/>
    <w:basedOn w:val="Default"/>
    <w:next w:val="Default"/>
    <w:uiPriority w:val="99"/>
    <w:rsid w:val="004222B4"/>
    <w:pPr>
      <w:spacing w:line="201" w:lineRule="atLeast"/>
    </w:pPr>
    <w:rPr>
      <w:color w:val="auto"/>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222B4"/>
    <w:pPr>
      <w:ind w:left="720"/>
      <w:contextualSpacing/>
    </w:pPr>
    <w:rPr>
      <w:rFonts w:ascii="Cambria" w:hAnsi="Cambria"/>
      <w:color w:val="auto"/>
    </w:rPr>
  </w:style>
  <w:style w:type="table" w:customStyle="1" w:styleId="TableTGAblue1">
    <w:name w:val="Table TGA blue1"/>
    <w:basedOn w:val="TableNormal"/>
    <w:uiPriority w:val="99"/>
    <w:qFormat/>
    <w:rsid w:val="004222B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Bullet1">
    <w:name w:val="Bullet1"/>
    <w:basedOn w:val="Normal"/>
    <w:autoRedefine/>
    <w:qFormat/>
    <w:rsid w:val="002D09AB"/>
    <w:pPr>
      <w:spacing w:before="0" w:after="0" w:line="240" w:lineRule="auto"/>
    </w:pPr>
    <w:rPr>
      <w:rFonts w:ascii="Calibri" w:eastAsiaTheme="minorHAnsi" w:hAnsi="Calibri" w:cs="Arial"/>
      <w:b/>
      <w:bCs/>
      <w:color w:val="00235D" w:themeColor="accent1" w:themeShade="80"/>
      <w:sz w:val="32"/>
      <w:szCs w:val="3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222B4"/>
    <w:rPr>
      <w:sz w:val="22"/>
      <w:lang w:eastAsia="en-US"/>
    </w:rPr>
  </w:style>
  <w:style w:type="paragraph" w:styleId="NormalWeb">
    <w:name w:val="Normal (Web)"/>
    <w:basedOn w:val="Normal"/>
    <w:uiPriority w:val="99"/>
    <w:semiHidden/>
    <w:unhideWhenUsed/>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4222B4"/>
  </w:style>
  <w:style w:type="paragraph" w:styleId="BodyText">
    <w:name w:val="Body Text"/>
    <w:aliases w:val="CAB - Body Text,Body Text Cab"/>
    <w:link w:val="BodyTextChar"/>
    <w:rsid w:val="004222B4"/>
    <w:pPr>
      <w:spacing w:before="120"/>
    </w:pPr>
    <w:rPr>
      <w:rFonts w:ascii="Arial" w:eastAsiaTheme="minorHAnsi" w:hAnsi="Arial" w:cstheme="minorBidi"/>
      <w:sz w:val="22"/>
      <w:szCs w:val="22"/>
      <w:lang w:eastAsia="en-US"/>
    </w:rPr>
  </w:style>
  <w:style w:type="character" w:customStyle="1" w:styleId="BodyTextChar">
    <w:name w:val="Body Text Char"/>
    <w:aliases w:val="CAB - Body Text Char,Body Text Cab Char"/>
    <w:basedOn w:val="DefaultParagraphFont"/>
    <w:link w:val="BodyText"/>
    <w:rsid w:val="004222B4"/>
    <w:rPr>
      <w:rFonts w:ascii="Arial" w:eastAsiaTheme="minorHAnsi" w:hAnsi="Arial" w:cstheme="minorBidi"/>
      <w:sz w:val="22"/>
      <w:szCs w:val="22"/>
      <w:lang w:eastAsia="en-US"/>
    </w:rPr>
  </w:style>
  <w:style w:type="paragraph" w:customStyle="1" w:styleId="CAB-NumberedParagraph">
    <w:name w:val="CAB - Numbered Paragraph"/>
    <w:basedOn w:val="Normal"/>
    <w:uiPriority w:val="98"/>
    <w:rsid w:val="004222B4"/>
    <w:pPr>
      <w:tabs>
        <w:tab w:val="num" w:pos="340"/>
      </w:tabs>
      <w:spacing w:before="0" w:after="200" w:line="276" w:lineRule="auto"/>
      <w:ind w:left="340"/>
    </w:pPr>
    <w:rPr>
      <w:rFonts w:eastAsiaTheme="minorHAnsi" w:cstheme="minorBidi"/>
      <w:color w:val="auto"/>
      <w:szCs w:val="22"/>
    </w:rPr>
  </w:style>
  <w:style w:type="character" w:styleId="EndnoteReference">
    <w:name w:val="endnote reference"/>
    <w:basedOn w:val="DefaultParagraphFont"/>
    <w:uiPriority w:val="99"/>
    <w:semiHidden/>
    <w:unhideWhenUsed/>
    <w:rsid w:val="004222B4"/>
    <w:rPr>
      <w:vertAlign w:val="superscript"/>
    </w:rPr>
  </w:style>
  <w:style w:type="character" w:customStyle="1" w:styleId="UnresolvedMention1">
    <w:name w:val="Unresolved Mention1"/>
    <w:basedOn w:val="DefaultParagraphFont"/>
    <w:uiPriority w:val="99"/>
    <w:semiHidden/>
    <w:unhideWhenUsed/>
    <w:rsid w:val="004222B4"/>
    <w:rPr>
      <w:color w:val="605E5C"/>
      <w:shd w:val="clear" w:color="auto" w:fill="E1DFDD"/>
    </w:rPr>
  </w:style>
  <w:style w:type="numbering" w:customStyle="1" w:styleId="ListBullets2">
    <w:name w:val="ListBullets2"/>
    <w:uiPriority w:val="99"/>
    <w:locked/>
    <w:rsid w:val="004222B4"/>
  </w:style>
  <w:style w:type="character" w:styleId="UnresolvedMention">
    <w:name w:val="Unresolved Mention"/>
    <w:basedOn w:val="DefaultParagraphFont"/>
    <w:uiPriority w:val="99"/>
    <w:semiHidden/>
    <w:unhideWhenUsed/>
    <w:rsid w:val="004222B4"/>
    <w:rPr>
      <w:color w:val="605E5C"/>
      <w:shd w:val="clear" w:color="auto" w:fill="E1DFDD"/>
    </w:rPr>
  </w:style>
  <w:style w:type="paragraph" w:customStyle="1" w:styleId="Numberbullet2a">
    <w:name w:val="Number bullet 2 a)"/>
    <w:basedOn w:val="Numberbullet2"/>
    <w:uiPriority w:val="1"/>
    <w:qFormat/>
    <w:rsid w:val="004222B4"/>
    <w:pPr>
      <w:numPr>
        <w:ilvl w:val="0"/>
        <w:numId w:val="9"/>
      </w:numPr>
      <w:ind w:left="714" w:hanging="357"/>
    </w:pPr>
    <w:rPr>
      <w:rFonts w:asciiTheme="minorHAnsi" w:hAnsiTheme="minorHAnsi"/>
      <w:color w:val="auto"/>
    </w:rPr>
  </w:style>
  <w:style w:type="table" w:customStyle="1" w:styleId="TableTGAblack1">
    <w:name w:val="Table TGA black1"/>
    <w:basedOn w:val="TableNormal"/>
    <w:uiPriority w:val="99"/>
    <w:rsid w:val="00E60356"/>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NumberedList1">
    <w:name w:val="Numbered List 1"/>
    <w:basedOn w:val="Normal"/>
    <w:qFormat/>
    <w:rsid w:val="00087DD7"/>
    <w:pPr>
      <w:numPr>
        <w:numId w:val="13"/>
      </w:numPr>
      <w:suppressAutoHyphens/>
      <w:spacing w:before="180" w:after="60" w:line="280" w:lineRule="atLeast"/>
    </w:pPr>
    <w:rPr>
      <w:rFonts w:asciiTheme="minorHAnsi" w:eastAsiaTheme="minorHAnsi" w:hAnsiTheme="minorHAnsi" w:cstheme="minorBidi"/>
      <w:color w:val="auto"/>
      <w:szCs w:val="22"/>
    </w:rPr>
  </w:style>
  <w:style w:type="paragraph" w:customStyle="1" w:styleId="NumberedList2">
    <w:name w:val="Numbered List 2"/>
    <w:basedOn w:val="NumberedList1"/>
    <w:qFormat/>
    <w:rsid w:val="00087DD7"/>
    <w:pPr>
      <w:numPr>
        <w:ilvl w:val="1"/>
      </w:numPr>
      <w:spacing w:before="120"/>
    </w:pPr>
  </w:style>
  <w:style w:type="paragraph" w:customStyle="1" w:styleId="NumberedList3">
    <w:name w:val="Numbered List 3"/>
    <w:basedOn w:val="NumberedList2"/>
    <w:qFormat/>
    <w:rsid w:val="00087DD7"/>
    <w:pPr>
      <w:numPr>
        <w:ilvl w:val="2"/>
      </w:numPr>
    </w:pPr>
  </w:style>
  <w:style w:type="numbering" w:customStyle="1" w:styleId="Numberedlist">
    <w:name w:val="Numbered list"/>
    <w:uiPriority w:val="99"/>
    <w:rsid w:val="00087DD7"/>
    <w:pPr>
      <w:numPr>
        <w:numId w:val="13"/>
      </w:numPr>
    </w:pPr>
  </w:style>
  <w:style w:type="character" w:customStyle="1" w:styleId="CABNETParagraphChar">
    <w:name w:val="CABNET Paragraph. Char"/>
    <w:basedOn w:val="DefaultParagraphFont"/>
    <w:link w:val="CABNETParagraph"/>
    <w:uiPriority w:val="98"/>
    <w:locked/>
    <w:rsid w:val="007C36BA"/>
    <w:rPr>
      <w:rFonts w:ascii="Arial" w:hAnsi="Arial" w:cstheme="minorHAnsi"/>
      <w:sz w:val="22"/>
      <w:szCs w:val="22"/>
    </w:rPr>
  </w:style>
  <w:style w:type="paragraph" w:customStyle="1" w:styleId="CABNETParagraph">
    <w:name w:val="CABNET Paragraph."/>
    <w:basedOn w:val="Normal"/>
    <w:link w:val="CABNETParagraphChar"/>
    <w:uiPriority w:val="98"/>
    <w:qFormat/>
    <w:rsid w:val="007C36BA"/>
    <w:pPr>
      <w:spacing w:after="120" w:line="240" w:lineRule="auto"/>
    </w:pPr>
    <w:rPr>
      <w:rFonts w:cstheme="minorHAnsi"/>
      <w:color w:val="auto"/>
      <w:szCs w:val="22"/>
      <w:lang w:eastAsia="en-AU"/>
    </w:rPr>
  </w:style>
  <w:style w:type="paragraph" w:customStyle="1" w:styleId="CABBulletList">
    <w:name w:val="CAB Bullet List"/>
    <w:basedOn w:val="ListParagraph"/>
    <w:uiPriority w:val="98"/>
    <w:qFormat/>
    <w:rsid w:val="0007339D"/>
    <w:pPr>
      <w:numPr>
        <w:numId w:val="14"/>
      </w:numPr>
      <w:tabs>
        <w:tab w:val="num" w:pos="360"/>
        <w:tab w:val="left" w:pos="851"/>
      </w:tabs>
      <w:spacing w:before="60" w:after="60" w:line="240" w:lineRule="auto"/>
      <w:ind w:left="850" w:hanging="288"/>
    </w:pPr>
    <w:rPr>
      <w:rFonts w:ascii="Arial" w:hAnsi="Arial"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638">
      <w:bodyDiv w:val="1"/>
      <w:marLeft w:val="0"/>
      <w:marRight w:val="0"/>
      <w:marTop w:val="0"/>
      <w:marBottom w:val="0"/>
      <w:divBdr>
        <w:top w:val="none" w:sz="0" w:space="0" w:color="auto"/>
        <w:left w:val="none" w:sz="0" w:space="0" w:color="auto"/>
        <w:bottom w:val="none" w:sz="0" w:space="0" w:color="auto"/>
        <w:right w:val="none" w:sz="0" w:space="0" w:color="auto"/>
      </w:divBdr>
    </w:div>
    <w:div w:id="24528656">
      <w:bodyDiv w:val="1"/>
      <w:marLeft w:val="0"/>
      <w:marRight w:val="0"/>
      <w:marTop w:val="0"/>
      <w:marBottom w:val="0"/>
      <w:divBdr>
        <w:top w:val="none" w:sz="0" w:space="0" w:color="auto"/>
        <w:left w:val="none" w:sz="0" w:space="0" w:color="auto"/>
        <w:bottom w:val="none" w:sz="0" w:space="0" w:color="auto"/>
        <w:right w:val="none" w:sz="0" w:space="0" w:color="auto"/>
      </w:divBdr>
      <w:divsChild>
        <w:div w:id="1053962744">
          <w:marLeft w:val="274"/>
          <w:marRight w:val="0"/>
          <w:marTop w:val="0"/>
          <w:marBottom w:val="0"/>
          <w:divBdr>
            <w:top w:val="none" w:sz="0" w:space="0" w:color="auto"/>
            <w:left w:val="none" w:sz="0" w:space="0" w:color="auto"/>
            <w:bottom w:val="none" w:sz="0" w:space="0" w:color="auto"/>
            <w:right w:val="none" w:sz="0" w:space="0" w:color="auto"/>
          </w:divBdr>
        </w:div>
      </w:divsChild>
    </w:div>
    <w:div w:id="30111766">
      <w:bodyDiv w:val="1"/>
      <w:marLeft w:val="0"/>
      <w:marRight w:val="0"/>
      <w:marTop w:val="0"/>
      <w:marBottom w:val="0"/>
      <w:divBdr>
        <w:top w:val="none" w:sz="0" w:space="0" w:color="auto"/>
        <w:left w:val="none" w:sz="0" w:space="0" w:color="auto"/>
        <w:bottom w:val="none" w:sz="0" w:space="0" w:color="auto"/>
        <w:right w:val="none" w:sz="0" w:space="0" w:color="auto"/>
      </w:divBdr>
    </w:div>
    <w:div w:id="56638182">
      <w:bodyDiv w:val="1"/>
      <w:marLeft w:val="0"/>
      <w:marRight w:val="0"/>
      <w:marTop w:val="0"/>
      <w:marBottom w:val="0"/>
      <w:divBdr>
        <w:top w:val="none" w:sz="0" w:space="0" w:color="auto"/>
        <w:left w:val="none" w:sz="0" w:space="0" w:color="auto"/>
        <w:bottom w:val="none" w:sz="0" w:space="0" w:color="auto"/>
        <w:right w:val="none" w:sz="0" w:space="0" w:color="auto"/>
      </w:divBdr>
    </w:div>
    <w:div w:id="449251488">
      <w:bodyDiv w:val="1"/>
      <w:marLeft w:val="0"/>
      <w:marRight w:val="0"/>
      <w:marTop w:val="0"/>
      <w:marBottom w:val="0"/>
      <w:divBdr>
        <w:top w:val="none" w:sz="0" w:space="0" w:color="auto"/>
        <w:left w:val="none" w:sz="0" w:space="0" w:color="auto"/>
        <w:bottom w:val="none" w:sz="0" w:space="0" w:color="auto"/>
        <w:right w:val="none" w:sz="0" w:space="0" w:color="auto"/>
      </w:divBdr>
      <w:divsChild>
        <w:div w:id="1020009141">
          <w:marLeft w:val="1267"/>
          <w:marRight w:val="0"/>
          <w:marTop w:val="67"/>
          <w:marBottom w:val="120"/>
          <w:divBdr>
            <w:top w:val="none" w:sz="0" w:space="0" w:color="auto"/>
            <w:left w:val="none" w:sz="0" w:space="0" w:color="auto"/>
            <w:bottom w:val="none" w:sz="0" w:space="0" w:color="auto"/>
            <w:right w:val="none" w:sz="0" w:space="0" w:color="auto"/>
          </w:divBdr>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548849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15451837">
      <w:bodyDiv w:val="1"/>
      <w:marLeft w:val="0"/>
      <w:marRight w:val="0"/>
      <w:marTop w:val="0"/>
      <w:marBottom w:val="0"/>
      <w:divBdr>
        <w:top w:val="none" w:sz="0" w:space="0" w:color="auto"/>
        <w:left w:val="none" w:sz="0" w:space="0" w:color="auto"/>
        <w:bottom w:val="none" w:sz="0" w:space="0" w:color="auto"/>
        <w:right w:val="none" w:sz="0" w:space="0" w:color="auto"/>
      </w:divBdr>
    </w:div>
    <w:div w:id="632565586">
      <w:bodyDiv w:val="1"/>
      <w:marLeft w:val="0"/>
      <w:marRight w:val="0"/>
      <w:marTop w:val="0"/>
      <w:marBottom w:val="0"/>
      <w:divBdr>
        <w:top w:val="none" w:sz="0" w:space="0" w:color="auto"/>
        <w:left w:val="none" w:sz="0" w:space="0" w:color="auto"/>
        <w:bottom w:val="none" w:sz="0" w:space="0" w:color="auto"/>
        <w:right w:val="none" w:sz="0" w:space="0" w:color="auto"/>
      </w:divBdr>
    </w:div>
    <w:div w:id="662856361">
      <w:bodyDiv w:val="1"/>
      <w:marLeft w:val="0"/>
      <w:marRight w:val="0"/>
      <w:marTop w:val="0"/>
      <w:marBottom w:val="0"/>
      <w:divBdr>
        <w:top w:val="none" w:sz="0" w:space="0" w:color="auto"/>
        <w:left w:val="none" w:sz="0" w:space="0" w:color="auto"/>
        <w:bottom w:val="none" w:sz="0" w:space="0" w:color="auto"/>
        <w:right w:val="none" w:sz="0" w:space="0" w:color="auto"/>
      </w:divBdr>
    </w:div>
    <w:div w:id="765032792">
      <w:bodyDiv w:val="1"/>
      <w:marLeft w:val="0"/>
      <w:marRight w:val="0"/>
      <w:marTop w:val="0"/>
      <w:marBottom w:val="0"/>
      <w:divBdr>
        <w:top w:val="none" w:sz="0" w:space="0" w:color="auto"/>
        <w:left w:val="none" w:sz="0" w:space="0" w:color="auto"/>
        <w:bottom w:val="none" w:sz="0" w:space="0" w:color="auto"/>
        <w:right w:val="none" w:sz="0" w:space="0" w:color="auto"/>
      </w:divBdr>
    </w:div>
    <w:div w:id="918829218">
      <w:bodyDiv w:val="1"/>
      <w:marLeft w:val="0"/>
      <w:marRight w:val="0"/>
      <w:marTop w:val="0"/>
      <w:marBottom w:val="0"/>
      <w:divBdr>
        <w:top w:val="none" w:sz="0" w:space="0" w:color="auto"/>
        <w:left w:val="none" w:sz="0" w:space="0" w:color="auto"/>
        <w:bottom w:val="none" w:sz="0" w:space="0" w:color="auto"/>
        <w:right w:val="none" w:sz="0" w:space="0" w:color="auto"/>
      </w:divBdr>
      <w:divsChild>
        <w:div w:id="991369683">
          <w:marLeft w:val="274"/>
          <w:marRight w:val="0"/>
          <w:marTop w:val="0"/>
          <w:marBottom w:val="0"/>
          <w:divBdr>
            <w:top w:val="none" w:sz="0" w:space="0" w:color="auto"/>
            <w:left w:val="none" w:sz="0" w:space="0" w:color="auto"/>
            <w:bottom w:val="none" w:sz="0" w:space="0" w:color="auto"/>
            <w:right w:val="none" w:sz="0" w:space="0" w:color="auto"/>
          </w:divBdr>
        </w:div>
      </w:divsChild>
    </w:div>
    <w:div w:id="930509136">
      <w:bodyDiv w:val="1"/>
      <w:marLeft w:val="0"/>
      <w:marRight w:val="0"/>
      <w:marTop w:val="0"/>
      <w:marBottom w:val="0"/>
      <w:divBdr>
        <w:top w:val="none" w:sz="0" w:space="0" w:color="auto"/>
        <w:left w:val="none" w:sz="0" w:space="0" w:color="auto"/>
        <w:bottom w:val="none" w:sz="0" w:space="0" w:color="auto"/>
        <w:right w:val="none" w:sz="0" w:space="0" w:color="auto"/>
      </w:divBdr>
    </w:div>
    <w:div w:id="102448394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20171229">
      <w:bodyDiv w:val="1"/>
      <w:marLeft w:val="0"/>
      <w:marRight w:val="0"/>
      <w:marTop w:val="0"/>
      <w:marBottom w:val="0"/>
      <w:divBdr>
        <w:top w:val="none" w:sz="0" w:space="0" w:color="auto"/>
        <w:left w:val="none" w:sz="0" w:space="0" w:color="auto"/>
        <w:bottom w:val="none" w:sz="0" w:space="0" w:color="auto"/>
        <w:right w:val="none" w:sz="0" w:space="0" w:color="auto"/>
      </w:divBdr>
      <w:divsChild>
        <w:div w:id="1006984083">
          <w:marLeft w:val="1166"/>
          <w:marRight w:val="0"/>
          <w:marTop w:val="60"/>
          <w:marBottom w:val="40"/>
          <w:divBdr>
            <w:top w:val="none" w:sz="0" w:space="0" w:color="auto"/>
            <w:left w:val="none" w:sz="0" w:space="0" w:color="auto"/>
            <w:bottom w:val="none" w:sz="0" w:space="0" w:color="auto"/>
            <w:right w:val="none" w:sz="0" w:space="0" w:color="auto"/>
          </w:divBdr>
        </w:div>
      </w:divsChild>
    </w:div>
    <w:div w:id="1402022732">
      <w:bodyDiv w:val="1"/>
      <w:marLeft w:val="0"/>
      <w:marRight w:val="0"/>
      <w:marTop w:val="0"/>
      <w:marBottom w:val="0"/>
      <w:divBdr>
        <w:top w:val="none" w:sz="0" w:space="0" w:color="auto"/>
        <w:left w:val="none" w:sz="0" w:space="0" w:color="auto"/>
        <w:bottom w:val="none" w:sz="0" w:space="0" w:color="auto"/>
        <w:right w:val="none" w:sz="0" w:space="0" w:color="auto"/>
      </w:divBdr>
      <w:divsChild>
        <w:div w:id="2005431069">
          <w:marLeft w:val="274"/>
          <w:marRight w:val="0"/>
          <w:marTop w:val="0"/>
          <w:marBottom w:val="0"/>
          <w:divBdr>
            <w:top w:val="none" w:sz="0" w:space="0" w:color="auto"/>
            <w:left w:val="none" w:sz="0" w:space="0" w:color="auto"/>
            <w:bottom w:val="none" w:sz="0" w:space="0" w:color="auto"/>
            <w:right w:val="none" w:sz="0" w:space="0" w:color="auto"/>
          </w:divBdr>
        </w:div>
      </w:divsChild>
    </w:div>
    <w:div w:id="1428845779">
      <w:bodyDiv w:val="1"/>
      <w:marLeft w:val="0"/>
      <w:marRight w:val="0"/>
      <w:marTop w:val="0"/>
      <w:marBottom w:val="0"/>
      <w:divBdr>
        <w:top w:val="none" w:sz="0" w:space="0" w:color="auto"/>
        <w:left w:val="none" w:sz="0" w:space="0" w:color="auto"/>
        <w:bottom w:val="none" w:sz="0" w:space="0" w:color="auto"/>
        <w:right w:val="none" w:sz="0" w:space="0" w:color="auto"/>
      </w:divBdr>
      <w:divsChild>
        <w:div w:id="262810772">
          <w:marLeft w:val="547"/>
          <w:marRight w:val="0"/>
          <w:marTop w:val="200"/>
          <w:marBottom w:val="160"/>
          <w:divBdr>
            <w:top w:val="none" w:sz="0" w:space="0" w:color="auto"/>
            <w:left w:val="none" w:sz="0" w:space="0" w:color="auto"/>
            <w:bottom w:val="none" w:sz="0" w:space="0" w:color="auto"/>
            <w:right w:val="none" w:sz="0" w:space="0" w:color="auto"/>
          </w:divBdr>
        </w:div>
        <w:div w:id="970475560">
          <w:marLeft w:val="547"/>
          <w:marRight w:val="0"/>
          <w:marTop w:val="200"/>
          <w:marBottom w:val="160"/>
          <w:divBdr>
            <w:top w:val="none" w:sz="0" w:space="0" w:color="auto"/>
            <w:left w:val="none" w:sz="0" w:space="0" w:color="auto"/>
            <w:bottom w:val="none" w:sz="0" w:space="0" w:color="auto"/>
            <w:right w:val="none" w:sz="0" w:space="0" w:color="auto"/>
          </w:divBdr>
        </w:div>
        <w:div w:id="953289733">
          <w:marLeft w:val="547"/>
          <w:marRight w:val="0"/>
          <w:marTop w:val="200"/>
          <w:marBottom w:val="160"/>
          <w:divBdr>
            <w:top w:val="none" w:sz="0" w:space="0" w:color="auto"/>
            <w:left w:val="none" w:sz="0" w:space="0" w:color="auto"/>
            <w:bottom w:val="none" w:sz="0" w:space="0" w:color="auto"/>
            <w:right w:val="none" w:sz="0" w:space="0" w:color="auto"/>
          </w:divBdr>
        </w:div>
        <w:div w:id="1989283159">
          <w:marLeft w:val="547"/>
          <w:marRight w:val="0"/>
          <w:marTop w:val="200"/>
          <w:marBottom w:val="160"/>
          <w:divBdr>
            <w:top w:val="none" w:sz="0" w:space="0" w:color="auto"/>
            <w:left w:val="none" w:sz="0" w:space="0" w:color="auto"/>
            <w:bottom w:val="none" w:sz="0" w:space="0" w:color="auto"/>
            <w:right w:val="none" w:sz="0" w:space="0" w:color="auto"/>
          </w:divBdr>
        </w:div>
      </w:divsChild>
    </w:div>
    <w:div w:id="1524368198">
      <w:bodyDiv w:val="1"/>
      <w:marLeft w:val="0"/>
      <w:marRight w:val="0"/>
      <w:marTop w:val="0"/>
      <w:marBottom w:val="0"/>
      <w:divBdr>
        <w:top w:val="none" w:sz="0" w:space="0" w:color="auto"/>
        <w:left w:val="none" w:sz="0" w:space="0" w:color="auto"/>
        <w:bottom w:val="none" w:sz="0" w:space="0" w:color="auto"/>
        <w:right w:val="none" w:sz="0" w:space="0" w:color="auto"/>
      </w:divBdr>
    </w:div>
    <w:div w:id="157623718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02455359">
      <w:bodyDiv w:val="1"/>
      <w:marLeft w:val="0"/>
      <w:marRight w:val="0"/>
      <w:marTop w:val="0"/>
      <w:marBottom w:val="0"/>
      <w:divBdr>
        <w:top w:val="none" w:sz="0" w:space="0" w:color="auto"/>
        <w:left w:val="none" w:sz="0" w:space="0" w:color="auto"/>
        <w:bottom w:val="none" w:sz="0" w:space="0" w:color="auto"/>
        <w:right w:val="none" w:sz="0" w:space="0" w:color="auto"/>
      </w:divBdr>
    </w:div>
    <w:div w:id="1865098426">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sChild>
        <w:div w:id="302778151">
          <w:marLeft w:val="360"/>
          <w:marRight w:val="0"/>
          <w:marTop w:val="200"/>
          <w:marBottom w:val="120"/>
          <w:divBdr>
            <w:top w:val="none" w:sz="0" w:space="0" w:color="auto"/>
            <w:left w:val="none" w:sz="0" w:space="0" w:color="auto"/>
            <w:bottom w:val="none" w:sz="0" w:space="0" w:color="auto"/>
            <w:right w:val="none" w:sz="0" w:space="0" w:color="auto"/>
          </w:divBdr>
        </w:div>
        <w:div w:id="171382331">
          <w:marLeft w:val="1166"/>
          <w:marRight w:val="0"/>
          <w:marTop w:val="60"/>
          <w:marBottom w:val="40"/>
          <w:divBdr>
            <w:top w:val="none" w:sz="0" w:space="0" w:color="auto"/>
            <w:left w:val="none" w:sz="0" w:space="0" w:color="auto"/>
            <w:bottom w:val="none" w:sz="0" w:space="0" w:color="auto"/>
            <w:right w:val="none" w:sz="0" w:space="0" w:color="auto"/>
          </w:divBdr>
        </w:div>
        <w:div w:id="1451196177">
          <w:marLeft w:val="1166"/>
          <w:marRight w:val="0"/>
          <w:marTop w:val="60"/>
          <w:marBottom w:val="40"/>
          <w:divBdr>
            <w:top w:val="none" w:sz="0" w:space="0" w:color="auto"/>
            <w:left w:val="none" w:sz="0" w:space="0" w:color="auto"/>
            <w:bottom w:val="none" w:sz="0" w:space="0" w:color="auto"/>
            <w:right w:val="none" w:sz="0" w:space="0" w:color="auto"/>
          </w:divBdr>
        </w:div>
      </w:divsChild>
    </w:div>
    <w:div w:id="1919245823">
      <w:bodyDiv w:val="1"/>
      <w:marLeft w:val="0"/>
      <w:marRight w:val="0"/>
      <w:marTop w:val="0"/>
      <w:marBottom w:val="0"/>
      <w:divBdr>
        <w:top w:val="none" w:sz="0" w:space="0" w:color="auto"/>
        <w:left w:val="none" w:sz="0" w:space="0" w:color="auto"/>
        <w:bottom w:val="none" w:sz="0" w:space="0" w:color="auto"/>
        <w:right w:val="none" w:sz="0" w:space="0" w:color="auto"/>
      </w:divBdr>
    </w:div>
    <w:div w:id="1930961415">
      <w:bodyDiv w:val="1"/>
      <w:marLeft w:val="0"/>
      <w:marRight w:val="0"/>
      <w:marTop w:val="0"/>
      <w:marBottom w:val="0"/>
      <w:divBdr>
        <w:top w:val="none" w:sz="0" w:space="0" w:color="auto"/>
        <w:left w:val="none" w:sz="0" w:space="0" w:color="auto"/>
        <w:bottom w:val="none" w:sz="0" w:space="0" w:color="auto"/>
        <w:right w:val="none" w:sz="0" w:space="0" w:color="auto"/>
      </w:divBdr>
      <w:divsChild>
        <w:div w:id="745150689">
          <w:marLeft w:val="360"/>
          <w:marRight w:val="0"/>
          <w:marTop w:val="200"/>
          <w:marBottom w:val="120"/>
          <w:divBdr>
            <w:top w:val="none" w:sz="0" w:space="0" w:color="auto"/>
            <w:left w:val="none" w:sz="0" w:space="0" w:color="auto"/>
            <w:bottom w:val="none" w:sz="0" w:space="0" w:color="auto"/>
            <w:right w:val="none" w:sz="0" w:space="0" w:color="auto"/>
          </w:divBdr>
        </w:div>
      </w:divsChild>
    </w:div>
    <w:div w:id="1943489086">
      <w:bodyDiv w:val="1"/>
      <w:marLeft w:val="0"/>
      <w:marRight w:val="0"/>
      <w:marTop w:val="0"/>
      <w:marBottom w:val="0"/>
      <w:divBdr>
        <w:top w:val="none" w:sz="0" w:space="0" w:color="auto"/>
        <w:left w:val="none" w:sz="0" w:space="0" w:color="auto"/>
        <w:bottom w:val="none" w:sz="0" w:space="0" w:color="auto"/>
        <w:right w:val="none" w:sz="0" w:space="0" w:color="auto"/>
      </w:divBdr>
      <w:divsChild>
        <w:div w:id="1619950513">
          <w:marLeft w:val="274"/>
          <w:marRight w:val="0"/>
          <w:marTop w:val="0"/>
          <w:marBottom w:val="0"/>
          <w:divBdr>
            <w:top w:val="none" w:sz="0" w:space="0" w:color="auto"/>
            <w:left w:val="none" w:sz="0" w:space="0" w:color="auto"/>
            <w:bottom w:val="none" w:sz="0" w:space="0" w:color="auto"/>
            <w:right w:val="none" w:sz="0" w:space="0" w:color="auto"/>
          </w:divBdr>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Details/C2017C00226" TargetMode="External"/><Relationship Id="rId18" Type="http://schemas.openxmlformats.org/officeDocument/2006/relationships/hyperlink" Target="https://www.legislation.gov.au/Details/C2018C00066"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consultations.tga.gov.au/regulatory-practice-section/public-consultation-tga-fees-and-charges-proposal/"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budget.gov.au/content/bp2/download/bp2_2023-24.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ealth.gov.au/sites/default/files/documents/2020/02/health-portfolio-budget-statements-2019-20-health-portfolio-additional-estimates-statements-2019-20_0.pdf" TargetMode="External"/><Relationship Id="rId20" Type="http://schemas.openxmlformats.org/officeDocument/2006/relationships/hyperlink" Target="https://www.finance.gov.au/sites/default/files/2019-11/RMG-302%20Australian%20Government%20Charging%20Framework_1.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inance.gov.au/government/managing-commonwealth-resources/implementing-charging-framework-rmg-302/australian-government-cost-recovery-policy" TargetMode="External"/><Relationship Id="rId23" Type="http://schemas.openxmlformats.org/officeDocument/2006/relationships/hyperlink" Target="mailto:TGAFeesAndCharges@health.gov.au"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resources/publication/publications/therapeutic-goods-administration-performance-report-2022-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rchive.budget.gov.au/1997-98/index.htm" TargetMode="External"/><Relationship Id="rId22" Type="http://schemas.openxmlformats.org/officeDocument/2006/relationships/hyperlink" Target="https://consultations.tga.gov.au/login_form?came_from=https://consultations.tga.gov.au/regulatory-practice-section" TargetMode="External"/><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Cost Recovery Implementation Statement: 2022-2023</vt:lpstr>
    </vt:vector>
  </TitlesOfParts>
  <Company>Department of Health and Aged Care TGA</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2022-2023</dc:title>
  <dc:subject/>
  <dc:creator>Therapeutic Goods Administration</dc:creator>
  <cp:keywords/>
  <dc:description/>
  <cp:lastModifiedBy>KUMAR, Ronil</cp:lastModifiedBy>
  <cp:revision>2</cp:revision>
  <cp:lastPrinted>2010-12-20T22:59:00Z</cp:lastPrinted>
  <dcterms:created xsi:type="dcterms:W3CDTF">2024-02-22T02:55:00Z</dcterms:created>
  <dcterms:modified xsi:type="dcterms:W3CDTF">2024-02-22T02:55:00Z</dcterms:modified>
</cp:coreProperties>
</file>