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58AF070B" w14:textId="77777777" w:rsidTr="002B29B2">
        <w:tc>
          <w:tcPr>
            <w:tcW w:w="8720" w:type="dxa"/>
          </w:tcPr>
          <w:p w14:paraId="38672D2D" w14:textId="28620E2F" w:rsidR="00FC6317" w:rsidRDefault="003E11BB" w:rsidP="002B29B2">
            <w:pPr>
              <w:pStyle w:val="Title"/>
            </w:pPr>
            <w:r>
              <w:t xml:space="preserve">2026-27 </w:t>
            </w:r>
            <w:r w:rsidR="002A6E4C">
              <w:t xml:space="preserve">TGA </w:t>
            </w:r>
            <w:r w:rsidR="00F50A90">
              <w:t>f</w:t>
            </w:r>
            <w:r w:rsidR="00FC6317" w:rsidRPr="00FC6317">
              <w:t>ees and charges</w:t>
            </w:r>
            <w:r w:rsidR="0078294F">
              <w:t xml:space="preserve"> </w:t>
            </w:r>
            <w:r w:rsidR="00FC6317" w:rsidRPr="00FC6317">
              <w:t xml:space="preserve">proposal </w:t>
            </w:r>
          </w:p>
          <w:p w14:paraId="54799DFE" w14:textId="0EA04A14" w:rsidR="00F401EF" w:rsidRPr="00215D48" w:rsidRDefault="00F401EF" w:rsidP="002B29B2">
            <w:pPr>
              <w:pStyle w:val="Title"/>
            </w:pPr>
          </w:p>
        </w:tc>
      </w:tr>
      <w:tr w:rsidR="002B29B2" w:rsidRPr="00215D48" w14:paraId="297ADE90" w14:textId="77777777" w:rsidTr="002B29B2">
        <w:trPr>
          <w:trHeight w:val="1916"/>
        </w:trPr>
        <w:tc>
          <w:tcPr>
            <w:tcW w:w="8720" w:type="dxa"/>
          </w:tcPr>
          <w:p w14:paraId="7C276EF2" w14:textId="77777777" w:rsidR="00711D16" w:rsidRDefault="00711D16" w:rsidP="002B29B2">
            <w:pPr>
              <w:pStyle w:val="Subtitle"/>
              <w:ind w:left="0"/>
            </w:pPr>
          </w:p>
          <w:p w14:paraId="4DAE0ECE" w14:textId="06B9933C" w:rsidR="00F401EF" w:rsidRPr="00215D48" w:rsidRDefault="00FC6317" w:rsidP="002B29B2">
            <w:pPr>
              <w:pStyle w:val="Subtitle"/>
              <w:ind w:left="0"/>
            </w:pPr>
            <w:r w:rsidRPr="00FC6317">
              <w:t>Consultation paper</w:t>
            </w:r>
          </w:p>
        </w:tc>
      </w:tr>
      <w:tr w:rsidR="002B29B2" w:rsidRPr="00215D48" w14:paraId="78393C86" w14:textId="77777777" w:rsidTr="002B29B2">
        <w:tc>
          <w:tcPr>
            <w:tcW w:w="8720" w:type="dxa"/>
          </w:tcPr>
          <w:p w14:paraId="69B8F91A" w14:textId="36469305" w:rsidR="002B29B2" w:rsidRPr="00215D48" w:rsidRDefault="004222B4" w:rsidP="00F54CA9">
            <w:pPr>
              <w:pStyle w:val="Date"/>
            </w:pPr>
            <w:r w:rsidRPr="004222B4">
              <w:t xml:space="preserve">Version </w:t>
            </w:r>
            <w:r w:rsidR="00FC6317">
              <w:t>1</w:t>
            </w:r>
            <w:r w:rsidRPr="004222B4">
              <w:t xml:space="preserve">, </w:t>
            </w:r>
            <w:r w:rsidR="00615B0B">
              <w:t xml:space="preserve">January </w:t>
            </w:r>
            <w:r w:rsidR="00615B0B" w:rsidRPr="004222B4">
              <w:t>202</w:t>
            </w:r>
            <w:r w:rsidR="0067176C">
              <w:t>6</w:t>
            </w:r>
          </w:p>
        </w:tc>
      </w:tr>
    </w:tbl>
    <w:p w14:paraId="46D3D7F7" w14:textId="77777777" w:rsidR="00B24FF5" w:rsidRPr="00215D48" w:rsidRDefault="00B24FF5" w:rsidP="00B24FF5">
      <w:pPr>
        <w:pStyle w:val="ListBullet"/>
        <w:numPr>
          <w:ilvl w:val="0"/>
          <w:numId w:val="0"/>
        </w:numPr>
        <w:sectPr w:rsidR="00B24FF5" w:rsidRPr="00215D48" w:rsidSect="00AE7C6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6486" w:right="1418" w:bottom="0" w:left="1418" w:header="992" w:footer="335" w:gutter="0"/>
          <w:cols w:space="708"/>
          <w:titlePg/>
          <w:docGrid w:linePitch="360"/>
        </w:sectPr>
      </w:pPr>
    </w:p>
    <w:p w14:paraId="4810FF2A" w14:textId="77777777" w:rsidR="005D1689" w:rsidRPr="00E1198B" w:rsidRDefault="005D1689" w:rsidP="00BA0DFC">
      <w:pPr>
        <w:pStyle w:val="LegalSubheading"/>
      </w:pPr>
      <w:r w:rsidRPr="00BA0DFC">
        <w:lastRenderedPageBreak/>
        <w:t>Copyright</w:t>
      </w:r>
    </w:p>
    <w:p w14:paraId="4F19BF54" w14:textId="4C82F1AB" w:rsidR="00F274A2" w:rsidRDefault="005D1689" w:rsidP="0029069E">
      <w:pPr>
        <w:pStyle w:val="LegalCopy"/>
        <w:rPr>
          <w:rFonts w:cs="Arial"/>
        </w:rPr>
      </w:pPr>
      <w:r w:rsidRPr="00215D48">
        <w:rPr>
          <w:rFonts w:cs="Arial"/>
        </w:rPr>
        <w:t xml:space="preserve">© Commonwealth of Australia </w:t>
      </w:r>
      <w:r w:rsidR="0097743D" w:rsidRPr="00215D48">
        <w:rPr>
          <w:rFonts w:cs="Arial"/>
        </w:rPr>
        <w:t>20</w:t>
      </w:r>
      <w:r w:rsidR="0097743D">
        <w:rPr>
          <w:rFonts w:cs="Arial"/>
        </w:rPr>
        <w:t>2</w:t>
      </w:r>
      <w:r w:rsidR="0067176C">
        <w:rPr>
          <w:rFonts w:cs="Arial"/>
        </w:rPr>
        <w:t>6</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r w:rsidR="00DF34AB" w:rsidRPr="00215D48">
        <w:rPr>
          <w:rFonts w:cs="Arial"/>
        </w:rPr>
        <w:t>reserved,</w:t>
      </w:r>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p w14:paraId="6CCE4E31" w14:textId="419AB20D" w:rsidR="00FC6317" w:rsidRDefault="00FC6317" w:rsidP="0029069E">
      <w:pPr>
        <w:pStyle w:val="LegalCopy"/>
        <w:rPr>
          <w:rFonts w:cs="Arial"/>
        </w:rPr>
      </w:pPr>
    </w:p>
    <w:p w14:paraId="255A1EA1" w14:textId="77777777" w:rsidR="00FC6317" w:rsidRPr="009401F6" w:rsidRDefault="00FC6317" w:rsidP="00FC6317">
      <w:pPr>
        <w:pStyle w:val="LegalSubheading"/>
      </w:pPr>
      <w:r w:rsidRPr="009401F6">
        <w:t>Confidentiality</w:t>
      </w:r>
    </w:p>
    <w:p w14:paraId="0D55BE77" w14:textId="2F942A02" w:rsidR="00FC6317" w:rsidRDefault="00FC6317" w:rsidP="00FC6317">
      <w:pPr>
        <w:pStyle w:val="LegalCopy"/>
        <w:rPr>
          <w:lang w:eastAsia="en-AU"/>
        </w:rPr>
      </w:pPr>
      <w:r w:rsidRPr="00EB182C">
        <w:rPr>
          <w:lang w:eastAsia="en-AU"/>
        </w:rPr>
        <w:t>All submissions received will be placed on the TGA’s Internet site, unless marked confidential. Any confidential material contained within your submission should be provided under a separate cover and clearly marked “IN CONFIDENCE</w:t>
      </w:r>
      <w:r w:rsidR="009E4589" w:rsidRPr="00EB182C">
        <w:rPr>
          <w:lang w:eastAsia="en-AU"/>
        </w:rPr>
        <w:t>.”</w:t>
      </w:r>
      <w:r w:rsidRPr="00EB182C">
        <w:rPr>
          <w:lang w:eastAsia="en-AU"/>
        </w:rPr>
        <w:t xml:space="preserv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p w14:paraId="0B15F41B" w14:textId="77777777" w:rsidR="00B53376" w:rsidRDefault="00B53376" w:rsidP="00FC6317">
      <w:pPr>
        <w:pStyle w:val="LegalCopy"/>
        <w:rPr>
          <w:lang w:eastAsia="en-AU"/>
        </w:rPr>
      </w:pPr>
    </w:p>
    <w:p w14:paraId="0C8DEF7D" w14:textId="77777777" w:rsidR="00B53376" w:rsidRPr="00EB182C" w:rsidRDefault="00B53376" w:rsidP="00FC6317">
      <w:pPr>
        <w:pStyle w:val="LegalCopy"/>
      </w:pPr>
    </w:p>
    <w:p w14:paraId="66AD6720" w14:textId="77777777" w:rsidR="00FC6317" w:rsidRDefault="00FC6317" w:rsidP="0029069E">
      <w:pPr>
        <w:pStyle w:val="LegalCopy"/>
        <w:rPr>
          <w:rFonts w:cs="Arial"/>
        </w:rPr>
      </w:pPr>
    </w:p>
    <w:sdt>
      <w:sdtPr>
        <w:rPr>
          <w:rFonts w:ascii="Cambria" w:hAnsi="Cambria"/>
          <w:b w:val="0"/>
          <w:color w:val="auto"/>
          <w:sz w:val="22"/>
        </w:rPr>
        <w:id w:val="21514769"/>
        <w:docPartObj>
          <w:docPartGallery w:val="Table of Contents"/>
          <w:docPartUnique/>
        </w:docPartObj>
      </w:sdtPr>
      <w:sdtEndPr>
        <w:rPr>
          <w:rFonts w:ascii="Arial" w:hAnsi="Arial"/>
          <w:color w:val="333F48"/>
        </w:rPr>
      </w:sdtEndPr>
      <w:sdtContent>
        <w:p w14:paraId="29CDE7E3" w14:textId="77777777" w:rsidR="00F401EF" w:rsidRPr="00215D48" w:rsidRDefault="00F401EF" w:rsidP="001F4CB4">
          <w:pPr>
            <w:pStyle w:val="NonTOCheading2"/>
          </w:pPr>
          <w:r w:rsidRPr="00215D48">
            <w:t>Contents</w:t>
          </w:r>
        </w:p>
        <w:p w14:paraId="219B1E82" w14:textId="38A32C2B" w:rsidR="001D5F6D" w:rsidRDefault="00F859D2">
          <w:pPr>
            <w:pStyle w:val="TOC1"/>
            <w:rPr>
              <w:rFonts w:asciiTheme="minorHAnsi" w:eastAsiaTheme="minorEastAsia" w:hAnsiTheme="minorHAnsi" w:cstheme="minorBidi"/>
              <w:b w:val="0"/>
              <w:noProof/>
              <w:color w:val="auto"/>
              <w:kern w:val="2"/>
              <w:sz w:val="24"/>
              <w:szCs w:val="24"/>
              <w:lang w:eastAsia="en-AU"/>
              <w14:ligatures w14:val="standardContextual"/>
            </w:rPr>
          </w:pPr>
          <w:r w:rsidRPr="00504267">
            <w:rPr>
              <w:color w:val="auto"/>
              <w:sz w:val="28"/>
              <w:szCs w:val="28"/>
            </w:rPr>
            <w:fldChar w:fldCharType="begin"/>
          </w:r>
          <w:r w:rsidR="00F401EF" w:rsidRPr="00504267">
            <w:rPr>
              <w:color w:val="auto"/>
              <w:sz w:val="28"/>
              <w:szCs w:val="28"/>
            </w:rPr>
            <w:instrText xml:space="preserve"> TOC \h \z \u \t "Heading 2,1,Heading 3,2,Heading 4,3" </w:instrText>
          </w:r>
          <w:r w:rsidRPr="00504267">
            <w:rPr>
              <w:color w:val="auto"/>
              <w:sz w:val="28"/>
              <w:szCs w:val="28"/>
            </w:rPr>
            <w:fldChar w:fldCharType="separate"/>
          </w:r>
          <w:hyperlink w:anchor="_Toc219968248" w:history="1">
            <w:r w:rsidR="001D5F6D" w:rsidRPr="00B67D35">
              <w:rPr>
                <w:rStyle w:val="Hyperlink"/>
                <w:rFonts w:cs="Arial"/>
                <w:noProof/>
              </w:rPr>
              <w:t>Acknowledgement of Country</w:t>
            </w:r>
            <w:r w:rsidR="001D5F6D">
              <w:rPr>
                <w:noProof/>
                <w:webHidden/>
              </w:rPr>
              <w:tab/>
            </w:r>
            <w:r w:rsidR="001D5F6D">
              <w:rPr>
                <w:noProof/>
                <w:webHidden/>
              </w:rPr>
              <w:fldChar w:fldCharType="begin"/>
            </w:r>
            <w:r w:rsidR="001D5F6D">
              <w:rPr>
                <w:noProof/>
                <w:webHidden/>
              </w:rPr>
              <w:instrText xml:space="preserve"> PAGEREF _Toc219968248 \h </w:instrText>
            </w:r>
            <w:r w:rsidR="001D5F6D">
              <w:rPr>
                <w:noProof/>
                <w:webHidden/>
              </w:rPr>
            </w:r>
            <w:r w:rsidR="001D5F6D">
              <w:rPr>
                <w:noProof/>
                <w:webHidden/>
              </w:rPr>
              <w:fldChar w:fldCharType="separate"/>
            </w:r>
            <w:r w:rsidR="001D5F6D">
              <w:rPr>
                <w:noProof/>
                <w:webHidden/>
              </w:rPr>
              <w:t>4</w:t>
            </w:r>
            <w:r w:rsidR="001D5F6D">
              <w:rPr>
                <w:noProof/>
                <w:webHidden/>
              </w:rPr>
              <w:fldChar w:fldCharType="end"/>
            </w:r>
          </w:hyperlink>
        </w:p>
        <w:p w14:paraId="56EE2A5B" w14:textId="137D18CA" w:rsidR="001D5F6D" w:rsidRDefault="001D5F6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9968249" w:history="1">
            <w:r w:rsidRPr="00B67D35">
              <w:rPr>
                <w:rStyle w:val="Hyperlink"/>
                <w:rFonts w:cs="Arial"/>
                <w:noProof/>
              </w:rPr>
              <w:t>Introduction</w:t>
            </w:r>
            <w:r>
              <w:rPr>
                <w:noProof/>
                <w:webHidden/>
              </w:rPr>
              <w:tab/>
            </w:r>
            <w:r>
              <w:rPr>
                <w:noProof/>
                <w:webHidden/>
              </w:rPr>
              <w:fldChar w:fldCharType="begin"/>
            </w:r>
            <w:r>
              <w:rPr>
                <w:noProof/>
                <w:webHidden/>
              </w:rPr>
              <w:instrText xml:space="preserve"> PAGEREF _Toc219968249 \h </w:instrText>
            </w:r>
            <w:r>
              <w:rPr>
                <w:noProof/>
                <w:webHidden/>
              </w:rPr>
            </w:r>
            <w:r>
              <w:rPr>
                <w:noProof/>
                <w:webHidden/>
              </w:rPr>
              <w:fldChar w:fldCharType="separate"/>
            </w:r>
            <w:r>
              <w:rPr>
                <w:noProof/>
                <w:webHidden/>
              </w:rPr>
              <w:t>5</w:t>
            </w:r>
            <w:r>
              <w:rPr>
                <w:noProof/>
                <w:webHidden/>
              </w:rPr>
              <w:fldChar w:fldCharType="end"/>
            </w:r>
          </w:hyperlink>
        </w:p>
        <w:p w14:paraId="09DBC9B1" w14:textId="6CE83E4E" w:rsidR="001D5F6D" w:rsidRDefault="001D5F6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9968250" w:history="1">
            <w:r w:rsidRPr="00B67D35">
              <w:rPr>
                <w:rStyle w:val="Hyperlink"/>
                <w:rFonts w:cs="Arial"/>
                <w:noProof/>
              </w:rPr>
              <w:t>Description of TGA Activities</w:t>
            </w:r>
            <w:r>
              <w:rPr>
                <w:noProof/>
                <w:webHidden/>
              </w:rPr>
              <w:tab/>
            </w:r>
            <w:r>
              <w:rPr>
                <w:noProof/>
                <w:webHidden/>
              </w:rPr>
              <w:fldChar w:fldCharType="begin"/>
            </w:r>
            <w:r>
              <w:rPr>
                <w:noProof/>
                <w:webHidden/>
              </w:rPr>
              <w:instrText xml:space="preserve"> PAGEREF _Toc219968250 \h </w:instrText>
            </w:r>
            <w:r>
              <w:rPr>
                <w:noProof/>
                <w:webHidden/>
              </w:rPr>
            </w:r>
            <w:r>
              <w:rPr>
                <w:noProof/>
                <w:webHidden/>
              </w:rPr>
              <w:fldChar w:fldCharType="separate"/>
            </w:r>
            <w:r>
              <w:rPr>
                <w:noProof/>
                <w:webHidden/>
              </w:rPr>
              <w:t>5</w:t>
            </w:r>
            <w:r>
              <w:rPr>
                <w:noProof/>
                <w:webHidden/>
              </w:rPr>
              <w:fldChar w:fldCharType="end"/>
            </w:r>
          </w:hyperlink>
        </w:p>
        <w:p w14:paraId="4FD53C9A" w14:textId="5372AAAE" w:rsidR="001D5F6D" w:rsidRDefault="001D5F6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9968251" w:history="1">
            <w:r w:rsidRPr="00B67D35">
              <w:rPr>
                <w:rStyle w:val="Hyperlink"/>
                <w:rFonts w:cs="Arial"/>
                <w:noProof/>
              </w:rPr>
              <w:t>TGA funding mechanisms</w:t>
            </w:r>
            <w:r>
              <w:rPr>
                <w:noProof/>
                <w:webHidden/>
              </w:rPr>
              <w:tab/>
            </w:r>
            <w:r>
              <w:rPr>
                <w:noProof/>
                <w:webHidden/>
              </w:rPr>
              <w:fldChar w:fldCharType="begin"/>
            </w:r>
            <w:r>
              <w:rPr>
                <w:noProof/>
                <w:webHidden/>
              </w:rPr>
              <w:instrText xml:space="preserve"> PAGEREF _Toc219968251 \h </w:instrText>
            </w:r>
            <w:r>
              <w:rPr>
                <w:noProof/>
                <w:webHidden/>
              </w:rPr>
            </w:r>
            <w:r>
              <w:rPr>
                <w:noProof/>
                <w:webHidden/>
              </w:rPr>
              <w:fldChar w:fldCharType="separate"/>
            </w:r>
            <w:r>
              <w:rPr>
                <w:noProof/>
                <w:webHidden/>
              </w:rPr>
              <w:t>6</w:t>
            </w:r>
            <w:r>
              <w:rPr>
                <w:noProof/>
                <w:webHidden/>
              </w:rPr>
              <w:fldChar w:fldCharType="end"/>
            </w:r>
          </w:hyperlink>
        </w:p>
        <w:p w14:paraId="4282CDB7" w14:textId="436E65F0" w:rsidR="001D5F6D" w:rsidRDefault="001D5F6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9968252" w:history="1">
            <w:r w:rsidRPr="00B67D35">
              <w:rPr>
                <w:rStyle w:val="Hyperlink"/>
                <w:rFonts w:cs="Arial"/>
                <w:noProof/>
              </w:rPr>
              <w:t>Cost recovery obligations of the TGA</w:t>
            </w:r>
            <w:r>
              <w:rPr>
                <w:noProof/>
                <w:webHidden/>
              </w:rPr>
              <w:tab/>
            </w:r>
            <w:r>
              <w:rPr>
                <w:noProof/>
                <w:webHidden/>
              </w:rPr>
              <w:fldChar w:fldCharType="begin"/>
            </w:r>
            <w:r>
              <w:rPr>
                <w:noProof/>
                <w:webHidden/>
              </w:rPr>
              <w:instrText xml:space="preserve"> PAGEREF _Toc219968252 \h </w:instrText>
            </w:r>
            <w:r>
              <w:rPr>
                <w:noProof/>
                <w:webHidden/>
              </w:rPr>
            </w:r>
            <w:r>
              <w:rPr>
                <w:noProof/>
                <w:webHidden/>
              </w:rPr>
              <w:fldChar w:fldCharType="separate"/>
            </w:r>
            <w:r>
              <w:rPr>
                <w:noProof/>
                <w:webHidden/>
              </w:rPr>
              <w:t>7</w:t>
            </w:r>
            <w:r>
              <w:rPr>
                <w:noProof/>
                <w:webHidden/>
              </w:rPr>
              <w:fldChar w:fldCharType="end"/>
            </w:r>
          </w:hyperlink>
        </w:p>
        <w:p w14:paraId="2F1AC34B" w14:textId="051CFA1A" w:rsidR="001D5F6D" w:rsidRDefault="001D5F6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9968253" w:history="1">
            <w:r w:rsidRPr="00B67D35">
              <w:rPr>
                <w:rStyle w:val="Hyperlink"/>
                <w:rFonts w:cs="Arial"/>
                <w:noProof/>
              </w:rPr>
              <w:t>TGA cash position as of 30 June 2025</w:t>
            </w:r>
            <w:r>
              <w:rPr>
                <w:noProof/>
                <w:webHidden/>
              </w:rPr>
              <w:tab/>
            </w:r>
            <w:r>
              <w:rPr>
                <w:noProof/>
                <w:webHidden/>
              </w:rPr>
              <w:fldChar w:fldCharType="begin"/>
            </w:r>
            <w:r>
              <w:rPr>
                <w:noProof/>
                <w:webHidden/>
              </w:rPr>
              <w:instrText xml:space="preserve"> PAGEREF _Toc219968253 \h </w:instrText>
            </w:r>
            <w:r>
              <w:rPr>
                <w:noProof/>
                <w:webHidden/>
              </w:rPr>
            </w:r>
            <w:r>
              <w:rPr>
                <w:noProof/>
                <w:webHidden/>
              </w:rPr>
              <w:fldChar w:fldCharType="separate"/>
            </w:r>
            <w:r>
              <w:rPr>
                <w:noProof/>
                <w:webHidden/>
              </w:rPr>
              <w:t>8</w:t>
            </w:r>
            <w:r>
              <w:rPr>
                <w:noProof/>
                <w:webHidden/>
              </w:rPr>
              <w:fldChar w:fldCharType="end"/>
            </w:r>
          </w:hyperlink>
        </w:p>
        <w:p w14:paraId="30C2D79C" w14:textId="55DD289C" w:rsidR="001D5F6D" w:rsidRDefault="001D5F6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9968254" w:history="1">
            <w:r w:rsidRPr="00B67D35">
              <w:rPr>
                <w:rStyle w:val="Hyperlink"/>
                <w:rFonts w:cs="Arial"/>
                <w:noProof/>
              </w:rPr>
              <w:t>Annual review of fees and charges</w:t>
            </w:r>
            <w:r>
              <w:rPr>
                <w:noProof/>
                <w:webHidden/>
              </w:rPr>
              <w:tab/>
            </w:r>
            <w:r>
              <w:rPr>
                <w:noProof/>
                <w:webHidden/>
              </w:rPr>
              <w:fldChar w:fldCharType="begin"/>
            </w:r>
            <w:r>
              <w:rPr>
                <w:noProof/>
                <w:webHidden/>
              </w:rPr>
              <w:instrText xml:space="preserve"> PAGEREF _Toc219968254 \h </w:instrText>
            </w:r>
            <w:r>
              <w:rPr>
                <w:noProof/>
                <w:webHidden/>
              </w:rPr>
            </w:r>
            <w:r>
              <w:rPr>
                <w:noProof/>
                <w:webHidden/>
              </w:rPr>
              <w:fldChar w:fldCharType="separate"/>
            </w:r>
            <w:r>
              <w:rPr>
                <w:noProof/>
                <w:webHidden/>
              </w:rPr>
              <w:t>8</w:t>
            </w:r>
            <w:r>
              <w:rPr>
                <w:noProof/>
                <w:webHidden/>
              </w:rPr>
              <w:fldChar w:fldCharType="end"/>
            </w:r>
          </w:hyperlink>
        </w:p>
        <w:p w14:paraId="3DD63A76" w14:textId="64FFFFFF" w:rsidR="001D5F6D" w:rsidRDefault="001D5F6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9968255" w:history="1">
            <w:r w:rsidRPr="00B67D35">
              <w:rPr>
                <w:rStyle w:val="Hyperlink"/>
                <w:rFonts w:cs="Arial"/>
                <w:noProof/>
              </w:rPr>
              <w:t>Cost pressures in 2026-27</w:t>
            </w:r>
            <w:r>
              <w:rPr>
                <w:noProof/>
                <w:webHidden/>
              </w:rPr>
              <w:tab/>
            </w:r>
            <w:r>
              <w:rPr>
                <w:noProof/>
                <w:webHidden/>
              </w:rPr>
              <w:fldChar w:fldCharType="begin"/>
            </w:r>
            <w:r>
              <w:rPr>
                <w:noProof/>
                <w:webHidden/>
              </w:rPr>
              <w:instrText xml:space="preserve"> PAGEREF _Toc219968255 \h </w:instrText>
            </w:r>
            <w:r>
              <w:rPr>
                <w:noProof/>
                <w:webHidden/>
              </w:rPr>
            </w:r>
            <w:r>
              <w:rPr>
                <w:noProof/>
                <w:webHidden/>
              </w:rPr>
              <w:fldChar w:fldCharType="separate"/>
            </w:r>
            <w:r>
              <w:rPr>
                <w:noProof/>
                <w:webHidden/>
              </w:rPr>
              <w:t>8</w:t>
            </w:r>
            <w:r>
              <w:rPr>
                <w:noProof/>
                <w:webHidden/>
              </w:rPr>
              <w:fldChar w:fldCharType="end"/>
            </w:r>
          </w:hyperlink>
        </w:p>
        <w:p w14:paraId="5E8DA2F2" w14:textId="208D0721" w:rsidR="001D5F6D" w:rsidRDefault="001D5F6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9968256" w:history="1">
            <w:r w:rsidRPr="00B67D35">
              <w:rPr>
                <w:rStyle w:val="Hyperlink"/>
                <w:rFonts w:cs="Arial"/>
                <w:noProof/>
              </w:rPr>
              <w:t>Indexation factor for 2026-27</w:t>
            </w:r>
            <w:r>
              <w:rPr>
                <w:noProof/>
                <w:webHidden/>
              </w:rPr>
              <w:tab/>
            </w:r>
            <w:r>
              <w:rPr>
                <w:noProof/>
                <w:webHidden/>
              </w:rPr>
              <w:fldChar w:fldCharType="begin"/>
            </w:r>
            <w:r>
              <w:rPr>
                <w:noProof/>
                <w:webHidden/>
              </w:rPr>
              <w:instrText xml:space="preserve"> PAGEREF _Toc219968256 \h </w:instrText>
            </w:r>
            <w:r>
              <w:rPr>
                <w:noProof/>
                <w:webHidden/>
              </w:rPr>
            </w:r>
            <w:r>
              <w:rPr>
                <w:noProof/>
                <w:webHidden/>
              </w:rPr>
              <w:fldChar w:fldCharType="separate"/>
            </w:r>
            <w:r>
              <w:rPr>
                <w:noProof/>
                <w:webHidden/>
              </w:rPr>
              <w:t>9</w:t>
            </w:r>
            <w:r>
              <w:rPr>
                <w:noProof/>
                <w:webHidden/>
              </w:rPr>
              <w:fldChar w:fldCharType="end"/>
            </w:r>
          </w:hyperlink>
        </w:p>
        <w:p w14:paraId="7AB11532" w14:textId="77D0B588" w:rsidR="001D5F6D" w:rsidRDefault="001D5F6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9968257" w:history="1">
            <w:r w:rsidRPr="00B67D35">
              <w:rPr>
                <w:rStyle w:val="Hyperlink"/>
                <w:rFonts w:cs="Arial"/>
                <w:noProof/>
              </w:rPr>
              <w:t>Proposed changes to fees and charges 2026-27</w:t>
            </w:r>
            <w:r>
              <w:rPr>
                <w:noProof/>
                <w:webHidden/>
              </w:rPr>
              <w:tab/>
            </w:r>
            <w:r>
              <w:rPr>
                <w:noProof/>
                <w:webHidden/>
              </w:rPr>
              <w:fldChar w:fldCharType="begin"/>
            </w:r>
            <w:r>
              <w:rPr>
                <w:noProof/>
                <w:webHidden/>
              </w:rPr>
              <w:instrText xml:space="preserve"> PAGEREF _Toc219968257 \h </w:instrText>
            </w:r>
            <w:r>
              <w:rPr>
                <w:noProof/>
                <w:webHidden/>
              </w:rPr>
            </w:r>
            <w:r>
              <w:rPr>
                <w:noProof/>
                <w:webHidden/>
              </w:rPr>
              <w:fldChar w:fldCharType="separate"/>
            </w:r>
            <w:r>
              <w:rPr>
                <w:noProof/>
                <w:webHidden/>
              </w:rPr>
              <w:t>9</w:t>
            </w:r>
            <w:r>
              <w:rPr>
                <w:noProof/>
                <w:webHidden/>
              </w:rPr>
              <w:fldChar w:fldCharType="end"/>
            </w:r>
          </w:hyperlink>
        </w:p>
        <w:p w14:paraId="768725F5" w14:textId="1FBBFA51" w:rsidR="001D5F6D" w:rsidRDefault="001D5F6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9968258" w:history="1">
            <w:r w:rsidRPr="00B67D35">
              <w:rPr>
                <w:rStyle w:val="Hyperlink"/>
                <w:rFonts w:cs="Arial"/>
                <w:noProof/>
              </w:rPr>
              <w:t>Summary of proposed changes</w:t>
            </w:r>
            <w:r>
              <w:rPr>
                <w:noProof/>
                <w:webHidden/>
              </w:rPr>
              <w:tab/>
            </w:r>
            <w:r>
              <w:rPr>
                <w:noProof/>
                <w:webHidden/>
              </w:rPr>
              <w:fldChar w:fldCharType="begin"/>
            </w:r>
            <w:r>
              <w:rPr>
                <w:noProof/>
                <w:webHidden/>
              </w:rPr>
              <w:instrText xml:space="preserve"> PAGEREF _Toc219968258 \h </w:instrText>
            </w:r>
            <w:r>
              <w:rPr>
                <w:noProof/>
                <w:webHidden/>
              </w:rPr>
            </w:r>
            <w:r>
              <w:rPr>
                <w:noProof/>
                <w:webHidden/>
              </w:rPr>
              <w:fldChar w:fldCharType="separate"/>
            </w:r>
            <w:r>
              <w:rPr>
                <w:noProof/>
                <w:webHidden/>
              </w:rPr>
              <w:t>10</w:t>
            </w:r>
            <w:r>
              <w:rPr>
                <w:noProof/>
                <w:webHidden/>
              </w:rPr>
              <w:fldChar w:fldCharType="end"/>
            </w:r>
          </w:hyperlink>
        </w:p>
        <w:p w14:paraId="39C81F84" w14:textId="5BE30EEC" w:rsidR="001D5F6D" w:rsidRDefault="001D5F6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9968259" w:history="1">
            <w:r w:rsidRPr="00B67D35">
              <w:rPr>
                <w:rStyle w:val="Hyperlink"/>
                <w:rFonts w:cs="Arial"/>
                <w:noProof/>
              </w:rPr>
              <w:t>Stakeholder engagement</w:t>
            </w:r>
            <w:r>
              <w:rPr>
                <w:noProof/>
                <w:webHidden/>
              </w:rPr>
              <w:tab/>
            </w:r>
            <w:r>
              <w:rPr>
                <w:noProof/>
                <w:webHidden/>
              </w:rPr>
              <w:fldChar w:fldCharType="begin"/>
            </w:r>
            <w:r>
              <w:rPr>
                <w:noProof/>
                <w:webHidden/>
              </w:rPr>
              <w:instrText xml:space="preserve"> PAGEREF _Toc219968259 \h </w:instrText>
            </w:r>
            <w:r>
              <w:rPr>
                <w:noProof/>
                <w:webHidden/>
              </w:rPr>
            </w:r>
            <w:r>
              <w:rPr>
                <w:noProof/>
                <w:webHidden/>
              </w:rPr>
              <w:fldChar w:fldCharType="separate"/>
            </w:r>
            <w:r>
              <w:rPr>
                <w:noProof/>
                <w:webHidden/>
              </w:rPr>
              <w:t>11</w:t>
            </w:r>
            <w:r>
              <w:rPr>
                <w:noProof/>
                <w:webHidden/>
              </w:rPr>
              <w:fldChar w:fldCharType="end"/>
            </w:r>
          </w:hyperlink>
        </w:p>
        <w:p w14:paraId="4D6DDA01" w14:textId="60F8FDB2" w:rsidR="001D5F6D" w:rsidRDefault="001D5F6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9968260" w:history="1">
            <w:r w:rsidRPr="00B67D35">
              <w:rPr>
                <w:rStyle w:val="Hyperlink"/>
                <w:rFonts w:cs="Arial"/>
                <w:noProof/>
              </w:rPr>
              <w:t>Next steps</w:t>
            </w:r>
            <w:r>
              <w:rPr>
                <w:noProof/>
                <w:webHidden/>
              </w:rPr>
              <w:tab/>
            </w:r>
            <w:r>
              <w:rPr>
                <w:noProof/>
                <w:webHidden/>
              </w:rPr>
              <w:fldChar w:fldCharType="begin"/>
            </w:r>
            <w:r>
              <w:rPr>
                <w:noProof/>
                <w:webHidden/>
              </w:rPr>
              <w:instrText xml:space="preserve"> PAGEREF _Toc219968260 \h </w:instrText>
            </w:r>
            <w:r>
              <w:rPr>
                <w:noProof/>
                <w:webHidden/>
              </w:rPr>
            </w:r>
            <w:r>
              <w:rPr>
                <w:noProof/>
                <w:webHidden/>
              </w:rPr>
              <w:fldChar w:fldCharType="separate"/>
            </w:r>
            <w:r>
              <w:rPr>
                <w:noProof/>
                <w:webHidden/>
              </w:rPr>
              <w:t>11</w:t>
            </w:r>
            <w:r>
              <w:rPr>
                <w:noProof/>
                <w:webHidden/>
              </w:rPr>
              <w:fldChar w:fldCharType="end"/>
            </w:r>
          </w:hyperlink>
        </w:p>
        <w:p w14:paraId="0B262654" w14:textId="0A51240B" w:rsidR="00F401EF" w:rsidRPr="00215D48" w:rsidRDefault="00F859D2" w:rsidP="002C160A">
          <w:pPr>
            <w:tabs>
              <w:tab w:val="right" w:pos="9070"/>
            </w:tabs>
          </w:pPr>
          <w:r w:rsidRPr="00504267">
            <w:rPr>
              <w:color w:val="auto"/>
              <w:sz w:val="28"/>
              <w:szCs w:val="28"/>
            </w:rPr>
            <w:fldChar w:fldCharType="end"/>
          </w:r>
          <w:r w:rsidR="002C160A">
            <w:tab/>
          </w:r>
        </w:p>
      </w:sdtContent>
    </w:sdt>
    <w:p w14:paraId="53C3E47A" w14:textId="195E3E6F" w:rsidR="00C378BA" w:rsidRDefault="00C378BA" w:rsidP="00C378BA">
      <w:pPr>
        <w:tabs>
          <w:tab w:val="left" w:pos="6840"/>
        </w:tabs>
      </w:pPr>
      <w:r>
        <w:tab/>
      </w:r>
    </w:p>
    <w:p w14:paraId="71607398" w14:textId="16F056A9" w:rsidR="00B53376" w:rsidRPr="00163B78" w:rsidRDefault="001525B4" w:rsidP="001354AB">
      <w:pPr>
        <w:pStyle w:val="Heading2"/>
        <w:rPr>
          <w:rFonts w:cs="Arial"/>
        </w:rPr>
      </w:pPr>
      <w:r w:rsidRPr="00C378BA">
        <w:br w:type="page"/>
      </w:r>
      <w:bookmarkStart w:id="0" w:name="_Toc219968248"/>
      <w:bookmarkStart w:id="1" w:name="_Toc114655151"/>
      <w:r w:rsidR="00B53376" w:rsidRPr="00163B78">
        <w:rPr>
          <w:rFonts w:cs="Arial"/>
        </w:rPr>
        <w:lastRenderedPageBreak/>
        <w:t>Acknowledgement of Country</w:t>
      </w:r>
      <w:bookmarkEnd w:id="0"/>
    </w:p>
    <w:p w14:paraId="3C18C5A2" w14:textId="48CAD599" w:rsidR="00B53376" w:rsidRPr="00504267" w:rsidRDefault="00B53376" w:rsidP="00B53376">
      <w:pPr>
        <w:rPr>
          <w:rFonts w:cs="Arial"/>
          <w:color w:val="auto"/>
          <w:szCs w:val="22"/>
        </w:rPr>
      </w:pPr>
      <w:r w:rsidRPr="00504267">
        <w:rPr>
          <w:rFonts w:cs="Arial"/>
          <w:color w:val="auto"/>
          <w:szCs w:val="22"/>
        </w:rPr>
        <w:t>The Therapeutic Goods Administration (TGA) proudly acknowledges the Traditional Owners and Custodians of Country throughout Australia and pay</w:t>
      </w:r>
      <w:r w:rsidR="003E11BB" w:rsidRPr="00504267">
        <w:rPr>
          <w:rFonts w:cs="Arial"/>
          <w:color w:val="auto"/>
          <w:szCs w:val="22"/>
        </w:rPr>
        <w:t>s</w:t>
      </w:r>
      <w:r w:rsidRPr="00504267">
        <w:rPr>
          <w:rFonts w:cs="Arial"/>
          <w:color w:val="auto"/>
          <w:szCs w:val="22"/>
        </w:rPr>
        <w:t xml:space="preserve"> respect to those who have preserved and cared for the lands on which we live, work, and benefit from each day. We recognise the inherent strengths and knowledge Aboriginal and Torres Strait Islander peoples provide to the health</w:t>
      </w:r>
      <w:r w:rsidR="003E11BB" w:rsidRPr="00504267">
        <w:rPr>
          <w:rFonts w:cs="Arial"/>
          <w:color w:val="auto"/>
          <w:szCs w:val="22"/>
        </w:rPr>
        <w:t>, disability</w:t>
      </w:r>
      <w:r w:rsidRPr="00504267">
        <w:rPr>
          <w:rFonts w:cs="Arial"/>
          <w:color w:val="auto"/>
          <w:szCs w:val="22"/>
        </w:rPr>
        <w:t xml:space="preserve"> and aged care system</w:t>
      </w:r>
      <w:r w:rsidR="003E11BB" w:rsidRPr="00504267">
        <w:rPr>
          <w:rFonts w:cs="Arial"/>
          <w:color w:val="auto"/>
          <w:szCs w:val="22"/>
        </w:rPr>
        <w:t>s</w:t>
      </w:r>
      <w:r w:rsidRPr="00504267">
        <w:rPr>
          <w:rFonts w:cs="Arial"/>
          <w:color w:val="auto"/>
          <w:szCs w:val="22"/>
        </w:rPr>
        <w:t xml:space="preserve"> and thank them for their existing and ongoing contributions to the wider community. We extend this gratitude to all health</w:t>
      </w:r>
      <w:r w:rsidR="003E11BB" w:rsidRPr="00504267">
        <w:rPr>
          <w:rFonts w:cs="Arial"/>
          <w:color w:val="auto"/>
          <w:szCs w:val="22"/>
        </w:rPr>
        <w:t>, disability</w:t>
      </w:r>
      <w:r w:rsidRPr="00504267">
        <w:rPr>
          <w:rFonts w:cs="Arial"/>
          <w:color w:val="auto"/>
          <w:szCs w:val="22"/>
        </w:rPr>
        <w:t xml:space="preserve"> and aged care workers who contribute to improving health and wellbeing outcomes with, and for, First Nations peoples and communities. We also recognise and respect Aboriginal and Torres Strait Islander peoples’ continuing connections and relationships to the lands, waters, culture, and community, and pay respect to all Elders past and present. </w:t>
      </w:r>
    </w:p>
    <w:p w14:paraId="5BEE23A0" w14:textId="77777777" w:rsidR="00D72F2F" w:rsidRDefault="00D72F2F">
      <w:pPr>
        <w:spacing w:before="0" w:after="0" w:line="240" w:lineRule="auto"/>
        <w:rPr>
          <w:rFonts w:eastAsia="Times New Roman" w:cs="Arial"/>
          <w:b/>
          <w:bCs/>
          <w:color w:val="001871"/>
          <w:sz w:val="38"/>
          <w:szCs w:val="38"/>
        </w:rPr>
      </w:pPr>
      <w:r>
        <w:rPr>
          <w:rFonts w:cs="Arial"/>
        </w:rPr>
        <w:br w:type="page"/>
      </w:r>
    </w:p>
    <w:p w14:paraId="173ECF7D" w14:textId="26E28AA8" w:rsidR="00B53376" w:rsidRPr="00163B78" w:rsidRDefault="00B53376" w:rsidP="001354AB">
      <w:pPr>
        <w:pStyle w:val="Heading2"/>
        <w:rPr>
          <w:rFonts w:cs="Arial"/>
        </w:rPr>
      </w:pPr>
      <w:bookmarkStart w:id="2" w:name="_Toc219968249"/>
      <w:r w:rsidRPr="00163B78">
        <w:rPr>
          <w:rFonts w:cs="Arial"/>
        </w:rPr>
        <w:lastRenderedPageBreak/>
        <w:t>Introduction</w:t>
      </w:r>
      <w:bookmarkEnd w:id="2"/>
    </w:p>
    <w:p w14:paraId="080038CF" w14:textId="3F33D29F" w:rsidR="00FC6317" w:rsidRPr="00163B78" w:rsidRDefault="003E11BB" w:rsidP="00FC6317">
      <w:pPr>
        <w:rPr>
          <w:rFonts w:cs="Arial"/>
          <w:szCs w:val="22"/>
        </w:rPr>
      </w:pPr>
      <w:r w:rsidRPr="00504267">
        <w:rPr>
          <w:rFonts w:cs="Arial"/>
          <w:color w:val="auto"/>
          <w:szCs w:val="22"/>
        </w:rPr>
        <w:t xml:space="preserve">As part </w:t>
      </w:r>
      <w:r w:rsidR="00137E7C" w:rsidRPr="00504267">
        <w:rPr>
          <w:rFonts w:cs="Arial"/>
          <w:color w:val="auto"/>
          <w:szCs w:val="22"/>
        </w:rPr>
        <w:t>of the</w:t>
      </w:r>
      <w:r w:rsidR="00FC6317" w:rsidRPr="00504267">
        <w:rPr>
          <w:rFonts w:cs="Arial"/>
          <w:color w:val="auto"/>
          <w:szCs w:val="22"/>
        </w:rPr>
        <w:t xml:space="preserve"> Department of Health</w:t>
      </w:r>
      <w:r w:rsidR="002408DD" w:rsidRPr="00504267">
        <w:rPr>
          <w:rFonts w:cs="Arial"/>
          <w:color w:val="auto"/>
          <w:szCs w:val="22"/>
        </w:rPr>
        <w:t>, Disability and Ageing</w:t>
      </w:r>
      <w:r w:rsidR="001760E6" w:rsidRPr="00504267">
        <w:rPr>
          <w:rFonts w:cs="Arial"/>
          <w:color w:val="auto"/>
          <w:szCs w:val="22"/>
        </w:rPr>
        <w:t xml:space="preserve"> (the </w:t>
      </w:r>
      <w:r w:rsidR="005C3557" w:rsidRPr="00504267">
        <w:rPr>
          <w:rFonts w:cs="Arial"/>
          <w:color w:val="auto"/>
          <w:szCs w:val="22"/>
        </w:rPr>
        <w:t>d</w:t>
      </w:r>
      <w:r w:rsidR="001760E6" w:rsidRPr="00504267">
        <w:rPr>
          <w:rFonts w:cs="Arial"/>
          <w:color w:val="auto"/>
          <w:szCs w:val="22"/>
        </w:rPr>
        <w:t>epartment</w:t>
      </w:r>
      <w:r w:rsidR="00137E7C" w:rsidRPr="00504267">
        <w:rPr>
          <w:rFonts w:cs="Arial"/>
          <w:color w:val="auto"/>
          <w:szCs w:val="22"/>
        </w:rPr>
        <w:t>), the</w:t>
      </w:r>
      <w:r w:rsidRPr="00504267">
        <w:rPr>
          <w:rFonts w:cs="Arial"/>
          <w:color w:val="auto"/>
          <w:szCs w:val="22"/>
        </w:rPr>
        <w:t xml:space="preserve"> TGA</w:t>
      </w:r>
      <w:r w:rsidR="00FC6317" w:rsidRPr="00504267">
        <w:rPr>
          <w:rFonts w:cs="Arial"/>
          <w:color w:val="auto"/>
          <w:szCs w:val="22"/>
        </w:rPr>
        <w:t xml:space="preserve"> </w:t>
      </w:r>
      <w:r w:rsidR="00AB43BD" w:rsidRPr="00504267">
        <w:rPr>
          <w:rFonts w:cs="Arial"/>
          <w:color w:val="auto"/>
          <w:szCs w:val="22"/>
        </w:rPr>
        <w:t>regulates</w:t>
      </w:r>
      <w:r w:rsidR="003F7336" w:rsidRPr="00504267">
        <w:rPr>
          <w:rFonts w:cs="Arial"/>
          <w:color w:val="auto"/>
          <w:szCs w:val="22"/>
        </w:rPr>
        <w:t xml:space="preserve"> </w:t>
      </w:r>
      <w:r w:rsidR="00FC6317" w:rsidRPr="00504267">
        <w:rPr>
          <w:rFonts w:cs="Arial"/>
          <w:color w:val="auto"/>
          <w:szCs w:val="22"/>
        </w:rPr>
        <w:t xml:space="preserve">the supply, import, export, </w:t>
      </w:r>
      <w:r w:rsidR="001354AB" w:rsidRPr="00504267">
        <w:rPr>
          <w:rFonts w:cs="Arial"/>
          <w:color w:val="auto"/>
          <w:szCs w:val="22"/>
        </w:rPr>
        <w:t>manufacturing</w:t>
      </w:r>
      <w:r w:rsidR="00FC6317" w:rsidRPr="00504267">
        <w:rPr>
          <w:rFonts w:cs="Arial"/>
          <w:color w:val="auto"/>
          <w:szCs w:val="22"/>
        </w:rPr>
        <w:t xml:space="preserve"> and advertising of therapeutic goods</w:t>
      </w:r>
      <w:r w:rsidR="0078294F" w:rsidRPr="00504267">
        <w:rPr>
          <w:rFonts w:cs="Arial"/>
          <w:color w:val="auto"/>
          <w:szCs w:val="22"/>
        </w:rPr>
        <w:t xml:space="preserve"> in Australia</w:t>
      </w:r>
      <w:r w:rsidR="00FC6317" w:rsidRPr="00504267">
        <w:rPr>
          <w:rFonts w:cs="Arial"/>
          <w:color w:val="auto"/>
          <w:szCs w:val="22"/>
        </w:rPr>
        <w:t xml:space="preserve">. The TGA protects the health and safety of the community by regulating therapeutic goods for safety, </w:t>
      </w:r>
      <w:r w:rsidR="006A4B59" w:rsidRPr="00504267">
        <w:rPr>
          <w:rFonts w:cs="Arial"/>
          <w:color w:val="auto"/>
          <w:szCs w:val="22"/>
        </w:rPr>
        <w:t>effectiveness</w:t>
      </w:r>
      <w:r w:rsidR="00FC6317" w:rsidRPr="00504267">
        <w:rPr>
          <w:rFonts w:cs="Arial"/>
          <w:color w:val="auto"/>
          <w:szCs w:val="22"/>
        </w:rPr>
        <w:t xml:space="preserve"> and quality through administering the </w:t>
      </w:r>
      <w:hyperlink r:id="rId15" w:history="1">
        <w:r w:rsidR="00FC6317" w:rsidRPr="00163B78">
          <w:rPr>
            <w:rStyle w:val="Hyperlink"/>
            <w:rFonts w:cs="Arial"/>
            <w:i/>
            <w:iCs/>
            <w:szCs w:val="22"/>
          </w:rPr>
          <w:t>Therapeutic Goods Act 1989</w:t>
        </w:r>
      </w:hyperlink>
      <w:r w:rsidR="00FC6317" w:rsidRPr="00163B78">
        <w:rPr>
          <w:rFonts w:cs="Arial"/>
          <w:szCs w:val="22"/>
        </w:rPr>
        <w:t xml:space="preserve"> </w:t>
      </w:r>
      <w:r w:rsidR="00FC6317" w:rsidRPr="00504267">
        <w:rPr>
          <w:rFonts w:cs="Arial"/>
          <w:color w:val="auto"/>
          <w:szCs w:val="22"/>
        </w:rPr>
        <w:t>(the Act). To meet these responsibilities, the TGA recovers costs from industry in</w:t>
      </w:r>
      <w:r w:rsidR="00FC6317" w:rsidRPr="00163B78">
        <w:rPr>
          <w:rFonts w:cs="Arial"/>
          <w:szCs w:val="22"/>
        </w:rPr>
        <w:t xml:space="preserve"> </w:t>
      </w:r>
      <w:r w:rsidR="00FC6317" w:rsidRPr="00504267">
        <w:rPr>
          <w:rFonts w:cs="Arial"/>
          <w:color w:val="auto"/>
          <w:szCs w:val="22"/>
        </w:rPr>
        <w:t xml:space="preserve">accordance with </w:t>
      </w:r>
      <w:r w:rsidR="00FF1872" w:rsidRPr="00504267">
        <w:rPr>
          <w:rFonts w:cs="Arial"/>
          <w:color w:val="auto"/>
          <w:szCs w:val="22"/>
        </w:rPr>
        <w:t>the</w:t>
      </w:r>
      <w:r w:rsidR="00FC6317" w:rsidRPr="00504267">
        <w:rPr>
          <w:rFonts w:cs="Arial"/>
          <w:color w:val="auto"/>
          <w:szCs w:val="22"/>
        </w:rPr>
        <w:t xml:space="preserve"> </w:t>
      </w:r>
      <w:hyperlink r:id="rId16" w:history="1">
        <w:r w:rsidR="001C5699" w:rsidRPr="00163B78">
          <w:rPr>
            <w:rStyle w:val="Hyperlink"/>
            <w:rFonts w:cs="Arial"/>
            <w:szCs w:val="22"/>
          </w:rPr>
          <w:t>Australian Government Charging Framework</w:t>
        </w:r>
      </w:hyperlink>
      <w:r w:rsidR="001C5699" w:rsidRPr="00163B78">
        <w:rPr>
          <w:rFonts w:cs="Arial"/>
          <w:szCs w:val="22"/>
        </w:rPr>
        <w:t xml:space="preserve"> </w:t>
      </w:r>
      <w:r w:rsidR="001C5699" w:rsidRPr="00504267">
        <w:rPr>
          <w:rFonts w:cs="Arial"/>
          <w:color w:val="auto"/>
          <w:szCs w:val="22"/>
        </w:rPr>
        <w:t>(Charging Framework)</w:t>
      </w:r>
      <w:r w:rsidR="00FC6317" w:rsidRPr="00504267">
        <w:rPr>
          <w:rFonts w:cs="Arial"/>
          <w:color w:val="auto"/>
          <w:szCs w:val="22"/>
        </w:rPr>
        <w:t>.</w:t>
      </w:r>
    </w:p>
    <w:p w14:paraId="0B901B2B" w14:textId="32AA894B" w:rsidR="00FC6317" w:rsidRPr="00504267" w:rsidRDefault="00FC6317" w:rsidP="00FC6317">
      <w:pPr>
        <w:rPr>
          <w:rFonts w:cs="Arial"/>
          <w:color w:val="auto"/>
          <w:szCs w:val="22"/>
        </w:rPr>
      </w:pPr>
      <w:r w:rsidRPr="00504267">
        <w:rPr>
          <w:rFonts w:cs="Arial"/>
          <w:color w:val="auto"/>
          <w:szCs w:val="22"/>
        </w:rPr>
        <w:t xml:space="preserve">The purpose of this consultation is to provide industry and other interested stakeholders with </w:t>
      </w:r>
      <w:r w:rsidR="00C50F7A" w:rsidRPr="00504267">
        <w:rPr>
          <w:rFonts w:cs="Arial"/>
          <w:color w:val="auto"/>
          <w:szCs w:val="22"/>
        </w:rPr>
        <w:t xml:space="preserve">the </w:t>
      </w:r>
      <w:r w:rsidRPr="00504267">
        <w:rPr>
          <w:rFonts w:cs="Arial"/>
          <w:color w:val="auto"/>
          <w:szCs w:val="22"/>
        </w:rPr>
        <w:t>opportunity to comment on the TGA’s proposed</w:t>
      </w:r>
      <w:r w:rsidR="0090676E" w:rsidRPr="00504267">
        <w:rPr>
          <w:rFonts w:cs="Arial"/>
          <w:color w:val="auto"/>
          <w:szCs w:val="22"/>
        </w:rPr>
        <w:t xml:space="preserve"> schedule of</w:t>
      </w:r>
      <w:r w:rsidRPr="00504267">
        <w:rPr>
          <w:rFonts w:cs="Arial"/>
          <w:color w:val="auto"/>
          <w:szCs w:val="22"/>
        </w:rPr>
        <w:t xml:space="preserve"> fees and charges for the 202</w:t>
      </w:r>
      <w:r w:rsidR="00D253C1" w:rsidRPr="00504267">
        <w:rPr>
          <w:rFonts w:cs="Arial"/>
          <w:color w:val="auto"/>
          <w:szCs w:val="22"/>
        </w:rPr>
        <w:t>6</w:t>
      </w:r>
      <w:r w:rsidRPr="00504267">
        <w:rPr>
          <w:rFonts w:cs="Arial"/>
          <w:color w:val="auto"/>
          <w:szCs w:val="22"/>
        </w:rPr>
        <w:t>-2</w:t>
      </w:r>
      <w:r w:rsidR="00D253C1" w:rsidRPr="00504267">
        <w:rPr>
          <w:rFonts w:cs="Arial"/>
          <w:color w:val="auto"/>
          <w:szCs w:val="22"/>
        </w:rPr>
        <w:t>7</w:t>
      </w:r>
      <w:r w:rsidRPr="00504267">
        <w:rPr>
          <w:rFonts w:cs="Arial"/>
          <w:color w:val="auto"/>
          <w:szCs w:val="22"/>
        </w:rPr>
        <w:t xml:space="preserve"> financial year. Specifically, we are seeking feedback on the potential impact of the </w:t>
      </w:r>
      <w:r w:rsidR="0078294F" w:rsidRPr="00504267">
        <w:rPr>
          <w:rFonts w:cs="Arial"/>
          <w:color w:val="auto"/>
          <w:szCs w:val="22"/>
        </w:rPr>
        <w:t xml:space="preserve">proposed </w:t>
      </w:r>
      <w:r w:rsidR="00FF2AB4" w:rsidRPr="00504267">
        <w:rPr>
          <w:rFonts w:cs="Arial"/>
          <w:color w:val="auto"/>
          <w:szCs w:val="22"/>
        </w:rPr>
        <w:t>change</w:t>
      </w:r>
      <w:r w:rsidR="00FF1872" w:rsidRPr="00504267">
        <w:rPr>
          <w:rFonts w:cs="Arial"/>
          <w:color w:val="auto"/>
          <w:szCs w:val="22"/>
        </w:rPr>
        <w:t>s</w:t>
      </w:r>
      <w:r w:rsidRPr="00504267">
        <w:rPr>
          <w:rFonts w:cs="Arial"/>
          <w:color w:val="auto"/>
          <w:szCs w:val="22"/>
        </w:rPr>
        <w:t xml:space="preserve"> prior to seeking approval from the </w:t>
      </w:r>
      <w:r w:rsidR="00085F1B" w:rsidRPr="00504267">
        <w:rPr>
          <w:rFonts w:cs="Arial"/>
          <w:color w:val="auto"/>
          <w:szCs w:val="22"/>
        </w:rPr>
        <w:t>g</w:t>
      </w:r>
      <w:r w:rsidRPr="00504267">
        <w:rPr>
          <w:rFonts w:cs="Arial"/>
          <w:color w:val="auto"/>
          <w:szCs w:val="22"/>
        </w:rPr>
        <w:t>overnment.</w:t>
      </w:r>
    </w:p>
    <w:p w14:paraId="65FE2F8A" w14:textId="1E9E7C36" w:rsidR="00FC6317" w:rsidRPr="00504267" w:rsidRDefault="00C50F7A" w:rsidP="00FC6317">
      <w:pPr>
        <w:rPr>
          <w:rFonts w:cs="Arial"/>
          <w:color w:val="auto"/>
          <w:szCs w:val="22"/>
        </w:rPr>
      </w:pPr>
      <w:r w:rsidRPr="00504267">
        <w:rPr>
          <w:rFonts w:cs="Arial"/>
          <w:color w:val="auto"/>
          <w:szCs w:val="22"/>
        </w:rPr>
        <w:t>Fees and charges are reviewed annually i</w:t>
      </w:r>
      <w:r w:rsidR="00DE1830" w:rsidRPr="00504267">
        <w:rPr>
          <w:rFonts w:cs="Arial"/>
          <w:color w:val="auto"/>
          <w:szCs w:val="22"/>
        </w:rPr>
        <w:t xml:space="preserve">n consultation with </w:t>
      </w:r>
      <w:r w:rsidR="001354AB" w:rsidRPr="00504267">
        <w:rPr>
          <w:rFonts w:cs="Arial"/>
          <w:color w:val="auto"/>
          <w:szCs w:val="22"/>
        </w:rPr>
        <w:t>stakeholders.</w:t>
      </w:r>
      <w:r w:rsidR="00FC6317" w:rsidRPr="00504267">
        <w:rPr>
          <w:rFonts w:cs="Arial"/>
          <w:color w:val="auto"/>
          <w:szCs w:val="22"/>
        </w:rPr>
        <w:t xml:space="preserve"> The </w:t>
      </w:r>
      <w:r w:rsidR="001615C5" w:rsidRPr="00504267">
        <w:rPr>
          <w:rFonts w:cs="Arial"/>
          <w:color w:val="auto"/>
          <w:szCs w:val="22"/>
        </w:rPr>
        <w:t>TGA uses</w:t>
      </w:r>
      <w:r w:rsidR="00FC6317" w:rsidRPr="00504267">
        <w:rPr>
          <w:rFonts w:cs="Arial"/>
          <w:color w:val="auto"/>
          <w:szCs w:val="22"/>
        </w:rPr>
        <w:t xml:space="preserve"> other consultation mechanisms as needed</w:t>
      </w:r>
      <w:r w:rsidR="00FF1872" w:rsidRPr="00504267">
        <w:rPr>
          <w:rFonts w:cs="Arial"/>
          <w:color w:val="auto"/>
          <w:szCs w:val="22"/>
        </w:rPr>
        <w:t xml:space="preserve"> when </w:t>
      </w:r>
      <w:r w:rsidR="00FC6317" w:rsidRPr="00504267">
        <w:rPr>
          <w:rFonts w:cs="Arial"/>
          <w:color w:val="auto"/>
          <w:szCs w:val="22"/>
        </w:rPr>
        <w:t>significant changes to fees and charges</w:t>
      </w:r>
      <w:r w:rsidR="00FF1872" w:rsidRPr="00504267">
        <w:rPr>
          <w:rFonts w:cs="Arial"/>
          <w:color w:val="auto"/>
          <w:szCs w:val="22"/>
        </w:rPr>
        <w:t xml:space="preserve"> are required</w:t>
      </w:r>
      <w:r w:rsidR="00FC6317" w:rsidRPr="00504267">
        <w:rPr>
          <w:rFonts w:cs="Arial"/>
          <w:color w:val="auto"/>
          <w:szCs w:val="22"/>
        </w:rPr>
        <w:t>.</w:t>
      </w:r>
      <w:r w:rsidR="009554BC" w:rsidRPr="00504267">
        <w:rPr>
          <w:rFonts w:cs="Arial"/>
          <w:color w:val="auto"/>
          <w:szCs w:val="22"/>
        </w:rPr>
        <w:t xml:space="preserve"> </w:t>
      </w:r>
      <w:r w:rsidR="00FC6317" w:rsidRPr="00504267">
        <w:rPr>
          <w:rFonts w:cs="Arial"/>
          <w:color w:val="auto"/>
          <w:szCs w:val="22"/>
        </w:rPr>
        <w:t xml:space="preserve">Meetings with peak industry bodies were held </w:t>
      </w:r>
      <w:r w:rsidR="00611983" w:rsidRPr="00504267">
        <w:rPr>
          <w:rFonts w:cs="Arial"/>
          <w:color w:val="auto"/>
          <w:szCs w:val="22"/>
        </w:rPr>
        <w:t>in</w:t>
      </w:r>
      <w:r w:rsidR="00791538" w:rsidRPr="00504267">
        <w:rPr>
          <w:rFonts w:cs="Arial"/>
          <w:color w:val="auto"/>
          <w:szCs w:val="22"/>
        </w:rPr>
        <w:t xml:space="preserve"> </w:t>
      </w:r>
      <w:r w:rsidR="009F155D" w:rsidRPr="00504267">
        <w:rPr>
          <w:rFonts w:cs="Arial"/>
          <w:color w:val="auto"/>
          <w:szCs w:val="22"/>
        </w:rPr>
        <w:t>November</w:t>
      </w:r>
      <w:r w:rsidR="00550B31" w:rsidRPr="00504267">
        <w:rPr>
          <w:rFonts w:cs="Arial"/>
          <w:color w:val="auto"/>
          <w:szCs w:val="22"/>
        </w:rPr>
        <w:t xml:space="preserve"> and December</w:t>
      </w:r>
      <w:r w:rsidR="000A6EF0" w:rsidRPr="00504267">
        <w:rPr>
          <w:rFonts w:cs="Arial"/>
          <w:color w:val="auto"/>
          <w:szCs w:val="22"/>
        </w:rPr>
        <w:t xml:space="preserve"> </w:t>
      </w:r>
      <w:r w:rsidR="00611983" w:rsidRPr="00504267">
        <w:rPr>
          <w:rFonts w:cs="Arial"/>
          <w:color w:val="auto"/>
          <w:szCs w:val="22"/>
        </w:rPr>
        <w:t>202</w:t>
      </w:r>
      <w:r w:rsidR="00550B31" w:rsidRPr="00504267">
        <w:rPr>
          <w:rFonts w:cs="Arial"/>
          <w:color w:val="auto"/>
          <w:szCs w:val="22"/>
        </w:rPr>
        <w:t>5</w:t>
      </w:r>
      <w:r w:rsidR="009F155D" w:rsidRPr="00504267">
        <w:rPr>
          <w:rFonts w:cs="Arial"/>
          <w:color w:val="auto"/>
          <w:szCs w:val="22"/>
        </w:rPr>
        <w:t xml:space="preserve"> </w:t>
      </w:r>
      <w:r w:rsidR="00FC6317" w:rsidRPr="00504267">
        <w:rPr>
          <w:rFonts w:cs="Arial"/>
          <w:color w:val="auto"/>
          <w:szCs w:val="22"/>
        </w:rPr>
        <w:t>to discuss the proposed changes set out in this paper.</w:t>
      </w:r>
    </w:p>
    <w:p w14:paraId="7489EA66" w14:textId="14E54A86" w:rsidR="004222B4" w:rsidRPr="0085066D" w:rsidRDefault="004222B4" w:rsidP="00AB2E7F">
      <w:pPr>
        <w:pStyle w:val="Heading2"/>
        <w:rPr>
          <w:rFonts w:cs="Arial"/>
        </w:rPr>
      </w:pPr>
      <w:bookmarkStart w:id="3" w:name="_Toc219968250"/>
      <w:r w:rsidRPr="0085066D">
        <w:rPr>
          <w:rFonts w:cs="Arial"/>
        </w:rPr>
        <w:t xml:space="preserve">Description of </w:t>
      </w:r>
      <w:r w:rsidR="00FC6317" w:rsidRPr="0085066D">
        <w:rPr>
          <w:rFonts w:cs="Arial"/>
        </w:rPr>
        <w:t xml:space="preserve">TGA </w:t>
      </w:r>
      <w:bookmarkEnd w:id="1"/>
      <w:r w:rsidR="00FC6317" w:rsidRPr="0085066D">
        <w:rPr>
          <w:rFonts w:cs="Arial"/>
        </w:rPr>
        <w:t>Activities</w:t>
      </w:r>
      <w:bookmarkEnd w:id="3"/>
    </w:p>
    <w:p w14:paraId="7345962C" w14:textId="3CCADDA0" w:rsidR="008654DD" w:rsidRPr="00504267" w:rsidRDefault="004222B4" w:rsidP="008654DD">
      <w:pPr>
        <w:rPr>
          <w:rFonts w:cs="Arial"/>
          <w:color w:val="auto"/>
          <w:szCs w:val="22"/>
        </w:rPr>
      </w:pPr>
      <w:r w:rsidRPr="00504267">
        <w:rPr>
          <w:rFonts w:cs="Arial"/>
          <w:color w:val="auto"/>
          <w:szCs w:val="22"/>
        </w:rPr>
        <w:t xml:space="preserve">To </w:t>
      </w:r>
      <w:r w:rsidR="006B259B" w:rsidRPr="00504267">
        <w:rPr>
          <w:rFonts w:cs="Arial"/>
          <w:color w:val="auto"/>
          <w:szCs w:val="22"/>
        </w:rPr>
        <w:t>protect</w:t>
      </w:r>
      <w:r w:rsidR="00BF779E" w:rsidRPr="00504267">
        <w:rPr>
          <w:rFonts w:cs="Arial"/>
          <w:color w:val="auto"/>
          <w:szCs w:val="22"/>
        </w:rPr>
        <w:t xml:space="preserve"> the health and safety of the Australian community</w:t>
      </w:r>
      <w:r w:rsidRPr="00504267">
        <w:rPr>
          <w:rFonts w:cs="Arial"/>
          <w:color w:val="auto"/>
          <w:szCs w:val="22"/>
        </w:rPr>
        <w:t xml:space="preserve">, the TGA approves and regulates products based on an assessment of risks against benefits. The community expects </w:t>
      </w:r>
      <w:r w:rsidR="00FF4592" w:rsidRPr="00504267">
        <w:rPr>
          <w:rFonts w:cs="Arial"/>
          <w:color w:val="auto"/>
          <w:szCs w:val="22"/>
        </w:rPr>
        <w:t xml:space="preserve">reasonable access to </w:t>
      </w:r>
      <w:r w:rsidRPr="00504267">
        <w:rPr>
          <w:rFonts w:cs="Arial"/>
          <w:color w:val="auto"/>
          <w:szCs w:val="22"/>
        </w:rPr>
        <w:t xml:space="preserve">therapeutic </w:t>
      </w:r>
      <w:r w:rsidR="000A07C2" w:rsidRPr="00504267">
        <w:rPr>
          <w:rFonts w:cs="Arial"/>
          <w:color w:val="auto"/>
          <w:szCs w:val="22"/>
        </w:rPr>
        <w:t>goods and</w:t>
      </w:r>
      <w:r w:rsidR="00FF4592" w:rsidRPr="00504267">
        <w:rPr>
          <w:rFonts w:cs="Arial"/>
          <w:color w:val="auto"/>
          <w:szCs w:val="22"/>
        </w:rPr>
        <w:t xml:space="preserve"> expects therapeutic goods</w:t>
      </w:r>
      <w:r w:rsidRPr="00504267">
        <w:rPr>
          <w:rFonts w:cs="Arial"/>
          <w:color w:val="auto"/>
          <w:szCs w:val="22"/>
        </w:rPr>
        <w:t xml:space="preserve"> in the marketplace to be safe, of high quality</w:t>
      </w:r>
      <w:r w:rsidR="00FF4592" w:rsidRPr="00504267">
        <w:rPr>
          <w:rFonts w:cs="Arial"/>
          <w:color w:val="auto"/>
          <w:szCs w:val="22"/>
        </w:rPr>
        <w:t>,</w:t>
      </w:r>
      <w:r w:rsidRPr="00504267">
        <w:rPr>
          <w:rFonts w:cs="Arial"/>
          <w:color w:val="auto"/>
          <w:szCs w:val="22"/>
        </w:rPr>
        <w:t xml:space="preserve"> and of a standard at least equal to that of </w:t>
      </w:r>
      <w:r w:rsidR="00C50F7A" w:rsidRPr="00504267">
        <w:rPr>
          <w:rFonts w:cs="Arial"/>
          <w:color w:val="auto"/>
          <w:szCs w:val="22"/>
        </w:rPr>
        <w:t xml:space="preserve">those supplied in </w:t>
      </w:r>
      <w:r w:rsidRPr="00504267">
        <w:rPr>
          <w:rFonts w:cs="Arial"/>
          <w:color w:val="auto"/>
          <w:szCs w:val="22"/>
        </w:rPr>
        <w:t xml:space="preserve">comparable countries. </w:t>
      </w:r>
    </w:p>
    <w:p w14:paraId="0DDCA06D" w14:textId="03E98392" w:rsidR="008654DD" w:rsidRPr="00504267" w:rsidRDefault="00A4602E" w:rsidP="008654DD">
      <w:pPr>
        <w:rPr>
          <w:rFonts w:cs="Arial"/>
          <w:color w:val="auto"/>
          <w:szCs w:val="22"/>
        </w:rPr>
      </w:pPr>
      <w:r w:rsidRPr="00504267">
        <w:rPr>
          <w:rFonts w:cs="Arial"/>
          <w:color w:val="auto"/>
          <w:szCs w:val="22"/>
        </w:rPr>
        <w:t xml:space="preserve">The TGA regulates therapeutic goods </w:t>
      </w:r>
      <w:r w:rsidR="00711D16" w:rsidRPr="00504267">
        <w:rPr>
          <w:rFonts w:cs="Arial"/>
          <w:color w:val="auto"/>
          <w:szCs w:val="22"/>
        </w:rPr>
        <w:t>through</w:t>
      </w:r>
      <w:r w:rsidR="008654DD" w:rsidRPr="00504267">
        <w:rPr>
          <w:rFonts w:cs="Arial"/>
          <w:color w:val="auto"/>
          <w:szCs w:val="22"/>
        </w:rPr>
        <w:t>:</w:t>
      </w:r>
    </w:p>
    <w:p w14:paraId="673443E8" w14:textId="48197949" w:rsidR="004222B4" w:rsidRPr="00504267" w:rsidRDefault="00C50F7A" w:rsidP="008654DD">
      <w:pPr>
        <w:pStyle w:val="ListParagraph"/>
        <w:numPr>
          <w:ilvl w:val="0"/>
          <w:numId w:val="10"/>
        </w:numPr>
        <w:spacing w:after="120"/>
        <w:rPr>
          <w:rFonts w:ascii="Arial" w:hAnsi="Arial" w:cs="Arial"/>
          <w:szCs w:val="22"/>
        </w:rPr>
      </w:pPr>
      <w:r w:rsidRPr="00504267">
        <w:rPr>
          <w:rFonts w:ascii="Arial" w:hAnsi="Arial" w:cs="Arial"/>
          <w:szCs w:val="22"/>
        </w:rPr>
        <w:t>p</w:t>
      </w:r>
      <w:r w:rsidR="004222B4" w:rsidRPr="00504267">
        <w:rPr>
          <w:rFonts w:ascii="Arial" w:hAnsi="Arial" w:cs="Arial"/>
          <w:szCs w:val="22"/>
        </w:rPr>
        <w:t>re-market assessment</w:t>
      </w:r>
    </w:p>
    <w:p w14:paraId="5B1E0B73" w14:textId="526C005E" w:rsidR="004222B4" w:rsidRPr="00504267" w:rsidRDefault="00C50F7A" w:rsidP="007A6B1C">
      <w:pPr>
        <w:pStyle w:val="ListParagraph"/>
        <w:numPr>
          <w:ilvl w:val="0"/>
          <w:numId w:val="10"/>
        </w:numPr>
        <w:spacing w:after="120"/>
        <w:rPr>
          <w:rFonts w:ascii="Arial" w:hAnsi="Arial" w:cs="Arial"/>
          <w:szCs w:val="22"/>
        </w:rPr>
      </w:pPr>
      <w:r w:rsidRPr="00504267">
        <w:rPr>
          <w:rFonts w:ascii="Arial" w:hAnsi="Arial" w:cs="Arial"/>
          <w:szCs w:val="22"/>
        </w:rPr>
        <w:t>p</w:t>
      </w:r>
      <w:r w:rsidR="004222B4" w:rsidRPr="00504267">
        <w:rPr>
          <w:rFonts w:ascii="Arial" w:hAnsi="Arial" w:cs="Arial"/>
          <w:szCs w:val="22"/>
        </w:rPr>
        <w:t>ost-market monitoring</w:t>
      </w:r>
      <w:r w:rsidR="000D63EF" w:rsidRPr="00504267">
        <w:rPr>
          <w:rFonts w:ascii="Arial" w:hAnsi="Arial" w:cs="Arial"/>
          <w:szCs w:val="22"/>
        </w:rPr>
        <w:t xml:space="preserve">, </w:t>
      </w:r>
      <w:r w:rsidR="001354AB" w:rsidRPr="00504267">
        <w:rPr>
          <w:rFonts w:ascii="Arial" w:hAnsi="Arial" w:cs="Arial"/>
          <w:szCs w:val="22"/>
        </w:rPr>
        <w:t>compliance,</w:t>
      </w:r>
      <w:r w:rsidR="004222B4" w:rsidRPr="00504267">
        <w:rPr>
          <w:rFonts w:ascii="Arial" w:hAnsi="Arial" w:cs="Arial"/>
          <w:szCs w:val="22"/>
        </w:rPr>
        <w:t xml:space="preserve"> and enforcement</w:t>
      </w:r>
      <w:r w:rsidR="007E0B31" w:rsidRPr="00504267">
        <w:rPr>
          <w:rFonts w:ascii="Arial" w:hAnsi="Arial" w:cs="Arial"/>
          <w:szCs w:val="22"/>
        </w:rPr>
        <w:t xml:space="preserve"> activities</w:t>
      </w:r>
      <w:r w:rsidRPr="00504267">
        <w:rPr>
          <w:rFonts w:ascii="Arial" w:hAnsi="Arial" w:cs="Arial"/>
          <w:szCs w:val="22"/>
        </w:rPr>
        <w:t>, and</w:t>
      </w:r>
    </w:p>
    <w:p w14:paraId="2AAA1165" w14:textId="1456F4F0" w:rsidR="004222B4" w:rsidRPr="00504267" w:rsidRDefault="00C50F7A" w:rsidP="007A6B1C">
      <w:pPr>
        <w:pStyle w:val="ListParagraph"/>
        <w:numPr>
          <w:ilvl w:val="0"/>
          <w:numId w:val="10"/>
        </w:numPr>
        <w:spacing w:after="120"/>
        <w:rPr>
          <w:rFonts w:ascii="Arial" w:hAnsi="Arial" w:cs="Arial"/>
          <w:szCs w:val="22"/>
        </w:rPr>
      </w:pPr>
      <w:r w:rsidRPr="00504267">
        <w:rPr>
          <w:rFonts w:ascii="Arial" w:hAnsi="Arial" w:cs="Arial"/>
          <w:szCs w:val="22"/>
        </w:rPr>
        <w:t>l</w:t>
      </w:r>
      <w:r w:rsidR="004222B4" w:rsidRPr="00504267">
        <w:rPr>
          <w:rFonts w:ascii="Arial" w:hAnsi="Arial" w:cs="Arial"/>
          <w:szCs w:val="22"/>
        </w:rPr>
        <w:t xml:space="preserve">icensing of Australian manufacturers and </w:t>
      </w:r>
      <w:r w:rsidRPr="00504267">
        <w:rPr>
          <w:rFonts w:ascii="Arial" w:hAnsi="Arial" w:cs="Arial"/>
          <w:szCs w:val="22"/>
        </w:rPr>
        <w:t xml:space="preserve">verification of </w:t>
      </w:r>
      <w:r w:rsidR="004222B4" w:rsidRPr="00504267">
        <w:rPr>
          <w:rFonts w:ascii="Arial" w:hAnsi="Arial" w:cs="Arial"/>
          <w:szCs w:val="22"/>
        </w:rPr>
        <w:t>overseas manufacturers' compliance with the same standards as their Australian counterparts.</w:t>
      </w:r>
    </w:p>
    <w:p w14:paraId="596A28A1" w14:textId="52242BDA" w:rsidR="004222B4" w:rsidRPr="00504267" w:rsidRDefault="004222B4" w:rsidP="004222B4">
      <w:pPr>
        <w:rPr>
          <w:rFonts w:cs="Arial"/>
          <w:color w:val="auto"/>
          <w:szCs w:val="22"/>
        </w:rPr>
      </w:pPr>
      <w:r w:rsidRPr="00504267">
        <w:rPr>
          <w:rFonts w:cs="Arial"/>
          <w:color w:val="auto"/>
          <w:szCs w:val="22"/>
        </w:rPr>
        <w:t xml:space="preserve">Therapeutic goods are divided broadly into </w:t>
      </w:r>
      <w:r w:rsidR="00A7746E" w:rsidRPr="00504267">
        <w:rPr>
          <w:rFonts w:cs="Arial"/>
          <w:color w:val="auto"/>
          <w:szCs w:val="22"/>
        </w:rPr>
        <w:t xml:space="preserve">3 </w:t>
      </w:r>
      <w:r w:rsidRPr="00504267">
        <w:rPr>
          <w:rFonts w:cs="Arial"/>
          <w:color w:val="auto"/>
          <w:szCs w:val="22"/>
        </w:rPr>
        <w:t>classes</w:t>
      </w:r>
      <w:r w:rsidR="00C50F7A" w:rsidRPr="00504267">
        <w:rPr>
          <w:rFonts w:cs="Arial"/>
          <w:color w:val="auto"/>
          <w:szCs w:val="22"/>
        </w:rPr>
        <w:t>-</w:t>
      </w:r>
      <w:r w:rsidRPr="00504267">
        <w:rPr>
          <w:rFonts w:cs="Arial"/>
          <w:color w:val="auto"/>
          <w:szCs w:val="22"/>
        </w:rPr>
        <w:t xml:space="preserve">medicines, medical </w:t>
      </w:r>
      <w:r w:rsidR="00711D16" w:rsidRPr="00504267">
        <w:rPr>
          <w:rFonts w:cs="Arial"/>
          <w:color w:val="auto"/>
          <w:szCs w:val="22"/>
        </w:rPr>
        <w:t>devices</w:t>
      </w:r>
      <w:r w:rsidRPr="00504267">
        <w:rPr>
          <w:rFonts w:cs="Arial"/>
          <w:color w:val="auto"/>
          <w:szCs w:val="22"/>
        </w:rPr>
        <w:t xml:space="preserve"> and biologicals. Medicines must be entered as either 'registered' or 'listed' medicines </w:t>
      </w:r>
      <w:r w:rsidR="002C160A" w:rsidRPr="00504267">
        <w:rPr>
          <w:rFonts w:cs="Arial"/>
          <w:color w:val="auto"/>
          <w:szCs w:val="22"/>
        </w:rPr>
        <w:t>i</w:t>
      </w:r>
      <w:r w:rsidRPr="00504267">
        <w:rPr>
          <w:rFonts w:cs="Arial"/>
          <w:color w:val="auto"/>
          <w:szCs w:val="22"/>
        </w:rPr>
        <w:t xml:space="preserve">n the </w:t>
      </w:r>
      <w:r w:rsidR="00FC6317" w:rsidRPr="00504267">
        <w:rPr>
          <w:rFonts w:cs="Arial"/>
          <w:color w:val="auto"/>
          <w:szCs w:val="22"/>
        </w:rPr>
        <w:t>Australian Register of Therapeutic Goods (</w:t>
      </w:r>
      <w:r w:rsidRPr="00504267">
        <w:rPr>
          <w:rFonts w:cs="Arial"/>
          <w:color w:val="auto"/>
          <w:szCs w:val="22"/>
        </w:rPr>
        <w:t>ARTG</w:t>
      </w:r>
      <w:r w:rsidR="00FC6317" w:rsidRPr="00504267">
        <w:rPr>
          <w:rFonts w:cs="Arial"/>
          <w:color w:val="auto"/>
          <w:szCs w:val="22"/>
        </w:rPr>
        <w:t>)</w:t>
      </w:r>
      <w:r w:rsidRPr="00504267">
        <w:rPr>
          <w:rFonts w:cs="Arial"/>
          <w:color w:val="auto"/>
          <w:szCs w:val="22"/>
        </w:rPr>
        <w:t xml:space="preserve">. Medical devices and biologicals must be 'included' </w:t>
      </w:r>
      <w:r w:rsidR="00D03C16" w:rsidRPr="00504267">
        <w:rPr>
          <w:rFonts w:cs="Arial"/>
          <w:color w:val="auto"/>
          <w:szCs w:val="22"/>
        </w:rPr>
        <w:t>i</w:t>
      </w:r>
      <w:r w:rsidRPr="00504267">
        <w:rPr>
          <w:rFonts w:cs="Arial"/>
          <w:color w:val="auto"/>
          <w:szCs w:val="22"/>
        </w:rPr>
        <w:t>n the ARTG</w:t>
      </w:r>
      <w:r w:rsidR="00CE056F" w:rsidRPr="00504267">
        <w:rPr>
          <w:rFonts w:cs="Arial"/>
          <w:color w:val="auto"/>
          <w:szCs w:val="22"/>
        </w:rPr>
        <w:t>. All therapeutic goods must be on the ARTG</w:t>
      </w:r>
      <w:r w:rsidRPr="00504267">
        <w:rPr>
          <w:rFonts w:cs="Arial"/>
          <w:color w:val="auto"/>
          <w:szCs w:val="22"/>
        </w:rPr>
        <w:t xml:space="preserve"> before they may be supplied in or exported from Australia, unless </w:t>
      </w:r>
      <w:r w:rsidR="00D87E93" w:rsidRPr="00504267">
        <w:rPr>
          <w:rFonts w:cs="Arial"/>
          <w:color w:val="auto"/>
          <w:szCs w:val="22"/>
        </w:rPr>
        <w:t xml:space="preserve">subject to an </w:t>
      </w:r>
      <w:r w:rsidR="00EF2078" w:rsidRPr="00504267">
        <w:rPr>
          <w:rFonts w:cs="Arial"/>
          <w:color w:val="auto"/>
          <w:szCs w:val="22"/>
        </w:rPr>
        <w:t>exemption.</w:t>
      </w:r>
    </w:p>
    <w:p w14:paraId="58A599A1" w14:textId="6A2EE0DE" w:rsidR="004222B4" w:rsidRPr="00504267" w:rsidRDefault="004222B4" w:rsidP="004222B4">
      <w:pPr>
        <w:rPr>
          <w:rFonts w:cs="Arial"/>
          <w:color w:val="auto"/>
          <w:szCs w:val="22"/>
        </w:rPr>
      </w:pPr>
      <w:r w:rsidRPr="00504267">
        <w:rPr>
          <w:rFonts w:cs="Arial"/>
          <w:color w:val="auto"/>
          <w:szCs w:val="22"/>
        </w:rPr>
        <w:t>If a</w:t>
      </w:r>
      <w:r w:rsidR="00C50F7A" w:rsidRPr="00504267">
        <w:rPr>
          <w:rFonts w:cs="Arial"/>
          <w:color w:val="auto"/>
          <w:szCs w:val="22"/>
        </w:rPr>
        <w:t xml:space="preserve">n issue </w:t>
      </w:r>
      <w:r w:rsidRPr="00504267">
        <w:rPr>
          <w:rFonts w:cs="Arial"/>
          <w:color w:val="auto"/>
          <w:szCs w:val="22"/>
        </w:rPr>
        <w:t xml:space="preserve">is discovered with a </w:t>
      </w:r>
      <w:r w:rsidR="0014157B" w:rsidRPr="00504267">
        <w:rPr>
          <w:rFonts w:cs="Arial"/>
          <w:color w:val="auto"/>
          <w:szCs w:val="22"/>
        </w:rPr>
        <w:t>therapeutic good</w:t>
      </w:r>
      <w:r w:rsidRPr="00504267">
        <w:rPr>
          <w:rFonts w:cs="Arial"/>
          <w:color w:val="auto"/>
          <w:szCs w:val="22"/>
        </w:rPr>
        <w:t xml:space="preserve"> or </w:t>
      </w:r>
      <w:r w:rsidR="00BE6AF4" w:rsidRPr="00504267">
        <w:rPr>
          <w:rFonts w:cs="Arial"/>
          <w:color w:val="auto"/>
          <w:szCs w:val="22"/>
        </w:rPr>
        <w:t xml:space="preserve">the </w:t>
      </w:r>
      <w:r w:rsidRPr="00504267">
        <w:rPr>
          <w:rFonts w:cs="Arial"/>
          <w:color w:val="auto"/>
          <w:szCs w:val="22"/>
        </w:rPr>
        <w:t>manufacturer</w:t>
      </w:r>
      <w:r w:rsidR="00BE6AF4" w:rsidRPr="00504267">
        <w:rPr>
          <w:rFonts w:cs="Arial"/>
          <w:color w:val="auto"/>
          <w:szCs w:val="22"/>
        </w:rPr>
        <w:t xml:space="preserve"> of </w:t>
      </w:r>
      <w:r w:rsidR="00475C93" w:rsidRPr="00504267">
        <w:rPr>
          <w:rFonts w:cs="Arial"/>
          <w:color w:val="auto"/>
          <w:szCs w:val="22"/>
        </w:rPr>
        <w:t xml:space="preserve">a </w:t>
      </w:r>
      <w:r w:rsidR="00BE6AF4" w:rsidRPr="00504267">
        <w:rPr>
          <w:rFonts w:cs="Arial"/>
          <w:color w:val="auto"/>
          <w:szCs w:val="22"/>
        </w:rPr>
        <w:t>therapeutic good</w:t>
      </w:r>
      <w:r w:rsidR="00C40838" w:rsidRPr="00504267">
        <w:rPr>
          <w:rFonts w:cs="Arial"/>
          <w:color w:val="auto"/>
          <w:szCs w:val="22"/>
        </w:rPr>
        <w:t>,</w:t>
      </w:r>
      <w:r w:rsidRPr="00504267">
        <w:rPr>
          <w:rFonts w:cs="Arial"/>
          <w:color w:val="auto"/>
          <w:szCs w:val="22"/>
        </w:rPr>
        <w:t xml:space="preserve"> the TGA </w:t>
      </w:r>
      <w:r w:rsidR="00134F55" w:rsidRPr="00504267">
        <w:rPr>
          <w:rFonts w:cs="Arial"/>
          <w:color w:val="auto"/>
          <w:szCs w:val="22"/>
        </w:rPr>
        <w:t xml:space="preserve">may take </w:t>
      </w:r>
      <w:r w:rsidRPr="00504267">
        <w:rPr>
          <w:rFonts w:cs="Arial"/>
          <w:color w:val="auto"/>
          <w:szCs w:val="22"/>
        </w:rPr>
        <w:t>regulatory actions</w:t>
      </w:r>
      <w:r w:rsidR="00134F55" w:rsidRPr="00504267">
        <w:rPr>
          <w:rFonts w:cs="Arial"/>
          <w:color w:val="auto"/>
          <w:szCs w:val="22"/>
        </w:rPr>
        <w:t xml:space="preserve"> including</w:t>
      </w:r>
      <w:r w:rsidR="0014157B" w:rsidRPr="00504267">
        <w:rPr>
          <w:rFonts w:cs="Arial"/>
          <w:color w:val="auto"/>
          <w:szCs w:val="22"/>
        </w:rPr>
        <w:t>,</w:t>
      </w:r>
      <w:r w:rsidR="00134F55" w:rsidRPr="00504267">
        <w:rPr>
          <w:rFonts w:cs="Arial"/>
          <w:color w:val="auto"/>
          <w:szCs w:val="22"/>
        </w:rPr>
        <w:t xml:space="preserve"> </w:t>
      </w:r>
      <w:r w:rsidR="00F3463A" w:rsidRPr="00504267">
        <w:rPr>
          <w:rFonts w:cs="Arial"/>
          <w:color w:val="auto"/>
          <w:szCs w:val="22"/>
        </w:rPr>
        <w:t>but not</w:t>
      </w:r>
      <w:r w:rsidR="00D77B41" w:rsidRPr="00504267">
        <w:rPr>
          <w:rFonts w:cs="Arial"/>
          <w:color w:val="auto"/>
          <w:szCs w:val="22"/>
        </w:rPr>
        <w:t xml:space="preserve"> </w:t>
      </w:r>
      <w:r w:rsidR="00134F55" w:rsidRPr="00504267">
        <w:rPr>
          <w:rFonts w:cs="Arial"/>
          <w:color w:val="auto"/>
          <w:szCs w:val="22"/>
        </w:rPr>
        <w:t>limited to</w:t>
      </w:r>
      <w:r w:rsidR="0014157B" w:rsidRPr="00504267">
        <w:rPr>
          <w:rFonts w:cs="Arial"/>
          <w:color w:val="auto"/>
          <w:szCs w:val="22"/>
        </w:rPr>
        <w:t>,</w:t>
      </w:r>
      <w:r w:rsidR="00134F55" w:rsidRPr="00504267">
        <w:rPr>
          <w:rFonts w:cs="Arial"/>
          <w:color w:val="auto"/>
          <w:szCs w:val="22"/>
        </w:rPr>
        <w:t xml:space="preserve"> </w:t>
      </w:r>
      <w:r w:rsidRPr="00504267">
        <w:rPr>
          <w:rFonts w:cs="Arial"/>
          <w:color w:val="auto"/>
          <w:szCs w:val="22"/>
        </w:rPr>
        <w:t>continued monitoring</w:t>
      </w:r>
      <w:r w:rsidR="00D03C16" w:rsidRPr="00504267">
        <w:rPr>
          <w:rFonts w:cs="Arial"/>
          <w:color w:val="auto"/>
          <w:szCs w:val="22"/>
        </w:rPr>
        <w:t>,</w:t>
      </w:r>
      <w:r w:rsidRPr="00504267">
        <w:rPr>
          <w:rFonts w:cs="Arial"/>
          <w:color w:val="auto"/>
          <w:szCs w:val="22"/>
        </w:rPr>
        <w:t xml:space="preserve"> withdrawing the product from the </w:t>
      </w:r>
      <w:r w:rsidR="00711D16" w:rsidRPr="00504267">
        <w:rPr>
          <w:rFonts w:cs="Arial"/>
          <w:color w:val="auto"/>
          <w:szCs w:val="22"/>
        </w:rPr>
        <w:t>market,</w:t>
      </w:r>
      <w:r w:rsidRPr="00504267">
        <w:rPr>
          <w:rFonts w:cs="Arial"/>
          <w:color w:val="auto"/>
          <w:szCs w:val="22"/>
        </w:rPr>
        <w:t xml:space="preserve"> </w:t>
      </w:r>
      <w:r w:rsidR="00C50F7A" w:rsidRPr="00504267">
        <w:rPr>
          <w:rFonts w:cs="Arial"/>
          <w:color w:val="auto"/>
          <w:szCs w:val="22"/>
        </w:rPr>
        <w:t xml:space="preserve">or </w:t>
      </w:r>
      <w:r w:rsidRPr="00504267">
        <w:rPr>
          <w:rFonts w:cs="Arial"/>
          <w:color w:val="auto"/>
          <w:szCs w:val="22"/>
        </w:rPr>
        <w:t xml:space="preserve">revoking or cancelling </w:t>
      </w:r>
      <w:r w:rsidR="00FF1872" w:rsidRPr="00504267">
        <w:rPr>
          <w:rFonts w:cs="Arial"/>
          <w:color w:val="auto"/>
          <w:szCs w:val="22"/>
        </w:rPr>
        <w:t xml:space="preserve">the </w:t>
      </w:r>
      <w:r w:rsidRPr="00504267">
        <w:rPr>
          <w:rFonts w:cs="Arial"/>
          <w:color w:val="auto"/>
          <w:szCs w:val="22"/>
        </w:rPr>
        <w:t>manufacturing licence.</w:t>
      </w:r>
    </w:p>
    <w:p w14:paraId="76B48D2F" w14:textId="08ADB695" w:rsidR="00260F55" w:rsidRPr="00163B78" w:rsidRDefault="00C50F7A" w:rsidP="001354AB">
      <w:pPr>
        <w:rPr>
          <w:rFonts w:cs="Arial"/>
        </w:rPr>
      </w:pPr>
      <w:r w:rsidRPr="00504267">
        <w:rPr>
          <w:rFonts w:cs="Arial"/>
          <w:color w:val="auto"/>
          <w:szCs w:val="22"/>
        </w:rPr>
        <w:t xml:space="preserve">The TGA also undertakes activities </w:t>
      </w:r>
      <w:r w:rsidR="003E11BB" w:rsidRPr="00504267">
        <w:rPr>
          <w:rFonts w:cs="Arial"/>
          <w:color w:val="auto"/>
          <w:szCs w:val="22"/>
        </w:rPr>
        <w:t xml:space="preserve">funded by the </w:t>
      </w:r>
      <w:r w:rsidR="00C81863" w:rsidRPr="00504267">
        <w:rPr>
          <w:rFonts w:cs="Arial"/>
          <w:color w:val="auto"/>
          <w:szCs w:val="22"/>
        </w:rPr>
        <w:t>government</w:t>
      </w:r>
      <w:r w:rsidRPr="00504267">
        <w:rPr>
          <w:rFonts w:cs="Arial"/>
          <w:color w:val="auto"/>
          <w:szCs w:val="22"/>
        </w:rPr>
        <w:t xml:space="preserve">, rather than by </w:t>
      </w:r>
      <w:r w:rsidR="00C81863" w:rsidRPr="00504267">
        <w:rPr>
          <w:rFonts w:cs="Arial"/>
          <w:color w:val="auto"/>
          <w:szCs w:val="22"/>
        </w:rPr>
        <w:t xml:space="preserve">cost </w:t>
      </w:r>
      <w:r w:rsidRPr="00504267">
        <w:rPr>
          <w:rFonts w:cs="Arial"/>
          <w:color w:val="auto"/>
          <w:szCs w:val="22"/>
        </w:rPr>
        <w:t xml:space="preserve">recovery </w:t>
      </w:r>
      <w:r w:rsidR="003E11BB" w:rsidRPr="00504267">
        <w:rPr>
          <w:rFonts w:cs="Arial"/>
          <w:color w:val="auto"/>
          <w:szCs w:val="22"/>
        </w:rPr>
        <w:t>arrangements</w:t>
      </w:r>
      <w:r w:rsidRPr="00504267">
        <w:rPr>
          <w:rFonts w:cs="Arial"/>
          <w:color w:val="auto"/>
          <w:szCs w:val="22"/>
        </w:rPr>
        <w:t xml:space="preserve">. </w:t>
      </w:r>
      <w:r w:rsidR="000A6EF0" w:rsidRPr="00504267">
        <w:rPr>
          <w:rFonts w:cs="Arial"/>
          <w:color w:val="auto"/>
          <w:szCs w:val="22"/>
        </w:rPr>
        <w:t>T</w:t>
      </w:r>
      <w:r w:rsidR="0014157B" w:rsidRPr="00504267">
        <w:rPr>
          <w:rFonts w:cs="Arial"/>
          <w:color w:val="auto"/>
          <w:szCs w:val="22"/>
        </w:rPr>
        <w:t xml:space="preserve">hese activities are </w:t>
      </w:r>
      <w:r w:rsidR="004222B4" w:rsidRPr="00504267">
        <w:rPr>
          <w:rFonts w:cs="Arial"/>
          <w:color w:val="auto"/>
          <w:szCs w:val="22"/>
        </w:rPr>
        <w:t xml:space="preserve">discussed in detail in </w:t>
      </w:r>
      <w:r w:rsidR="00134F55" w:rsidRPr="00504267">
        <w:rPr>
          <w:rFonts w:cs="Arial"/>
          <w:color w:val="auto"/>
          <w:szCs w:val="22"/>
        </w:rPr>
        <w:t xml:space="preserve">the </w:t>
      </w:r>
      <w:hyperlink r:id="rId17" w:history="1">
        <w:r w:rsidR="00FC6317" w:rsidRPr="00163B78">
          <w:rPr>
            <w:rStyle w:val="Hyperlink"/>
            <w:rFonts w:cs="Arial"/>
            <w:szCs w:val="22"/>
          </w:rPr>
          <w:t>TGA</w:t>
        </w:r>
        <w:r w:rsidR="004222B4" w:rsidRPr="00163B78">
          <w:rPr>
            <w:rStyle w:val="Hyperlink"/>
            <w:rFonts w:cs="Arial"/>
            <w:szCs w:val="22"/>
          </w:rPr>
          <w:t xml:space="preserve"> C</w:t>
        </w:r>
        <w:r w:rsidR="00FC6317" w:rsidRPr="00163B78">
          <w:rPr>
            <w:rStyle w:val="Hyperlink"/>
            <w:rFonts w:cs="Arial"/>
            <w:szCs w:val="22"/>
          </w:rPr>
          <w:t>ost Recovery Implementation Statement</w:t>
        </w:r>
        <w:r w:rsidR="00A704C0" w:rsidRPr="00163B78">
          <w:rPr>
            <w:rStyle w:val="Hyperlink"/>
            <w:rFonts w:cs="Arial"/>
            <w:szCs w:val="22"/>
          </w:rPr>
          <w:t xml:space="preserve"> (</w:t>
        </w:r>
        <w:r w:rsidR="00DE29F8" w:rsidRPr="00163B78">
          <w:rPr>
            <w:rStyle w:val="Hyperlink"/>
            <w:rFonts w:cs="Arial"/>
            <w:szCs w:val="22"/>
          </w:rPr>
          <w:t>CRIS)</w:t>
        </w:r>
        <w:r w:rsidR="004222B4" w:rsidRPr="00163B78">
          <w:rPr>
            <w:rStyle w:val="Hyperlink"/>
            <w:rFonts w:cs="Arial"/>
            <w:szCs w:val="22"/>
          </w:rPr>
          <w:t>.</w:t>
        </w:r>
        <w:r w:rsidR="00260F55" w:rsidRPr="00163B78">
          <w:rPr>
            <w:rStyle w:val="Hyperlink"/>
            <w:rFonts w:cs="Arial"/>
            <w:szCs w:val="22"/>
          </w:rPr>
          <w:t xml:space="preserve"> </w:t>
        </w:r>
      </w:hyperlink>
    </w:p>
    <w:p w14:paraId="01CEEAEF" w14:textId="77777777" w:rsidR="00D72F2F" w:rsidRDefault="00D72F2F">
      <w:pPr>
        <w:spacing w:before="0" w:after="0" w:line="240" w:lineRule="auto"/>
        <w:rPr>
          <w:rFonts w:eastAsia="Times New Roman" w:cs="Arial"/>
          <w:b/>
          <w:bCs/>
          <w:color w:val="001871"/>
          <w:sz w:val="38"/>
          <w:szCs w:val="38"/>
        </w:rPr>
      </w:pPr>
      <w:r>
        <w:rPr>
          <w:rFonts w:cs="Arial"/>
        </w:rPr>
        <w:br w:type="page"/>
      </w:r>
    </w:p>
    <w:p w14:paraId="7D626CFC" w14:textId="4F4E16D6" w:rsidR="00730D66" w:rsidRPr="0085066D" w:rsidRDefault="00730D66" w:rsidP="00AB2E7F">
      <w:pPr>
        <w:pStyle w:val="Heading2"/>
        <w:rPr>
          <w:rFonts w:cs="Arial"/>
        </w:rPr>
      </w:pPr>
      <w:bookmarkStart w:id="4" w:name="_Toc219968251"/>
      <w:r w:rsidRPr="0085066D">
        <w:rPr>
          <w:rFonts w:cs="Arial"/>
        </w:rPr>
        <w:lastRenderedPageBreak/>
        <w:t xml:space="preserve">TGA funding </w:t>
      </w:r>
      <w:r w:rsidR="00CA2AE4" w:rsidRPr="0085066D">
        <w:rPr>
          <w:rFonts w:cs="Arial"/>
        </w:rPr>
        <w:t>m</w:t>
      </w:r>
      <w:r w:rsidRPr="0085066D">
        <w:rPr>
          <w:rFonts w:cs="Arial"/>
        </w:rPr>
        <w:t>echanism</w:t>
      </w:r>
      <w:r w:rsidR="00CA2AE4" w:rsidRPr="0085066D">
        <w:rPr>
          <w:rFonts w:cs="Arial"/>
        </w:rPr>
        <w:t>s</w:t>
      </w:r>
      <w:bookmarkEnd w:id="4"/>
    </w:p>
    <w:p w14:paraId="0CC70AF8" w14:textId="4A9BC88F" w:rsidR="004520E5" w:rsidRPr="00504267" w:rsidRDefault="004520E5" w:rsidP="004520E5">
      <w:pPr>
        <w:rPr>
          <w:rFonts w:cs="Arial"/>
          <w:color w:val="auto"/>
          <w:szCs w:val="22"/>
        </w:rPr>
      </w:pPr>
      <w:r w:rsidRPr="00504267">
        <w:rPr>
          <w:rFonts w:cs="Arial"/>
          <w:color w:val="auto"/>
          <w:szCs w:val="22"/>
        </w:rPr>
        <w:t xml:space="preserve">The funding for the TGA falls under </w:t>
      </w:r>
      <w:r w:rsidR="003F126A" w:rsidRPr="00504267">
        <w:rPr>
          <w:rFonts w:cs="Arial"/>
          <w:color w:val="auto"/>
          <w:szCs w:val="22"/>
        </w:rPr>
        <w:t xml:space="preserve">3 </w:t>
      </w:r>
      <w:r w:rsidRPr="00504267">
        <w:rPr>
          <w:rFonts w:cs="Arial"/>
          <w:color w:val="auto"/>
          <w:szCs w:val="22"/>
        </w:rPr>
        <w:t>broad categories</w:t>
      </w:r>
      <w:r w:rsidR="000A0E14" w:rsidRPr="00504267">
        <w:rPr>
          <w:rFonts w:cs="Arial"/>
          <w:color w:val="auto"/>
          <w:szCs w:val="22"/>
        </w:rPr>
        <w:t>:</w:t>
      </w:r>
    </w:p>
    <w:p w14:paraId="43FBF27D" w14:textId="77777777" w:rsidR="00730D66" w:rsidRPr="00504267" w:rsidRDefault="00730D66" w:rsidP="00041B01">
      <w:pPr>
        <w:pStyle w:val="ListBullet"/>
        <w:numPr>
          <w:ilvl w:val="0"/>
          <w:numId w:val="17"/>
        </w:numPr>
        <w:rPr>
          <w:rFonts w:cs="Arial"/>
          <w:b/>
          <w:bCs/>
          <w:color w:val="auto"/>
          <w:szCs w:val="22"/>
        </w:rPr>
      </w:pPr>
      <w:r w:rsidRPr="00504267">
        <w:rPr>
          <w:rFonts w:cs="Arial"/>
          <w:b/>
          <w:bCs/>
          <w:color w:val="auto"/>
          <w:szCs w:val="22"/>
        </w:rPr>
        <w:t xml:space="preserve">Fees for services </w:t>
      </w:r>
    </w:p>
    <w:p w14:paraId="33927177" w14:textId="5569F7CE" w:rsidR="00730D66" w:rsidRPr="00504267" w:rsidRDefault="00730D66" w:rsidP="00730D66">
      <w:pPr>
        <w:rPr>
          <w:rFonts w:cs="Arial"/>
          <w:color w:val="auto"/>
          <w:szCs w:val="22"/>
        </w:rPr>
      </w:pPr>
      <w:r w:rsidRPr="00504267">
        <w:rPr>
          <w:rFonts w:cs="Arial"/>
          <w:color w:val="auto"/>
          <w:szCs w:val="22"/>
        </w:rPr>
        <w:t xml:space="preserve">The </w:t>
      </w:r>
      <w:r w:rsidR="00391BF6" w:rsidRPr="00504267">
        <w:rPr>
          <w:rFonts w:cs="Arial"/>
          <w:color w:val="auto"/>
          <w:szCs w:val="22"/>
        </w:rPr>
        <w:t>C</w:t>
      </w:r>
      <w:r w:rsidR="001C5699" w:rsidRPr="00504267">
        <w:rPr>
          <w:rFonts w:cs="Arial"/>
          <w:color w:val="auto"/>
          <w:szCs w:val="22"/>
        </w:rPr>
        <w:t>harging Framework</w:t>
      </w:r>
      <w:r w:rsidR="00391BF6" w:rsidRPr="00504267">
        <w:rPr>
          <w:rFonts w:cs="Arial"/>
          <w:color w:val="auto"/>
          <w:szCs w:val="22"/>
        </w:rPr>
        <w:t xml:space="preserve"> </w:t>
      </w:r>
      <w:r w:rsidRPr="00504267">
        <w:rPr>
          <w:rFonts w:cs="Arial"/>
          <w:color w:val="auto"/>
          <w:szCs w:val="22"/>
        </w:rPr>
        <w:t>state</w:t>
      </w:r>
      <w:r w:rsidR="00B447D9" w:rsidRPr="00504267">
        <w:rPr>
          <w:rFonts w:cs="Arial"/>
          <w:color w:val="auto"/>
          <w:szCs w:val="22"/>
        </w:rPr>
        <w:t>s</w:t>
      </w:r>
      <w:r w:rsidRPr="00504267">
        <w:rPr>
          <w:rFonts w:cs="Arial"/>
          <w:color w:val="auto"/>
          <w:szCs w:val="22"/>
        </w:rPr>
        <w:t xml:space="preserve"> that cost recovery fees are charged when a good, service or regulation is provided directly to a specific individual or organisation. Fees are used </w:t>
      </w:r>
      <w:r w:rsidR="000A0E14" w:rsidRPr="00504267">
        <w:rPr>
          <w:rFonts w:cs="Arial"/>
          <w:color w:val="auto"/>
          <w:szCs w:val="22"/>
        </w:rPr>
        <w:t xml:space="preserve">mainly </w:t>
      </w:r>
      <w:r w:rsidRPr="00504267">
        <w:rPr>
          <w:rFonts w:cs="Arial"/>
          <w:color w:val="auto"/>
          <w:szCs w:val="22"/>
        </w:rPr>
        <w:t>to recover the cost of the pre-market services performed by the TGA. Fees are designed to reflect as closely as possible the underlying cost of service.</w:t>
      </w:r>
    </w:p>
    <w:p w14:paraId="61DB5939" w14:textId="646D3A84" w:rsidR="00730D66" w:rsidRPr="00163B78" w:rsidRDefault="00730D66" w:rsidP="00F622AF">
      <w:pPr>
        <w:rPr>
          <w:rFonts w:cs="Arial"/>
          <w:szCs w:val="22"/>
          <w:highlight w:val="yellow"/>
        </w:rPr>
      </w:pPr>
      <w:r w:rsidRPr="00504267">
        <w:rPr>
          <w:rFonts w:cs="Arial"/>
          <w:color w:val="auto"/>
          <w:szCs w:val="22"/>
        </w:rPr>
        <w:t xml:space="preserve">The TGA </w:t>
      </w:r>
      <w:r w:rsidR="000254B1" w:rsidRPr="00504267">
        <w:rPr>
          <w:rFonts w:cs="Arial"/>
          <w:color w:val="auto"/>
          <w:szCs w:val="22"/>
        </w:rPr>
        <w:t>applies</w:t>
      </w:r>
      <w:r w:rsidRPr="00504267">
        <w:rPr>
          <w:rFonts w:cs="Arial"/>
          <w:color w:val="auto"/>
          <w:szCs w:val="22"/>
        </w:rPr>
        <w:t xml:space="preserve"> fees for entering new products </w:t>
      </w:r>
      <w:r w:rsidR="002C160A" w:rsidRPr="00504267">
        <w:rPr>
          <w:rFonts w:cs="Arial"/>
          <w:color w:val="auto"/>
          <w:szCs w:val="22"/>
        </w:rPr>
        <w:t>i</w:t>
      </w:r>
      <w:r w:rsidRPr="00504267">
        <w:rPr>
          <w:rFonts w:cs="Arial"/>
          <w:color w:val="auto"/>
          <w:szCs w:val="22"/>
        </w:rPr>
        <w:t xml:space="preserve">n the ARTG or making variations, </w:t>
      </w:r>
      <w:r w:rsidR="000A0E14" w:rsidRPr="00504267">
        <w:rPr>
          <w:rFonts w:cs="Arial"/>
          <w:color w:val="auto"/>
          <w:szCs w:val="22"/>
        </w:rPr>
        <w:t>issuing</w:t>
      </w:r>
      <w:r w:rsidRPr="00504267">
        <w:rPr>
          <w:rFonts w:cs="Arial"/>
          <w:color w:val="auto"/>
          <w:szCs w:val="22"/>
        </w:rPr>
        <w:t xml:space="preserve"> manufacturing</w:t>
      </w:r>
      <w:r w:rsidR="00F56062" w:rsidRPr="00504267">
        <w:rPr>
          <w:rFonts w:cs="Arial"/>
          <w:color w:val="auto"/>
          <w:szCs w:val="22"/>
        </w:rPr>
        <w:t xml:space="preserve"> clearances, </w:t>
      </w:r>
      <w:r w:rsidR="00716248" w:rsidRPr="00504267">
        <w:rPr>
          <w:rFonts w:cs="Arial"/>
          <w:color w:val="auto"/>
          <w:szCs w:val="22"/>
        </w:rPr>
        <w:t>certification,</w:t>
      </w:r>
      <w:r w:rsidR="00F56062" w:rsidRPr="00504267">
        <w:rPr>
          <w:rFonts w:cs="Arial"/>
          <w:color w:val="auto"/>
          <w:szCs w:val="22"/>
        </w:rPr>
        <w:t xml:space="preserve"> and </w:t>
      </w:r>
      <w:r w:rsidRPr="00504267">
        <w:rPr>
          <w:rFonts w:cs="Arial"/>
          <w:color w:val="auto"/>
          <w:szCs w:val="22"/>
        </w:rPr>
        <w:t>licences</w:t>
      </w:r>
      <w:r w:rsidR="00F56062" w:rsidRPr="00504267">
        <w:rPr>
          <w:rFonts w:cs="Arial"/>
          <w:color w:val="auto"/>
          <w:szCs w:val="22"/>
        </w:rPr>
        <w:t>,</w:t>
      </w:r>
      <w:r w:rsidRPr="00504267">
        <w:rPr>
          <w:rFonts w:cs="Arial"/>
          <w:color w:val="auto"/>
          <w:szCs w:val="22"/>
        </w:rPr>
        <w:t xml:space="preserve"> and</w:t>
      </w:r>
      <w:r w:rsidR="000A0E14" w:rsidRPr="00504267">
        <w:rPr>
          <w:rFonts w:cs="Arial"/>
          <w:color w:val="auto"/>
          <w:szCs w:val="22"/>
        </w:rPr>
        <w:t xml:space="preserve"> undertaking</w:t>
      </w:r>
      <w:r w:rsidRPr="00504267">
        <w:rPr>
          <w:rFonts w:cs="Arial"/>
          <w:color w:val="auto"/>
          <w:szCs w:val="22"/>
        </w:rPr>
        <w:t xml:space="preserve"> GMP inspections. </w:t>
      </w:r>
      <w:r w:rsidR="009A3CFC" w:rsidRPr="00504267">
        <w:rPr>
          <w:rFonts w:cs="Arial"/>
          <w:color w:val="auto"/>
          <w:szCs w:val="22"/>
        </w:rPr>
        <w:t>Performance</w:t>
      </w:r>
      <w:r w:rsidRPr="00504267">
        <w:rPr>
          <w:rFonts w:cs="Arial"/>
          <w:color w:val="auto"/>
          <w:szCs w:val="22"/>
        </w:rPr>
        <w:t xml:space="preserve"> for these services are available in the </w:t>
      </w:r>
      <w:hyperlink r:id="rId18" w:history="1">
        <w:r w:rsidRPr="00163B78">
          <w:rPr>
            <w:rStyle w:val="Hyperlink"/>
            <w:rFonts w:cs="Arial"/>
            <w:szCs w:val="22"/>
          </w:rPr>
          <w:t>TGA Annual Performance Report</w:t>
        </w:r>
        <w:r w:rsidR="000D63EF" w:rsidRPr="00163B78">
          <w:rPr>
            <w:rStyle w:val="Hyperlink"/>
            <w:rFonts w:cs="Arial"/>
            <w:szCs w:val="22"/>
          </w:rPr>
          <w:t>s</w:t>
        </w:r>
        <w:r w:rsidRPr="00163B78">
          <w:rPr>
            <w:rStyle w:val="Hyperlink"/>
            <w:rFonts w:cs="Arial"/>
            <w:szCs w:val="22"/>
          </w:rPr>
          <w:t xml:space="preserve">. </w:t>
        </w:r>
      </w:hyperlink>
    </w:p>
    <w:p w14:paraId="36FAD38C" w14:textId="77777777" w:rsidR="00730D66" w:rsidRPr="00504267" w:rsidRDefault="00730D66" w:rsidP="00041B01">
      <w:pPr>
        <w:pStyle w:val="ListBullet"/>
        <w:numPr>
          <w:ilvl w:val="0"/>
          <w:numId w:val="17"/>
        </w:numPr>
        <w:rPr>
          <w:rFonts w:cs="Arial"/>
          <w:b/>
          <w:bCs/>
          <w:color w:val="auto"/>
          <w:szCs w:val="22"/>
        </w:rPr>
      </w:pPr>
      <w:r w:rsidRPr="00504267">
        <w:rPr>
          <w:rFonts w:cs="Arial"/>
          <w:b/>
          <w:bCs/>
          <w:color w:val="auto"/>
          <w:szCs w:val="22"/>
        </w:rPr>
        <w:t>Annual charges</w:t>
      </w:r>
    </w:p>
    <w:p w14:paraId="6AE493D1" w14:textId="4D6AD390" w:rsidR="00B94061" w:rsidRPr="00504267" w:rsidRDefault="00730D66" w:rsidP="00D14A21">
      <w:pPr>
        <w:rPr>
          <w:rFonts w:cs="Arial"/>
          <w:color w:val="auto"/>
          <w:szCs w:val="22"/>
        </w:rPr>
      </w:pPr>
      <w:r w:rsidRPr="00504267">
        <w:rPr>
          <w:rFonts w:cs="Arial"/>
          <w:color w:val="auto"/>
          <w:szCs w:val="22"/>
        </w:rPr>
        <w:t xml:space="preserve">The </w:t>
      </w:r>
      <w:r w:rsidR="007F12A4" w:rsidRPr="00504267">
        <w:rPr>
          <w:rFonts w:cs="Arial"/>
          <w:color w:val="auto"/>
          <w:szCs w:val="22"/>
        </w:rPr>
        <w:t>C</w:t>
      </w:r>
      <w:r w:rsidR="001C5699" w:rsidRPr="00504267">
        <w:rPr>
          <w:rFonts w:cs="Arial"/>
          <w:color w:val="auto"/>
          <w:szCs w:val="22"/>
        </w:rPr>
        <w:t>harging Framework</w:t>
      </w:r>
      <w:r w:rsidR="007F12A4" w:rsidRPr="00504267">
        <w:rPr>
          <w:rFonts w:cs="Arial"/>
          <w:color w:val="auto"/>
          <w:szCs w:val="22"/>
        </w:rPr>
        <w:t xml:space="preserve"> </w:t>
      </w:r>
      <w:r w:rsidRPr="00504267">
        <w:rPr>
          <w:rFonts w:cs="Arial"/>
          <w:color w:val="auto"/>
          <w:szCs w:val="22"/>
        </w:rPr>
        <w:t>state</w:t>
      </w:r>
      <w:r w:rsidR="00B447D9" w:rsidRPr="00504267">
        <w:rPr>
          <w:rFonts w:cs="Arial"/>
          <w:color w:val="auto"/>
          <w:szCs w:val="22"/>
        </w:rPr>
        <w:t>s</w:t>
      </w:r>
      <w:r w:rsidRPr="00504267">
        <w:rPr>
          <w:rFonts w:cs="Arial"/>
          <w:color w:val="auto"/>
          <w:szCs w:val="22"/>
        </w:rPr>
        <w:t xml:space="preserve"> that charges are imposed when a good, service or regulation is provided to a group of individuals or organisations</w:t>
      </w:r>
      <w:r w:rsidR="000A0E14" w:rsidRPr="00504267">
        <w:rPr>
          <w:rFonts w:cs="Arial"/>
          <w:color w:val="auto"/>
          <w:szCs w:val="22"/>
        </w:rPr>
        <w:t>, such as</w:t>
      </w:r>
      <w:r w:rsidRPr="00504267">
        <w:rPr>
          <w:rFonts w:cs="Arial"/>
          <w:color w:val="auto"/>
          <w:szCs w:val="22"/>
        </w:rPr>
        <w:t xml:space="preserve"> an industry sector. An annual charge is a type of levy or tax. Revenue from charges is ‘earmarked’ to fund activities provided for the purpose for which charges have been levied. This </w:t>
      </w:r>
      <w:r w:rsidR="000A0E14" w:rsidRPr="00504267">
        <w:rPr>
          <w:rFonts w:cs="Arial"/>
          <w:color w:val="auto"/>
          <w:szCs w:val="22"/>
        </w:rPr>
        <w:t>differs</w:t>
      </w:r>
      <w:r w:rsidRPr="00504267">
        <w:rPr>
          <w:rFonts w:cs="Arial"/>
          <w:color w:val="auto"/>
          <w:szCs w:val="22"/>
        </w:rPr>
        <w:t xml:space="preserve"> from general taxation</w:t>
      </w:r>
      <w:r w:rsidR="000A0E14" w:rsidRPr="00504267">
        <w:rPr>
          <w:rFonts w:cs="Arial"/>
          <w:color w:val="auto"/>
          <w:szCs w:val="22"/>
        </w:rPr>
        <w:t>, which</w:t>
      </w:r>
      <w:r w:rsidRPr="00504267">
        <w:rPr>
          <w:rFonts w:cs="Arial"/>
          <w:color w:val="auto"/>
          <w:szCs w:val="22"/>
        </w:rPr>
        <w:t xml:space="preserve"> can be spent as the </w:t>
      </w:r>
      <w:r w:rsidR="00F13ACF" w:rsidRPr="00504267">
        <w:rPr>
          <w:rFonts w:cs="Arial"/>
          <w:color w:val="auto"/>
          <w:szCs w:val="22"/>
        </w:rPr>
        <w:t>g</w:t>
      </w:r>
      <w:r w:rsidRPr="00504267">
        <w:rPr>
          <w:rFonts w:cs="Arial"/>
          <w:color w:val="auto"/>
          <w:szCs w:val="22"/>
        </w:rPr>
        <w:t xml:space="preserve">overnment deems appropriate. </w:t>
      </w:r>
    </w:p>
    <w:p w14:paraId="299CDCBD" w14:textId="77777777" w:rsidR="00B94061" w:rsidRPr="00504267" w:rsidRDefault="00B94061" w:rsidP="00B94061">
      <w:pPr>
        <w:spacing w:after="120"/>
        <w:rPr>
          <w:rFonts w:asciiTheme="majorHAnsi" w:hAnsiTheme="majorHAnsi" w:cstheme="majorHAnsi"/>
          <w:color w:val="auto"/>
          <w:szCs w:val="22"/>
        </w:rPr>
      </w:pPr>
      <w:r w:rsidRPr="00504267">
        <w:rPr>
          <w:rFonts w:asciiTheme="majorHAnsi" w:hAnsiTheme="majorHAnsi" w:cstheme="majorHAnsi"/>
          <w:color w:val="auto"/>
          <w:szCs w:val="22"/>
        </w:rPr>
        <w:t xml:space="preserve">Approximately 73% of TGA funding in 2025-26 will be generated through fees and charges under the cost recovery arrangements. </w:t>
      </w:r>
    </w:p>
    <w:p w14:paraId="55FC4453" w14:textId="22106873" w:rsidR="00730D66" w:rsidRPr="00504267" w:rsidRDefault="00730D66" w:rsidP="00041B01">
      <w:pPr>
        <w:pStyle w:val="ListBullet"/>
        <w:numPr>
          <w:ilvl w:val="0"/>
          <w:numId w:val="17"/>
        </w:numPr>
        <w:rPr>
          <w:rFonts w:cs="Arial"/>
          <w:b/>
          <w:bCs/>
          <w:color w:val="auto"/>
          <w:szCs w:val="22"/>
        </w:rPr>
      </w:pPr>
      <w:r w:rsidRPr="00504267">
        <w:rPr>
          <w:rFonts w:cs="Arial"/>
          <w:b/>
          <w:bCs/>
          <w:color w:val="auto"/>
          <w:szCs w:val="22"/>
        </w:rPr>
        <w:t xml:space="preserve">Government </w:t>
      </w:r>
      <w:r w:rsidR="005E5036" w:rsidRPr="00504267">
        <w:rPr>
          <w:rFonts w:cs="Arial"/>
          <w:b/>
          <w:bCs/>
          <w:color w:val="auto"/>
          <w:szCs w:val="22"/>
        </w:rPr>
        <w:t xml:space="preserve">funding </w:t>
      </w:r>
    </w:p>
    <w:p w14:paraId="39B1221E" w14:textId="157193CE" w:rsidR="00EF0DA0" w:rsidRPr="00504267" w:rsidRDefault="00730D66" w:rsidP="00730D66">
      <w:pPr>
        <w:rPr>
          <w:rFonts w:cs="Arial"/>
          <w:color w:val="auto"/>
          <w:szCs w:val="22"/>
        </w:rPr>
      </w:pPr>
      <w:r w:rsidRPr="00504267">
        <w:rPr>
          <w:rFonts w:cs="Arial"/>
          <w:color w:val="auto"/>
          <w:szCs w:val="22"/>
        </w:rPr>
        <w:t xml:space="preserve">In undertaking its regulatory functions, the TGA </w:t>
      </w:r>
      <w:r w:rsidR="00EF0DA0" w:rsidRPr="00504267">
        <w:rPr>
          <w:rFonts w:cs="Arial"/>
          <w:color w:val="auto"/>
          <w:szCs w:val="22"/>
        </w:rPr>
        <w:t>provides several fee-free services aimed at maintaining public health and safety</w:t>
      </w:r>
      <w:r w:rsidR="00211D41" w:rsidRPr="00504267">
        <w:rPr>
          <w:rFonts w:cs="Arial"/>
          <w:color w:val="auto"/>
          <w:szCs w:val="22"/>
        </w:rPr>
        <w:t xml:space="preserve">. It also </w:t>
      </w:r>
      <w:r w:rsidR="00EF0DA0" w:rsidRPr="00504267">
        <w:rPr>
          <w:rFonts w:cs="Arial"/>
          <w:color w:val="auto"/>
          <w:szCs w:val="22"/>
        </w:rPr>
        <w:t xml:space="preserve">undertakes a range of compliance, legal, enforcement and consumer and health professional awareness activities </w:t>
      </w:r>
      <w:r w:rsidR="00211D41" w:rsidRPr="00504267">
        <w:rPr>
          <w:rFonts w:cs="Arial"/>
          <w:color w:val="auto"/>
          <w:szCs w:val="22"/>
        </w:rPr>
        <w:t>that</w:t>
      </w:r>
      <w:r w:rsidR="00EF0DA0" w:rsidRPr="00504267">
        <w:rPr>
          <w:rFonts w:cs="Arial"/>
          <w:color w:val="auto"/>
          <w:szCs w:val="22"/>
        </w:rPr>
        <w:t xml:space="preserve"> do not directly relate to any product or industry group and cannot be cost-recovered. </w:t>
      </w:r>
    </w:p>
    <w:p w14:paraId="39AC7393" w14:textId="7428C88F" w:rsidR="000A0E14" w:rsidRPr="00504267" w:rsidRDefault="00730D66" w:rsidP="00730D66">
      <w:pPr>
        <w:rPr>
          <w:rFonts w:cs="Arial"/>
          <w:color w:val="auto"/>
          <w:szCs w:val="22"/>
        </w:rPr>
      </w:pPr>
      <w:r w:rsidRPr="00504267">
        <w:rPr>
          <w:rFonts w:cs="Arial"/>
          <w:color w:val="auto"/>
          <w:szCs w:val="22"/>
        </w:rPr>
        <w:t>These services include, but are not limited to</w:t>
      </w:r>
      <w:r w:rsidR="000A0E14" w:rsidRPr="00504267">
        <w:rPr>
          <w:rFonts w:cs="Arial"/>
          <w:color w:val="auto"/>
          <w:szCs w:val="22"/>
        </w:rPr>
        <w:t>:</w:t>
      </w:r>
    </w:p>
    <w:p w14:paraId="05B239F9" w14:textId="637E6532" w:rsidR="000A0E14" w:rsidRPr="00504267" w:rsidRDefault="00730D66" w:rsidP="000A0E14">
      <w:pPr>
        <w:pStyle w:val="ListParagraph"/>
        <w:numPr>
          <w:ilvl w:val="0"/>
          <w:numId w:val="10"/>
        </w:numPr>
        <w:rPr>
          <w:rFonts w:ascii="Arial" w:hAnsi="Arial" w:cs="Arial"/>
          <w:szCs w:val="22"/>
        </w:rPr>
      </w:pPr>
      <w:r w:rsidRPr="00504267">
        <w:rPr>
          <w:rFonts w:ascii="Arial" w:hAnsi="Arial" w:cs="Arial"/>
          <w:szCs w:val="22"/>
        </w:rPr>
        <w:t>providing timely access to unapproved medicines</w:t>
      </w:r>
      <w:r w:rsidR="000A0E14" w:rsidRPr="00504267">
        <w:rPr>
          <w:rFonts w:ascii="Arial" w:hAnsi="Arial" w:cs="Arial"/>
          <w:szCs w:val="22"/>
        </w:rPr>
        <w:t xml:space="preserve"> </w:t>
      </w:r>
      <w:r w:rsidRPr="00504267">
        <w:rPr>
          <w:rFonts w:ascii="Arial" w:hAnsi="Arial" w:cs="Arial"/>
          <w:szCs w:val="22"/>
        </w:rPr>
        <w:t xml:space="preserve">including medicinal cannabis, cell and tissue therapies and medical devices to patients under the </w:t>
      </w:r>
      <w:r w:rsidR="0052419F" w:rsidRPr="00504267">
        <w:rPr>
          <w:rFonts w:ascii="Arial" w:hAnsi="Arial" w:cs="Arial"/>
          <w:szCs w:val="22"/>
        </w:rPr>
        <w:t xml:space="preserve">Special Access </w:t>
      </w:r>
      <w:r w:rsidR="000A0E14" w:rsidRPr="00504267">
        <w:rPr>
          <w:rFonts w:ascii="Arial" w:hAnsi="Arial" w:cs="Arial"/>
          <w:szCs w:val="22"/>
        </w:rPr>
        <w:t xml:space="preserve">and </w:t>
      </w:r>
      <w:r w:rsidRPr="00504267">
        <w:rPr>
          <w:rFonts w:ascii="Arial" w:hAnsi="Arial" w:cs="Arial"/>
          <w:szCs w:val="22"/>
        </w:rPr>
        <w:t>the Authorised Prescriber (AP) Scheme</w:t>
      </w:r>
      <w:r w:rsidR="0052419F" w:rsidRPr="00504267">
        <w:rPr>
          <w:rFonts w:ascii="Arial" w:hAnsi="Arial" w:cs="Arial"/>
          <w:szCs w:val="22"/>
        </w:rPr>
        <w:t>s</w:t>
      </w:r>
      <w:r w:rsidRPr="00504267">
        <w:rPr>
          <w:rFonts w:ascii="Arial" w:hAnsi="Arial" w:cs="Arial"/>
          <w:szCs w:val="22"/>
        </w:rPr>
        <w:t xml:space="preserve"> </w:t>
      </w:r>
    </w:p>
    <w:p w14:paraId="2BE4D779" w14:textId="30A424B4" w:rsidR="000A0E14" w:rsidRPr="00504267" w:rsidRDefault="00730D66" w:rsidP="000A0E14">
      <w:pPr>
        <w:pStyle w:val="ListParagraph"/>
        <w:numPr>
          <w:ilvl w:val="0"/>
          <w:numId w:val="10"/>
        </w:numPr>
        <w:rPr>
          <w:rFonts w:ascii="Arial" w:hAnsi="Arial" w:cs="Arial"/>
          <w:szCs w:val="22"/>
        </w:rPr>
      </w:pPr>
      <w:r w:rsidRPr="00504267">
        <w:rPr>
          <w:rFonts w:ascii="Arial" w:hAnsi="Arial" w:cs="Arial"/>
          <w:szCs w:val="22"/>
        </w:rPr>
        <w:t>the Orphan Drug Program</w:t>
      </w:r>
    </w:p>
    <w:p w14:paraId="148BC173" w14:textId="2420DF4A" w:rsidR="000A0E14" w:rsidRPr="00504267" w:rsidRDefault="00730D66" w:rsidP="000A0E14">
      <w:pPr>
        <w:pStyle w:val="ListParagraph"/>
        <w:numPr>
          <w:ilvl w:val="0"/>
          <w:numId w:val="10"/>
        </w:numPr>
        <w:rPr>
          <w:rFonts w:ascii="Arial" w:hAnsi="Arial" w:cs="Arial"/>
          <w:szCs w:val="22"/>
        </w:rPr>
      </w:pPr>
      <w:r w:rsidRPr="00504267">
        <w:rPr>
          <w:rFonts w:ascii="Arial" w:hAnsi="Arial" w:cs="Arial"/>
          <w:szCs w:val="22"/>
        </w:rPr>
        <w:t xml:space="preserve">management of critical medicine </w:t>
      </w:r>
      <w:r w:rsidR="000001E0" w:rsidRPr="00504267">
        <w:rPr>
          <w:rFonts w:ascii="Arial" w:hAnsi="Arial" w:cs="Arial"/>
          <w:szCs w:val="22"/>
        </w:rPr>
        <w:t xml:space="preserve">and medical device </w:t>
      </w:r>
      <w:r w:rsidRPr="00504267">
        <w:rPr>
          <w:rFonts w:ascii="Arial" w:hAnsi="Arial" w:cs="Arial"/>
          <w:szCs w:val="22"/>
        </w:rPr>
        <w:t>shortages</w:t>
      </w:r>
    </w:p>
    <w:p w14:paraId="1EDD89F7" w14:textId="443D4FC5" w:rsidR="00D80BF3" w:rsidRDefault="00730D66" w:rsidP="000A0E14">
      <w:pPr>
        <w:pStyle w:val="ListParagraph"/>
        <w:numPr>
          <w:ilvl w:val="0"/>
          <w:numId w:val="10"/>
        </w:numPr>
        <w:rPr>
          <w:rFonts w:ascii="Arial" w:hAnsi="Arial" w:cs="Arial"/>
          <w:szCs w:val="22"/>
        </w:rPr>
      </w:pPr>
      <w:r w:rsidRPr="00504267">
        <w:rPr>
          <w:rFonts w:ascii="Arial" w:hAnsi="Arial" w:cs="Arial"/>
          <w:szCs w:val="22"/>
        </w:rPr>
        <w:t xml:space="preserve">consumer and professional education </w:t>
      </w:r>
    </w:p>
    <w:p w14:paraId="4D56112E" w14:textId="75847B49" w:rsidR="000A0E14" w:rsidRPr="00504267" w:rsidRDefault="00D80BF3" w:rsidP="000A0E14">
      <w:pPr>
        <w:pStyle w:val="ListParagraph"/>
        <w:numPr>
          <w:ilvl w:val="0"/>
          <w:numId w:val="10"/>
        </w:numPr>
        <w:rPr>
          <w:rFonts w:ascii="Arial" w:hAnsi="Arial" w:cs="Arial"/>
          <w:szCs w:val="22"/>
        </w:rPr>
      </w:pPr>
      <w:r>
        <w:rPr>
          <w:rFonts w:ascii="Arial" w:hAnsi="Arial" w:cs="Arial"/>
          <w:szCs w:val="22"/>
        </w:rPr>
        <w:t xml:space="preserve">certain </w:t>
      </w:r>
      <w:r w:rsidR="00730D66" w:rsidRPr="00504267">
        <w:rPr>
          <w:rFonts w:ascii="Arial" w:hAnsi="Arial" w:cs="Arial"/>
          <w:szCs w:val="22"/>
        </w:rPr>
        <w:t>compliance</w:t>
      </w:r>
      <w:r w:rsidR="005E5036" w:rsidRPr="00504267">
        <w:rPr>
          <w:rFonts w:ascii="Arial" w:hAnsi="Arial" w:cs="Arial"/>
          <w:szCs w:val="22"/>
        </w:rPr>
        <w:t xml:space="preserve"> </w:t>
      </w:r>
      <w:r w:rsidR="00730D66" w:rsidRPr="00504267">
        <w:rPr>
          <w:rFonts w:ascii="Arial" w:hAnsi="Arial" w:cs="Arial"/>
          <w:szCs w:val="22"/>
        </w:rPr>
        <w:t xml:space="preserve">enforcement and litigation activities </w:t>
      </w:r>
    </w:p>
    <w:p w14:paraId="7CE3E6A2" w14:textId="03CBF80A" w:rsidR="00FD3AE0" w:rsidRPr="00504267" w:rsidRDefault="00A924DF" w:rsidP="000A0E14">
      <w:pPr>
        <w:pStyle w:val="ListParagraph"/>
        <w:numPr>
          <w:ilvl w:val="0"/>
          <w:numId w:val="10"/>
        </w:numPr>
        <w:rPr>
          <w:rFonts w:ascii="Arial" w:hAnsi="Arial" w:cs="Arial"/>
          <w:szCs w:val="22"/>
        </w:rPr>
      </w:pPr>
      <w:r w:rsidRPr="00504267">
        <w:rPr>
          <w:rFonts w:ascii="Arial" w:hAnsi="Arial" w:cs="Arial"/>
          <w:szCs w:val="22"/>
        </w:rPr>
        <w:t>v</w:t>
      </w:r>
      <w:r w:rsidR="00FD3AE0" w:rsidRPr="00504267">
        <w:rPr>
          <w:rFonts w:ascii="Arial" w:hAnsi="Arial" w:cs="Arial"/>
          <w:szCs w:val="22"/>
        </w:rPr>
        <w:t>aping regulatory reform activities.</w:t>
      </w:r>
    </w:p>
    <w:p w14:paraId="111CC425" w14:textId="641CA768" w:rsidR="003050BE" w:rsidRPr="00504267" w:rsidRDefault="003050BE" w:rsidP="003050BE">
      <w:pPr>
        <w:spacing w:after="120"/>
        <w:rPr>
          <w:rFonts w:cs="Arial"/>
          <w:color w:val="auto"/>
          <w:szCs w:val="22"/>
        </w:rPr>
      </w:pPr>
      <w:r w:rsidRPr="00504267">
        <w:rPr>
          <w:rFonts w:cs="Arial"/>
          <w:color w:val="auto"/>
          <w:szCs w:val="22"/>
        </w:rPr>
        <w:t>In the</w:t>
      </w:r>
      <w:r w:rsidRPr="00163B78">
        <w:rPr>
          <w:rFonts w:cs="Arial"/>
          <w:szCs w:val="22"/>
        </w:rPr>
        <w:t xml:space="preserve"> </w:t>
      </w:r>
      <w:hyperlink r:id="rId19" w:history="1">
        <w:r w:rsidRPr="00163B78">
          <w:rPr>
            <w:rStyle w:val="Hyperlink"/>
            <w:rFonts w:cs="Arial"/>
            <w:szCs w:val="22"/>
          </w:rPr>
          <w:t>2019-20 Mid-year Economic &amp; Fiscal Outlook (MYEFO)</w:t>
        </w:r>
      </w:hyperlink>
      <w:r w:rsidR="00D72F2F">
        <w:t xml:space="preserve"> </w:t>
      </w:r>
      <w:r w:rsidRPr="00504267">
        <w:rPr>
          <w:rFonts w:cs="Arial"/>
          <w:color w:val="auto"/>
          <w:szCs w:val="22"/>
        </w:rPr>
        <w:t xml:space="preserve">as part of the measure </w:t>
      </w:r>
      <w:r w:rsidRPr="00504267">
        <w:rPr>
          <w:rFonts w:cs="Arial"/>
          <w:i/>
          <w:iCs/>
          <w:color w:val="auto"/>
          <w:szCs w:val="22"/>
        </w:rPr>
        <w:t>Improving Access to Medicines Item 7</w:t>
      </w:r>
      <w:r w:rsidRPr="00504267">
        <w:rPr>
          <w:rFonts w:cs="Arial"/>
          <w:color w:val="auto"/>
          <w:szCs w:val="22"/>
        </w:rPr>
        <w:t>, the Government announced funding of $33 million over 4 years for the TGA, with $15 million per year ongoing from 2022-23. This funding is used to deliver fee-free services, such as registration of orphan drugs and consumer access to unapproved therapeutic goods through the Special Access Scheme (SAS).</w:t>
      </w:r>
    </w:p>
    <w:p w14:paraId="179D6BCD" w14:textId="77777777" w:rsidR="003050BE" w:rsidRPr="00504267" w:rsidRDefault="003050BE" w:rsidP="003050BE">
      <w:pPr>
        <w:rPr>
          <w:rFonts w:cs="Arial"/>
          <w:color w:val="auto"/>
          <w:szCs w:val="22"/>
        </w:rPr>
      </w:pPr>
      <w:r w:rsidRPr="00504267">
        <w:rPr>
          <w:rFonts w:cs="Arial"/>
          <w:color w:val="auto"/>
          <w:szCs w:val="22"/>
        </w:rPr>
        <w:t xml:space="preserve">In the </w:t>
      </w:r>
      <w:hyperlink r:id="rId20" w:history="1">
        <w:r w:rsidRPr="00163B78">
          <w:rPr>
            <w:rStyle w:val="Hyperlink"/>
            <w:rFonts w:cs="Arial"/>
            <w:szCs w:val="22"/>
          </w:rPr>
          <w:t>2023-24 Budget</w:t>
        </w:r>
      </w:hyperlink>
      <w:r w:rsidRPr="00504267">
        <w:rPr>
          <w:rFonts w:cs="Arial"/>
          <w:color w:val="auto"/>
        </w:rPr>
        <w:t>,</w:t>
      </w:r>
      <w:r w:rsidRPr="00504267">
        <w:rPr>
          <w:rFonts w:cs="Arial"/>
          <w:color w:val="auto"/>
          <w:szCs w:val="22"/>
        </w:rPr>
        <w:t xml:space="preserve"> the Government provided an additional $61 million over 4 years to deliver a range of other public good activities, such as:</w:t>
      </w:r>
    </w:p>
    <w:p w14:paraId="0D3D5F55" w14:textId="77777777" w:rsidR="003050BE" w:rsidRPr="00AA6EDC" w:rsidRDefault="003050BE" w:rsidP="003050BE">
      <w:pPr>
        <w:pStyle w:val="ListParagraph"/>
        <w:numPr>
          <w:ilvl w:val="0"/>
          <w:numId w:val="30"/>
        </w:numPr>
        <w:rPr>
          <w:rFonts w:ascii="Arial" w:hAnsi="Arial" w:cs="Arial"/>
          <w:szCs w:val="22"/>
        </w:rPr>
      </w:pPr>
      <w:r w:rsidRPr="00AA6EDC">
        <w:rPr>
          <w:rFonts w:ascii="Arial" w:hAnsi="Arial" w:cs="Arial"/>
          <w:szCs w:val="22"/>
        </w:rPr>
        <w:t>enhancing compliance and enforcement for products and companies operating outside the regulatory system</w:t>
      </w:r>
    </w:p>
    <w:p w14:paraId="067EFAC7" w14:textId="77777777" w:rsidR="003050BE" w:rsidRPr="00AA6EDC" w:rsidRDefault="003050BE" w:rsidP="003050BE">
      <w:pPr>
        <w:pStyle w:val="ListParagraph"/>
        <w:numPr>
          <w:ilvl w:val="0"/>
          <w:numId w:val="30"/>
        </w:numPr>
        <w:rPr>
          <w:rFonts w:ascii="Arial" w:hAnsi="Arial" w:cs="Arial"/>
          <w:szCs w:val="22"/>
        </w:rPr>
      </w:pPr>
      <w:r w:rsidRPr="00AA6EDC">
        <w:rPr>
          <w:rFonts w:ascii="Arial" w:hAnsi="Arial" w:cs="Arial"/>
          <w:szCs w:val="22"/>
        </w:rPr>
        <w:t>managing medicine and medical device shortages</w:t>
      </w:r>
    </w:p>
    <w:p w14:paraId="50674EED" w14:textId="77777777" w:rsidR="003050BE" w:rsidRPr="00AA6EDC" w:rsidRDefault="003050BE" w:rsidP="003050BE">
      <w:pPr>
        <w:pStyle w:val="ListParagraph"/>
        <w:numPr>
          <w:ilvl w:val="0"/>
          <w:numId w:val="30"/>
        </w:numPr>
        <w:rPr>
          <w:rFonts w:ascii="Arial" w:hAnsi="Arial" w:cs="Arial"/>
          <w:szCs w:val="22"/>
        </w:rPr>
      </w:pPr>
      <w:r w:rsidRPr="00AA6EDC">
        <w:rPr>
          <w:rFonts w:ascii="Arial" w:hAnsi="Arial" w:cs="Arial"/>
          <w:szCs w:val="22"/>
        </w:rPr>
        <w:t>providing educational and communication activities for consumers and healthcare professionals, and</w:t>
      </w:r>
    </w:p>
    <w:p w14:paraId="264BC180" w14:textId="77777777" w:rsidR="003050BE" w:rsidRPr="00AA6EDC" w:rsidRDefault="003050BE" w:rsidP="00AB2E7F">
      <w:pPr>
        <w:pStyle w:val="ListParagraph"/>
        <w:numPr>
          <w:ilvl w:val="0"/>
          <w:numId w:val="30"/>
        </w:numPr>
        <w:rPr>
          <w:rFonts w:ascii="Arial" w:hAnsi="Arial" w:cs="Arial"/>
          <w:szCs w:val="22"/>
        </w:rPr>
      </w:pPr>
      <w:r w:rsidRPr="00AA6EDC">
        <w:rPr>
          <w:rFonts w:ascii="Arial" w:hAnsi="Arial" w:cs="Arial"/>
          <w:szCs w:val="22"/>
        </w:rPr>
        <w:t xml:space="preserve">continuing assistance to small and medium enterprises in the sector, particularly those developing emerging technologies. </w:t>
      </w:r>
    </w:p>
    <w:p w14:paraId="63B44641" w14:textId="77777777" w:rsidR="00D80B1F" w:rsidRDefault="00D80B1F" w:rsidP="00D80B1F">
      <w:pPr>
        <w:spacing w:after="120"/>
        <w:rPr>
          <w:rFonts w:cs="Arial"/>
          <w:b/>
          <w:bCs/>
        </w:rPr>
      </w:pPr>
    </w:p>
    <w:p w14:paraId="434B1874" w14:textId="4006E60D" w:rsidR="003050BE" w:rsidRPr="00D80B1F" w:rsidRDefault="00D80BF3" w:rsidP="00D80B1F">
      <w:pPr>
        <w:spacing w:after="120"/>
        <w:rPr>
          <w:rFonts w:cs="Arial"/>
          <w:b/>
          <w:bCs/>
        </w:rPr>
      </w:pPr>
      <w:r w:rsidRPr="00D80B1F">
        <w:rPr>
          <w:rFonts w:cs="Arial"/>
          <w:b/>
          <w:bCs/>
        </w:rPr>
        <w:t xml:space="preserve">Table 1. Public Good funding provided to the TGA through the </w:t>
      </w:r>
      <w:hyperlink r:id="rId21" w:history="1">
        <w:r w:rsidRPr="00D80B1F">
          <w:rPr>
            <w:rStyle w:val="Hyperlink"/>
            <w:rFonts w:cs="Arial"/>
            <w:b/>
            <w:bCs/>
            <w:szCs w:val="22"/>
          </w:rPr>
          <w:t>2023-24 Budget</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297"/>
        <w:gridCol w:w="1296"/>
        <w:gridCol w:w="1254"/>
        <w:gridCol w:w="1274"/>
        <w:gridCol w:w="1274"/>
      </w:tblGrid>
      <w:tr w:rsidR="00AA6EDC" w:rsidRPr="00AA6EDC" w14:paraId="2ACF71A1" w14:textId="77777777" w:rsidTr="005C7249">
        <w:trPr>
          <w:trHeight w:val="284"/>
        </w:trPr>
        <w:tc>
          <w:tcPr>
            <w:tcW w:w="1471" w:type="pct"/>
            <w:shd w:val="clear" w:color="auto" w:fill="B8CCEA" w:themeFill="accent3"/>
            <w:tcMar>
              <w:top w:w="0" w:type="dxa"/>
              <w:left w:w="113" w:type="dxa"/>
              <w:bottom w:w="0" w:type="dxa"/>
              <w:right w:w="113" w:type="dxa"/>
            </w:tcMar>
            <w:vAlign w:val="center"/>
          </w:tcPr>
          <w:p w14:paraId="32F5E286" w14:textId="77777777" w:rsidR="003050BE" w:rsidRPr="00504267" w:rsidRDefault="003050BE" w:rsidP="005C7249">
            <w:pPr>
              <w:spacing w:before="0" w:after="0" w:line="240" w:lineRule="auto"/>
              <w:rPr>
                <w:rFonts w:cs="Arial"/>
                <w:b/>
                <w:bCs/>
                <w:color w:val="auto"/>
                <w:szCs w:val="22"/>
              </w:rPr>
            </w:pPr>
            <w:r w:rsidRPr="00504267">
              <w:rPr>
                <w:rFonts w:cs="Arial"/>
                <w:b/>
                <w:bCs/>
                <w:color w:val="auto"/>
                <w:szCs w:val="22"/>
              </w:rPr>
              <w:t>Department</w:t>
            </w:r>
          </w:p>
        </w:tc>
        <w:tc>
          <w:tcPr>
            <w:tcW w:w="716" w:type="pct"/>
            <w:shd w:val="clear" w:color="auto" w:fill="B8CCEA" w:themeFill="accent3"/>
            <w:vAlign w:val="center"/>
          </w:tcPr>
          <w:p w14:paraId="1DFFF3FE" w14:textId="77777777" w:rsidR="003050BE" w:rsidRPr="00504267" w:rsidRDefault="003050BE" w:rsidP="005C7249">
            <w:pPr>
              <w:spacing w:before="0" w:after="0" w:line="240" w:lineRule="auto"/>
              <w:jc w:val="center"/>
              <w:rPr>
                <w:rFonts w:cs="Arial"/>
                <w:b/>
                <w:bCs/>
                <w:color w:val="auto"/>
                <w:szCs w:val="22"/>
              </w:rPr>
            </w:pPr>
            <w:r w:rsidRPr="00504267">
              <w:rPr>
                <w:rFonts w:cs="Arial"/>
                <w:b/>
                <w:bCs/>
                <w:color w:val="auto"/>
                <w:szCs w:val="22"/>
              </w:rPr>
              <w:t>2023-24</w:t>
            </w:r>
          </w:p>
          <w:p w14:paraId="7F400B6C" w14:textId="77777777" w:rsidR="003050BE" w:rsidRPr="00504267" w:rsidRDefault="003050BE" w:rsidP="005C7249">
            <w:pPr>
              <w:spacing w:before="0" w:after="0" w:line="240" w:lineRule="auto"/>
              <w:jc w:val="center"/>
              <w:rPr>
                <w:rFonts w:cs="Arial"/>
                <w:b/>
                <w:bCs/>
                <w:color w:val="auto"/>
                <w:szCs w:val="22"/>
              </w:rPr>
            </w:pPr>
            <w:r w:rsidRPr="00504267">
              <w:rPr>
                <w:rFonts w:cs="Arial"/>
                <w:b/>
                <w:bCs/>
                <w:color w:val="auto"/>
                <w:szCs w:val="22"/>
              </w:rPr>
              <w:t>$’m</w:t>
            </w:r>
          </w:p>
        </w:tc>
        <w:tc>
          <w:tcPr>
            <w:tcW w:w="715" w:type="pct"/>
            <w:shd w:val="clear" w:color="auto" w:fill="B8CCEA" w:themeFill="accent3"/>
            <w:tcMar>
              <w:top w:w="0" w:type="dxa"/>
              <w:left w:w="113" w:type="dxa"/>
              <w:bottom w:w="0" w:type="dxa"/>
              <w:right w:w="113" w:type="dxa"/>
            </w:tcMar>
            <w:vAlign w:val="center"/>
            <w:hideMark/>
          </w:tcPr>
          <w:p w14:paraId="57031842" w14:textId="77777777" w:rsidR="003050BE" w:rsidRPr="00504267" w:rsidRDefault="003050BE" w:rsidP="005C7249">
            <w:pPr>
              <w:spacing w:before="0" w:after="0" w:line="240" w:lineRule="auto"/>
              <w:jc w:val="center"/>
              <w:rPr>
                <w:rFonts w:cs="Arial"/>
                <w:b/>
                <w:bCs/>
                <w:color w:val="auto"/>
                <w:szCs w:val="22"/>
              </w:rPr>
            </w:pPr>
            <w:r w:rsidRPr="00504267">
              <w:rPr>
                <w:rFonts w:cs="Arial"/>
                <w:b/>
                <w:bCs/>
                <w:color w:val="auto"/>
                <w:szCs w:val="22"/>
              </w:rPr>
              <w:t>2024-25</w:t>
            </w:r>
          </w:p>
          <w:p w14:paraId="2CC676B7" w14:textId="77777777" w:rsidR="003050BE" w:rsidRPr="00504267" w:rsidRDefault="003050BE" w:rsidP="005C7249">
            <w:pPr>
              <w:spacing w:before="0" w:after="0" w:line="240" w:lineRule="auto"/>
              <w:jc w:val="center"/>
              <w:rPr>
                <w:rFonts w:cs="Arial"/>
                <w:b/>
                <w:bCs/>
                <w:color w:val="auto"/>
                <w:szCs w:val="22"/>
              </w:rPr>
            </w:pPr>
            <w:r w:rsidRPr="00504267">
              <w:rPr>
                <w:rFonts w:cs="Arial"/>
                <w:b/>
                <w:bCs/>
                <w:color w:val="auto"/>
                <w:szCs w:val="22"/>
              </w:rPr>
              <w:t>$’m</w:t>
            </w:r>
          </w:p>
        </w:tc>
        <w:tc>
          <w:tcPr>
            <w:tcW w:w="692" w:type="pct"/>
            <w:shd w:val="clear" w:color="auto" w:fill="B8CCEA" w:themeFill="accent3"/>
            <w:vAlign w:val="center"/>
            <w:hideMark/>
          </w:tcPr>
          <w:p w14:paraId="54C5230B" w14:textId="77777777" w:rsidR="003050BE" w:rsidRPr="00504267" w:rsidRDefault="003050BE" w:rsidP="005C7249">
            <w:pPr>
              <w:spacing w:before="0" w:after="0" w:line="240" w:lineRule="auto"/>
              <w:jc w:val="center"/>
              <w:rPr>
                <w:rFonts w:cs="Arial"/>
                <w:b/>
                <w:bCs/>
                <w:color w:val="auto"/>
                <w:szCs w:val="22"/>
              </w:rPr>
            </w:pPr>
            <w:r w:rsidRPr="00504267">
              <w:rPr>
                <w:rFonts w:cs="Arial"/>
                <w:b/>
                <w:bCs/>
                <w:color w:val="auto"/>
                <w:szCs w:val="22"/>
              </w:rPr>
              <w:t>2025-26</w:t>
            </w:r>
          </w:p>
          <w:p w14:paraId="29DE51A9" w14:textId="77777777" w:rsidR="003050BE" w:rsidRPr="00504267" w:rsidRDefault="003050BE" w:rsidP="005C7249">
            <w:pPr>
              <w:spacing w:before="0" w:after="0" w:line="240" w:lineRule="auto"/>
              <w:jc w:val="center"/>
              <w:rPr>
                <w:rFonts w:cs="Arial"/>
                <w:b/>
                <w:bCs/>
                <w:color w:val="auto"/>
                <w:szCs w:val="22"/>
              </w:rPr>
            </w:pPr>
            <w:r w:rsidRPr="00504267">
              <w:rPr>
                <w:rFonts w:cs="Arial"/>
                <w:b/>
                <w:bCs/>
                <w:color w:val="auto"/>
                <w:szCs w:val="22"/>
              </w:rPr>
              <w:t>$’m</w:t>
            </w:r>
          </w:p>
        </w:tc>
        <w:tc>
          <w:tcPr>
            <w:tcW w:w="703" w:type="pct"/>
            <w:shd w:val="clear" w:color="auto" w:fill="B8CCEA" w:themeFill="accent3"/>
            <w:vAlign w:val="center"/>
            <w:hideMark/>
          </w:tcPr>
          <w:p w14:paraId="50EF931D" w14:textId="77777777" w:rsidR="003050BE" w:rsidRPr="00504267" w:rsidRDefault="003050BE" w:rsidP="005C7249">
            <w:pPr>
              <w:spacing w:before="0" w:after="0" w:line="240" w:lineRule="auto"/>
              <w:jc w:val="center"/>
              <w:rPr>
                <w:rFonts w:cs="Arial"/>
                <w:b/>
                <w:bCs/>
                <w:color w:val="auto"/>
                <w:szCs w:val="22"/>
              </w:rPr>
            </w:pPr>
            <w:r w:rsidRPr="00504267">
              <w:rPr>
                <w:rFonts w:cs="Arial"/>
                <w:b/>
                <w:bCs/>
                <w:color w:val="auto"/>
                <w:szCs w:val="22"/>
              </w:rPr>
              <w:t>2026-27</w:t>
            </w:r>
          </w:p>
          <w:p w14:paraId="11EBADC2" w14:textId="77777777" w:rsidR="003050BE" w:rsidRPr="00504267" w:rsidRDefault="003050BE" w:rsidP="005C7249">
            <w:pPr>
              <w:spacing w:before="0" w:after="0" w:line="240" w:lineRule="auto"/>
              <w:jc w:val="center"/>
              <w:rPr>
                <w:rFonts w:cs="Arial"/>
                <w:b/>
                <w:bCs/>
                <w:color w:val="auto"/>
                <w:szCs w:val="22"/>
              </w:rPr>
            </w:pPr>
            <w:r w:rsidRPr="00504267">
              <w:rPr>
                <w:rFonts w:cs="Arial"/>
                <w:b/>
                <w:bCs/>
                <w:color w:val="auto"/>
                <w:szCs w:val="22"/>
              </w:rPr>
              <w:t>$’m</w:t>
            </w:r>
          </w:p>
        </w:tc>
        <w:tc>
          <w:tcPr>
            <w:tcW w:w="703" w:type="pct"/>
            <w:shd w:val="clear" w:color="auto" w:fill="B8CCEA" w:themeFill="accent3"/>
            <w:vAlign w:val="center"/>
          </w:tcPr>
          <w:p w14:paraId="1975A65F" w14:textId="77777777" w:rsidR="003050BE" w:rsidRPr="00504267" w:rsidRDefault="003050BE" w:rsidP="005C7249">
            <w:pPr>
              <w:spacing w:before="0" w:after="0" w:line="240" w:lineRule="auto"/>
              <w:jc w:val="center"/>
              <w:rPr>
                <w:rFonts w:cs="Arial"/>
                <w:b/>
                <w:bCs/>
                <w:color w:val="auto"/>
                <w:szCs w:val="22"/>
              </w:rPr>
            </w:pPr>
            <w:r w:rsidRPr="00504267">
              <w:rPr>
                <w:rFonts w:cs="Arial"/>
                <w:b/>
                <w:bCs/>
                <w:color w:val="auto"/>
                <w:szCs w:val="22"/>
              </w:rPr>
              <w:t>Total</w:t>
            </w:r>
          </w:p>
          <w:p w14:paraId="517C5B82" w14:textId="77777777" w:rsidR="003050BE" w:rsidRPr="00504267" w:rsidRDefault="003050BE" w:rsidP="005C7249">
            <w:pPr>
              <w:spacing w:before="0" w:after="0" w:line="240" w:lineRule="auto"/>
              <w:jc w:val="center"/>
              <w:rPr>
                <w:rFonts w:cs="Arial"/>
                <w:b/>
                <w:bCs/>
                <w:color w:val="auto"/>
                <w:szCs w:val="22"/>
              </w:rPr>
            </w:pPr>
            <w:r w:rsidRPr="00504267">
              <w:rPr>
                <w:rFonts w:cs="Arial"/>
                <w:b/>
                <w:bCs/>
                <w:color w:val="auto"/>
                <w:szCs w:val="22"/>
              </w:rPr>
              <w:t>$’m</w:t>
            </w:r>
          </w:p>
        </w:tc>
      </w:tr>
      <w:tr w:rsidR="00AA6EDC" w:rsidRPr="00AA6EDC" w14:paraId="3DAB939F" w14:textId="77777777" w:rsidTr="005C7249">
        <w:trPr>
          <w:trHeight w:val="284"/>
        </w:trPr>
        <w:tc>
          <w:tcPr>
            <w:tcW w:w="1471" w:type="pct"/>
            <w:tcMar>
              <w:top w:w="0" w:type="dxa"/>
              <w:left w:w="57" w:type="dxa"/>
              <w:bottom w:w="0" w:type="dxa"/>
              <w:right w:w="57" w:type="dxa"/>
            </w:tcMar>
            <w:vAlign w:val="center"/>
            <w:hideMark/>
          </w:tcPr>
          <w:p w14:paraId="7346FA70" w14:textId="77777777" w:rsidR="003050BE" w:rsidRPr="00504267" w:rsidRDefault="003050BE" w:rsidP="005C7249">
            <w:pPr>
              <w:spacing w:before="0" w:after="0" w:line="240" w:lineRule="auto"/>
              <w:rPr>
                <w:rFonts w:cs="Arial"/>
                <w:color w:val="auto"/>
                <w:szCs w:val="22"/>
              </w:rPr>
            </w:pPr>
            <w:r w:rsidRPr="00504267">
              <w:rPr>
                <w:rFonts w:cs="Arial"/>
                <w:color w:val="auto"/>
                <w:szCs w:val="22"/>
              </w:rPr>
              <w:t>Health and Aged Care</w:t>
            </w:r>
          </w:p>
        </w:tc>
        <w:tc>
          <w:tcPr>
            <w:tcW w:w="716" w:type="pct"/>
            <w:vAlign w:val="center"/>
          </w:tcPr>
          <w:p w14:paraId="0502896F" w14:textId="77777777" w:rsidR="003050BE" w:rsidRPr="00504267" w:rsidRDefault="003050BE" w:rsidP="005C7249">
            <w:pPr>
              <w:spacing w:before="0" w:after="0" w:line="240" w:lineRule="auto"/>
              <w:jc w:val="center"/>
              <w:rPr>
                <w:rFonts w:cs="Arial"/>
                <w:color w:val="auto"/>
                <w:szCs w:val="22"/>
              </w:rPr>
            </w:pPr>
            <w:r w:rsidRPr="00504267">
              <w:rPr>
                <w:rFonts w:cs="Arial"/>
                <w:color w:val="auto"/>
                <w:szCs w:val="22"/>
              </w:rPr>
              <w:t>14.979</w:t>
            </w:r>
          </w:p>
        </w:tc>
        <w:tc>
          <w:tcPr>
            <w:tcW w:w="715" w:type="pct"/>
            <w:tcMar>
              <w:top w:w="0" w:type="dxa"/>
              <w:left w:w="113" w:type="dxa"/>
              <w:bottom w:w="0" w:type="dxa"/>
              <w:right w:w="113" w:type="dxa"/>
            </w:tcMar>
            <w:vAlign w:val="center"/>
            <w:hideMark/>
          </w:tcPr>
          <w:p w14:paraId="4D5F2CC8" w14:textId="77777777" w:rsidR="003050BE" w:rsidRPr="00504267" w:rsidRDefault="003050BE" w:rsidP="005C7249">
            <w:pPr>
              <w:spacing w:before="0" w:after="0" w:line="240" w:lineRule="auto"/>
              <w:jc w:val="center"/>
              <w:rPr>
                <w:rFonts w:cs="Arial"/>
                <w:color w:val="auto"/>
                <w:szCs w:val="22"/>
              </w:rPr>
            </w:pPr>
            <w:r w:rsidRPr="00504267">
              <w:rPr>
                <w:rFonts w:cs="Arial"/>
                <w:color w:val="auto"/>
                <w:szCs w:val="22"/>
              </w:rPr>
              <w:t>15.214</w:t>
            </w:r>
          </w:p>
        </w:tc>
        <w:tc>
          <w:tcPr>
            <w:tcW w:w="692" w:type="pct"/>
            <w:vAlign w:val="center"/>
            <w:hideMark/>
          </w:tcPr>
          <w:p w14:paraId="5745DD1B" w14:textId="77777777" w:rsidR="003050BE" w:rsidRPr="00504267" w:rsidRDefault="003050BE" w:rsidP="005C7249">
            <w:pPr>
              <w:spacing w:before="0" w:after="0" w:line="240" w:lineRule="auto"/>
              <w:jc w:val="center"/>
              <w:rPr>
                <w:rFonts w:cs="Arial"/>
                <w:color w:val="auto"/>
                <w:szCs w:val="22"/>
              </w:rPr>
            </w:pPr>
            <w:r w:rsidRPr="00504267">
              <w:rPr>
                <w:rFonts w:cs="Arial"/>
                <w:color w:val="auto"/>
                <w:szCs w:val="22"/>
              </w:rPr>
              <w:t>15.332</w:t>
            </w:r>
          </w:p>
        </w:tc>
        <w:tc>
          <w:tcPr>
            <w:tcW w:w="703" w:type="pct"/>
            <w:vAlign w:val="center"/>
            <w:hideMark/>
          </w:tcPr>
          <w:p w14:paraId="2E403697" w14:textId="77777777" w:rsidR="003050BE" w:rsidRPr="00504267" w:rsidRDefault="003050BE" w:rsidP="005C7249">
            <w:pPr>
              <w:spacing w:before="0" w:after="0" w:line="240" w:lineRule="auto"/>
              <w:jc w:val="center"/>
              <w:rPr>
                <w:rFonts w:cs="Arial"/>
                <w:color w:val="auto"/>
                <w:szCs w:val="22"/>
              </w:rPr>
            </w:pPr>
            <w:r w:rsidRPr="00504267">
              <w:rPr>
                <w:rFonts w:cs="Arial"/>
                <w:color w:val="auto"/>
                <w:szCs w:val="22"/>
              </w:rPr>
              <w:t>15.467</w:t>
            </w:r>
          </w:p>
        </w:tc>
        <w:tc>
          <w:tcPr>
            <w:tcW w:w="703" w:type="pct"/>
            <w:vAlign w:val="center"/>
          </w:tcPr>
          <w:p w14:paraId="707B1A44" w14:textId="77777777" w:rsidR="003050BE" w:rsidRPr="00504267" w:rsidRDefault="003050BE" w:rsidP="005C7249">
            <w:pPr>
              <w:spacing w:before="0" w:after="0" w:line="240" w:lineRule="auto"/>
              <w:jc w:val="center"/>
              <w:rPr>
                <w:rFonts w:cs="Arial"/>
                <w:color w:val="auto"/>
                <w:szCs w:val="22"/>
              </w:rPr>
            </w:pPr>
            <w:r w:rsidRPr="00504267">
              <w:rPr>
                <w:rFonts w:cs="Arial"/>
                <w:color w:val="auto"/>
                <w:szCs w:val="22"/>
              </w:rPr>
              <w:t>60.992</w:t>
            </w:r>
          </w:p>
        </w:tc>
      </w:tr>
      <w:tr w:rsidR="00AA6EDC" w:rsidRPr="00AA6EDC" w14:paraId="3422C504" w14:textId="77777777" w:rsidTr="005C7249">
        <w:trPr>
          <w:trHeight w:val="284"/>
        </w:trPr>
        <w:tc>
          <w:tcPr>
            <w:tcW w:w="1471" w:type="pct"/>
            <w:tcMar>
              <w:top w:w="0" w:type="dxa"/>
              <w:left w:w="57" w:type="dxa"/>
              <w:bottom w:w="0" w:type="dxa"/>
              <w:right w:w="57" w:type="dxa"/>
            </w:tcMar>
            <w:vAlign w:val="center"/>
            <w:hideMark/>
          </w:tcPr>
          <w:p w14:paraId="7A4B0A68" w14:textId="77777777" w:rsidR="003050BE" w:rsidRPr="00504267" w:rsidRDefault="003050BE" w:rsidP="005C7249">
            <w:pPr>
              <w:spacing w:before="0" w:after="0" w:line="240" w:lineRule="auto"/>
              <w:rPr>
                <w:rFonts w:cs="Arial"/>
                <w:b/>
                <w:bCs/>
                <w:color w:val="auto"/>
                <w:szCs w:val="22"/>
              </w:rPr>
            </w:pPr>
            <w:r w:rsidRPr="00504267">
              <w:rPr>
                <w:rFonts w:cs="Arial"/>
                <w:b/>
                <w:bCs/>
                <w:color w:val="auto"/>
                <w:szCs w:val="22"/>
              </w:rPr>
              <w:t>Total</w:t>
            </w:r>
          </w:p>
        </w:tc>
        <w:tc>
          <w:tcPr>
            <w:tcW w:w="716" w:type="pct"/>
            <w:vAlign w:val="center"/>
          </w:tcPr>
          <w:p w14:paraId="2BDB3B35" w14:textId="77777777" w:rsidR="003050BE" w:rsidRPr="00504267" w:rsidRDefault="003050BE" w:rsidP="005C7249">
            <w:pPr>
              <w:spacing w:before="0" w:after="0" w:line="240" w:lineRule="auto"/>
              <w:jc w:val="center"/>
              <w:rPr>
                <w:rFonts w:cs="Arial"/>
                <w:b/>
                <w:bCs/>
                <w:color w:val="auto"/>
                <w:szCs w:val="22"/>
              </w:rPr>
            </w:pPr>
            <w:r w:rsidRPr="00504267">
              <w:rPr>
                <w:rFonts w:cs="Arial"/>
                <w:b/>
                <w:bCs/>
                <w:color w:val="auto"/>
                <w:szCs w:val="22"/>
              </w:rPr>
              <w:t>14.979</w:t>
            </w:r>
          </w:p>
        </w:tc>
        <w:tc>
          <w:tcPr>
            <w:tcW w:w="715" w:type="pct"/>
            <w:tcMar>
              <w:top w:w="0" w:type="dxa"/>
              <w:left w:w="113" w:type="dxa"/>
              <w:bottom w:w="0" w:type="dxa"/>
              <w:right w:w="113" w:type="dxa"/>
            </w:tcMar>
            <w:vAlign w:val="center"/>
            <w:hideMark/>
          </w:tcPr>
          <w:p w14:paraId="147B2ACF" w14:textId="77777777" w:rsidR="003050BE" w:rsidRPr="00504267" w:rsidRDefault="003050BE" w:rsidP="005C7249">
            <w:pPr>
              <w:spacing w:before="0" w:after="0" w:line="240" w:lineRule="auto"/>
              <w:jc w:val="center"/>
              <w:rPr>
                <w:rFonts w:cs="Arial"/>
                <w:b/>
                <w:bCs/>
                <w:color w:val="auto"/>
                <w:szCs w:val="22"/>
              </w:rPr>
            </w:pPr>
            <w:r w:rsidRPr="00504267">
              <w:rPr>
                <w:rFonts w:cs="Arial"/>
                <w:b/>
                <w:bCs/>
                <w:color w:val="auto"/>
                <w:szCs w:val="22"/>
              </w:rPr>
              <w:t>15.214</w:t>
            </w:r>
          </w:p>
        </w:tc>
        <w:tc>
          <w:tcPr>
            <w:tcW w:w="692" w:type="pct"/>
            <w:vAlign w:val="center"/>
            <w:hideMark/>
          </w:tcPr>
          <w:p w14:paraId="542616C6" w14:textId="77777777" w:rsidR="003050BE" w:rsidRPr="00504267" w:rsidRDefault="003050BE" w:rsidP="005C7249">
            <w:pPr>
              <w:spacing w:before="0" w:after="0" w:line="240" w:lineRule="auto"/>
              <w:jc w:val="center"/>
              <w:rPr>
                <w:rFonts w:cs="Arial"/>
                <w:b/>
                <w:bCs/>
                <w:color w:val="auto"/>
                <w:szCs w:val="22"/>
              </w:rPr>
            </w:pPr>
            <w:r w:rsidRPr="00504267">
              <w:rPr>
                <w:rFonts w:cs="Arial"/>
                <w:b/>
                <w:bCs/>
                <w:color w:val="auto"/>
                <w:szCs w:val="22"/>
              </w:rPr>
              <w:t>15.332</w:t>
            </w:r>
          </w:p>
        </w:tc>
        <w:tc>
          <w:tcPr>
            <w:tcW w:w="703" w:type="pct"/>
            <w:vAlign w:val="center"/>
            <w:hideMark/>
          </w:tcPr>
          <w:p w14:paraId="54448005" w14:textId="77777777" w:rsidR="003050BE" w:rsidRPr="00504267" w:rsidRDefault="003050BE" w:rsidP="005C7249">
            <w:pPr>
              <w:spacing w:before="0" w:after="0" w:line="240" w:lineRule="auto"/>
              <w:jc w:val="center"/>
              <w:rPr>
                <w:rFonts w:cs="Arial"/>
                <w:b/>
                <w:bCs/>
                <w:color w:val="auto"/>
                <w:szCs w:val="22"/>
              </w:rPr>
            </w:pPr>
            <w:r w:rsidRPr="00504267">
              <w:rPr>
                <w:rFonts w:cs="Arial"/>
                <w:b/>
                <w:bCs/>
                <w:color w:val="auto"/>
                <w:szCs w:val="22"/>
              </w:rPr>
              <w:t>15.467</w:t>
            </w:r>
          </w:p>
        </w:tc>
        <w:tc>
          <w:tcPr>
            <w:tcW w:w="703" w:type="pct"/>
            <w:vAlign w:val="center"/>
          </w:tcPr>
          <w:p w14:paraId="62F034B4" w14:textId="77777777" w:rsidR="003050BE" w:rsidRPr="00504267" w:rsidRDefault="003050BE" w:rsidP="005C7249">
            <w:pPr>
              <w:spacing w:before="0" w:after="0" w:line="240" w:lineRule="auto"/>
              <w:jc w:val="center"/>
              <w:rPr>
                <w:rFonts w:cs="Arial"/>
                <w:b/>
                <w:bCs/>
                <w:color w:val="auto"/>
                <w:szCs w:val="22"/>
              </w:rPr>
            </w:pPr>
            <w:r w:rsidRPr="00504267">
              <w:rPr>
                <w:rFonts w:cs="Arial"/>
                <w:b/>
                <w:bCs/>
                <w:color w:val="auto"/>
                <w:szCs w:val="22"/>
              </w:rPr>
              <w:t>60.992</w:t>
            </w:r>
          </w:p>
        </w:tc>
      </w:tr>
    </w:tbl>
    <w:p w14:paraId="34ED0C4F" w14:textId="420BC447" w:rsidR="003050BE" w:rsidRPr="00504267" w:rsidRDefault="003050BE" w:rsidP="003050BE">
      <w:pPr>
        <w:spacing w:after="120"/>
        <w:rPr>
          <w:rFonts w:cs="Arial"/>
          <w:color w:val="auto"/>
          <w:szCs w:val="22"/>
        </w:rPr>
      </w:pPr>
      <w:r w:rsidRPr="00504267">
        <w:rPr>
          <w:rFonts w:cs="Arial"/>
          <w:color w:val="auto"/>
          <w:szCs w:val="22"/>
        </w:rPr>
        <w:t xml:space="preserve">The TGA also receives Government funding for the following: </w:t>
      </w:r>
    </w:p>
    <w:p w14:paraId="04FE1516" w14:textId="77777777" w:rsidR="003050BE" w:rsidRPr="00AA6EDC" w:rsidRDefault="003050BE" w:rsidP="003050BE">
      <w:pPr>
        <w:pStyle w:val="ListParagraph"/>
        <w:numPr>
          <w:ilvl w:val="0"/>
          <w:numId w:val="10"/>
        </w:numPr>
        <w:spacing w:after="120"/>
        <w:rPr>
          <w:rFonts w:ascii="Arial" w:hAnsi="Arial" w:cs="Arial"/>
          <w:szCs w:val="22"/>
        </w:rPr>
      </w:pPr>
      <w:r w:rsidRPr="00AA6EDC">
        <w:rPr>
          <w:rFonts w:ascii="Arial" w:hAnsi="Arial" w:cs="Arial"/>
          <w:szCs w:val="22"/>
        </w:rPr>
        <w:t xml:space="preserve">implementation and enforcement of the vaping reforms </w:t>
      </w:r>
    </w:p>
    <w:p w14:paraId="227B8D10" w14:textId="77777777" w:rsidR="003050BE" w:rsidRPr="00AA6EDC" w:rsidRDefault="003050BE" w:rsidP="003050BE">
      <w:pPr>
        <w:pStyle w:val="ListParagraph"/>
        <w:numPr>
          <w:ilvl w:val="0"/>
          <w:numId w:val="10"/>
        </w:numPr>
        <w:spacing w:after="120"/>
        <w:rPr>
          <w:rFonts w:ascii="Arial" w:hAnsi="Arial" w:cs="Arial"/>
          <w:szCs w:val="22"/>
        </w:rPr>
      </w:pPr>
      <w:r w:rsidRPr="00AA6EDC">
        <w:rPr>
          <w:rFonts w:ascii="Arial" w:hAnsi="Arial" w:cs="Arial"/>
          <w:szCs w:val="22"/>
        </w:rPr>
        <w:t xml:space="preserve">secretariat costs for medicines and chemicals scheduling, and </w:t>
      </w:r>
    </w:p>
    <w:p w14:paraId="78DF6EC2" w14:textId="502AA183" w:rsidR="003050BE" w:rsidRPr="00AA6EDC" w:rsidRDefault="003050BE" w:rsidP="003050BE">
      <w:pPr>
        <w:pStyle w:val="ListParagraph"/>
        <w:numPr>
          <w:ilvl w:val="0"/>
          <w:numId w:val="10"/>
        </w:numPr>
        <w:spacing w:after="120"/>
        <w:rPr>
          <w:rFonts w:ascii="Arial" w:hAnsi="Arial" w:cs="Arial"/>
          <w:szCs w:val="22"/>
        </w:rPr>
      </w:pPr>
      <w:r w:rsidRPr="00AA6EDC">
        <w:rPr>
          <w:rFonts w:ascii="Arial" w:hAnsi="Arial" w:cs="Arial"/>
          <w:szCs w:val="22"/>
        </w:rPr>
        <w:t>interest equivalency payment</w:t>
      </w:r>
      <w:r w:rsidR="005C233C" w:rsidRPr="00AA6EDC">
        <w:rPr>
          <w:rFonts w:ascii="Arial" w:hAnsi="Arial" w:cs="Arial"/>
          <w:szCs w:val="22"/>
        </w:rPr>
        <w:t>s</w:t>
      </w:r>
      <w:r w:rsidRPr="00AA6EDC">
        <w:rPr>
          <w:rFonts w:ascii="Arial" w:hAnsi="Arial" w:cs="Arial"/>
          <w:szCs w:val="22"/>
        </w:rPr>
        <w:t xml:space="preserve"> in lieu of interest earned by the Government on the TGA Special Account balance.</w:t>
      </w:r>
    </w:p>
    <w:p w14:paraId="1300FEB1" w14:textId="77777777" w:rsidR="000A07C2" w:rsidRPr="00504267" w:rsidRDefault="000A07C2" w:rsidP="00AB2E7F">
      <w:pPr>
        <w:pStyle w:val="ListBullet"/>
        <w:numPr>
          <w:ilvl w:val="0"/>
          <w:numId w:val="17"/>
        </w:numPr>
        <w:rPr>
          <w:rFonts w:cs="Arial"/>
          <w:b/>
          <w:bCs/>
          <w:color w:val="auto"/>
          <w:szCs w:val="22"/>
        </w:rPr>
      </w:pPr>
      <w:r w:rsidRPr="00504267">
        <w:rPr>
          <w:rFonts w:cs="Arial"/>
          <w:b/>
          <w:bCs/>
          <w:color w:val="auto"/>
          <w:szCs w:val="22"/>
        </w:rPr>
        <w:t xml:space="preserve">Legal authority to charge </w:t>
      </w:r>
    </w:p>
    <w:p w14:paraId="28377D4E" w14:textId="77777777" w:rsidR="000A07C2" w:rsidRPr="00504267" w:rsidRDefault="000A07C2" w:rsidP="00AB2E7F">
      <w:pPr>
        <w:rPr>
          <w:rFonts w:cs="Arial"/>
          <w:color w:val="auto"/>
          <w:szCs w:val="22"/>
        </w:rPr>
      </w:pPr>
      <w:r w:rsidRPr="00504267">
        <w:rPr>
          <w:rFonts w:cs="Arial"/>
          <w:color w:val="auto"/>
          <w:szCs w:val="22"/>
        </w:rPr>
        <w:t>The Act provides a legal authority for the TGA to charge for its activities within the scope of the Act. The Therapeutic Goods (Charges) Act 1989 (the Charges Act) provides a legal authority to levy annual charges, a type of tax, on sponsors and manufacturers of medicines and medical devices. Applicable fees and charges are prescribed in the subordinate regulations made under these Acts.</w:t>
      </w:r>
    </w:p>
    <w:p w14:paraId="73CEEB3B" w14:textId="77777777" w:rsidR="000A07C2" w:rsidRPr="00504267" w:rsidRDefault="000A07C2" w:rsidP="00AB2E7F">
      <w:pPr>
        <w:rPr>
          <w:rFonts w:cs="Arial"/>
          <w:color w:val="auto"/>
          <w:szCs w:val="22"/>
        </w:rPr>
      </w:pPr>
      <w:r w:rsidRPr="00504267">
        <w:rPr>
          <w:rFonts w:cs="Arial"/>
          <w:color w:val="auto"/>
          <w:szCs w:val="22"/>
        </w:rPr>
        <w:t>The fees and charges are deposited into the TGA Special Account, established under section 45 of the Act. Any unspent funds at the end of financial year remain in a reserve for the TGA for future spending for regulatory purposes only, such as business improvement, IT systems enhancement and regulatory reforms.</w:t>
      </w:r>
    </w:p>
    <w:p w14:paraId="512C9BE6" w14:textId="3B7FA243" w:rsidR="000A07C2" w:rsidRPr="00504267" w:rsidRDefault="000A07C2" w:rsidP="0031724C">
      <w:pPr>
        <w:spacing w:after="120"/>
        <w:rPr>
          <w:rFonts w:cs="Arial"/>
          <w:color w:val="auto"/>
          <w:szCs w:val="22"/>
        </w:rPr>
      </w:pPr>
      <w:r w:rsidRPr="00504267">
        <w:rPr>
          <w:rFonts w:cs="Arial"/>
          <w:color w:val="auto"/>
          <w:szCs w:val="22"/>
        </w:rPr>
        <w:t>The TGA’s current CRIS expands further on the cost recovery activities and methodology.</w:t>
      </w:r>
    </w:p>
    <w:p w14:paraId="3F9914EE" w14:textId="77777777" w:rsidR="007B7829" w:rsidRPr="0085066D" w:rsidRDefault="007B7829" w:rsidP="007B7829">
      <w:pPr>
        <w:pStyle w:val="Heading2"/>
        <w:rPr>
          <w:rFonts w:cs="Arial"/>
        </w:rPr>
      </w:pPr>
      <w:bookmarkStart w:id="5" w:name="_Toc219968252"/>
      <w:r w:rsidRPr="0085066D">
        <w:rPr>
          <w:rFonts w:cs="Arial"/>
        </w:rPr>
        <w:t>Cost recovery obligations of the TGA</w:t>
      </w:r>
      <w:bookmarkEnd w:id="5"/>
    </w:p>
    <w:p w14:paraId="6EC4CB25" w14:textId="42EB83BA" w:rsidR="007B7829" w:rsidRPr="00504267" w:rsidRDefault="007B7829" w:rsidP="007B7829">
      <w:pPr>
        <w:spacing w:after="120"/>
        <w:rPr>
          <w:rFonts w:cs="Arial"/>
          <w:color w:val="auto"/>
          <w:szCs w:val="22"/>
        </w:rPr>
      </w:pPr>
      <w:r w:rsidRPr="00504267">
        <w:rPr>
          <w:rFonts w:cs="Arial"/>
          <w:color w:val="auto"/>
          <w:szCs w:val="22"/>
        </w:rPr>
        <w:t xml:space="preserve">In the </w:t>
      </w:r>
      <w:hyperlink r:id="rId22" w:history="1">
        <w:r w:rsidRPr="00163B78">
          <w:rPr>
            <w:rStyle w:val="Hyperlink"/>
            <w:rFonts w:cs="Arial"/>
            <w:szCs w:val="22"/>
          </w:rPr>
          <w:t>1997</w:t>
        </w:r>
        <w:r w:rsidR="00A70168">
          <w:rPr>
            <w:rStyle w:val="Hyperlink"/>
            <w:rFonts w:cs="Arial"/>
            <w:szCs w:val="22"/>
          </w:rPr>
          <w:t>-</w:t>
        </w:r>
        <w:r w:rsidRPr="00163B78">
          <w:rPr>
            <w:rStyle w:val="Hyperlink"/>
            <w:rFonts w:cs="Arial"/>
            <w:szCs w:val="22"/>
          </w:rPr>
          <w:t>98 Budget, Budget Paper No.2, and Part II: Revenue Measures</w:t>
        </w:r>
      </w:hyperlink>
      <w:r w:rsidR="009C772A">
        <w:t>,</w:t>
      </w:r>
      <w:r w:rsidRPr="00504267">
        <w:rPr>
          <w:rFonts w:cs="Arial"/>
          <w:color w:val="auto"/>
          <w:szCs w:val="22"/>
        </w:rPr>
        <w:t xml:space="preserve"> from 1998-99 the TGA would fully recover from industry all costs of activities covered under the Act. Cost recovery involves government entities charging individuals or industry organisations some or all efficient costs of a specific government activity. The Charging Framework sets out the overarching framework within which government entities design, implement and review cost recovery activities. Accordingly, the TGA operates on a cost recovery basis for the funding of relevant activities. This includes application and evaluation fees, conformity assessment fees, inspection fees and annual charges collected from sponsors and manufacturers of therapeutic goods. While most premarket activities are funded through fees, post market vigilance, monitoring and compliance activities are met through annual charges.</w:t>
      </w:r>
    </w:p>
    <w:p w14:paraId="0EB23EBC" w14:textId="77777777" w:rsidR="007B7829" w:rsidRPr="00504267" w:rsidRDefault="007B7829" w:rsidP="007B7829">
      <w:pPr>
        <w:spacing w:after="120"/>
        <w:rPr>
          <w:rFonts w:cs="Arial"/>
          <w:color w:val="auto"/>
          <w:szCs w:val="22"/>
        </w:rPr>
      </w:pPr>
      <w:r w:rsidRPr="00504267">
        <w:rPr>
          <w:rFonts w:cs="Arial"/>
          <w:color w:val="auto"/>
          <w:szCs w:val="22"/>
        </w:rPr>
        <w:t>The TGA’s cost recovery arrangements apply to the following industry sectors:</w:t>
      </w:r>
    </w:p>
    <w:p w14:paraId="671D622D" w14:textId="77777777" w:rsidR="007B7829" w:rsidRPr="00504267" w:rsidRDefault="007B7829" w:rsidP="007B7829">
      <w:pPr>
        <w:pStyle w:val="ListParagraph"/>
        <w:numPr>
          <w:ilvl w:val="0"/>
          <w:numId w:val="10"/>
        </w:numPr>
        <w:spacing w:after="120"/>
        <w:rPr>
          <w:rFonts w:ascii="Arial" w:hAnsi="Arial" w:cs="Arial"/>
          <w:szCs w:val="22"/>
        </w:rPr>
      </w:pPr>
      <w:r w:rsidRPr="00504267">
        <w:rPr>
          <w:rFonts w:ascii="Arial" w:hAnsi="Arial" w:cs="Arial"/>
          <w:szCs w:val="22"/>
        </w:rPr>
        <w:t>prescription medicines</w:t>
      </w:r>
    </w:p>
    <w:p w14:paraId="6D4C34CF" w14:textId="77777777" w:rsidR="007B7829" w:rsidRPr="00504267" w:rsidRDefault="007B7829" w:rsidP="007B7829">
      <w:pPr>
        <w:pStyle w:val="ListParagraph"/>
        <w:numPr>
          <w:ilvl w:val="0"/>
          <w:numId w:val="10"/>
        </w:numPr>
        <w:spacing w:after="120"/>
        <w:rPr>
          <w:rFonts w:ascii="Arial" w:hAnsi="Arial" w:cs="Arial"/>
          <w:szCs w:val="22"/>
        </w:rPr>
      </w:pPr>
      <w:r w:rsidRPr="00504267">
        <w:rPr>
          <w:rFonts w:ascii="Arial" w:hAnsi="Arial" w:cs="Arial"/>
          <w:szCs w:val="22"/>
        </w:rPr>
        <w:t>over the counter medicines</w:t>
      </w:r>
    </w:p>
    <w:p w14:paraId="1F92C896" w14:textId="77777777" w:rsidR="007B7829" w:rsidRPr="00504267" w:rsidRDefault="007B7829" w:rsidP="007B7829">
      <w:pPr>
        <w:pStyle w:val="ListParagraph"/>
        <w:numPr>
          <w:ilvl w:val="0"/>
          <w:numId w:val="10"/>
        </w:numPr>
        <w:spacing w:after="120"/>
        <w:rPr>
          <w:rFonts w:ascii="Arial" w:hAnsi="Arial" w:cs="Arial"/>
          <w:szCs w:val="22"/>
        </w:rPr>
      </w:pPr>
      <w:r w:rsidRPr="00504267">
        <w:rPr>
          <w:rFonts w:ascii="Arial" w:hAnsi="Arial" w:cs="Arial"/>
          <w:szCs w:val="22"/>
        </w:rPr>
        <w:t>complementary medicines</w:t>
      </w:r>
    </w:p>
    <w:p w14:paraId="5D25DECF" w14:textId="77777777" w:rsidR="007B7829" w:rsidRPr="00504267" w:rsidRDefault="007B7829" w:rsidP="007B7829">
      <w:pPr>
        <w:pStyle w:val="ListParagraph"/>
        <w:numPr>
          <w:ilvl w:val="0"/>
          <w:numId w:val="10"/>
        </w:numPr>
        <w:spacing w:after="120"/>
        <w:rPr>
          <w:rFonts w:ascii="Arial" w:hAnsi="Arial" w:cs="Arial"/>
          <w:szCs w:val="22"/>
        </w:rPr>
      </w:pPr>
      <w:r w:rsidRPr="00D80BF3">
        <w:rPr>
          <w:rFonts w:ascii="Arial" w:hAnsi="Arial" w:cs="Arial"/>
          <w:szCs w:val="22"/>
        </w:rPr>
        <w:t xml:space="preserve">medical </w:t>
      </w:r>
      <w:r w:rsidRPr="00504267">
        <w:rPr>
          <w:rFonts w:ascii="Arial" w:hAnsi="Arial" w:cs="Arial"/>
          <w:szCs w:val="22"/>
        </w:rPr>
        <w:t>devices, including in vitro diagnostic (IVD) devices and software as a medical device</w:t>
      </w:r>
    </w:p>
    <w:p w14:paraId="10E18D82" w14:textId="77777777" w:rsidR="007B7829" w:rsidRPr="00504267" w:rsidRDefault="007B7829" w:rsidP="007B7829">
      <w:pPr>
        <w:pStyle w:val="ListParagraph"/>
        <w:numPr>
          <w:ilvl w:val="0"/>
          <w:numId w:val="10"/>
        </w:numPr>
        <w:spacing w:after="120"/>
        <w:rPr>
          <w:rFonts w:ascii="Arial" w:hAnsi="Arial" w:cs="Arial"/>
          <w:szCs w:val="22"/>
        </w:rPr>
      </w:pPr>
      <w:r w:rsidRPr="00504267">
        <w:rPr>
          <w:rFonts w:ascii="Arial" w:hAnsi="Arial" w:cs="Arial"/>
          <w:szCs w:val="22"/>
        </w:rPr>
        <w:t xml:space="preserve">blood, blood components and biologicals, and </w:t>
      </w:r>
    </w:p>
    <w:p w14:paraId="37FE73B1" w14:textId="77777777" w:rsidR="007B7829" w:rsidRPr="00504267" w:rsidRDefault="007B7829" w:rsidP="007B7829">
      <w:pPr>
        <w:pStyle w:val="ListParagraph"/>
        <w:numPr>
          <w:ilvl w:val="0"/>
          <w:numId w:val="10"/>
        </w:numPr>
        <w:spacing w:after="120"/>
        <w:rPr>
          <w:rFonts w:ascii="Arial" w:hAnsi="Arial" w:cs="Arial"/>
          <w:szCs w:val="22"/>
        </w:rPr>
      </w:pPr>
      <w:r w:rsidRPr="00504267">
        <w:rPr>
          <w:rFonts w:ascii="Arial" w:hAnsi="Arial" w:cs="Arial"/>
          <w:szCs w:val="22"/>
        </w:rPr>
        <w:t>good manufacturing practice (GMP).</w:t>
      </w:r>
    </w:p>
    <w:p w14:paraId="27AD6A13" w14:textId="77777777" w:rsidR="00D80BF3" w:rsidRDefault="00D80BF3" w:rsidP="00AB2E7F">
      <w:pPr>
        <w:pStyle w:val="Heading2"/>
        <w:rPr>
          <w:rFonts w:cs="Arial"/>
        </w:rPr>
      </w:pPr>
      <w:bookmarkStart w:id="6" w:name="_Toc189217934"/>
      <w:bookmarkStart w:id="7" w:name="_Toc189217935"/>
      <w:bookmarkEnd w:id="6"/>
      <w:bookmarkEnd w:id="7"/>
    </w:p>
    <w:p w14:paraId="08C46DEC" w14:textId="12F007D8" w:rsidR="00D80BF3" w:rsidRDefault="00D80BF3">
      <w:pPr>
        <w:spacing w:before="0" w:after="0" w:line="240" w:lineRule="auto"/>
        <w:rPr>
          <w:rFonts w:eastAsia="Times New Roman" w:cs="Arial"/>
          <w:b/>
          <w:bCs/>
          <w:color w:val="001871"/>
          <w:sz w:val="38"/>
          <w:szCs w:val="38"/>
        </w:rPr>
      </w:pPr>
    </w:p>
    <w:p w14:paraId="2BCD5C48" w14:textId="19A1E73F" w:rsidR="00861D46" w:rsidRPr="0085066D" w:rsidRDefault="00861D46" w:rsidP="00AB2E7F">
      <w:pPr>
        <w:pStyle w:val="Heading2"/>
        <w:rPr>
          <w:rFonts w:cs="Arial"/>
        </w:rPr>
      </w:pPr>
      <w:bookmarkStart w:id="8" w:name="_Toc219968253"/>
      <w:r w:rsidRPr="0085066D">
        <w:rPr>
          <w:rFonts w:cs="Arial"/>
        </w:rPr>
        <w:lastRenderedPageBreak/>
        <w:t xml:space="preserve">TGA cash position as of 30 June </w:t>
      </w:r>
      <w:r w:rsidR="00D90F55" w:rsidRPr="0085066D">
        <w:rPr>
          <w:rFonts w:cs="Arial"/>
        </w:rPr>
        <w:t>202</w:t>
      </w:r>
      <w:r w:rsidR="0010419B" w:rsidRPr="0085066D">
        <w:rPr>
          <w:rFonts w:cs="Arial"/>
        </w:rPr>
        <w:t>5</w:t>
      </w:r>
      <w:bookmarkEnd w:id="8"/>
    </w:p>
    <w:p w14:paraId="076AC212" w14:textId="72402853" w:rsidR="003D0A0F" w:rsidRPr="00D80BF3" w:rsidRDefault="003D0A0F" w:rsidP="003D0A0F">
      <w:pPr>
        <w:rPr>
          <w:rFonts w:cs="Arial"/>
          <w:color w:val="auto"/>
          <w:szCs w:val="22"/>
        </w:rPr>
      </w:pPr>
      <w:r w:rsidRPr="00D80BF3">
        <w:rPr>
          <w:rFonts w:cs="Arial"/>
          <w:color w:val="auto"/>
          <w:szCs w:val="22"/>
        </w:rPr>
        <w:t xml:space="preserve">As of </w:t>
      </w:r>
      <w:r w:rsidR="009F515B" w:rsidRPr="00D80BF3">
        <w:rPr>
          <w:rFonts w:cs="Arial"/>
          <w:color w:val="auto"/>
          <w:szCs w:val="22"/>
        </w:rPr>
        <w:t>30 June 2025</w:t>
      </w:r>
      <w:r w:rsidRPr="00D80BF3">
        <w:rPr>
          <w:rFonts w:cs="Arial"/>
          <w:color w:val="auto"/>
          <w:szCs w:val="22"/>
        </w:rPr>
        <w:t>, the TGA had cash and cash equivalents of $</w:t>
      </w:r>
      <w:r w:rsidR="006C233C" w:rsidRPr="00D80BF3">
        <w:rPr>
          <w:rFonts w:cs="Arial"/>
          <w:color w:val="auto"/>
          <w:szCs w:val="22"/>
        </w:rPr>
        <w:t>9</w:t>
      </w:r>
      <w:r w:rsidR="00747144" w:rsidRPr="00D80BF3">
        <w:rPr>
          <w:rFonts w:cs="Arial"/>
          <w:color w:val="auto"/>
          <w:szCs w:val="22"/>
        </w:rPr>
        <w:t>2.8</w:t>
      </w:r>
      <w:r w:rsidRPr="00D80BF3">
        <w:rPr>
          <w:rFonts w:cs="Arial"/>
          <w:color w:val="auto"/>
          <w:szCs w:val="22"/>
        </w:rPr>
        <w:t xml:space="preserve"> million</w:t>
      </w:r>
      <w:r w:rsidR="000A0E14" w:rsidRPr="00D80BF3">
        <w:rPr>
          <w:rFonts w:cs="Arial"/>
          <w:color w:val="auto"/>
          <w:szCs w:val="22"/>
        </w:rPr>
        <w:t>,</w:t>
      </w:r>
      <w:r w:rsidRPr="00D80BF3">
        <w:rPr>
          <w:rFonts w:cs="Arial"/>
          <w:color w:val="auto"/>
          <w:szCs w:val="22"/>
        </w:rPr>
        <w:t xml:space="preserve"> which is needed to cover the</w:t>
      </w:r>
      <w:r w:rsidR="0059436B" w:rsidRPr="00D80BF3">
        <w:rPr>
          <w:rFonts w:cs="Arial"/>
          <w:color w:val="auto"/>
          <w:szCs w:val="22"/>
        </w:rPr>
        <w:t xml:space="preserve"> </w:t>
      </w:r>
      <w:r w:rsidRPr="00D80BF3">
        <w:rPr>
          <w:rFonts w:cs="Arial"/>
          <w:color w:val="auto"/>
          <w:szCs w:val="22"/>
        </w:rPr>
        <w:t xml:space="preserve">liabilities and provisions of the TGA. </w:t>
      </w:r>
      <w:r w:rsidR="00CF2B46" w:rsidRPr="00D80BF3">
        <w:rPr>
          <w:rFonts w:cs="Arial"/>
          <w:color w:val="auto"/>
          <w:szCs w:val="22"/>
        </w:rPr>
        <w:t>C</w:t>
      </w:r>
      <w:r w:rsidRPr="00D80BF3">
        <w:rPr>
          <w:rFonts w:cs="Arial"/>
          <w:color w:val="auto"/>
          <w:szCs w:val="22"/>
        </w:rPr>
        <w:t xml:space="preserve">ash reserves have reduced in the last few years, </w:t>
      </w:r>
      <w:r w:rsidR="00EB756D" w:rsidRPr="00D80BF3">
        <w:rPr>
          <w:rFonts w:cs="Arial"/>
          <w:color w:val="auto"/>
          <w:szCs w:val="22"/>
        </w:rPr>
        <w:t xml:space="preserve">primarily </w:t>
      </w:r>
      <w:r w:rsidRPr="00D80BF3">
        <w:rPr>
          <w:rFonts w:cs="Arial"/>
          <w:color w:val="auto"/>
          <w:szCs w:val="22"/>
        </w:rPr>
        <w:t xml:space="preserve">due to </w:t>
      </w:r>
      <w:r w:rsidR="00B94C8E" w:rsidRPr="00D80BF3">
        <w:rPr>
          <w:rFonts w:cs="Arial"/>
          <w:color w:val="auto"/>
          <w:szCs w:val="22"/>
        </w:rPr>
        <w:t xml:space="preserve">managing an </w:t>
      </w:r>
      <w:r w:rsidR="00A35B99" w:rsidRPr="00D80BF3">
        <w:rPr>
          <w:rFonts w:cs="Arial"/>
          <w:color w:val="auto"/>
          <w:szCs w:val="22"/>
        </w:rPr>
        <w:t xml:space="preserve">operating deficit </w:t>
      </w:r>
      <w:r w:rsidR="00CE0F4C" w:rsidRPr="00D80BF3">
        <w:rPr>
          <w:rFonts w:cs="Arial"/>
          <w:color w:val="auto"/>
          <w:szCs w:val="22"/>
        </w:rPr>
        <w:t xml:space="preserve">in </w:t>
      </w:r>
      <w:r w:rsidR="00E47E69" w:rsidRPr="00D80BF3">
        <w:rPr>
          <w:rFonts w:cs="Arial"/>
          <w:color w:val="auto"/>
          <w:szCs w:val="22"/>
        </w:rPr>
        <w:t xml:space="preserve">3 </w:t>
      </w:r>
      <w:r w:rsidR="00CE0F4C" w:rsidRPr="00D80BF3">
        <w:rPr>
          <w:rFonts w:cs="Arial"/>
          <w:color w:val="auto"/>
          <w:szCs w:val="22"/>
        </w:rPr>
        <w:t xml:space="preserve">of the last </w:t>
      </w:r>
      <w:r w:rsidR="00E47E69" w:rsidRPr="00D80BF3">
        <w:rPr>
          <w:rFonts w:cs="Arial"/>
          <w:color w:val="auto"/>
          <w:szCs w:val="22"/>
        </w:rPr>
        <w:t xml:space="preserve">5 </w:t>
      </w:r>
      <w:r w:rsidR="00CE0F4C" w:rsidRPr="00D80BF3">
        <w:rPr>
          <w:rFonts w:cs="Arial"/>
          <w:color w:val="auto"/>
          <w:szCs w:val="22"/>
        </w:rPr>
        <w:t>years</w:t>
      </w:r>
      <w:r w:rsidR="00CF2B46" w:rsidRPr="00D80BF3">
        <w:rPr>
          <w:rFonts w:cs="Arial"/>
          <w:color w:val="auto"/>
          <w:szCs w:val="22"/>
        </w:rPr>
        <w:t>,</w:t>
      </w:r>
      <w:r w:rsidR="00CE0F4C" w:rsidRPr="00D80BF3">
        <w:rPr>
          <w:rFonts w:cs="Arial"/>
          <w:color w:val="auto"/>
          <w:szCs w:val="22"/>
        </w:rPr>
        <w:t xml:space="preserve"> </w:t>
      </w:r>
      <w:r w:rsidR="000126BB" w:rsidRPr="00D80BF3">
        <w:rPr>
          <w:rFonts w:cs="Arial"/>
          <w:color w:val="auto"/>
          <w:szCs w:val="22"/>
        </w:rPr>
        <w:t xml:space="preserve">as well as </w:t>
      </w:r>
      <w:r w:rsidR="00CF2B46" w:rsidRPr="00D80BF3">
        <w:rPr>
          <w:rFonts w:cs="Arial"/>
          <w:color w:val="auto"/>
          <w:szCs w:val="22"/>
        </w:rPr>
        <w:t>the</w:t>
      </w:r>
      <w:r w:rsidR="00A35B99" w:rsidRPr="00D80BF3">
        <w:rPr>
          <w:rFonts w:cs="Arial"/>
          <w:color w:val="auto"/>
          <w:szCs w:val="22"/>
        </w:rPr>
        <w:t xml:space="preserve"> </w:t>
      </w:r>
      <w:r w:rsidRPr="00D80BF3">
        <w:rPr>
          <w:rFonts w:cs="Arial"/>
          <w:color w:val="auto"/>
          <w:szCs w:val="22"/>
        </w:rPr>
        <w:t>draw down of cash for</w:t>
      </w:r>
      <w:r w:rsidR="00D8011C" w:rsidRPr="00D80BF3">
        <w:rPr>
          <w:rFonts w:cs="Arial"/>
          <w:color w:val="auto"/>
          <w:szCs w:val="22"/>
        </w:rPr>
        <w:t xml:space="preserve"> the following investments</w:t>
      </w:r>
      <w:r w:rsidRPr="00D80BF3">
        <w:rPr>
          <w:rFonts w:cs="Arial"/>
          <w:color w:val="auto"/>
          <w:szCs w:val="22"/>
        </w:rPr>
        <w:t xml:space="preserve">: </w:t>
      </w:r>
    </w:p>
    <w:p w14:paraId="1AD8AB00" w14:textId="54CB2DE6" w:rsidR="003D0A0F" w:rsidRPr="00D80BF3" w:rsidRDefault="003D0A0F" w:rsidP="002B398D">
      <w:pPr>
        <w:pStyle w:val="ListParagraph"/>
        <w:numPr>
          <w:ilvl w:val="0"/>
          <w:numId w:val="10"/>
        </w:numPr>
        <w:spacing w:after="120"/>
        <w:rPr>
          <w:rFonts w:ascii="Arial" w:hAnsi="Arial" w:cs="Arial"/>
          <w:szCs w:val="22"/>
        </w:rPr>
      </w:pPr>
      <w:r w:rsidRPr="00D80BF3">
        <w:rPr>
          <w:rFonts w:ascii="Arial" w:hAnsi="Arial" w:cs="Arial"/>
          <w:szCs w:val="22"/>
        </w:rPr>
        <w:t>$19.7 million in the TGA’s digital transformation program and the Unique Device Identification (UDI) system, as per the 2020-21 Budget decision</w:t>
      </w:r>
    </w:p>
    <w:p w14:paraId="0524CDE9" w14:textId="28D52D92" w:rsidR="003D0A0F" w:rsidRPr="00D80BF3" w:rsidRDefault="003D0A0F" w:rsidP="002B398D">
      <w:pPr>
        <w:pStyle w:val="ListParagraph"/>
        <w:numPr>
          <w:ilvl w:val="0"/>
          <w:numId w:val="10"/>
        </w:numPr>
        <w:spacing w:after="120"/>
        <w:rPr>
          <w:rFonts w:ascii="Arial" w:hAnsi="Arial" w:cs="Arial"/>
          <w:szCs w:val="22"/>
        </w:rPr>
      </w:pPr>
      <w:r w:rsidRPr="00D80BF3">
        <w:rPr>
          <w:rFonts w:ascii="Arial" w:hAnsi="Arial" w:cs="Arial"/>
          <w:szCs w:val="22"/>
        </w:rPr>
        <w:t xml:space="preserve">$23.3 million </w:t>
      </w:r>
      <w:r w:rsidR="00927259" w:rsidRPr="00D80BF3">
        <w:rPr>
          <w:rFonts w:ascii="Arial" w:hAnsi="Arial" w:cs="Arial"/>
          <w:szCs w:val="22"/>
        </w:rPr>
        <w:t>for</w:t>
      </w:r>
      <w:r w:rsidRPr="00D80BF3">
        <w:rPr>
          <w:rFonts w:ascii="Arial" w:hAnsi="Arial" w:cs="Arial"/>
          <w:szCs w:val="22"/>
        </w:rPr>
        <w:t xml:space="preserve"> digital and business transformation and full implementation of the UDI system, as per the October 2022 Budget decision</w:t>
      </w:r>
      <w:r w:rsidR="000A0E14" w:rsidRPr="00D80BF3">
        <w:rPr>
          <w:rFonts w:ascii="Arial" w:hAnsi="Arial" w:cs="Arial"/>
          <w:szCs w:val="22"/>
        </w:rPr>
        <w:t>, and</w:t>
      </w:r>
    </w:p>
    <w:p w14:paraId="779221EA" w14:textId="212FC55D" w:rsidR="00007D2A" w:rsidRPr="00D80BF3" w:rsidRDefault="00007D2A" w:rsidP="002B398D">
      <w:pPr>
        <w:pStyle w:val="ListParagraph"/>
        <w:numPr>
          <w:ilvl w:val="0"/>
          <w:numId w:val="10"/>
        </w:numPr>
        <w:spacing w:after="120"/>
        <w:rPr>
          <w:rFonts w:ascii="Arial" w:hAnsi="Arial" w:cs="Arial"/>
          <w:szCs w:val="22"/>
        </w:rPr>
      </w:pPr>
      <w:r w:rsidRPr="00D80BF3">
        <w:rPr>
          <w:rFonts w:ascii="Arial" w:hAnsi="Arial" w:cs="Arial"/>
          <w:szCs w:val="22"/>
        </w:rPr>
        <w:t>$</w:t>
      </w:r>
      <w:r w:rsidR="00CE0F4C" w:rsidRPr="00D80BF3">
        <w:rPr>
          <w:rFonts w:ascii="Arial" w:hAnsi="Arial" w:cs="Arial"/>
          <w:szCs w:val="22"/>
        </w:rPr>
        <w:t>11.4</w:t>
      </w:r>
      <w:r w:rsidR="001049DA" w:rsidRPr="00D80BF3">
        <w:rPr>
          <w:rFonts w:ascii="Arial" w:hAnsi="Arial" w:cs="Arial"/>
          <w:szCs w:val="22"/>
        </w:rPr>
        <w:t xml:space="preserve"> </w:t>
      </w:r>
      <w:r w:rsidRPr="00D80BF3">
        <w:rPr>
          <w:rFonts w:ascii="Arial" w:hAnsi="Arial" w:cs="Arial"/>
          <w:szCs w:val="22"/>
        </w:rPr>
        <w:t>million in TGA business systems</w:t>
      </w:r>
      <w:r w:rsidR="0059436B" w:rsidRPr="00D80BF3">
        <w:rPr>
          <w:rFonts w:ascii="Arial" w:hAnsi="Arial" w:cs="Arial"/>
          <w:szCs w:val="22"/>
        </w:rPr>
        <w:t xml:space="preserve"> and other assets</w:t>
      </w:r>
      <w:r w:rsidRPr="00D80BF3">
        <w:rPr>
          <w:rFonts w:ascii="Arial" w:hAnsi="Arial" w:cs="Arial"/>
          <w:szCs w:val="22"/>
        </w:rPr>
        <w:t xml:space="preserve"> in 2023-24</w:t>
      </w:r>
      <w:r w:rsidR="00A924DF" w:rsidRPr="00D80BF3">
        <w:rPr>
          <w:rFonts w:ascii="Arial" w:hAnsi="Arial" w:cs="Arial"/>
          <w:szCs w:val="22"/>
        </w:rPr>
        <w:t xml:space="preserve"> and 2024-25</w:t>
      </w:r>
      <w:r w:rsidRPr="00D80BF3">
        <w:rPr>
          <w:rFonts w:ascii="Arial" w:hAnsi="Arial" w:cs="Arial"/>
          <w:szCs w:val="22"/>
        </w:rPr>
        <w:t>.</w:t>
      </w:r>
    </w:p>
    <w:p w14:paraId="7A4A7353" w14:textId="0088D3FD" w:rsidR="00364C4D" w:rsidRPr="00D80BF3" w:rsidRDefault="00B33A32" w:rsidP="003D0A0F">
      <w:pPr>
        <w:rPr>
          <w:rFonts w:cs="Arial"/>
          <w:color w:val="auto"/>
          <w:szCs w:val="22"/>
        </w:rPr>
      </w:pPr>
      <w:r w:rsidRPr="00D80BF3">
        <w:rPr>
          <w:rFonts w:cs="Arial"/>
          <w:color w:val="auto"/>
          <w:szCs w:val="22"/>
        </w:rPr>
        <w:t xml:space="preserve">In line with </w:t>
      </w:r>
      <w:r w:rsidR="00B94C8E" w:rsidRPr="00D80BF3">
        <w:rPr>
          <w:rFonts w:cs="Arial"/>
          <w:color w:val="auto"/>
          <w:szCs w:val="22"/>
        </w:rPr>
        <w:t>the Budget decision</w:t>
      </w:r>
      <w:r w:rsidRPr="00D80BF3">
        <w:rPr>
          <w:rFonts w:cs="Arial"/>
          <w:color w:val="auto"/>
          <w:szCs w:val="22"/>
        </w:rPr>
        <w:t>, there is</w:t>
      </w:r>
      <w:r w:rsidR="00B94C8E" w:rsidRPr="00D80BF3">
        <w:rPr>
          <w:rFonts w:cs="Arial"/>
          <w:color w:val="auto"/>
          <w:szCs w:val="22"/>
        </w:rPr>
        <w:t xml:space="preserve"> </w:t>
      </w:r>
      <w:r w:rsidR="00007D2A" w:rsidRPr="00D80BF3">
        <w:rPr>
          <w:rFonts w:cs="Arial"/>
          <w:color w:val="auto"/>
          <w:szCs w:val="22"/>
        </w:rPr>
        <w:t xml:space="preserve">mandated cost </w:t>
      </w:r>
      <w:r w:rsidR="003D0A0F" w:rsidRPr="00D80BF3">
        <w:rPr>
          <w:rFonts w:cs="Arial"/>
          <w:color w:val="auto"/>
          <w:szCs w:val="22"/>
        </w:rPr>
        <w:t>recovery of</w:t>
      </w:r>
      <w:r w:rsidR="00007D2A" w:rsidRPr="00D80BF3">
        <w:rPr>
          <w:rFonts w:cs="Arial"/>
          <w:color w:val="auto"/>
          <w:szCs w:val="22"/>
        </w:rPr>
        <w:t xml:space="preserve"> $23.3 million from industry over </w:t>
      </w:r>
      <w:r w:rsidR="008F3255" w:rsidRPr="00D80BF3">
        <w:rPr>
          <w:rFonts w:cs="Arial"/>
          <w:color w:val="auto"/>
          <w:szCs w:val="22"/>
        </w:rPr>
        <w:t xml:space="preserve">6 </w:t>
      </w:r>
      <w:r w:rsidR="00007D2A" w:rsidRPr="00D80BF3">
        <w:rPr>
          <w:rFonts w:cs="Arial"/>
          <w:color w:val="auto"/>
          <w:szCs w:val="22"/>
        </w:rPr>
        <w:t xml:space="preserve">financial years, commencing 1 January </w:t>
      </w:r>
      <w:r w:rsidR="00E12409" w:rsidRPr="00D80BF3">
        <w:rPr>
          <w:rFonts w:cs="Arial"/>
          <w:color w:val="auto"/>
          <w:szCs w:val="22"/>
        </w:rPr>
        <w:t>2024</w:t>
      </w:r>
      <w:r w:rsidR="000126BB" w:rsidRPr="00D80BF3">
        <w:rPr>
          <w:rFonts w:cs="Arial"/>
          <w:color w:val="auto"/>
          <w:szCs w:val="22"/>
        </w:rPr>
        <w:t xml:space="preserve"> for digital transformation and </w:t>
      </w:r>
      <w:r w:rsidR="00E12409" w:rsidRPr="00D80BF3">
        <w:rPr>
          <w:rFonts w:cs="Arial"/>
          <w:color w:val="auto"/>
          <w:szCs w:val="22"/>
        </w:rPr>
        <w:t xml:space="preserve">1 July 2024 for </w:t>
      </w:r>
      <w:r w:rsidR="00262EE3" w:rsidRPr="00D80BF3">
        <w:rPr>
          <w:rFonts w:cs="Arial"/>
          <w:color w:val="auto"/>
          <w:szCs w:val="22"/>
        </w:rPr>
        <w:t>UDI implementation</w:t>
      </w:r>
      <w:r w:rsidR="003D0A0F" w:rsidRPr="00D80BF3">
        <w:rPr>
          <w:rFonts w:cs="Arial"/>
          <w:color w:val="auto"/>
          <w:szCs w:val="22"/>
        </w:rPr>
        <w:t>.</w:t>
      </w:r>
      <w:r w:rsidR="0059436B" w:rsidRPr="00D80BF3">
        <w:rPr>
          <w:rFonts w:cs="Arial"/>
          <w:color w:val="auto"/>
          <w:szCs w:val="22"/>
        </w:rPr>
        <w:t xml:space="preserve"> TGA charges </w:t>
      </w:r>
      <w:r w:rsidR="006A1FFE" w:rsidRPr="00D80BF3">
        <w:rPr>
          <w:rFonts w:cs="Arial"/>
          <w:color w:val="auto"/>
          <w:szCs w:val="22"/>
        </w:rPr>
        <w:t xml:space="preserve">were </w:t>
      </w:r>
      <w:r w:rsidR="00927259" w:rsidRPr="00D80BF3">
        <w:rPr>
          <w:rFonts w:cs="Arial"/>
          <w:color w:val="auto"/>
          <w:szCs w:val="22"/>
        </w:rPr>
        <w:t xml:space="preserve">adjusted </w:t>
      </w:r>
      <w:r w:rsidR="0059436B" w:rsidRPr="00D80BF3">
        <w:rPr>
          <w:rFonts w:cs="Arial"/>
          <w:color w:val="auto"/>
          <w:szCs w:val="22"/>
        </w:rPr>
        <w:t xml:space="preserve">in 2023-24 and 2024-25 </w:t>
      </w:r>
      <w:r w:rsidR="006A1FFE" w:rsidRPr="00D80BF3">
        <w:rPr>
          <w:rFonts w:cs="Arial"/>
          <w:color w:val="auto"/>
          <w:szCs w:val="22"/>
        </w:rPr>
        <w:t>for</w:t>
      </w:r>
      <w:r w:rsidR="000D63EF" w:rsidRPr="00D80BF3">
        <w:rPr>
          <w:rFonts w:cs="Arial"/>
          <w:color w:val="auto"/>
          <w:szCs w:val="22"/>
        </w:rPr>
        <w:t xml:space="preserve"> </w:t>
      </w:r>
      <w:r w:rsidR="006A1FFE" w:rsidRPr="00D80BF3">
        <w:rPr>
          <w:rFonts w:cs="Arial"/>
          <w:color w:val="auto"/>
          <w:szCs w:val="22"/>
        </w:rPr>
        <w:t>cost recovery</w:t>
      </w:r>
      <w:r w:rsidR="000D63EF" w:rsidRPr="00D80BF3">
        <w:rPr>
          <w:rFonts w:cs="Arial"/>
          <w:color w:val="auto"/>
          <w:szCs w:val="22"/>
        </w:rPr>
        <w:t xml:space="preserve"> of this amount</w:t>
      </w:r>
      <w:r w:rsidR="006A1FFE" w:rsidRPr="00D80BF3">
        <w:rPr>
          <w:rFonts w:cs="Arial"/>
          <w:color w:val="auto"/>
          <w:szCs w:val="22"/>
        </w:rPr>
        <w:t>.</w:t>
      </w:r>
    </w:p>
    <w:p w14:paraId="1A385899" w14:textId="77777777" w:rsidR="00F9013B" w:rsidRPr="0085066D" w:rsidRDefault="00F9013B" w:rsidP="00AB2E7F">
      <w:pPr>
        <w:pStyle w:val="Heading2"/>
        <w:rPr>
          <w:rFonts w:cs="Arial"/>
        </w:rPr>
      </w:pPr>
      <w:bookmarkStart w:id="9" w:name="_Toc93946205"/>
      <w:bookmarkStart w:id="10" w:name="_Toc219968254"/>
      <w:r w:rsidRPr="0085066D">
        <w:rPr>
          <w:rFonts w:cs="Arial"/>
        </w:rPr>
        <w:t>Annual review of fees and charges</w:t>
      </w:r>
      <w:bookmarkEnd w:id="9"/>
      <w:bookmarkEnd w:id="10"/>
    </w:p>
    <w:p w14:paraId="04CD60C1" w14:textId="66303DE9" w:rsidR="00CF61A6" w:rsidRPr="00504267" w:rsidRDefault="00C45A31" w:rsidP="00CF61A6">
      <w:pPr>
        <w:rPr>
          <w:rFonts w:cs="Arial"/>
          <w:color w:val="auto"/>
          <w:szCs w:val="22"/>
        </w:rPr>
      </w:pPr>
      <w:r w:rsidRPr="00504267">
        <w:rPr>
          <w:rFonts w:cs="Arial"/>
          <w:color w:val="auto"/>
          <w:szCs w:val="22"/>
        </w:rPr>
        <w:t>Each year, the TGA reviews its fees and charges to ensure they are set at appropriate levels and that cost recovery for each therapeutic industry sector is adequate</w:t>
      </w:r>
      <w:r w:rsidR="009C2E21" w:rsidRPr="00504267">
        <w:rPr>
          <w:rFonts w:cs="Arial"/>
          <w:color w:val="auto"/>
          <w:szCs w:val="22"/>
        </w:rPr>
        <w:t xml:space="preserve"> and appropriate</w:t>
      </w:r>
      <w:r w:rsidRPr="00504267">
        <w:rPr>
          <w:rFonts w:cs="Arial"/>
          <w:color w:val="auto"/>
          <w:szCs w:val="22"/>
        </w:rPr>
        <w:t xml:space="preserve">. Necessary adjustments are made, with </w:t>
      </w:r>
      <w:r w:rsidR="00D47C8F" w:rsidRPr="00504267">
        <w:rPr>
          <w:rFonts w:cs="Arial"/>
          <w:color w:val="auto"/>
          <w:szCs w:val="22"/>
        </w:rPr>
        <w:t>g</w:t>
      </w:r>
      <w:r w:rsidRPr="00504267">
        <w:rPr>
          <w:rFonts w:cs="Arial"/>
          <w:color w:val="auto"/>
          <w:szCs w:val="22"/>
        </w:rPr>
        <w:t xml:space="preserve">overnment approval, by considering known cost increases, including annual </w:t>
      </w:r>
      <w:r w:rsidR="00B94C8E" w:rsidRPr="00504267">
        <w:rPr>
          <w:rFonts w:cs="Arial"/>
          <w:color w:val="auto"/>
          <w:szCs w:val="22"/>
        </w:rPr>
        <w:t xml:space="preserve">staff entitlement increases </w:t>
      </w:r>
      <w:r w:rsidRPr="00504267">
        <w:rPr>
          <w:rFonts w:cs="Arial"/>
          <w:color w:val="auto"/>
          <w:szCs w:val="22"/>
        </w:rPr>
        <w:t>and other cost movements.</w:t>
      </w:r>
      <w:r w:rsidR="003D54C7" w:rsidRPr="00504267">
        <w:rPr>
          <w:rFonts w:cs="Arial"/>
          <w:color w:val="auto"/>
          <w:szCs w:val="22"/>
        </w:rPr>
        <w:t xml:space="preserve"> </w:t>
      </w:r>
      <w:r w:rsidR="001C6D2C" w:rsidRPr="00504267">
        <w:rPr>
          <w:rFonts w:cs="Arial"/>
          <w:color w:val="auto"/>
          <w:szCs w:val="22"/>
        </w:rPr>
        <w:t xml:space="preserve">For the last 10 years, </w:t>
      </w:r>
      <w:r w:rsidR="001E0A38" w:rsidRPr="00504267">
        <w:rPr>
          <w:rFonts w:cs="Arial"/>
          <w:color w:val="auto"/>
          <w:szCs w:val="22"/>
        </w:rPr>
        <w:t xml:space="preserve">annual </w:t>
      </w:r>
      <w:r w:rsidR="001C6D2C" w:rsidRPr="00504267">
        <w:rPr>
          <w:rFonts w:cs="Arial"/>
          <w:color w:val="auto"/>
          <w:szCs w:val="22"/>
        </w:rPr>
        <w:t>increase</w:t>
      </w:r>
      <w:r w:rsidR="00B94C8E" w:rsidRPr="00504267">
        <w:rPr>
          <w:rFonts w:cs="Arial"/>
          <w:color w:val="auto"/>
          <w:szCs w:val="22"/>
        </w:rPr>
        <w:t>s</w:t>
      </w:r>
      <w:r w:rsidRPr="00504267">
        <w:rPr>
          <w:rFonts w:cs="Arial"/>
          <w:color w:val="auto"/>
          <w:szCs w:val="22"/>
        </w:rPr>
        <w:t xml:space="preserve"> in TGA fees and charges </w:t>
      </w:r>
      <w:r w:rsidR="001C6D2C" w:rsidRPr="00504267">
        <w:rPr>
          <w:rFonts w:cs="Arial"/>
          <w:color w:val="auto"/>
          <w:szCs w:val="22"/>
        </w:rPr>
        <w:t>ha</w:t>
      </w:r>
      <w:r w:rsidR="00B94C8E" w:rsidRPr="00504267">
        <w:rPr>
          <w:rFonts w:cs="Arial"/>
          <w:color w:val="auto"/>
          <w:szCs w:val="22"/>
        </w:rPr>
        <w:t>ve</w:t>
      </w:r>
      <w:r w:rsidR="001C6D2C" w:rsidRPr="00504267">
        <w:rPr>
          <w:rFonts w:cs="Arial"/>
          <w:color w:val="auto"/>
          <w:szCs w:val="22"/>
        </w:rPr>
        <w:t xml:space="preserve"> been </w:t>
      </w:r>
      <w:r w:rsidR="001E0A38" w:rsidRPr="00504267">
        <w:rPr>
          <w:rFonts w:cs="Arial"/>
          <w:color w:val="auto"/>
          <w:szCs w:val="22"/>
        </w:rPr>
        <w:t>capped at</w:t>
      </w:r>
      <w:r w:rsidRPr="00504267">
        <w:rPr>
          <w:rFonts w:cs="Arial"/>
          <w:color w:val="auto"/>
          <w:szCs w:val="22"/>
        </w:rPr>
        <w:t xml:space="preserve"> an indexation </w:t>
      </w:r>
      <w:r w:rsidR="000A0E14" w:rsidRPr="00504267">
        <w:rPr>
          <w:rFonts w:cs="Arial"/>
          <w:color w:val="auto"/>
          <w:szCs w:val="22"/>
        </w:rPr>
        <w:t>f</w:t>
      </w:r>
      <w:r w:rsidR="00A924DF" w:rsidRPr="00504267">
        <w:rPr>
          <w:rFonts w:cs="Arial"/>
          <w:color w:val="auto"/>
          <w:szCs w:val="22"/>
        </w:rPr>
        <w:t>actor</w:t>
      </w:r>
      <w:r w:rsidR="000A0E14" w:rsidRPr="00504267">
        <w:rPr>
          <w:rFonts w:cs="Arial"/>
          <w:color w:val="auto"/>
          <w:szCs w:val="22"/>
        </w:rPr>
        <w:t xml:space="preserve"> </w:t>
      </w:r>
      <w:r w:rsidRPr="00504267">
        <w:rPr>
          <w:rFonts w:cs="Arial"/>
          <w:color w:val="auto"/>
          <w:szCs w:val="22"/>
        </w:rPr>
        <w:t xml:space="preserve">that </w:t>
      </w:r>
      <w:r w:rsidR="008C163E" w:rsidRPr="00504267">
        <w:rPr>
          <w:rFonts w:cs="Arial"/>
          <w:color w:val="auto"/>
          <w:szCs w:val="22"/>
        </w:rPr>
        <w:t>averages</w:t>
      </w:r>
      <w:r w:rsidRPr="00504267">
        <w:rPr>
          <w:rFonts w:cs="Arial"/>
          <w:color w:val="auto"/>
          <w:szCs w:val="22"/>
        </w:rPr>
        <w:t xml:space="preserve"> the Wage Price Index (WPI) and the Consumer Price Index (CPI)</w:t>
      </w:r>
      <w:r w:rsidR="00175CFC" w:rsidRPr="00504267">
        <w:rPr>
          <w:rFonts w:cs="Arial"/>
          <w:color w:val="auto"/>
          <w:szCs w:val="22"/>
        </w:rPr>
        <w:t xml:space="preserve">, other than specific increases to </w:t>
      </w:r>
      <w:r w:rsidR="00204A88" w:rsidRPr="00504267">
        <w:rPr>
          <w:rFonts w:cs="Arial"/>
          <w:color w:val="auto"/>
          <w:szCs w:val="22"/>
        </w:rPr>
        <w:t>recover digital and UDI investment</w:t>
      </w:r>
      <w:r w:rsidR="00B73144" w:rsidRPr="00504267">
        <w:rPr>
          <w:rFonts w:cs="Arial"/>
          <w:color w:val="auto"/>
          <w:szCs w:val="22"/>
        </w:rPr>
        <w:t xml:space="preserve">. </w:t>
      </w:r>
      <w:r w:rsidR="00DD326D" w:rsidRPr="00504267">
        <w:rPr>
          <w:rFonts w:cs="Arial"/>
          <w:color w:val="auto"/>
          <w:szCs w:val="22"/>
        </w:rPr>
        <w:t>T</w:t>
      </w:r>
      <w:r w:rsidR="00B92D9C" w:rsidRPr="00504267">
        <w:rPr>
          <w:rFonts w:cs="Arial"/>
          <w:color w:val="auto"/>
          <w:szCs w:val="22"/>
        </w:rPr>
        <w:t xml:space="preserve">his </w:t>
      </w:r>
      <w:r w:rsidR="00CF61A6" w:rsidRPr="00504267">
        <w:rPr>
          <w:rFonts w:cs="Arial"/>
          <w:color w:val="auto"/>
          <w:szCs w:val="22"/>
        </w:rPr>
        <w:t xml:space="preserve">additional cost recovery revenue </w:t>
      </w:r>
      <w:r w:rsidR="00B94C8E" w:rsidRPr="00504267">
        <w:rPr>
          <w:rFonts w:cs="Arial"/>
          <w:color w:val="auto"/>
          <w:szCs w:val="22"/>
        </w:rPr>
        <w:t xml:space="preserve">has not </w:t>
      </w:r>
      <w:r w:rsidR="00CF61A6" w:rsidRPr="00504267">
        <w:rPr>
          <w:rFonts w:cs="Arial"/>
          <w:color w:val="auto"/>
          <w:szCs w:val="22"/>
        </w:rPr>
        <w:t>fully absorb</w:t>
      </w:r>
      <w:r w:rsidR="0009614C" w:rsidRPr="00504267">
        <w:rPr>
          <w:rFonts w:cs="Arial"/>
          <w:color w:val="auto"/>
          <w:szCs w:val="22"/>
        </w:rPr>
        <w:t>ed</w:t>
      </w:r>
      <w:r w:rsidR="00CF61A6" w:rsidRPr="00504267">
        <w:rPr>
          <w:rFonts w:cs="Arial"/>
          <w:color w:val="auto"/>
          <w:szCs w:val="22"/>
        </w:rPr>
        <w:t xml:space="preserve"> </w:t>
      </w:r>
      <w:r w:rsidR="00B94C8E" w:rsidRPr="00504267">
        <w:rPr>
          <w:rFonts w:cs="Arial"/>
          <w:color w:val="auto"/>
          <w:szCs w:val="22"/>
        </w:rPr>
        <w:t xml:space="preserve">the known </w:t>
      </w:r>
      <w:r w:rsidR="00CF61A6" w:rsidRPr="00504267">
        <w:rPr>
          <w:rFonts w:cs="Arial"/>
          <w:color w:val="auto"/>
          <w:szCs w:val="22"/>
        </w:rPr>
        <w:t>cost increases</w:t>
      </w:r>
      <w:r w:rsidR="001E0A38" w:rsidRPr="00504267">
        <w:rPr>
          <w:rFonts w:cs="Arial"/>
          <w:color w:val="auto"/>
          <w:szCs w:val="22"/>
        </w:rPr>
        <w:t xml:space="preserve"> in these years</w:t>
      </w:r>
      <w:r w:rsidR="00CF61A6" w:rsidRPr="00504267">
        <w:rPr>
          <w:rFonts w:cs="Arial"/>
          <w:color w:val="auto"/>
          <w:szCs w:val="22"/>
        </w:rPr>
        <w:t xml:space="preserve">. This </w:t>
      </w:r>
      <w:r w:rsidR="00B92D9C" w:rsidRPr="00504267">
        <w:rPr>
          <w:rFonts w:cs="Arial"/>
          <w:color w:val="auto"/>
          <w:szCs w:val="22"/>
        </w:rPr>
        <w:t xml:space="preserve">has </w:t>
      </w:r>
      <w:r w:rsidR="00CF61A6" w:rsidRPr="00504267">
        <w:rPr>
          <w:rFonts w:cs="Arial"/>
          <w:color w:val="auto"/>
          <w:szCs w:val="22"/>
        </w:rPr>
        <w:t xml:space="preserve">required the TGA to find </w:t>
      </w:r>
      <w:r w:rsidR="00B94C8E" w:rsidRPr="00504267">
        <w:rPr>
          <w:rFonts w:cs="Arial"/>
          <w:color w:val="auto"/>
          <w:szCs w:val="22"/>
        </w:rPr>
        <w:t xml:space="preserve">business </w:t>
      </w:r>
      <w:r w:rsidR="000A07C2" w:rsidRPr="00504267">
        <w:rPr>
          <w:rFonts w:cs="Arial"/>
          <w:color w:val="auto"/>
          <w:szCs w:val="22"/>
        </w:rPr>
        <w:t>efficiencies and</w:t>
      </w:r>
      <w:r w:rsidR="00C53326" w:rsidRPr="00504267">
        <w:rPr>
          <w:rFonts w:cs="Arial"/>
          <w:color w:val="auto"/>
          <w:szCs w:val="22"/>
        </w:rPr>
        <w:t xml:space="preserve"> </w:t>
      </w:r>
      <w:r w:rsidR="001E0A38" w:rsidRPr="00504267">
        <w:rPr>
          <w:rFonts w:cs="Arial"/>
          <w:color w:val="auto"/>
          <w:szCs w:val="22"/>
        </w:rPr>
        <w:t xml:space="preserve">resulted in </w:t>
      </w:r>
      <w:r w:rsidR="00B94C8E" w:rsidRPr="00504267">
        <w:rPr>
          <w:rFonts w:cs="Arial"/>
          <w:color w:val="auto"/>
          <w:szCs w:val="22"/>
        </w:rPr>
        <w:t xml:space="preserve">a </w:t>
      </w:r>
      <w:r w:rsidR="001E0A38" w:rsidRPr="00504267">
        <w:rPr>
          <w:rFonts w:cs="Arial"/>
          <w:color w:val="auto"/>
          <w:szCs w:val="22"/>
        </w:rPr>
        <w:t xml:space="preserve">deficit </w:t>
      </w:r>
      <w:r w:rsidR="00B94C8E" w:rsidRPr="00504267">
        <w:rPr>
          <w:rFonts w:cs="Arial"/>
          <w:color w:val="auto"/>
          <w:szCs w:val="22"/>
        </w:rPr>
        <w:t xml:space="preserve">that has </w:t>
      </w:r>
      <w:r w:rsidR="00B92D9C" w:rsidRPr="00504267">
        <w:rPr>
          <w:rFonts w:cs="Arial"/>
          <w:color w:val="auto"/>
          <w:szCs w:val="22"/>
        </w:rPr>
        <w:t xml:space="preserve">impacted </w:t>
      </w:r>
      <w:r w:rsidR="00C67BC6" w:rsidRPr="00504267">
        <w:rPr>
          <w:rFonts w:cs="Arial"/>
          <w:color w:val="auto"/>
          <w:szCs w:val="22"/>
        </w:rPr>
        <w:t>cash</w:t>
      </w:r>
      <w:r w:rsidR="00CF61A6" w:rsidRPr="00504267">
        <w:rPr>
          <w:rFonts w:cs="Arial"/>
          <w:color w:val="auto"/>
          <w:szCs w:val="22"/>
        </w:rPr>
        <w:t xml:space="preserve"> re</w:t>
      </w:r>
      <w:r w:rsidR="00C67BC6" w:rsidRPr="00504267">
        <w:rPr>
          <w:rFonts w:cs="Arial"/>
          <w:color w:val="auto"/>
          <w:szCs w:val="22"/>
        </w:rPr>
        <w:t>serves.</w:t>
      </w:r>
      <w:r w:rsidR="00741152" w:rsidRPr="00504267">
        <w:rPr>
          <w:rFonts w:cs="Arial"/>
          <w:color w:val="auto"/>
          <w:szCs w:val="22"/>
        </w:rPr>
        <w:t xml:space="preserve"> </w:t>
      </w:r>
      <w:r w:rsidR="00B94C8E" w:rsidRPr="00504267">
        <w:rPr>
          <w:rFonts w:cs="Arial"/>
          <w:color w:val="auto"/>
          <w:szCs w:val="22"/>
        </w:rPr>
        <w:t xml:space="preserve">In 2026-27 an indexation </w:t>
      </w:r>
      <w:r w:rsidR="00A70168" w:rsidRPr="00A70168">
        <w:rPr>
          <w:rFonts w:cs="Arial"/>
          <w:color w:val="auto"/>
          <w:szCs w:val="22"/>
        </w:rPr>
        <w:t>only,</w:t>
      </w:r>
      <w:r w:rsidR="00B94C8E" w:rsidRPr="00504267">
        <w:rPr>
          <w:rFonts w:cs="Arial"/>
          <w:color w:val="auto"/>
          <w:szCs w:val="22"/>
        </w:rPr>
        <w:t xml:space="preserve"> increase is no longer considered </w:t>
      </w:r>
      <w:r w:rsidR="000D1F3D" w:rsidRPr="00504267">
        <w:rPr>
          <w:rFonts w:cs="Arial"/>
          <w:color w:val="auto"/>
          <w:szCs w:val="22"/>
        </w:rPr>
        <w:t xml:space="preserve">financially </w:t>
      </w:r>
      <w:r w:rsidR="00741152" w:rsidRPr="00504267">
        <w:rPr>
          <w:rFonts w:cs="Arial"/>
          <w:color w:val="auto"/>
          <w:szCs w:val="22"/>
        </w:rPr>
        <w:t>sustainable.</w:t>
      </w:r>
      <w:bookmarkStart w:id="11" w:name="_Toc218667281"/>
      <w:bookmarkEnd w:id="11"/>
    </w:p>
    <w:p w14:paraId="0889CAF0" w14:textId="42B2615F" w:rsidR="00F9013B" w:rsidRPr="0085066D" w:rsidRDefault="00861D46" w:rsidP="00AB2E7F">
      <w:pPr>
        <w:pStyle w:val="Heading2"/>
        <w:rPr>
          <w:rFonts w:cs="Arial"/>
        </w:rPr>
      </w:pPr>
      <w:bookmarkStart w:id="12" w:name="_Toc218667282"/>
      <w:bookmarkStart w:id="13" w:name="_Toc218667284"/>
      <w:bookmarkStart w:id="14" w:name="_Toc218667285"/>
      <w:bookmarkStart w:id="15" w:name="_Toc218667286"/>
      <w:bookmarkStart w:id="16" w:name="_Toc187672700"/>
      <w:bookmarkStart w:id="17" w:name="_Toc219968255"/>
      <w:bookmarkEnd w:id="12"/>
      <w:bookmarkEnd w:id="13"/>
      <w:bookmarkEnd w:id="14"/>
      <w:bookmarkEnd w:id="15"/>
      <w:bookmarkEnd w:id="16"/>
      <w:r w:rsidRPr="0085066D">
        <w:rPr>
          <w:rFonts w:cs="Arial"/>
        </w:rPr>
        <w:t>Co</w:t>
      </w:r>
      <w:r w:rsidR="008D6212" w:rsidRPr="0085066D">
        <w:rPr>
          <w:rFonts w:cs="Arial"/>
        </w:rPr>
        <w:t xml:space="preserve">st pressures in </w:t>
      </w:r>
      <w:r w:rsidR="00F9013B" w:rsidRPr="0085066D">
        <w:rPr>
          <w:rFonts w:cs="Arial"/>
        </w:rPr>
        <w:t>202</w:t>
      </w:r>
      <w:r w:rsidR="00BE1648" w:rsidRPr="0085066D">
        <w:rPr>
          <w:rFonts w:cs="Arial"/>
        </w:rPr>
        <w:t>6</w:t>
      </w:r>
      <w:r w:rsidR="008672E4" w:rsidRPr="0085066D">
        <w:rPr>
          <w:rFonts w:cs="Arial"/>
        </w:rPr>
        <w:t>-2</w:t>
      </w:r>
      <w:r w:rsidR="00BE1648" w:rsidRPr="0085066D">
        <w:rPr>
          <w:rFonts w:cs="Arial"/>
        </w:rPr>
        <w:t>7</w:t>
      </w:r>
      <w:bookmarkEnd w:id="17"/>
    </w:p>
    <w:p w14:paraId="2A22BA59" w14:textId="0D7F7958" w:rsidR="00F9013B" w:rsidRPr="00504267" w:rsidRDefault="001C394A" w:rsidP="00AE0D14">
      <w:pPr>
        <w:spacing w:after="120"/>
        <w:rPr>
          <w:rFonts w:cs="Arial"/>
          <w:color w:val="auto"/>
          <w:szCs w:val="22"/>
        </w:rPr>
      </w:pPr>
      <w:r w:rsidRPr="00504267">
        <w:rPr>
          <w:rFonts w:cs="Arial"/>
          <w:color w:val="auto"/>
          <w:szCs w:val="22"/>
        </w:rPr>
        <w:t>T</w:t>
      </w:r>
      <w:r w:rsidR="00703D5E" w:rsidRPr="00504267">
        <w:rPr>
          <w:rFonts w:cs="Arial"/>
          <w:color w:val="auto"/>
          <w:szCs w:val="22"/>
        </w:rPr>
        <w:t>he TGA continues to face unavoidable cost pressure</w:t>
      </w:r>
      <w:r w:rsidR="00AE3A4B" w:rsidRPr="00504267">
        <w:rPr>
          <w:rFonts w:cs="Arial"/>
          <w:color w:val="auto"/>
          <w:szCs w:val="22"/>
        </w:rPr>
        <w:t xml:space="preserve"> growth</w:t>
      </w:r>
      <w:r w:rsidR="00703D5E" w:rsidRPr="00504267">
        <w:rPr>
          <w:rFonts w:cs="Arial"/>
          <w:color w:val="auto"/>
          <w:szCs w:val="22"/>
        </w:rPr>
        <w:t xml:space="preserve"> each year. For 2026</w:t>
      </w:r>
      <w:r w:rsidR="002C36D3" w:rsidRPr="00504267">
        <w:rPr>
          <w:rFonts w:cs="Arial"/>
          <w:color w:val="auto"/>
          <w:szCs w:val="22"/>
        </w:rPr>
        <w:t>-</w:t>
      </w:r>
      <w:r w:rsidR="00703D5E" w:rsidRPr="00504267">
        <w:rPr>
          <w:rFonts w:cs="Arial"/>
          <w:color w:val="auto"/>
          <w:szCs w:val="22"/>
        </w:rPr>
        <w:t xml:space="preserve">27, these pressures are expected to be </w:t>
      </w:r>
      <w:r w:rsidR="00C53326" w:rsidRPr="00504267">
        <w:rPr>
          <w:rFonts w:cs="Arial"/>
          <w:color w:val="auto"/>
          <w:szCs w:val="22"/>
        </w:rPr>
        <w:t>approximately</w:t>
      </w:r>
      <w:r w:rsidR="00703D5E" w:rsidRPr="00504267">
        <w:rPr>
          <w:rFonts w:cs="Arial"/>
          <w:color w:val="auto"/>
          <w:szCs w:val="22"/>
        </w:rPr>
        <w:t xml:space="preserve"> $13.</w:t>
      </w:r>
      <w:r w:rsidR="007A60CF" w:rsidRPr="00504267">
        <w:rPr>
          <w:rFonts w:cs="Arial"/>
          <w:color w:val="auto"/>
          <w:szCs w:val="22"/>
        </w:rPr>
        <w:t>6</w:t>
      </w:r>
      <w:r w:rsidR="00703D5E" w:rsidRPr="00504267">
        <w:rPr>
          <w:rFonts w:cs="Arial"/>
          <w:color w:val="auto"/>
          <w:szCs w:val="22"/>
        </w:rPr>
        <w:t xml:space="preserve"> million</w:t>
      </w:r>
      <w:r w:rsidR="00AE3A4B" w:rsidRPr="00504267">
        <w:rPr>
          <w:rFonts w:cs="Arial"/>
          <w:color w:val="auto"/>
          <w:szCs w:val="22"/>
        </w:rPr>
        <w:t>,</w:t>
      </w:r>
      <w:r w:rsidR="000D1F3D" w:rsidRPr="00504267">
        <w:rPr>
          <w:rFonts w:cs="Arial"/>
          <w:color w:val="auto"/>
          <w:szCs w:val="22"/>
        </w:rPr>
        <w:t xml:space="preserve"> of which </w:t>
      </w:r>
      <w:r w:rsidR="00703D5E" w:rsidRPr="00504267">
        <w:rPr>
          <w:rFonts w:cs="Arial"/>
          <w:color w:val="auto"/>
          <w:szCs w:val="22"/>
        </w:rPr>
        <w:t xml:space="preserve">$11.3 million relates to </w:t>
      </w:r>
      <w:r w:rsidR="00741152" w:rsidRPr="00504267">
        <w:rPr>
          <w:rFonts w:cs="Arial"/>
          <w:color w:val="auto"/>
          <w:szCs w:val="22"/>
        </w:rPr>
        <w:t>cost recovered</w:t>
      </w:r>
      <w:r w:rsidR="00703D5E" w:rsidRPr="00504267">
        <w:rPr>
          <w:rFonts w:cs="Arial"/>
          <w:color w:val="auto"/>
          <w:szCs w:val="22"/>
        </w:rPr>
        <w:t xml:space="preserve"> activities and $2.</w:t>
      </w:r>
      <w:r w:rsidR="007A60CF" w:rsidRPr="00504267">
        <w:rPr>
          <w:rFonts w:cs="Arial"/>
          <w:color w:val="auto"/>
          <w:szCs w:val="22"/>
        </w:rPr>
        <w:t xml:space="preserve">3 </w:t>
      </w:r>
      <w:r w:rsidR="00703D5E" w:rsidRPr="00504267">
        <w:rPr>
          <w:rFonts w:cs="Arial"/>
          <w:color w:val="auto"/>
          <w:szCs w:val="22"/>
        </w:rPr>
        <w:t>m</w:t>
      </w:r>
      <w:r w:rsidR="000D1F3D" w:rsidRPr="00504267">
        <w:rPr>
          <w:rFonts w:cs="Arial"/>
          <w:color w:val="auto"/>
          <w:szCs w:val="22"/>
        </w:rPr>
        <w:t xml:space="preserve">illion </w:t>
      </w:r>
      <w:r w:rsidR="00703D5E" w:rsidRPr="00504267">
        <w:rPr>
          <w:rFonts w:cs="Arial"/>
          <w:color w:val="auto"/>
          <w:szCs w:val="22"/>
        </w:rPr>
        <w:t>to government funded activities</w:t>
      </w:r>
      <w:r w:rsidR="00B90CBF" w:rsidRPr="00504267">
        <w:rPr>
          <w:rFonts w:cs="Arial"/>
          <w:color w:val="auto"/>
          <w:szCs w:val="22"/>
        </w:rPr>
        <w:t>.</w:t>
      </w:r>
    </w:p>
    <w:p w14:paraId="5B3E908D" w14:textId="566482A9" w:rsidR="00E061FC" w:rsidRPr="00504267" w:rsidRDefault="00F9013B" w:rsidP="00041B01">
      <w:pPr>
        <w:pStyle w:val="ListBullet"/>
        <w:numPr>
          <w:ilvl w:val="0"/>
          <w:numId w:val="14"/>
        </w:numPr>
        <w:rPr>
          <w:rFonts w:cs="Arial"/>
          <w:b/>
          <w:bCs/>
          <w:color w:val="auto"/>
          <w:szCs w:val="22"/>
        </w:rPr>
      </w:pPr>
      <w:r w:rsidRPr="00504267">
        <w:rPr>
          <w:rFonts w:cs="Arial"/>
          <w:b/>
          <w:bCs/>
          <w:color w:val="auto"/>
          <w:szCs w:val="22"/>
        </w:rPr>
        <w:t>Anticipated increase in salary</w:t>
      </w:r>
      <w:r w:rsidR="0059436B" w:rsidRPr="00504267">
        <w:rPr>
          <w:rFonts w:cs="Arial"/>
          <w:b/>
          <w:bCs/>
          <w:color w:val="auto"/>
          <w:szCs w:val="22"/>
        </w:rPr>
        <w:t xml:space="preserve"> </w:t>
      </w:r>
      <w:r w:rsidRPr="00504267">
        <w:rPr>
          <w:rFonts w:cs="Arial"/>
          <w:b/>
          <w:bCs/>
          <w:color w:val="auto"/>
          <w:szCs w:val="22"/>
        </w:rPr>
        <w:t>and related costs</w:t>
      </w:r>
    </w:p>
    <w:p w14:paraId="1E65F974" w14:textId="59BF95A2" w:rsidR="00FE3489" w:rsidRPr="00AB2E7F" w:rsidRDefault="00E061FC" w:rsidP="00E061FC">
      <w:pPr>
        <w:rPr>
          <w:rFonts w:cs="Arial"/>
          <w:szCs w:val="22"/>
        </w:rPr>
      </w:pPr>
      <w:r w:rsidRPr="00504267">
        <w:rPr>
          <w:rFonts w:cs="Arial"/>
          <w:color w:val="auto"/>
          <w:szCs w:val="22"/>
        </w:rPr>
        <w:t>Employee costs are estimated to increase by $</w:t>
      </w:r>
      <w:r w:rsidR="00703D5E" w:rsidRPr="00504267">
        <w:rPr>
          <w:rFonts w:cs="Arial"/>
          <w:color w:val="auto"/>
          <w:szCs w:val="22"/>
        </w:rPr>
        <w:t xml:space="preserve">6.9 million </w:t>
      </w:r>
      <w:r w:rsidR="000D63EF" w:rsidRPr="00504267">
        <w:rPr>
          <w:rFonts w:cs="Arial"/>
          <w:color w:val="auto"/>
          <w:szCs w:val="22"/>
        </w:rPr>
        <w:t xml:space="preserve">in </w:t>
      </w:r>
      <w:r w:rsidRPr="00504267">
        <w:rPr>
          <w:rFonts w:cs="Arial"/>
          <w:color w:val="auto"/>
          <w:szCs w:val="22"/>
        </w:rPr>
        <w:t>the 202</w:t>
      </w:r>
      <w:r w:rsidR="009F3C59" w:rsidRPr="00504267">
        <w:rPr>
          <w:rFonts w:cs="Arial"/>
          <w:color w:val="auto"/>
          <w:szCs w:val="22"/>
        </w:rPr>
        <w:t>6</w:t>
      </w:r>
      <w:r w:rsidRPr="00504267">
        <w:rPr>
          <w:rFonts w:cs="Arial"/>
          <w:color w:val="auto"/>
          <w:szCs w:val="22"/>
        </w:rPr>
        <w:t>-2</w:t>
      </w:r>
      <w:r w:rsidR="009F3C59" w:rsidRPr="00504267">
        <w:rPr>
          <w:rFonts w:cs="Arial"/>
          <w:color w:val="auto"/>
          <w:szCs w:val="22"/>
        </w:rPr>
        <w:t>7</w:t>
      </w:r>
      <w:r w:rsidRPr="00504267">
        <w:rPr>
          <w:rFonts w:cs="Arial"/>
          <w:color w:val="auto"/>
          <w:szCs w:val="22"/>
        </w:rPr>
        <w:t xml:space="preserve"> </w:t>
      </w:r>
      <w:r w:rsidR="006D22E9" w:rsidRPr="00504267">
        <w:rPr>
          <w:rFonts w:cs="Arial"/>
          <w:color w:val="auto"/>
          <w:szCs w:val="22"/>
        </w:rPr>
        <w:t xml:space="preserve">financial </w:t>
      </w:r>
      <w:r w:rsidRPr="00504267">
        <w:rPr>
          <w:rFonts w:cs="Arial"/>
          <w:color w:val="auto"/>
          <w:szCs w:val="22"/>
        </w:rPr>
        <w:t>year</w:t>
      </w:r>
      <w:r w:rsidR="00232F20" w:rsidRPr="00504267">
        <w:rPr>
          <w:rFonts w:cs="Arial"/>
          <w:color w:val="auto"/>
          <w:szCs w:val="22"/>
        </w:rPr>
        <w:t>,</w:t>
      </w:r>
      <w:r w:rsidRPr="00504267">
        <w:rPr>
          <w:rFonts w:cs="Arial"/>
          <w:color w:val="auto"/>
          <w:szCs w:val="22"/>
        </w:rPr>
        <w:t xml:space="preserve"> mainly related to </w:t>
      </w:r>
      <w:r w:rsidR="006D22E9" w:rsidRPr="00504267">
        <w:rPr>
          <w:rFonts w:cs="Arial"/>
          <w:color w:val="auto"/>
          <w:szCs w:val="22"/>
        </w:rPr>
        <w:t xml:space="preserve">the </w:t>
      </w:r>
      <w:r w:rsidR="00680C17" w:rsidRPr="00504267">
        <w:rPr>
          <w:rFonts w:cs="Arial"/>
          <w:color w:val="auto"/>
          <w:szCs w:val="22"/>
        </w:rPr>
        <w:t>3.</w:t>
      </w:r>
      <w:r w:rsidR="009F3C59" w:rsidRPr="00504267">
        <w:rPr>
          <w:rFonts w:cs="Arial"/>
          <w:color w:val="auto"/>
          <w:szCs w:val="22"/>
        </w:rPr>
        <w:t>4</w:t>
      </w:r>
      <w:r w:rsidRPr="00504267">
        <w:rPr>
          <w:rFonts w:cs="Arial"/>
          <w:color w:val="auto"/>
          <w:szCs w:val="22"/>
        </w:rPr>
        <w:t xml:space="preserve">% pay </w:t>
      </w:r>
      <w:r w:rsidR="006F3BDA" w:rsidRPr="00504267">
        <w:rPr>
          <w:rFonts w:cs="Arial"/>
          <w:color w:val="auto"/>
          <w:szCs w:val="22"/>
        </w:rPr>
        <w:t>increase</w:t>
      </w:r>
      <w:r w:rsidR="006B4B02" w:rsidRPr="00504267">
        <w:rPr>
          <w:rFonts w:cs="Arial"/>
          <w:color w:val="auto"/>
          <w:szCs w:val="22"/>
        </w:rPr>
        <w:t xml:space="preserve"> </w:t>
      </w:r>
      <w:r w:rsidR="006D22E9" w:rsidRPr="00504267">
        <w:rPr>
          <w:rFonts w:cs="Arial"/>
          <w:color w:val="auto"/>
          <w:szCs w:val="22"/>
        </w:rPr>
        <w:t>that will take</w:t>
      </w:r>
      <w:r w:rsidRPr="00504267">
        <w:rPr>
          <w:rFonts w:cs="Arial"/>
          <w:color w:val="auto"/>
          <w:szCs w:val="22"/>
        </w:rPr>
        <w:t xml:space="preserve"> effect </w:t>
      </w:r>
      <w:r w:rsidR="006D22E9" w:rsidRPr="00504267">
        <w:rPr>
          <w:rFonts w:cs="Arial"/>
          <w:color w:val="auto"/>
          <w:szCs w:val="22"/>
        </w:rPr>
        <w:t xml:space="preserve">from </w:t>
      </w:r>
      <w:r w:rsidRPr="00504267">
        <w:rPr>
          <w:rFonts w:cs="Arial"/>
          <w:color w:val="auto"/>
          <w:szCs w:val="22"/>
        </w:rPr>
        <w:t xml:space="preserve">March </w:t>
      </w:r>
      <w:r w:rsidR="00FD528E" w:rsidRPr="00504267">
        <w:rPr>
          <w:rFonts w:cs="Arial"/>
          <w:color w:val="auto"/>
          <w:szCs w:val="22"/>
        </w:rPr>
        <w:t>202</w:t>
      </w:r>
      <w:r w:rsidR="00A228F6" w:rsidRPr="00504267">
        <w:rPr>
          <w:rFonts w:cs="Arial"/>
          <w:color w:val="auto"/>
          <w:szCs w:val="22"/>
        </w:rPr>
        <w:t>6</w:t>
      </w:r>
      <w:r w:rsidR="00FD528E" w:rsidRPr="00504267">
        <w:rPr>
          <w:rFonts w:cs="Arial"/>
          <w:color w:val="auto"/>
          <w:szCs w:val="22"/>
        </w:rPr>
        <w:t xml:space="preserve"> </w:t>
      </w:r>
      <w:r w:rsidR="00B90CBF" w:rsidRPr="00504267">
        <w:rPr>
          <w:rFonts w:cs="Arial"/>
          <w:color w:val="auto"/>
          <w:szCs w:val="22"/>
        </w:rPr>
        <w:t>under</w:t>
      </w:r>
      <w:r w:rsidRPr="00504267">
        <w:rPr>
          <w:rFonts w:cs="Arial"/>
          <w:color w:val="auto"/>
          <w:szCs w:val="22"/>
        </w:rPr>
        <w:t xml:space="preserve"> the </w:t>
      </w:r>
      <w:r w:rsidR="00741152" w:rsidRPr="00504267">
        <w:rPr>
          <w:rFonts w:cs="Arial"/>
          <w:color w:val="auto"/>
          <w:szCs w:val="22"/>
        </w:rPr>
        <w:t>d</w:t>
      </w:r>
      <w:r w:rsidRPr="00504267">
        <w:rPr>
          <w:rFonts w:cs="Arial"/>
          <w:color w:val="auto"/>
          <w:szCs w:val="22"/>
        </w:rPr>
        <w:t>epartment’s Enterprise Agreement</w:t>
      </w:r>
      <w:r w:rsidR="006F3BDA" w:rsidRPr="00504267">
        <w:rPr>
          <w:rFonts w:cs="Arial"/>
          <w:color w:val="auto"/>
          <w:szCs w:val="22"/>
        </w:rPr>
        <w:t xml:space="preserve"> (EA)</w:t>
      </w:r>
      <w:r w:rsidR="00FD528E" w:rsidRPr="00504267">
        <w:rPr>
          <w:rFonts w:cs="Arial"/>
          <w:color w:val="auto"/>
          <w:szCs w:val="22"/>
        </w:rPr>
        <w:t xml:space="preserve">. This will also </w:t>
      </w:r>
      <w:r w:rsidR="00B30E9B" w:rsidRPr="00504267">
        <w:rPr>
          <w:rFonts w:cs="Arial"/>
          <w:color w:val="auto"/>
          <w:szCs w:val="22"/>
        </w:rPr>
        <w:t xml:space="preserve">include </w:t>
      </w:r>
      <w:r w:rsidR="005E5036" w:rsidRPr="00504267">
        <w:rPr>
          <w:rFonts w:cs="Arial"/>
          <w:color w:val="auto"/>
          <w:szCs w:val="22"/>
        </w:rPr>
        <w:t xml:space="preserve">a </w:t>
      </w:r>
      <w:r w:rsidRPr="00504267">
        <w:rPr>
          <w:rFonts w:cs="Arial"/>
          <w:color w:val="auto"/>
          <w:szCs w:val="22"/>
        </w:rPr>
        <w:t xml:space="preserve">leave provision increase </w:t>
      </w:r>
      <w:r w:rsidR="004361F6" w:rsidRPr="00504267">
        <w:rPr>
          <w:rFonts w:cs="Arial"/>
          <w:color w:val="auto"/>
          <w:szCs w:val="22"/>
        </w:rPr>
        <w:t>and</w:t>
      </w:r>
      <w:r w:rsidRPr="00504267">
        <w:rPr>
          <w:rFonts w:cs="Arial"/>
          <w:color w:val="auto"/>
          <w:szCs w:val="22"/>
        </w:rPr>
        <w:t xml:space="preserve"> staff pay increments due </w:t>
      </w:r>
      <w:r w:rsidR="006D22E9" w:rsidRPr="00504267">
        <w:rPr>
          <w:rFonts w:cs="Arial"/>
          <w:color w:val="auto"/>
          <w:szCs w:val="22"/>
        </w:rPr>
        <w:t xml:space="preserve">in </w:t>
      </w:r>
      <w:r w:rsidR="00B207E2" w:rsidRPr="00504267">
        <w:rPr>
          <w:rFonts w:cs="Arial"/>
          <w:color w:val="auto"/>
          <w:szCs w:val="22"/>
        </w:rPr>
        <w:t xml:space="preserve">July </w:t>
      </w:r>
      <w:r w:rsidR="0067791B" w:rsidRPr="00504267">
        <w:rPr>
          <w:rFonts w:cs="Arial"/>
          <w:color w:val="auto"/>
          <w:szCs w:val="22"/>
        </w:rPr>
        <w:t>202</w:t>
      </w:r>
      <w:r w:rsidR="00A228F6" w:rsidRPr="00504267">
        <w:rPr>
          <w:rFonts w:cs="Arial"/>
          <w:color w:val="auto"/>
          <w:szCs w:val="22"/>
        </w:rPr>
        <w:t>6</w:t>
      </w:r>
      <w:r w:rsidR="00232F20" w:rsidRPr="00504267">
        <w:rPr>
          <w:rFonts w:cs="Arial"/>
          <w:color w:val="auto"/>
          <w:szCs w:val="22"/>
        </w:rPr>
        <w:t xml:space="preserve">. </w:t>
      </w:r>
    </w:p>
    <w:p w14:paraId="69E182DA" w14:textId="73B7DA52" w:rsidR="00E061FC" w:rsidRPr="00504267" w:rsidRDefault="00E061FC" w:rsidP="00041B01">
      <w:pPr>
        <w:pStyle w:val="ListBullet"/>
        <w:numPr>
          <w:ilvl w:val="0"/>
          <w:numId w:val="14"/>
        </w:numPr>
        <w:rPr>
          <w:rFonts w:cs="Arial"/>
          <w:b/>
          <w:bCs/>
          <w:color w:val="auto"/>
          <w:szCs w:val="22"/>
        </w:rPr>
      </w:pPr>
      <w:r w:rsidRPr="00504267">
        <w:rPr>
          <w:rFonts w:cs="Arial"/>
          <w:b/>
          <w:bCs/>
          <w:color w:val="auto"/>
          <w:szCs w:val="22"/>
        </w:rPr>
        <w:t>Increase in corporate costs</w:t>
      </w:r>
      <w:r w:rsidR="00F436CF" w:rsidRPr="00504267">
        <w:rPr>
          <w:rFonts w:cs="Arial"/>
          <w:b/>
          <w:bCs/>
          <w:color w:val="auto"/>
          <w:szCs w:val="22"/>
        </w:rPr>
        <w:t xml:space="preserve"> </w:t>
      </w:r>
    </w:p>
    <w:p w14:paraId="7A12782F" w14:textId="0C6F70EB" w:rsidR="00EF046C" w:rsidRDefault="00CD532D">
      <w:pPr>
        <w:rPr>
          <w:rFonts w:cs="Arial"/>
          <w:color w:val="auto"/>
          <w:szCs w:val="22"/>
        </w:rPr>
      </w:pPr>
      <w:r w:rsidRPr="00504267">
        <w:rPr>
          <w:rFonts w:cs="Arial"/>
          <w:color w:val="auto"/>
          <w:szCs w:val="22"/>
        </w:rPr>
        <w:t>C</w:t>
      </w:r>
      <w:r w:rsidR="0021313B" w:rsidRPr="00504267">
        <w:rPr>
          <w:rFonts w:cs="Arial"/>
          <w:color w:val="auto"/>
          <w:szCs w:val="22"/>
        </w:rPr>
        <w:t xml:space="preserve">orporate </w:t>
      </w:r>
      <w:r w:rsidRPr="00504267">
        <w:rPr>
          <w:rFonts w:cs="Arial"/>
          <w:color w:val="auto"/>
          <w:szCs w:val="22"/>
        </w:rPr>
        <w:t>costs are</w:t>
      </w:r>
      <w:r w:rsidR="002415AD" w:rsidRPr="00504267">
        <w:rPr>
          <w:rFonts w:cs="Arial"/>
          <w:color w:val="auto"/>
          <w:szCs w:val="22"/>
        </w:rPr>
        <w:t xml:space="preserve"> estimated to increase by </w:t>
      </w:r>
      <w:r w:rsidR="00713E04" w:rsidRPr="00504267">
        <w:rPr>
          <w:rFonts w:cs="Arial"/>
          <w:color w:val="auto"/>
          <w:szCs w:val="22"/>
        </w:rPr>
        <w:t>$</w:t>
      </w:r>
      <w:r w:rsidR="00A228F6" w:rsidRPr="00504267">
        <w:rPr>
          <w:rFonts w:cs="Arial"/>
          <w:color w:val="auto"/>
          <w:szCs w:val="22"/>
        </w:rPr>
        <w:t>6.</w:t>
      </w:r>
      <w:r w:rsidR="007A60CF" w:rsidRPr="00504267">
        <w:rPr>
          <w:rFonts w:cs="Arial"/>
          <w:color w:val="auto"/>
          <w:szCs w:val="22"/>
        </w:rPr>
        <w:t>6</w:t>
      </w:r>
      <w:r w:rsidR="009E0BE5" w:rsidRPr="00504267">
        <w:rPr>
          <w:rFonts w:cs="Arial"/>
          <w:color w:val="auto"/>
          <w:szCs w:val="22"/>
        </w:rPr>
        <w:t xml:space="preserve"> </w:t>
      </w:r>
      <w:r w:rsidR="00741152" w:rsidRPr="00504267">
        <w:rPr>
          <w:rFonts w:cs="Arial"/>
          <w:color w:val="auto"/>
          <w:szCs w:val="22"/>
        </w:rPr>
        <w:t>million</w:t>
      </w:r>
      <w:r w:rsidR="004D3854" w:rsidRPr="00504267">
        <w:rPr>
          <w:rFonts w:cs="Arial"/>
          <w:color w:val="auto"/>
          <w:szCs w:val="22"/>
        </w:rPr>
        <w:t>,</w:t>
      </w:r>
      <w:r w:rsidR="00741152" w:rsidRPr="00504267">
        <w:rPr>
          <w:rFonts w:cs="Arial"/>
          <w:color w:val="auto"/>
          <w:szCs w:val="22"/>
        </w:rPr>
        <w:t xml:space="preserve"> </w:t>
      </w:r>
      <w:r w:rsidR="007D1203" w:rsidRPr="00504267">
        <w:rPr>
          <w:rFonts w:cs="Arial"/>
          <w:color w:val="auto"/>
          <w:szCs w:val="22"/>
        </w:rPr>
        <w:t xml:space="preserve">due to </w:t>
      </w:r>
      <w:r w:rsidR="004D3854" w:rsidRPr="00504267">
        <w:rPr>
          <w:rFonts w:cs="Arial"/>
          <w:color w:val="auto"/>
          <w:szCs w:val="22"/>
        </w:rPr>
        <w:t xml:space="preserve">indexation-based increase to the chargeback payment and </w:t>
      </w:r>
      <w:r w:rsidR="001C394A" w:rsidRPr="00504267">
        <w:rPr>
          <w:rFonts w:cs="Arial"/>
          <w:color w:val="auto"/>
          <w:szCs w:val="22"/>
        </w:rPr>
        <w:t xml:space="preserve">an </w:t>
      </w:r>
      <w:r w:rsidR="007D1203" w:rsidRPr="00504267">
        <w:rPr>
          <w:rFonts w:cs="Arial"/>
          <w:color w:val="auto"/>
          <w:szCs w:val="22"/>
        </w:rPr>
        <w:t xml:space="preserve">increase in </w:t>
      </w:r>
      <w:r w:rsidR="007A7F5C" w:rsidRPr="00504267">
        <w:rPr>
          <w:rFonts w:cs="Arial"/>
          <w:color w:val="auto"/>
          <w:szCs w:val="22"/>
        </w:rPr>
        <w:t xml:space="preserve">the proportion of departmental staff who work at the </w:t>
      </w:r>
      <w:r w:rsidR="007D1203" w:rsidRPr="00504267">
        <w:rPr>
          <w:rFonts w:cs="Arial"/>
          <w:color w:val="auto"/>
          <w:szCs w:val="22"/>
        </w:rPr>
        <w:t>TGA.</w:t>
      </w:r>
      <w:r w:rsidR="007D1203" w:rsidRPr="00504267" w:rsidDel="007D1203">
        <w:rPr>
          <w:rFonts w:cs="Arial"/>
          <w:color w:val="auto"/>
          <w:szCs w:val="22"/>
        </w:rPr>
        <w:t xml:space="preserve"> </w:t>
      </w:r>
    </w:p>
    <w:p w14:paraId="438031F3" w14:textId="77777777" w:rsidR="00D80BF3" w:rsidRDefault="00D80BF3">
      <w:pPr>
        <w:rPr>
          <w:rFonts w:cs="Arial"/>
          <w:color w:val="auto"/>
          <w:szCs w:val="22"/>
        </w:rPr>
      </w:pPr>
    </w:p>
    <w:p w14:paraId="0CDA3FC1" w14:textId="77777777" w:rsidR="00D80BF3" w:rsidRDefault="00D80BF3">
      <w:pPr>
        <w:rPr>
          <w:rFonts w:cs="Arial"/>
          <w:color w:val="auto"/>
          <w:szCs w:val="22"/>
        </w:rPr>
      </w:pPr>
    </w:p>
    <w:p w14:paraId="52B50DE6" w14:textId="77777777" w:rsidR="00D80BF3" w:rsidRPr="00504267" w:rsidRDefault="00D80BF3">
      <w:pPr>
        <w:rPr>
          <w:rFonts w:cs="Arial"/>
          <w:color w:val="auto"/>
          <w:szCs w:val="22"/>
        </w:rPr>
      </w:pPr>
    </w:p>
    <w:p w14:paraId="1B8FE3FA" w14:textId="4F2B4D90" w:rsidR="00DD534B" w:rsidRPr="00504267" w:rsidRDefault="00DD534B" w:rsidP="00041B01">
      <w:pPr>
        <w:pStyle w:val="ListBullet"/>
        <w:numPr>
          <w:ilvl w:val="0"/>
          <w:numId w:val="14"/>
        </w:numPr>
        <w:rPr>
          <w:rFonts w:cs="Arial"/>
          <w:b/>
          <w:bCs/>
          <w:color w:val="auto"/>
          <w:szCs w:val="22"/>
        </w:rPr>
      </w:pPr>
      <w:r w:rsidRPr="00504267">
        <w:rPr>
          <w:rFonts w:cs="Arial"/>
          <w:b/>
          <w:bCs/>
          <w:color w:val="auto"/>
          <w:szCs w:val="22"/>
        </w:rPr>
        <w:lastRenderedPageBreak/>
        <w:t>Increase in laboratory maintenance cost</w:t>
      </w:r>
      <w:r w:rsidR="0009614C" w:rsidRPr="00504267">
        <w:rPr>
          <w:rFonts w:cs="Arial"/>
          <w:b/>
          <w:bCs/>
          <w:color w:val="auto"/>
          <w:szCs w:val="22"/>
        </w:rPr>
        <w:t>s</w:t>
      </w:r>
      <w:r w:rsidRPr="00504267">
        <w:rPr>
          <w:rFonts w:cs="Arial"/>
          <w:b/>
          <w:bCs/>
          <w:color w:val="auto"/>
          <w:szCs w:val="22"/>
        </w:rPr>
        <w:tab/>
      </w:r>
    </w:p>
    <w:p w14:paraId="7A29B7B2" w14:textId="17CE2231" w:rsidR="00DD534B" w:rsidRPr="00504267" w:rsidRDefault="00DD534B" w:rsidP="00DD534B">
      <w:pPr>
        <w:pStyle w:val="ListBullet"/>
        <w:numPr>
          <w:ilvl w:val="0"/>
          <w:numId w:val="0"/>
        </w:numPr>
        <w:rPr>
          <w:rFonts w:cs="Arial"/>
          <w:b/>
          <w:bCs/>
          <w:color w:val="auto"/>
          <w:szCs w:val="22"/>
        </w:rPr>
      </w:pPr>
      <w:r w:rsidRPr="00504267">
        <w:rPr>
          <w:rFonts w:cs="Arial"/>
          <w:color w:val="auto"/>
          <w:szCs w:val="22"/>
        </w:rPr>
        <w:t>Laboratory maintenance costs are projected to rise by $0.</w:t>
      </w:r>
      <w:r w:rsidR="007A60CF" w:rsidRPr="00504267">
        <w:rPr>
          <w:rFonts w:cs="Arial"/>
          <w:color w:val="auto"/>
          <w:szCs w:val="22"/>
        </w:rPr>
        <w:t>1</w:t>
      </w:r>
      <w:r w:rsidRPr="00504267">
        <w:rPr>
          <w:rFonts w:cs="Arial"/>
          <w:color w:val="auto"/>
          <w:szCs w:val="22"/>
        </w:rPr>
        <w:t xml:space="preserve"> million. Ongoing investment in laboratory infrastructure</w:t>
      </w:r>
      <w:r w:rsidR="005D2368" w:rsidRPr="00504267">
        <w:rPr>
          <w:rFonts w:cs="Arial"/>
          <w:color w:val="auto"/>
          <w:szCs w:val="22"/>
        </w:rPr>
        <w:t xml:space="preserve"> is critical,</w:t>
      </w:r>
      <w:r w:rsidRPr="00504267">
        <w:rPr>
          <w:rFonts w:cs="Arial"/>
          <w:color w:val="auto"/>
          <w:szCs w:val="22"/>
        </w:rPr>
        <w:t xml:space="preserve"> including equipment servicing, calibration, and upgrades</w:t>
      </w:r>
      <w:r w:rsidR="005D2368" w:rsidRPr="00504267">
        <w:rPr>
          <w:rFonts w:cs="Arial"/>
          <w:color w:val="auto"/>
          <w:szCs w:val="22"/>
        </w:rPr>
        <w:t>. This is essential</w:t>
      </w:r>
      <w:r w:rsidR="00E0604D" w:rsidRPr="00504267">
        <w:rPr>
          <w:rFonts w:cs="Arial"/>
          <w:color w:val="auto"/>
          <w:szCs w:val="22"/>
        </w:rPr>
        <w:t xml:space="preserve"> to</w:t>
      </w:r>
      <w:r w:rsidR="005D2368" w:rsidRPr="00504267">
        <w:rPr>
          <w:rFonts w:cs="Arial"/>
          <w:color w:val="auto"/>
          <w:szCs w:val="22"/>
        </w:rPr>
        <w:t xml:space="preserve"> </w:t>
      </w:r>
      <w:r w:rsidR="00E0604D" w:rsidRPr="00504267">
        <w:rPr>
          <w:rFonts w:cs="Arial"/>
          <w:color w:val="auto"/>
          <w:szCs w:val="22"/>
        </w:rPr>
        <w:t xml:space="preserve">ensuring compliance with advancing scientific and regulatory requirements, </w:t>
      </w:r>
      <w:r w:rsidR="005D2368" w:rsidRPr="00504267">
        <w:rPr>
          <w:rFonts w:cs="Arial"/>
          <w:color w:val="auto"/>
          <w:szCs w:val="22"/>
        </w:rPr>
        <w:t>maintain</w:t>
      </w:r>
      <w:r w:rsidR="00E0604D" w:rsidRPr="00504267">
        <w:rPr>
          <w:rFonts w:cs="Arial"/>
          <w:color w:val="auto"/>
          <w:szCs w:val="22"/>
        </w:rPr>
        <w:t>ing</w:t>
      </w:r>
      <w:r w:rsidR="005D2368" w:rsidRPr="00504267">
        <w:rPr>
          <w:rFonts w:cs="Arial"/>
          <w:color w:val="auto"/>
          <w:szCs w:val="22"/>
        </w:rPr>
        <w:t xml:space="preserve"> our capability </w:t>
      </w:r>
      <w:r w:rsidRPr="00504267">
        <w:rPr>
          <w:rFonts w:cs="Arial"/>
          <w:color w:val="auto"/>
          <w:szCs w:val="22"/>
        </w:rPr>
        <w:t>to uphold regulatory integrity and public safety.</w:t>
      </w:r>
    </w:p>
    <w:p w14:paraId="64B6DAA5" w14:textId="512ED735" w:rsidR="00861D46" w:rsidRPr="00AB2E7F" w:rsidRDefault="00861D46" w:rsidP="00AB2E7F">
      <w:pPr>
        <w:pStyle w:val="Heading2"/>
        <w:rPr>
          <w:rFonts w:cs="Arial"/>
        </w:rPr>
      </w:pPr>
      <w:bookmarkStart w:id="18" w:name="_Toc218667288"/>
      <w:bookmarkStart w:id="19" w:name="_Toc218667289"/>
      <w:bookmarkStart w:id="20" w:name="_Toc215656955"/>
      <w:bookmarkStart w:id="21" w:name="_Toc218667290"/>
      <w:bookmarkStart w:id="22" w:name="_Toc153372017"/>
      <w:bookmarkStart w:id="23" w:name="_Toc153372018"/>
      <w:bookmarkStart w:id="24" w:name="_Toc93946209"/>
      <w:bookmarkStart w:id="25" w:name="_Toc219968256"/>
      <w:bookmarkEnd w:id="18"/>
      <w:bookmarkEnd w:id="19"/>
      <w:bookmarkEnd w:id="20"/>
      <w:bookmarkEnd w:id="21"/>
      <w:bookmarkEnd w:id="22"/>
      <w:bookmarkEnd w:id="23"/>
      <w:r w:rsidRPr="00AB2E7F">
        <w:rPr>
          <w:rFonts w:cs="Arial"/>
        </w:rPr>
        <w:t xml:space="preserve">Indexation factor for </w:t>
      </w:r>
      <w:r w:rsidR="008C1D18" w:rsidRPr="00AB2E7F">
        <w:rPr>
          <w:rFonts w:cs="Arial"/>
        </w:rPr>
        <w:t>202</w:t>
      </w:r>
      <w:r w:rsidR="002D2F0C" w:rsidRPr="00AB2E7F">
        <w:rPr>
          <w:rFonts w:cs="Arial"/>
        </w:rPr>
        <w:t>6</w:t>
      </w:r>
      <w:r w:rsidRPr="00AB2E7F">
        <w:rPr>
          <w:rFonts w:cs="Arial"/>
        </w:rPr>
        <w:t>-2</w:t>
      </w:r>
      <w:bookmarkEnd w:id="24"/>
      <w:r w:rsidR="002D2F0C" w:rsidRPr="00AB2E7F">
        <w:rPr>
          <w:rFonts w:cs="Arial"/>
        </w:rPr>
        <w:t>7</w:t>
      </w:r>
      <w:bookmarkEnd w:id="25"/>
    </w:p>
    <w:p w14:paraId="55EEEB65" w14:textId="5A827D02" w:rsidR="00861D46" w:rsidRPr="00504267" w:rsidRDefault="00861D46" w:rsidP="00861D46">
      <w:pPr>
        <w:spacing w:before="0" w:after="0" w:line="240" w:lineRule="auto"/>
        <w:rPr>
          <w:rFonts w:cs="Arial"/>
          <w:color w:val="auto"/>
          <w:szCs w:val="22"/>
        </w:rPr>
      </w:pPr>
      <w:r w:rsidRPr="00504267">
        <w:rPr>
          <w:rFonts w:cs="Arial"/>
          <w:color w:val="auto"/>
          <w:szCs w:val="22"/>
        </w:rPr>
        <w:t>The indexation factor for 202</w:t>
      </w:r>
      <w:r w:rsidR="002D2F0C" w:rsidRPr="00504267">
        <w:rPr>
          <w:rFonts w:cs="Arial"/>
          <w:color w:val="auto"/>
          <w:szCs w:val="22"/>
        </w:rPr>
        <w:t>6</w:t>
      </w:r>
      <w:r w:rsidRPr="00504267">
        <w:rPr>
          <w:rFonts w:cs="Arial"/>
          <w:color w:val="auto"/>
          <w:szCs w:val="22"/>
        </w:rPr>
        <w:t>-2</w:t>
      </w:r>
      <w:r w:rsidR="002D2F0C" w:rsidRPr="00504267">
        <w:rPr>
          <w:rFonts w:cs="Arial"/>
          <w:color w:val="auto"/>
          <w:szCs w:val="22"/>
        </w:rPr>
        <w:t>7</w:t>
      </w:r>
      <w:r w:rsidRPr="00504267">
        <w:rPr>
          <w:rFonts w:cs="Arial"/>
          <w:color w:val="auto"/>
          <w:szCs w:val="22"/>
        </w:rPr>
        <w:t xml:space="preserve">, based on the </w:t>
      </w:r>
      <w:r w:rsidR="00232F20" w:rsidRPr="00504267">
        <w:rPr>
          <w:rFonts w:cs="Arial"/>
          <w:color w:val="auto"/>
          <w:szCs w:val="22"/>
        </w:rPr>
        <w:t>established</w:t>
      </w:r>
      <w:r w:rsidRPr="00504267">
        <w:rPr>
          <w:rFonts w:cs="Arial"/>
          <w:color w:val="auto"/>
          <w:szCs w:val="22"/>
        </w:rPr>
        <w:t xml:space="preserve"> </w:t>
      </w:r>
      <w:r w:rsidR="00232F20" w:rsidRPr="00504267">
        <w:rPr>
          <w:rFonts w:cs="Arial"/>
          <w:color w:val="auto"/>
          <w:szCs w:val="22"/>
        </w:rPr>
        <w:t xml:space="preserve">composite indexation </w:t>
      </w:r>
      <w:r w:rsidRPr="00504267">
        <w:rPr>
          <w:rFonts w:cs="Arial"/>
          <w:color w:val="auto"/>
          <w:szCs w:val="22"/>
        </w:rPr>
        <w:t xml:space="preserve">formula of the average of the CPI and the WPI is </w:t>
      </w:r>
      <w:r w:rsidR="00B3556D" w:rsidRPr="00504267">
        <w:rPr>
          <w:rFonts w:cs="Arial"/>
          <w:color w:val="auto"/>
          <w:szCs w:val="22"/>
        </w:rPr>
        <w:t>3</w:t>
      </w:r>
      <w:r w:rsidR="001F0218" w:rsidRPr="00504267">
        <w:rPr>
          <w:rFonts w:cs="Arial"/>
          <w:color w:val="auto"/>
          <w:szCs w:val="22"/>
        </w:rPr>
        <w:t>.3</w:t>
      </w:r>
      <w:r w:rsidRPr="00504267">
        <w:rPr>
          <w:rFonts w:cs="Arial"/>
          <w:color w:val="auto"/>
          <w:szCs w:val="22"/>
        </w:rPr>
        <w:t>%</w:t>
      </w:r>
      <w:r w:rsidR="00E0604D" w:rsidRPr="00504267">
        <w:rPr>
          <w:rFonts w:cs="Arial"/>
          <w:color w:val="auto"/>
          <w:szCs w:val="22"/>
        </w:rPr>
        <w:t>, comprising</w:t>
      </w:r>
      <w:r w:rsidRPr="00504267">
        <w:rPr>
          <w:rFonts w:cs="Arial"/>
          <w:color w:val="auto"/>
          <w:szCs w:val="22"/>
        </w:rPr>
        <w:t>:</w:t>
      </w:r>
    </w:p>
    <w:p w14:paraId="49C95A68" w14:textId="5A027349" w:rsidR="00861D46" w:rsidRPr="00504267" w:rsidRDefault="00861D46" w:rsidP="00041B01">
      <w:pPr>
        <w:pStyle w:val="ListParagraph"/>
        <w:numPr>
          <w:ilvl w:val="0"/>
          <w:numId w:val="13"/>
        </w:numPr>
        <w:rPr>
          <w:rFonts w:ascii="Arial" w:hAnsi="Arial" w:cs="Arial"/>
          <w:szCs w:val="22"/>
        </w:rPr>
      </w:pPr>
      <w:r w:rsidRPr="00504267">
        <w:rPr>
          <w:rFonts w:ascii="Arial" w:hAnsi="Arial" w:cs="Arial"/>
          <w:szCs w:val="22"/>
        </w:rPr>
        <w:t>50% Sep</w:t>
      </w:r>
      <w:r w:rsidR="007D1203" w:rsidRPr="00504267">
        <w:rPr>
          <w:rFonts w:ascii="Arial" w:hAnsi="Arial" w:cs="Arial"/>
          <w:szCs w:val="22"/>
        </w:rPr>
        <w:t>tember</w:t>
      </w:r>
      <w:r w:rsidRPr="00504267">
        <w:rPr>
          <w:rFonts w:ascii="Arial" w:hAnsi="Arial" w:cs="Arial"/>
          <w:szCs w:val="22"/>
        </w:rPr>
        <w:t xml:space="preserve"> 202</w:t>
      </w:r>
      <w:r w:rsidR="002D2F0C" w:rsidRPr="00504267">
        <w:rPr>
          <w:rFonts w:ascii="Arial" w:hAnsi="Arial" w:cs="Arial"/>
          <w:szCs w:val="22"/>
        </w:rPr>
        <w:t>4</w:t>
      </w:r>
      <w:r w:rsidRPr="00504267">
        <w:rPr>
          <w:rFonts w:ascii="Arial" w:hAnsi="Arial" w:cs="Arial"/>
          <w:szCs w:val="22"/>
        </w:rPr>
        <w:t xml:space="preserve"> to Sep</w:t>
      </w:r>
      <w:r w:rsidR="007D1203" w:rsidRPr="00504267">
        <w:rPr>
          <w:rFonts w:ascii="Arial" w:hAnsi="Arial" w:cs="Arial"/>
          <w:szCs w:val="22"/>
        </w:rPr>
        <w:t>tember</w:t>
      </w:r>
      <w:r w:rsidRPr="00504267">
        <w:rPr>
          <w:rFonts w:ascii="Arial" w:hAnsi="Arial" w:cs="Arial"/>
          <w:szCs w:val="22"/>
        </w:rPr>
        <w:t xml:space="preserve"> 202</w:t>
      </w:r>
      <w:r w:rsidR="002D2F0C" w:rsidRPr="00504267">
        <w:rPr>
          <w:rFonts w:ascii="Arial" w:hAnsi="Arial" w:cs="Arial"/>
          <w:szCs w:val="22"/>
        </w:rPr>
        <w:t>5</w:t>
      </w:r>
      <w:r w:rsidR="00E07E9F" w:rsidRPr="00504267">
        <w:rPr>
          <w:rFonts w:ascii="Arial" w:hAnsi="Arial" w:cs="Arial"/>
          <w:szCs w:val="22"/>
        </w:rPr>
        <w:t xml:space="preserve"> </w:t>
      </w:r>
      <w:r w:rsidR="008C2622" w:rsidRPr="00504267">
        <w:rPr>
          <w:rFonts w:ascii="Arial" w:hAnsi="Arial" w:cs="Arial"/>
          <w:szCs w:val="22"/>
        </w:rPr>
        <w:t xml:space="preserve">CPI </w:t>
      </w:r>
      <w:r w:rsidR="00E07E9F" w:rsidRPr="00504267">
        <w:rPr>
          <w:rFonts w:ascii="Arial" w:hAnsi="Arial" w:cs="Arial"/>
          <w:szCs w:val="22"/>
        </w:rPr>
        <w:t xml:space="preserve">of </w:t>
      </w:r>
      <w:r w:rsidR="00624A6F" w:rsidRPr="00504267">
        <w:rPr>
          <w:rFonts w:ascii="Arial" w:hAnsi="Arial" w:cs="Arial"/>
          <w:szCs w:val="22"/>
        </w:rPr>
        <w:t>3.2</w:t>
      </w:r>
      <w:r w:rsidRPr="00504267">
        <w:rPr>
          <w:rFonts w:ascii="Arial" w:hAnsi="Arial" w:cs="Arial"/>
          <w:szCs w:val="22"/>
        </w:rPr>
        <w:t>%</w:t>
      </w:r>
      <w:r w:rsidR="00E07E9F" w:rsidRPr="00504267">
        <w:rPr>
          <w:rFonts w:ascii="Arial" w:hAnsi="Arial" w:cs="Arial"/>
          <w:szCs w:val="22"/>
        </w:rPr>
        <w:t xml:space="preserve"> - </w:t>
      </w:r>
      <w:r w:rsidR="00641FC9" w:rsidRPr="00504267">
        <w:rPr>
          <w:rFonts w:ascii="Arial" w:hAnsi="Arial" w:cs="Arial"/>
          <w:szCs w:val="22"/>
        </w:rPr>
        <w:t>1.</w:t>
      </w:r>
      <w:r w:rsidR="00624A6F" w:rsidRPr="00504267">
        <w:rPr>
          <w:rFonts w:ascii="Arial" w:hAnsi="Arial" w:cs="Arial"/>
          <w:szCs w:val="22"/>
        </w:rPr>
        <w:t>6</w:t>
      </w:r>
      <w:r w:rsidRPr="00504267">
        <w:rPr>
          <w:rFonts w:ascii="Arial" w:hAnsi="Arial" w:cs="Arial"/>
          <w:szCs w:val="22"/>
        </w:rPr>
        <w:t>%</w:t>
      </w:r>
      <w:r w:rsidR="00E0604D" w:rsidRPr="00504267">
        <w:rPr>
          <w:rFonts w:ascii="Arial" w:hAnsi="Arial" w:cs="Arial"/>
          <w:szCs w:val="22"/>
        </w:rPr>
        <w:t>,</w:t>
      </w:r>
      <w:r w:rsidR="00226EC1" w:rsidRPr="00504267">
        <w:rPr>
          <w:rFonts w:ascii="Arial" w:hAnsi="Arial" w:cs="Arial"/>
          <w:szCs w:val="22"/>
        </w:rPr>
        <w:t xml:space="preserve"> and</w:t>
      </w:r>
    </w:p>
    <w:p w14:paraId="14AD0AEA" w14:textId="6EF14670" w:rsidR="00A81558" w:rsidRPr="00504267" w:rsidRDefault="00861D46" w:rsidP="00041B01">
      <w:pPr>
        <w:pStyle w:val="ListParagraph"/>
        <w:numPr>
          <w:ilvl w:val="0"/>
          <w:numId w:val="13"/>
        </w:numPr>
        <w:rPr>
          <w:rFonts w:ascii="Arial" w:hAnsi="Arial" w:cs="Arial"/>
          <w:szCs w:val="22"/>
        </w:rPr>
      </w:pPr>
      <w:r w:rsidRPr="00504267">
        <w:rPr>
          <w:rFonts w:ascii="Arial" w:hAnsi="Arial" w:cs="Arial"/>
          <w:szCs w:val="22"/>
        </w:rPr>
        <w:t>50% Sep</w:t>
      </w:r>
      <w:r w:rsidR="007D1203" w:rsidRPr="00504267">
        <w:rPr>
          <w:rFonts w:ascii="Arial" w:hAnsi="Arial" w:cs="Arial"/>
          <w:szCs w:val="22"/>
        </w:rPr>
        <w:t>tember</w:t>
      </w:r>
      <w:r w:rsidRPr="00504267">
        <w:rPr>
          <w:rFonts w:ascii="Arial" w:hAnsi="Arial" w:cs="Arial"/>
          <w:szCs w:val="22"/>
        </w:rPr>
        <w:t xml:space="preserve"> 202</w:t>
      </w:r>
      <w:r w:rsidR="00624A6F" w:rsidRPr="00504267">
        <w:rPr>
          <w:rFonts w:ascii="Arial" w:hAnsi="Arial" w:cs="Arial"/>
          <w:szCs w:val="22"/>
        </w:rPr>
        <w:t>4</w:t>
      </w:r>
      <w:r w:rsidRPr="00504267">
        <w:rPr>
          <w:rFonts w:ascii="Arial" w:hAnsi="Arial" w:cs="Arial"/>
          <w:szCs w:val="22"/>
        </w:rPr>
        <w:t xml:space="preserve"> to Sep</w:t>
      </w:r>
      <w:r w:rsidR="007D1203" w:rsidRPr="00504267">
        <w:rPr>
          <w:rFonts w:ascii="Arial" w:hAnsi="Arial" w:cs="Arial"/>
          <w:szCs w:val="22"/>
        </w:rPr>
        <w:t>tember</w:t>
      </w:r>
      <w:r w:rsidRPr="00504267">
        <w:rPr>
          <w:rFonts w:ascii="Arial" w:hAnsi="Arial" w:cs="Arial"/>
          <w:szCs w:val="22"/>
        </w:rPr>
        <w:t xml:space="preserve"> 202</w:t>
      </w:r>
      <w:r w:rsidR="00624A6F" w:rsidRPr="00504267">
        <w:rPr>
          <w:rFonts w:ascii="Arial" w:hAnsi="Arial" w:cs="Arial"/>
          <w:szCs w:val="22"/>
        </w:rPr>
        <w:t>5</w:t>
      </w:r>
      <w:r w:rsidR="00E07E9F" w:rsidRPr="00504267">
        <w:rPr>
          <w:rFonts w:ascii="Arial" w:hAnsi="Arial" w:cs="Arial"/>
          <w:szCs w:val="22"/>
        </w:rPr>
        <w:t xml:space="preserve"> </w:t>
      </w:r>
      <w:r w:rsidR="008C2622" w:rsidRPr="00504267">
        <w:rPr>
          <w:rFonts w:ascii="Arial" w:hAnsi="Arial" w:cs="Arial"/>
          <w:szCs w:val="22"/>
        </w:rPr>
        <w:t xml:space="preserve">WPI </w:t>
      </w:r>
      <w:r w:rsidR="00E07E9F" w:rsidRPr="00504267">
        <w:rPr>
          <w:rFonts w:ascii="Arial" w:hAnsi="Arial" w:cs="Arial"/>
          <w:szCs w:val="22"/>
        </w:rPr>
        <w:t xml:space="preserve">of </w:t>
      </w:r>
      <w:r w:rsidR="00641FC9" w:rsidRPr="00504267">
        <w:rPr>
          <w:rFonts w:ascii="Arial" w:hAnsi="Arial" w:cs="Arial"/>
          <w:szCs w:val="22"/>
        </w:rPr>
        <w:t>3.</w:t>
      </w:r>
      <w:r w:rsidR="00624A6F" w:rsidRPr="00504267">
        <w:rPr>
          <w:rFonts w:ascii="Arial" w:hAnsi="Arial" w:cs="Arial"/>
          <w:szCs w:val="22"/>
        </w:rPr>
        <w:t>4</w:t>
      </w:r>
      <w:r w:rsidRPr="00504267">
        <w:rPr>
          <w:rFonts w:ascii="Arial" w:hAnsi="Arial" w:cs="Arial"/>
          <w:szCs w:val="22"/>
        </w:rPr>
        <w:t>%</w:t>
      </w:r>
      <w:r w:rsidR="00E07E9F" w:rsidRPr="00504267">
        <w:rPr>
          <w:rFonts w:ascii="Arial" w:hAnsi="Arial" w:cs="Arial"/>
          <w:szCs w:val="22"/>
        </w:rPr>
        <w:t xml:space="preserve"> - </w:t>
      </w:r>
      <w:r w:rsidR="00641FC9" w:rsidRPr="00504267">
        <w:rPr>
          <w:rFonts w:ascii="Arial" w:hAnsi="Arial" w:cs="Arial"/>
          <w:szCs w:val="22"/>
        </w:rPr>
        <w:t>1.</w:t>
      </w:r>
      <w:r w:rsidR="00624A6F" w:rsidRPr="00504267">
        <w:rPr>
          <w:rFonts w:ascii="Arial" w:hAnsi="Arial" w:cs="Arial"/>
          <w:szCs w:val="22"/>
        </w:rPr>
        <w:t>7</w:t>
      </w:r>
      <w:r w:rsidRPr="00504267">
        <w:rPr>
          <w:rFonts w:ascii="Arial" w:hAnsi="Arial" w:cs="Arial"/>
          <w:szCs w:val="22"/>
        </w:rPr>
        <w:t>%</w:t>
      </w:r>
    </w:p>
    <w:p w14:paraId="57AF3216" w14:textId="42C5437A" w:rsidR="00A86BA7" w:rsidRPr="00AB2E7F" w:rsidRDefault="00A86BA7" w:rsidP="00AB2E7F">
      <w:pPr>
        <w:pStyle w:val="Heading2"/>
      </w:pPr>
      <w:bookmarkStart w:id="26" w:name="_Toc189217940"/>
      <w:bookmarkStart w:id="27" w:name="_Toc219968257"/>
      <w:bookmarkEnd w:id="26"/>
      <w:r w:rsidRPr="00AB2E7F">
        <w:rPr>
          <w:rFonts w:cs="Arial"/>
        </w:rPr>
        <w:t>Proposed</w:t>
      </w:r>
      <w:r w:rsidR="00406559" w:rsidRPr="00AB2E7F">
        <w:rPr>
          <w:rFonts w:cs="Arial"/>
        </w:rPr>
        <w:t xml:space="preserve"> </w:t>
      </w:r>
      <w:r w:rsidRPr="00AB2E7F">
        <w:rPr>
          <w:rFonts w:cs="Arial"/>
        </w:rPr>
        <w:t>changes to fees and charges 202</w:t>
      </w:r>
      <w:r w:rsidR="00F46C06" w:rsidRPr="00AB2E7F">
        <w:rPr>
          <w:rFonts w:cs="Arial"/>
        </w:rPr>
        <w:t>6</w:t>
      </w:r>
      <w:r w:rsidR="00D923E8" w:rsidRPr="00AB2E7F">
        <w:rPr>
          <w:rFonts w:cs="Arial"/>
        </w:rPr>
        <w:t>-2</w:t>
      </w:r>
      <w:r w:rsidR="00F46C06" w:rsidRPr="00AB2E7F">
        <w:rPr>
          <w:rFonts w:cs="Arial"/>
        </w:rPr>
        <w:t>7</w:t>
      </w:r>
      <w:bookmarkEnd w:id="27"/>
    </w:p>
    <w:p w14:paraId="48046D33" w14:textId="5D47643F" w:rsidR="00DE144B" w:rsidRPr="00504267" w:rsidRDefault="0017632A" w:rsidP="00052D98">
      <w:pPr>
        <w:rPr>
          <w:rFonts w:cs="Arial"/>
          <w:b/>
          <w:bCs/>
          <w:color w:val="auto"/>
          <w:szCs w:val="22"/>
        </w:rPr>
      </w:pPr>
      <w:r w:rsidRPr="00504267">
        <w:rPr>
          <w:rFonts w:cs="Arial"/>
          <w:color w:val="auto"/>
          <w:szCs w:val="22"/>
        </w:rPr>
        <w:t>Two o</w:t>
      </w:r>
      <w:r w:rsidR="008C2622" w:rsidRPr="00504267">
        <w:rPr>
          <w:rFonts w:cs="Arial"/>
          <w:color w:val="auto"/>
          <w:szCs w:val="22"/>
        </w:rPr>
        <w:t xml:space="preserve">ptions </w:t>
      </w:r>
      <w:r w:rsidRPr="00504267">
        <w:rPr>
          <w:rFonts w:cs="Arial"/>
          <w:color w:val="auto"/>
          <w:szCs w:val="22"/>
        </w:rPr>
        <w:t xml:space="preserve">are proposed </w:t>
      </w:r>
      <w:r w:rsidR="008C2622" w:rsidRPr="00504267">
        <w:rPr>
          <w:rFonts w:cs="Arial"/>
          <w:color w:val="auto"/>
          <w:szCs w:val="22"/>
        </w:rPr>
        <w:t xml:space="preserve">for changes </w:t>
      </w:r>
      <w:r w:rsidR="00DE144B" w:rsidRPr="00504267">
        <w:rPr>
          <w:rFonts w:cs="Arial"/>
          <w:color w:val="auto"/>
          <w:szCs w:val="22"/>
        </w:rPr>
        <w:t>to the fees and charges for the upcoming financial year 202</w:t>
      </w:r>
      <w:r w:rsidR="00EA6243" w:rsidRPr="00504267">
        <w:rPr>
          <w:rFonts w:cs="Arial"/>
          <w:color w:val="auto"/>
          <w:szCs w:val="22"/>
        </w:rPr>
        <w:t>6</w:t>
      </w:r>
      <w:r w:rsidR="00DE144B" w:rsidRPr="00504267">
        <w:rPr>
          <w:rFonts w:cs="Arial"/>
          <w:color w:val="auto"/>
          <w:szCs w:val="22"/>
        </w:rPr>
        <w:t>-2</w:t>
      </w:r>
      <w:r w:rsidR="00EA6243" w:rsidRPr="00504267">
        <w:rPr>
          <w:rFonts w:cs="Arial"/>
          <w:color w:val="auto"/>
          <w:szCs w:val="22"/>
        </w:rPr>
        <w:t>7</w:t>
      </w:r>
      <w:r w:rsidRPr="00504267">
        <w:rPr>
          <w:rFonts w:cs="Arial"/>
          <w:color w:val="auto"/>
          <w:szCs w:val="22"/>
        </w:rPr>
        <w:t>.</w:t>
      </w:r>
    </w:p>
    <w:p w14:paraId="55A4B607" w14:textId="47F81272" w:rsidR="00D923E8" w:rsidRPr="00504267" w:rsidRDefault="002D0836" w:rsidP="003A4957">
      <w:pPr>
        <w:pStyle w:val="ListBullet"/>
        <w:numPr>
          <w:ilvl w:val="0"/>
          <w:numId w:val="22"/>
        </w:numPr>
        <w:rPr>
          <w:rFonts w:cs="Arial"/>
          <w:b/>
          <w:bCs/>
          <w:color w:val="auto"/>
          <w:szCs w:val="22"/>
        </w:rPr>
      </w:pPr>
      <w:r w:rsidRPr="00504267">
        <w:rPr>
          <w:rFonts w:cs="Arial"/>
          <w:b/>
          <w:bCs/>
          <w:color w:val="auto"/>
          <w:szCs w:val="22"/>
        </w:rPr>
        <w:t xml:space="preserve">Option 1: </w:t>
      </w:r>
      <w:r w:rsidR="00CA0BCA" w:rsidRPr="00504267">
        <w:rPr>
          <w:rFonts w:cs="Arial"/>
          <w:b/>
          <w:bCs/>
          <w:color w:val="auto"/>
          <w:szCs w:val="22"/>
        </w:rPr>
        <w:t xml:space="preserve">Full recovery of </w:t>
      </w:r>
      <w:r w:rsidR="00864535" w:rsidRPr="00504267">
        <w:rPr>
          <w:rFonts w:cs="Arial"/>
          <w:b/>
          <w:bCs/>
          <w:color w:val="auto"/>
          <w:szCs w:val="22"/>
        </w:rPr>
        <w:t xml:space="preserve">known </w:t>
      </w:r>
      <w:r w:rsidR="007A7F5C" w:rsidRPr="00504267">
        <w:rPr>
          <w:rFonts w:cs="Arial"/>
          <w:b/>
          <w:bCs/>
          <w:color w:val="auto"/>
          <w:szCs w:val="22"/>
        </w:rPr>
        <w:t>cost increases</w:t>
      </w:r>
      <w:r w:rsidR="00864535" w:rsidRPr="00504267">
        <w:rPr>
          <w:rFonts w:cs="Arial"/>
          <w:b/>
          <w:bCs/>
          <w:color w:val="auto"/>
          <w:szCs w:val="22"/>
        </w:rPr>
        <w:t xml:space="preserve"> </w:t>
      </w:r>
      <w:r w:rsidR="00D923E8" w:rsidRPr="00504267">
        <w:rPr>
          <w:rFonts w:cs="Arial"/>
          <w:b/>
          <w:bCs/>
          <w:color w:val="auto"/>
          <w:szCs w:val="22"/>
        </w:rPr>
        <w:t xml:space="preserve"> </w:t>
      </w:r>
    </w:p>
    <w:p w14:paraId="3DD566D9" w14:textId="52AB6E60" w:rsidR="00DB0D55" w:rsidRPr="00504267" w:rsidRDefault="0040094E" w:rsidP="0080418C">
      <w:pPr>
        <w:rPr>
          <w:rFonts w:cs="Arial"/>
          <w:color w:val="auto"/>
          <w:szCs w:val="22"/>
        </w:rPr>
      </w:pPr>
      <w:r w:rsidRPr="00504267">
        <w:rPr>
          <w:rFonts w:cs="Arial"/>
          <w:color w:val="auto"/>
          <w:szCs w:val="22"/>
        </w:rPr>
        <w:t xml:space="preserve">To </w:t>
      </w:r>
      <w:r w:rsidR="00CA0BCA" w:rsidRPr="00504267">
        <w:rPr>
          <w:rFonts w:cs="Arial"/>
          <w:color w:val="auto"/>
          <w:szCs w:val="22"/>
        </w:rPr>
        <w:t>re</w:t>
      </w:r>
      <w:r w:rsidRPr="00504267">
        <w:rPr>
          <w:rFonts w:cs="Arial"/>
          <w:color w:val="auto"/>
          <w:szCs w:val="22"/>
        </w:rPr>
        <w:t xml:space="preserve">cover the </w:t>
      </w:r>
      <w:r w:rsidR="007A7F5C" w:rsidRPr="00504267">
        <w:rPr>
          <w:rFonts w:cs="Arial"/>
          <w:color w:val="auto"/>
          <w:szCs w:val="22"/>
        </w:rPr>
        <w:t xml:space="preserve">full amount of $11.3 million of </w:t>
      </w:r>
      <w:r w:rsidRPr="00504267">
        <w:rPr>
          <w:rFonts w:cs="Arial"/>
          <w:color w:val="auto"/>
          <w:szCs w:val="22"/>
        </w:rPr>
        <w:t xml:space="preserve">projected additional costs </w:t>
      </w:r>
      <w:r w:rsidR="00CA0BCA" w:rsidRPr="00504267">
        <w:rPr>
          <w:rFonts w:cs="Arial"/>
          <w:color w:val="auto"/>
          <w:szCs w:val="22"/>
        </w:rPr>
        <w:t>for cost recovered activities in 2026-27</w:t>
      </w:r>
      <w:r w:rsidRPr="00504267">
        <w:rPr>
          <w:rFonts w:cs="Arial"/>
          <w:color w:val="auto"/>
          <w:szCs w:val="22"/>
        </w:rPr>
        <w:t xml:space="preserve">, the TGA would </w:t>
      </w:r>
      <w:r w:rsidR="007A7F5C" w:rsidRPr="00504267">
        <w:rPr>
          <w:rFonts w:cs="Arial"/>
          <w:color w:val="auto"/>
          <w:szCs w:val="22"/>
        </w:rPr>
        <w:t xml:space="preserve">apply </w:t>
      </w:r>
      <w:r w:rsidR="00DB0D55" w:rsidRPr="00504267">
        <w:rPr>
          <w:rFonts w:cs="Arial"/>
          <w:color w:val="auto"/>
          <w:szCs w:val="22"/>
        </w:rPr>
        <w:t xml:space="preserve">increases </w:t>
      </w:r>
      <w:r w:rsidR="007A7F5C" w:rsidRPr="00504267">
        <w:rPr>
          <w:rFonts w:cs="Arial"/>
          <w:color w:val="auto"/>
          <w:szCs w:val="22"/>
        </w:rPr>
        <w:t>as follows</w:t>
      </w:r>
      <w:r w:rsidR="008C2622" w:rsidRPr="00504267">
        <w:rPr>
          <w:rFonts w:cs="Arial"/>
          <w:color w:val="auto"/>
          <w:szCs w:val="22"/>
        </w:rPr>
        <w:t>:</w:t>
      </w:r>
    </w:p>
    <w:p w14:paraId="7532FB52" w14:textId="48E99327" w:rsidR="00DB0D55" w:rsidRPr="00AA6EDC" w:rsidRDefault="00DB0D55" w:rsidP="00041B01">
      <w:pPr>
        <w:pStyle w:val="ListParagraph"/>
        <w:numPr>
          <w:ilvl w:val="0"/>
          <w:numId w:val="18"/>
        </w:numPr>
        <w:rPr>
          <w:rFonts w:ascii="Arial" w:hAnsi="Arial" w:cs="Arial"/>
          <w:szCs w:val="22"/>
        </w:rPr>
      </w:pPr>
      <w:r w:rsidRPr="00AA6EDC">
        <w:rPr>
          <w:rFonts w:ascii="Arial" w:hAnsi="Arial" w:cs="Arial"/>
          <w:szCs w:val="22"/>
        </w:rPr>
        <w:t>All fees – 4.8%</w:t>
      </w:r>
      <w:r w:rsidR="007A7F5C" w:rsidRPr="00AA6EDC">
        <w:rPr>
          <w:rFonts w:ascii="Arial" w:hAnsi="Arial" w:cs="Arial"/>
          <w:szCs w:val="22"/>
        </w:rPr>
        <w:t xml:space="preserve">, </w:t>
      </w:r>
      <w:r w:rsidR="00D347A4" w:rsidRPr="00AA6EDC">
        <w:rPr>
          <w:rFonts w:ascii="Arial" w:hAnsi="Arial" w:cs="Arial"/>
          <w:szCs w:val="22"/>
        </w:rPr>
        <w:t xml:space="preserve">comprising </w:t>
      </w:r>
      <w:r w:rsidR="007A7F5C" w:rsidRPr="00AA6EDC">
        <w:rPr>
          <w:rFonts w:ascii="Arial" w:hAnsi="Arial" w:cs="Arial"/>
          <w:szCs w:val="22"/>
        </w:rPr>
        <w:t>3.3% relating to indexation, and an additional</w:t>
      </w:r>
      <w:r w:rsidRPr="00AA6EDC">
        <w:rPr>
          <w:rFonts w:ascii="Arial" w:hAnsi="Arial" w:cs="Arial"/>
          <w:szCs w:val="22"/>
        </w:rPr>
        <w:t xml:space="preserve"> 1.5% </w:t>
      </w:r>
      <w:r w:rsidR="007A7F5C" w:rsidRPr="00AA6EDC">
        <w:rPr>
          <w:rFonts w:ascii="Arial" w:hAnsi="Arial" w:cs="Arial"/>
          <w:szCs w:val="22"/>
        </w:rPr>
        <w:t>increase</w:t>
      </w:r>
    </w:p>
    <w:p w14:paraId="626523CE" w14:textId="43BF15A3" w:rsidR="00DB0D55" w:rsidRPr="00AA6EDC" w:rsidRDefault="00DB0D55" w:rsidP="00041B01">
      <w:pPr>
        <w:pStyle w:val="ListParagraph"/>
        <w:numPr>
          <w:ilvl w:val="0"/>
          <w:numId w:val="18"/>
        </w:numPr>
        <w:rPr>
          <w:rFonts w:ascii="Arial" w:hAnsi="Arial" w:cs="Arial"/>
          <w:szCs w:val="22"/>
        </w:rPr>
      </w:pPr>
      <w:r w:rsidRPr="00AA6EDC">
        <w:rPr>
          <w:rFonts w:ascii="Arial" w:hAnsi="Arial" w:cs="Arial"/>
          <w:szCs w:val="22"/>
        </w:rPr>
        <w:t>All annual charges –</w:t>
      </w:r>
      <w:r w:rsidR="001C394A" w:rsidRPr="00AA6EDC">
        <w:rPr>
          <w:rFonts w:ascii="Arial" w:hAnsi="Arial" w:cs="Arial"/>
          <w:szCs w:val="22"/>
        </w:rPr>
        <w:t xml:space="preserve"> 6.4%,</w:t>
      </w:r>
      <w:r w:rsidRPr="00AA6EDC">
        <w:rPr>
          <w:rFonts w:ascii="Arial" w:hAnsi="Arial" w:cs="Arial"/>
          <w:szCs w:val="22"/>
        </w:rPr>
        <w:t xml:space="preserve"> </w:t>
      </w:r>
      <w:r w:rsidR="00D347A4" w:rsidRPr="00AA6EDC">
        <w:rPr>
          <w:rFonts w:ascii="Arial" w:hAnsi="Arial" w:cs="Arial"/>
          <w:szCs w:val="22"/>
        </w:rPr>
        <w:t xml:space="preserve">comprising </w:t>
      </w:r>
      <w:r w:rsidR="007A7F5C" w:rsidRPr="00AA6EDC">
        <w:rPr>
          <w:rFonts w:ascii="Arial" w:hAnsi="Arial" w:cs="Arial"/>
          <w:szCs w:val="22"/>
        </w:rPr>
        <w:t xml:space="preserve">3.3% relating to indexation, and an additional </w:t>
      </w:r>
      <w:r w:rsidRPr="00AA6EDC">
        <w:rPr>
          <w:rFonts w:ascii="Arial" w:hAnsi="Arial" w:cs="Arial"/>
          <w:szCs w:val="22"/>
        </w:rPr>
        <w:t xml:space="preserve">3.1% </w:t>
      </w:r>
      <w:r w:rsidR="007A7F5C" w:rsidRPr="00AA6EDC">
        <w:rPr>
          <w:rFonts w:ascii="Arial" w:hAnsi="Arial" w:cs="Arial"/>
          <w:szCs w:val="22"/>
        </w:rPr>
        <w:t>increase.</w:t>
      </w:r>
    </w:p>
    <w:p w14:paraId="09A3C828" w14:textId="6F5AD6B9" w:rsidR="00FB1517" w:rsidRPr="00504267" w:rsidRDefault="00FB1517" w:rsidP="00FB1517">
      <w:pPr>
        <w:rPr>
          <w:rFonts w:cs="Arial"/>
          <w:color w:val="auto"/>
          <w:szCs w:val="22"/>
        </w:rPr>
      </w:pPr>
      <w:r w:rsidRPr="00504267">
        <w:rPr>
          <w:rFonts w:cs="Arial"/>
          <w:color w:val="auto"/>
          <w:szCs w:val="22"/>
        </w:rPr>
        <w:t xml:space="preserve">Under this option, additional revenue of </w:t>
      </w:r>
      <w:r w:rsidR="00C54F5E" w:rsidRPr="00504267">
        <w:rPr>
          <w:rFonts w:cs="Arial"/>
          <w:color w:val="auto"/>
          <w:szCs w:val="22"/>
        </w:rPr>
        <w:t xml:space="preserve">approximately </w:t>
      </w:r>
      <w:r w:rsidRPr="00504267">
        <w:rPr>
          <w:rFonts w:cs="Arial"/>
          <w:color w:val="auto"/>
          <w:szCs w:val="22"/>
        </w:rPr>
        <w:t>$</w:t>
      </w:r>
      <w:r w:rsidR="00C54F5E" w:rsidRPr="00504267">
        <w:rPr>
          <w:rFonts w:cs="Arial"/>
          <w:color w:val="auto"/>
          <w:szCs w:val="22"/>
        </w:rPr>
        <w:t xml:space="preserve">5.1 </w:t>
      </w:r>
      <w:r w:rsidRPr="00504267">
        <w:rPr>
          <w:rFonts w:cs="Arial"/>
          <w:color w:val="auto"/>
          <w:szCs w:val="22"/>
        </w:rPr>
        <w:t>million in fees and $</w:t>
      </w:r>
      <w:r w:rsidR="00C54F5E" w:rsidRPr="00504267">
        <w:rPr>
          <w:rFonts w:cs="Arial"/>
          <w:color w:val="auto"/>
          <w:szCs w:val="22"/>
        </w:rPr>
        <w:t xml:space="preserve">6.2 </w:t>
      </w:r>
      <w:r w:rsidRPr="00504267">
        <w:rPr>
          <w:rFonts w:cs="Arial"/>
          <w:color w:val="auto"/>
          <w:szCs w:val="22"/>
        </w:rPr>
        <w:t xml:space="preserve">million in annual charges will be raised. </w:t>
      </w:r>
    </w:p>
    <w:p w14:paraId="76FBC6AA" w14:textId="1A28FCB5" w:rsidR="003D2392" w:rsidRPr="00504267" w:rsidRDefault="00DB0D55" w:rsidP="00C54F5E">
      <w:pPr>
        <w:rPr>
          <w:rFonts w:cs="Arial"/>
          <w:color w:val="auto"/>
          <w:szCs w:val="22"/>
        </w:rPr>
      </w:pPr>
      <w:r w:rsidRPr="00504267">
        <w:rPr>
          <w:rFonts w:cs="Arial"/>
          <w:color w:val="auto"/>
          <w:szCs w:val="22"/>
        </w:rPr>
        <w:t>When applying the above increase to annual charges, the additional increases from 2023</w:t>
      </w:r>
      <w:r w:rsidR="00504267">
        <w:rPr>
          <w:rFonts w:cs="Arial"/>
          <w:color w:val="auto"/>
          <w:szCs w:val="22"/>
        </w:rPr>
        <w:t>-</w:t>
      </w:r>
      <w:r w:rsidRPr="00504267">
        <w:rPr>
          <w:rFonts w:cs="Arial"/>
          <w:color w:val="auto"/>
          <w:szCs w:val="22"/>
        </w:rPr>
        <w:t>24 and 2024</w:t>
      </w:r>
      <w:r w:rsidR="00504267">
        <w:rPr>
          <w:rFonts w:cs="Arial"/>
          <w:color w:val="auto"/>
          <w:szCs w:val="22"/>
        </w:rPr>
        <w:t>-</w:t>
      </w:r>
      <w:r w:rsidRPr="00504267">
        <w:rPr>
          <w:rFonts w:cs="Arial"/>
          <w:color w:val="auto"/>
          <w:szCs w:val="22"/>
        </w:rPr>
        <w:t>25 for the TGA’s digital transformation program and UDI will be excluded from the base</w:t>
      </w:r>
      <w:r w:rsidR="007A7F5C" w:rsidRPr="00504267">
        <w:rPr>
          <w:rFonts w:cs="Arial"/>
          <w:color w:val="auto"/>
          <w:szCs w:val="22"/>
        </w:rPr>
        <w:t>.</w:t>
      </w:r>
      <w:r w:rsidR="00B86310" w:rsidRPr="00504267">
        <w:rPr>
          <w:rFonts w:cs="Arial"/>
          <w:color w:val="auto"/>
          <w:szCs w:val="22"/>
        </w:rPr>
        <w:t xml:space="preserve"> </w:t>
      </w:r>
      <w:r w:rsidR="006143EC" w:rsidRPr="00504267">
        <w:rPr>
          <w:rFonts w:cs="Arial"/>
          <w:color w:val="auto"/>
          <w:szCs w:val="22"/>
        </w:rPr>
        <w:t>As the</w:t>
      </w:r>
      <w:r w:rsidR="003422CF" w:rsidRPr="00504267">
        <w:rPr>
          <w:rFonts w:cs="Arial"/>
          <w:color w:val="auto"/>
          <w:szCs w:val="22"/>
        </w:rPr>
        <w:t xml:space="preserve"> increases for </w:t>
      </w:r>
      <w:r w:rsidR="00B86310" w:rsidRPr="00504267">
        <w:rPr>
          <w:rFonts w:cs="Arial"/>
          <w:color w:val="auto"/>
          <w:szCs w:val="22"/>
        </w:rPr>
        <w:t xml:space="preserve">digital transformation and UDI </w:t>
      </w:r>
      <w:r w:rsidR="008C1547" w:rsidRPr="00504267">
        <w:rPr>
          <w:rFonts w:cs="Arial"/>
          <w:color w:val="auto"/>
          <w:szCs w:val="22"/>
        </w:rPr>
        <w:t xml:space="preserve">varied </w:t>
      </w:r>
      <w:r w:rsidR="003422CF" w:rsidRPr="00504267">
        <w:rPr>
          <w:rFonts w:cs="Arial"/>
          <w:color w:val="auto"/>
          <w:szCs w:val="22"/>
        </w:rPr>
        <w:t xml:space="preserve">across </w:t>
      </w:r>
      <w:r w:rsidR="00B86310" w:rsidRPr="00504267">
        <w:rPr>
          <w:rFonts w:cs="Arial"/>
          <w:color w:val="auto"/>
          <w:szCs w:val="22"/>
        </w:rPr>
        <w:t>medicines, medical devices and biological</w:t>
      </w:r>
      <w:r w:rsidR="003422CF" w:rsidRPr="00504267">
        <w:rPr>
          <w:rFonts w:cs="Arial"/>
          <w:color w:val="auto"/>
          <w:szCs w:val="22"/>
        </w:rPr>
        <w:t>s</w:t>
      </w:r>
      <w:r w:rsidR="00B86310" w:rsidRPr="00504267">
        <w:rPr>
          <w:rFonts w:cs="Arial"/>
          <w:color w:val="auto"/>
          <w:szCs w:val="22"/>
        </w:rPr>
        <w:t xml:space="preserve">, </w:t>
      </w:r>
      <w:r w:rsidR="003422CF" w:rsidRPr="00504267">
        <w:rPr>
          <w:rFonts w:cs="Arial"/>
          <w:color w:val="auto"/>
          <w:szCs w:val="22"/>
        </w:rPr>
        <w:t>each class of goods will have a slightly different adjusted percentage increase for 2026</w:t>
      </w:r>
      <w:r w:rsidR="00504267">
        <w:rPr>
          <w:rFonts w:cs="Arial"/>
          <w:color w:val="auto"/>
          <w:szCs w:val="22"/>
        </w:rPr>
        <w:t>-</w:t>
      </w:r>
      <w:r w:rsidR="003422CF" w:rsidRPr="00504267">
        <w:rPr>
          <w:rFonts w:cs="Arial"/>
          <w:color w:val="auto"/>
          <w:szCs w:val="22"/>
        </w:rPr>
        <w:t xml:space="preserve">27. </w:t>
      </w:r>
    </w:p>
    <w:p w14:paraId="234C6833" w14:textId="2666EDA3" w:rsidR="00C54F5E" w:rsidRPr="00D80B1F" w:rsidRDefault="00D80BF3" w:rsidP="00C54F5E">
      <w:pPr>
        <w:rPr>
          <w:rFonts w:cs="Arial"/>
          <w:b/>
          <w:bCs/>
          <w:color w:val="auto"/>
          <w:szCs w:val="22"/>
        </w:rPr>
      </w:pPr>
      <w:r w:rsidRPr="00D80B1F">
        <w:rPr>
          <w:rFonts w:cs="Arial"/>
          <w:b/>
          <w:bCs/>
          <w:color w:val="auto"/>
          <w:szCs w:val="22"/>
        </w:rPr>
        <w:t>Table 2. P</w:t>
      </w:r>
      <w:r w:rsidR="00C54F5E" w:rsidRPr="00D80B1F">
        <w:rPr>
          <w:rFonts w:cs="Arial"/>
          <w:b/>
          <w:bCs/>
          <w:color w:val="auto"/>
          <w:szCs w:val="22"/>
        </w:rPr>
        <w:t>roposed increase to TGA fees and charges for 2026</w:t>
      </w:r>
      <w:r w:rsidR="00504267" w:rsidRPr="00D80B1F">
        <w:rPr>
          <w:rFonts w:cs="Arial"/>
          <w:b/>
          <w:bCs/>
          <w:color w:val="auto"/>
          <w:szCs w:val="22"/>
        </w:rPr>
        <w:t>-</w:t>
      </w:r>
      <w:r w:rsidR="00C54F5E" w:rsidRPr="00D80B1F">
        <w:rPr>
          <w:rFonts w:cs="Arial"/>
          <w:b/>
          <w:bCs/>
          <w:color w:val="auto"/>
          <w:szCs w:val="22"/>
        </w:rPr>
        <w:t xml:space="preserve">27 </w:t>
      </w:r>
    </w:p>
    <w:tbl>
      <w:tblPr>
        <w:tblStyle w:val="TableTGAblue"/>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103"/>
        <w:gridCol w:w="2409"/>
      </w:tblGrid>
      <w:tr w:rsidR="00AA6EDC" w:rsidRPr="00AA6EDC" w14:paraId="3C8A6B71" w14:textId="77777777" w:rsidTr="009E713C">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653" w:type="dxa"/>
            <w:gridSpan w:val="2"/>
            <w:shd w:val="clear" w:color="auto" w:fill="BED6FF" w:themeFill="accent1" w:themeFillTint="33"/>
            <w:vAlign w:val="center"/>
          </w:tcPr>
          <w:p w14:paraId="4B79BA85" w14:textId="799B30BE" w:rsidR="00C54F5E" w:rsidRPr="00504267" w:rsidRDefault="00C54F5E" w:rsidP="009E713C">
            <w:pPr>
              <w:keepNext w:val="0"/>
              <w:spacing w:before="0" w:after="0" w:line="240" w:lineRule="auto"/>
              <w:rPr>
                <w:rFonts w:cs="Arial"/>
                <w:bCs/>
                <w:color w:val="auto"/>
                <w:szCs w:val="22"/>
              </w:rPr>
            </w:pPr>
            <w:r w:rsidRPr="00504267">
              <w:rPr>
                <w:rFonts w:cs="Arial"/>
                <w:bCs/>
                <w:color w:val="auto"/>
                <w:szCs w:val="22"/>
              </w:rPr>
              <w:t>Option 1: Full recovery of known increase in costs</w:t>
            </w:r>
          </w:p>
        </w:tc>
        <w:tc>
          <w:tcPr>
            <w:tcW w:w="2409" w:type="dxa"/>
            <w:shd w:val="clear" w:color="auto" w:fill="BED6FF" w:themeFill="accent1" w:themeFillTint="33"/>
            <w:vAlign w:val="center"/>
          </w:tcPr>
          <w:p w14:paraId="17F56758" w14:textId="1EB2D699" w:rsidR="00C54F5E" w:rsidRPr="00504267" w:rsidRDefault="00924E89" w:rsidP="009E713C">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color w:val="auto"/>
                <w:szCs w:val="22"/>
              </w:rPr>
            </w:pPr>
            <w:r w:rsidRPr="00504267">
              <w:rPr>
                <w:rFonts w:cs="Arial"/>
                <w:color w:val="auto"/>
                <w:szCs w:val="22"/>
              </w:rPr>
              <w:t>Percentage Increase</w:t>
            </w:r>
          </w:p>
        </w:tc>
      </w:tr>
      <w:tr w:rsidR="00AA6EDC" w:rsidRPr="00AA6EDC" w14:paraId="0E7D124D" w14:textId="77777777" w:rsidTr="009E713C">
        <w:trPr>
          <w:trHeight w:val="284"/>
        </w:trPr>
        <w:tc>
          <w:tcPr>
            <w:cnfStyle w:val="001000000000" w:firstRow="0" w:lastRow="0" w:firstColumn="1" w:lastColumn="0" w:oddVBand="0" w:evenVBand="0" w:oddHBand="0" w:evenHBand="0" w:firstRowFirstColumn="0" w:firstRowLastColumn="0" w:lastRowFirstColumn="0" w:lastRowLastColumn="0"/>
            <w:tcW w:w="6653" w:type="dxa"/>
            <w:gridSpan w:val="2"/>
            <w:vAlign w:val="center"/>
          </w:tcPr>
          <w:p w14:paraId="2548AB0A" w14:textId="77777777" w:rsidR="00C54F5E" w:rsidRPr="00504267" w:rsidRDefault="00C54F5E" w:rsidP="009E713C">
            <w:pPr>
              <w:spacing w:before="0" w:after="0" w:line="240" w:lineRule="auto"/>
              <w:rPr>
                <w:rFonts w:cs="Arial"/>
                <w:color w:val="auto"/>
                <w:szCs w:val="22"/>
              </w:rPr>
            </w:pPr>
            <w:r w:rsidRPr="00504267">
              <w:rPr>
                <w:rFonts w:cs="Arial"/>
                <w:color w:val="auto"/>
                <w:szCs w:val="22"/>
              </w:rPr>
              <w:t>All TGA Fees</w:t>
            </w:r>
          </w:p>
        </w:tc>
        <w:tc>
          <w:tcPr>
            <w:tcW w:w="2409" w:type="dxa"/>
            <w:vAlign w:val="center"/>
          </w:tcPr>
          <w:p w14:paraId="6FD66211" w14:textId="569E4E44" w:rsidR="00C54F5E" w:rsidRPr="00504267" w:rsidRDefault="00C54F5E" w:rsidP="009E713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504267">
              <w:rPr>
                <w:rFonts w:cs="Arial"/>
                <w:color w:val="auto"/>
                <w:szCs w:val="22"/>
              </w:rPr>
              <w:t>4.8%</w:t>
            </w:r>
          </w:p>
        </w:tc>
      </w:tr>
      <w:tr w:rsidR="00AA6EDC" w:rsidRPr="00AA6EDC" w14:paraId="7E755907" w14:textId="77777777" w:rsidTr="009E713C">
        <w:trPr>
          <w:cantSplit w:val="0"/>
          <w:trHeight w:val="284"/>
        </w:trPr>
        <w:tc>
          <w:tcPr>
            <w:cnfStyle w:val="001000000000" w:firstRow="0" w:lastRow="0" w:firstColumn="1" w:lastColumn="0" w:oddVBand="0" w:evenVBand="0" w:oddHBand="0" w:evenHBand="0" w:firstRowFirstColumn="0" w:firstRowLastColumn="0" w:lastRowFirstColumn="0" w:lastRowLastColumn="0"/>
            <w:tcW w:w="1550" w:type="dxa"/>
            <w:vMerge w:val="restart"/>
            <w:vAlign w:val="center"/>
          </w:tcPr>
          <w:p w14:paraId="6F33CBA4" w14:textId="77777777" w:rsidR="00C54F5E" w:rsidRPr="00504267" w:rsidRDefault="00C54F5E" w:rsidP="009E713C">
            <w:pPr>
              <w:keepNext/>
              <w:spacing w:before="0" w:after="0" w:line="480" w:lineRule="auto"/>
              <w:rPr>
                <w:rFonts w:cs="Arial"/>
                <w:color w:val="auto"/>
                <w:szCs w:val="22"/>
              </w:rPr>
            </w:pPr>
          </w:p>
          <w:p w14:paraId="31185135" w14:textId="77777777" w:rsidR="00C54F5E" w:rsidRPr="00504267" w:rsidRDefault="00C54F5E" w:rsidP="009E713C">
            <w:pPr>
              <w:keepNext/>
              <w:spacing w:before="0" w:after="0" w:line="480" w:lineRule="auto"/>
              <w:rPr>
                <w:rFonts w:cs="Arial"/>
                <w:color w:val="auto"/>
                <w:szCs w:val="22"/>
              </w:rPr>
            </w:pPr>
            <w:r w:rsidRPr="00504267">
              <w:rPr>
                <w:rFonts w:cs="Arial"/>
                <w:color w:val="auto"/>
                <w:szCs w:val="22"/>
              </w:rPr>
              <w:t>Charges</w:t>
            </w:r>
          </w:p>
        </w:tc>
        <w:tc>
          <w:tcPr>
            <w:tcW w:w="5103" w:type="dxa"/>
            <w:vAlign w:val="center"/>
          </w:tcPr>
          <w:p w14:paraId="0CF03732" w14:textId="77777777" w:rsidR="00C54F5E" w:rsidRPr="00504267" w:rsidRDefault="00C54F5E" w:rsidP="009E713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504267">
              <w:rPr>
                <w:rFonts w:cs="Arial"/>
                <w:color w:val="auto"/>
                <w:szCs w:val="22"/>
              </w:rPr>
              <w:t>Medicines and Biologicals Annual Charges</w:t>
            </w:r>
          </w:p>
        </w:tc>
        <w:tc>
          <w:tcPr>
            <w:tcW w:w="2409" w:type="dxa"/>
            <w:vAlign w:val="center"/>
          </w:tcPr>
          <w:p w14:paraId="768243F1" w14:textId="73E5CEC2" w:rsidR="00C54F5E" w:rsidRPr="00504267" w:rsidRDefault="00C54F5E" w:rsidP="009E713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504267">
              <w:rPr>
                <w:rFonts w:cs="Arial"/>
                <w:color w:val="auto"/>
                <w:szCs w:val="22"/>
              </w:rPr>
              <w:t>6.</w:t>
            </w:r>
            <w:r w:rsidR="006C291E" w:rsidRPr="00504267">
              <w:rPr>
                <w:rFonts w:cs="Arial"/>
                <w:color w:val="auto"/>
                <w:szCs w:val="22"/>
              </w:rPr>
              <w:t>3</w:t>
            </w:r>
            <w:r w:rsidRPr="00504267">
              <w:rPr>
                <w:rFonts w:cs="Arial"/>
                <w:color w:val="auto"/>
                <w:szCs w:val="22"/>
              </w:rPr>
              <w:t>%</w:t>
            </w:r>
          </w:p>
        </w:tc>
      </w:tr>
      <w:tr w:rsidR="00AA6EDC" w:rsidRPr="00AA6EDC" w14:paraId="0DF09AB4" w14:textId="77777777" w:rsidTr="009E713C">
        <w:trPr>
          <w:cantSplit w:val="0"/>
          <w:trHeight w:val="284"/>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14:paraId="76E551B5" w14:textId="77777777" w:rsidR="00C54F5E" w:rsidRPr="00504267" w:rsidRDefault="00C54F5E" w:rsidP="009E713C">
            <w:pPr>
              <w:keepNext/>
              <w:spacing w:before="0" w:after="0" w:line="240" w:lineRule="auto"/>
              <w:rPr>
                <w:rFonts w:cs="Arial"/>
                <w:color w:val="auto"/>
                <w:szCs w:val="22"/>
              </w:rPr>
            </w:pPr>
          </w:p>
        </w:tc>
        <w:tc>
          <w:tcPr>
            <w:tcW w:w="5103" w:type="dxa"/>
            <w:vAlign w:val="center"/>
          </w:tcPr>
          <w:p w14:paraId="567C89CF" w14:textId="77777777" w:rsidR="00C54F5E" w:rsidRPr="00504267" w:rsidRDefault="00C54F5E" w:rsidP="009E713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504267">
              <w:rPr>
                <w:rFonts w:cs="Arial"/>
                <w:color w:val="auto"/>
                <w:szCs w:val="22"/>
              </w:rPr>
              <w:t>Medical Devices Class II and above</w:t>
            </w:r>
          </w:p>
        </w:tc>
        <w:tc>
          <w:tcPr>
            <w:tcW w:w="2409" w:type="dxa"/>
            <w:vAlign w:val="center"/>
          </w:tcPr>
          <w:p w14:paraId="02BFAA30" w14:textId="5239D738" w:rsidR="00C54F5E" w:rsidRPr="00504267" w:rsidRDefault="005C39FC" w:rsidP="009E713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504267">
              <w:rPr>
                <w:rFonts w:cs="Arial"/>
                <w:color w:val="auto"/>
                <w:szCs w:val="22"/>
              </w:rPr>
              <w:t>6.1</w:t>
            </w:r>
            <w:r w:rsidR="00C54F5E" w:rsidRPr="00504267">
              <w:rPr>
                <w:rFonts w:cs="Arial"/>
                <w:color w:val="auto"/>
                <w:szCs w:val="22"/>
              </w:rPr>
              <w:t>%</w:t>
            </w:r>
          </w:p>
        </w:tc>
      </w:tr>
      <w:tr w:rsidR="00AA6EDC" w:rsidRPr="00AA6EDC" w14:paraId="1D3C9507" w14:textId="77777777" w:rsidTr="009E713C">
        <w:trPr>
          <w:cantSplit w:val="0"/>
          <w:trHeight w:val="284"/>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14:paraId="626BA5C3" w14:textId="77777777" w:rsidR="00C54F5E" w:rsidRPr="00504267" w:rsidRDefault="00C54F5E" w:rsidP="009E713C">
            <w:pPr>
              <w:keepNext/>
              <w:spacing w:before="0" w:after="0" w:line="240" w:lineRule="auto"/>
              <w:rPr>
                <w:rFonts w:cs="Arial"/>
                <w:color w:val="auto"/>
                <w:szCs w:val="22"/>
              </w:rPr>
            </w:pPr>
          </w:p>
        </w:tc>
        <w:tc>
          <w:tcPr>
            <w:tcW w:w="5103" w:type="dxa"/>
            <w:vAlign w:val="center"/>
          </w:tcPr>
          <w:p w14:paraId="56C3076D" w14:textId="77777777" w:rsidR="00C54F5E" w:rsidRPr="00504267" w:rsidRDefault="00C54F5E" w:rsidP="009E713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504267">
              <w:rPr>
                <w:rFonts w:cs="Arial"/>
                <w:color w:val="auto"/>
                <w:szCs w:val="22"/>
              </w:rPr>
              <w:t>Other Medical Devices and IVD annual charges</w:t>
            </w:r>
          </w:p>
        </w:tc>
        <w:tc>
          <w:tcPr>
            <w:tcW w:w="2409" w:type="dxa"/>
            <w:vAlign w:val="center"/>
          </w:tcPr>
          <w:p w14:paraId="1300B56B" w14:textId="45122D43" w:rsidR="00C54F5E" w:rsidRPr="00504267" w:rsidRDefault="005C39FC" w:rsidP="009E713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504267">
              <w:rPr>
                <w:rFonts w:cs="Arial"/>
                <w:color w:val="auto"/>
                <w:szCs w:val="22"/>
              </w:rPr>
              <w:t>6</w:t>
            </w:r>
            <w:r w:rsidR="00476BA3" w:rsidRPr="00504267">
              <w:rPr>
                <w:rFonts w:cs="Arial"/>
                <w:color w:val="auto"/>
                <w:szCs w:val="22"/>
              </w:rPr>
              <w:t>.</w:t>
            </w:r>
            <w:r w:rsidRPr="00504267">
              <w:rPr>
                <w:rFonts w:cs="Arial"/>
                <w:color w:val="auto"/>
                <w:szCs w:val="22"/>
              </w:rPr>
              <w:t>2</w:t>
            </w:r>
            <w:r w:rsidR="00C54F5E" w:rsidRPr="00504267">
              <w:rPr>
                <w:rFonts w:cs="Arial"/>
                <w:color w:val="auto"/>
                <w:szCs w:val="22"/>
              </w:rPr>
              <w:t>%</w:t>
            </w:r>
          </w:p>
        </w:tc>
      </w:tr>
      <w:tr w:rsidR="00AA6EDC" w:rsidRPr="00AA6EDC" w14:paraId="334F4BF6" w14:textId="77777777" w:rsidTr="009E713C">
        <w:trPr>
          <w:cantSplit w:val="0"/>
          <w:trHeight w:val="284"/>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14:paraId="382DE823" w14:textId="77777777" w:rsidR="00C54F5E" w:rsidRPr="00504267" w:rsidRDefault="00C54F5E" w:rsidP="009E713C">
            <w:pPr>
              <w:keepNext/>
              <w:spacing w:before="0" w:after="0" w:line="240" w:lineRule="auto"/>
              <w:rPr>
                <w:rFonts w:cs="Arial"/>
                <w:color w:val="auto"/>
                <w:szCs w:val="22"/>
              </w:rPr>
            </w:pPr>
          </w:p>
        </w:tc>
        <w:tc>
          <w:tcPr>
            <w:tcW w:w="5103" w:type="dxa"/>
            <w:vAlign w:val="center"/>
          </w:tcPr>
          <w:p w14:paraId="542F6234" w14:textId="493E54CE" w:rsidR="00C54F5E" w:rsidRPr="00504267" w:rsidRDefault="00C54F5E" w:rsidP="009E713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504267">
              <w:rPr>
                <w:rFonts w:cs="Arial"/>
                <w:color w:val="auto"/>
                <w:szCs w:val="22"/>
                <w:lang w:val="en-GB"/>
              </w:rPr>
              <w:t xml:space="preserve">Other annual charges i.e., manufacturing licences and Other </w:t>
            </w:r>
            <w:r w:rsidR="00C53326" w:rsidRPr="00504267">
              <w:rPr>
                <w:rFonts w:cs="Arial"/>
                <w:color w:val="auto"/>
                <w:szCs w:val="22"/>
                <w:lang w:val="en-GB"/>
              </w:rPr>
              <w:t>T</w:t>
            </w:r>
            <w:r w:rsidRPr="00504267">
              <w:rPr>
                <w:rFonts w:cs="Arial"/>
                <w:color w:val="auto"/>
                <w:szCs w:val="22"/>
                <w:lang w:val="en-GB"/>
              </w:rPr>
              <w:t xml:space="preserve">herapeutic </w:t>
            </w:r>
            <w:r w:rsidR="00C53326" w:rsidRPr="00504267">
              <w:rPr>
                <w:rFonts w:cs="Arial"/>
                <w:color w:val="auto"/>
                <w:szCs w:val="22"/>
                <w:lang w:val="en-GB"/>
              </w:rPr>
              <w:t>G</w:t>
            </w:r>
            <w:r w:rsidRPr="00504267">
              <w:rPr>
                <w:rFonts w:cs="Arial"/>
                <w:color w:val="auto"/>
                <w:szCs w:val="22"/>
                <w:lang w:val="en-GB"/>
              </w:rPr>
              <w:t>oods (OTG</w:t>
            </w:r>
            <w:r w:rsidR="005F279A" w:rsidRPr="00504267">
              <w:rPr>
                <w:rFonts w:cs="Arial"/>
                <w:color w:val="auto"/>
                <w:szCs w:val="22"/>
                <w:lang w:val="en-GB"/>
              </w:rPr>
              <w:t>s</w:t>
            </w:r>
            <w:r w:rsidRPr="00504267">
              <w:rPr>
                <w:rFonts w:cs="Arial"/>
                <w:color w:val="auto"/>
                <w:szCs w:val="22"/>
                <w:lang w:val="en-GB"/>
              </w:rPr>
              <w:t>)</w:t>
            </w:r>
          </w:p>
        </w:tc>
        <w:tc>
          <w:tcPr>
            <w:tcW w:w="2409" w:type="dxa"/>
            <w:vAlign w:val="center"/>
          </w:tcPr>
          <w:p w14:paraId="38D7366A" w14:textId="7A988B88" w:rsidR="00C54F5E" w:rsidRPr="00504267" w:rsidRDefault="005C39FC" w:rsidP="009E713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504267">
              <w:rPr>
                <w:rFonts w:cs="Arial"/>
                <w:color w:val="auto"/>
                <w:szCs w:val="22"/>
              </w:rPr>
              <w:t>6.</w:t>
            </w:r>
            <w:r w:rsidR="006C291E" w:rsidRPr="00504267">
              <w:rPr>
                <w:rFonts w:cs="Arial"/>
                <w:color w:val="auto"/>
                <w:szCs w:val="22"/>
              </w:rPr>
              <w:t>3</w:t>
            </w:r>
            <w:r w:rsidR="00C54F5E" w:rsidRPr="00504267">
              <w:rPr>
                <w:rFonts w:cs="Arial"/>
                <w:color w:val="auto"/>
                <w:szCs w:val="22"/>
              </w:rPr>
              <w:t>%</w:t>
            </w:r>
          </w:p>
        </w:tc>
      </w:tr>
    </w:tbl>
    <w:p w14:paraId="03F771EF" w14:textId="77777777" w:rsidR="00DF5731" w:rsidRDefault="00DF5731" w:rsidP="00AB2E7F">
      <w:pPr>
        <w:pStyle w:val="ListBullet"/>
        <w:numPr>
          <w:ilvl w:val="0"/>
          <w:numId w:val="0"/>
        </w:numPr>
        <w:ind w:left="360"/>
        <w:rPr>
          <w:rFonts w:cs="Arial"/>
          <w:b/>
          <w:bCs/>
          <w:szCs w:val="22"/>
        </w:rPr>
      </w:pPr>
    </w:p>
    <w:p w14:paraId="7099F5D9" w14:textId="77777777" w:rsidR="00D80B1F" w:rsidRDefault="00D80B1F" w:rsidP="00D80B1F">
      <w:pPr>
        <w:pStyle w:val="ListBullet"/>
        <w:numPr>
          <w:ilvl w:val="0"/>
          <w:numId w:val="0"/>
        </w:numPr>
        <w:ind w:left="360"/>
        <w:rPr>
          <w:rFonts w:cs="Arial"/>
          <w:b/>
          <w:bCs/>
          <w:color w:val="auto"/>
          <w:szCs w:val="22"/>
        </w:rPr>
      </w:pPr>
    </w:p>
    <w:p w14:paraId="17FE5121" w14:textId="77777777" w:rsidR="00D80B1F" w:rsidRDefault="00D80B1F" w:rsidP="00D80B1F">
      <w:pPr>
        <w:pStyle w:val="ListBullet"/>
        <w:numPr>
          <w:ilvl w:val="0"/>
          <w:numId w:val="0"/>
        </w:numPr>
        <w:ind w:left="360"/>
        <w:rPr>
          <w:rFonts w:cs="Arial"/>
          <w:b/>
          <w:bCs/>
          <w:color w:val="auto"/>
          <w:szCs w:val="22"/>
        </w:rPr>
      </w:pPr>
    </w:p>
    <w:p w14:paraId="16F04BDD" w14:textId="77777777" w:rsidR="00D80B1F" w:rsidRDefault="00D80B1F" w:rsidP="00D80B1F">
      <w:pPr>
        <w:pStyle w:val="ListBullet"/>
        <w:numPr>
          <w:ilvl w:val="0"/>
          <w:numId w:val="0"/>
        </w:numPr>
        <w:ind w:left="360"/>
        <w:rPr>
          <w:rFonts w:cs="Arial"/>
          <w:b/>
          <w:bCs/>
          <w:color w:val="auto"/>
          <w:szCs w:val="22"/>
        </w:rPr>
      </w:pPr>
    </w:p>
    <w:p w14:paraId="25B6C7D6" w14:textId="77777777" w:rsidR="00D80B1F" w:rsidRDefault="00D80B1F" w:rsidP="00D80B1F">
      <w:pPr>
        <w:pStyle w:val="ListBullet"/>
        <w:numPr>
          <w:ilvl w:val="0"/>
          <w:numId w:val="0"/>
        </w:numPr>
        <w:ind w:left="360"/>
        <w:rPr>
          <w:rFonts w:cs="Arial"/>
          <w:b/>
          <w:bCs/>
          <w:color w:val="auto"/>
          <w:szCs w:val="22"/>
        </w:rPr>
      </w:pPr>
    </w:p>
    <w:p w14:paraId="70ECE848" w14:textId="1215FD0F" w:rsidR="0080418C" w:rsidRPr="00504267" w:rsidRDefault="0080418C" w:rsidP="003A4957">
      <w:pPr>
        <w:pStyle w:val="ListBullet"/>
        <w:numPr>
          <w:ilvl w:val="0"/>
          <w:numId w:val="22"/>
        </w:numPr>
        <w:rPr>
          <w:rFonts w:cs="Arial"/>
          <w:b/>
          <w:bCs/>
          <w:color w:val="auto"/>
          <w:szCs w:val="22"/>
        </w:rPr>
      </w:pPr>
      <w:r w:rsidRPr="00504267">
        <w:rPr>
          <w:rFonts w:cs="Arial"/>
          <w:b/>
          <w:bCs/>
          <w:color w:val="auto"/>
          <w:szCs w:val="22"/>
        </w:rPr>
        <w:lastRenderedPageBreak/>
        <w:t>Option 2: Partial recovery of known cost pressures</w:t>
      </w:r>
    </w:p>
    <w:p w14:paraId="126B40FB" w14:textId="551ABCC5" w:rsidR="008C2622" w:rsidRPr="00504267" w:rsidRDefault="00674B51" w:rsidP="003B40AF">
      <w:pPr>
        <w:rPr>
          <w:rFonts w:cs="Arial"/>
          <w:color w:val="auto"/>
          <w:szCs w:val="22"/>
        </w:rPr>
      </w:pPr>
      <w:r w:rsidRPr="00504267">
        <w:rPr>
          <w:rFonts w:cs="Arial"/>
          <w:color w:val="auto"/>
          <w:szCs w:val="22"/>
        </w:rPr>
        <w:t xml:space="preserve">In recognition of the impact of recovering the full shortfall, Option </w:t>
      </w:r>
      <w:r w:rsidR="00137E7C" w:rsidRPr="00504267">
        <w:rPr>
          <w:rFonts w:cs="Arial"/>
          <w:color w:val="auto"/>
          <w:szCs w:val="22"/>
        </w:rPr>
        <w:t>2 proposes</w:t>
      </w:r>
      <w:r w:rsidR="003B40AF" w:rsidRPr="00504267">
        <w:rPr>
          <w:rFonts w:cs="Arial"/>
          <w:color w:val="auto"/>
          <w:szCs w:val="22"/>
        </w:rPr>
        <w:t xml:space="preserve"> to apply an increase of 4.3% to all fees and charges</w:t>
      </w:r>
      <w:r w:rsidRPr="00504267">
        <w:rPr>
          <w:rFonts w:cs="Arial"/>
          <w:color w:val="auto"/>
          <w:szCs w:val="22"/>
        </w:rPr>
        <w:t>,</w:t>
      </w:r>
      <w:r w:rsidR="003B40AF" w:rsidRPr="00504267">
        <w:rPr>
          <w:rFonts w:cs="Arial"/>
          <w:color w:val="auto"/>
          <w:szCs w:val="22"/>
        </w:rPr>
        <w:t xml:space="preserve"> which</w:t>
      </w:r>
      <w:r w:rsidRPr="00504267">
        <w:rPr>
          <w:rFonts w:cs="Arial"/>
          <w:color w:val="auto"/>
          <w:szCs w:val="22"/>
        </w:rPr>
        <w:t xml:space="preserve"> includes the 3.3% indexation increase, and an additional </w:t>
      </w:r>
      <w:r w:rsidR="003B40AF" w:rsidRPr="00504267">
        <w:rPr>
          <w:rFonts w:cs="Arial"/>
          <w:color w:val="auto"/>
          <w:szCs w:val="22"/>
        </w:rPr>
        <w:t>1%</w:t>
      </w:r>
      <w:r w:rsidRPr="00504267">
        <w:rPr>
          <w:rFonts w:cs="Arial"/>
          <w:color w:val="auto"/>
          <w:szCs w:val="22"/>
        </w:rPr>
        <w:t>.</w:t>
      </w:r>
      <w:bookmarkStart w:id="28" w:name="_Hlk218598298"/>
    </w:p>
    <w:p w14:paraId="258B1732" w14:textId="6F78BC87" w:rsidR="008C2622" w:rsidRPr="00504267" w:rsidRDefault="008C2622" w:rsidP="008C2622">
      <w:pPr>
        <w:rPr>
          <w:rFonts w:cs="Arial"/>
          <w:color w:val="auto"/>
          <w:szCs w:val="22"/>
        </w:rPr>
      </w:pPr>
      <w:r w:rsidRPr="00504267">
        <w:rPr>
          <w:rFonts w:cs="Arial"/>
          <w:color w:val="auto"/>
          <w:szCs w:val="22"/>
        </w:rPr>
        <w:t>Under this option the TGA is projected to raise approximately $</w:t>
      </w:r>
      <w:r w:rsidR="00B91A03" w:rsidRPr="00504267">
        <w:rPr>
          <w:rFonts w:cs="Arial"/>
          <w:color w:val="auto"/>
          <w:szCs w:val="22"/>
        </w:rPr>
        <w:t>9</w:t>
      </w:r>
      <w:r w:rsidRPr="00504267">
        <w:rPr>
          <w:rFonts w:cs="Arial"/>
          <w:color w:val="auto"/>
          <w:szCs w:val="22"/>
        </w:rPr>
        <w:t xml:space="preserve"> million in additional </w:t>
      </w:r>
      <w:r w:rsidR="0044074D" w:rsidRPr="00504267">
        <w:rPr>
          <w:rFonts w:cs="Arial"/>
          <w:color w:val="auto"/>
          <w:szCs w:val="22"/>
        </w:rPr>
        <w:t>revenue</w:t>
      </w:r>
      <w:r w:rsidR="00674B51" w:rsidRPr="00504267">
        <w:rPr>
          <w:rFonts w:cs="Arial"/>
          <w:color w:val="auto"/>
          <w:szCs w:val="22"/>
        </w:rPr>
        <w:t>,</w:t>
      </w:r>
      <w:r w:rsidR="00C53326" w:rsidRPr="00504267">
        <w:rPr>
          <w:rFonts w:cs="Arial"/>
          <w:color w:val="auto"/>
          <w:szCs w:val="22"/>
        </w:rPr>
        <w:t xml:space="preserve"> </w:t>
      </w:r>
      <w:r w:rsidR="00674B51" w:rsidRPr="00504267">
        <w:rPr>
          <w:rFonts w:cs="Arial"/>
          <w:color w:val="auto"/>
          <w:szCs w:val="22"/>
        </w:rPr>
        <w:t>leaving</w:t>
      </w:r>
      <w:r w:rsidRPr="00504267">
        <w:rPr>
          <w:rFonts w:cs="Arial"/>
          <w:color w:val="auto"/>
          <w:szCs w:val="22"/>
        </w:rPr>
        <w:t xml:space="preserve"> a shortfall of $2.3 million in 2026-27 </w:t>
      </w:r>
      <w:r w:rsidR="00674B51" w:rsidRPr="00504267">
        <w:rPr>
          <w:rFonts w:cs="Arial"/>
          <w:color w:val="auto"/>
          <w:szCs w:val="22"/>
        </w:rPr>
        <w:t xml:space="preserve">against </w:t>
      </w:r>
      <w:r w:rsidRPr="00504267">
        <w:rPr>
          <w:rFonts w:cs="Arial"/>
          <w:color w:val="auto"/>
          <w:szCs w:val="22"/>
        </w:rPr>
        <w:t>all known cost increases</w:t>
      </w:r>
      <w:r w:rsidR="00C53326" w:rsidRPr="00504267">
        <w:rPr>
          <w:rFonts w:cs="Arial"/>
          <w:color w:val="auto"/>
          <w:szCs w:val="22"/>
        </w:rPr>
        <w:t xml:space="preserve"> for cost recovered activities</w:t>
      </w:r>
      <w:r w:rsidRPr="00504267">
        <w:rPr>
          <w:rFonts w:cs="Arial"/>
          <w:color w:val="auto"/>
          <w:szCs w:val="22"/>
        </w:rPr>
        <w:t xml:space="preserve">. </w:t>
      </w:r>
      <w:r w:rsidR="00E47E69" w:rsidRPr="00504267">
        <w:rPr>
          <w:rFonts w:cs="Arial"/>
          <w:color w:val="auto"/>
          <w:szCs w:val="22"/>
        </w:rPr>
        <w:t>T</w:t>
      </w:r>
      <w:r w:rsidR="00674B51" w:rsidRPr="00504267">
        <w:rPr>
          <w:rFonts w:cs="Arial"/>
          <w:color w:val="auto"/>
          <w:szCs w:val="22"/>
        </w:rPr>
        <w:t>o manage this, the TGA</w:t>
      </w:r>
      <w:r w:rsidRPr="00504267">
        <w:rPr>
          <w:rFonts w:cs="Arial"/>
          <w:color w:val="auto"/>
          <w:szCs w:val="22"/>
        </w:rPr>
        <w:t xml:space="preserve"> will need to find </w:t>
      </w:r>
      <w:r w:rsidR="00674B51" w:rsidRPr="00504267">
        <w:rPr>
          <w:rFonts w:cs="Arial"/>
          <w:color w:val="auto"/>
          <w:szCs w:val="22"/>
        </w:rPr>
        <w:t xml:space="preserve">further </w:t>
      </w:r>
      <w:r w:rsidRPr="00504267">
        <w:rPr>
          <w:rFonts w:cs="Arial"/>
          <w:color w:val="auto"/>
          <w:szCs w:val="22"/>
        </w:rPr>
        <w:t>savings and efficiencies</w:t>
      </w:r>
      <w:r w:rsidR="00674B51" w:rsidRPr="00504267">
        <w:rPr>
          <w:rFonts w:cs="Arial"/>
          <w:color w:val="auto"/>
          <w:szCs w:val="22"/>
        </w:rPr>
        <w:t>,</w:t>
      </w:r>
      <w:r w:rsidRPr="00504267">
        <w:rPr>
          <w:rFonts w:cs="Arial"/>
          <w:color w:val="auto"/>
          <w:szCs w:val="22"/>
        </w:rPr>
        <w:t xml:space="preserve"> which may impact our service delivery to industry. This approach may result in </w:t>
      </w:r>
      <w:r w:rsidR="00674B51" w:rsidRPr="00504267">
        <w:rPr>
          <w:rFonts w:cs="Arial"/>
          <w:color w:val="auto"/>
          <w:szCs w:val="22"/>
        </w:rPr>
        <w:t xml:space="preserve">a </w:t>
      </w:r>
      <w:r w:rsidRPr="00504267">
        <w:rPr>
          <w:rFonts w:cs="Arial"/>
          <w:color w:val="auto"/>
          <w:szCs w:val="22"/>
        </w:rPr>
        <w:t xml:space="preserve">deficit </w:t>
      </w:r>
      <w:r w:rsidR="00C53326" w:rsidRPr="00504267">
        <w:rPr>
          <w:rFonts w:cs="Arial"/>
          <w:color w:val="auto"/>
          <w:szCs w:val="22"/>
        </w:rPr>
        <w:t xml:space="preserve">in </w:t>
      </w:r>
      <w:r w:rsidR="00137E7C" w:rsidRPr="00504267">
        <w:rPr>
          <w:rFonts w:cs="Arial"/>
          <w:color w:val="auto"/>
          <w:szCs w:val="22"/>
        </w:rPr>
        <w:t>2026-27 and</w:t>
      </w:r>
      <w:r w:rsidRPr="00504267">
        <w:rPr>
          <w:rFonts w:cs="Arial"/>
          <w:color w:val="auto"/>
          <w:szCs w:val="22"/>
        </w:rPr>
        <w:t xml:space="preserve"> further reduce cash reserves.</w:t>
      </w:r>
    </w:p>
    <w:p w14:paraId="281B9868" w14:textId="0A9EC418" w:rsidR="008C2622" w:rsidRPr="00504267" w:rsidRDefault="008C2622" w:rsidP="008C2622">
      <w:pPr>
        <w:rPr>
          <w:rFonts w:cs="Arial"/>
          <w:color w:val="auto"/>
          <w:szCs w:val="22"/>
        </w:rPr>
      </w:pPr>
      <w:r w:rsidRPr="00504267">
        <w:rPr>
          <w:rFonts w:cs="Arial"/>
          <w:color w:val="auto"/>
          <w:szCs w:val="22"/>
        </w:rPr>
        <w:t xml:space="preserve">While this approach minimises </w:t>
      </w:r>
      <w:r w:rsidR="00A57656" w:rsidRPr="00504267">
        <w:rPr>
          <w:rFonts w:cs="Arial"/>
          <w:color w:val="auto"/>
          <w:szCs w:val="22"/>
        </w:rPr>
        <w:t xml:space="preserve">the </w:t>
      </w:r>
      <w:r w:rsidRPr="00504267">
        <w:rPr>
          <w:rFonts w:cs="Arial"/>
          <w:color w:val="auto"/>
          <w:szCs w:val="22"/>
        </w:rPr>
        <w:t>immediate impact on industry</w:t>
      </w:r>
      <w:r w:rsidR="00A57656" w:rsidRPr="00504267">
        <w:rPr>
          <w:rFonts w:cs="Arial"/>
          <w:color w:val="auto"/>
          <w:szCs w:val="22"/>
        </w:rPr>
        <w:t xml:space="preserve">, </w:t>
      </w:r>
      <w:r w:rsidR="00AB14F2" w:rsidRPr="00504267">
        <w:rPr>
          <w:rFonts w:cs="Arial"/>
          <w:color w:val="auto"/>
          <w:szCs w:val="22"/>
        </w:rPr>
        <w:t xml:space="preserve">managing an </w:t>
      </w:r>
      <w:r w:rsidR="00AA6EDC" w:rsidRPr="00AA6EDC">
        <w:rPr>
          <w:rFonts w:cs="Arial"/>
          <w:color w:val="auto"/>
          <w:szCs w:val="22"/>
        </w:rPr>
        <w:t>ongoing operating</w:t>
      </w:r>
      <w:r w:rsidR="00A57656" w:rsidRPr="00504267">
        <w:rPr>
          <w:rFonts w:cs="Arial"/>
          <w:color w:val="auto"/>
          <w:szCs w:val="22"/>
        </w:rPr>
        <w:t xml:space="preserve"> deficit will put additional financial pressure on the TGA in future years which will </w:t>
      </w:r>
      <w:r w:rsidR="00AB14F2" w:rsidRPr="00504267">
        <w:rPr>
          <w:rFonts w:cs="Arial"/>
          <w:color w:val="auto"/>
          <w:szCs w:val="22"/>
        </w:rPr>
        <w:t>require</w:t>
      </w:r>
      <w:r w:rsidR="00A57656" w:rsidRPr="00504267">
        <w:rPr>
          <w:rFonts w:cs="Arial"/>
          <w:color w:val="auto"/>
          <w:szCs w:val="22"/>
        </w:rPr>
        <w:t xml:space="preserve"> careful consider</w:t>
      </w:r>
      <w:r w:rsidR="00AB14F2" w:rsidRPr="00504267">
        <w:rPr>
          <w:rFonts w:cs="Arial"/>
          <w:color w:val="auto"/>
          <w:szCs w:val="22"/>
        </w:rPr>
        <w:t>ation</w:t>
      </w:r>
      <w:r w:rsidR="00A57656" w:rsidRPr="00504267">
        <w:rPr>
          <w:rFonts w:cs="Arial"/>
          <w:color w:val="auto"/>
          <w:szCs w:val="22"/>
        </w:rPr>
        <w:t>.</w:t>
      </w:r>
    </w:p>
    <w:p w14:paraId="2FF33111" w14:textId="268C79DA" w:rsidR="00EC0578" w:rsidRPr="00504267" w:rsidRDefault="00EC0578" w:rsidP="003B40AF">
      <w:pPr>
        <w:rPr>
          <w:rFonts w:cs="Arial"/>
          <w:color w:val="auto"/>
          <w:szCs w:val="22"/>
        </w:rPr>
      </w:pPr>
      <w:r w:rsidRPr="00504267">
        <w:rPr>
          <w:rFonts w:cs="Arial"/>
          <w:color w:val="auto"/>
          <w:szCs w:val="22"/>
        </w:rPr>
        <w:t>When applying the above increase to annual charges, the additional increases from 2023</w:t>
      </w:r>
      <w:r w:rsidR="00504267">
        <w:rPr>
          <w:rFonts w:cs="Arial"/>
          <w:color w:val="auto"/>
          <w:szCs w:val="22"/>
        </w:rPr>
        <w:t>-</w:t>
      </w:r>
      <w:r w:rsidRPr="00504267">
        <w:rPr>
          <w:rFonts w:cs="Arial"/>
          <w:color w:val="auto"/>
          <w:szCs w:val="22"/>
        </w:rPr>
        <w:t>24 and 2024</w:t>
      </w:r>
      <w:r w:rsidR="00504267">
        <w:rPr>
          <w:rFonts w:cs="Arial"/>
          <w:color w:val="auto"/>
          <w:szCs w:val="22"/>
        </w:rPr>
        <w:t>-</w:t>
      </w:r>
      <w:r w:rsidRPr="00504267">
        <w:rPr>
          <w:rFonts w:cs="Arial"/>
          <w:color w:val="auto"/>
          <w:szCs w:val="22"/>
        </w:rPr>
        <w:t xml:space="preserve">25 for the TGA’s digital transformation program and UDI will be excluded from the base. As the increases for digital transformation and UDI varied across medicines, medical devices and biologicals, each class of goods will have a slightly different adjusted percentage increase for 2026-27. </w:t>
      </w:r>
    </w:p>
    <w:bookmarkEnd w:id="28"/>
    <w:p w14:paraId="4C3E6858" w14:textId="59EF4370" w:rsidR="001C175B" w:rsidRPr="00D80B1F" w:rsidRDefault="00D80BF3" w:rsidP="001C175B">
      <w:pPr>
        <w:rPr>
          <w:rFonts w:cs="Arial"/>
          <w:b/>
          <w:bCs/>
          <w:color w:val="auto"/>
          <w:szCs w:val="22"/>
        </w:rPr>
      </w:pPr>
      <w:r w:rsidRPr="00D80B1F">
        <w:rPr>
          <w:rFonts w:cs="Arial"/>
          <w:b/>
          <w:bCs/>
          <w:color w:val="auto"/>
          <w:szCs w:val="22"/>
        </w:rPr>
        <w:t xml:space="preserve">Table </w:t>
      </w:r>
      <w:proofErr w:type="gramStart"/>
      <w:r w:rsidRPr="00D80B1F">
        <w:rPr>
          <w:rFonts w:cs="Arial"/>
          <w:b/>
          <w:bCs/>
          <w:color w:val="auto"/>
          <w:szCs w:val="22"/>
        </w:rPr>
        <w:t>3.Pr</w:t>
      </w:r>
      <w:r w:rsidR="001C175B" w:rsidRPr="00D80B1F">
        <w:rPr>
          <w:rFonts w:cs="Arial"/>
          <w:b/>
          <w:bCs/>
          <w:color w:val="auto"/>
          <w:szCs w:val="22"/>
        </w:rPr>
        <w:t>oposed</w:t>
      </w:r>
      <w:proofErr w:type="gramEnd"/>
      <w:r w:rsidR="001C175B" w:rsidRPr="00D80B1F">
        <w:rPr>
          <w:rFonts w:cs="Arial"/>
          <w:b/>
          <w:bCs/>
          <w:color w:val="auto"/>
          <w:szCs w:val="22"/>
        </w:rPr>
        <w:t xml:space="preserve"> increase to TGA fees and charges </w:t>
      </w:r>
      <w:r w:rsidR="00F46C1C" w:rsidRPr="00D80B1F">
        <w:rPr>
          <w:rFonts w:cs="Arial"/>
          <w:b/>
          <w:bCs/>
          <w:color w:val="auto"/>
          <w:szCs w:val="22"/>
        </w:rPr>
        <w:t>for 2026</w:t>
      </w:r>
      <w:r w:rsidR="00504267" w:rsidRPr="00D80B1F">
        <w:rPr>
          <w:rFonts w:cs="Arial"/>
          <w:b/>
          <w:bCs/>
          <w:color w:val="auto"/>
          <w:szCs w:val="22"/>
        </w:rPr>
        <w:t>-</w:t>
      </w:r>
      <w:r w:rsidR="00F46C1C" w:rsidRPr="00D80B1F">
        <w:rPr>
          <w:rFonts w:cs="Arial"/>
          <w:b/>
          <w:bCs/>
          <w:color w:val="auto"/>
          <w:szCs w:val="22"/>
        </w:rPr>
        <w:t>27</w:t>
      </w:r>
      <w:r w:rsidR="001C175B" w:rsidRPr="00D80B1F">
        <w:rPr>
          <w:rFonts w:cs="Arial"/>
          <w:b/>
          <w:bCs/>
          <w:color w:val="auto"/>
          <w:szCs w:val="22"/>
        </w:rPr>
        <w:t xml:space="preserve"> </w:t>
      </w:r>
    </w:p>
    <w:tbl>
      <w:tblPr>
        <w:tblStyle w:val="TableTGAblue"/>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103"/>
        <w:gridCol w:w="2409"/>
      </w:tblGrid>
      <w:tr w:rsidR="00AA6EDC" w:rsidRPr="00AA6EDC" w14:paraId="0F51B4E7" w14:textId="77777777" w:rsidTr="004D4B20">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653" w:type="dxa"/>
            <w:gridSpan w:val="2"/>
            <w:shd w:val="clear" w:color="auto" w:fill="BED6FF" w:themeFill="accent1" w:themeFillTint="33"/>
            <w:vAlign w:val="center"/>
          </w:tcPr>
          <w:p w14:paraId="41709B72" w14:textId="42AFF013" w:rsidR="00823124" w:rsidRPr="00504267" w:rsidRDefault="00823124" w:rsidP="004D4B20">
            <w:pPr>
              <w:keepNext w:val="0"/>
              <w:spacing w:before="0" w:after="0" w:line="240" w:lineRule="auto"/>
              <w:rPr>
                <w:rFonts w:cs="Arial"/>
                <w:bCs/>
                <w:color w:val="auto"/>
                <w:szCs w:val="22"/>
              </w:rPr>
            </w:pPr>
            <w:bookmarkStart w:id="29" w:name="_Hlk215652759"/>
            <w:r w:rsidRPr="00504267">
              <w:rPr>
                <w:rFonts w:cs="Arial"/>
                <w:bCs/>
                <w:color w:val="auto"/>
                <w:szCs w:val="22"/>
              </w:rPr>
              <w:t xml:space="preserve">Option 2: </w:t>
            </w:r>
            <w:r w:rsidR="003943BC" w:rsidRPr="00504267">
              <w:rPr>
                <w:rFonts w:cs="Arial"/>
                <w:bCs/>
                <w:color w:val="auto"/>
                <w:szCs w:val="22"/>
              </w:rPr>
              <w:t>Partial recovery of known increase in costs</w:t>
            </w:r>
          </w:p>
        </w:tc>
        <w:tc>
          <w:tcPr>
            <w:tcW w:w="2409" w:type="dxa"/>
            <w:shd w:val="clear" w:color="auto" w:fill="BED6FF" w:themeFill="accent1" w:themeFillTint="33"/>
            <w:vAlign w:val="center"/>
          </w:tcPr>
          <w:p w14:paraId="18083E7B" w14:textId="5D1A25DC" w:rsidR="00823124" w:rsidRPr="00504267" w:rsidRDefault="00924E89" w:rsidP="004D4B20">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color w:val="auto"/>
                <w:szCs w:val="22"/>
              </w:rPr>
            </w:pPr>
            <w:r w:rsidRPr="00504267">
              <w:rPr>
                <w:rFonts w:cs="Arial"/>
                <w:color w:val="auto"/>
                <w:szCs w:val="22"/>
              </w:rPr>
              <w:t>Percentage Increase</w:t>
            </w:r>
          </w:p>
        </w:tc>
      </w:tr>
      <w:tr w:rsidR="00AA6EDC" w:rsidRPr="00AA6EDC" w14:paraId="249DCEE0" w14:textId="77777777" w:rsidTr="004D4B20">
        <w:trPr>
          <w:trHeight w:val="284"/>
        </w:trPr>
        <w:tc>
          <w:tcPr>
            <w:cnfStyle w:val="001000000000" w:firstRow="0" w:lastRow="0" w:firstColumn="1" w:lastColumn="0" w:oddVBand="0" w:evenVBand="0" w:oddHBand="0" w:evenHBand="0" w:firstRowFirstColumn="0" w:firstRowLastColumn="0" w:lastRowFirstColumn="0" w:lastRowLastColumn="0"/>
            <w:tcW w:w="6653" w:type="dxa"/>
            <w:gridSpan w:val="2"/>
            <w:vAlign w:val="center"/>
          </w:tcPr>
          <w:p w14:paraId="4C95A895" w14:textId="77777777" w:rsidR="00823124" w:rsidRPr="00504267" w:rsidRDefault="00823124" w:rsidP="004D4B20">
            <w:pPr>
              <w:spacing w:before="0" w:after="0" w:line="240" w:lineRule="auto"/>
              <w:rPr>
                <w:rFonts w:cs="Arial"/>
                <w:color w:val="auto"/>
                <w:szCs w:val="22"/>
              </w:rPr>
            </w:pPr>
            <w:r w:rsidRPr="00504267">
              <w:rPr>
                <w:rFonts w:cs="Arial"/>
                <w:color w:val="auto"/>
                <w:szCs w:val="22"/>
              </w:rPr>
              <w:t>All TGA Fees</w:t>
            </w:r>
          </w:p>
        </w:tc>
        <w:tc>
          <w:tcPr>
            <w:tcW w:w="2409" w:type="dxa"/>
            <w:vAlign w:val="center"/>
          </w:tcPr>
          <w:p w14:paraId="24712B7B" w14:textId="492DE22F" w:rsidR="00823124" w:rsidRPr="00504267" w:rsidRDefault="00823124" w:rsidP="004D4B20">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504267">
              <w:rPr>
                <w:rFonts w:cs="Arial"/>
                <w:color w:val="auto"/>
                <w:szCs w:val="22"/>
              </w:rPr>
              <w:t>4.3%</w:t>
            </w:r>
          </w:p>
        </w:tc>
      </w:tr>
      <w:tr w:rsidR="00AA6EDC" w:rsidRPr="00AA6EDC" w14:paraId="1139B7D8" w14:textId="77777777" w:rsidTr="004D4B20">
        <w:trPr>
          <w:cantSplit w:val="0"/>
          <w:trHeight w:val="284"/>
        </w:trPr>
        <w:tc>
          <w:tcPr>
            <w:cnfStyle w:val="001000000000" w:firstRow="0" w:lastRow="0" w:firstColumn="1" w:lastColumn="0" w:oddVBand="0" w:evenVBand="0" w:oddHBand="0" w:evenHBand="0" w:firstRowFirstColumn="0" w:firstRowLastColumn="0" w:lastRowFirstColumn="0" w:lastRowLastColumn="0"/>
            <w:tcW w:w="1550" w:type="dxa"/>
            <w:vMerge w:val="restart"/>
            <w:vAlign w:val="center"/>
          </w:tcPr>
          <w:p w14:paraId="55161BE6" w14:textId="77777777" w:rsidR="00823124" w:rsidRPr="00504267" w:rsidRDefault="00823124" w:rsidP="004D4B20">
            <w:pPr>
              <w:keepNext/>
              <w:spacing w:before="0" w:after="0" w:line="480" w:lineRule="auto"/>
              <w:rPr>
                <w:rFonts w:cs="Arial"/>
                <w:color w:val="auto"/>
                <w:szCs w:val="22"/>
              </w:rPr>
            </w:pPr>
          </w:p>
          <w:p w14:paraId="4C392D0E" w14:textId="77777777" w:rsidR="00823124" w:rsidRPr="00504267" w:rsidRDefault="00823124" w:rsidP="004D4B20">
            <w:pPr>
              <w:keepNext/>
              <w:spacing w:before="0" w:after="0" w:line="480" w:lineRule="auto"/>
              <w:rPr>
                <w:rFonts w:cs="Arial"/>
                <w:color w:val="auto"/>
                <w:szCs w:val="22"/>
              </w:rPr>
            </w:pPr>
            <w:r w:rsidRPr="00504267">
              <w:rPr>
                <w:rFonts w:cs="Arial"/>
                <w:color w:val="auto"/>
                <w:szCs w:val="22"/>
              </w:rPr>
              <w:t>Charges</w:t>
            </w:r>
          </w:p>
        </w:tc>
        <w:tc>
          <w:tcPr>
            <w:tcW w:w="5103" w:type="dxa"/>
            <w:vAlign w:val="center"/>
          </w:tcPr>
          <w:p w14:paraId="48825E82" w14:textId="77777777" w:rsidR="00823124" w:rsidRPr="00504267" w:rsidRDefault="00823124" w:rsidP="004D4B2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504267">
              <w:rPr>
                <w:rFonts w:cs="Arial"/>
                <w:color w:val="auto"/>
                <w:szCs w:val="22"/>
              </w:rPr>
              <w:t>Medicines and Biologicals Annual Charges</w:t>
            </w:r>
          </w:p>
        </w:tc>
        <w:tc>
          <w:tcPr>
            <w:tcW w:w="2409" w:type="dxa"/>
            <w:vAlign w:val="center"/>
          </w:tcPr>
          <w:p w14:paraId="4C7074B2" w14:textId="004AEFA2" w:rsidR="00823124" w:rsidRPr="00504267" w:rsidRDefault="00823124" w:rsidP="004D4B20">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504267">
              <w:rPr>
                <w:rFonts w:cs="Arial"/>
                <w:color w:val="auto"/>
                <w:szCs w:val="22"/>
              </w:rPr>
              <w:t>4.</w:t>
            </w:r>
            <w:r w:rsidR="006C291E" w:rsidRPr="00504267">
              <w:rPr>
                <w:rFonts w:cs="Arial"/>
                <w:color w:val="auto"/>
                <w:szCs w:val="22"/>
              </w:rPr>
              <w:t>2</w:t>
            </w:r>
            <w:r w:rsidRPr="00504267">
              <w:rPr>
                <w:rFonts w:cs="Arial"/>
                <w:color w:val="auto"/>
                <w:szCs w:val="22"/>
              </w:rPr>
              <w:t>%</w:t>
            </w:r>
          </w:p>
        </w:tc>
      </w:tr>
      <w:tr w:rsidR="00AA6EDC" w:rsidRPr="00AA6EDC" w14:paraId="287B0891" w14:textId="77777777" w:rsidTr="004D4B20">
        <w:trPr>
          <w:cantSplit w:val="0"/>
          <w:trHeight w:val="284"/>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14:paraId="6E4E9183" w14:textId="77777777" w:rsidR="00823124" w:rsidRPr="00504267" w:rsidRDefault="00823124" w:rsidP="004D4B20">
            <w:pPr>
              <w:keepNext/>
              <w:spacing w:before="0" w:after="0" w:line="240" w:lineRule="auto"/>
              <w:rPr>
                <w:rFonts w:cs="Arial"/>
                <w:color w:val="auto"/>
                <w:szCs w:val="22"/>
              </w:rPr>
            </w:pPr>
          </w:p>
        </w:tc>
        <w:tc>
          <w:tcPr>
            <w:tcW w:w="5103" w:type="dxa"/>
            <w:vAlign w:val="center"/>
          </w:tcPr>
          <w:p w14:paraId="573149B2" w14:textId="77777777" w:rsidR="00823124" w:rsidRPr="00504267" w:rsidRDefault="00823124" w:rsidP="004D4B2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504267">
              <w:rPr>
                <w:rFonts w:cs="Arial"/>
                <w:color w:val="auto"/>
                <w:szCs w:val="22"/>
              </w:rPr>
              <w:t>Medical Devices Class II and above</w:t>
            </w:r>
          </w:p>
        </w:tc>
        <w:tc>
          <w:tcPr>
            <w:tcW w:w="2409" w:type="dxa"/>
            <w:vAlign w:val="center"/>
          </w:tcPr>
          <w:p w14:paraId="18E51C4A" w14:textId="655F2A12" w:rsidR="00823124" w:rsidRPr="00504267" w:rsidRDefault="00823124" w:rsidP="004D4B20">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504267">
              <w:rPr>
                <w:rFonts w:cs="Arial"/>
                <w:color w:val="auto"/>
                <w:szCs w:val="22"/>
              </w:rPr>
              <w:t>4.</w:t>
            </w:r>
            <w:r w:rsidR="00476BA3" w:rsidRPr="00504267">
              <w:rPr>
                <w:rFonts w:cs="Arial"/>
                <w:color w:val="auto"/>
                <w:szCs w:val="22"/>
              </w:rPr>
              <w:t>0</w:t>
            </w:r>
            <w:r w:rsidRPr="00504267">
              <w:rPr>
                <w:rFonts w:cs="Arial"/>
                <w:color w:val="auto"/>
                <w:szCs w:val="22"/>
              </w:rPr>
              <w:t>%</w:t>
            </w:r>
          </w:p>
        </w:tc>
      </w:tr>
      <w:tr w:rsidR="00AA6EDC" w:rsidRPr="00AA6EDC" w14:paraId="0A02E27A" w14:textId="77777777" w:rsidTr="004D4B20">
        <w:trPr>
          <w:cantSplit w:val="0"/>
          <w:trHeight w:val="284"/>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14:paraId="130479AC" w14:textId="77777777" w:rsidR="00823124" w:rsidRPr="00504267" w:rsidRDefault="00823124" w:rsidP="004D4B20">
            <w:pPr>
              <w:keepNext/>
              <w:spacing w:before="0" w:after="0" w:line="240" w:lineRule="auto"/>
              <w:rPr>
                <w:rFonts w:cs="Arial"/>
                <w:color w:val="auto"/>
                <w:szCs w:val="22"/>
              </w:rPr>
            </w:pPr>
          </w:p>
        </w:tc>
        <w:tc>
          <w:tcPr>
            <w:tcW w:w="5103" w:type="dxa"/>
            <w:vAlign w:val="center"/>
          </w:tcPr>
          <w:p w14:paraId="2DBC6A8A" w14:textId="77777777" w:rsidR="00823124" w:rsidRPr="00504267" w:rsidRDefault="00823124" w:rsidP="004D4B2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504267">
              <w:rPr>
                <w:rFonts w:cs="Arial"/>
                <w:color w:val="auto"/>
                <w:szCs w:val="22"/>
              </w:rPr>
              <w:t>Other Medical Devices and IVD annual charges</w:t>
            </w:r>
          </w:p>
        </w:tc>
        <w:tc>
          <w:tcPr>
            <w:tcW w:w="2409" w:type="dxa"/>
            <w:vAlign w:val="center"/>
          </w:tcPr>
          <w:p w14:paraId="30500CAC" w14:textId="60D92B31" w:rsidR="00823124" w:rsidRPr="00504267" w:rsidRDefault="00823124" w:rsidP="004D4B20">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504267">
              <w:rPr>
                <w:rFonts w:cs="Arial"/>
                <w:color w:val="auto"/>
                <w:szCs w:val="22"/>
              </w:rPr>
              <w:t>4.1%</w:t>
            </w:r>
          </w:p>
        </w:tc>
      </w:tr>
      <w:tr w:rsidR="00AA6EDC" w:rsidRPr="00AA6EDC" w14:paraId="0D677529" w14:textId="77777777" w:rsidTr="004D4B20">
        <w:trPr>
          <w:cantSplit w:val="0"/>
          <w:trHeight w:val="284"/>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14:paraId="2BB71A71" w14:textId="77777777" w:rsidR="00823124" w:rsidRPr="00504267" w:rsidRDefault="00823124" w:rsidP="004D4B20">
            <w:pPr>
              <w:keepNext/>
              <w:spacing w:before="0" w:after="0" w:line="240" w:lineRule="auto"/>
              <w:rPr>
                <w:rFonts w:cs="Arial"/>
                <w:color w:val="auto"/>
                <w:szCs w:val="22"/>
              </w:rPr>
            </w:pPr>
          </w:p>
        </w:tc>
        <w:tc>
          <w:tcPr>
            <w:tcW w:w="5103" w:type="dxa"/>
            <w:vAlign w:val="center"/>
          </w:tcPr>
          <w:p w14:paraId="2A7E3CC4" w14:textId="7B1AABD0" w:rsidR="00823124" w:rsidRPr="00504267" w:rsidRDefault="00823124" w:rsidP="004D4B2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504267">
              <w:rPr>
                <w:rFonts w:cs="Arial"/>
                <w:color w:val="auto"/>
                <w:szCs w:val="22"/>
                <w:lang w:val="en-GB"/>
              </w:rPr>
              <w:t>Other annual charges i.e., manufacturing licences and OTG</w:t>
            </w:r>
            <w:r w:rsidR="005F279A" w:rsidRPr="00504267">
              <w:rPr>
                <w:rFonts w:cs="Arial"/>
                <w:color w:val="auto"/>
                <w:szCs w:val="22"/>
                <w:lang w:val="en-GB"/>
              </w:rPr>
              <w:t>s</w:t>
            </w:r>
          </w:p>
        </w:tc>
        <w:tc>
          <w:tcPr>
            <w:tcW w:w="2409" w:type="dxa"/>
            <w:vAlign w:val="center"/>
          </w:tcPr>
          <w:p w14:paraId="47EDEB44" w14:textId="065AD9A3" w:rsidR="00823124" w:rsidRPr="00504267" w:rsidRDefault="00823124" w:rsidP="004D4B20">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504267">
              <w:rPr>
                <w:rFonts w:cs="Arial"/>
                <w:color w:val="auto"/>
                <w:szCs w:val="22"/>
              </w:rPr>
              <w:t>4.</w:t>
            </w:r>
            <w:r w:rsidR="006C291E" w:rsidRPr="00504267">
              <w:rPr>
                <w:rFonts w:cs="Arial"/>
                <w:color w:val="auto"/>
                <w:szCs w:val="22"/>
              </w:rPr>
              <w:t>2</w:t>
            </w:r>
            <w:r w:rsidRPr="00504267">
              <w:rPr>
                <w:rFonts w:cs="Arial"/>
                <w:color w:val="auto"/>
                <w:szCs w:val="22"/>
              </w:rPr>
              <w:t>%</w:t>
            </w:r>
          </w:p>
        </w:tc>
      </w:tr>
    </w:tbl>
    <w:p w14:paraId="7027868F" w14:textId="3D88FA0E" w:rsidR="00FF27AE" w:rsidRPr="0085066D" w:rsidRDefault="00FF27AE" w:rsidP="00AB2E7F">
      <w:pPr>
        <w:pStyle w:val="Heading2"/>
        <w:rPr>
          <w:rFonts w:cs="Arial"/>
        </w:rPr>
      </w:pPr>
      <w:bookmarkStart w:id="30" w:name="_Toc218667294"/>
      <w:bookmarkStart w:id="31" w:name="_Toc215656958"/>
      <w:bookmarkStart w:id="32" w:name="_Toc218667296"/>
      <w:bookmarkStart w:id="33" w:name="_Toc215656959"/>
      <w:bookmarkStart w:id="34" w:name="_Toc218667297"/>
      <w:bookmarkStart w:id="35" w:name="_Toc215656995"/>
      <w:bookmarkStart w:id="36" w:name="_Toc218667333"/>
      <w:bookmarkStart w:id="37" w:name="_Toc215656996"/>
      <w:bookmarkStart w:id="38" w:name="_Toc218667334"/>
      <w:bookmarkStart w:id="39" w:name="_Toc215656997"/>
      <w:bookmarkStart w:id="40" w:name="_Toc218667335"/>
      <w:bookmarkStart w:id="41" w:name="_Toc215656998"/>
      <w:bookmarkStart w:id="42" w:name="_Toc218667336"/>
      <w:bookmarkStart w:id="43" w:name="_Toc21996825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85066D">
        <w:rPr>
          <w:rFonts w:cs="Arial"/>
        </w:rPr>
        <w:t>Summary of proposed changes</w:t>
      </w:r>
      <w:bookmarkEnd w:id="43"/>
      <w:r w:rsidRPr="0085066D">
        <w:rPr>
          <w:rFonts w:cs="Arial"/>
        </w:rPr>
        <w:t xml:space="preserve"> </w:t>
      </w:r>
    </w:p>
    <w:p w14:paraId="7CF28449" w14:textId="54C6700F" w:rsidR="00A34A77" w:rsidRPr="00D80B1F" w:rsidRDefault="00D80BF3" w:rsidP="00924E89">
      <w:pPr>
        <w:rPr>
          <w:rFonts w:cs="Arial"/>
          <w:b/>
          <w:bCs/>
          <w:color w:val="auto"/>
          <w:szCs w:val="22"/>
        </w:rPr>
      </w:pPr>
      <w:r w:rsidRPr="00D80B1F">
        <w:rPr>
          <w:rFonts w:cs="Arial"/>
          <w:b/>
          <w:bCs/>
          <w:color w:val="auto"/>
          <w:szCs w:val="22"/>
        </w:rPr>
        <w:t xml:space="preserve">Table 4. </w:t>
      </w:r>
      <w:r w:rsidR="00E041BA">
        <w:rPr>
          <w:rFonts w:cs="Arial"/>
          <w:b/>
          <w:bCs/>
          <w:color w:val="auto"/>
          <w:szCs w:val="22"/>
        </w:rPr>
        <w:t>Comparison of proposed</w:t>
      </w:r>
      <w:r w:rsidR="00A34A77" w:rsidRPr="00D80B1F">
        <w:rPr>
          <w:rFonts w:cs="Arial"/>
          <w:b/>
          <w:bCs/>
          <w:color w:val="auto"/>
          <w:szCs w:val="22"/>
        </w:rPr>
        <w:t xml:space="preserve"> increase to TGA fees and charges for </w:t>
      </w:r>
      <w:r w:rsidR="00F46C1C" w:rsidRPr="00D80B1F">
        <w:rPr>
          <w:rFonts w:cs="Arial"/>
          <w:b/>
          <w:bCs/>
          <w:color w:val="auto"/>
          <w:szCs w:val="22"/>
        </w:rPr>
        <w:t>2026</w:t>
      </w:r>
      <w:r w:rsidR="00504267" w:rsidRPr="00D80B1F">
        <w:rPr>
          <w:rFonts w:cs="Arial"/>
          <w:b/>
          <w:bCs/>
          <w:color w:val="auto"/>
          <w:szCs w:val="22"/>
        </w:rPr>
        <w:t>-</w:t>
      </w:r>
      <w:r w:rsidR="00F46C1C" w:rsidRPr="00D80B1F">
        <w:rPr>
          <w:rFonts w:cs="Arial"/>
          <w:b/>
          <w:bCs/>
          <w:color w:val="auto"/>
          <w:szCs w:val="22"/>
        </w:rPr>
        <w:t xml:space="preserve">27 </w:t>
      </w:r>
      <w:r w:rsidR="005F279A" w:rsidRPr="00D80B1F">
        <w:rPr>
          <w:rFonts w:cs="Arial"/>
          <w:b/>
          <w:bCs/>
          <w:color w:val="auto"/>
          <w:szCs w:val="22"/>
        </w:rPr>
        <w:t>under the two options</w:t>
      </w:r>
    </w:p>
    <w:tbl>
      <w:tblPr>
        <w:tblW w:w="9062" w:type="dxa"/>
        <w:tblLook w:val="04A0" w:firstRow="1" w:lastRow="0" w:firstColumn="1" w:lastColumn="0" w:noHBand="0" w:noVBand="1"/>
      </w:tblPr>
      <w:tblGrid>
        <w:gridCol w:w="1048"/>
        <w:gridCol w:w="3233"/>
        <w:gridCol w:w="1691"/>
        <w:gridCol w:w="1547"/>
        <w:gridCol w:w="1543"/>
      </w:tblGrid>
      <w:tr w:rsidR="00516432" w:rsidRPr="0015453D" w14:paraId="6F191B8F" w14:textId="77777777" w:rsidTr="0091108B">
        <w:trPr>
          <w:trHeight w:val="288"/>
        </w:trPr>
        <w:tc>
          <w:tcPr>
            <w:tcW w:w="4243" w:type="dxa"/>
            <w:gridSpan w:val="2"/>
            <w:vMerge w:val="restart"/>
            <w:tcBorders>
              <w:top w:val="single" w:sz="4" w:space="0" w:color="auto"/>
              <w:left w:val="single" w:sz="4" w:space="0" w:color="auto"/>
              <w:bottom w:val="single" w:sz="4" w:space="0" w:color="auto"/>
              <w:right w:val="single" w:sz="4" w:space="0" w:color="auto"/>
            </w:tcBorders>
            <w:shd w:val="clear" w:color="000000" w:fill="B8CCEA"/>
            <w:vAlign w:val="center"/>
            <w:hideMark/>
          </w:tcPr>
          <w:p w14:paraId="523AA15A" w14:textId="77777777" w:rsidR="00516432" w:rsidRPr="00504267" w:rsidRDefault="00516432" w:rsidP="00516432">
            <w:pPr>
              <w:spacing w:before="0" w:after="0" w:line="240" w:lineRule="auto"/>
              <w:rPr>
                <w:rFonts w:eastAsia="Times New Roman" w:cs="Arial"/>
                <w:b/>
                <w:bCs/>
                <w:color w:val="auto"/>
                <w:szCs w:val="22"/>
                <w:lang w:eastAsia="en-AU"/>
              </w:rPr>
            </w:pPr>
            <w:r w:rsidRPr="00504267">
              <w:rPr>
                <w:rFonts w:eastAsia="Times New Roman" w:cs="Arial"/>
                <w:b/>
                <w:bCs/>
                <w:color w:val="auto"/>
                <w:szCs w:val="22"/>
                <w:lang w:eastAsia="en-AU"/>
              </w:rPr>
              <w:t>Fees and Charges</w:t>
            </w:r>
          </w:p>
        </w:tc>
        <w:tc>
          <w:tcPr>
            <w:tcW w:w="1706" w:type="dxa"/>
            <w:vMerge w:val="restart"/>
            <w:tcBorders>
              <w:top w:val="single" w:sz="4" w:space="0" w:color="auto"/>
              <w:left w:val="single" w:sz="4" w:space="0" w:color="auto"/>
              <w:bottom w:val="single" w:sz="4" w:space="0" w:color="auto"/>
              <w:right w:val="single" w:sz="4" w:space="0" w:color="auto"/>
            </w:tcBorders>
            <w:shd w:val="clear" w:color="000000" w:fill="B8CCEA"/>
            <w:vAlign w:val="center"/>
            <w:hideMark/>
          </w:tcPr>
          <w:p w14:paraId="2E4CD5DC" w14:textId="77777777" w:rsidR="00516432" w:rsidRPr="00504267" w:rsidRDefault="00516432" w:rsidP="00516432">
            <w:pPr>
              <w:spacing w:before="0" w:after="0" w:line="240" w:lineRule="auto"/>
              <w:rPr>
                <w:rFonts w:eastAsia="Times New Roman" w:cs="Arial"/>
                <w:b/>
                <w:bCs/>
                <w:color w:val="auto"/>
                <w:szCs w:val="22"/>
                <w:lang w:eastAsia="en-AU"/>
              </w:rPr>
            </w:pPr>
            <w:r w:rsidRPr="00504267">
              <w:rPr>
                <w:rFonts w:eastAsia="Times New Roman" w:cs="Arial"/>
                <w:b/>
                <w:bCs/>
                <w:color w:val="auto"/>
                <w:szCs w:val="22"/>
                <w:lang w:eastAsia="en-AU"/>
              </w:rPr>
              <w:t>Indexed Based Increase</w:t>
            </w:r>
          </w:p>
        </w:tc>
        <w:tc>
          <w:tcPr>
            <w:tcW w:w="1559" w:type="dxa"/>
            <w:tcBorders>
              <w:top w:val="single" w:sz="4" w:space="0" w:color="auto"/>
              <w:left w:val="single" w:sz="4" w:space="0" w:color="auto"/>
              <w:bottom w:val="single" w:sz="4" w:space="0" w:color="auto"/>
              <w:right w:val="single" w:sz="4" w:space="0" w:color="auto"/>
            </w:tcBorders>
            <w:shd w:val="clear" w:color="000000" w:fill="B8CCEA"/>
            <w:vAlign w:val="center"/>
            <w:hideMark/>
          </w:tcPr>
          <w:p w14:paraId="54B51C6E" w14:textId="77777777" w:rsidR="00516432" w:rsidRPr="00504267" w:rsidRDefault="00516432" w:rsidP="00516432">
            <w:pPr>
              <w:spacing w:before="0" w:after="0" w:line="240" w:lineRule="auto"/>
              <w:jc w:val="center"/>
              <w:rPr>
                <w:rFonts w:eastAsia="Times New Roman" w:cs="Arial"/>
                <w:b/>
                <w:bCs/>
                <w:color w:val="auto"/>
                <w:szCs w:val="22"/>
                <w:lang w:eastAsia="en-AU"/>
              </w:rPr>
            </w:pPr>
            <w:r w:rsidRPr="00504267">
              <w:rPr>
                <w:rFonts w:eastAsia="Times New Roman" w:cs="Arial"/>
                <w:b/>
                <w:bCs/>
                <w:color w:val="auto"/>
                <w:szCs w:val="22"/>
                <w:lang w:eastAsia="en-AU"/>
              </w:rPr>
              <w:t>Option 1</w:t>
            </w:r>
          </w:p>
        </w:tc>
        <w:tc>
          <w:tcPr>
            <w:tcW w:w="1554" w:type="dxa"/>
            <w:tcBorders>
              <w:top w:val="single" w:sz="4" w:space="0" w:color="auto"/>
              <w:left w:val="single" w:sz="4" w:space="0" w:color="auto"/>
              <w:bottom w:val="single" w:sz="4" w:space="0" w:color="auto"/>
              <w:right w:val="single" w:sz="4" w:space="0" w:color="auto"/>
            </w:tcBorders>
            <w:shd w:val="clear" w:color="000000" w:fill="B8CCEA"/>
            <w:vAlign w:val="center"/>
            <w:hideMark/>
          </w:tcPr>
          <w:p w14:paraId="43109B0D" w14:textId="77777777" w:rsidR="00516432" w:rsidRPr="00504267" w:rsidRDefault="00516432" w:rsidP="00516432">
            <w:pPr>
              <w:spacing w:before="0" w:after="0" w:line="240" w:lineRule="auto"/>
              <w:jc w:val="center"/>
              <w:rPr>
                <w:rFonts w:eastAsia="Times New Roman" w:cs="Arial"/>
                <w:b/>
                <w:bCs/>
                <w:color w:val="auto"/>
                <w:szCs w:val="22"/>
                <w:lang w:eastAsia="en-AU"/>
              </w:rPr>
            </w:pPr>
            <w:r w:rsidRPr="00504267">
              <w:rPr>
                <w:rFonts w:eastAsia="Times New Roman" w:cs="Arial"/>
                <w:b/>
                <w:bCs/>
                <w:color w:val="auto"/>
                <w:szCs w:val="22"/>
                <w:lang w:eastAsia="en-AU"/>
              </w:rPr>
              <w:t>Option 2</w:t>
            </w:r>
          </w:p>
        </w:tc>
      </w:tr>
      <w:tr w:rsidR="00516432" w:rsidRPr="0015453D" w14:paraId="7A569976" w14:textId="77777777" w:rsidTr="0091108B">
        <w:trPr>
          <w:trHeight w:val="276"/>
        </w:trPr>
        <w:tc>
          <w:tcPr>
            <w:tcW w:w="4243" w:type="dxa"/>
            <w:gridSpan w:val="2"/>
            <w:vMerge/>
            <w:tcBorders>
              <w:top w:val="single" w:sz="4" w:space="0" w:color="auto"/>
              <w:left w:val="single" w:sz="4" w:space="0" w:color="auto"/>
              <w:bottom w:val="single" w:sz="4" w:space="0" w:color="auto"/>
              <w:right w:val="single" w:sz="4" w:space="0" w:color="auto"/>
            </w:tcBorders>
            <w:vAlign w:val="center"/>
            <w:hideMark/>
          </w:tcPr>
          <w:p w14:paraId="314334FC" w14:textId="77777777" w:rsidR="00516432" w:rsidRPr="00504267" w:rsidRDefault="00516432" w:rsidP="00516432">
            <w:pPr>
              <w:spacing w:before="0" w:after="0" w:line="240" w:lineRule="auto"/>
              <w:rPr>
                <w:rFonts w:eastAsia="Times New Roman" w:cs="Arial"/>
                <w:b/>
                <w:bCs/>
                <w:color w:val="auto"/>
                <w:szCs w:val="22"/>
                <w:lang w:eastAsia="en-A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14:paraId="7A548115" w14:textId="77777777" w:rsidR="00516432" w:rsidRPr="00504267" w:rsidRDefault="00516432" w:rsidP="00516432">
            <w:pPr>
              <w:spacing w:before="0" w:after="0" w:line="240" w:lineRule="auto"/>
              <w:rPr>
                <w:rFonts w:eastAsia="Times New Roman" w:cs="Arial"/>
                <w:b/>
                <w:bCs/>
                <w:color w:val="auto"/>
                <w:szCs w:val="22"/>
                <w:lang w:eastAsia="en-AU"/>
              </w:rPr>
            </w:pPr>
          </w:p>
        </w:tc>
        <w:tc>
          <w:tcPr>
            <w:tcW w:w="1559" w:type="dxa"/>
            <w:tcBorders>
              <w:top w:val="single" w:sz="4" w:space="0" w:color="auto"/>
              <w:left w:val="single" w:sz="4" w:space="0" w:color="auto"/>
              <w:bottom w:val="single" w:sz="4" w:space="0" w:color="auto"/>
              <w:right w:val="single" w:sz="4" w:space="0" w:color="auto"/>
            </w:tcBorders>
            <w:shd w:val="clear" w:color="000000" w:fill="B8CCEA"/>
            <w:vAlign w:val="center"/>
            <w:hideMark/>
          </w:tcPr>
          <w:p w14:paraId="16E90528" w14:textId="77777777" w:rsidR="00516432" w:rsidRPr="00504267" w:rsidRDefault="00516432" w:rsidP="00516432">
            <w:pPr>
              <w:spacing w:before="0" w:after="0" w:line="240" w:lineRule="auto"/>
              <w:jc w:val="center"/>
              <w:rPr>
                <w:rFonts w:eastAsia="Times New Roman" w:cs="Arial"/>
                <w:b/>
                <w:bCs/>
                <w:color w:val="auto"/>
                <w:szCs w:val="22"/>
                <w:lang w:eastAsia="en-AU"/>
              </w:rPr>
            </w:pPr>
            <w:r w:rsidRPr="00504267">
              <w:rPr>
                <w:rFonts w:eastAsia="Times New Roman" w:cs="Arial"/>
                <w:b/>
                <w:bCs/>
                <w:color w:val="auto"/>
                <w:szCs w:val="22"/>
                <w:lang w:eastAsia="en-AU"/>
              </w:rPr>
              <w:t>Increase - 2026-27</w:t>
            </w:r>
          </w:p>
        </w:tc>
        <w:tc>
          <w:tcPr>
            <w:tcW w:w="1554" w:type="dxa"/>
            <w:tcBorders>
              <w:top w:val="single" w:sz="4" w:space="0" w:color="auto"/>
              <w:left w:val="single" w:sz="4" w:space="0" w:color="auto"/>
              <w:bottom w:val="single" w:sz="4" w:space="0" w:color="auto"/>
              <w:right w:val="single" w:sz="4" w:space="0" w:color="auto"/>
            </w:tcBorders>
            <w:shd w:val="clear" w:color="000000" w:fill="B8CCEA"/>
            <w:vAlign w:val="center"/>
            <w:hideMark/>
          </w:tcPr>
          <w:p w14:paraId="04779332" w14:textId="77777777" w:rsidR="00516432" w:rsidRPr="00504267" w:rsidRDefault="00516432" w:rsidP="00516432">
            <w:pPr>
              <w:spacing w:before="0" w:after="0" w:line="240" w:lineRule="auto"/>
              <w:jc w:val="center"/>
              <w:rPr>
                <w:rFonts w:eastAsia="Times New Roman" w:cs="Arial"/>
                <w:b/>
                <w:bCs/>
                <w:color w:val="auto"/>
                <w:szCs w:val="22"/>
                <w:lang w:eastAsia="en-AU"/>
              </w:rPr>
            </w:pPr>
            <w:r w:rsidRPr="00504267">
              <w:rPr>
                <w:rFonts w:eastAsia="Times New Roman" w:cs="Arial"/>
                <w:b/>
                <w:bCs/>
                <w:color w:val="auto"/>
                <w:szCs w:val="22"/>
                <w:lang w:eastAsia="en-AU"/>
              </w:rPr>
              <w:t>Increase - 2026-27</w:t>
            </w:r>
          </w:p>
        </w:tc>
      </w:tr>
      <w:tr w:rsidR="00516432" w:rsidRPr="0015453D" w14:paraId="48064954" w14:textId="77777777" w:rsidTr="0091108B">
        <w:trPr>
          <w:trHeight w:val="276"/>
        </w:trPr>
        <w:tc>
          <w:tcPr>
            <w:tcW w:w="967" w:type="dxa"/>
            <w:tcBorders>
              <w:top w:val="single" w:sz="4" w:space="0" w:color="auto"/>
              <w:left w:val="single" w:sz="4" w:space="0" w:color="auto"/>
              <w:bottom w:val="single" w:sz="4" w:space="0" w:color="auto"/>
              <w:right w:val="single" w:sz="4" w:space="0" w:color="auto"/>
            </w:tcBorders>
            <w:vAlign w:val="center"/>
            <w:hideMark/>
          </w:tcPr>
          <w:p w14:paraId="674A3BD3" w14:textId="77777777" w:rsidR="00516432" w:rsidRPr="00504267" w:rsidRDefault="00516432" w:rsidP="00516432">
            <w:pPr>
              <w:spacing w:before="0" w:after="0" w:line="240" w:lineRule="auto"/>
              <w:rPr>
                <w:rFonts w:eastAsia="Times New Roman" w:cs="Arial"/>
                <w:color w:val="auto"/>
                <w:szCs w:val="22"/>
                <w:lang w:eastAsia="en-AU"/>
              </w:rPr>
            </w:pPr>
            <w:r w:rsidRPr="00504267">
              <w:rPr>
                <w:rFonts w:eastAsia="Times New Roman" w:cs="Arial"/>
                <w:color w:val="auto"/>
                <w:szCs w:val="22"/>
                <w:lang w:eastAsia="en-AU"/>
              </w:rPr>
              <w:t>Fees</w:t>
            </w:r>
          </w:p>
        </w:tc>
        <w:tc>
          <w:tcPr>
            <w:tcW w:w="3276" w:type="dxa"/>
            <w:tcBorders>
              <w:top w:val="single" w:sz="4" w:space="0" w:color="auto"/>
              <w:left w:val="single" w:sz="4" w:space="0" w:color="auto"/>
              <w:bottom w:val="single" w:sz="4" w:space="0" w:color="auto"/>
              <w:right w:val="single" w:sz="4" w:space="0" w:color="auto"/>
            </w:tcBorders>
            <w:vAlign w:val="center"/>
            <w:hideMark/>
          </w:tcPr>
          <w:p w14:paraId="25E60683" w14:textId="77777777" w:rsidR="00516432" w:rsidRPr="00504267" w:rsidRDefault="00516432" w:rsidP="00516432">
            <w:pPr>
              <w:spacing w:before="0" w:after="0" w:line="240" w:lineRule="auto"/>
              <w:rPr>
                <w:rFonts w:eastAsia="Times New Roman" w:cs="Arial"/>
                <w:color w:val="auto"/>
                <w:szCs w:val="22"/>
                <w:lang w:eastAsia="en-AU"/>
              </w:rPr>
            </w:pPr>
            <w:r w:rsidRPr="00504267">
              <w:rPr>
                <w:rFonts w:eastAsia="Times New Roman" w:cs="Arial"/>
                <w:color w:val="auto"/>
                <w:szCs w:val="22"/>
                <w:lang w:eastAsia="en-AU"/>
              </w:rPr>
              <w:t>All TGA Fees</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494A8E9" w14:textId="0FB98A06" w:rsidR="00516432" w:rsidRPr="00504267" w:rsidRDefault="00516432" w:rsidP="00516432">
            <w:pPr>
              <w:spacing w:before="0" w:after="0" w:line="240" w:lineRule="auto"/>
              <w:jc w:val="center"/>
              <w:rPr>
                <w:rFonts w:eastAsia="Times New Roman" w:cs="Arial"/>
                <w:color w:val="auto"/>
                <w:szCs w:val="22"/>
                <w:lang w:eastAsia="en-AU"/>
              </w:rPr>
            </w:pPr>
            <w:r w:rsidRPr="00504267">
              <w:rPr>
                <w:rFonts w:eastAsia="Times New Roman" w:cs="Arial"/>
                <w:color w:val="auto"/>
                <w:szCs w:val="22"/>
                <w:lang w:eastAsia="en-AU"/>
              </w:rPr>
              <w:t>3.3%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209389" w14:textId="478285C5" w:rsidR="00516432" w:rsidRPr="00504267" w:rsidRDefault="00516432" w:rsidP="00516432">
            <w:pPr>
              <w:spacing w:before="0" w:after="0" w:line="240" w:lineRule="auto"/>
              <w:jc w:val="center"/>
              <w:rPr>
                <w:rFonts w:eastAsia="Times New Roman" w:cs="Arial"/>
                <w:color w:val="auto"/>
                <w:szCs w:val="22"/>
                <w:lang w:eastAsia="en-AU"/>
              </w:rPr>
            </w:pPr>
            <w:r w:rsidRPr="00504267">
              <w:rPr>
                <w:rFonts w:eastAsia="Times New Roman" w:cs="Arial"/>
                <w:color w:val="auto"/>
                <w:szCs w:val="22"/>
                <w:lang w:eastAsia="en-AU"/>
              </w:rPr>
              <w:t>4.8%</w:t>
            </w:r>
          </w:p>
        </w:tc>
        <w:tc>
          <w:tcPr>
            <w:tcW w:w="1554" w:type="dxa"/>
            <w:tcBorders>
              <w:top w:val="single" w:sz="4" w:space="0" w:color="auto"/>
              <w:left w:val="single" w:sz="4" w:space="0" w:color="auto"/>
              <w:bottom w:val="single" w:sz="4" w:space="0" w:color="auto"/>
              <w:right w:val="single" w:sz="4" w:space="0" w:color="auto"/>
            </w:tcBorders>
            <w:vAlign w:val="center"/>
            <w:hideMark/>
          </w:tcPr>
          <w:p w14:paraId="3AC8E502" w14:textId="1641EAC2" w:rsidR="00516432" w:rsidRPr="00504267" w:rsidRDefault="00516432" w:rsidP="00516432">
            <w:pPr>
              <w:spacing w:before="0" w:after="0" w:line="240" w:lineRule="auto"/>
              <w:jc w:val="center"/>
              <w:rPr>
                <w:rFonts w:eastAsia="Times New Roman" w:cs="Arial"/>
                <w:color w:val="auto"/>
                <w:szCs w:val="22"/>
                <w:lang w:eastAsia="en-AU"/>
              </w:rPr>
            </w:pPr>
            <w:r w:rsidRPr="00504267">
              <w:rPr>
                <w:rFonts w:eastAsia="Times New Roman" w:cs="Arial"/>
                <w:color w:val="auto"/>
                <w:szCs w:val="22"/>
                <w:lang w:eastAsia="en-AU"/>
              </w:rPr>
              <w:t>4.3%</w:t>
            </w:r>
          </w:p>
        </w:tc>
      </w:tr>
      <w:tr w:rsidR="00516432" w:rsidRPr="0015453D" w14:paraId="0C85C810" w14:textId="77777777" w:rsidTr="0091108B">
        <w:trPr>
          <w:trHeight w:val="276"/>
        </w:trPr>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3437FFEC" w14:textId="77777777" w:rsidR="00516432" w:rsidRPr="00504267" w:rsidRDefault="00516432" w:rsidP="00516432">
            <w:pPr>
              <w:spacing w:before="0" w:after="0" w:line="240" w:lineRule="auto"/>
              <w:rPr>
                <w:rFonts w:eastAsia="Times New Roman" w:cs="Arial"/>
                <w:color w:val="auto"/>
                <w:szCs w:val="22"/>
                <w:lang w:eastAsia="en-AU"/>
              </w:rPr>
            </w:pPr>
            <w:r w:rsidRPr="00504267">
              <w:rPr>
                <w:rFonts w:eastAsia="Times New Roman" w:cs="Arial"/>
                <w:color w:val="auto"/>
                <w:szCs w:val="22"/>
                <w:lang w:eastAsia="en-AU"/>
              </w:rPr>
              <w:t>Charges</w:t>
            </w:r>
          </w:p>
        </w:tc>
        <w:tc>
          <w:tcPr>
            <w:tcW w:w="3276" w:type="dxa"/>
            <w:tcBorders>
              <w:top w:val="single" w:sz="4" w:space="0" w:color="auto"/>
              <w:left w:val="single" w:sz="4" w:space="0" w:color="auto"/>
              <w:bottom w:val="single" w:sz="4" w:space="0" w:color="auto"/>
              <w:right w:val="single" w:sz="4" w:space="0" w:color="auto"/>
            </w:tcBorders>
            <w:vAlign w:val="center"/>
            <w:hideMark/>
          </w:tcPr>
          <w:p w14:paraId="6361C37E" w14:textId="77777777" w:rsidR="00516432" w:rsidRPr="00504267" w:rsidRDefault="00516432" w:rsidP="00516432">
            <w:pPr>
              <w:spacing w:before="0" w:after="0" w:line="240" w:lineRule="auto"/>
              <w:rPr>
                <w:rFonts w:eastAsia="Times New Roman" w:cs="Arial"/>
                <w:color w:val="auto"/>
                <w:szCs w:val="22"/>
                <w:lang w:eastAsia="en-AU"/>
              </w:rPr>
            </w:pPr>
            <w:r w:rsidRPr="00504267">
              <w:rPr>
                <w:rFonts w:eastAsia="Times New Roman" w:cs="Arial"/>
                <w:color w:val="auto"/>
                <w:szCs w:val="22"/>
                <w:lang w:eastAsia="en-AU"/>
              </w:rPr>
              <w:t>Medicines and Biologicals annual charges</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895B2E8" w14:textId="6C9F146E" w:rsidR="00516432" w:rsidRPr="00504267" w:rsidRDefault="00516432" w:rsidP="00516432">
            <w:pPr>
              <w:spacing w:before="0" w:after="0" w:line="240" w:lineRule="auto"/>
              <w:jc w:val="center"/>
              <w:rPr>
                <w:rFonts w:eastAsia="Times New Roman" w:cs="Arial"/>
                <w:color w:val="auto"/>
                <w:szCs w:val="22"/>
                <w:lang w:eastAsia="en-AU"/>
              </w:rPr>
            </w:pPr>
            <w:r w:rsidRPr="00504267">
              <w:rPr>
                <w:rFonts w:eastAsia="Times New Roman" w:cs="Arial"/>
                <w:color w:val="auto"/>
                <w:szCs w:val="22"/>
                <w:lang w:eastAsia="en-AU"/>
              </w:rPr>
              <w:t>3.2%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FD4AF7" w14:textId="7552C4C8" w:rsidR="00516432" w:rsidRPr="00504267" w:rsidRDefault="00516432" w:rsidP="00516432">
            <w:pPr>
              <w:spacing w:before="0" w:after="0" w:line="240" w:lineRule="auto"/>
              <w:jc w:val="center"/>
              <w:rPr>
                <w:rFonts w:eastAsia="Times New Roman" w:cs="Arial"/>
                <w:color w:val="auto"/>
                <w:szCs w:val="22"/>
                <w:lang w:eastAsia="en-AU"/>
              </w:rPr>
            </w:pPr>
            <w:r w:rsidRPr="00504267">
              <w:rPr>
                <w:rFonts w:eastAsia="Times New Roman" w:cs="Arial"/>
                <w:color w:val="auto"/>
                <w:szCs w:val="22"/>
                <w:lang w:eastAsia="en-AU"/>
              </w:rPr>
              <w:t>6.3%</w:t>
            </w:r>
          </w:p>
        </w:tc>
        <w:tc>
          <w:tcPr>
            <w:tcW w:w="1554" w:type="dxa"/>
            <w:tcBorders>
              <w:top w:val="single" w:sz="4" w:space="0" w:color="auto"/>
              <w:left w:val="single" w:sz="4" w:space="0" w:color="auto"/>
              <w:bottom w:val="single" w:sz="4" w:space="0" w:color="auto"/>
              <w:right w:val="single" w:sz="4" w:space="0" w:color="auto"/>
            </w:tcBorders>
            <w:vAlign w:val="center"/>
            <w:hideMark/>
          </w:tcPr>
          <w:p w14:paraId="4D31DA05" w14:textId="79D7D48A" w:rsidR="00516432" w:rsidRPr="00504267" w:rsidRDefault="00516432" w:rsidP="00516432">
            <w:pPr>
              <w:spacing w:before="0" w:after="0" w:line="240" w:lineRule="auto"/>
              <w:jc w:val="center"/>
              <w:rPr>
                <w:rFonts w:eastAsia="Times New Roman" w:cs="Arial"/>
                <w:color w:val="auto"/>
                <w:szCs w:val="22"/>
                <w:lang w:eastAsia="en-AU"/>
              </w:rPr>
            </w:pPr>
            <w:r w:rsidRPr="00504267">
              <w:rPr>
                <w:rFonts w:eastAsia="Times New Roman" w:cs="Arial"/>
                <w:color w:val="auto"/>
                <w:szCs w:val="22"/>
                <w:lang w:eastAsia="en-AU"/>
              </w:rPr>
              <w:t>4.2%</w:t>
            </w:r>
          </w:p>
        </w:tc>
      </w:tr>
      <w:tr w:rsidR="00516432" w:rsidRPr="0015453D" w14:paraId="34C06464" w14:textId="77777777" w:rsidTr="0091108B">
        <w:trPr>
          <w:trHeight w:val="276"/>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0358C3EA" w14:textId="77777777" w:rsidR="00516432" w:rsidRPr="00504267" w:rsidRDefault="00516432" w:rsidP="00516432">
            <w:pPr>
              <w:spacing w:before="0" w:after="0" w:line="240" w:lineRule="auto"/>
              <w:rPr>
                <w:rFonts w:eastAsia="Times New Roman" w:cs="Arial"/>
                <w:color w:val="auto"/>
                <w:szCs w:val="22"/>
                <w:lang w:eastAsia="en-AU"/>
              </w:rPr>
            </w:pPr>
          </w:p>
        </w:tc>
        <w:tc>
          <w:tcPr>
            <w:tcW w:w="3276" w:type="dxa"/>
            <w:tcBorders>
              <w:top w:val="single" w:sz="4" w:space="0" w:color="auto"/>
              <w:left w:val="single" w:sz="4" w:space="0" w:color="auto"/>
              <w:bottom w:val="single" w:sz="4" w:space="0" w:color="auto"/>
              <w:right w:val="single" w:sz="4" w:space="0" w:color="auto"/>
            </w:tcBorders>
            <w:vAlign w:val="center"/>
            <w:hideMark/>
          </w:tcPr>
          <w:p w14:paraId="7F60A106" w14:textId="77777777" w:rsidR="00516432" w:rsidRPr="00504267" w:rsidRDefault="00516432" w:rsidP="00516432">
            <w:pPr>
              <w:spacing w:before="0" w:after="0" w:line="240" w:lineRule="auto"/>
              <w:rPr>
                <w:rFonts w:eastAsia="Times New Roman" w:cs="Arial"/>
                <w:color w:val="auto"/>
                <w:szCs w:val="22"/>
                <w:lang w:eastAsia="en-AU"/>
              </w:rPr>
            </w:pPr>
            <w:r w:rsidRPr="00504267">
              <w:rPr>
                <w:rFonts w:eastAsia="Times New Roman" w:cs="Arial"/>
                <w:color w:val="auto"/>
                <w:szCs w:val="22"/>
                <w:lang w:eastAsia="en-AU"/>
              </w:rPr>
              <w:t xml:space="preserve">Medical Devices Class II and above </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90E6C26" w14:textId="2F1534A7" w:rsidR="00516432" w:rsidRPr="00504267" w:rsidRDefault="00516432" w:rsidP="00516432">
            <w:pPr>
              <w:spacing w:before="0" w:after="0" w:line="240" w:lineRule="auto"/>
              <w:jc w:val="center"/>
              <w:rPr>
                <w:rFonts w:eastAsia="Times New Roman" w:cs="Arial"/>
                <w:color w:val="auto"/>
                <w:szCs w:val="22"/>
                <w:lang w:eastAsia="en-AU"/>
              </w:rPr>
            </w:pPr>
            <w:r w:rsidRPr="00504267">
              <w:rPr>
                <w:rFonts w:eastAsia="Times New Roman" w:cs="Arial"/>
                <w:color w:val="auto"/>
                <w:szCs w:val="22"/>
                <w:lang w:eastAsia="en-AU"/>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57C924" w14:textId="03543448" w:rsidR="00516432" w:rsidRPr="00504267" w:rsidRDefault="00516432" w:rsidP="00516432">
            <w:pPr>
              <w:spacing w:before="0" w:after="0" w:line="240" w:lineRule="auto"/>
              <w:jc w:val="center"/>
              <w:rPr>
                <w:rFonts w:eastAsia="Times New Roman" w:cs="Arial"/>
                <w:color w:val="auto"/>
                <w:szCs w:val="22"/>
                <w:lang w:eastAsia="en-AU"/>
              </w:rPr>
            </w:pPr>
            <w:r w:rsidRPr="00504267">
              <w:rPr>
                <w:rFonts w:eastAsia="Times New Roman" w:cs="Arial"/>
                <w:color w:val="auto"/>
                <w:szCs w:val="22"/>
                <w:lang w:eastAsia="en-AU"/>
              </w:rPr>
              <w:t>6.1%</w:t>
            </w:r>
          </w:p>
        </w:tc>
        <w:tc>
          <w:tcPr>
            <w:tcW w:w="1554" w:type="dxa"/>
            <w:tcBorders>
              <w:top w:val="single" w:sz="4" w:space="0" w:color="auto"/>
              <w:left w:val="single" w:sz="4" w:space="0" w:color="auto"/>
              <w:bottom w:val="single" w:sz="4" w:space="0" w:color="auto"/>
              <w:right w:val="single" w:sz="4" w:space="0" w:color="auto"/>
            </w:tcBorders>
            <w:vAlign w:val="center"/>
            <w:hideMark/>
          </w:tcPr>
          <w:p w14:paraId="37CC5407" w14:textId="6801A316" w:rsidR="00516432" w:rsidRPr="00504267" w:rsidRDefault="00516432" w:rsidP="00516432">
            <w:pPr>
              <w:spacing w:before="0" w:after="0" w:line="240" w:lineRule="auto"/>
              <w:jc w:val="center"/>
              <w:rPr>
                <w:rFonts w:eastAsia="Times New Roman" w:cs="Arial"/>
                <w:color w:val="auto"/>
                <w:szCs w:val="22"/>
                <w:lang w:eastAsia="en-AU"/>
              </w:rPr>
            </w:pPr>
            <w:r w:rsidRPr="00504267">
              <w:rPr>
                <w:rFonts w:eastAsia="Times New Roman" w:cs="Arial"/>
                <w:color w:val="auto"/>
                <w:szCs w:val="22"/>
                <w:lang w:eastAsia="en-AU"/>
              </w:rPr>
              <w:t>4.0%</w:t>
            </w:r>
          </w:p>
        </w:tc>
      </w:tr>
      <w:tr w:rsidR="00516432" w:rsidRPr="0015453D" w14:paraId="0F7DDF55" w14:textId="77777777" w:rsidTr="0091108B">
        <w:trPr>
          <w:trHeight w:val="540"/>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53D80D9E" w14:textId="77777777" w:rsidR="00516432" w:rsidRPr="00504267" w:rsidRDefault="00516432" w:rsidP="00516432">
            <w:pPr>
              <w:spacing w:before="0" w:after="0" w:line="240" w:lineRule="auto"/>
              <w:rPr>
                <w:rFonts w:eastAsia="Times New Roman" w:cs="Arial"/>
                <w:color w:val="auto"/>
                <w:szCs w:val="22"/>
                <w:lang w:eastAsia="en-AU"/>
              </w:rPr>
            </w:pPr>
          </w:p>
        </w:tc>
        <w:tc>
          <w:tcPr>
            <w:tcW w:w="3276" w:type="dxa"/>
            <w:tcBorders>
              <w:top w:val="single" w:sz="4" w:space="0" w:color="auto"/>
              <w:left w:val="single" w:sz="4" w:space="0" w:color="auto"/>
              <w:bottom w:val="single" w:sz="4" w:space="0" w:color="auto"/>
              <w:right w:val="single" w:sz="4" w:space="0" w:color="auto"/>
            </w:tcBorders>
            <w:vAlign w:val="center"/>
            <w:hideMark/>
          </w:tcPr>
          <w:p w14:paraId="228F5691" w14:textId="77777777" w:rsidR="00516432" w:rsidRPr="00504267" w:rsidRDefault="00516432" w:rsidP="00516432">
            <w:pPr>
              <w:spacing w:before="0" w:after="0" w:line="240" w:lineRule="auto"/>
              <w:rPr>
                <w:rFonts w:eastAsia="Times New Roman" w:cs="Arial"/>
                <w:color w:val="auto"/>
                <w:szCs w:val="22"/>
                <w:lang w:eastAsia="en-AU"/>
              </w:rPr>
            </w:pPr>
            <w:r w:rsidRPr="00504267">
              <w:rPr>
                <w:rFonts w:eastAsia="Times New Roman" w:cs="Arial"/>
                <w:color w:val="auto"/>
                <w:szCs w:val="22"/>
                <w:lang w:eastAsia="en-AU"/>
              </w:rPr>
              <w:t>Other Medical Devices and IVD annual charges</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FF8CF4A" w14:textId="3B11A5DF" w:rsidR="00516432" w:rsidRPr="00504267" w:rsidRDefault="00516432" w:rsidP="00516432">
            <w:pPr>
              <w:spacing w:before="0" w:after="0" w:line="240" w:lineRule="auto"/>
              <w:jc w:val="center"/>
              <w:rPr>
                <w:rFonts w:eastAsia="Times New Roman" w:cs="Arial"/>
                <w:color w:val="auto"/>
                <w:szCs w:val="22"/>
                <w:lang w:eastAsia="en-AU"/>
              </w:rPr>
            </w:pPr>
            <w:r w:rsidRPr="00504267">
              <w:rPr>
                <w:rFonts w:eastAsia="Times New Roman" w:cs="Arial"/>
                <w:color w:val="auto"/>
                <w:szCs w:val="22"/>
                <w:lang w:eastAsia="en-AU"/>
              </w:rPr>
              <w:t>3.1%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354930" w14:textId="506658F1" w:rsidR="00516432" w:rsidRPr="00504267" w:rsidRDefault="00516432" w:rsidP="00516432">
            <w:pPr>
              <w:spacing w:before="0" w:after="0" w:line="240" w:lineRule="auto"/>
              <w:jc w:val="center"/>
              <w:rPr>
                <w:rFonts w:eastAsia="Times New Roman" w:cs="Arial"/>
                <w:color w:val="auto"/>
                <w:szCs w:val="22"/>
                <w:lang w:eastAsia="en-AU"/>
              </w:rPr>
            </w:pPr>
            <w:r w:rsidRPr="00504267">
              <w:rPr>
                <w:rFonts w:eastAsia="Times New Roman" w:cs="Arial"/>
                <w:color w:val="auto"/>
                <w:szCs w:val="22"/>
                <w:lang w:eastAsia="en-AU"/>
              </w:rPr>
              <w:t>6.2%</w:t>
            </w:r>
          </w:p>
        </w:tc>
        <w:tc>
          <w:tcPr>
            <w:tcW w:w="1554" w:type="dxa"/>
            <w:tcBorders>
              <w:top w:val="single" w:sz="4" w:space="0" w:color="auto"/>
              <w:left w:val="single" w:sz="4" w:space="0" w:color="auto"/>
              <w:bottom w:val="single" w:sz="4" w:space="0" w:color="auto"/>
              <w:right w:val="single" w:sz="4" w:space="0" w:color="auto"/>
            </w:tcBorders>
            <w:vAlign w:val="center"/>
            <w:hideMark/>
          </w:tcPr>
          <w:p w14:paraId="1245814B" w14:textId="21DA6945" w:rsidR="00516432" w:rsidRPr="00504267" w:rsidRDefault="00516432" w:rsidP="00516432">
            <w:pPr>
              <w:spacing w:before="0" w:after="0" w:line="240" w:lineRule="auto"/>
              <w:jc w:val="center"/>
              <w:rPr>
                <w:rFonts w:eastAsia="Times New Roman" w:cs="Arial"/>
                <w:color w:val="auto"/>
                <w:szCs w:val="22"/>
                <w:lang w:eastAsia="en-AU"/>
              </w:rPr>
            </w:pPr>
            <w:r w:rsidRPr="00504267">
              <w:rPr>
                <w:rFonts w:eastAsia="Times New Roman" w:cs="Arial"/>
                <w:color w:val="auto"/>
                <w:szCs w:val="22"/>
                <w:lang w:eastAsia="en-AU"/>
              </w:rPr>
              <w:t>4.1%</w:t>
            </w:r>
          </w:p>
        </w:tc>
      </w:tr>
      <w:tr w:rsidR="00516432" w:rsidRPr="0015453D" w14:paraId="2F6BD39C" w14:textId="77777777" w:rsidTr="0091108B">
        <w:trPr>
          <w:trHeight w:val="540"/>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6AED857C" w14:textId="77777777" w:rsidR="00516432" w:rsidRPr="00504267" w:rsidRDefault="00516432" w:rsidP="00516432">
            <w:pPr>
              <w:spacing w:before="0" w:after="0" w:line="240" w:lineRule="auto"/>
              <w:rPr>
                <w:rFonts w:eastAsia="Times New Roman" w:cs="Arial"/>
                <w:color w:val="auto"/>
                <w:szCs w:val="22"/>
                <w:lang w:eastAsia="en-AU"/>
              </w:rPr>
            </w:pPr>
          </w:p>
        </w:tc>
        <w:tc>
          <w:tcPr>
            <w:tcW w:w="3276" w:type="dxa"/>
            <w:tcBorders>
              <w:top w:val="single" w:sz="4" w:space="0" w:color="auto"/>
              <w:left w:val="single" w:sz="4" w:space="0" w:color="auto"/>
              <w:bottom w:val="single" w:sz="4" w:space="0" w:color="auto"/>
              <w:right w:val="single" w:sz="4" w:space="0" w:color="auto"/>
            </w:tcBorders>
            <w:vAlign w:val="center"/>
            <w:hideMark/>
          </w:tcPr>
          <w:p w14:paraId="3526DC6F" w14:textId="77777777" w:rsidR="00516432" w:rsidRPr="00504267" w:rsidRDefault="00516432" w:rsidP="00516432">
            <w:pPr>
              <w:spacing w:before="0" w:after="0" w:line="240" w:lineRule="auto"/>
              <w:rPr>
                <w:rFonts w:eastAsia="Times New Roman" w:cs="Arial"/>
                <w:color w:val="auto"/>
                <w:szCs w:val="22"/>
                <w:lang w:eastAsia="en-AU"/>
              </w:rPr>
            </w:pPr>
            <w:r w:rsidRPr="00504267">
              <w:rPr>
                <w:rFonts w:eastAsia="Times New Roman" w:cs="Arial"/>
                <w:color w:val="auto"/>
                <w:szCs w:val="22"/>
                <w:lang w:eastAsia="en-AU"/>
              </w:rPr>
              <w:t xml:space="preserve">Other annual charges i.e., manufacturing licences and Other therapeutic goods (OTG) </w:t>
            </w:r>
          </w:p>
        </w:tc>
        <w:tc>
          <w:tcPr>
            <w:tcW w:w="1706" w:type="dxa"/>
            <w:tcBorders>
              <w:top w:val="single" w:sz="4" w:space="0" w:color="auto"/>
              <w:left w:val="single" w:sz="4" w:space="0" w:color="auto"/>
              <w:bottom w:val="single" w:sz="4" w:space="0" w:color="auto"/>
              <w:right w:val="single" w:sz="4" w:space="0" w:color="auto"/>
            </w:tcBorders>
            <w:vAlign w:val="center"/>
            <w:hideMark/>
          </w:tcPr>
          <w:p w14:paraId="2EE367DD" w14:textId="3992959D" w:rsidR="00516432" w:rsidRPr="00504267" w:rsidRDefault="00516432" w:rsidP="00516432">
            <w:pPr>
              <w:spacing w:before="0" w:after="0" w:line="240" w:lineRule="auto"/>
              <w:jc w:val="center"/>
              <w:rPr>
                <w:rFonts w:eastAsia="Times New Roman" w:cs="Arial"/>
                <w:color w:val="auto"/>
                <w:szCs w:val="22"/>
                <w:lang w:eastAsia="en-AU"/>
              </w:rPr>
            </w:pPr>
            <w:r w:rsidRPr="00504267">
              <w:rPr>
                <w:rFonts w:eastAsia="Times New Roman" w:cs="Arial"/>
                <w:color w:val="auto"/>
                <w:szCs w:val="22"/>
                <w:lang w:eastAsia="en-AU"/>
              </w:rPr>
              <w:t>3.2%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146572" w14:textId="016EE488" w:rsidR="00516432" w:rsidRPr="00504267" w:rsidRDefault="00516432" w:rsidP="00516432">
            <w:pPr>
              <w:spacing w:before="0" w:after="0" w:line="240" w:lineRule="auto"/>
              <w:jc w:val="center"/>
              <w:rPr>
                <w:rFonts w:eastAsia="Times New Roman" w:cs="Arial"/>
                <w:color w:val="auto"/>
                <w:szCs w:val="22"/>
                <w:lang w:eastAsia="en-AU"/>
              </w:rPr>
            </w:pPr>
            <w:r w:rsidRPr="00504267">
              <w:rPr>
                <w:rFonts w:eastAsia="Times New Roman" w:cs="Arial"/>
                <w:color w:val="auto"/>
                <w:szCs w:val="22"/>
                <w:lang w:eastAsia="en-AU"/>
              </w:rPr>
              <w:t>6.3%</w:t>
            </w:r>
          </w:p>
        </w:tc>
        <w:tc>
          <w:tcPr>
            <w:tcW w:w="1554" w:type="dxa"/>
            <w:tcBorders>
              <w:top w:val="single" w:sz="4" w:space="0" w:color="auto"/>
              <w:left w:val="single" w:sz="4" w:space="0" w:color="auto"/>
              <w:bottom w:val="single" w:sz="4" w:space="0" w:color="auto"/>
              <w:right w:val="single" w:sz="4" w:space="0" w:color="auto"/>
            </w:tcBorders>
            <w:vAlign w:val="center"/>
            <w:hideMark/>
          </w:tcPr>
          <w:p w14:paraId="5A84B049" w14:textId="53055395" w:rsidR="00516432" w:rsidRPr="00504267" w:rsidRDefault="00516432" w:rsidP="00516432">
            <w:pPr>
              <w:spacing w:before="0" w:after="0" w:line="240" w:lineRule="auto"/>
              <w:jc w:val="center"/>
              <w:rPr>
                <w:rFonts w:eastAsia="Times New Roman" w:cs="Arial"/>
                <w:color w:val="auto"/>
                <w:szCs w:val="22"/>
                <w:lang w:eastAsia="en-AU"/>
              </w:rPr>
            </w:pPr>
            <w:r w:rsidRPr="00504267">
              <w:rPr>
                <w:rFonts w:eastAsia="Times New Roman" w:cs="Arial"/>
                <w:color w:val="auto"/>
                <w:szCs w:val="22"/>
                <w:lang w:eastAsia="en-AU"/>
              </w:rPr>
              <w:t>4.2%</w:t>
            </w:r>
          </w:p>
        </w:tc>
      </w:tr>
      <w:tr w:rsidR="00516432" w:rsidRPr="0015453D" w14:paraId="36191FA6" w14:textId="77777777" w:rsidTr="0091108B">
        <w:trPr>
          <w:trHeight w:val="276"/>
        </w:trPr>
        <w:tc>
          <w:tcPr>
            <w:tcW w:w="4243" w:type="dxa"/>
            <w:gridSpan w:val="2"/>
            <w:tcBorders>
              <w:top w:val="single" w:sz="4" w:space="0" w:color="auto"/>
              <w:left w:val="single" w:sz="4" w:space="0" w:color="auto"/>
              <w:bottom w:val="single" w:sz="4" w:space="0" w:color="auto"/>
              <w:right w:val="single" w:sz="4" w:space="0" w:color="auto"/>
            </w:tcBorders>
            <w:vAlign w:val="center"/>
            <w:hideMark/>
          </w:tcPr>
          <w:p w14:paraId="56A1E183" w14:textId="77777777" w:rsidR="00516432" w:rsidRPr="00504267" w:rsidRDefault="00516432" w:rsidP="00516432">
            <w:pPr>
              <w:spacing w:before="0" w:after="0" w:line="240" w:lineRule="auto"/>
              <w:rPr>
                <w:rFonts w:eastAsia="Times New Roman" w:cs="Arial"/>
                <w:b/>
                <w:bCs/>
                <w:color w:val="auto"/>
                <w:szCs w:val="22"/>
                <w:lang w:eastAsia="en-AU"/>
              </w:rPr>
            </w:pPr>
            <w:r w:rsidRPr="00504267">
              <w:rPr>
                <w:rFonts w:eastAsia="Times New Roman" w:cs="Arial"/>
                <w:b/>
                <w:bCs/>
                <w:color w:val="auto"/>
                <w:szCs w:val="22"/>
                <w:lang w:eastAsia="en-AU"/>
              </w:rPr>
              <w:t>Total Additional Revenue</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B553044" w14:textId="19310BED" w:rsidR="00516432" w:rsidRPr="00504267" w:rsidRDefault="00516432" w:rsidP="0091108B">
            <w:pPr>
              <w:spacing w:before="0" w:after="0" w:line="240" w:lineRule="auto"/>
              <w:jc w:val="center"/>
              <w:rPr>
                <w:rFonts w:eastAsia="Times New Roman" w:cs="Arial"/>
                <w:b/>
                <w:bCs/>
                <w:color w:val="auto"/>
                <w:szCs w:val="22"/>
                <w:lang w:eastAsia="en-AU"/>
              </w:rPr>
            </w:pPr>
            <w:r w:rsidRPr="00504267">
              <w:rPr>
                <w:rFonts w:eastAsia="Times New Roman" w:cs="Arial"/>
                <w:b/>
                <w:bCs/>
                <w:color w:val="auto"/>
                <w:szCs w:val="22"/>
                <w:lang w:eastAsia="en-AU"/>
              </w:rPr>
              <w:t>$6.6m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2953BB" w14:textId="56DBA6C7" w:rsidR="00516432" w:rsidRPr="00504267" w:rsidRDefault="00516432" w:rsidP="0091108B">
            <w:pPr>
              <w:spacing w:before="0" w:after="0" w:line="240" w:lineRule="auto"/>
              <w:jc w:val="center"/>
              <w:rPr>
                <w:rFonts w:eastAsia="Times New Roman" w:cs="Arial"/>
                <w:b/>
                <w:bCs/>
                <w:color w:val="auto"/>
                <w:szCs w:val="22"/>
                <w:lang w:eastAsia="en-AU"/>
              </w:rPr>
            </w:pPr>
            <w:r w:rsidRPr="00504267">
              <w:rPr>
                <w:rFonts w:eastAsia="Times New Roman" w:cs="Arial"/>
                <w:b/>
                <w:bCs/>
                <w:color w:val="auto"/>
                <w:szCs w:val="22"/>
                <w:lang w:eastAsia="en-AU"/>
              </w:rPr>
              <w:t>$11.3m</w:t>
            </w:r>
          </w:p>
        </w:tc>
        <w:tc>
          <w:tcPr>
            <w:tcW w:w="1554" w:type="dxa"/>
            <w:tcBorders>
              <w:top w:val="single" w:sz="4" w:space="0" w:color="auto"/>
              <w:left w:val="single" w:sz="4" w:space="0" w:color="auto"/>
              <w:bottom w:val="single" w:sz="4" w:space="0" w:color="auto"/>
              <w:right w:val="single" w:sz="4" w:space="0" w:color="auto"/>
            </w:tcBorders>
            <w:vAlign w:val="center"/>
            <w:hideMark/>
          </w:tcPr>
          <w:p w14:paraId="027DFB2A" w14:textId="439A0B84" w:rsidR="00516432" w:rsidRPr="00504267" w:rsidRDefault="0091108B" w:rsidP="0091108B">
            <w:pPr>
              <w:spacing w:before="0" w:after="0" w:line="240" w:lineRule="auto"/>
              <w:jc w:val="center"/>
              <w:rPr>
                <w:rFonts w:eastAsia="Times New Roman" w:cs="Arial"/>
                <w:b/>
                <w:bCs/>
                <w:color w:val="auto"/>
                <w:szCs w:val="22"/>
                <w:lang w:eastAsia="en-AU"/>
              </w:rPr>
            </w:pPr>
            <w:r w:rsidRPr="00504267">
              <w:rPr>
                <w:rFonts w:eastAsia="Times New Roman" w:cs="Arial"/>
                <w:b/>
                <w:bCs/>
                <w:color w:val="auto"/>
                <w:szCs w:val="22"/>
                <w:lang w:eastAsia="en-AU"/>
              </w:rPr>
              <w:t>$9.0m</w:t>
            </w:r>
          </w:p>
        </w:tc>
      </w:tr>
      <w:tr w:rsidR="00144E46" w:rsidRPr="0015453D" w14:paraId="0B7467E5" w14:textId="77777777" w:rsidTr="001C3572">
        <w:trPr>
          <w:trHeight w:val="333"/>
        </w:trPr>
        <w:tc>
          <w:tcPr>
            <w:tcW w:w="5949" w:type="dxa"/>
            <w:gridSpan w:val="3"/>
            <w:tcBorders>
              <w:top w:val="single" w:sz="4" w:space="0" w:color="auto"/>
              <w:left w:val="single" w:sz="4" w:space="0" w:color="auto"/>
              <w:bottom w:val="single" w:sz="4" w:space="0" w:color="auto"/>
              <w:right w:val="single" w:sz="4" w:space="0" w:color="auto"/>
            </w:tcBorders>
            <w:vAlign w:val="center"/>
            <w:hideMark/>
          </w:tcPr>
          <w:p w14:paraId="35EB950B" w14:textId="1E821909" w:rsidR="00144E46" w:rsidRPr="00504267" w:rsidRDefault="00144E46" w:rsidP="00144E46">
            <w:pPr>
              <w:spacing w:before="0" w:after="0" w:line="240" w:lineRule="auto"/>
              <w:rPr>
                <w:rFonts w:eastAsia="Times New Roman" w:cs="Arial"/>
                <w:b/>
                <w:bCs/>
                <w:color w:val="auto"/>
                <w:szCs w:val="22"/>
                <w:lang w:eastAsia="en-AU"/>
              </w:rPr>
            </w:pPr>
            <w:r w:rsidRPr="00504267">
              <w:rPr>
                <w:rFonts w:eastAsia="Times New Roman" w:cs="Arial"/>
                <w:b/>
                <w:bCs/>
                <w:color w:val="auto"/>
                <w:szCs w:val="22"/>
                <w:lang w:eastAsia="en-AU"/>
              </w:rPr>
              <w:t>Total Shortfall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C19273" w14:textId="07B89E06" w:rsidR="00144E46" w:rsidRPr="00504267" w:rsidRDefault="00144E46" w:rsidP="0091108B">
            <w:pPr>
              <w:spacing w:before="0" w:after="0" w:line="240" w:lineRule="auto"/>
              <w:jc w:val="center"/>
              <w:rPr>
                <w:rFonts w:eastAsia="Times New Roman" w:cs="Arial"/>
                <w:b/>
                <w:bCs/>
                <w:color w:val="auto"/>
                <w:szCs w:val="22"/>
                <w:lang w:eastAsia="en-AU"/>
              </w:rPr>
            </w:pPr>
            <w:r w:rsidRPr="00504267">
              <w:rPr>
                <w:rFonts w:eastAsia="Times New Roman" w:cs="Arial"/>
                <w:b/>
                <w:bCs/>
                <w:color w:val="auto"/>
                <w:szCs w:val="22"/>
                <w:lang w:eastAsia="en-AU"/>
              </w:rPr>
              <w:t>$0.0m</w:t>
            </w:r>
          </w:p>
        </w:tc>
        <w:tc>
          <w:tcPr>
            <w:tcW w:w="1554" w:type="dxa"/>
            <w:tcBorders>
              <w:top w:val="single" w:sz="4" w:space="0" w:color="auto"/>
              <w:left w:val="single" w:sz="4" w:space="0" w:color="auto"/>
              <w:bottom w:val="single" w:sz="4" w:space="0" w:color="auto"/>
              <w:right w:val="single" w:sz="4" w:space="0" w:color="auto"/>
            </w:tcBorders>
            <w:vAlign w:val="center"/>
            <w:hideMark/>
          </w:tcPr>
          <w:p w14:paraId="021C1C40" w14:textId="6D6AA4DB" w:rsidR="00144E46" w:rsidRPr="00504267" w:rsidRDefault="00144E46" w:rsidP="0091108B">
            <w:pPr>
              <w:spacing w:before="0" w:after="0" w:line="240" w:lineRule="auto"/>
              <w:jc w:val="center"/>
              <w:rPr>
                <w:rFonts w:eastAsia="Times New Roman" w:cs="Arial"/>
                <w:b/>
                <w:bCs/>
                <w:color w:val="auto"/>
                <w:szCs w:val="22"/>
                <w:lang w:eastAsia="en-AU"/>
              </w:rPr>
            </w:pPr>
            <w:r w:rsidRPr="00504267">
              <w:rPr>
                <w:rFonts w:eastAsia="Times New Roman" w:cs="Arial"/>
                <w:b/>
                <w:bCs/>
                <w:color w:val="auto"/>
                <w:szCs w:val="22"/>
                <w:lang w:eastAsia="en-AU"/>
              </w:rPr>
              <w:t>$2.3m</w:t>
            </w:r>
          </w:p>
        </w:tc>
      </w:tr>
    </w:tbl>
    <w:p w14:paraId="603ABE28" w14:textId="33BC23AA" w:rsidR="0000066C" w:rsidRPr="0085066D" w:rsidRDefault="0000066C" w:rsidP="00AB2E7F">
      <w:pPr>
        <w:pStyle w:val="Heading2"/>
        <w:rPr>
          <w:rFonts w:cs="Arial"/>
        </w:rPr>
      </w:pPr>
      <w:bookmarkStart w:id="44" w:name="_Toc219968259"/>
      <w:r w:rsidRPr="0085066D">
        <w:rPr>
          <w:rFonts w:cs="Arial"/>
        </w:rPr>
        <w:lastRenderedPageBreak/>
        <w:t xml:space="preserve">Stakeholder </w:t>
      </w:r>
      <w:r w:rsidR="00CA2AE4" w:rsidRPr="0085066D">
        <w:rPr>
          <w:rFonts w:cs="Arial"/>
        </w:rPr>
        <w:t>e</w:t>
      </w:r>
      <w:r w:rsidRPr="0085066D">
        <w:rPr>
          <w:rFonts w:cs="Arial"/>
        </w:rPr>
        <w:t>ngagement</w:t>
      </w:r>
      <w:bookmarkEnd w:id="44"/>
    </w:p>
    <w:p w14:paraId="22601783" w14:textId="3D926B23" w:rsidR="0000066C" w:rsidRPr="00504267" w:rsidRDefault="0000066C" w:rsidP="00041B01">
      <w:pPr>
        <w:pStyle w:val="ListBullet"/>
        <w:numPr>
          <w:ilvl w:val="0"/>
          <w:numId w:val="16"/>
        </w:numPr>
        <w:rPr>
          <w:rFonts w:cs="Arial"/>
          <w:b/>
          <w:bCs/>
          <w:color w:val="auto"/>
          <w:szCs w:val="22"/>
        </w:rPr>
      </w:pPr>
      <w:r w:rsidRPr="00504267">
        <w:rPr>
          <w:rFonts w:cs="Arial"/>
          <w:b/>
          <w:bCs/>
          <w:color w:val="auto"/>
          <w:szCs w:val="22"/>
        </w:rPr>
        <w:t xml:space="preserve">Consultation on </w:t>
      </w:r>
      <w:r w:rsidR="008C2622" w:rsidRPr="00504267">
        <w:rPr>
          <w:rFonts w:cs="Arial"/>
          <w:b/>
          <w:bCs/>
          <w:color w:val="auto"/>
          <w:szCs w:val="22"/>
        </w:rPr>
        <w:t xml:space="preserve">the </w:t>
      </w:r>
      <w:r w:rsidRPr="00504267">
        <w:rPr>
          <w:rFonts w:cs="Arial"/>
          <w:b/>
          <w:bCs/>
          <w:color w:val="auto"/>
          <w:szCs w:val="22"/>
        </w:rPr>
        <w:t>202</w:t>
      </w:r>
      <w:r w:rsidR="002E55A4" w:rsidRPr="00504267">
        <w:rPr>
          <w:rFonts w:cs="Arial"/>
          <w:b/>
          <w:bCs/>
          <w:color w:val="auto"/>
          <w:szCs w:val="22"/>
        </w:rPr>
        <w:t>6</w:t>
      </w:r>
      <w:r w:rsidR="00A736E1" w:rsidRPr="00504267">
        <w:rPr>
          <w:rFonts w:cs="Arial"/>
          <w:b/>
          <w:bCs/>
          <w:color w:val="auto"/>
          <w:szCs w:val="22"/>
        </w:rPr>
        <w:t>-2</w:t>
      </w:r>
      <w:r w:rsidR="002E55A4" w:rsidRPr="00504267">
        <w:rPr>
          <w:rFonts w:cs="Arial"/>
          <w:b/>
          <w:bCs/>
          <w:color w:val="auto"/>
          <w:szCs w:val="22"/>
        </w:rPr>
        <w:t>7</w:t>
      </w:r>
      <w:r w:rsidRPr="00504267">
        <w:rPr>
          <w:rFonts w:cs="Arial"/>
          <w:b/>
          <w:bCs/>
          <w:color w:val="auto"/>
          <w:szCs w:val="22"/>
        </w:rPr>
        <w:t xml:space="preserve"> fees and charges proposals</w:t>
      </w:r>
    </w:p>
    <w:p w14:paraId="2C03FFB6" w14:textId="16A951AE" w:rsidR="0000066C" w:rsidRPr="00504267" w:rsidRDefault="0000066C" w:rsidP="0000066C">
      <w:pPr>
        <w:spacing w:after="120"/>
        <w:rPr>
          <w:rFonts w:cs="Arial"/>
          <w:color w:val="auto"/>
          <w:szCs w:val="22"/>
        </w:rPr>
      </w:pPr>
      <w:r w:rsidRPr="00504267">
        <w:rPr>
          <w:rFonts w:cs="Arial"/>
          <w:color w:val="auto"/>
          <w:szCs w:val="22"/>
        </w:rPr>
        <w:t xml:space="preserve">The following industry representative groups were consulted </w:t>
      </w:r>
      <w:r w:rsidR="00487874" w:rsidRPr="00504267">
        <w:rPr>
          <w:rFonts w:cs="Arial"/>
          <w:color w:val="auto"/>
          <w:szCs w:val="22"/>
        </w:rPr>
        <w:t xml:space="preserve">during the TGA and Industry </w:t>
      </w:r>
      <w:r w:rsidR="004E3784" w:rsidRPr="00504267">
        <w:rPr>
          <w:rFonts w:cs="Arial"/>
          <w:color w:val="auto"/>
          <w:szCs w:val="22"/>
        </w:rPr>
        <w:t>representative</w:t>
      </w:r>
      <w:r w:rsidR="00487874" w:rsidRPr="00504267">
        <w:rPr>
          <w:rFonts w:cs="Arial"/>
          <w:color w:val="auto"/>
          <w:szCs w:val="22"/>
        </w:rPr>
        <w:t xml:space="preserve"> bilateral meetings </w:t>
      </w:r>
      <w:r w:rsidRPr="00504267">
        <w:rPr>
          <w:rFonts w:cs="Arial"/>
          <w:color w:val="auto"/>
          <w:szCs w:val="22"/>
        </w:rPr>
        <w:t>on the proposed changes to fees and charges in</w:t>
      </w:r>
      <w:r w:rsidR="00D12AA2" w:rsidRPr="00504267">
        <w:rPr>
          <w:rFonts w:cs="Arial"/>
          <w:color w:val="auto"/>
          <w:szCs w:val="22"/>
        </w:rPr>
        <w:t xml:space="preserve"> </w:t>
      </w:r>
      <w:r w:rsidR="00556C02" w:rsidRPr="00504267">
        <w:rPr>
          <w:rFonts w:cs="Arial"/>
          <w:color w:val="auto"/>
          <w:szCs w:val="22"/>
        </w:rPr>
        <w:t>November</w:t>
      </w:r>
      <w:r w:rsidRPr="00504267">
        <w:rPr>
          <w:rFonts w:cs="Arial"/>
          <w:color w:val="auto"/>
          <w:szCs w:val="22"/>
        </w:rPr>
        <w:t xml:space="preserve"> </w:t>
      </w:r>
      <w:r w:rsidR="002D5946" w:rsidRPr="00504267">
        <w:rPr>
          <w:rFonts w:cs="Arial"/>
          <w:color w:val="auto"/>
          <w:szCs w:val="22"/>
        </w:rPr>
        <w:t xml:space="preserve">and December </w:t>
      </w:r>
      <w:r w:rsidRPr="00504267">
        <w:rPr>
          <w:rFonts w:cs="Arial"/>
          <w:color w:val="auto"/>
          <w:szCs w:val="22"/>
        </w:rPr>
        <w:t>202</w:t>
      </w:r>
      <w:r w:rsidR="002D5946" w:rsidRPr="00504267">
        <w:rPr>
          <w:rFonts w:cs="Arial"/>
          <w:color w:val="auto"/>
          <w:szCs w:val="22"/>
        </w:rPr>
        <w:t>5</w:t>
      </w:r>
      <w:r w:rsidRPr="00504267">
        <w:rPr>
          <w:rFonts w:cs="Arial"/>
          <w:color w:val="auto"/>
          <w:szCs w:val="22"/>
        </w:rPr>
        <w:t>:</w:t>
      </w:r>
    </w:p>
    <w:p w14:paraId="3075A549" w14:textId="7F9786D1" w:rsidR="0000066C" w:rsidRPr="00AA6EDC" w:rsidRDefault="0000066C" w:rsidP="00AB2E7F">
      <w:pPr>
        <w:pStyle w:val="ListParagraph"/>
        <w:numPr>
          <w:ilvl w:val="0"/>
          <w:numId w:val="27"/>
        </w:numPr>
        <w:spacing w:after="120"/>
        <w:rPr>
          <w:rFonts w:asciiTheme="majorHAnsi" w:hAnsiTheme="majorHAnsi" w:cstheme="majorHAnsi"/>
          <w:szCs w:val="22"/>
        </w:rPr>
      </w:pPr>
      <w:r w:rsidRPr="00AA6EDC">
        <w:rPr>
          <w:rFonts w:asciiTheme="majorHAnsi" w:hAnsiTheme="majorHAnsi" w:cstheme="majorHAnsi"/>
          <w:szCs w:val="22"/>
        </w:rPr>
        <w:t>Medicines Australia</w:t>
      </w:r>
    </w:p>
    <w:p w14:paraId="2C52B5E4" w14:textId="731BFEED" w:rsidR="0000066C" w:rsidRPr="00AA6EDC" w:rsidRDefault="0000066C" w:rsidP="00AB2E7F">
      <w:pPr>
        <w:pStyle w:val="ListParagraph"/>
        <w:numPr>
          <w:ilvl w:val="0"/>
          <w:numId w:val="27"/>
        </w:numPr>
        <w:spacing w:after="120"/>
        <w:rPr>
          <w:rFonts w:asciiTheme="majorHAnsi" w:hAnsiTheme="majorHAnsi" w:cstheme="majorHAnsi"/>
          <w:szCs w:val="22"/>
        </w:rPr>
      </w:pPr>
      <w:r w:rsidRPr="00AA6EDC">
        <w:rPr>
          <w:rFonts w:asciiTheme="majorHAnsi" w:hAnsiTheme="majorHAnsi" w:cstheme="majorHAnsi"/>
          <w:szCs w:val="22"/>
        </w:rPr>
        <w:t>Generic and Biosimilar Medicines Association</w:t>
      </w:r>
    </w:p>
    <w:p w14:paraId="7C18B388" w14:textId="140FC5CF" w:rsidR="0000066C" w:rsidRPr="00AA6EDC" w:rsidRDefault="0000066C" w:rsidP="00AB2E7F">
      <w:pPr>
        <w:pStyle w:val="ListParagraph"/>
        <w:numPr>
          <w:ilvl w:val="0"/>
          <w:numId w:val="27"/>
        </w:numPr>
        <w:spacing w:after="120"/>
        <w:rPr>
          <w:rFonts w:asciiTheme="majorHAnsi" w:hAnsiTheme="majorHAnsi" w:cstheme="majorHAnsi"/>
          <w:szCs w:val="22"/>
        </w:rPr>
      </w:pPr>
      <w:r w:rsidRPr="00AA6EDC">
        <w:rPr>
          <w:rFonts w:asciiTheme="majorHAnsi" w:hAnsiTheme="majorHAnsi" w:cstheme="majorHAnsi"/>
          <w:szCs w:val="22"/>
        </w:rPr>
        <w:t>AusBiotech</w:t>
      </w:r>
    </w:p>
    <w:p w14:paraId="5AAC6217" w14:textId="3C24457B" w:rsidR="0000066C" w:rsidRPr="00AA6EDC" w:rsidRDefault="0000066C" w:rsidP="00AB2E7F">
      <w:pPr>
        <w:pStyle w:val="ListParagraph"/>
        <w:numPr>
          <w:ilvl w:val="0"/>
          <w:numId w:val="27"/>
        </w:numPr>
        <w:spacing w:after="120"/>
        <w:rPr>
          <w:rFonts w:asciiTheme="majorHAnsi" w:hAnsiTheme="majorHAnsi" w:cstheme="majorHAnsi"/>
          <w:szCs w:val="22"/>
        </w:rPr>
      </w:pPr>
      <w:r w:rsidRPr="00AA6EDC">
        <w:rPr>
          <w:rFonts w:asciiTheme="majorHAnsi" w:hAnsiTheme="majorHAnsi" w:cstheme="majorHAnsi"/>
          <w:szCs w:val="22"/>
        </w:rPr>
        <w:t>Medical Technology Association of Australia</w:t>
      </w:r>
    </w:p>
    <w:p w14:paraId="223BE599" w14:textId="568A4AC3" w:rsidR="0000066C" w:rsidRPr="00AA6EDC" w:rsidRDefault="0000066C" w:rsidP="00AB2E7F">
      <w:pPr>
        <w:pStyle w:val="ListParagraph"/>
        <w:numPr>
          <w:ilvl w:val="0"/>
          <w:numId w:val="27"/>
        </w:numPr>
        <w:spacing w:after="120"/>
        <w:rPr>
          <w:rFonts w:asciiTheme="majorHAnsi" w:hAnsiTheme="majorHAnsi" w:cstheme="majorHAnsi"/>
          <w:szCs w:val="22"/>
        </w:rPr>
      </w:pPr>
      <w:r w:rsidRPr="00AA6EDC">
        <w:rPr>
          <w:rFonts w:asciiTheme="majorHAnsi" w:hAnsiTheme="majorHAnsi" w:cstheme="majorHAnsi"/>
          <w:szCs w:val="22"/>
        </w:rPr>
        <w:t>Pathology Technology Australia</w:t>
      </w:r>
    </w:p>
    <w:p w14:paraId="6EE3DEDE" w14:textId="1262F4D5" w:rsidR="0000066C" w:rsidRPr="00AA6EDC" w:rsidRDefault="0000066C" w:rsidP="00AB2E7F">
      <w:pPr>
        <w:pStyle w:val="ListParagraph"/>
        <w:numPr>
          <w:ilvl w:val="0"/>
          <w:numId w:val="27"/>
        </w:numPr>
        <w:spacing w:after="120"/>
        <w:rPr>
          <w:rFonts w:asciiTheme="majorHAnsi" w:hAnsiTheme="majorHAnsi" w:cstheme="majorHAnsi"/>
          <w:szCs w:val="22"/>
        </w:rPr>
      </w:pPr>
      <w:r w:rsidRPr="00AA6EDC">
        <w:rPr>
          <w:rFonts w:asciiTheme="majorHAnsi" w:hAnsiTheme="majorHAnsi" w:cstheme="majorHAnsi"/>
          <w:szCs w:val="22"/>
        </w:rPr>
        <w:t>Australian Dental Industry Association</w:t>
      </w:r>
    </w:p>
    <w:p w14:paraId="36E9E502" w14:textId="7957489F" w:rsidR="0000066C" w:rsidRPr="00AA6EDC" w:rsidRDefault="0000066C" w:rsidP="00AB2E7F">
      <w:pPr>
        <w:pStyle w:val="ListParagraph"/>
        <w:numPr>
          <w:ilvl w:val="0"/>
          <w:numId w:val="27"/>
        </w:numPr>
        <w:spacing w:after="120"/>
        <w:rPr>
          <w:rFonts w:asciiTheme="majorHAnsi" w:hAnsiTheme="majorHAnsi" w:cstheme="majorHAnsi"/>
          <w:szCs w:val="22"/>
        </w:rPr>
      </w:pPr>
      <w:r w:rsidRPr="00AA6EDC">
        <w:rPr>
          <w:rFonts w:asciiTheme="majorHAnsi" w:hAnsiTheme="majorHAnsi" w:cstheme="majorHAnsi"/>
          <w:szCs w:val="22"/>
        </w:rPr>
        <w:t>Consumer Healthcare Products Australia</w:t>
      </w:r>
    </w:p>
    <w:p w14:paraId="46034908" w14:textId="2489F346" w:rsidR="0000066C" w:rsidRPr="00AA6EDC" w:rsidRDefault="0000066C" w:rsidP="00AB2E7F">
      <w:pPr>
        <w:pStyle w:val="ListParagraph"/>
        <w:numPr>
          <w:ilvl w:val="0"/>
          <w:numId w:val="27"/>
        </w:numPr>
        <w:spacing w:after="120"/>
        <w:rPr>
          <w:rFonts w:asciiTheme="majorHAnsi" w:hAnsiTheme="majorHAnsi" w:cstheme="majorHAnsi"/>
          <w:szCs w:val="22"/>
        </w:rPr>
      </w:pPr>
      <w:r w:rsidRPr="00AA6EDC">
        <w:rPr>
          <w:rFonts w:asciiTheme="majorHAnsi" w:hAnsiTheme="majorHAnsi" w:cstheme="majorHAnsi"/>
          <w:szCs w:val="22"/>
        </w:rPr>
        <w:t>Complementary Medicines Australia</w:t>
      </w:r>
    </w:p>
    <w:p w14:paraId="07158071" w14:textId="5B46937A" w:rsidR="0000066C" w:rsidRPr="00AA6EDC" w:rsidRDefault="0000066C" w:rsidP="00AB2E7F">
      <w:pPr>
        <w:pStyle w:val="ListParagraph"/>
        <w:numPr>
          <w:ilvl w:val="0"/>
          <w:numId w:val="27"/>
        </w:numPr>
        <w:spacing w:after="120"/>
        <w:rPr>
          <w:rFonts w:asciiTheme="majorHAnsi" w:hAnsiTheme="majorHAnsi" w:cstheme="majorHAnsi"/>
          <w:szCs w:val="22"/>
        </w:rPr>
      </w:pPr>
      <w:r w:rsidRPr="00AA6EDC">
        <w:rPr>
          <w:rFonts w:asciiTheme="majorHAnsi" w:hAnsiTheme="majorHAnsi" w:cstheme="majorHAnsi"/>
          <w:szCs w:val="22"/>
        </w:rPr>
        <w:t>Accord Australasia</w:t>
      </w:r>
    </w:p>
    <w:p w14:paraId="5EED1BEE" w14:textId="3D94A15D" w:rsidR="0000066C" w:rsidRPr="00AA6EDC" w:rsidRDefault="0000066C" w:rsidP="00AB2E7F">
      <w:pPr>
        <w:pStyle w:val="ListParagraph"/>
        <w:numPr>
          <w:ilvl w:val="0"/>
          <w:numId w:val="27"/>
        </w:numPr>
        <w:spacing w:after="120"/>
        <w:rPr>
          <w:rFonts w:asciiTheme="majorHAnsi" w:hAnsiTheme="majorHAnsi" w:cstheme="majorHAnsi"/>
          <w:szCs w:val="22"/>
        </w:rPr>
      </w:pPr>
      <w:r w:rsidRPr="00AA6EDC">
        <w:rPr>
          <w:rFonts w:asciiTheme="majorHAnsi" w:hAnsiTheme="majorHAnsi" w:cstheme="majorHAnsi"/>
          <w:szCs w:val="22"/>
        </w:rPr>
        <w:t>Optical Distributors &amp; Manufacturers Association of Australia</w:t>
      </w:r>
    </w:p>
    <w:p w14:paraId="49557218" w14:textId="09FF31CC" w:rsidR="0000066C" w:rsidRPr="00AA6EDC" w:rsidRDefault="0000066C" w:rsidP="00AB2E7F">
      <w:pPr>
        <w:pStyle w:val="ListParagraph"/>
        <w:numPr>
          <w:ilvl w:val="0"/>
          <w:numId w:val="27"/>
        </w:numPr>
        <w:spacing w:after="120"/>
        <w:rPr>
          <w:rFonts w:asciiTheme="majorHAnsi" w:hAnsiTheme="majorHAnsi" w:cstheme="majorHAnsi"/>
          <w:szCs w:val="22"/>
        </w:rPr>
      </w:pPr>
      <w:r w:rsidRPr="00AA6EDC">
        <w:rPr>
          <w:rFonts w:asciiTheme="majorHAnsi" w:hAnsiTheme="majorHAnsi" w:cstheme="majorHAnsi"/>
          <w:szCs w:val="22"/>
        </w:rPr>
        <w:t>Assistive Technology Suppliers Australasia</w:t>
      </w:r>
    </w:p>
    <w:p w14:paraId="6E06ED7D" w14:textId="1E261DC0" w:rsidR="0000066C" w:rsidRPr="00AA6EDC" w:rsidRDefault="0000066C" w:rsidP="00AB2E7F">
      <w:pPr>
        <w:pStyle w:val="ListParagraph"/>
        <w:numPr>
          <w:ilvl w:val="0"/>
          <w:numId w:val="27"/>
        </w:numPr>
        <w:spacing w:after="120"/>
        <w:rPr>
          <w:rFonts w:asciiTheme="majorHAnsi" w:hAnsiTheme="majorHAnsi" w:cstheme="majorHAnsi"/>
          <w:szCs w:val="22"/>
        </w:rPr>
      </w:pPr>
      <w:r w:rsidRPr="00AA6EDC">
        <w:rPr>
          <w:rFonts w:asciiTheme="majorHAnsi" w:hAnsiTheme="majorHAnsi" w:cstheme="majorHAnsi"/>
          <w:szCs w:val="22"/>
        </w:rPr>
        <w:t xml:space="preserve">Australian Medical </w:t>
      </w:r>
      <w:r w:rsidR="00F772B5" w:rsidRPr="00AA6EDC">
        <w:rPr>
          <w:rFonts w:asciiTheme="majorHAnsi" w:hAnsiTheme="majorHAnsi" w:cstheme="majorHAnsi"/>
          <w:szCs w:val="22"/>
        </w:rPr>
        <w:t>Manufactur</w:t>
      </w:r>
      <w:r w:rsidR="00366005" w:rsidRPr="00AA6EDC">
        <w:rPr>
          <w:rFonts w:asciiTheme="majorHAnsi" w:hAnsiTheme="majorHAnsi" w:cstheme="majorHAnsi"/>
          <w:szCs w:val="22"/>
        </w:rPr>
        <w:t>e</w:t>
      </w:r>
      <w:r w:rsidR="00D86B1D" w:rsidRPr="00AA6EDC">
        <w:rPr>
          <w:rFonts w:asciiTheme="majorHAnsi" w:hAnsiTheme="majorHAnsi" w:cstheme="majorHAnsi"/>
          <w:szCs w:val="22"/>
        </w:rPr>
        <w:t xml:space="preserve">rs and </w:t>
      </w:r>
      <w:r w:rsidRPr="00AA6EDC">
        <w:rPr>
          <w:rFonts w:asciiTheme="majorHAnsi" w:hAnsiTheme="majorHAnsi" w:cstheme="majorHAnsi"/>
          <w:szCs w:val="22"/>
        </w:rPr>
        <w:t>Distribut</w:t>
      </w:r>
      <w:r w:rsidR="00366005" w:rsidRPr="00AA6EDC">
        <w:rPr>
          <w:rFonts w:asciiTheme="majorHAnsi" w:hAnsiTheme="majorHAnsi" w:cstheme="majorHAnsi"/>
          <w:szCs w:val="22"/>
        </w:rPr>
        <w:t>ors</w:t>
      </w:r>
      <w:r w:rsidRPr="00AA6EDC">
        <w:rPr>
          <w:rFonts w:asciiTheme="majorHAnsi" w:hAnsiTheme="majorHAnsi" w:cstheme="majorHAnsi"/>
          <w:szCs w:val="22"/>
        </w:rPr>
        <w:t xml:space="preserve"> Association</w:t>
      </w:r>
    </w:p>
    <w:p w14:paraId="624CABBF" w14:textId="375022E5" w:rsidR="0000066C" w:rsidRPr="00AA6EDC" w:rsidRDefault="0000066C" w:rsidP="00AB2E7F">
      <w:pPr>
        <w:pStyle w:val="ListParagraph"/>
        <w:numPr>
          <w:ilvl w:val="0"/>
          <w:numId w:val="27"/>
        </w:numPr>
        <w:spacing w:after="120"/>
        <w:rPr>
          <w:rFonts w:asciiTheme="majorHAnsi" w:hAnsiTheme="majorHAnsi" w:cstheme="majorHAnsi"/>
          <w:szCs w:val="22"/>
        </w:rPr>
      </w:pPr>
      <w:r w:rsidRPr="00AA6EDC">
        <w:rPr>
          <w:rFonts w:asciiTheme="majorHAnsi" w:hAnsiTheme="majorHAnsi" w:cstheme="majorHAnsi"/>
          <w:szCs w:val="22"/>
        </w:rPr>
        <w:t>MTP Connect</w:t>
      </w:r>
    </w:p>
    <w:p w14:paraId="70E7B55E" w14:textId="039E7AC2" w:rsidR="008C2622" w:rsidRPr="00504267" w:rsidRDefault="008C2622" w:rsidP="008C2622">
      <w:pPr>
        <w:spacing w:after="120"/>
        <w:rPr>
          <w:rFonts w:cs="Arial"/>
          <w:color w:val="auto"/>
          <w:szCs w:val="22"/>
        </w:rPr>
      </w:pPr>
      <w:r w:rsidRPr="00504267">
        <w:rPr>
          <w:rFonts w:cs="Arial"/>
          <w:color w:val="auto"/>
          <w:szCs w:val="22"/>
        </w:rPr>
        <w:t xml:space="preserve">The presentations delivered at the bilateral meetings were subsequently circulated to all </w:t>
      </w:r>
      <w:r w:rsidR="00AB14F2" w:rsidRPr="00504267">
        <w:rPr>
          <w:rFonts w:cs="Arial"/>
          <w:color w:val="auto"/>
          <w:szCs w:val="22"/>
        </w:rPr>
        <w:t xml:space="preserve">13 </w:t>
      </w:r>
      <w:r w:rsidRPr="00504267">
        <w:rPr>
          <w:rFonts w:cs="Arial"/>
          <w:color w:val="auto"/>
          <w:szCs w:val="22"/>
        </w:rPr>
        <w:t>groups for disseminating information to their member companies.</w:t>
      </w:r>
    </w:p>
    <w:p w14:paraId="036C2171" w14:textId="25C8B051" w:rsidR="00882BC9" w:rsidRPr="00504267" w:rsidRDefault="00882BC9" w:rsidP="00882BC9">
      <w:pPr>
        <w:spacing w:after="120"/>
        <w:rPr>
          <w:rFonts w:cs="Arial"/>
          <w:color w:val="auto"/>
          <w:szCs w:val="22"/>
        </w:rPr>
      </w:pPr>
      <w:r w:rsidRPr="00504267">
        <w:rPr>
          <w:rFonts w:cs="Arial"/>
          <w:color w:val="auto"/>
          <w:szCs w:val="22"/>
        </w:rPr>
        <w:t>To obtain broader feedback from the industry, the TGA encourages all stakeholders to provide their comments on the proposed 202</w:t>
      </w:r>
      <w:r w:rsidR="002E55A4" w:rsidRPr="00504267">
        <w:rPr>
          <w:rFonts w:cs="Arial"/>
          <w:color w:val="auto"/>
          <w:szCs w:val="22"/>
        </w:rPr>
        <w:t>6</w:t>
      </w:r>
      <w:r w:rsidRPr="00504267">
        <w:rPr>
          <w:rFonts w:cs="Arial"/>
          <w:color w:val="auto"/>
          <w:szCs w:val="22"/>
        </w:rPr>
        <w:t>-2</w:t>
      </w:r>
      <w:r w:rsidR="002E55A4" w:rsidRPr="00504267">
        <w:rPr>
          <w:rFonts w:cs="Arial"/>
          <w:color w:val="auto"/>
          <w:szCs w:val="22"/>
        </w:rPr>
        <w:t>7</w:t>
      </w:r>
      <w:r w:rsidRPr="00504267">
        <w:rPr>
          <w:rFonts w:cs="Arial"/>
          <w:color w:val="auto"/>
          <w:szCs w:val="22"/>
        </w:rPr>
        <w:t xml:space="preserve"> fees and charges, preferably through their relevant peak body. This feedback will be instrumental in shaping the final proposal that will be submitted to the </w:t>
      </w:r>
      <w:r w:rsidR="00085F1B" w:rsidRPr="00504267">
        <w:rPr>
          <w:rFonts w:cs="Arial"/>
          <w:color w:val="auto"/>
          <w:szCs w:val="22"/>
        </w:rPr>
        <w:t>g</w:t>
      </w:r>
      <w:r w:rsidRPr="00504267">
        <w:rPr>
          <w:rFonts w:cs="Arial"/>
          <w:color w:val="auto"/>
          <w:szCs w:val="22"/>
        </w:rPr>
        <w:t>overnment for consideration and decision.</w:t>
      </w:r>
    </w:p>
    <w:p w14:paraId="2B9A1369" w14:textId="77777777" w:rsidR="006143EC" w:rsidRPr="00504267" w:rsidRDefault="006143EC" w:rsidP="0000066C">
      <w:pPr>
        <w:spacing w:after="120"/>
        <w:rPr>
          <w:rFonts w:cs="Arial"/>
          <w:color w:val="auto"/>
          <w:szCs w:val="22"/>
        </w:rPr>
      </w:pPr>
    </w:p>
    <w:p w14:paraId="4326E595" w14:textId="5DA5883A" w:rsidR="009425E1" w:rsidRPr="00504267" w:rsidRDefault="00F636DF" w:rsidP="00041B01">
      <w:pPr>
        <w:pStyle w:val="ListBullet"/>
        <w:numPr>
          <w:ilvl w:val="0"/>
          <w:numId w:val="16"/>
        </w:numPr>
        <w:rPr>
          <w:rFonts w:cs="Arial"/>
          <w:b/>
          <w:bCs/>
          <w:color w:val="auto"/>
          <w:szCs w:val="22"/>
        </w:rPr>
      </w:pPr>
      <w:bookmarkStart w:id="45" w:name="_Toc93946216"/>
      <w:r w:rsidRPr="00504267">
        <w:rPr>
          <w:rFonts w:cs="Arial"/>
          <w:b/>
          <w:bCs/>
          <w:color w:val="auto"/>
          <w:szCs w:val="22"/>
        </w:rPr>
        <w:t xml:space="preserve">Regulatory </w:t>
      </w:r>
      <w:r w:rsidR="00D50221" w:rsidRPr="00504267">
        <w:rPr>
          <w:rFonts w:cs="Arial"/>
          <w:b/>
          <w:bCs/>
          <w:color w:val="auto"/>
          <w:szCs w:val="22"/>
        </w:rPr>
        <w:t>I</w:t>
      </w:r>
      <w:r w:rsidR="009425E1" w:rsidRPr="00504267">
        <w:rPr>
          <w:rFonts w:cs="Arial"/>
          <w:b/>
          <w:bCs/>
          <w:color w:val="auto"/>
          <w:szCs w:val="22"/>
        </w:rPr>
        <w:t xml:space="preserve">mpact </w:t>
      </w:r>
      <w:r w:rsidR="00A57656" w:rsidRPr="00504267">
        <w:rPr>
          <w:rFonts w:cs="Arial"/>
          <w:b/>
          <w:bCs/>
          <w:color w:val="auto"/>
          <w:szCs w:val="22"/>
        </w:rPr>
        <w:t>A</w:t>
      </w:r>
      <w:bookmarkEnd w:id="45"/>
      <w:r w:rsidR="00BD5710" w:rsidRPr="00504267">
        <w:rPr>
          <w:rFonts w:cs="Arial"/>
          <w:b/>
          <w:bCs/>
          <w:color w:val="auto"/>
          <w:szCs w:val="22"/>
        </w:rPr>
        <w:t>nalysis</w:t>
      </w:r>
      <w:r w:rsidR="00AC7997" w:rsidRPr="00504267">
        <w:rPr>
          <w:rFonts w:cs="Arial"/>
          <w:b/>
          <w:bCs/>
          <w:color w:val="auto"/>
          <w:szCs w:val="22"/>
        </w:rPr>
        <w:t xml:space="preserve"> </w:t>
      </w:r>
    </w:p>
    <w:p w14:paraId="20605BCA" w14:textId="71D81A46" w:rsidR="00001106" w:rsidRPr="00504267" w:rsidRDefault="009425E1" w:rsidP="009425E1">
      <w:pPr>
        <w:spacing w:after="120"/>
        <w:rPr>
          <w:rFonts w:cs="Arial"/>
          <w:color w:val="auto"/>
          <w:szCs w:val="22"/>
        </w:rPr>
      </w:pPr>
      <w:r w:rsidRPr="00504267">
        <w:rPr>
          <w:rFonts w:cs="Arial"/>
          <w:color w:val="auto"/>
          <w:szCs w:val="22"/>
        </w:rPr>
        <w:t xml:space="preserve">The </w:t>
      </w:r>
      <w:r w:rsidR="00510862" w:rsidRPr="00504267">
        <w:rPr>
          <w:rFonts w:cs="Arial"/>
          <w:color w:val="auto"/>
          <w:szCs w:val="22"/>
        </w:rPr>
        <w:t>indexation-based</w:t>
      </w:r>
      <w:r w:rsidR="008C2622" w:rsidRPr="00504267">
        <w:rPr>
          <w:rFonts w:cs="Arial"/>
          <w:color w:val="auto"/>
          <w:szCs w:val="22"/>
        </w:rPr>
        <w:t xml:space="preserve"> increase </w:t>
      </w:r>
      <w:r w:rsidR="00EF07C7" w:rsidRPr="00504267">
        <w:rPr>
          <w:rFonts w:cs="Arial"/>
          <w:color w:val="auto"/>
          <w:szCs w:val="22"/>
        </w:rPr>
        <w:t xml:space="preserve">to cost recovery fees and charges are </w:t>
      </w:r>
      <w:r w:rsidRPr="00504267">
        <w:rPr>
          <w:rFonts w:cs="Arial"/>
          <w:color w:val="auto"/>
          <w:szCs w:val="22"/>
        </w:rPr>
        <w:t xml:space="preserve">within the parameters </w:t>
      </w:r>
      <w:r w:rsidR="00001106" w:rsidRPr="00504267">
        <w:rPr>
          <w:rFonts w:cs="Arial"/>
          <w:color w:val="auto"/>
          <w:szCs w:val="22"/>
        </w:rPr>
        <w:t xml:space="preserve">agreed between the </w:t>
      </w:r>
      <w:r w:rsidR="00AA672B" w:rsidRPr="00504267">
        <w:rPr>
          <w:rFonts w:cs="Arial"/>
          <w:color w:val="auto"/>
          <w:szCs w:val="22"/>
        </w:rPr>
        <w:t>d</w:t>
      </w:r>
      <w:r w:rsidR="00001106" w:rsidRPr="00504267">
        <w:rPr>
          <w:rFonts w:cs="Arial"/>
          <w:color w:val="auto"/>
          <w:szCs w:val="22"/>
        </w:rPr>
        <w:t>epartment and the Office of Impact Analysis</w:t>
      </w:r>
      <w:r w:rsidRPr="00504267">
        <w:rPr>
          <w:rFonts w:cs="Arial"/>
          <w:color w:val="auto"/>
          <w:szCs w:val="22"/>
        </w:rPr>
        <w:t>.</w:t>
      </w:r>
      <w:r w:rsidR="00EF07C7" w:rsidRPr="00504267">
        <w:rPr>
          <w:rFonts w:cs="Arial"/>
          <w:color w:val="auto"/>
          <w:szCs w:val="22"/>
        </w:rPr>
        <w:t xml:space="preserve"> Further advice will be sought </w:t>
      </w:r>
      <w:r w:rsidR="00133DC6" w:rsidRPr="00504267">
        <w:rPr>
          <w:rFonts w:cs="Arial"/>
          <w:color w:val="auto"/>
          <w:szCs w:val="22"/>
        </w:rPr>
        <w:t xml:space="preserve">as to whether </w:t>
      </w:r>
      <w:r w:rsidR="00EF07C7" w:rsidRPr="00504267">
        <w:rPr>
          <w:rFonts w:cs="Arial"/>
          <w:color w:val="auto"/>
          <w:szCs w:val="22"/>
        </w:rPr>
        <w:t>a Regulatory Impact Assessment is required.</w:t>
      </w:r>
    </w:p>
    <w:p w14:paraId="070C261E" w14:textId="77777777" w:rsidR="00A86BA7" w:rsidRPr="0085066D" w:rsidRDefault="00A86BA7" w:rsidP="00AB2E7F">
      <w:pPr>
        <w:pStyle w:val="Heading2"/>
        <w:rPr>
          <w:rFonts w:cs="Arial"/>
        </w:rPr>
      </w:pPr>
      <w:bookmarkStart w:id="46" w:name="_Toc187672706"/>
      <w:bookmarkStart w:id="47" w:name="_Toc219968260"/>
      <w:bookmarkEnd w:id="46"/>
      <w:r w:rsidRPr="0085066D">
        <w:rPr>
          <w:rFonts w:cs="Arial"/>
        </w:rPr>
        <w:t>Next steps</w:t>
      </w:r>
      <w:bookmarkEnd w:id="47"/>
    </w:p>
    <w:p w14:paraId="535E5C2B" w14:textId="31B36F5E" w:rsidR="00D50221" w:rsidRPr="00163B78" w:rsidRDefault="00A57656" w:rsidP="00A86BA7">
      <w:pPr>
        <w:spacing w:after="120"/>
        <w:rPr>
          <w:rFonts w:cs="Arial"/>
          <w:szCs w:val="22"/>
        </w:rPr>
      </w:pPr>
      <w:r w:rsidRPr="00504267">
        <w:rPr>
          <w:rFonts w:cs="Arial"/>
          <w:color w:val="auto"/>
          <w:szCs w:val="22"/>
        </w:rPr>
        <w:t>The</w:t>
      </w:r>
      <w:r w:rsidR="00A86BA7" w:rsidRPr="00504267">
        <w:rPr>
          <w:rFonts w:cs="Arial"/>
          <w:color w:val="auto"/>
          <w:szCs w:val="22"/>
        </w:rPr>
        <w:t xml:space="preserve"> TGA </w:t>
      </w:r>
      <w:r w:rsidR="00133DC6" w:rsidRPr="00504267">
        <w:rPr>
          <w:rFonts w:cs="Arial"/>
          <w:color w:val="auto"/>
          <w:szCs w:val="22"/>
        </w:rPr>
        <w:t>invites</w:t>
      </w:r>
      <w:r w:rsidR="00A86BA7" w:rsidRPr="00504267">
        <w:rPr>
          <w:rFonts w:cs="Arial"/>
          <w:color w:val="auto"/>
          <w:szCs w:val="22"/>
        </w:rPr>
        <w:t xml:space="preserve"> submissions </w:t>
      </w:r>
      <w:r w:rsidRPr="00504267">
        <w:rPr>
          <w:rFonts w:cs="Arial"/>
          <w:color w:val="auto"/>
          <w:szCs w:val="22"/>
        </w:rPr>
        <w:t xml:space="preserve">in response to this paper </w:t>
      </w:r>
      <w:r w:rsidR="00163B78" w:rsidRPr="00504267">
        <w:rPr>
          <w:rFonts w:cs="Arial"/>
          <w:color w:val="auto"/>
          <w:szCs w:val="22"/>
        </w:rPr>
        <w:t>for the 2026-27 fees and charges</w:t>
      </w:r>
      <w:r w:rsidR="00EF3998" w:rsidRPr="00504267">
        <w:rPr>
          <w:rFonts w:cs="Arial"/>
          <w:color w:val="auto"/>
          <w:szCs w:val="22"/>
        </w:rPr>
        <w:t xml:space="preserve"> </w:t>
      </w:r>
      <w:r w:rsidR="00C81D8F" w:rsidRPr="00504267">
        <w:rPr>
          <w:rFonts w:cs="Arial"/>
          <w:color w:val="auto"/>
          <w:szCs w:val="22"/>
        </w:rPr>
        <w:t xml:space="preserve">through </w:t>
      </w:r>
      <w:r w:rsidR="00DA226B" w:rsidRPr="00504267">
        <w:rPr>
          <w:rFonts w:cs="Arial"/>
          <w:color w:val="auto"/>
          <w:szCs w:val="22"/>
        </w:rPr>
        <w:t xml:space="preserve">the </w:t>
      </w:r>
      <w:hyperlink r:id="rId23" w:history="1">
        <w:r w:rsidR="00C81D8F" w:rsidRPr="00D64C94">
          <w:rPr>
            <w:rStyle w:val="Hyperlink"/>
            <w:rFonts w:cs="Arial"/>
            <w:szCs w:val="22"/>
          </w:rPr>
          <w:t>consultation hub</w:t>
        </w:r>
        <w:r w:rsidR="00116791" w:rsidRPr="00D64C94">
          <w:rPr>
            <w:rStyle w:val="Hyperlink"/>
            <w:rFonts w:cs="Arial"/>
            <w:szCs w:val="22"/>
          </w:rPr>
          <w:t xml:space="preserve"> </w:t>
        </w:r>
      </w:hyperlink>
      <w:r w:rsidR="00A86BA7" w:rsidRPr="00163B78">
        <w:rPr>
          <w:rFonts w:cs="Arial"/>
          <w:szCs w:val="22"/>
        </w:rPr>
        <w:t xml:space="preserve"> </w:t>
      </w:r>
    </w:p>
    <w:p w14:paraId="781F0B9C" w14:textId="6B3201A0" w:rsidR="00A86BA7" w:rsidRPr="00504267" w:rsidRDefault="00873FCF" w:rsidP="00130F5A">
      <w:pPr>
        <w:spacing w:after="120"/>
        <w:rPr>
          <w:rFonts w:cs="Arial"/>
          <w:color w:val="auto"/>
          <w:szCs w:val="22"/>
        </w:rPr>
      </w:pPr>
      <w:r w:rsidRPr="00504267">
        <w:rPr>
          <w:rFonts w:cs="Arial"/>
          <w:color w:val="auto"/>
          <w:szCs w:val="22"/>
        </w:rPr>
        <w:t>All feedback will be thoroughly reviewed and considered</w:t>
      </w:r>
      <w:r w:rsidR="00A86BA7" w:rsidRPr="00504267">
        <w:rPr>
          <w:rFonts w:cs="Arial"/>
          <w:color w:val="auto"/>
          <w:szCs w:val="22"/>
        </w:rPr>
        <w:t xml:space="preserve"> </w:t>
      </w:r>
      <w:r w:rsidRPr="00504267">
        <w:rPr>
          <w:rFonts w:cs="Arial"/>
          <w:color w:val="auto"/>
          <w:szCs w:val="22"/>
        </w:rPr>
        <w:t xml:space="preserve">prior to submitting recommendations to </w:t>
      </w:r>
      <w:r w:rsidR="00A86BA7" w:rsidRPr="00504267">
        <w:rPr>
          <w:rFonts w:cs="Arial"/>
          <w:color w:val="auto"/>
          <w:szCs w:val="22"/>
        </w:rPr>
        <w:t xml:space="preserve">the Minister for </w:t>
      </w:r>
      <w:r w:rsidR="00130F5A" w:rsidRPr="00504267">
        <w:rPr>
          <w:rFonts w:cs="Arial"/>
          <w:color w:val="auto"/>
          <w:szCs w:val="22"/>
        </w:rPr>
        <w:t>Health</w:t>
      </w:r>
      <w:r w:rsidR="00C339E7" w:rsidRPr="00504267">
        <w:rPr>
          <w:rFonts w:cs="Arial"/>
          <w:color w:val="auto"/>
          <w:szCs w:val="22"/>
        </w:rPr>
        <w:t xml:space="preserve"> and Ageing </w:t>
      </w:r>
      <w:r w:rsidRPr="00504267">
        <w:rPr>
          <w:rFonts w:cs="Arial"/>
          <w:color w:val="auto"/>
          <w:szCs w:val="22"/>
        </w:rPr>
        <w:t>for approval</w:t>
      </w:r>
      <w:r w:rsidR="00A86BA7" w:rsidRPr="00504267">
        <w:rPr>
          <w:rFonts w:cs="Arial"/>
          <w:color w:val="auto"/>
          <w:szCs w:val="22"/>
        </w:rPr>
        <w:t>. Subject to Ministerial approval, it is expected that the amendment regulation to give effect to the new fees and charges will be submitted for consideration by the Federal Executive Council in May</w:t>
      </w:r>
      <w:r w:rsidR="0026734A" w:rsidRPr="00504267">
        <w:rPr>
          <w:rFonts w:cs="Arial"/>
          <w:color w:val="auto"/>
          <w:szCs w:val="22"/>
        </w:rPr>
        <w:t>/June</w:t>
      </w:r>
      <w:r w:rsidR="00A86BA7" w:rsidRPr="00504267">
        <w:rPr>
          <w:rFonts w:cs="Arial"/>
          <w:color w:val="auto"/>
          <w:szCs w:val="22"/>
        </w:rPr>
        <w:t xml:space="preserve"> 202</w:t>
      </w:r>
      <w:r w:rsidR="00327AB2" w:rsidRPr="00504267">
        <w:rPr>
          <w:rFonts w:cs="Arial"/>
          <w:color w:val="auto"/>
          <w:szCs w:val="22"/>
        </w:rPr>
        <w:t>6</w:t>
      </w:r>
      <w:r w:rsidR="009E4589" w:rsidRPr="00504267">
        <w:rPr>
          <w:rFonts w:cs="Arial"/>
          <w:color w:val="auto"/>
          <w:szCs w:val="22"/>
        </w:rPr>
        <w:t xml:space="preserve">. </w:t>
      </w:r>
      <w:r w:rsidR="00A86BA7" w:rsidRPr="00504267">
        <w:rPr>
          <w:rFonts w:cs="Arial"/>
          <w:color w:val="auto"/>
          <w:szCs w:val="22"/>
        </w:rPr>
        <w:t xml:space="preserve">This will allow sufficient notice to </w:t>
      </w:r>
      <w:r w:rsidR="00D50221" w:rsidRPr="00504267">
        <w:rPr>
          <w:rFonts w:cs="Arial"/>
          <w:color w:val="auto"/>
          <w:szCs w:val="22"/>
        </w:rPr>
        <w:t xml:space="preserve">affected </w:t>
      </w:r>
      <w:r w:rsidR="00A57656" w:rsidRPr="00504267">
        <w:rPr>
          <w:rFonts w:cs="Arial"/>
          <w:color w:val="auto"/>
          <w:szCs w:val="22"/>
        </w:rPr>
        <w:t>stakeholders</w:t>
      </w:r>
      <w:r w:rsidR="00D50221" w:rsidRPr="00504267">
        <w:rPr>
          <w:rFonts w:cs="Arial"/>
          <w:color w:val="auto"/>
          <w:szCs w:val="22"/>
        </w:rPr>
        <w:t xml:space="preserve"> </w:t>
      </w:r>
      <w:r w:rsidR="00A86BA7" w:rsidRPr="00504267">
        <w:rPr>
          <w:rFonts w:cs="Arial"/>
          <w:color w:val="auto"/>
          <w:szCs w:val="22"/>
        </w:rPr>
        <w:t>about changes to fees and charges effective from 1 July 202</w:t>
      </w:r>
      <w:r w:rsidR="00327AB2" w:rsidRPr="00504267">
        <w:rPr>
          <w:rFonts w:cs="Arial"/>
          <w:color w:val="auto"/>
          <w:szCs w:val="22"/>
        </w:rPr>
        <w:t>6</w:t>
      </w:r>
      <w:r w:rsidR="00A86BA7" w:rsidRPr="00504267">
        <w:rPr>
          <w:rFonts w:cs="Arial"/>
          <w:color w:val="auto"/>
          <w:szCs w:val="22"/>
        </w:rPr>
        <w:t>.</w:t>
      </w:r>
    </w:p>
    <w:p w14:paraId="1D9BFB6C" w14:textId="24A3A507" w:rsidR="00ED1E56" w:rsidRPr="00504267" w:rsidRDefault="00A86BA7" w:rsidP="00F5213B">
      <w:pPr>
        <w:spacing w:after="120"/>
        <w:rPr>
          <w:rFonts w:cs="Arial"/>
          <w:color w:val="auto"/>
          <w:szCs w:val="22"/>
        </w:rPr>
      </w:pPr>
      <w:r w:rsidRPr="00504267">
        <w:rPr>
          <w:rFonts w:cs="Arial"/>
          <w:color w:val="auto"/>
          <w:szCs w:val="22"/>
        </w:rPr>
        <w:t xml:space="preserve">The TGA </w:t>
      </w:r>
      <w:r w:rsidR="00882BC9" w:rsidRPr="00504267">
        <w:rPr>
          <w:rFonts w:cs="Arial"/>
          <w:color w:val="auto"/>
          <w:szCs w:val="22"/>
        </w:rPr>
        <w:t>CRIS</w:t>
      </w:r>
      <w:r w:rsidRPr="00504267">
        <w:rPr>
          <w:rFonts w:cs="Arial"/>
          <w:color w:val="auto"/>
          <w:szCs w:val="22"/>
        </w:rPr>
        <w:t xml:space="preserve"> will be published on the TGA website before the revised fees and charges take effect. The TGA fees and charges website will also be updated.</w:t>
      </w:r>
    </w:p>
    <w:p w14:paraId="53F6D0BB" w14:textId="72B72B94" w:rsidR="00E60356" w:rsidRPr="0015453D" w:rsidRDefault="00C81D8F" w:rsidP="00706634">
      <w:pPr>
        <w:spacing w:before="0" w:after="0" w:line="240" w:lineRule="auto"/>
        <w:rPr>
          <w:rFonts w:cs="Arial"/>
          <w:sz w:val="20"/>
        </w:rPr>
        <w:sectPr w:rsidR="00E60356" w:rsidRPr="0015453D" w:rsidSect="00762F39">
          <w:headerReference w:type="default" r:id="rId24"/>
          <w:footerReference w:type="default" r:id="rId25"/>
          <w:pgSz w:w="11906" w:h="16838" w:code="9"/>
          <w:pgMar w:top="1134" w:right="1418" w:bottom="1361" w:left="1418" w:header="573" w:footer="567" w:gutter="0"/>
          <w:cols w:space="708"/>
          <w:docGrid w:linePitch="360"/>
        </w:sectPr>
      </w:pPr>
      <w:r w:rsidRPr="00504267">
        <w:rPr>
          <w:rFonts w:cs="Arial"/>
          <w:color w:val="auto"/>
          <w:szCs w:val="22"/>
        </w:rPr>
        <w:t xml:space="preserve">Any questions relating to submissions should be emailed to </w:t>
      </w:r>
      <w:hyperlink r:id="rId26" w:history="1">
        <w:r w:rsidRPr="00163B78">
          <w:rPr>
            <w:rStyle w:val="Hyperlink"/>
            <w:rFonts w:cs="Arial"/>
            <w:szCs w:val="22"/>
          </w:rPr>
          <w:t>TGAFeesAndCharges@health.gov.au</w:t>
        </w:r>
      </w:hyperlink>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6111B299" w14:textId="77777777" w:rsidTr="001F4CB4">
        <w:trPr>
          <w:trHeight w:hRule="exact" w:val="565"/>
          <w:jc w:val="center"/>
        </w:trPr>
        <w:tc>
          <w:tcPr>
            <w:tcW w:w="9145" w:type="dxa"/>
          </w:tcPr>
          <w:p w14:paraId="3EB28128" w14:textId="77777777" w:rsidR="00C50E5C" w:rsidRPr="00215D48" w:rsidRDefault="00C50E5C" w:rsidP="001F4CB4">
            <w:pPr>
              <w:pStyle w:val="TGASignoff"/>
            </w:pPr>
            <w:r w:rsidRPr="00215D48">
              <w:lastRenderedPageBreak/>
              <w:t>Therapeutic Goods Administration</w:t>
            </w:r>
          </w:p>
        </w:tc>
      </w:tr>
      <w:tr w:rsidR="00C50E5C" w:rsidRPr="00215D48" w14:paraId="4DE3799A" w14:textId="77777777" w:rsidTr="001F4CB4">
        <w:trPr>
          <w:trHeight w:val="963"/>
          <w:jc w:val="center"/>
        </w:trPr>
        <w:tc>
          <w:tcPr>
            <w:tcW w:w="9145" w:type="dxa"/>
            <w:tcMar>
              <w:top w:w="28" w:type="dxa"/>
            </w:tcMar>
          </w:tcPr>
          <w:p w14:paraId="7EFD73F7" w14:textId="77777777" w:rsidR="00C50E5C" w:rsidRPr="00215D48" w:rsidRDefault="00C50E5C" w:rsidP="00EB5622">
            <w:pPr>
              <w:pStyle w:val="Address"/>
              <w:jc w:val="center"/>
            </w:pPr>
            <w:r w:rsidRPr="00215D48">
              <w:t>PO Box 100 Woden ACT 2606 Australia</w:t>
            </w:r>
          </w:p>
          <w:p w14:paraId="5C56C982" w14:textId="33F76638" w:rsidR="001A3190" w:rsidRDefault="00C50E5C">
            <w:pPr>
              <w:pStyle w:val="Address"/>
              <w:jc w:val="center"/>
              <w:rPr>
                <w:sz w:val="22"/>
                <w:szCs w:val="22"/>
              </w:rPr>
            </w:pPr>
            <w:r w:rsidRPr="00215D48">
              <w:t xml:space="preserve">Email: </w:t>
            </w:r>
            <w:hyperlink r:id="rId27" w:history="1">
              <w:r w:rsidRPr="00215D48">
                <w:rPr>
                  <w:rStyle w:val="Hyperlink"/>
                </w:rPr>
                <w:t>info@tga.gov.au</w:t>
              </w:r>
            </w:hyperlink>
            <w:r w:rsidRPr="00215D48">
              <w:t xml:space="preserve">  Phone: 1800 020 </w:t>
            </w:r>
            <w:r w:rsidR="009A6388" w:rsidRPr="00215D48">
              <w:t>653 Fax</w:t>
            </w:r>
            <w:r w:rsidRPr="00215D48">
              <w:t xml:space="preserve">: </w:t>
            </w:r>
            <w:r w:rsidR="001A3190" w:rsidRPr="00BA0DFC">
              <w:t>02 6203 1605</w:t>
            </w:r>
          </w:p>
          <w:p w14:paraId="087D66F5" w14:textId="77777777" w:rsidR="00C50E5C" w:rsidRPr="00215D48" w:rsidRDefault="00215D48">
            <w:pPr>
              <w:pStyle w:val="Address"/>
              <w:jc w:val="center"/>
              <w:rPr>
                <w:rStyle w:val="Hyperlink"/>
                <w:b/>
                <w:color w:val="auto"/>
                <w:sz w:val="22"/>
                <w:u w:val="none"/>
              </w:rPr>
            </w:pPr>
            <w:hyperlink r:id="rId28" w:history="1">
              <w:r w:rsidRPr="00C4721A">
                <w:rPr>
                  <w:rStyle w:val="Hyperlink"/>
                  <w:b/>
                </w:rPr>
                <w:t>https://www.tga.gov.au</w:t>
              </w:r>
            </w:hyperlink>
          </w:p>
        </w:tc>
      </w:tr>
      <w:tr w:rsidR="00C50E5C" w:rsidRPr="00215D48" w14:paraId="2E4628CF" w14:textId="77777777" w:rsidTr="001F4CB4">
        <w:trPr>
          <w:trHeight w:val="251"/>
          <w:jc w:val="center"/>
        </w:trPr>
        <w:tc>
          <w:tcPr>
            <w:tcW w:w="9145" w:type="dxa"/>
            <w:tcMar>
              <w:top w:w="28" w:type="dxa"/>
            </w:tcMar>
          </w:tcPr>
          <w:p w14:paraId="2ABCF66B" w14:textId="7F218CA0" w:rsidR="00C50E5C" w:rsidRPr="00215D48" w:rsidRDefault="00C50E5C" w:rsidP="00EB5622">
            <w:pPr>
              <w:pStyle w:val="Address"/>
              <w:jc w:val="center"/>
            </w:pPr>
          </w:p>
        </w:tc>
      </w:tr>
    </w:tbl>
    <w:p w14:paraId="5498610B" w14:textId="77777777" w:rsidR="00706634" w:rsidRPr="00215D48" w:rsidRDefault="00706634" w:rsidP="004A3084">
      <w:pPr>
        <w:rPr>
          <w:sz w:val="20"/>
        </w:rPr>
      </w:pPr>
    </w:p>
    <w:sectPr w:rsidR="00706634" w:rsidRPr="00215D48" w:rsidSect="00AE7C6A">
      <w:headerReference w:type="first" r:id="rId29"/>
      <w:footerReference w:type="first" r:id="rId30"/>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6BF2C" w14:textId="77777777" w:rsidR="00C61E47" w:rsidRDefault="00C61E47" w:rsidP="00C40A36">
      <w:pPr>
        <w:spacing w:after="0"/>
      </w:pPr>
      <w:r>
        <w:separator/>
      </w:r>
    </w:p>
  </w:endnote>
  <w:endnote w:type="continuationSeparator" w:id="0">
    <w:p w14:paraId="4D37AA4B" w14:textId="77777777" w:rsidR="00C61E47" w:rsidRDefault="00C61E47"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E988" w14:textId="0B58BE00" w:rsidR="00AD1477" w:rsidRDefault="00AD1477">
    <w:pPr>
      <w:pStyle w:val="Footer"/>
    </w:pPr>
    <w:r>
      <w:rPr>
        <w:noProof/>
      </w:rPr>
      <mc:AlternateContent>
        <mc:Choice Requires="wps">
          <w:drawing>
            <wp:anchor distT="0" distB="0" distL="0" distR="0" simplePos="0" relativeHeight="251671552" behindDoc="0" locked="0" layoutInCell="1" allowOverlap="1" wp14:anchorId="667DB461" wp14:editId="7BC2EBB1">
              <wp:simplePos x="635" y="635"/>
              <wp:positionH relativeFrom="page">
                <wp:align>center</wp:align>
              </wp:positionH>
              <wp:positionV relativeFrom="page">
                <wp:align>bottom</wp:align>
              </wp:positionV>
              <wp:extent cx="622300" cy="452755"/>
              <wp:effectExtent l="0" t="0" r="6350" b="0"/>
              <wp:wrapNone/>
              <wp:docPr id="199331040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6D1DD45" w14:textId="7C227C13" w:rsidR="00AD1477" w:rsidRPr="00AD1477" w:rsidRDefault="00AD1477" w:rsidP="00AD1477">
                          <w:pPr>
                            <w:spacing w:after="0"/>
                            <w:rPr>
                              <w:rFonts w:ascii="Aptos" w:eastAsia="Aptos" w:hAnsi="Aptos" w:cs="Aptos"/>
                              <w:noProof/>
                              <w:color w:val="FF0000"/>
                              <w:sz w:val="24"/>
                              <w:szCs w:val="24"/>
                            </w:rPr>
                          </w:pPr>
                          <w:r w:rsidRPr="00AD147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7DB461" id="_x0000_t202" coordsize="21600,21600" o:spt="202" path="m,l,21600r21600,l21600,xe">
              <v:stroke joinstyle="miter"/>
              <v:path gradientshapeok="t" o:connecttype="rect"/>
            </v:shapetype>
            <v:shape id="Text Box 7" o:spid="_x0000_s1028" type="#_x0000_t202" alt="OFFICIAL" style="position:absolute;margin-left:0;margin-top:0;width:49pt;height:35.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46D1DD45" w14:textId="7C227C13" w:rsidR="00AD1477" w:rsidRPr="00AD1477" w:rsidRDefault="00AD1477" w:rsidP="00AD1477">
                    <w:pPr>
                      <w:spacing w:after="0"/>
                      <w:rPr>
                        <w:rFonts w:ascii="Aptos" w:eastAsia="Aptos" w:hAnsi="Aptos" w:cs="Aptos"/>
                        <w:noProof/>
                        <w:color w:val="FF0000"/>
                        <w:sz w:val="24"/>
                        <w:szCs w:val="24"/>
                      </w:rPr>
                    </w:pPr>
                    <w:r w:rsidRPr="00AD1477">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1E18972A" w14:textId="77777777" w:rsidTr="000B30E5">
      <w:trPr>
        <w:trHeight w:val="423"/>
      </w:trPr>
      <w:tc>
        <w:tcPr>
          <w:tcW w:w="4360" w:type="dxa"/>
          <w:tcBorders>
            <w:top w:val="single" w:sz="4" w:space="0" w:color="auto"/>
          </w:tcBorders>
        </w:tcPr>
        <w:p w14:paraId="0BA5BFD0" w14:textId="3F6AB1B7" w:rsidR="00A77452" w:rsidRDefault="00AD1477" w:rsidP="000B30E5">
          <w:pPr>
            <w:pStyle w:val="Footer"/>
          </w:pPr>
          <w:r>
            <w:rPr>
              <w:noProof/>
            </w:rPr>
            <mc:AlternateContent>
              <mc:Choice Requires="wps">
                <w:drawing>
                  <wp:anchor distT="0" distB="0" distL="0" distR="0" simplePos="0" relativeHeight="251672576" behindDoc="0" locked="0" layoutInCell="1" allowOverlap="1" wp14:anchorId="7B30994F" wp14:editId="55E343D5">
                    <wp:simplePos x="635" y="635"/>
                    <wp:positionH relativeFrom="page">
                      <wp:align>center</wp:align>
                    </wp:positionH>
                    <wp:positionV relativeFrom="page">
                      <wp:align>bottom</wp:align>
                    </wp:positionV>
                    <wp:extent cx="622300" cy="452755"/>
                    <wp:effectExtent l="0" t="0" r="6350" b="0"/>
                    <wp:wrapNone/>
                    <wp:docPr id="22553803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DACFC29" w14:textId="7052B3F1" w:rsidR="00AD1477" w:rsidRPr="00AD1477" w:rsidRDefault="00AD1477" w:rsidP="00AD1477">
                                <w:pPr>
                                  <w:spacing w:after="0"/>
                                  <w:rPr>
                                    <w:rFonts w:ascii="Aptos" w:eastAsia="Aptos" w:hAnsi="Aptos" w:cs="Aptos"/>
                                    <w:noProof/>
                                    <w:color w:val="FF0000"/>
                                    <w:sz w:val="24"/>
                                    <w:szCs w:val="24"/>
                                  </w:rPr>
                                </w:pPr>
                                <w:r w:rsidRPr="00AD147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30994F" id="_x0000_t202" coordsize="21600,21600" o:spt="202" path="m,l,21600r21600,l21600,xe">
                    <v:stroke joinstyle="miter"/>
                    <v:path gradientshapeok="t" o:connecttype="rect"/>
                  </v:shapetype>
                  <v:shape id="Text Box 8" o:spid="_x0000_s1029" type="#_x0000_t202" alt="OFFICIAL" style="position:absolute;margin-left:0;margin-top:0;width:49pt;height:35.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7DACFC29" w14:textId="7052B3F1" w:rsidR="00AD1477" w:rsidRPr="00AD1477" w:rsidRDefault="00AD1477" w:rsidP="00AD1477">
                          <w:pPr>
                            <w:spacing w:after="0"/>
                            <w:rPr>
                              <w:rFonts w:ascii="Aptos" w:eastAsia="Aptos" w:hAnsi="Aptos" w:cs="Aptos"/>
                              <w:noProof/>
                              <w:color w:val="FF0000"/>
                              <w:sz w:val="24"/>
                              <w:szCs w:val="24"/>
                            </w:rPr>
                          </w:pPr>
                          <w:r w:rsidRPr="00AD1477">
                            <w:rPr>
                              <w:rFonts w:ascii="Aptos" w:eastAsia="Aptos" w:hAnsi="Aptos" w:cs="Aptos"/>
                              <w:noProof/>
                              <w:color w:val="FF0000"/>
                              <w:sz w:val="24"/>
                              <w:szCs w:val="24"/>
                            </w:rPr>
                            <w:t>OFFICIAL</w:t>
                          </w:r>
                        </w:p>
                      </w:txbxContent>
                    </v:textbox>
                    <w10:wrap anchorx="page" anchory="page"/>
                  </v:shape>
                </w:pict>
              </mc:Fallback>
            </mc:AlternateContent>
          </w:r>
        </w:p>
        <w:p w14:paraId="70BC42A3"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Content>
            <w:p w14:paraId="01554A46" w14:textId="77E0BEFF" w:rsidR="00A77452" w:rsidRDefault="00A77452" w:rsidP="000B30E5">
              <w:pPr>
                <w:pStyle w:val="Footer"/>
                <w:jc w:val="right"/>
              </w:pPr>
            </w:p>
            <w:p w14:paraId="400F1800" w14:textId="359F9FC5"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A23ADD">
                <w:fldChar w:fldCharType="begin"/>
              </w:r>
              <w:r w:rsidR="00A23ADD">
                <w:instrText xml:space="preserve"> NUMPAGES  </w:instrText>
              </w:r>
              <w:r w:rsidR="00A23ADD">
                <w:fldChar w:fldCharType="separate"/>
              </w:r>
              <w:r w:rsidR="00EB6CAF">
                <w:rPr>
                  <w:noProof/>
                </w:rPr>
                <w:t>2</w:t>
              </w:r>
              <w:r w:rsidR="00A23ADD">
                <w:rPr>
                  <w:noProof/>
                </w:rPr>
                <w:fldChar w:fldCharType="end"/>
              </w:r>
            </w:p>
          </w:sdtContent>
        </w:sdt>
      </w:tc>
    </w:tr>
    <w:tr w:rsidR="00A77452" w:rsidRPr="00257138" w14:paraId="390C9478" w14:textId="77777777" w:rsidTr="000B30E5">
      <w:trPr>
        <w:trHeight w:val="263"/>
      </w:trPr>
      <w:tc>
        <w:tcPr>
          <w:tcW w:w="4360" w:type="dxa"/>
        </w:tcPr>
        <w:p w14:paraId="306BD90F"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3472F422" w14:textId="77777777" w:rsidR="00A77452" w:rsidRPr="00257138" w:rsidRDefault="00A77452" w:rsidP="000B30E5">
          <w:pPr>
            <w:pStyle w:val="Footer"/>
            <w:jc w:val="right"/>
          </w:pPr>
        </w:p>
      </w:tc>
    </w:tr>
  </w:tbl>
  <w:p w14:paraId="32A88A73" w14:textId="77777777" w:rsidR="00A77452" w:rsidRPr="00826007" w:rsidRDefault="00A77452" w:rsidP="000B30E5">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559" w14:textId="7857C1C3" w:rsidR="00A77452" w:rsidRDefault="00AD1477" w:rsidP="00816164">
    <w:pPr>
      <w:pStyle w:val="Footer"/>
      <w:ind w:left="-1701"/>
    </w:pPr>
    <w:r>
      <w:rPr>
        <w:noProof/>
      </w:rPr>
      <mc:AlternateContent>
        <mc:Choice Requires="wps">
          <w:drawing>
            <wp:anchor distT="0" distB="0" distL="0" distR="0" simplePos="0" relativeHeight="251670528" behindDoc="0" locked="0" layoutInCell="1" allowOverlap="1" wp14:anchorId="59B15C8F" wp14:editId="08BEDED6">
              <wp:simplePos x="635" y="635"/>
              <wp:positionH relativeFrom="page">
                <wp:align>center</wp:align>
              </wp:positionH>
              <wp:positionV relativeFrom="page">
                <wp:align>bottom</wp:align>
              </wp:positionV>
              <wp:extent cx="622300" cy="452755"/>
              <wp:effectExtent l="0" t="0" r="6350" b="0"/>
              <wp:wrapNone/>
              <wp:docPr id="85267944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C69973E" w14:textId="49DBCC30" w:rsidR="00AD1477" w:rsidRPr="00AD1477" w:rsidRDefault="00AD1477" w:rsidP="00AD1477">
                          <w:pPr>
                            <w:spacing w:after="0"/>
                            <w:rPr>
                              <w:rFonts w:ascii="Aptos" w:eastAsia="Aptos" w:hAnsi="Aptos" w:cs="Aptos"/>
                              <w:noProof/>
                              <w:color w:val="FF0000"/>
                              <w:sz w:val="24"/>
                              <w:szCs w:val="24"/>
                            </w:rPr>
                          </w:pPr>
                          <w:r w:rsidRPr="00AD147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B15C8F" id="_x0000_t202" coordsize="21600,21600" o:spt="202" path="m,l,21600r21600,l21600,xe">
              <v:stroke joinstyle="miter"/>
              <v:path gradientshapeok="t" o:connecttype="rect"/>
            </v:shapetype>
            <v:shape id="Text Box 6" o:spid="_x0000_s1031" type="#_x0000_t202" alt="OFFICIAL" style="position:absolute;left:0;text-align:left;margin-left:0;margin-top:0;width:49pt;height:35.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textbox style="mso-fit-shape-to-text:t" inset="0,0,0,15pt">
                <w:txbxContent>
                  <w:p w14:paraId="0C69973E" w14:textId="49DBCC30" w:rsidR="00AD1477" w:rsidRPr="00AD1477" w:rsidRDefault="00AD1477" w:rsidP="00AD1477">
                    <w:pPr>
                      <w:spacing w:after="0"/>
                      <w:rPr>
                        <w:rFonts w:ascii="Aptos" w:eastAsia="Aptos" w:hAnsi="Aptos" w:cs="Aptos"/>
                        <w:noProof/>
                        <w:color w:val="FF0000"/>
                        <w:sz w:val="24"/>
                        <w:szCs w:val="24"/>
                      </w:rPr>
                    </w:pPr>
                    <w:r w:rsidRPr="00AD1477">
                      <w:rPr>
                        <w:rFonts w:ascii="Aptos" w:eastAsia="Aptos" w:hAnsi="Aptos" w:cs="Aptos"/>
                        <w:noProof/>
                        <w:color w:val="FF0000"/>
                        <w:sz w:val="24"/>
                        <w:szCs w:val="24"/>
                      </w:rPr>
                      <w:t>OFFICIAL</w:t>
                    </w:r>
                  </w:p>
                </w:txbxContent>
              </v:textbox>
              <w10:wrap anchorx="page" anchory="page"/>
            </v:shape>
          </w:pict>
        </mc:Fallback>
      </mc:AlternateContent>
    </w:r>
    <w:r w:rsidR="00A77452"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14:paraId="5B7B3D84" w14:textId="77777777" w:rsidTr="00030D34">
      <w:trPr>
        <w:trHeight w:val="423"/>
      </w:trPr>
      <w:tc>
        <w:tcPr>
          <w:tcW w:w="7338" w:type="dxa"/>
          <w:tcBorders>
            <w:top w:val="single" w:sz="4" w:space="0" w:color="auto"/>
          </w:tcBorders>
        </w:tcPr>
        <w:p w14:paraId="4C8FEE70" w14:textId="5418C68B" w:rsidR="00FC6317" w:rsidRDefault="00AD1477" w:rsidP="00FC6317">
          <w:pPr>
            <w:pStyle w:val="Footer"/>
          </w:pPr>
          <w:r>
            <w:rPr>
              <w:noProof/>
            </w:rPr>
            <mc:AlternateContent>
              <mc:Choice Requires="wps">
                <w:drawing>
                  <wp:anchor distT="0" distB="0" distL="0" distR="0" simplePos="0" relativeHeight="251673600" behindDoc="0" locked="0" layoutInCell="1" allowOverlap="1" wp14:anchorId="558592AB" wp14:editId="1F964FFA">
                    <wp:simplePos x="971550" y="9944100"/>
                    <wp:positionH relativeFrom="page">
                      <wp:align>center</wp:align>
                    </wp:positionH>
                    <wp:positionV relativeFrom="page">
                      <wp:align>bottom</wp:align>
                    </wp:positionV>
                    <wp:extent cx="622300" cy="452755"/>
                    <wp:effectExtent l="0" t="0" r="6350" b="0"/>
                    <wp:wrapNone/>
                    <wp:docPr id="87895146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D5A0F20" w14:textId="230312B2" w:rsidR="00AD1477" w:rsidRPr="00AD1477" w:rsidRDefault="00AD1477" w:rsidP="00AD1477">
                                <w:pPr>
                                  <w:spacing w:after="0"/>
                                  <w:rPr>
                                    <w:rFonts w:ascii="Aptos" w:eastAsia="Aptos" w:hAnsi="Aptos" w:cs="Aptos"/>
                                    <w:noProof/>
                                    <w:color w:val="FF0000"/>
                                    <w:sz w:val="24"/>
                                    <w:szCs w:val="24"/>
                                  </w:rPr>
                                </w:pPr>
                                <w:r w:rsidRPr="00AD147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8592AB" id="_x0000_t202" coordsize="21600,21600" o:spt="202" path="m,l,21600r21600,l21600,xe">
                    <v:stroke joinstyle="miter"/>
                    <v:path gradientshapeok="t" o:connecttype="rect"/>
                  </v:shapetype>
                  <v:shape id="Text Box 9" o:spid="_x0000_s1033" type="#_x0000_t202" alt="OFFICIAL" style="position:absolute;margin-left:0;margin-top:0;width:49pt;height:35.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DUgLF0DgIAABwE&#10;AAAOAAAAAAAAAAAAAAAAAC4CAABkcnMvZTJvRG9jLnhtbFBLAQItABQABgAIAAAAIQCmX8R22gAA&#10;AAMBAAAPAAAAAAAAAAAAAAAAAGgEAABkcnMvZG93bnJldi54bWxQSwUGAAAAAAQABADzAAAAbwUA&#10;AAAA&#10;" filled="f" stroked="f">
                    <v:textbox style="mso-fit-shape-to-text:t" inset="0,0,0,15pt">
                      <w:txbxContent>
                        <w:p w14:paraId="1D5A0F20" w14:textId="230312B2" w:rsidR="00AD1477" w:rsidRPr="00AD1477" w:rsidRDefault="00AD1477" w:rsidP="00AD1477">
                          <w:pPr>
                            <w:spacing w:after="0"/>
                            <w:rPr>
                              <w:rFonts w:ascii="Aptos" w:eastAsia="Aptos" w:hAnsi="Aptos" w:cs="Aptos"/>
                              <w:noProof/>
                              <w:color w:val="FF0000"/>
                              <w:sz w:val="24"/>
                              <w:szCs w:val="24"/>
                            </w:rPr>
                          </w:pPr>
                          <w:r w:rsidRPr="00AD1477">
                            <w:rPr>
                              <w:rFonts w:ascii="Aptos" w:eastAsia="Aptos" w:hAnsi="Aptos" w:cs="Aptos"/>
                              <w:noProof/>
                              <w:color w:val="FF0000"/>
                              <w:sz w:val="24"/>
                              <w:szCs w:val="24"/>
                            </w:rPr>
                            <w:t>OFFICIAL</w:t>
                          </w:r>
                        </w:p>
                      </w:txbxContent>
                    </v:textbox>
                    <w10:wrap anchorx="page" anchory="page"/>
                  </v:shape>
                </w:pict>
              </mc:Fallback>
            </mc:AlternateContent>
          </w:r>
          <w:r w:rsidR="00C81863">
            <w:t xml:space="preserve">2026-27 </w:t>
          </w:r>
          <w:r w:rsidR="00FC6317">
            <w:t>Fees and charges proposal</w:t>
          </w:r>
        </w:p>
        <w:p w14:paraId="10C70C14" w14:textId="0C0D8699" w:rsidR="00A77452" w:rsidRPr="004A3084" w:rsidRDefault="00FC6317" w:rsidP="00FC6317">
          <w:pPr>
            <w:pStyle w:val="Footer"/>
          </w:pPr>
          <w:r>
            <w:t>V</w:t>
          </w:r>
          <w:r w:rsidR="00363CA0">
            <w:t xml:space="preserve"> </w:t>
          </w:r>
          <w:r>
            <w:t xml:space="preserve">1.0 </w:t>
          </w:r>
          <w:r w:rsidR="00615B0B">
            <w:t xml:space="preserve">January </w:t>
          </w:r>
          <w:r>
            <w:t>202</w:t>
          </w:r>
          <w:r w:rsidR="004E2BA4">
            <w:t>6</w:t>
          </w:r>
        </w:p>
      </w:tc>
      <w:tc>
        <w:tcPr>
          <w:tcW w:w="1734" w:type="dxa"/>
          <w:tcBorders>
            <w:top w:val="single" w:sz="4" w:space="0" w:color="auto"/>
          </w:tcBorders>
        </w:tcPr>
        <w:sdt>
          <w:sdtPr>
            <w:id w:val="11571659"/>
            <w:docPartObj>
              <w:docPartGallery w:val="Page Numbers (Top of Page)"/>
              <w:docPartUnique/>
            </w:docPartObj>
          </w:sdtPr>
          <w:sdtContent>
            <w:p w14:paraId="3F27231F" w14:textId="6AF877ED"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525165">
                <w:rPr>
                  <w:noProof/>
                </w:rPr>
                <w:t>6</w:t>
              </w:r>
              <w:r w:rsidR="003361D1">
                <w:rPr>
                  <w:noProof/>
                </w:rPr>
                <w:fldChar w:fldCharType="end"/>
              </w:r>
              <w:r w:rsidRPr="004A3084">
                <w:t xml:space="preserve"> of </w:t>
              </w:r>
              <w:r w:rsidR="00A23ADD">
                <w:fldChar w:fldCharType="begin"/>
              </w:r>
              <w:r w:rsidR="00A23ADD">
                <w:instrText xml:space="preserve"> NUMPAGES  </w:instrText>
              </w:r>
              <w:r w:rsidR="00A23ADD">
                <w:fldChar w:fldCharType="separate"/>
              </w:r>
              <w:r w:rsidR="00525165">
                <w:rPr>
                  <w:noProof/>
                </w:rPr>
                <w:t>7</w:t>
              </w:r>
              <w:r w:rsidR="00A23ADD">
                <w:rPr>
                  <w:noProof/>
                </w:rPr>
                <w:fldChar w:fldCharType="end"/>
              </w:r>
            </w:p>
          </w:sdtContent>
        </w:sdt>
      </w:tc>
    </w:tr>
  </w:tbl>
  <w:p w14:paraId="21F3E851" w14:textId="77777777" w:rsidR="00A77452" w:rsidRPr="00826007" w:rsidRDefault="00A77452" w:rsidP="004A3084">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02F6" w14:textId="260F70D5" w:rsidR="00A77452" w:rsidRPr="008E3C43" w:rsidRDefault="00AD1477" w:rsidP="008E3C43">
    <w:pPr>
      <w:pStyle w:val="Footer"/>
    </w:pPr>
    <w:r>
      <w:rPr>
        <w:noProof/>
      </w:rPr>
      <mc:AlternateContent>
        <mc:Choice Requires="wps">
          <w:drawing>
            <wp:anchor distT="0" distB="0" distL="0" distR="0" simplePos="0" relativeHeight="251674624" behindDoc="0" locked="0" layoutInCell="1" allowOverlap="1" wp14:anchorId="39686E2D" wp14:editId="057AEF0C">
              <wp:simplePos x="1076325" y="10067925"/>
              <wp:positionH relativeFrom="page">
                <wp:align>center</wp:align>
              </wp:positionH>
              <wp:positionV relativeFrom="page">
                <wp:align>bottom</wp:align>
              </wp:positionV>
              <wp:extent cx="622300" cy="452755"/>
              <wp:effectExtent l="0" t="0" r="6350" b="0"/>
              <wp:wrapNone/>
              <wp:docPr id="40728287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7EDD2B6" w14:textId="19B9549B" w:rsidR="00AD1477" w:rsidRPr="00AD1477" w:rsidRDefault="00AD1477" w:rsidP="00AD1477">
                          <w:pPr>
                            <w:spacing w:after="0"/>
                            <w:rPr>
                              <w:rFonts w:ascii="Aptos" w:eastAsia="Aptos" w:hAnsi="Aptos" w:cs="Aptos"/>
                              <w:noProof/>
                              <w:color w:val="FF0000"/>
                              <w:sz w:val="24"/>
                              <w:szCs w:val="24"/>
                            </w:rPr>
                          </w:pPr>
                          <w:r w:rsidRPr="00AD147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686E2D" id="_x0000_t202" coordsize="21600,21600" o:spt="202" path="m,l,21600r21600,l21600,xe">
              <v:stroke joinstyle="miter"/>
              <v:path gradientshapeok="t" o:connecttype="rect"/>
            </v:shapetype>
            <v:shape id="Text Box 10" o:spid="_x0000_s1035" type="#_x0000_t202" alt="OFFICIAL" style="position:absolute;margin-left:0;margin-top:0;width:49pt;height:35.6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CT/vrPDgIAABwE&#10;AAAOAAAAAAAAAAAAAAAAAC4CAABkcnMvZTJvRG9jLnhtbFBLAQItABQABgAIAAAAIQCmX8R22gAA&#10;AAMBAAAPAAAAAAAAAAAAAAAAAGgEAABkcnMvZG93bnJldi54bWxQSwUGAAAAAAQABADzAAAAbwUA&#10;AAAA&#10;" filled="f" stroked="f">
              <v:textbox style="mso-fit-shape-to-text:t" inset="0,0,0,15pt">
                <w:txbxContent>
                  <w:p w14:paraId="17EDD2B6" w14:textId="19B9549B" w:rsidR="00AD1477" w:rsidRPr="00AD1477" w:rsidRDefault="00AD1477" w:rsidP="00AD1477">
                    <w:pPr>
                      <w:spacing w:after="0"/>
                      <w:rPr>
                        <w:rFonts w:ascii="Aptos" w:eastAsia="Aptos" w:hAnsi="Aptos" w:cs="Aptos"/>
                        <w:noProof/>
                        <w:color w:val="FF0000"/>
                        <w:sz w:val="24"/>
                        <w:szCs w:val="24"/>
                      </w:rPr>
                    </w:pPr>
                    <w:r w:rsidRPr="00AD1477">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804AF" w14:textId="77777777" w:rsidR="00C61E47" w:rsidRDefault="00C61E47" w:rsidP="00C40A36">
      <w:pPr>
        <w:spacing w:after="0"/>
      </w:pPr>
      <w:r>
        <w:separator/>
      </w:r>
    </w:p>
  </w:footnote>
  <w:footnote w:type="continuationSeparator" w:id="0">
    <w:p w14:paraId="7F8F22AD" w14:textId="77777777" w:rsidR="00C61E47" w:rsidRDefault="00C61E47"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81C9" w14:textId="63E0190E" w:rsidR="00AD1477" w:rsidRDefault="00AD1477">
    <w:pPr>
      <w:pStyle w:val="Header"/>
    </w:pPr>
    <w:r>
      <w:rPr>
        <w:noProof/>
      </w:rPr>
      <mc:AlternateContent>
        <mc:Choice Requires="wps">
          <w:drawing>
            <wp:anchor distT="0" distB="0" distL="0" distR="0" simplePos="0" relativeHeight="251666432" behindDoc="0" locked="0" layoutInCell="1" allowOverlap="1" wp14:anchorId="272E0BE6" wp14:editId="5BC4FFCD">
              <wp:simplePos x="635" y="635"/>
              <wp:positionH relativeFrom="page">
                <wp:align>center</wp:align>
              </wp:positionH>
              <wp:positionV relativeFrom="page">
                <wp:align>top</wp:align>
              </wp:positionV>
              <wp:extent cx="622300" cy="452755"/>
              <wp:effectExtent l="0" t="0" r="6350" b="4445"/>
              <wp:wrapNone/>
              <wp:docPr id="1826687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36825F9" w14:textId="2D85B8D2" w:rsidR="00AD1477" w:rsidRPr="00AD1477" w:rsidRDefault="00AD1477" w:rsidP="00AD1477">
                          <w:pPr>
                            <w:spacing w:after="0"/>
                            <w:rPr>
                              <w:rFonts w:ascii="Aptos" w:eastAsia="Aptos" w:hAnsi="Aptos" w:cs="Aptos"/>
                              <w:noProof/>
                              <w:color w:val="FF0000"/>
                              <w:sz w:val="24"/>
                              <w:szCs w:val="24"/>
                            </w:rPr>
                          </w:pPr>
                          <w:r w:rsidRPr="00AD147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E0BE6"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5.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636825F9" w14:textId="2D85B8D2" w:rsidR="00AD1477" w:rsidRPr="00AD1477" w:rsidRDefault="00AD1477" w:rsidP="00AD1477">
                    <w:pPr>
                      <w:spacing w:after="0"/>
                      <w:rPr>
                        <w:rFonts w:ascii="Aptos" w:eastAsia="Aptos" w:hAnsi="Aptos" w:cs="Aptos"/>
                        <w:noProof/>
                        <w:color w:val="FF0000"/>
                        <w:sz w:val="24"/>
                        <w:szCs w:val="24"/>
                      </w:rPr>
                    </w:pPr>
                    <w:r w:rsidRPr="00AD1477">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793F" w14:textId="312BE85D" w:rsidR="00A77452" w:rsidRDefault="00AD1477" w:rsidP="00C3408D">
    <w:pPr>
      <w:pStyle w:val="Header"/>
    </w:pPr>
    <w:r>
      <w:rPr>
        <w:noProof/>
      </w:rPr>
      <mc:AlternateContent>
        <mc:Choice Requires="wps">
          <w:drawing>
            <wp:anchor distT="0" distB="0" distL="0" distR="0" simplePos="0" relativeHeight="251667456" behindDoc="0" locked="0" layoutInCell="1" allowOverlap="1" wp14:anchorId="7C7E0C73" wp14:editId="759C2DB5">
              <wp:simplePos x="635" y="635"/>
              <wp:positionH relativeFrom="page">
                <wp:align>center</wp:align>
              </wp:positionH>
              <wp:positionV relativeFrom="page">
                <wp:align>top</wp:align>
              </wp:positionV>
              <wp:extent cx="622300" cy="452755"/>
              <wp:effectExtent l="0" t="0" r="6350" b="4445"/>
              <wp:wrapNone/>
              <wp:docPr id="21141080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5B9D59A" w14:textId="25446FC1" w:rsidR="00AD1477" w:rsidRPr="00AD1477" w:rsidRDefault="00AD1477" w:rsidP="00AD1477">
                          <w:pPr>
                            <w:spacing w:after="0"/>
                            <w:rPr>
                              <w:rFonts w:ascii="Aptos" w:eastAsia="Aptos" w:hAnsi="Aptos" w:cs="Aptos"/>
                              <w:noProof/>
                              <w:color w:val="FF0000"/>
                              <w:sz w:val="24"/>
                              <w:szCs w:val="24"/>
                            </w:rPr>
                          </w:pPr>
                          <w:r w:rsidRPr="00AD147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7E0C73"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5.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65B9D59A" w14:textId="25446FC1" w:rsidR="00AD1477" w:rsidRPr="00AD1477" w:rsidRDefault="00AD1477" w:rsidP="00AD1477">
                    <w:pPr>
                      <w:spacing w:after="0"/>
                      <w:rPr>
                        <w:rFonts w:ascii="Aptos" w:eastAsia="Aptos" w:hAnsi="Aptos" w:cs="Aptos"/>
                        <w:noProof/>
                        <w:color w:val="FF0000"/>
                        <w:sz w:val="24"/>
                        <w:szCs w:val="24"/>
                      </w:rPr>
                    </w:pPr>
                    <w:r w:rsidRPr="00AD1477">
                      <w:rPr>
                        <w:rFonts w:ascii="Aptos" w:eastAsia="Aptos" w:hAnsi="Aptos" w:cs="Aptos"/>
                        <w:noProof/>
                        <w:color w:val="FF0000"/>
                        <w:sz w:val="24"/>
                        <w:szCs w:val="24"/>
                      </w:rPr>
                      <w:t>OFFICIAL</w:t>
                    </w:r>
                  </w:p>
                </w:txbxContent>
              </v:textbox>
              <w10:wrap anchorx="page" anchory="page"/>
            </v:shape>
          </w:pict>
        </mc:Fallback>
      </mc:AlternateContent>
    </w:r>
    <w:sdt>
      <w:sdtPr>
        <w:id w:val="-203553135"/>
        <w:docPartObj>
          <w:docPartGallery w:val="Watermarks"/>
          <w:docPartUnique/>
        </w:docPartObj>
      </w:sdtPr>
      <w:sdtContent>
        <w:r w:rsidR="00000000">
          <w:rPr>
            <w:noProof/>
          </w:rPr>
          <w:pict w14:anchorId="53BD3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39"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22354A38" w14:textId="77777777" w:rsidTr="00F71E1E">
      <w:trPr>
        <w:trHeight w:hRule="exact" w:val="8845"/>
      </w:trPr>
      <w:tc>
        <w:tcPr>
          <w:tcW w:w="11964" w:type="dxa"/>
          <w:vAlign w:val="center"/>
        </w:tcPr>
        <w:p w14:paraId="134A3DE6" w14:textId="5D63D119" w:rsidR="00A77452" w:rsidRPr="002B29B2" w:rsidRDefault="00AD1477" w:rsidP="006A2426">
          <w:pPr>
            <w:ind w:left="-57"/>
            <w:rPr>
              <w:noProof/>
            </w:rPr>
          </w:pPr>
          <w:r>
            <w:rPr>
              <w:noProof/>
            </w:rPr>
            <mc:AlternateContent>
              <mc:Choice Requires="wps">
                <w:drawing>
                  <wp:anchor distT="0" distB="0" distL="0" distR="0" simplePos="0" relativeHeight="251665408" behindDoc="0" locked="0" layoutInCell="1" allowOverlap="1" wp14:anchorId="5959A47E" wp14:editId="183E99D0">
                    <wp:simplePos x="635" y="635"/>
                    <wp:positionH relativeFrom="page">
                      <wp:align>center</wp:align>
                    </wp:positionH>
                    <wp:positionV relativeFrom="page">
                      <wp:align>top</wp:align>
                    </wp:positionV>
                    <wp:extent cx="622300" cy="452755"/>
                    <wp:effectExtent l="0" t="0" r="6350" b="4445"/>
                    <wp:wrapNone/>
                    <wp:docPr id="9773938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8B10BF0" w14:textId="7B23D6EB" w:rsidR="00AD1477" w:rsidRPr="00AD1477" w:rsidRDefault="00AD1477" w:rsidP="00AD1477">
                                <w:pPr>
                                  <w:spacing w:after="0"/>
                                  <w:rPr>
                                    <w:rFonts w:ascii="Aptos" w:eastAsia="Aptos" w:hAnsi="Aptos" w:cs="Aptos"/>
                                    <w:noProof/>
                                    <w:color w:val="FF0000"/>
                                    <w:sz w:val="24"/>
                                    <w:szCs w:val="24"/>
                                  </w:rPr>
                                </w:pPr>
                                <w:r w:rsidRPr="00AD147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59A47E"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5.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textbox style="mso-fit-shape-to-text:t" inset="0,15pt,0,0">
                      <w:txbxContent>
                        <w:p w14:paraId="38B10BF0" w14:textId="7B23D6EB" w:rsidR="00AD1477" w:rsidRPr="00AD1477" w:rsidRDefault="00AD1477" w:rsidP="00AD1477">
                          <w:pPr>
                            <w:spacing w:after="0"/>
                            <w:rPr>
                              <w:rFonts w:ascii="Aptos" w:eastAsia="Aptos" w:hAnsi="Aptos" w:cs="Aptos"/>
                              <w:noProof/>
                              <w:color w:val="FF0000"/>
                              <w:sz w:val="24"/>
                              <w:szCs w:val="24"/>
                            </w:rPr>
                          </w:pPr>
                          <w:r w:rsidRPr="00AD1477">
                            <w:rPr>
                              <w:rFonts w:ascii="Aptos" w:eastAsia="Aptos" w:hAnsi="Aptos" w:cs="Aptos"/>
                              <w:noProof/>
                              <w:color w:val="FF0000"/>
                              <w:sz w:val="24"/>
                              <w:szCs w:val="24"/>
                            </w:rPr>
                            <w:t>OFFICIAL</w:t>
                          </w:r>
                        </w:p>
                      </w:txbxContent>
                    </v:textbox>
                    <w10:wrap anchorx="page" anchory="page"/>
                  </v:shape>
                </w:pict>
              </mc:Fallback>
            </mc:AlternateContent>
          </w:r>
          <w:sdt>
            <w:sdtPr>
              <w:rPr>
                <w:noProof/>
              </w:rPr>
              <w:id w:val="1926993388"/>
              <w:showingPlcHdr/>
              <w:picture/>
            </w:sdtPr>
            <w:sdtContent>
              <w:r w:rsidR="00A77452" w:rsidRPr="00F71E1E">
                <w:rPr>
                  <w:noProof/>
                  <w:lang w:eastAsia="en-AU"/>
                </w:rPr>
                <w:drawing>
                  <wp:inline distT="0" distB="0" distL="0" distR="0" wp14:anchorId="1D46F12D" wp14:editId="459F1AEC">
                    <wp:extent cx="7631430" cy="5523865"/>
                    <wp:effectExtent l="0" t="0" r="762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716CF984" w14:textId="77777777" w:rsidR="00A77452" w:rsidRDefault="0078745C" w:rsidP="006D03E5">
    <w:pPr>
      <w:rPr>
        <w:noProof/>
      </w:rPr>
    </w:pPr>
    <w:r w:rsidRPr="002B29B2">
      <w:rPr>
        <w:noProof/>
        <w:lang w:eastAsia="en-AU"/>
      </w:rPr>
      <w:drawing>
        <wp:anchor distT="0" distB="0" distL="114300" distR="114300" simplePos="0" relativeHeight="251662336" behindDoc="0" locked="0" layoutInCell="0" allowOverlap="1" wp14:anchorId="03D8A5D5" wp14:editId="295E848B">
          <wp:simplePos x="0" y="0"/>
          <wp:positionH relativeFrom="page">
            <wp:align>left</wp:align>
          </wp:positionH>
          <wp:positionV relativeFrom="page">
            <wp:posOffset>3239495</wp:posOffset>
          </wp:positionV>
          <wp:extent cx="7663815" cy="4323091"/>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anchor distT="0" distB="0" distL="114300" distR="114300" simplePos="0" relativeHeight="251664384" behindDoc="0" locked="0" layoutInCell="1" allowOverlap="1" wp14:anchorId="2A0F89C3" wp14:editId="3124B956">
          <wp:simplePos x="0" y="0"/>
          <wp:positionH relativeFrom="column">
            <wp:posOffset>-186055</wp:posOffset>
          </wp:positionH>
          <wp:positionV relativeFrom="paragraph">
            <wp:posOffset>136525</wp:posOffset>
          </wp:positionV>
          <wp:extent cx="3524250" cy="8191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1752" w14:textId="21C44C85" w:rsidR="00A77452" w:rsidRDefault="00AD1477" w:rsidP="00C3408D">
    <w:pPr>
      <w:pStyle w:val="Header"/>
    </w:pPr>
    <w:r>
      <w:rPr>
        <w:noProof/>
      </w:rPr>
      <mc:AlternateContent>
        <mc:Choice Requires="wps">
          <w:drawing>
            <wp:anchor distT="0" distB="0" distL="0" distR="0" simplePos="0" relativeHeight="251668480" behindDoc="0" locked="0" layoutInCell="1" allowOverlap="1" wp14:anchorId="02B8485C" wp14:editId="10886649">
              <wp:simplePos x="904875" y="361950"/>
              <wp:positionH relativeFrom="page">
                <wp:align>center</wp:align>
              </wp:positionH>
              <wp:positionV relativeFrom="page">
                <wp:align>top</wp:align>
              </wp:positionV>
              <wp:extent cx="622300" cy="452755"/>
              <wp:effectExtent l="0" t="0" r="6350" b="4445"/>
              <wp:wrapNone/>
              <wp:docPr id="90654581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7664C3C" w14:textId="4A8765A0" w:rsidR="00AD1477" w:rsidRPr="00AD1477" w:rsidRDefault="00AD1477" w:rsidP="00AD1477">
                          <w:pPr>
                            <w:spacing w:after="0"/>
                            <w:rPr>
                              <w:rFonts w:ascii="Aptos" w:eastAsia="Aptos" w:hAnsi="Aptos" w:cs="Aptos"/>
                              <w:noProof/>
                              <w:color w:val="FF0000"/>
                              <w:sz w:val="24"/>
                              <w:szCs w:val="24"/>
                            </w:rPr>
                          </w:pPr>
                          <w:r w:rsidRPr="00AD147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B8485C"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35.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9DQ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TUyNj9DqoTDeVh2Hdwct1Q6Y0I+CQ8LZi6JdHi&#10;Ix3aQFdyOFuc1eB//M0f84l3inLWkWBKbknRnJlvlvYRtZWM6ed8Hsnwo3s3GvbQ3gHJcEovwslk&#10;xjw0o6k9tC8k51UsRCFhJZUrOY7mHQ7Kpecg1WqVkkhGTuDGbp2M0JGuyOVz/yK8OxOOtKkHGNUk&#10;ile8D7nxZnCrAxL7aSmR2oHIM+MkwbTW83OJGv/1P2VdH/XyJwA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J/hS/Q0CAAAcBAAA&#10;DgAAAAAAAAAAAAAAAAAuAgAAZHJzL2Uyb0RvYy54bWxQSwECLQAUAAYACAAAACEARawYydkAAAAD&#10;AQAADwAAAAAAAAAAAAAAAABnBAAAZHJzL2Rvd25yZXYueG1sUEsFBgAAAAAEAAQA8wAAAG0FAAAA&#10;AA==&#10;" filled="f" stroked="f">
              <v:textbox style="mso-fit-shape-to-text:t" inset="0,15pt,0,0">
                <w:txbxContent>
                  <w:p w14:paraId="17664C3C" w14:textId="4A8765A0" w:rsidR="00AD1477" w:rsidRPr="00AD1477" w:rsidRDefault="00AD1477" w:rsidP="00AD1477">
                    <w:pPr>
                      <w:spacing w:after="0"/>
                      <w:rPr>
                        <w:rFonts w:ascii="Aptos" w:eastAsia="Aptos" w:hAnsi="Aptos" w:cs="Aptos"/>
                        <w:noProof/>
                        <w:color w:val="FF0000"/>
                        <w:sz w:val="24"/>
                        <w:szCs w:val="24"/>
                      </w:rPr>
                    </w:pPr>
                    <w:r w:rsidRPr="00AD1477">
                      <w:rPr>
                        <w:rFonts w:ascii="Aptos" w:eastAsia="Aptos" w:hAnsi="Aptos" w:cs="Aptos"/>
                        <w:noProof/>
                        <w:color w:val="FF0000"/>
                        <w:sz w:val="24"/>
                        <w:szCs w:val="24"/>
                      </w:rPr>
                      <w:t>OFFICIAL</w:t>
                    </w:r>
                  </w:p>
                </w:txbxContent>
              </v:textbox>
              <w10:wrap anchorx="page" anchory="page"/>
            </v:shape>
          </w:pict>
        </mc:Fallback>
      </mc:AlternateContent>
    </w:r>
    <w:r w:rsidR="00A77452" w:rsidRPr="000F5176">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9E2E" w14:textId="3BA0E97C" w:rsidR="00A77452" w:rsidRPr="00FE501F" w:rsidRDefault="00AD1477" w:rsidP="007F2054">
    <w:pPr>
      <w:pStyle w:val="Headernoline"/>
    </w:pPr>
    <w:r>
      <w:rPr>
        <w:noProof/>
      </w:rPr>
      <mc:AlternateContent>
        <mc:Choice Requires="wps">
          <w:drawing>
            <wp:anchor distT="0" distB="0" distL="0" distR="0" simplePos="0" relativeHeight="251669504" behindDoc="0" locked="0" layoutInCell="1" allowOverlap="1" wp14:anchorId="272A0A26" wp14:editId="7FA43973">
              <wp:simplePos x="1076325" y="723900"/>
              <wp:positionH relativeFrom="page">
                <wp:align>center</wp:align>
              </wp:positionH>
              <wp:positionV relativeFrom="page">
                <wp:align>top</wp:align>
              </wp:positionV>
              <wp:extent cx="622300" cy="452755"/>
              <wp:effectExtent l="0" t="0" r="6350" b="4445"/>
              <wp:wrapNone/>
              <wp:docPr id="163589362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4E13CAC" w14:textId="5FE18233" w:rsidR="00AD1477" w:rsidRPr="00AD1477" w:rsidRDefault="00AD1477" w:rsidP="00AD1477">
                          <w:pPr>
                            <w:spacing w:after="0"/>
                            <w:rPr>
                              <w:rFonts w:ascii="Aptos" w:eastAsia="Aptos" w:hAnsi="Aptos" w:cs="Aptos"/>
                              <w:noProof/>
                              <w:color w:val="FF0000"/>
                              <w:sz w:val="24"/>
                              <w:szCs w:val="24"/>
                            </w:rPr>
                          </w:pPr>
                          <w:r w:rsidRPr="00AD147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A0A26" id="_x0000_t202" coordsize="21600,21600" o:spt="202" path="m,l,21600r21600,l21600,xe">
              <v:stroke joinstyle="miter"/>
              <v:path gradientshapeok="t" o:connecttype="rect"/>
            </v:shapetype>
            <v:shape id="Text Box 5" o:spid="_x0000_s1034" type="#_x0000_t202" alt="OFFICIAL" style="position:absolute;left:0;text-align:left;margin-left:0;margin-top:0;width:49pt;height:35.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lGDQ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Qlvx6730J1pKE8DPsOTq4bKn0vAj4JTwumbkm0&#10;+EiHNtCVHE4WZzX4n3/zx3zinaKcdSSYkltSNGfmu6V9RG0lY/oln0cy/Ojejobdt7dAMpzSi3Ay&#10;mTEPzWhqD+0LyXkVC1FIWEnlSo6jeYuDcuk5SLVapSSSkRN4bzdORuhIV+TyuX8R3p0IR9rUA4xq&#10;EsUb3ofceDO41R6J/bSUSO1A5IlxkmBa6+m5RI2//k9Zl0e9/AU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YIYZRg0CAAAcBAAA&#10;DgAAAAAAAAAAAAAAAAAuAgAAZHJzL2Uyb0RvYy54bWxQSwECLQAUAAYACAAAACEARawYydkAAAAD&#10;AQAADwAAAAAAAAAAAAAAAABnBAAAZHJzL2Rvd25yZXYueG1sUEsFBgAAAAAEAAQA8wAAAG0FAAAA&#10;AA==&#10;" filled="f" stroked="f">
              <v:textbox style="mso-fit-shape-to-text:t" inset="0,15pt,0,0">
                <w:txbxContent>
                  <w:p w14:paraId="54E13CAC" w14:textId="5FE18233" w:rsidR="00AD1477" w:rsidRPr="00AD1477" w:rsidRDefault="00AD1477" w:rsidP="00AD1477">
                    <w:pPr>
                      <w:spacing w:after="0"/>
                      <w:rPr>
                        <w:rFonts w:ascii="Aptos" w:eastAsia="Aptos" w:hAnsi="Aptos" w:cs="Aptos"/>
                        <w:noProof/>
                        <w:color w:val="FF0000"/>
                        <w:sz w:val="24"/>
                        <w:szCs w:val="24"/>
                      </w:rPr>
                    </w:pPr>
                    <w:r w:rsidRPr="00AD1477">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320D7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295769"/>
    <w:multiLevelType w:val="multilevel"/>
    <w:tmpl w:val="EF042B16"/>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03A44D65"/>
    <w:multiLevelType w:val="hybridMultilevel"/>
    <w:tmpl w:val="85940F88"/>
    <w:lvl w:ilvl="0" w:tplc="D5F0EAAC">
      <w:start w:val="60"/>
      <w:numFmt w:val="bullet"/>
      <w:lvlText w:val=""/>
      <w:lvlJc w:val="left"/>
      <w:pPr>
        <w:ind w:left="720" w:hanging="360"/>
      </w:pPr>
      <w:rPr>
        <w:rFonts w:ascii="Symbol" w:eastAsia="Cambr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F64E54"/>
    <w:multiLevelType w:val="hybridMultilevel"/>
    <w:tmpl w:val="82765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0CBA64E2"/>
    <w:multiLevelType w:val="hybridMultilevel"/>
    <w:tmpl w:val="8644849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34274A5"/>
    <w:multiLevelType w:val="hybridMultilevel"/>
    <w:tmpl w:val="48CC4EFC"/>
    <w:lvl w:ilvl="0" w:tplc="B92EA4EA">
      <w:start w:val="1"/>
      <w:numFmt w:val="bullet"/>
      <w:lvlText w:val=""/>
      <w:lvlJc w:val="left"/>
      <w:pPr>
        <w:ind w:left="720" w:hanging="360"/>
      </w:pPr>
      <w:rPr>
        <w:rFonts w:ascii="Symbol" w:hAnsi="Symbol" w:hint="default"/>
        <w:color w:val="3C3C3C" w:themeColor="background2" w:themeShade="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68F13E9"/>
    <w:multiLevelType w:val="multilevel"/>
    <w:tmpl w:val="07A009A2"/>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96B5E63"/>
    <w:multiLevelType w:val="multilevel"/>
    <w:tmpl w:val="E3BC312E"/>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FE426BF"/>
    <w:multiLevelType w:val="hybridMultilevel"/>
    <w:tmpl w:val="35E4C8E6"/>
    <w:lvl w:ilvl="0" w:tplc="B92EA4EA">
      <w:start w:val="1"/>
      <w:numFmt w:val="bullet"/>
      <w:lvlText w:val=""/>
      <w:lvlJc w:val="left"/>
      <w:pPr>
        <w:ind w:left="720" w:hanging="360"/>
      </w:pPr>
      <w:rPr>
        <w:rFonts w:ascii="Symbol" w:hAnsi="Symbol" w:hint="default"/>
        <w:color w:val="3C3C3C" w:themeColor="background2" w:themeShade="4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0F513E"/>
    <w:multiLevelType w:val="hybridMultilevel"/>
    <w:tmpl w:val="1BD642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4" w15:restartNumberingAfterBreak="0">
    <w:nsid w:val="39D2731B"/>
    <w:multiLevelType w:val="hybridMultilevel"/>
    <w:tmpl w:val="369ED7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4D1520"/>
    <w:multiLevelType w:val="hybridMultilevel"/>
    <w:tmpl w:val="22B86FF4"/>
    <w:lvl w:ilvl="0" w:tplc="0C09000F">
      <w:start w:val="1"/>
      <w:numFmt w:val="decimal"/>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76F3C8D"/>
    <w:multiLevelType w:val="hybridMultilevel"/>
    <w:tmpl w:val="51B85C8C"/>
    <w:lvl w:ilvl="0" w:tplc="B92A1CD0">
      <w:start w:val="1"/>
      <w:numFmt w:val="lowerLetter"/>
      <w:pStyle w:val="Numberbullet2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8E6F46"/>
    <w:multiLevelType w:val="hybridMultilevel"/>
    <w:tmpl w:val="89BE9DD8"/>
    <w:lvl w:ilvl="0" w:tplc="CFF6BCCC">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F34C41"/>
    <w:multiLevelType w:val="multilevel"/>
    <w:tmpl w:val="2BD03BCA"/>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62134740"/>
    <w:multiLevelType w:val="multilevel"/>
    <w:tmpl w:val="5B94D536"/>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76F26231"/>
    <w:multiLevelType w:val="hybridMultilevel"/>
    <w:tmpl w:val="C5889A8E"/>
    <w:lvl w:ilvl="0" w:tplc="2CF40824">
      <w:start w:val="1"/>
      <w:numFmt w:val="bullet"/>
      <w:pStyle w:val="CABBulletList"/>
      <w:lvlText w:val=""/>
      <w:lvlJc w:val="left"/>
      <w:pPr>
        <w:ind w:left="284" w:hanging="284"/>
      </w:pPr>
      <w:rPr>
        <w:rFonts w:ascii="Symbol" w:hAnsi="Symbol" w:hint="default"/>
        <w:color w:val="auto"/>
      </w:rPr>
    </w:lvl>
    <w:lvl w:ilvl="1" w:tplc="8D86B02A">
      <w:start w:val="1"/>
      <w:numFmt w:val="bullet"/>
      <w:lvlText w:val="o"/>
      <w:lvlJc w:val="left"/>
      <w:pPr>
        <w:ind w:left="1440" w:hanging="360"/>
      </w:pPr>
      <w:rPr>
        <w:rFonts w:ascii="Courier New" w:hAnsi="Courier New" w:cs="Times New Roman" w:hint="default"/>
      </w:rPr>
    </w:lvl>
    <w:lvl w:ilvl="2" w:tplc="D2E89418">
      <w:start w:val="1"/>
      <w:numFmt w:val="bullet"/>
      <w:lvlText w:val=""/>
      <w:lvlJc w:val="left"/>
      <w:pPr>
        <w:ind w:left="2160" w:hanging="360"/>
      </w:pPr>
      <w:rPr>
        <w:rFonts w:ascii="Wingdings" w:hAnsi="Wingdings" w:hint="default"/>
      </w:rPr>
    </w:lvl>
    <w:lvl w:ilvl="3" w:tplc="C60067B6">
      <w:start w:val="1"/>
      <w:numFmt w:val="bullet"/>
      <w:lvlText w:val=""/>
      <w:lvlJc w:val="left"/>
      <w:pPr>
        <w:ind w:left="2880" w:hanging="360"/>
      </w:pPr>
      <w:rPr>
        <w:rFonts w:ascii="Symbol" w:hAnsi="Symbol" w:hint="default"/>
      </w:rPr>
    </w:lvl>
    <w:lvl w:ilvl="4" w:tplc="0B66A73C">
      <w:start w:val="1"/>
      <w:numFmt w:val="bullet"/>
      <w:lvlText w:val="o"/>
      <w:lvlJc w:val="left"/>
      <w:pPr>
        <w:ind w:left="3600" w:hanging="360"/>
      </w:pPr>
      <w:rPr>
        <w:rFonts w:ascii="Courier New" w:hAnsi="Courier New" w:cs="Times New Roman" w:hint="default"/>
      </w:rPr>
    </w:lvl>
    <w:lvl w:ilvl="5" w:tplc="16DC449E">
      <w:start w:val="1"/>
      <w:numFmt w:val="bullet"/>
      <w:lvlText w:val=""/>
      <w:lvlJc w:val="left"/>
      <w:pPr>
        <w:ind w:left="4320" w:hanging="360"/>
      </w:pPr>
      <w:rPr>
        <w:rFonts w:ascii="Wingdings" w:hAnsi="Wingdings" w:hint="default"/>
      </w:rPr>
    </w:lvl>
    <w:lvl w:ilvl="6" w:tplc="C7D6E6A0">
      <w:start w:val="1"/>
      <w:numFmt w:val="bullet"/>
      <w:lvlText w:val=""/>
      <w:lvlJc w:val="left"/>
      <w:pPr>
        <w:ind w:left="5040" w:hanging="360"/>
      </w:pPr>
      <w:rPr>
        <w:rFonts w:ascii="Symbol" w:hAnsi="Symbol" w:hint="default"/>
      </w:rPr>
    </w:lvl>
    <w:lvl w:ilvl="7" w:tplc="3A820F88">
      <w:start w:val="1"/>
      <w:numFmt w:val="bullet"/>
      <w:lvlText w:val="o"/>
      <w:lvlJc w:val="left"/>
      <w:pPr>
        <w:ind w:left="5760" w:hanging="360"/>
      </w:pPr>
      <w:rPr>
        <w:rFonts w:ascii="Courier New" w:hAnsi="Courier New" w:cs="Times New Roman" w:hint="default"/>
      </w:rPr>
    </w:lvl>
    <w:lvl w:ilvl="8" w:tplc="1542E266">
      <w:start w:val="1"/>
      <w:numFmt w:val="bullet"/>
      <w:lvlText w:val=""/>
      <w:lvlJc w:val="left"/>
      <w:pPr>
        <w:ind w:left="6480" w:hanging="360"/>
      </w:pPr>
      <w:rPr>
        <w:rFonts w:ascii="Wingdings" w:hAnsi="Wingdings" w:hint="default"/>
      </w:rPr>
    </w:lvl>
  </w:abstractNum>
  <w:abstractNum w:abstractNumId="23" w15:restartNumberingAfterBreak="0">
    <w:nsid w:val="7A01551C"/>
    <w:multiLevelType w:val="hybridMultilevel"/>
    <w:tmpl w:val="2E42E6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56004402">
    <w:abstractNumId w:val="9"/>
  </w:num>
  <w:num w:numId="2" w16cid:durableId="148445119">
    <w:abstractNumId w:val="6"/>
  </w:num>
  <w:num w:numId="3" w16cid:durableId="2121603048">
    <w:abstractNumId w:val="9"/>
  </w:num>
  <w:num w:numId="4" w16cid:durableId="564143541">
    <w:abstractNumId w:val="6"/>
  </w:num>
  <w:num w:numId="5" w16cid:durableId="1743063317">
    <w:abstractNumId w:val="8"/>
  </w:num>
  <w:num w:numId="6" w16cid:durableId="427895396">
    <w:abstractNumId w:val="19"/>
  </w:num>
  <w:num w:numId="7" w16cid:durableId="1467505614">
    <w:abstractNumId w:val="13"/>
  </w:num>
  <w:num w:numId="8" w16cid:durableId="580212944">
    <w:abstractNumId w:val="18"/>
  </w:num>
  <w:num w:numId="9" w16cid:durableId="1246842903">
    <w:abstractNumId w:val="16"/>
  </w:num>
  <w:num w:numId="10" w16cid:durableId="1281456435">
    <w:abstractNumId w:val="11"/>
  </w:num>
  <w:num w:numId="11" w16cid:durableId="1957447072">
    <w:abstractNumId w:val="4"/>
  </w:num>
  <w:num w:numId="12" w16cid:durableId="1590889052">
    <w:abstractNumId w:val="22"/>
  </w:num>
  <w:num w:numId="13" w16cid:durableId="1381056281">
    <w:abstractNumId w:val="14"/>
  </w:num>
  <w:num w:numId="14" w16cid:durableId="477697349">
    <w:abstractNumId w:val="21"/>
  </w:num>
  <w:num w:numId="15" w16cid:durableId="1893612837">
    <w:abstractNumId w:val="15"/>
  </w:num>
  <w:num w:numId="16" w16cid:durableId="371273254">
    <w:abstractNumId w:val="10"/>
  </w:num>
  <w:num w:numId="17" w16cid:durableId="109249214">
    <w:abstractNumId w:val="20"/>
  </w:num>
  <w:num w:numId="18" w16cid:durableId="1971789139">
    <w:abstractNumId w:val="5"/>
  </w:num>
  <w:num w:numId="19" w16cid:durableId="153188720">
    <w:abstractNumId w:val="23"/>
  </w:num>
  <w:num w:numId="20" w16cid:durableId="549267427">
    <w:abstractNumId w:val="9"/>
  </w:num>
  <w:num w:numId="21" w16cid:durableId="189877015">
    <w:abstractNumId w:val="9"/>
  </w:num>
  <w:num w:numId="22" w16cid:durableId="863249106">
    <w:abstractNumId w:val="1"/>
  </w:num>
  <w:num w:numId="23" w16cid:durableId="47338673">
    <w:abstractNumId w:val="9"/>
  </w:num>
  <w:num w:numId="24" w16cid:durableId="67730919">
    <w:abstractNumId w:val="2"/>
  </w:num>
  <w:num w:numId="25" w16cid:durableId="1696080805">
    <w:abstractNumId w:val="12"/>
  </w:num>
  <w:num w:numId="26" w16cid:durableId="410811185">
    <w:abstractNumId w:val="17"/>
  </w:num>
  <w:num w:numId="27" w16cid:durableId="1292200840">
    <w:abstractNumId w:val="3"/>
  </w:num>
  <w:num w:numId="28" w16cid:durableId="997000745">
    <w:abstractNumId w:val="0"/>
  </w:num>
  <w:num w:numId="29" w16cid:durableId="816803632">
    <w:abstractNumId w:val="9"/>
  </w:num>
  <w:num w:numId="30" w16cid:durableId="77740749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B4"/>
    <w:rsid w:val="000001E0"/>
    <w:rsid w:val="0000066C"/>
    <w:rsid w:val="0000067F"/>
    <w:rsid w:val="00001106"/>
    <w:rsid w:val="00001E5F"/>
    <w:rsid w:val="00002031"/>
    <w:rsid w:val="00002693"/>
    <w:rsid w:val="00002DBE"/>
    <w:rsid w:val="00003A20"/>
    <w:rsid w:val="000040A0"/>
    <w:rsid w:val="000040BA"/>
    <w:rsid w:val="00004734"/>
    <w:rsid w:val="0000494D"/>
    <w:rsid w:val="00006B22"/>
    <w:rsid w:val="00006FA1"/>
    <w:rsid w:val="00007A42"/>
    <w:rsid w:val="00007D2A"/>
    <w:rsid w:val="00010D7E"/>
    <w:rsid w:val="00010E4D"/>
    <w:rsid w:val="000126BB"/>
    <w:rsid w:val="0001276A"/>
    <w:rsid w:val="0001480F"/>
    <w:rsid w:val="00015519"/>
    <w:rsid w:val="00016BEB"/>
    <w:rsid w:val="0001772A"/>
    <w:rsid w:val="000178FA"/>
    <w:rsid w:val="000203C3"/>
    <w:rsid w:val="0002338D"/>
    <w:rsid w:val="00024145"/>
    <w:rsid w:val="000246AE"/>
    <w:rsid w:val="00024C15"/>
    <w:rsid w:val="00024DDF"/>
    <w:rsid w:val="00024FF2"/>
    <w:rsid w:val="000254B1"/>
    <w:rsid w:val="00025C67"/>
    <w:rsid w:val="00027459"/>
    <w:rsid w:val="00030D34"/>
    <w:rsid w:val="00031A6B"/>
    <w:rsid w:val="00032CFC"/>
    <w:rsid w:val="00032FFB"/>
    <w:rsid w:val="00033497"/>
    <w:rsid w:val="000345AA"/>
    <w:rsid w:val="00034E5A"/>
    <w:rsid w:val="00041B01"/>
    <w:rsid w:val="000420A9"/>
    <w:rsid w:val="0004254C"/>
    <w:rsid w:val="00042943"/>
    <w:rsid w:val="00042CD7"/>
    <w:rsid w:val="00052D98"/>
    <w:rsid w:val="0005559E"/>
    <w:rsid w:val="00055EED"/>
    <w:rsid w:val="000566A5"/>
    <w:rsid w:val="00056FB0"/>
    <w:rsid w:val="000703AB"/>
    <w:rsid w:val="00070F2A"/>
    <w:rsid w:val="00071400"/>
    <w:rsid w:val="000724FC"/>
    <w:rsid w:val="0007339D"/>
    <w:rsid w:val="00074A62"/>
    <w:rsid w:val="00074CAE"/>
    <w:rsid w:val="00075041"/>
    <w:rsid w:val="00075D49"/>
    <w:rsid w:val="00077775"/>
    <w:rsid w:val="00080536"/>
    <w:rsid w:val="00080F2C"/>
    <w:rsid w:val="0008404F"/>
    <w:rsid w:val="0008467B"/>
    <w:rsid w:val="00085F1B"/>
    <w:rsid w:val="00086BAC"/>
    <w:rsid w:val="00087DD7"/>
    <w:rsid w:val="00090471"/>
    <w:rsid w:val="00090685"/>
    <w:rsid w:val="00090EDA"/>
    <w:rsid w:val="000911ED"/>
    <w:rsid w:val="000934A6"/>
    <w:rsid w:val="0009614C"/>
    <w:rsid w:val="000962B9"/>
    <w:rsid w:val="00096AA3"/>
    <w:rsid w:val="0009705D"/>
    <w:rsid w:val="000A0243"/>
    <w:rsid w:val="000A07C2"/>
    <w:rsid w:val="000A0E14"/>
    <w:rsid w:val="000A18EA"/>
    <w:rsid w:val="000A2304"/>
    <w:rsid w:val="000A2864"/>
    <w:rsid w:val="000A29BB"/>
    <w:rsid w:val="000A3543"/>
    <w:rsid w:val="000A4371"/>
    <w:rsid w:val="000A52A9"/>
    <w:rsid w:val="000A54D3"/>
    <w:rsid w:val="000A6513"/>
    <w:rsid w:val="000A6EF0"/>
    <w:rsid w:val="000B0118"/>
    <w:rsid w:val="000B27AF"/>
    <w:rsid w:val="000B30E5"/>
    <w:rsid w:val="000B3496"/>
    <w:rsid w:val="000B3532"/>
    <w:rsid w:val="000B3810"/>
    <w:rsid w:val="000B3A75"/>
    <w:rsid w:val="000B574E"/>
    <w:rsid w:val="000B5E4E"/>
    <w:rsid w:val="000B6241"/>
    <w:rsid w:val="000B6441"/>
    <w:rsid w:val="000B6CAE"/>
    <w:rsid w:val="000B6E67"/>
    <w:rsid w:val="000B7084"/>
    <w:rsid w:val="000B77DA"/>
    <w:rsid w:val="000C0CB7"/>
    <w:rsid w:val="000C36F6"/>
    <w:rsid w:val="000C53D2"/>
    <w:rsid w:val="000C77B5"/>
    <w:rsid w:val="000C78A0"/>
    <w:rsid w:val="000D02CE"/>
    <w:rsid w:val="000D0851"/>
    <w:rsid w:val="000D0AF3"/>
    <w:rsid w:val="000D0E29"/>
    <w:rsid w:val="000D157F"/>
    <w:rsid w:val="000D1F3D"/>
    <w:rsid w:val="000D391B"/>
    <w:rsid w:val="000D3D6D"/>
    <w:rsid w:val="000D4FC7"/>
    <w:rsid w:val="000D63EF"/>
    <w:rsid w:val="000E0D45"/>
    <w:rsid w:val="000E5067"/>
    <w:rsid w:val="000E53E5"/>
    <w:rsid w:val="000F0241"/>
    <w:rsid w:val="000F1C73"/>
    <w:rsid w:val="000F1D3F"/>
    <w:rsid w:val="000F1D69"/>
    <w:rsid w:val="000F3347"/>
    <w:rsid w:val="000F4869"/>
    <w:rsid w:val="000F4D69"/>
    <w:rsid w:val="000F5176"/>
    <w:rsid w:val="000F5978"/>
    <w:rsid w:val="000F5B42"/>
    <w:rsid w:val="000F5F0D"/>
    <w:rsid w:val="000F63AE"/>
    <w:rsid w:val="000F6CD4"/>
    <w:rsid w:val="000F6E6F"/>
    <w:rsid w:val="000F723E"/>
    <w:rsid w:val="001003F2"/>
    <w:rsid w:val="00102BDA"/>
    <w:rsid w:val="0010419B"/>
    <w:rsid w:val="001049DA"/>
    <w:rsid w:val="0010601F"/>
    <w:rsid w:val="00106161"/>
    <w:rsid w:val="00110EA5"/>
    <w:rsid w:val="00111260"/>
    <w:rsid w:val="0011322D"/>
    <w:rsid w:val="001138FC"/>
    <w:rsid w:val="00114734"/>
    <w:rsid w:val="00115240"/>
    <w:rsid w:val="00115508"/>
    <w:rsid w:val="0011592A"/>
    <w:rsid w:val="00115B60"/>
    <w:rsid w:val="00116791"/>
    <w:rsid w:val="001201B8"/>
    <w:rsid w:val="00120784"/>
    <w:rsid w:val="001210F1"/>
    <w:rsid w:val="0012271B"/>
    <w:rsid w:val="00124A72"/>
    <w:rsid w:val="00125091"/>
    <w:rsid w:val="00125318"/>
    <w:rsid w:val="00126A5C"/>
    <w:rsid w:val="001304C4"/>
    <w:rsid w:val="001305A2"/>
    <w:rsid w:val="00130F5A"/>
    <w:rsid w:val="0013109F"/>
    <w:rsid w:val="00132CA4"/>
    <w:rsid w:val="00133238"/>
    <w:rsid w:val="00133DC6"/>
    <w:rsid w:val="00134F55"/>
    <w:rsid w:val="001354AB"/>
    <w:rsid w:val="0013611F"/>
    <w:rsid w:val="0013722A"/>
    <w:rsid w:val="00137E7C"/>
    <w:rsid w:val="00140FE3"/>
    <w:rsid w:val="00141209"/>
    <w:rsid w:val="0014134E"/>
    <w:rsid w:val="0014157B"/>
    <w:rsid w:val="0014197B"/>
    <w:rsid w:val="0014245A"/>
    <w:rsid w:val="0014247A"/>
    <w:rsid w:val="00142CF5"/>
    <w:rsid w:val="001447CD"/>
    <w:rsid w:val="00144E46"/>
    <w:rsid w:val="00144F2A"/>
    <w:rsid w:val="001457AB"/>
    <w:rsid w:val="00145E0D"/>
    <w:rsid w:val="001469C9"/>
    <w:rsid w:val="00147246"/>
    <w:rsid w:val="00147351"/>
    <w:rsid w:val="001500F7"/>
    <w:rsid w:val="001516B1"/>
    <w:rsid w:val="001525B4"/>
    <w:rsid w:val="001530C6"/>
    <w:rsid w:val="0015383E"/>
    <w:rsid w:val="0015453D"/>
    <w:rsid w:val="00156316"/>
    <w:rsid w:val="00157151"/>
    <w:rsid w:val="00160294"/>
    <w:rsid w:val="00161051"/>
    <w:rsid w:val="001615C5"/>
    <w:rsid w:val="00163B78"/>
    <w:rsid w:val="00165389"/>
    <w:rsid w:val="00165DC3"/>
    <w:rsid w:val="00166E66"/>
    <w:rsid w:val="001705DA"/>
    <w:rsid w:val="001712CD"/>
    <w:rsid w:val="001713A3"/>
    <w:rsid w:val="00172A15"/>
    <w:rsid w:val="0017384D"/>
    <w:rsid w:val="00173E52"/>
    <w:rsid w:val="00175CFC"/>
    <w:rsid w:val="00175FB6"/>
    <w:rsid w:val="001760E6"/>
    <w:rsid w:val="0017632A"/>
    <w:rsid w:val="0017693F"/>
    <w:rsid w:val="001777E2"/>
    <w:rsid w:val="0018110E"/>
    <w:rsid w:val="00181610"/>
    <w:rsid w:val="00181678"/>
    <w:rsid w:val="00181684"/>
    <w:rsid w:val="001823DA"/>
    <w:rsid w:val="00182629"/>
    <w:rsid w:val="001843C6"/>
    <w:rsid w:val="00184C11"/>
    <w:rsid w:val="001850E0"/>
    <w:rsid w:val="00185DE8"/>
    <w:rsid w:val="0018660B"/>
    <w:rsid w:val="00186A09"/>
    <w:rsid w:val="00186A6B"/>
    <w:rsid w:val="0018762E"/>
    <w:rsid w:val="00190997"/>
    <w:rsid w:val="00191310"/>
    <w:rsid w:val="00192390"/>
    <w:rsid w:val="00192AAA"/>
    <w:rsid w:val="00195645"/>
    <w:rsid w:val="00195CE1"/>
    <w:rsid w:val="00195ED7"/>
    <w:rsid w:val="001A08F3"/>
    <w:rsid w:val="001A16DD"/>
    <w:rsid w:val="001A3190"/>
    <w:rsid w:val="001A3E1B"/>
    <w:rsid w:val="001A3FD8"/>
    <w:rsid w:val="001A40BA"/>
    <w:rsid w:val="001A4B3F"/>
    <w:rsid w:val="001A525F"/>
    <w:rsid w:val="001A6BC9"/>
    <w:rsid w:val="001A7472"/>
    <w:rsid w:val="001A7E2F"/>
    <w:rsid w:val="001B09F9"/>
    <w:rsid w:val="001B0DF0"/>
    <w:rsid w:val="001B21D9"/>
    <w:rsid w:val="001B6448"/>
    <w:rsid w:val="001C0FE8"/>
    <w:rsid w:val="001C175B"/>
    <w:rsid w:val="001C20F2"/>
    <w:rsid w:val="001C2827"/>
    <w:rsid w:val="001C307A"/>
    <w:rsid w:val="001C394A"/>
    <w:rsid w:val="001C3A9E"/>
    <w:rsid w:val="001C4ABB"/>
    <w:rsid w:val="001C5699"/>
    <w:rsid w:val="001C6D2C"/>
    <w:rsid w:val="001D2E7A"/>
    <w:rsid w:val="001D2EE4"/>
    <w:rsid w:val="001D456C"/>
    <w:rsid w:val="001D506E"/>
    <w:rsid w:val="001D5F6D"/>
    <w:rsid w:val="001D7224"/>
    <w:rsid w:val="001E06B7"/>
    <w:rsid w:val="001E07CF"/>
    <w:rsid w:val="001E0A38"/>
    <w:rsid w:val="001E0EA6"/>
    <w:rsid w:val="001E275A"/>
    <w:rsid w:val="001E3AED"/>
    <w:rsid w:val="001E3CC7"/>
    <w:rsid w:val="001E4712"/>
    <w:rsid w:val="001E4A20"/>
    <w:rsid w:val="001E59F1"/>
    <w:rsid w:val="001E655A"/>
    <w:rsid w:val="001E6669"/>
    <w:rsid w:val="001F0218"/>
    <w:rsid w:val="001F124F"/>
    <w:rsid w:val="001F20F9"/>
    <w:rsid w:val="001F3E26"/>
    <w:rsid w:val="001F4398"/>
    <w:rsid w:val="001F49EB"/>
    <w:rsid w:val="001F4CB4"/>
    <w:rsid w:val="001F5E19"/>
    <w:rsid w:val="001F6CBA"/>
    <w:rsid w:val="002008C5"/>
    <w:rsid w:val="00201D4E"/>
    <w:rsid w:val="00201E04"/>
    <w:rsid w:val="00204A88"/>
    <w:rsid w:val="00206736"/>
    <w:rsid w:val="00210784"/>
    <w:rsid w:val="00211D41"/>
    <w:rsid w:val="0021313B"/>
    <w:rsid w:val="00214B09"/>
    <w:rsid w:val="00214D78"/>
    <w:rsid w:val="00215D48"/>
    <w:rsid w:val="00217091"/>
    <w:rsid w:val="00217F2F"/>
    <w:rsid w:val="002208B9"/>
    <w:rsid w:val="00220B8A"/>
    <w:rsid w:val="00221773"/>
    <w:rsid w:val="00221949"/>
    <w:rsid w:val="00222BC4"/>
    <w:rsid w:val="00222C9A"/>
    <w:rsid w:val="002257F3"/>
    <w:rsid w:val="0022687A"/>
    <w:rsid w:val="00226EC1"/>
    <w:rsid w:val="002279B2"/>
    <w:rsid w:val="00230FE7"/>
    <w:rsid w:val="00231B77"/>
    <w:rsid w:val="00231E8D"/>
    <w:rsid w:val="00232313"/>
    <w:rsid w:val="00232F20"/>
    <w:rsid w:val="00233456"/>
    <w:rsid w:val="002339A5"/>
    <w:rsid w:val="00233A17"/>
    <w:rsid w:val="00233C1A"/>
    <w:rsid w:val="00234483"/>
    <w:rsid w:val="00235FEB"/>
    <w:rsid w:val="00236DFA"/>
    <w:rsid w:val="00237543"/>
    <w:rsid w:val="00237691"/>
    <w:rsid w:val="0024072E"/>
    <w:rsid w:val="002408DD"/>
    <w:rsid w:val="002415AD"/>
    <w:rsid w:val="0024461D"/>
    <w:rsid w:val="00244690"/>
    <w:rsid w:val="00247FB9"/>
    <w:rsid w:val="00251A51"/>
    <w:rsid w:val="00251FC0"/>
    <w:rsid w:val="00253466"/>
    <w:rsid w:val="00256E6E"/>
    <w:rsid w:val="00257138"/>
    <w:rsid w:val="00257848"/>
    <w:rsid w:val="00260D08"/>
    <w:rsid w:val="00260F55"/>
    <w:rsid w:val="00262EE3"/>
    <w:rsid w:val="00263312"/>
    <w:rsid w:val="00263BC6"/>
    <w:rsid w:val="00265A2C"/>
    <w:rsid w:val="002663C2"/>
    <w:rsid w:val="0026734A"/>
    <w:rsid w:val="00267633"/>
    <w:rsid w:val="00267A6C"/>
    <w:rsid w:val="00267A87"/>
    <w:rsid w:val="0027084A"/>
    <w:rsid w:val="0027137F"/>
    <w:rsid w:val="002737E1"/>
    <w:rsid w:val="002749FB"/>
    <w:rsid w:val="00280287"/>
    <w:rsid w:val="002805B3"/>
    <w:rsid w:val="0028519F"/>
    <w:rsid w:val="00286434"/>
    <w:rsid w:val="00286C59"/>
    <w:rsid w:val="00287A1C"/>
    <w:rsid w:val="0029069E"/>
    <w:rsid w:val="00290795"/>
    <w:rsid w:val="002942D1"/>
    <w:rsid w:val="00296604"/>
    <w:rsid w:val="00297CC7"/>
    <w:rsid w:val="002A0556"/>
    <w:rsid w:val="002A19B2"/>
    <w:rsid w:val="002A3F81"/>
    <w:rsid w:val="002A4F5F"/>
    <w:rsid w:val="002A592C"/>
    <w:rsid w:val="002A5B3A"/>
    <w:rsid w:val="002A6E4C"/>
    <w:rsid w:val="002A706C"/>
    <w:rsid w:val="002A7129"/>
    <w:rsid w:val="002A77AA"/>
    <w:rsid w:val="002A77CD"/>
    <w:rsid w:val="002B0235"/>
    <w:rsid w:val="002B0800"/>
    <w:rsid w:val="002B0CCB"/>
    <w:rsid w:val="002B1638"/>
    <w:rsid w:val="002B16EB"/>
    <w:rsid w:val="002B25CB"/>
    <w:rsid w:val="002B29B2"/>
    <w:rsid w:val="002B398D"/>
    <w:rsid w:val="002B5842"/>
    <w:rsid w:val="002B7EF6"/>
    <w:rsid w:val="002C06C9"/>
    <w:rsid w:val="002C160A"/>
    <w:rsid w:val="002C27D7"/>
    <w:rsid w:val="002C30EF"/>
    <w:rsid w:val="002C36D3"/>
    <w:rsid w:val="002C376C"/>
    <w:rsid w:val="002C647D"/>
    <w:rsid w:val="002C6D74"/>
    <w:rsid w:val="002C6E9C"/>
    <w:rsid w:val="002D0836"/>
    <w:rsid w:val="002D09AB"/>
    <w:rsid w:val="002D174A"/>
    <w:rsid w:val="002D2F0C"/>
    <w:rsid w:val="002D4915"/>
    <w:rsid w:val="002D5946"/>
    <w:rsid w:val="002E02F3"/>
    <w:rsid w:val="002E193A"/>
    <w:rsid w:val="002E364F"/>
    <w:rsid w:val="002E4596"/>
    <w:rsid w:val="002E4C9A"/>
    <w:rsid w:val="002E4F12"/>
    <w:rsid w:val="002E5580"/>
    <w:rsid w:val="002E55A4"/>
    <w:rsid w:val="002F0F1A"/>
    <w:rsid w:val="002F11F8"/>
    <w:rsid w:val="002F1372"/>
    <w:rsid w:val="002F260A"/>
    <w:rsid w:val="002F35F0"/>
    <w:rsid w:val="002F3F56"/>
    <w:rsid w:val="002F44B5"/>
    <w:rsid w:val="002F45E3"/>
    <w:rsid w:val="00300350"/>
    <w:rsid w:val="0030080E"/>
    <w:rsid w:val="00301ED1"/>
    <w:rsid w:val="00301FA3"/>
    <w:rsid w:val="00303914"/>
    <w:rsid w:val="003050BE"/>
    <w:rsid w:val="00305C6E"/>
    <w:rsid w:val="00306BFA"/>
    <w:rsid w:val="00306DAB"/>
    <w:rsid w:val="00311914"/>
    <w:rsid w:val="00311AC0"/>
    <w:rsid w:val="00311B73"/>
    <w:rsid w:val="00312A19"/>
    <w:rsid w:val="00313166"/>
    <w:rsid w:val="00316AD2"/>
    <w:rsid w:val="0031724C"/>
    <w:rsid w:val="00320779"/>
    <w:rsid w:val="0032080E"/>
    <w:rsid w:val="00320E5C"/>
    <w:rsid w:val="003234A1"/>
    <w:rsid w:val="00323F14"/>
    <w:rsid w:val="003252DE"/>
    <w:rsid w:val="00325399"/>
    <w:rsid w:val="00325D24"/>
    <w:rsid w:val="003260D0"/>
    <w:rsid w:val="0032652D"/>
    <w:rsid w:val="00327AB2"/>
    <w:rsid w:val="003300A8"/>
    <w:rsid w:val="0033029C"/>
    <w:rsid w:val="0033035D"/>
    <w:rsid w:val="00331240"/>
    <w:rsid w:val="00331DBB"/>
    <w:rsid w:val="00331FCA"/>
    <w:rsid w:val="00333473"/>
    <w:rsid w:val="003350E1"/>
    <w:rsid w:val="00335C3B"/>
    <w:rsid w:val="003361D1"/>
    <w:rsid w:val="0033634B"/>
    <w:rsid w:val="00336596"/>
    <w:rsid w:val="00336D21"/>
    <w:rsid w:val="003422CF"/>
    <w:rsid w:val="003451E2"/>
    <w:rsid w:val="0034615A"/>
    <w:rsid w:val="00346726"/>
    <w:rsid w:val="00350236"/>
    <w:rsid w:val="00351056"/>
    <w:rsid w:val="0035146C"/>
    <w:rsid w:val="00351925"/>
    <w:rsid w:val="003521E8"/>
    <w:rsid w:val="003533C6"/>
    <w:rsid w:val="00353D05"/>
    <w:rsid w:val="00356B32"/>
    <w:rsid w:val="00357700"/>
    <w:rsid w:val="00357827"/>
    <w:rsid w:val="003619D2"/>
    <w:rsid w:val="0036361E"/>
    <w:rsid w:val="00363CA0"/>
    <w:rsid w:val="00364802"/>
    <w:rsid w:val="00364C4D"/>
    <w:rsid w:val="003650F2"/>
    <w:rsid w:val="00366005"/>
    <w:rsid w:val="003664BF"/>
    <w:rsid w:val="00367820"/>
    <w:rsid w:val="00367F70"/>
    <w:rsid w:val="003707EA"/>
    <w:rsid w:val="00371ADC"/>
    <w:rsid w:val="003728F3"/>
    <w:rsid w:val="0037529B"/>
    <w:rsid w:val="00375393"/>
    <w:rsid w:val="00375B9F"/>
    <w:rsid w:val="00376793"/>
    <w:rsid w:val="00376A1E"/>
    <w:rsid w:val="00376A5D"/>
    <w:rsid w:val="00380588"/>
    <w:rsid w:val="00380E31"/>
    <w:rsid w:val="00381539"/>
    <w:rsid w:val="00382DD9"/>
    <w:rsid w:val="003843F6"/>
    <w:rsid w:val="00384BB6"/>
    <w:rsid w:val="00385335"/>
    <w:rsid w:val="0038549E"/>
    <w:rsid w:val="0038589F"/>
    <w:rsid w:val="00385C4A"/>
    <w:rsid w:val="00385D65"/>
    <w:rsid w:val="00387324"/>
    <w:rsid w:val="00387E8F"/>
    <w:rsid w:val="00390443"/>
    <w:rsid w:val="003907CE"/>
    <w:rsid w:val="00390900"/>
    <w:rsid w:val="0039140E"/>
    <w:rsid w:val="00391BF6"/>
    <w:rsid w:val="00393398"/>
    <w:rsid w:val="00393409"/>
    <w:rsid w:val="0039414E"/>
    <w:rsid w:val="003943BC"/>
    <w:rsid w:val="00396E04"/>
    <w:rsid w:val="00397327"/>
    <w:rsid w:val="00397E37"/>
    <w:rsid w:val="003A0220"/>
    <w:rsid w:val="003A14CE"/>
    <w:rsid w:val="003A1EFB"/>
    <w:rsid w:val="003A2DDF"/>
    <w:rsid w:val="003A4957"/>
    <w:rsid w:val="003A57C6"/>
    <w:rsid w:val="003A5C2D"/>
    <w:rsid w:val="003B14AF"/>
    <w:rsid w:val="003B16CE"/>
    <w:rsid w:val="003B2B38"/>
    <w:rsid w:val="003B2D70"/>
    <w:rsid w:val="003B362C"/>
    <w:rsid w:val="003B40AF"/>
    <w:rsid w:val="003B4EA6"/>
    <w:rsid w:val="003B5246"/>
    <w:rsid w:val="003B645E"/>
    <w:rsid w:val="003B7216"/>
    <w:rsid w:val="003B7E39"/>
    <w:rsid w:val="003C21E0"/>
    <w:rsid w:val="003C2843"/>
    <w:rsid w:val="003C2882"/>
    <w:rsid w:val="003C2C5A"/>
    <w:rsid w:val="003C2DAB"/>
    <w:rsid w:val="003C2EFE"/>
    <w:rsid w:val="003C409A"/>
    <w:rsid w:val="003C58DC"/>
    <w:rsid w:val="003C6434"/>
    <w:rsid w:val="003C65F8"/>
    <w:rsid w:val="003C7ED1"/>
    <w:rsid w:val="003D0A0F"/>
    <w:rsid w:val="003D2392"/>
    <w:rsid w:val="003D28F8"/>
    <w:rsid w:val="003D3B63"/>
    <w:rsid w:val="003D3FF0"/>
    <w:rsid w:val="003D4515"/>
    <w:rsid w:val="003D4C96"/>
    <w:rsid w:val="003D5201"/>
    <w:rsid w:val="003D54C7"/>
    <w:rsid w:val="003D56AF"/>
    <w:rsid w:val="003D57F3"/>
    <w:rsid w:val="003D6B56"/>
    <w:rsid w:val="003D7EB4"/>
    <w:rsid w:val="003E0A89"/>
    <w:rsid w:val="003E11BB"/>
    <w:rsid w:val="003E15EB"/>
    <w:rsid w:val="003E1A75"/>
    <w:rsid w:val="003E3208"/>
    <w:rsid w:val="003E3C34"/>
    <w:rsid w:val="003E3EB7"/>
    <w:rsid w:val="003E739F"/>
    <w:rsid w:val="003E776F"/>
    <w:rsid w:val="003F0B04"/>
    <w:rsid w:val="003F126A"/>
    <w:rsid w:val="003F1CD4"/>
    <w:rsid w:val="003F282B"/>
    <w:rsid w:val="003F2E95"/>
    <w:rsid w:val="003F669A"/>
    <w:rsid w:val="003F7336"/>
    <w:rsid w:val="003F7553"/>
    <w:rsid w:val="003F7C8B"/>
    <w:rsid w:val="003F7CEC"/>
    <w:rsid w:val="003F7E99"/>
    <w:rsid w:val="004003C2"/>
    <w:rsid w:val="0040094E"/>
    <w:rsid w:val="0040134E"/>
    <w:rsid w:val="004038D2"/>
    <w:rsid w:val="00404B57"/>
    <w:rsid w:val="00406559"/>
    <w:rsid w:val="00406D9C"/>
    <w:rsid w:val="00406DB9"/>
    <w:rsid w:val="00406F12"/>
    <w:rsid w:val="004077D6"/>
    <w:rsid w:val="004114D3"/>
    <w:rsid w:val="00413097"/>
    <w:rsid w:val="004130BB"/>
    <w:rsid w:val="00415863"/>
    <w:rsid w:val="00416BCB"/>
    <w:rsid w:val="00417558"/>
    <w:rsid w:val="0042072D"/>
    <w:rsid w:val="00420DCD"/>
    <w:rsid w:val="004222B4"/>
    <w:rsid w:val="004229A0"/>
    <w:rsid w:val="00423448"/>
    <w:rsid w:val="00423450"/>
    <w:rsid w:val="00423479"/>
    <w:rsid w:val="004244DA"/>
    <w:rsid w:val="004278EB"/>
    <w:rsid w:val="00430E51"/>
    <w:rsid w:val="00432063"/>
    <w:rsid w:val="00433040"/>
    <w:rsid w:val="004361F6"/>
    <w:rsid w:val="0044074D"/>
    <w:rsid w:val="00440A2D"/>
    <w:rsid w:val="00441709"/>
    <w:rsid w:val="00442ABA"/>
    <w:rsid w:val="00442DA9"/>
    <w:rsid w:val="00443902"/>
    <w:rsid w:val="0044395C"/>
    <w:rsid w:val="00445106"/>
    <w:rsid w:val="004465A4"/>
    <w:rsid w:val="0044695A"/>
    <w:rsid w:val="004473D1"/>
    <w:rsid w:val="004473F8"/>
    <w:rsid w:val="00447488"/>
    <w:rsid w:val="0045040C"/>
    <w:rsid w:val="004520E5"/>
    <w:rsid w:val="00453A80"/>
    <w:rsid w:val="00454EBE"/>
    <w:rsid w:val="004564A7"/>
    <w:rsid w:val="00457DDA"/>
    <w:rsid w:val="0046099F"/>
    <w:rsid w:val="004617BF"/>
    <w:rsid w:val="00462FBF"/>
    <w:rsid w:val="004638A4"/>
    <w:rsid w:val="00465C7C"/>
    <w:rsid w:val="00465FBA"/>
    <w:rsid w:val="00470FF9"/>
    <w:rsid w:val="00473864"/>
    <w:rsid w:val="00475050"/>
    <w:rsid w:val="00475C93"/>
    <w:rsid w:val="00476BA3"/>
    <w:rsid w:val="00476C8E"/>
    <w:rsid w:val="004811D0"/>
    <w:rsid w:val="00481687"/>
    <w:rsid w:val="00483D37"/>
    <w:rsid w:val="00483F63"/>
    <w:rsid w:val="004854CD"/>
    <w:rsid w:val="0048557D"/>
    <w:rsid w:val="0048564C"/>
    <w:rsid w:val="004875CE"/>
    <w:rsid w:val="00487874"/>
    <w:rsid w:val="0048791A"/>
    <w:rsid w:val="00491251"/>
    <w:rsid w:val="004915ED"/>
    <w:rsid w:val="004915FB"/>
    <w:rsid w:val="004923FF"/>
    <w:rsid w:val="004927EC"/>
    <w:rsid w:val="00492EF3"/>
    <w:rsid w:val="00494CA4"/>
    <w:rsid w:val="00494E60"/>
    <w:rsid w:val="00495926"/>
    <w:rsid w:val="004961B4"/>
    <w:rsid w:val="0049734C"/>
    <w:rsid w:val="004A1197"/>
    <w:rsid w:val="004A2C5A"/>
    <w:rsid w:val="004A3084"/>
    <w:rsid w:val="004A565B"/>
    <w:rsid w:val="004B33C2"/>
    <w:rsid w:val="004B36BA"/>
    <w:rsid w:val="004B7B76"/>
    <w:rsid w:val="004C0070"/>
    <w:rsid w:val="004C0228"/>
    <w:rsid w:val="004C100A"/>
    <w:rsid w:val="004C1EBB"/>
    <w:rsid w:val="004C2493"/>
    <w:rsid w:val="004C2DFD"/>
    <w:rsid w:val="004C30C9"/>
    <w:rsid w:val="004C3BAB"/>
    <w:rsid w:val="004C4096"/>
    <w:rsid w:val="004C5E84"/>
    <w:rsid w:val="004C6D3F"/>
    <w:rsid w:val="004C6E9B"/>
    <w:rsid w:val="004C73F5"/>
    <w:rsid w:val="004C7B8C"/>
    <w:rsid w:val="004D12D8"/>
    <w:rsid w:val="004D2BA3"/>
    <w:rsid w:val="004D3478"/>
    <w:rsid w:val="004D351D"/>
    <w:rsid w:val="004D3854"/>
    <w:rsid w:val="004D38BD"/>
    <w:rsid w:val="004D4473"/>
    <w:rsid w:val="004D51A6"/>
    <w:rsid w:val="004D5382"/>
    <w:rsid w:val="004D631F"/>
    <w:rsid w:val="004D661C"/>
    <w:rsid w:val="004D663B"/>
    <w:rsid w:val="004E0C78"/>
    <w:rsid w:val="004E0D3C"/>
    <w:rsid w:val="004E2BA4"/>
    <w:rsid w:val="004E2BE0"/>
    <w:rsid w:val="004E3784"/>
    <w:rsid w:val="004E43DB"/>
    <w:rsid w:val="004E4590"/>
    <w:rsid w:val="004E4D58"/>
    <w:rsid w:val="004E79E7"/>
    <w:rsid w:val="004E7E09"/>
    <w:rsid w:val="004F0F38"/>
    <w:rsid w:val="004F1240"/>
    <w:rsid w:val="004F40D8"/>
    <w:rsid w:val="004F484B"/>
    <w:rsid w:val="004F63F9"/>
    <w:rsid w:val="004F7A5D"/>
    <w:rsid w:val="00501921"/>
    <w:rsid w:val="00504012"/>
    <w:rsid w:val="00504267"/>
    <w:rsid w:val="00505BCE"/>
    <w:rsid w:val="00506D43"/>
    <w:rsid w:val="00507506"/>
    <w:rsid w:val="00510862"/>
    <w:rsid w:val="00510DD0"/>
    <w:rsid w:val="00514B82"/>
    <w:rsid w:val="00515254"/>
    <w:rsid w:val="00516432"/>
    <w:rsid w:val="005171DB"/>
    <w:rsid w:val="00520662"/>
    <w:rsid w:val="005207CB"/>
    <w:rsid w:val="0052099C"/>
    <w:rsid w:val="00522767"/>
    <w:rsid w:val="00523A01"/>
    <w:rsid w:val="00523E53"/>
    <w:rsid w:val="00523FB1"/>
    <w:rsid w:val="0052419F"/>
    <w:rsid w:val="00525165"/>
    <w:rsid w:val="00526B28"/>
    <w:rsid w:val="00526D31"/>
    <w:rsid w:val="00530354"/>
    <w:rsid w:val="00531B69"/>
    <w:rsid w:val="00535605"/>
    <w:rsid w:val="00535D83"/>
    <w:rsid w:val="005368F0"/>
    <w:rsid w:val="0054053C"/>
    <w:rsid w:val="00541FD8"/>
    <w:rsid w:val="005423EF"/>
    <w:rsid w:val="005424F8"/>
    <w:rsid w:val="00543082"/>
    <w:rsid w:val="005434C6"/>
    <w:rsid w:val="00543B39"/>
    <w:rsid w:val="00550096"/>
    <w:rsid w:val="0055012F"/>
    <w:rsid w:val="00550B31"/>
    <w:rsid w:val="005523DE"/>
    <w:rsid w:val="00552F85"/>
    <w:rsid w:val="005547DB"/>
    <w:rsid w:val="005553CC"/>
    <w:rsid w:val="00555528"/>
    <w:rsid w:val="005555F3"/>
    <w:rsid w:val="0055653F"/>
    <w:rsid w:val="00556C02"/>
    <w:rsid w:val="00557806"/>
    <w:rsid w:val="00557991"/>
    <w:rsid w:val="00557FF9"/>
    <w:rsid w:val="00560037"/>
    <w:rsid w:val="00562915"/>
    <w:rsid w:val="005640AC"/>
    <w:rsid w:val="00564E5A"/>
    <w:rsid w:val="00567A2E"/>
    <w:rsid w:val="00573095"/>
    <w:rsid w:val="0057564C"/>
    <w:rsid w:val="00576282"/>
    <w:rsid w:val="00576378"/>
    <w:rsid w:val="00577E38"/>
    <w:rsid w:val="00580599"/>
    <w:rsid w:val="00580746"/>
    <w:rsid w:val="00584285"/>
    <w:rsid w:val="00585322"/>
    <w:rsid w:val="0058584D"/>
    <w:rsid w:val="00587FB3"/>
    <w:rsid w:val="00590F95"/>
    <w:rsid w:val="00592952"/>
    <w:rsid w:val="00592A60"/>
    <w:rsid w:val="0059345B"/>
    <w:rsid w:val="00593AD1"/>
    <w:rsid w:val="0059436B"/>
    <w:rsid w:val="00595C15"/>
    <w:rsid w:val="00596530"/>
    <w:rsid w:val="0059699F"/>
    <w:rsid w:val="00596DD6"/>
    <w:rsid w:val="00597BB1"/>
    <w:rsid w:val="005A01FF"/>
    <w:rsid w:val="005A1131"/>
    <w:rsid w:val="005A270D"/>
    <w:rsid w:val="005A53C3"/>
    <w:rsid w:val="005A7340"/>
    <w:rsid w:val="005A75CD"/>
    <w:rsid w:val="005B100B"/>
    <w:rsid w:val="005B1084"/>
    <w:rsid w:val="005B2FDF"/>
    <w:rsid w:val="005B3129"/>
    <w:rsid w:val="005B365E"/>
    <w:rsid w:val="005B6BBD"/>
    <w:rsid w:val="005C233C"/>
    <w:rsid w:val="005C27FD"/>
    <w:rsid w:val="005C3557"/>
    <w:rsid w:val="005C39FC"/>
    <w:rsid w:val="005C3B71"/>
    <w:rsid w:val="005C46B0"/>
    <w:rsid w:val="005C5570"/>
    <w:rsid w:val="005C5FD4"/>
    <w:rsid w:val="005C6078"/>
    <w:rsid w:val="005C79A4"/>
    <w:rsid w:val="005D1689"/>
    <w:rsid w:val="005D2182"/>
    <w:rsid w:val="005D2368"/>
    <w:rsid w:val="005D248B"/>
    <w:rsid w:val="005D3674"/>
    <w:rsid w:val="005D5442"/>
    <w:rsid w:val="005D55A3"/>
    <w:rsid w:val="005D6197"/>
    <w:rsid w:val="005D684F"/>
    <w:rsid w:val="005D7D47"/>
    <w:rsid w:val="005E2DB8"/>
    <w:rsid w:val="005E3C02"/>
    <w:rsid w:val="005E4544"/>
    <w:rsid w:val="005E5036"/>
    <w:rsid w:val="005E5568"/>
    <w:rsid w:val="005E6D53"/>
    <w:rsid w:val="005E6D99"/>
    <w:rsid w:val="005E757B"/>
    <w:rsid w:val="005E76A7"/>
    <w:rsid w:val="005E7B55"/>
    <w:rsid w:val="005F069F"/>
    <w:rsid w:val="005F08D5"/>
    <w:rsid w:val="005F279A"/>
    <w:rsid w:val="005F2CA2"/>
    <w:rsid w:val="005F3C58"/>
    <w:rsid w:val="005F458A"/>
    <w:rsid w:val="005F5830"/>
    <w:rsid w:val="005F656C"/>
    <w:rsid w:val="005F70A0"/>
    <w:rsid w:val="005F7141"/>
    <w:rsid w:val="00600A3A"/>
    <w:rsid w:val="00603A64"/>
    <w:rsid w:val="00604849"/>
    <w:rsid w:val="00604B9A"/>
    <w:rsid w:val="0060733C"/>
    <w:rsid w:val="00610D73"/>
    <w:rsid w:val="00611983"/>
    <w:rsid w:val="006143EC"/>
    <w:rsid w:val="006155D6"/>
    <w:rsid w:val="00615B0B"/>
    <w:rsid w:val="00616039"/>
    <w:rsid w:val="00622255"/>
    <w:rsid w:val="00623FEB"/>
    <w:rsid w:val="006241BB"/>
    <w:rsid w:val="00624A6F"/>
    <w:rsid w:val="00625015"/>
    <w:rsid w:val="006255C1"/>
    <w:rsid w:val="0062573C"/>
    <w:rsid w:val="0062702E"/>
    <w:rsid w:val="0063262E"/>
    <w:rsid w:val="00633E17"/>
    <w:rsid w:val="00634D5D"/>
    <w:rsid w:val="00635D38"/>
    <w:rsid w:val="00636864"/>
    <w:rsid w:val="00640FC3"/>
    <w:rsid w:val="00641FC9"/>
    <w:rsid w:val="00642020"/>
    <w:rsid w:val="00645710"/>
    <w:rsid w:val="00645839"/>
    <w:rsid w:val="00647931"/>
    <w:rsid w:val="00650031"/>
    <w:rsid w:val="006508F9"/>
    <w:rsid w:val="00651F5A"/>
    <w:rsid w:val="0065200D"/>
    <w:rsid w:val="0065337B"/>
    <w:rsid w:val="00653D1E"/>
    <w:rsid w:val="00654150"/>
    <w:rsid w:val="0065419D"/>
    <w:rsid w:val="00654977"/>
    <w:rsid w:val="00654EC4"/>
    <w:rsid w:val="00655A63"/>
    <w:rsid w:val="00656DDC"/>
    <w:rsid w:val="006604D8"/>
    <w:rsid w:val="00660E8A"/>
    <w:rsid w:val="006638B2"/>
    <w:rsid w:val="00664935"/>
    <w:rsid w:val="00664A5B"/>
    <w:rsid w:val="006663B7"/>
    <w:rsid w:val="00666C1A"/>
    <w:rsid w:val="00667942"/>
    <w:rsid w:val="0067176C"/>
    <w:rsid w:val="006743A8"/>
    <w:rsid w:val="00674B51"/>
    <w:rsid w:val="0067791B"/>
    <w:rsid w:val="00680880"/>
    <w:rsid w:val="00680C08"/>
    <w:rsid w:val="00680C17"/>
    <w:rsid w:val="00682358"/>
    <w:rsid w:val="00682CB4"/>
    <w:rsid w:val="006833D6"/>
    <w:rsid w:val="00684953"/>
    <w:rsid w:val="0068741A"/>
    <w:rsid w:val="00687E38"/>
    <w:rsid w:val="006904C5"/>
    <w:rsid w:val="0069270F"/>
    <w:rsid w:val="006931B1"/>
    <w:rsid w:val="0069413B"/>
    <w:rsid w:val="0069523A"/>
    <w:rsid w:val="0069580E"/>
    <w:rsid w:val="00696091"/>
    <w:rsid w:val="00696929"/>
    <w:rsid w:val="0069699E"/>
    <w:rsid w:val="006974FD"/>
    <w:rsid w:val="006A096A"/>
    <w:rsid w:val="006A0BBC"/>
    <w:rsid w:val="006A15C0"/>
    <w:rsid w:val="006A1844"/>
    <w:rsid w:val="006A1FFE"/>
    <w:rsid w:val="006A2426"/>
    <w:rsid w:val="006A2A31"/>
    <w:rsid w:val="006A38E4"/>
    <w:rsid w:val="006A3A83"/>
    <w:rsid w:val="006A4B59"/>
    <w:rsid w:val="006A526A"/>
    <w:rsid w:val="006A52E6"/>
    <w:rsid w:val="006A5E45"/>
    <w:rsid w:val="006B03D4"/>
    <w:rsid w:val="006B259B"/>
    <w:rsid w:val="006B299C"/>
    <w:rsid w:val="006B4B02"/>
    <w:rsid w:val="006B56B2"/>
    <w:rsid w:val="006B5F53"/>
    <w:rsid w:val="006B615E"/>
    <w:rsid w:val="006B63E6"/>
    <w:rsid w:val="006C0E5C"/>
    <w:rsid w:val="006C1F3B"/>
    <w:rsid w:val="006C233C"/>
    <w:rsid w:val="006C291E"/>
    <w:rsid w:val="006C3E09"/>
    <w:rsid w:val="006C3E2A"/>
    <w:rsid w:val="006C43B5"/>
    <w:rsid w:val="006C4A44"/>
    <w:rsid w:val="006C642F"/>
    <w:rsid w:val="006D03E5"/>
    <w:rsid w:val="006D18EE"/>
    <w:rsid w:val="006D22E9"/>
    <w:rsid w:val="006D2924"/>
    <w:rsid w:val="006D450E"/>
    <w:rsid w:val="006D5D3E"/>
    <w:rsid w:val="006E08B3"/>
    <w:rsid w:val="006E0F50"/>
    <w:rsid w:val="006E4139"/>
    <w:rsid w:val="006E4E00"/>
    <w:rsid w:val="006E651B"/>
    <w:rsid w:val="006E69D5"/>
    <w:rsid w:val="006E7237"/>
    <w:rsid w:val="006F046C"/>
    <w:rsid w:val="006F0AD6"/>
    <w:rsid w:val="006F0F30"/>
    <w:rsid w:val="006F1604"/>
    <w:rsid w:val="006F185E"/>
    <w:rsid w:val="006F324B"/>
    <w:rsid w:val="006F3339"/>
    <w:rsid w:val="006F3BDA"/>
    <w:rsid w:val="006F46EA"/>
    <w:rsid w:val="006F47BB"/>
    <w:rsid w:val="006F572E"/>
    <w:rsid w:val="006F6284"/>
    <w:rsid w:val="006F652C"/>
    <w:rsid w:val="006F6C81"/>
    <w:rsid w:val="007029E6"/>
    <w:rsid w:val="00703D5E"/>
    <w:rsid w:val="00704259"/>
    <w:rsid w:val="007046D6"/>
    <w:rsid w:val="00705DB0"/>
    <w:rsid w:val="007060CD"/>
    <w:rsid w:val="00706634"/>
    <w:rsid w:val="00706AFE"/>
    <w:rsid w:val="00707B68"/>
    <w:rsid w:val="0071131D"/>
    <w:rsid w:val="00711D16"/>
    <w:rsid w:val="00713E04"/>
    <w:rsid w:val="0071420C"/>
    <w:rsid w:val="00714820"/>
    <w:rsid w:val="00716248"/>
    <w:rsid w:val="00716458"/>
    <w:rsid w:val="00716E16"/>
    <w:rsid w:val="0072094D"/>
    <w:rsid w:val="00723BF8"/>
    <w:rsid w:val="00724E0E"/>
    <w:rsid w:val="007255F3"/>
    <w:rsid w:val="00730D66"/>
    <w:rsid w:val="0073196E"/>
    <w:rsid w:val="00732FEE"/>
    <w:rsid w:val="007330EF"/>
    <w:rsid w:val="00733E6B"/>
    <w:rsid w:val="0073450E"/>
    <w:rsid w:val="007359DB"/>
    <w:rsid w:val="00741152"/>
    <w:rsid w:val="00742273"/>
    <w:rsid w:val="0074253D"/>
    <w:rsid w:val="007437AF"/>
    <w:rsid w:val="0074429B"/>
    <w:rsid w:val="00746360"/>
    <w:rsid w:val="00747144"/>
    <w:rsid w:val="007477F8"/>
    <w:rsid w:val="00750F1F"/>
    <w:rsid w:val="007515DF"/>
    <w:rsid w:val="00751EBD"/>
    <w:rsid w:val="00751F00"/>
    <w:rsid w:val="0075288B"/>
    <w:rsid w:val="00753687"/>
    <w:rsid w:val="00753A56"/>
    <w:rsid w:val="00753A6B"/>
    <w:rsid w:val="00753C3B"/>
    <w:rsid w:val="00754347"/>
    <w:rsid w:val="0075524A"/>
    <w:rsid w:val="00756C9D"/>
    <w:rsid w:val="0075705B"/>
    <w:rsid w:val="0075788F"/>
    <w:rsid w:val="007615BC"/>
    <w:rsid w:val="00761CCE"/>
    <w:rsid w:val="007622D7"/>
    <w:rsid w:val="00762F05"/>
    <w:rsid w:val="00762F39"/>
    <w:rsid w:val="00762F5A"/>
    <w:rsid w:val="007632BB"/>
    <w:rsid w:val="00764FC4"/>
    <w:rsid w:val="007652FF"/>
    <w:rsid w:val="0076530B"/>
    <w:rsid w:val="00765E43"/>
    <w:rsid w:val="00767561"/>
    <w:rsid w:val="00770C6B"/>
    <w:rsid w:val="00771329"/>
    <w:rsid w:val="00771BA0"/>
    <w:rsid w:val="00771E62"/>
    <w:rsid w:val="00771FDA"/>
    <w:rsid w:val="007721A5"/>
    <w:rsid w:val="00773EF7"/>
    <w:rsid w:val="007740FB"/>
    <w:rsid w:val="00774E1D"/>
    <w:rsid w:val="0077622B"/>
    <w:rsid w:val="0077675A"/>
    <w:rsid w:val="00780129"/>
    <w:rsid w:val="0078034E"/>
    <w:rsid w:val="00780355"/>
    <w:rsid w:val="007827E6"/>
    <w:rsid w:val="0078294F"/>
    <w:rsid w:val="0078455F"/>
    <w:rsid w:val="00785440"/>
    <w:rsid w:val="00785721"/>
    <w:rsid w:val="0078745C"/>
    <w:rsid w:val="00787DC0"/>
    <w:rsid w:val="00787F7F"/>
    <w:rsid w:val="00791538"/>
    <w:rsid w:val="00793A59"/>
    <w:rsid w:val="00795DC5"/>
    <w:rsid w:val="00797B12"/>
    <w:rsid w:val="007A0D3E"/>
    <w:rsid w:val="007A2162"/>
    <w:rsid w:val="007A60CF"/>
    <w:rsid w:val="007A6B1C"/>
    <w:rsid w:val="007A703F"/>
    <w:rsid w:val="007A72C7"/>
    <w:rsid w:val="007A7F5C"/>
    <w:rsid w:val="007B2047"/>
    <w:rsid w:val="007B3842"/>
    <w:rsid w:val="007B3C16"/>
    <w:rsid w:val="007B4DDC"/>
    <w:rsid w:val="007B5185"/>
    <w:rsid w:val="007B5919"/>
    <w:rsid w:val="007B65AE"/>
    <w:rsid w:val="007B72EC"/>
    <w:rsid w:val="007B7829"/>
    <w:rsid w:val="007C0F3D"/>
    <w:rsid w:val="007C1AF7"/>
    <w:rsid w:val="007C1B71"/>
    <w:rsid w:val="007C2AB9"/>
    <w:rsid w:val="007C36BA"/>
    <w:rsid w:val="007C4DE2"/>
    <w:rsid w:val="007D1203"/>
    <w:rsid w:val="007D1C75"/>
    <w:rsid w:val="007D289B"/>
    <w:rsid w:val="007D2AAF"/>
    <w:rsid w:val="007D4F2B"/>
    <w:rsid w:val="007D6466"/>
    <w:rsid w:val="007D6ACA"/>
    <w:rsid w:val="007D6ED1"/>
    <w:rsid w:val="007E08A1"/>
    <w:rsid w:val="007E0B31"/>
    <w:rsid w:val="007E175B"/>
    <w:rsid w:val="007E1BA8"/>
    <w:rsid w:val="007E282B"/>
    <w:rsid w:val="007E37E9"/>
    <w:rsid w:val="007E483D"/>
    <w:rsid w:val="007E724C"/>
    <w:rsid w:val="007E727D"/>
    <w:rsid w:val="007F0AA4"/>
    <w:rsid w:val="007F12A4"/>
    <w:rsid w:val="007F17AF"/>
    <w:rsid w:val="007F19DE"/>
    <w:rsid w:val="007F2054"/>
    <w:rsid w:val="007F4D3E"/>
    <w:rsid w:val="007F5EE8"/>
    <w:rsid w:val="007F6719"/>
    <w:rsid w:val="007F761C"/>
    <w:rsid w:val="0080040B"/>
    <w:rsid w:val="0080126C"/>
    <w:rsid w:val="00801642"/>
    <w:rsid w:val="00803374"/>
    <w:rsid w:val="00803801"/>
    <w:rsid w:val="0080418C"/>
    <w:rsid w:val="00804AB0"/>
    <w:rsid w:val="00805547"/>
    <w:rsid w:val="00806FC9"/>
    <w:rsid w:val="00807D18"/>
    <w:rsid w:val="0081162A"/>
    <w:rsid w:val="0081178C"/>
    <w:rsid w:val="008158C8"/>
    <w:rsid w:val="00816164"/>
    <w:rsid w:val="00821776"/>
    <w:rsid w:val="0082283D"/>
    <w:rsid w:val="00823124"/>
    <w:rsid w:val="00823C41"/>
    <w:rsid w:val="008247D3"/>
    <w:rsid w:val="00826007"/>
    <w:rsid w:val="0082630F"/>
    <w:rsid w:val="00826B9B"/>
    <w:rsid w:val="00826F36"/>
    <w:rsid w:val="008301EF"/>
    <w:rsid w:val="0083170D"/>
    <w:rsid w:val="008320C3"/>
    <w:rsid w:val="008321F5"/>
    <w:rsid w:val="00832369"/>
    <w:rsid w:val="00833A53"/>
    <w:rsid w:val="00833D88"/>
    <w:rsid w:val="00834660"/>
    <w:rsid w:val="00836BC2"/>
    <w:rsid w:val="0083738D"/>
    <w:rsid w:val="00837591"/>
    <w:rsid w:val="008405E6"/>
    <w:rsid w:val="00843EC1"/>
    <w:rsid w:val="00845337"/>
    <w:rsid w:val="0085066D"/>
    <w:rsid w:val="00850A40"/>
    <w:rsid w:val="0085492A"/>
    <w:rsid w:val="00855004"/>
    <w:rsid w:val="00855289"/>
    <w:rsid w:val="0085641B"/>
    <w:rsid w:val="0085695C"/>
    <w:rsid w:val="00856F15"/>
    <w:rsid w:val="00857136"/>
    <w:rsid w:val="00857495"/>
    <w:rsid w:val="00857714"/>
    <w:rsid w:val="00860CEB"/>
    <w:rsid w:val="00861D46"/>
    <w:rsid w:val="008629F2"/>
    <w:rsid w:val="00864535"/>
    <w:rsid w:val="008654DD"/>
    <w:rsid w:val="00866FF9"/>
    <w:rsid w:val="008672E4"/>
    <w:rsid w:val="00867607"/>
    <w:rsid w:val="00867C0D"/>
    <w:rsid w:val="00867CD0"/>
    <w:rsid w:val="00867E4F"/>
    <w:rsid w:val="00871D3E"/>
    <w:rsid w:val="00872BEA"/>
    <w:rsid w:val="00873FCF"/>
    <w:rsid w:val="00874B90"/>
    <w:rsid w:val="008762DE"/>
    <w:rsid w:val="0088139F"/>
    <w:rsid w:val="00882BC9"/>
    <w:rsid w:val="0088324B"/>
    <w:rsid w:val="00885DAA"/>
    <w:rsid w:val="00886816"/>
    <w:rsid w:val="0089062E"/>
    <w:rsid w:val="00890C00"/>
    <w:rsid w:val="00891AAC"/>
    <w:rsid w:val="008933C5"/>
    <w:rsid w:val="008935F3"/>
    <w:rsid w:val="0089376D"/>
    <w:rsid w:val="00893E3C"/>
    <w:rsid w:val="00895233"/>
    <w:rsid w:val="00895DB4"/>
    <w:rsid w:val="00896018"/>
    <w:rsid w:val="00896A80"/>
    <w:rsid w:val="00896DCC"/>
    <w:rsid w:val="008A0CA5"/>
    <w:rsid w:val="008A175D"/>
    <w:rsid w:val="008A2B9D"/>
    <w:rsid w:val="008A2E99"/>
    <w:rsid w:val="008A53E0"/>
    <w:rsid w:val="008A5E0B"/>
    <w:rsid w:val="008A6D59"/>
    <w:rsid w:val="008A7095"/>
    <w:rsid w:val="008A7D5A"/>
    <w:rsid w:val="008B1A25"/>
    <w:rsid w:val="008B37F6"/>
    <w:rsid w:val="008B3FDC"/>
    <w:rsid w:val="008B4B03"/>
    <w:rsid w:val="008B553E"/>
    <w:rsid w:val="008B596F"/>
    <w:rsid w:val="008B5BE5"/>
    <w:rsid w:val="008B6039"/>
    <w:rsid w:val="008B75EE"/>
    <w:rsid w:val="008C0F6B"/>
    <w:rsid w:val="008C1547"/>
    <w:rsid w:val="008C159F"/>
    <w:rsid w:val="008C1623"/>
    <w:rsid w:val="008C163E"/>
    <w:rsid w:val="008C18C8"/>
    <w:rsid w:val="008C1D18"/>
    <w:rsid w:val="008C2622"/>
    <w:rsid w:val="008C38DE"/>
    <w:rsid w:val="008C46E4"/>
    <w:rsid w:val="008C51A9"/>
    <w:rsid w:val="008C63C5"/>
    <w:rsid w:val="008C6FAD"/>
    <w:rsid w:val="008C7260"/>
    <w:rsid w:val="008C7541"/>
    <w:rsid w:val="008D0AFE"/>
    <w:rsid w:val="008D421A"/>
    <w:rsid w:val="008D4415"/>
    <w:rsid w:val="008D6212"/>
    <w:rsid w:val="008D7E6F"/>
    <w:rsid w:val="008E09FC"/>
    <w:rsid w:val="008E2CE3"/>
    <w:rsid w:val="008E3C43"/>
    <w:rsid w:val="008E3FF2"/>
    <w:rsid w:val="008E405B"/>
    <w:rsid w:val="008E67ED"/>
    <w:rsid w:val="008E67F3"/>
    <w:rsid w:val="008F1CCC"/>
    <w:rsid w:val="008F2967"/>
    <w:rsid w:val="008F3255"/>
    <w:rsid w:val="008F5F3D"/>
    <w:rsid w:val="008F6EF7"/>
    <w:rsid w:val="008F71F1"/>
    <w:rsid w:val="009057C4"/>
    <w:rsid w:val="00906038"/>
    <w:rsid w:val="009066B4"/>
    <w:rsid w:val="0090676E"/>
    <w:rsid w:val="00906C06"/>
    <w:rsid w:val="009074DB"/>
    <w:rsid w:val="009102A5"/>
    <w:rsid w:val="0091108B"/>
    <w:rsid w:val="0091177D"/>
    <w:rsid w:val="00911EB5"/>
    <w:rsid w:val="00912574"/>
    <w:rsid w:val="00915019"/>
    <w:rsid w:val="00915823"/>
    <w:rsid w:val="00915DC2"/>
    <w:rsid w:val="0091742D"/>
    <w:rsid w:val="00920330"/>
    <w:rsid w:val="00920FF4"/>
    <w:rsid w:val="009219D7"/>
    <w:rsid w:val="00922D53"/>
    <w:rsid w:val="00923B70"/>
    <w:rsid w:val="00924652"/>
    <w:rsid w:val="00924E89"/>
    <w:rsid w:val="00925CDD"/>
    <w:rsid w:val="00925ED2"/>
    <w:rsid w:val="0092600B"/>
    <w:rsid w:val="00926B0E"/>
    <w:rsid w:val="00926B60"/>
    <w:rsid w:val="009271F8"/>
    <w:rsid w:val="00927259"/>
    <w:rsid w:val="00930237"/>
    <w:rsid w:val="009306E4"/>
    <w:rsid w:val="009308DF"/>
    <w:rsid w:val="00931682"/>
    <w:rsid w:val="00932BBB"/>
    <w:rsid w:val="00933AE3"/>
    <w:rsid w:val="00935A86"/>
    <w:rsid w:val="00936AC8"/>
    <w:rsid w:val="00937673"/>
    <w:rsid w:val="00937E8E"/>
    <w:rsid w:val="00941AA8"/>
    <w:rsid w:val="009425E1"/>
    <w:rsid w:val="00947BE9"/>
    <w:rsid w:val="00951542"/>
    <w:rsid w:val="00952C1A"/>
    <w:rsid w:val="009554BC"/>
    <w:rsid w:val="00957628"/>
    <w:rsid w:val="009604C0"/>
    <w:rsid w:val="0096319D"/>
    <w:rsid w:val="0096327A"/>
    <w:rsid w:val="00963C08"/>
    <w:rsid w:val="0096449B"/>
    <w:rsid w:val="00964F68"/>
    <w:rsid w:val="00965189"/>
    <w:rsid w:val="00966635"/>
    <w:rsid w:val="009707B8"/>
    <w:rsid w:val="009717B0"/>
    <w:rsid w:val="00974DBB"/>
    <w:rsid w:val="00975AC8"/>
    <w:rsid w:val="0097743D"/>
    <w:rsid w:val="009828B4"/>
    <w:rsid w:val="00983CBE"/>
    <w:rsid w:val="0098770B"/>
    <w:rsid w:val="00990A34"/>
    <w:rsid w:val="0099110E"/>
    <w:rsid w:val="009912AB"/>
    <w:rsid w:val="00993456"/>
    <w:rsid w:val="00994189"/>
    <w:rsid w:val="00994F9A"/>
    <w:rsid w:val="00997FE1"/>
    <w:rsid w:val="009A3193"/>
    <w:rsid w:val="009A3CFC"/>
    <w:rsid w:val="009A41DA"/>
    <w:rsid w:val="009A4847"/>
    <w:rsid w:val="009A4CED"/>
    <w:rsid w:val="009A5BC7"/>
    <w:rsid w:val="009A6388"/>
    <w:rsid w:val="009B1D12"/>
    <w:rsid w:val="009B3475"/>
    <w:rsid w:val="009B416B"/>
    <w:rsid w:val="009B48FF"/>
    <w:rsid w:val="009B4D09"/>
    <w:rsid w:val="009B68A6"/>
    <w:rsid w:val="009C2E21"/>
    <w:rsid w:val="009C4BD5"/>
    <w:rsid w:val="009C532C"/>
    <w:rsid w:val="009C772A"/>
    <w:rsid w:val="009D059A"/>
    <w:rsid w:val="009D0D1A"/>
    <w:rsid w:val="009D119E"/>
    <w:rsid w:val="009D1230"/>
    <w:rsid w:val="009D27A9"/>
    <w:rsid w:val="009D2E04"/>
    <w:rsid w:val="009D4394"/>
    <w:rsid w:val="009D53E7"/>
    <w:rsid w:val="009D69B8"/>
    <w:rsid w:val="009D7B77"/>
    <w:rsid w:val="009E09D9"/>
    <w:rsid w:val="009E0BB0"/>
    <w:rsid w:val="009E0BE5"/>
    <w:rsid w:val="009E10D5"/>
    <w:rsid w:val="009E145B"/>
    <w:rsid w:val="009E1804"/>
    <w:rsid w:val="009E32D4"/>
    <w:rsid w:val="009E3FBB"/>
    <w:rsid w:val="009E4589"/>
    <w:rsid w:val="009E45E7"/>
    <w:rsid w:val="009E4B0E"/>
    <w:rsid w:val="009E4C51"/>
    <w:rsid w:val="009E51EB"/>
    <w:rsid w:val="009E6C29"/>
    <w:rsid w:val="009E6D11"/>
    <w:rsid w:val="009E7842"/>
    <w:rsid w:val="009F018D"/>
    <w:rsid w:val="009F0A3E"/>
    <w:rsid w:val="009F0B33"/>
    <w:rsid w:val="009F0B7A"/>
    <w:rsid w:val="009F155D"/>
    <w:rsid w:val="009F2E89"/>
    <w:rsid w:val="009F3C59"/>
    <w:rsid w:val="009F515B"/>
    <w:rsid w:val="00A038A8"/>
    <w:rsid w:val="00A03FA4"/>
    <w:rsid w:val="00A04786"/>
    <w:rsid w:val="00A05318"/>
    <w:rsid w:val="00A07E55"/>
    <w:rsid w:val="00A1070E"/>
    <w:rsid w:val="00A1235B"/>
    <w:rsid w:val="00A1418C"/>
    <w:rsid w:val="00A1460B"/>
    <w:rsid w:val="00A14DF7"/>
    <w:rsid w:val="00A15D69"/>
    <w:rsid w:val="00A17EA6"/>
    <w:rsid w:val="00A202F3"/>
    <w:rsid w:val="00A2153F"/>
    <w:rsid w:val="00A21FF2"/>
    <w:rsid w:val="00A228F6"/>
    <w:rsid w:val="00A2308F"/>
    <w:rsid w:val="00A233AA"/>
    <w:rsid w:val="00A23ADD"/>
    <w:rsid w:val="00A24E81"/>
    <w:rsid w:val="00A26E24"/>
    <w:rsid w:val="00A3211E"/>
    <w:rsid w:val="00A3246D"/>
    <w:rsid w:val="00A34A77"/>
    <w:rsid w:val="00A35B99"/>
    <w:rsid w:val="00A36527"/>
    <w:rsid w:val="00A36FA7"/>
    <w:rsid w:val="00A42335"/>
    <w:rsid w:val="00A4235C"/>
    <w:rsid w:val="00A42543"/>
    <w:rsid w:val="00A449E1"/>
    <w:rsid w:val="00A450B4"/>
    <w:rsid w:val="00A45C9F"/>
    <w:rsid w:val="00A45F82"/>
    <w:rsid w:val="00A4602E"/>
    <w:rsid w:val="00A46674"/>
    <w:rsid w:val="00A4741A"/>
    <w:rsid w:val="00A47459"/>
    <w:rsid w:val="00A475B7"/>
    <w:rsid w:val="00A47AF7"/>
    <w:rsid w:val="00A47C3E"/>
    <w:rsid w:val="00A47E52"/>
    <w:rsid w:val="00A50226"/>
    <w:rsid w:val="00A54431"/>
    <w:rsid w:val="00A56F4F"/>
    <w:rsid w:val="00A57656"/>
    <w:rsid w:val="00A57955"/>
    <w:rsid w:val="00A57A8C"/>
    <w:rsid w:val="00A60026"/>
    <w:rsid w:val="00A60485"/>
    <w:rsid w:val="00A6071B"/>
    <w:rsid w:val="00A60BAD"/>
    <w:rsid w:val="00A61C73"/>
    <w:rsid w:val="00A629FF"/>
    <w:rsid w:val="00A63771"/>
    <w:rsid w:val="00A644D1"/>
    <w:rsid w:val="00A647D9"/>
    <w:rsid w:val="00A64CA6"/>
    <w:rsid w:val="00A65175"/>
    <w:rsid w:val="00A6566F"/>
    <w:rsid w:val="00A6752E"/>
    <w:rsid w:val="00A70168"/>
    <w:rsid w:val="00A70415"/>
    <w:rsid w:val="00A704C0"/>
    <w:rsid w:val="00A70DFE"/>
    <w:rsid w:val="00A72237"/>
    <w:rsid w:val="00A728F9"/>
    <w:rsid w:val="00A736E1"/>
    <w:rsid w:val="00A73A8D"/>
    <w:rsid w:val="00A75C1F"/>
    <w:rsid w:val="00A762A0"/>
    <w:rsid w:val="00A763F6"/>
    <w:rsid w:val="00A77452"/>
    <w:rsid w:val="00A7746E"/>
    <w:rsid w:val="00A778F2"/>
    <w:rsid w:val="00A77FB2"/>
    <w:rsid w:val="00A81558"/>
    <w:rsid w:val="00A83488"/>
    <w:rsid w:val="00A8477F"/>
    <w:rsid w:val="00A84BF9"/>
    <w:rsid w:val="00A857D3"/>
    <w:rsid w:val="00A86BA7"/>
    <w:rsid w:val="00A87334"/>
    <w:rsid w:val="00A9026B"/>
    <w:rsid w:val="00A91588"/>
    <w:rsid w:val="00A92343"/>
    <w:rsid w:val="00A924DF"/>
    <w:rsid w:val="00A92E4D"/>
    <w:rsid w:val="00A935B2"/>
    <w:rsid w:val="00A9735E"/>
    <w:rsid w:val="00A97ED5"/>
    <w:rsid w:val="00AA0848"/>
    <w:rsid w:val="00AA1E13"/>
    <w:rsid w:val="00AA3EB9"/>
    <w:rsid w:val="00AA41FA"/>
    <w:rsid w:val="00AA4690"/>
    <w:rsid w:val="00AA49D9"/>
    <w:rsid w:val="00AA672B"/>
    <w:rsid w:val="00AA6D42"/>
    <w:rsid w:val="00AA6EDC"/>
    <w:rsid w:val="00AB14F2"/>
    <w:rsid w:val="00AB1520"/>
    <w:rsid w:val="00AB1DD5"/>
    <w:rsid w:val="00AB2E7F"/>
    <w:rsid w:val="00AB382A"/>
    <w:rsid w:val="00AB42A2"/>
    <w:rsid w:val="00AB43BD"/>
    <w:rsid w:val="00AB4A13"/>
    <w:rsid w:val="00AB735C"/>
    <w:rsid w:val="00AC1242"/>
    <w:rsid w:val="00AC158C"/>
    <w:rsid w:val="00AC2B40"/>
    <w:rsid w:val="00AC2BB2"/>
    <w:rsid w:val="00AC2C3C"/>
    <w:rsid w:val="00AC2F06"/>
    <w:rsid w:val="00AC3BD9"/>
    <w:rsid w:val="00AC3D45"/>
    <w:rsid w:val="00AC4641"/>
    <w:rsid w:val="00AC4C05"/>
    <w:rsid w:val="00AC7997"/>
    <w:rsid w:val="00AC79C9"/>
    <w:rsid w:val="00AD1477"/>
    <w:rsid w:val="00AD2D75"/>
    <w:rsid w:val="00AD3C18"/>
    <w:rsid w:val="00AD4E34"/>
    <w:rsid w:val="00AD5831"/>
    <w:rsid w:val="00AD60AC"/>
    <w:rsid w:val="00AD610A"/>
    <w:rsid w:val="00AD7F38"/>
    <w:rsid w:val="00AE034C"/>
    <w:rsid w:val="00AE0A49"/>
    <w:rsid w:val="00AE0C48"/>
    <w:rsid w:val="00AE0D14"/>
    <w:rsid w:val="00AE2AAD"/>
    <w:rsid w:val="00AE3A4B"/>
    <w:rsid w:val="00AE4E74"/>
    <w:rsid w:val="00AE50EE"/>
    <w:rsid w:val="00AE5AB2"/>
    <w:rsid w:val="00AE65EB"/>
    <w:rsid w:val="00AE7887"/>
    <w:rsid w:val="00AE7C6A"/>
    <w:rsid w:val="00AF0F32"/>
    <w:rsid w:val="00AF1D94"/>
    <w:rsid w:val="00AF272F"/>
    <w:rsid w:val="00AF37D9"/>
    <w:rsid w:val="00AF3E56"/>
    <w:rsid w:val="00AF60C5"/>
    <w:rsid w:val="00AF69CB"/>
    <w:rsid w:val="00AF6DF5"/>
    <w:rsid w:val="00AF7E3C"/>
    <w:rsid w:val="00B009C6"/>
    <w:rsid w:val="00B00ACB"/>
    <w:rsid w:val="00B01548"/>
    <w:rsid w:val="00B01551"/>
    <w:rsid w:val="00B05502"/>
    <w:rsid w:val="00B07A02"/>
    <w:rsid w:val="00B10858"/>
    <w:rsid w:val="00B10A2E"/>
    <w:rsid w:val="00B11C71"/>
    <w:rsid w:val="00B130C4"/>
    <w:rsid w:val="00B13FBA"/>
    <w:rsid w:val="00B14029"/>
    <w:rsid w:val="00B142C6"/>
    <w:rsid w:val="00B143F3"/>
    <w:rsid w:val="00B147DA"/>
    <w:rsid w:val="00B202E7"/>
    <w:rsid w:val="00B204DA"/>
    <w:rsid w:val="00B207E2"/>
    <w:rsid w:val="00B21D29"/>
    <w:rsid w:val="00B21FC5"/>
    <w:rsid w:val="00B22BEC"/>
    <w:rsid w:val="00B23323"/>
    <w:rsid w:val="00B24298"/>
    <w:rsid w:val="00B24877"/>
    <w:rsid w:val="00B24940"/>
    <w:rsid w:val="00B24FF5"/>
    <w:rsid w:val="00B25034"/>
    <w:rsid w:val="00B2553D"/>
    <w:rsid w:val="00B26B61"/>
    <w:rsid w:val="00B26F8D"/>
    <w:rsid w:val="00B30E9B"/>
    <w:rsid w:val="00B3219C"/>
    <w:rsid w:val="00B33863"/>
    <w:rsid w:val="00B33A32"/>
    <w:rsid w:val="00B33DC1"/>
    <w:rsid w:val="00B34205"/>
    <w:rsid w:val="00B34AD0"/>
    <w:rsid w:val="00B3556D"/>
    <w:rsid w:val="00B36510"/>
    <w:rsid w:val="00B37D17"/>
    <w:rsid w:val="00B4175E"/>
    <w:rsid w:val="00B447D9"/>
    <w:rsid w:val="00B450B1"/>
    <w:rsid w:val="00B4514B"/>
    <w:rsid w:val="00B4533F"/>
    <w:rsid w:val="00B469FB"/>
    <w:rsid w:val="00B47676"/>
    <w:rsid w:val="00B478F0"/>
    <w:rsid w:val="00B47CA8"/>
    <w:rsid w:val="00B5070B"/>
    <w:rsid w:val="00B50CB9"/>
    <w:rsid w:val="00B51089"/>
    <w:rsid w:val="00B510E1"/>
    <w:rsid w:val="00B53376"/>
    <w:rsid w:val="00B540B4"/>
    <w:rsid w:val="00B54C25"/>
    <w:rsid w:val="00B55B41"/>
    <w:rsid w:val="00B55F07"/>
    <w:rsid w:val="00B56B7F"/>
    <w:rsid w:val="00B606A9"/>
    <w:rsid w:val="00B633E1"/>
    <w:rsid w:val="00B677E0"/>
    <w:rsid w:val="00B7285C"/>
    <w:rsid w:val="00B728DE"/>
    <w:rsid w:val="00B72FF2"/>
    <w:rsid w:val="00B73144"/>
    <w:rsid w:val="00B76B91"/>
    <w:rsid w:val="00B83331"/>
    <w:rsid w:val="00B838B6"/>
    <w:rsid w:val="00B8467A"/>
    <w:rsid w:val="00B84983"/>
    <w:rsid w:val="00B85CCD"/>
    <w:rsid w:val="00B86310"/>
    <w:rsid w:val="00B87BB7"/>
    <w:rsid w:val="00B90CBF"/>
    <w:rsid w:val="00B91A03"/>
    <w:rsid w:val="00B929CA"/>
    <w:rsid w:val="00B92D9C"/>
    <w:rsid w:val="00B93541"/>
    <w:rsid w:val="00B935A0"/>
    <w:rsid w:val="00B94061"/>
    <w:rsid w:val="00B946A9"/>
    <w:rsid w:val="00B9484C"/>
    <w:rsid w:val="00B94C8E"/>
    <w:rsid w:val="00B94CFB"/>
    <w:rsid w:val="00B94F38"/>
    <w:rsid w:val="00B95EA6"/>
    <w:rsid w:val="00B9615E"/>
    <w:rsid w:val="00BA0DFC"/>
    <w:rsid w:val="00BA2FFA"/>
    <w:rsid w:val="00BA32AF"/>
    <w:rsid w:val="00BA56C4"/>
    <w:rsid w:val="00BA7635"/>
    <w:rsid w:val="00BA7BA5"/>
    <w:rsid w:val="00BB4135"/>
    <w:rsid w:val="00BB420B"/>
    <w:rsid w:val="00BB4CDD"/>
    <w:rsid w:val="00BB5725"/>
    <w:rsid w:val="00BB7C5D"/>
    <w:rsid w:val="00BC08A3"/>
    <w:rsid w:val="00BC1CAB"/>
    <w:rsid w:val="00BC200B"/>
    <w:rsid w:val="00BC40B2"/>
    <w:rsid w:val="00BC622A"/>
    <w:rsid w:val="00BD0B28"/>
    <w:rsid w:val="00BD1730"/>
    <w:rsid w:val="00BD1EF8"/>
    <w:rsid w:val="00BD2F2D"/>
    <w:rsid w:val="00BD5710"/>
    <w:rsid w:val="00BD593A"/>
    <w:rsid w:val="00BD68D4"/>
    <w:rsid w:val="00BD707B"/>
    <w:rsid w:val="00BD708B"/>
    <w:rsid w:val="00BD7397"/>
    <w:rsid w:val="00BD7D02"/>
    <w:rsid w:val="00BE0A78"/>
    <w:rsid w:val="00BE1648"/>
    <w:rsid w:val="00BE1F18"/>
    <w:rsid w:val="00BE202C"/>
    <w:rsid w:val="00BE243C"/>
    <w:rsid w:val="00BE2E3D"/>
    <w:rsid w:val="00BE4261"/>
    <w:rsid w:val="00BE6AC9"/>
    <w:rsid w:val="00BE6AF4"/>
    <w:rsid w:val="00BE78AD"/>
    <w:rsid w:val="00BE79F0"/>
    <w:rsid w:val="00BE7BB3"/>
    <w:rsid w:val="00BF046D"/>
    <w:rsid w:val="00BF0D18"/>
    <w:rsid w:val="00BF0D19"/>
    <w:rsid w:val="00BF3B1F"/>
    <w:rsid w:val="00BF43F2"/>
    <w:rsid w:val="00BF5D04"/>
    <w:rsid w:val="00BF759F"/>
    <w:rsid w:val="00BF779E"/>
    <w:rsid w:val="00C005A4"/>
    <w:rsid w:val="00C01BC4"/>
    <w:rsid w:val="00C0278A"/>
    <w:rsid w:val="00C03A26"/>
    <w:rsid w:val="00C06445"/>
    <w:rsid w:val="00C0679D"/>
    <w:rsid w:val="00C1049C"/>
    <w:rsid w:val="00C13563"/>
    <w:rsid w:val="00C14835"/>
    <w:rsid w:val="00C14E85"/>
    <w:rsid w:val="00C153AE"/>
    <w:rsid w:val="00C1617C"/>
    <w:rsid w:val="00C17342"/>
    <w:rsid w:val="00C20120"/>
    <w:rsid w:val="00C2155E"/>
    <w:rsid w:val="00C222A8"/>
    <w:rsid w:val="00C222BA"/>
    <w:rsid w:val="00C22A50"/>
    <w:rsid w:val="00C2317E"/>
    <w:rsid w:val="00C23477"/>
    <w:rsid w:val="00C247A1"/>
    <w:rsid w:val="00C24FC6"/>
    <w:rsid w:val="00C332A7"/>
    <w:rsid w:val="00C334BF"/>
    <w:rsid w:val="00C339E7"/>
    <w:rsid w:val="00C3408D"/>
    <w:rsid w:val="00C34B04"/>
    <w:rsid w:val="00C359B1"/>
    <w:rsid w:val="00C36545"/>
    <w:rsid w:val="00C36768"/>
    <w:rsid w:val="00C36A28"/>
    <w:rsid w:val="00C371A9"/>
    <w:rsid w:val="00C378BA"/>
    <w:rsid w:val="00C404A6"/>
    <w:rsid w:val="00C40838"/>
    <w:rsid w:val="00C40A36"/>
    <w:rsid w:val="00C43E28"/>
    <w:rsid w:val="00C43E97"/>
    <w:rsid w:val="00C44419"/>
    <w:rsid w:val="00C447F0"/>
    <w:rsid w:val="00C44DAA"/>
    <w:rsid w:val="00C45A31"/>
    <w:rsid w:val="00C45E7B"/>
    <w:rsid w:val="00C461B4"/>
    <w:rsid w:val="00C46283"/>
    <w:rsid w:val="00C471B1"/>
    <w:rsid w:val="00C4743E"/>
    <w:rsid w:val="00C478BD"/>
    <w:rsid w:val="00C47C4A"/>
    <w:rsid w:val="00C50E5C"/>
    <w:rsid w:val="00C50F7A"/>
    <w:rsid w:val="00C53326"/>
    <w:rsid w:val="00C54F5E"/>
    <w:rsid w:val="00C5532F"/>
    <w:rsid w:val="00C576F1"/>
    <w:rsid w:val="00C60920"/>
    <w:rsid w:val="00C609D1"/>
    <w:rsid w:val="00C60BBA"/>
    <w:rsid w:val="00C612F5"/>
    <w:rsid w:val="00C6160F"/>
    <w:rsid w:val="00C61E47"/>
    <w:rsid w:val="00C6316B"/>
    <w:rsid w:val="00C634A9"/>
    <w:rsid w:val="00C664B0"/>
    <w:rsid w:val="00C67BC6"/>
    <w:rsid w:val="00C70520"/>
    <w:rsid w:val="00C71313"/>
    <w:rsid w:val="00C72D03"/>
    <w:rsid w:val="00C74402"/>
    <w:rsid w:val="00C7475B"/>
    <w:rsid w:val="00C74BE2"/>
    <w:rsid w:val="00C752F0"/>
    <w:rsid w:val="00C76805"/>
    <w:rsid w:val="00C77244"/>
    <w:rsid w:val="00C772FF"/>
    <w:rsid w:val="00C801AF"/>
    <w:rsid w:val="00C80256"/>
    <w:rsid w:val="00C80A9F"/>
    <w:rsid w:val="00C81863"/>
    <w:rsid w:val="00C819F0"/>
    <w:rsid w:val="00C81D8F"/>
    <w:rsid w:val="00C84E73"/>
    <w:rsid w:val="00C85953"/>
    <w:rsid w:val="00C85E97"/>
    <w:rsid w:val="00C85FDE"/>
    <w:rsid w:val="00C865A3"/>
    <w:rsid w:val="00C87DC4"/>
    <w:rsid w:val="00C90742"/>
    <w:rsid w:val="00C94661"/>
    <w:rsid w:val="00CA0320"/>
    <w:rsid w:val="00CA03E1"/>
    <w:rsid w:val="00CA0BCA"/>
    <w:rsid w:val="00CA2AE4"/>
    <w:rsid w:val="00CA42A2"/>
    <w:rsid w:val="00CA43F4"/>
    <w:rsid w:val="00CA444A"/>
    <w:rsid w:val="00CA7DA7"/>
    <w:rsid w:val="00CA7F9C"/>
    <w:rsid w:val="00CB4D81"/>
    <w:rsid w:val="00CB58F4"/>
    <w:rsid w:val="00CB66DF"/>
    <w:rsid w:val="00CB6BC0"/>
    <w:rsid w:val="00CB6CC4"/>
    <w:rsid w:val="00CB73C5"/>
    <w:rsid w:val="00CC16CF"/>
    <w:rsid w:val="00CC1B7C"/>
    <w:rsid w:val="00CC6035"/>
    <w:rsid w:val="00CC62DC"/>
    <w:rsid w:val="00CC727F"/>
    <w:rsid w:val="00CD1F02"/>
    <w:rsid w:val="00CD30CC"/>
    <w:rsid w:val="00CD532D"/>
    <w:rsid w:val="00CD5413"/>
    <w:rsid w:val="00CD6FCC"/>
    <w:rsid w:val="00CD764E"/>
    <w:rsid w:val="00CE000A"/>
    <w:rsid w:val="00CE056F"/>
    <w:rsid w:val="00CE0F4C"/>
    <w:rsid w:val="00CE1236"/>
    <w:rsid w:val="00CE2ACB"/>
    <w:rsid w:val="00CE5067"/>
    <w:rsid w:val="00CE5BB0"/>
    <w:rsid w:val="00CE64B0"/>
    <w:rsid w:val="00CE7715"/>
    <w:rsid w:val="00CF1234"/>
    <w:rsid w:val="00CF1245"/>
    <w:rsid w:val="00CF15C3"/>
    <w:rsid w:val="00CF2B46"/>
    <w:rsid w:val="00CF2B6F"/>
    <w:rsid w:val="00CF343E"/>
    <w:rsid w:val="00CF4791"/>
    <w:rsid w:val="00CF5390"/>
    <w:rsid w:val="00CF5B3D"/>
    <w:rsid w:val="00CF61A6"/>
    <w:rsid w:val="00CF6790"/>
    <w:rsid w:val="00D017ED"/>
    <w:rsid w:val="00D02489"/>
    <w:rsid w:val="00D034B0"/>
    <w:rsid w:val="00D03508"/>
    <w:rsid w:val="00D03C16"/>
    <w:rsid w:val="00D05487"/>
    <w:rsid w:val="00D11F5C"/>
    <w:rsid w:val="00D12AA2"/>
    <w:rsid w:val="00D134C5"/>
    <w:rsid w:val="00D14A21"/>
    <w:rsid w:val="00D14A8D"/>
    <w:rsid w:val="00D1501A"/>
    <w:rsid w:val="00D153B1"/>
    <w:rsid w:val="00D15AD5"/>
    <w:rsid w:val="00D201A6"/>
    <w:rsid w:val="00D20C54"/>
    <w:rsid w:val="00D224FE"/>
    <w:rsid w:val="00D229BA"/>
    <w:rsid w:val="00D24768"/>
    <w:rsid w:val="00D24F3D"/>
    <w:rsid w:val="00D25123"/>
    <w:rsid w:val="00D253C1"/>
    <w:rsid w:val="00D25C8C"/>
    <w:rsid w:val="00D25F22"/>
    <w:rsid w:val="00D26AF0"/>
    <w:rsid w:val="00D272B9"/>
    <w:rsid w:val="00D27857"/>
    <w:rsid w:val="00D27953"/>
    <w:rsid w:val="00D30526"/>
    <w:rsid w:val="00D30968"/>
    <w:rsid w:val="00D30DD7"/>
    <w:rsid w:val="00D31A7D"/>
    <w:rsid w:val="00D31DA0"/>
    <w:rsid w:val="00D3325A"/>
    <w:rsid w:val="00D347A4"/>
    <w:rsid w:val="00D355FB"/>
    <w:rsid w:val="00D3646E"/>
    <w:rsid w:val="00D364ED"/>
    <w:rsid w:val="00D37089"/>
    <w:rsid w:val="00D409B5"/>
    <w:rsid w:val="00D41FFA"/>
    <w:rsid w:val="00D441AD"/>
    <w:rsid w:val="00D46200"/>
    <w:rsid w:val="00D47807"/>
    <w:rsid w:val="00D47C8F"/>
    <w:rsid w:val="00D47CD5"/>
    <w:rsid w:val="00D50221"/>
    <w:rsid w:val="00D50E18"/>
    <w:rsid w:val="00D51E1E"/>
    <w:rsid w:val="00D53D6D"/>
    <w:rsid w:val="00D55652"/>
    <w:rsid w:val="00D60EE9"/>
    <w:rsid w:val="00D63588"/>
    <w:rsid w:val="00D63F6E"/>
    <w:rsid w:val="00D64302"/>
    <w:rsid w:val="00D64401"/>
    <w:rsid w:val="00D6493E"/>
    <w:rsid w:val="00D64C94"/>
    <w:rsid w:val="00D65013"/>
    <w:rsid w:val="00D65442"/>
    <w:rsid w:val="00D656E4"/>
    <w:rsid w:val="00D663FD"/>
    <w:rsid w:val="00D6751E"/>
    <w:rsid w:val="00D67BBF"/>
    <w:rsid w:val="00D67D2C"/>
    <w:rsid w:val="00D72086"/>
    <w:rsid w:val="00D725F5"/>
    <w:rsid w:val="00D729F3"/>
    <w:rsid w:val="00D72F2F"/>
    <w:rsid w:val="00D74140"/>
    <w:rsid w:val="00D744BD"/>
    <w:rsid w:val="00D75C0A"/>
    <w:rsid w:val="00D761FC"/>
    <w:rsid w:val="00D7688E"/>
    <w:rsid w:val="00D77241"/>
    <w:rsid w:val="00D77B41"/>
    <w:rsid w:val="00D8011C"/>
    <w:rsid w:val="00D80B1F"/>
    <w:rsid w:val="00D80BF3"/>
    <w:rsid w:val="00D832B1"/>
    <w:rsid w:val="00D84790"/>
    <w:rsid w:val="00D84958"/>
    <w:rsid w:val="00D85417"/>
    <w:rsid w:val="00D85FCD"/>
    <w:rsid w:val="00D86535"/>
    <w:rsid w:val="00D86B1D"/>
    <w:rsid w:val="00D87E93"/>
    <w:rsid w:val="00D90F55"/>
    <w:rsid w:val="00D91069"/>
    <w:rsid w:val="00D9141E"/>
    <w:rsid w:val="00D91956"/>
    <w:rsid w:val="00D923E8"/>
    <w:rsid w:val="00D93164"/>
    <w:rsid w:val="00D9393F"/>
    <w:rsid w:val="00D94FAB"/>
    <w:rsid w:val="00DA1124"/>
    <w:rsid w:val="00DA1F4C"/>
    <w:rsid w:val="00DA226B"/>
    <w:rsid w:val="00DA24C7"/>
    <w:rsid w:val="00DA2B1E"/>
    <w:rsid w:val="00DA311F"/>
    <w:rsid w:val="00DA381C"/>
    <w:rsid w:val="00DA3BC9"/>
    <w:rsid w:val="00DA4724"/>
    <w:rsid w:val="00DA47F4"/>
    <w:rsid w:val="00DA4CD9"/>
    <w:rsid w:val="00DA5F2C"/>
    <w:rsid w:val="00DA6448"/>
    <w:rsid w:val="00DB0C04"/>
    <w:rsid w:val="00DB0C68"/>
    <w:rsid w:val="00DB0D55"/>
    <w:rsid w:val="00DB2F50"/>
    <w:rsid w:val="00DB537E"/>
    <w:rsid w:val="00DB6EC4"/>
    <w:rsid w:val="00DC2486"/>
    <w:rsid w:val="00DC425B"/>
    <w:rsid w:val="00DC7DEE"/>
    <w:rsid w:val="00DD326D"/>
    <w:rsid w:val="00DD5043"/>
    <w:rsid w:val="00DD534B"/>
    <w:rsid w:val="00DD75A3"/>
    <w:rsid w:val="00DD76DE"/>
    <w:rsid w:val="00DE02AE"/>
    <w:rsid w:val="00DE12E6"/>
    <w:rsid w:val="00DE1310"/>
    <w:rsid w:val="00DE144B"/>
    <w:rsid w:val="00DE1830"/>
    <w:rsid w:val="00DE29F8"/>
    <w:rsid w:val="00DE3010"/>
    <w:rsid w:val="00DE69DC"/>
    <w:rsid w:val="00DE6A0C"/>
    <w:rsid w:val="00DE6C04"/>
    <w:rsid w:val="00DF08E9"/>
    <w:rsid w:val="00DF1D7F"/>
    <w:rsid w:val="00DF2604"/>
    <w:rsid w:val="00DF34AB"/>
    <w:rsid w:val="00DF3B42"/>
    <w:rsid w:val="00DF45B9"/>
    <w:rsid w:val="00DF5731"/>
    <w:rsid w:val="00DF6BE8"/>
    <w:rsid w:val="00DF79C6"/>
    <w:rsid w:val="00E00252"/>
    <w:rsid w:val="00E01568"/>
    <w:rsid w:val="00E02FB4"/>
    <w:rsid w:val="00E04148"/>
    <w:rsid w:val="00E041BA"/>
    <w:rsid w:val="00E0566D"/>
    <w:rsid w:val="00E0604D"/>
    <w:rsid w:val="00E061FC"/>
    <w:rsid w:val="00E063A0"/>
    <w:rsid w:val="00E076B8"/>
    <w:rsid w:val="00E07736"/>
    <w:rsid w:val="00E07E9F"/>
    <w:rsid w:val="00E109AA"/>
    <w:rsid w:val="00E10E80"/>
    <w:rsid w:val="00E1198B"/>
    <w:rsid w:val="00E11E4D"/>
    <w:rsid w:val="00E12409"/>
    <w:rsid w:val="00E1340C"/>
    <w:rsid w:val="00E14808"/>
    <w:rsid w:val="00E177F4"/>
    <w:rsid w:val="00E20571"/>
    <w:rsid w:val="00E21651"/>
    <w:rsid w:val="00E225A9"/>
    <w:rsid w:val="00E22953"/>
    <w:rsid w:val="00E235F7"/>
    <w:rsid w:val="00E239D4"/>
    <w:rsid w:val="00E242E9"/>
    <w:rsid w:val="00E275FC"/>
    <w:rsid w:val="00E276E5"/>
    <w:rsid w:val="00E30C88"/>
    <w:rsid w:val="00E32A5C"/>
    <w:rsid w:val="00E33D49"/>
    <w:rsid w:val="00E34670"/>
    <w:rsid w:val="00E34EE5"/>
    <w:rsid w:val="00E3576B"/>
    <w:rsid w:val="00E3685D"/>
    <w:rsid w:val="00E37D14"/>
    <w:rsid w:val="00E37DAD"/>
    <w:rsid w:val="00E407AC"/>
    <w:rsid w:val="00E40B22"/>
    <w:rsid w:val="00E4194B"/>
    <w:rsid w:val="00E42862"/>
    <w:rsid w:val="00E434C4"/>
    <w:rsid w:val="00E439DB"/>
    <w:rsid w:val="00E43EE7"/>
    <w:rsid w:val="00E4588F"/>
    <w:rsid w:val="00E4610C"/>
    <w:rsid w:val="00E467A3"/>
    <w:rsid w:val="00E46DA3"/>
    <w:rsid w:val="00E47660"/>
    <w:rsid w:val="00E47E69"/>
    <w:rsid w:val="00E5111F"/>
    <w:rsid w:val="00E5290F"/>
    <w:rsid w:val="00E60356"/>
    <w:rsid w:val="00E607D2"/>
    <w:rsid w:val="00E608E1"/>
    <w:rsid w:val="00E61721"/>
    <w:rsid w:val="00E61943"/>
    <w:rsid w:val="00E6281D"/>
    <w:rsid w:val="00E64F5C"/>
    <w:rsid w:val="00E66A72"/>
    <w:rsid w:val="00E67774"/>
    <w:rsid w:val="00E70C8C"/>
    <w:rsid w:val="00E71350"/>
    <w:rsid w:val="00E76DCC"/>
    <w:rsid w:val="00E77E79"/>
    <w:rsid w:val="00E80723"/>
    <w:rsid w:val="00E81F40"/>
    <w:rsid w:val="00E8254B"/>
    <w:rsid w:val="00E8269D"/>
    <w:rsid w:val="00E83660"/>
    <w:rsid w:val="00E858FE"/>
    <w:rsid w:val="00E85AC2"/>
    <w:rsid w:val="00E86A27"/>
    <w:rsid w:val="00E87E2D"/>
    <w:rsid w:val="00E917BC"/>
    <w:rsid w:val="00E926F1"/>
    <w:rsid w:val="00E96F5D"/>
    <w:rsid w:val="00E972D7"/>
    <w:rsid w:val="00E97526"/>
    <w:rsid w:val="00EA16DE"/>
    <w:rsid w:val="00EA1811"/>
    <w:rsid w:val="00EA1F09"/>
    <w:rsid w:val="00EA2E1F"/>
    <w:rsid w:val="00EA31B3"/>
    <w:rsid w:val="00EA406B"/>
    <w:rsid w:val="00EA463A"/>
    <w:rsid w:val="00EA4C9F"/>
    <w:rsid w:val="00EA6243"/>
    <w:rsid w:val="00EA7AD8"/>
    <w:rsid w:val="00EA7CB8"/>
    <w:rsid w:val="00EA7D26"/>
    <w:rsid w:val="00EA7E1D"/>
    <w:rsid w:val="00EB0798"/>
    <w:rsid w:val="00EB28A7"/>
    <w:rsid w:val="00EB3F7F"/>
    <w:rsid w:val="00EB40AD"/>
    <w:rsid w:val="00EB44C3"/>
    <w:rsid w:val="00EB4721"/>
    <w:rsid w:val="00EB5622"/>
    <w:rsid w:val="00EB586E"/>
    <w:rsid w:val="00EB5FC8"/>
    <w:rsid w:val="00EB6CAF"/>
    <w:rsid w:val="00EB7370"/>
    <w:rsid w:val="00EB756D"/>
    <w:rsid w:val="00EC0578"/>
    <w:rsid w:val="00EC4E76"/>
    <w:rsid w:val="00EC6561"/>
    <w:rsid w:val="00EC6D5F"/>
    <w:rsid w:val="00EC7DA9"/>
    <w:rsid w:val="00ED1E56"/>
    <w:rsid w:val="00ED2CB2"/>
    <w:rsid w:val="00ED4EA5"/>
    <w:rsid w:val="00ED51EF"/>
    <w:rsid w:val="00ED555A"/>
    <w:rsid w:val="00ED55AF"/>
    <w:rsid w:val="00ED5A41"/>
    <w:rsid w:val="00ED6A67"/>
    <w:rsid w:val="00ED6F2B"/>
    <w:rsid w:val="00EE01E8"/>
    <w:rsid w:val="00EE233E"/>
    <w:rsid w:val="00EE2CA1"/>
    <w:rsid w:val="00EE4304"/>
    <w:rsid w:val="00EE510E"/>
    <w:rsid w:val="00EE5183"/>
    <w:rsid w:val="00EE5615"/>
    <w:rsid w:val="00EE5CF3"/>
    <w:rsid w:val="00EE5F78"/>
    <w:rsid w:val="00EE641D"/>
    <w:rsid w:val="00EF046C"/>
    <w:rsid w:val="00EF07C7"/>
    <w:rsid w:val="00EF0DA0"/>
    <w:rsid w:val="00EF2078"/>
    <w:rsid w:val="00EF3810"/>
    <w:rsid w:val="00EF3998"/>
    <w:rsid w:val="00EF3EF2"/>
    <w:rsid w:val="00EF3F86"/>
    <w:rsid w:val="00EF578B"/>
    <w:rsid w:val="00EF6895"/>
    <w:rsid w:val="00F0012C"/>
    <w:rsid w:val="00F01194"/>
    <w:rsid w:val="00F014AA"/>
    <w:rsid w:val="00F018A6"/>
    <w:rsid w:val="00F033EC"/>
    <w:rsid w:val="00F03E47"/>
    <w:rsid w:val="00F04575"/>
    <w:rsid w:val="00F04F68"/>
    <w:rsid w:val="00F058D8"/>
    <w:rsid w:val="00F0622D"/>
    <w:rsid w:val="00F07A3B"/>
    <w:rsid w:val="00F1234E"/>
    <w:rsid w:val="00F12670"/>
    <w:rsid w:val="00F1291A"/>
    <w:rsid w:val="00F13ACF"/>
    <w:rsid w:val="00F14B27"/>
    <w:rsid w:val="00F1581E"/>
    <w:rsid w:val="00F15E90"/>
    <w:rsid w:val="00F16BBA"/>
    <w:rsid w:val="00F174D4"/>
    <w:rsid w:val="00F2301F"/>
    <w:rsid w:val="00F23AD0"/>
    <w:rsid w:val="00F25394"/>
    <w:rsid w:val="00F255E3"/>
    <w:rsid w:val="00F27030"/>
    <w:rsid w:val="00F274A2"/>
    <w:rsid w:val="00F27BFC"/>
    <w:rsid w:val="00F30F92"/>
    <w:rsid w:val="00F31011"/>
    <w:rsid w:val="00F3148D"/>
    <w:rsid w:val="00F3149D"/>
    <w:rsid w:val="00F32150"/>
    <w:rsid w:val="00F32EDB"/>
    <w:rsid w:val="00F335D4"/>
    <w:rsid w:val="00F3463A"/>
    <w:rsid w:val="00F34641"/>
    <w:rsid w:val="00F35298"/>
    <w:rsid w:val="00F3529E"/>
    <w:rsid w:val="00F35583"/>
    <w:rsid w:val="00F35CA1"/>
    <w:rsid w:val="00F401EF"/>
    <w:rsid w:val="00F40987"/>
    <w:rsid w:val="00F427F0"/>
    <w:rsid w:val="00F4321C"/>
    <w:rsid w:val="00F4356A"/>
    <w:rsid w:val="00F436CF"/>
    <w:rsid w:val="00F46AFA"/>
    <w:rsid w:val="00F46C06"/>
    <w:rsid w:val="00F46C1C"/>
    <w:rsid w:val="00F46E4B"/>
    <w:rsid w:val="00F479A8"/>
    <w:rsid w:val="00F47E37"/>
    <w:rsid w:val="00F50A90"/>
    <w:rsid w:val="00F50D3A"/>
    <w:rsid w:val="00F51AB4"/>
    <w:rsid w:val="00F5213B"/>
    <w:rsid w:val="00F5213E"/>
    <w:rsid w:val="00F536F0"/>
    <w:rsid w:val="00F54CA9"/>
    <w:rsid w:val="00F55C4A"/>
    <w:rsid w:val="00F55FAD"/>
    <w:rsid w:val="00F56062"/>
    <w:rsid w:val="00F56B9D"/>
    <w:rsid w:val="00F579FE"/>
    <w:rsid w:val="00F60CF8"/>
    <w:rsid w:val="00F622AF"/>
    <w:rsid w:val="00F622EB"/>
    <w:rsid w:val="00F62D99"/>
    <w:rsid w:val="00F636DF"/>
    <w:rsid w:val="00F63862"/>
    <w:rsid w:val="00F640B6"/>
    <w:rsid w:val="00F66576"/>
    <w:rsid w:val="00F67FF2"/>
    <w:rsid w:val="00F71E1E"/>
    <w:rsid w:val="00F72A1C"/>
    <w:rsid w:val="00F72C59"/>
    <w:rsid w:val="00F7315B"/>
    <w:rsid w:val="00F73741"/>
    <w:rsid w:val="00F750E4"/>
    <w:rsid w:val="00F75347"/>
    <w:rsid w:val="00F75B9A"/>
    <w:rsid w:val="00F768C9"/>
    <w:rsid w:val="00F772B5"/>
    <w:rsid w:val="00F80E40"/>
    <w:rsid w:val="00F859D2"/>
    <w:rsid w:val="00F8709D"/>
    <w:rsid w:val="00F87FD2"/>
    <w:rsid w:val="00F9013B"/>
    <w:rsid w:val="00F9022D"/>
    <w:rsid w:val="00F91AE5"/>
    <w:rsid w:val="00F92194"/>
    <w:rsid w:val="00F95D21"/>
    <w:rsid w:val="00F95F31"/>
    <w:rsid w:val="00F970F8"/>
    <w:rsid w:val="00FA001D"/>
    <w:rsid w:val="00FA2B8E"/>
    <w:rsid w:val="00FA2DC2"/>
    <w:rsid w:val="00FA3ADE"/>
    <w:rsid w:val="00FA43E5"/>
    <w:rsid w:val="00FA5B82"/>
    <w:rsid w:val="00FA5C1A"/>
    <w:rsid w:val="00FA639E"/>
    <w:rsid w:val="00FA64B5"/>
    <w:rsid w:val="00FA7C37"/>
    <w:rsid w:val="00FB0241"/>
    <w:rsid w:val="00FB096B"/>
    <w:rsid w:val="00FB1517"/>
    <w:rsid w:val="00FB3DD8"/>
    <w:rsid w:val="00FB432F"/>
    <w:rsid w:val="00FB5A9B"/>
    <w:rsid w:val="00FC0247"/>
    <w:rsid w:val="00FC03C8"/>
    <w:rsid w:val="00FC1750"/>
    <w:rsid w:val="00FC25E4"/>
    <w:rsid w:val="00FC3D43"/>
    <w:rsid w:val="00FC4EF7"/>
    <w:rsid w:val="00FC6317"/>
    <w:rsid w:val="00FD11F1"/>
    <w:rsid w:val="00FD220C"/>
    <w:rsid w:val="00FD27A0"/>
    <w:rsid w:val="00FD3AE0"/>
    <w:rsid w:val="00FD4159"/>
    <w:rsid w:val="00FD48AA"/>
    <w:rsid w:val="00FD5119"/>
    <w:rsid w:val="00FD528E"/>
    <w:rsid w:val="00FD6C40"/>
    <w:rsid w:val="00FE0B11"/>
    <w:rsid w:val="00FE1DCE"/>
    <w:rsid w:val="00FE1DEE"/>
    <w:rsid w:val="00FE206C"/>
    <w:rsid w:val="00FE3489"/>
    <w:rsid w:val="00FE501F"/>
    <w:rsid w:val="00FE5799"/>
    <w:rsid w:val="00FE5BC0"/>
    <w:rsid w:val="00FE6716"/>
    <w:rsid w:val="00FE7C49"/>
    <w:rsid w:val="00FF022B"/>
    <w:rsid w:val="00FF05C3"/>
    <w:rsid w:val="00FF122B"/>
    <w:rsid w:val="00FF1872"/>
    <w:rsid w:val="00FF2126"/>
    <w:rsid w:val="00FF26F3"/>
    <w:rsid w:val="00FF27AE"/>
    <w:rsid w:val="00FF2993"/>
    <w:rsid w:val="00FF2AB4"/>
    <w:rsid w:val="00FF3131"/>
    <w:rsid w:val="00FF4081"/>
    <w:rsid w:val="00FF4592"/>
    <w:rsid w:val="00FF69BE"/>
    <w:rsid w:val="00FF7136"/>
    <w:rsid w:val="00FF78B9"/>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327AAD63"/>
  <w15:docId w15:val="{953969A4-E3F8-4537-B2A8-7AB5B975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4"/>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22C9A"/>
    <w:pPr>
      <w:spacing w:before="120" w:after="180" w:line="240" w:lineRule="atLeast"/>
    </w:pPr>
    <w:rPr>
      <w:rFonts w:ascii="Arial" w:hAnsi="Arial"/>
      <w:color w:val="333F48"/>
      <w:sz w:val="22"/>
      <w:lang w:eastAsia="en-US"/>
    </w:rPr>
  </w:style>
  <w:style w:type="paragraph" w:styleId="Heading1">
    <w:name w:val="heading 1"/>
    <w:aliases w:val="Heading 1 Cab"/>
    <w:basedOn w:val="Normal"/>
    <w:next w:val="Normal"/>
    <w:link w:val="Heading1Char"/>
    <w:uiPriority w:val="4"/>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ab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2A592C"/>
    <w:pPr>
      <w:numPr>
        <w:numId w:val="3"/>
      </w:numPr>
    </w:pPr>
  </w:style>
  <w:style w:type="paragraph" w:styleId="ListBullet2">
    <w:name w:val="List Bullet 2"/>
    <w:basedOn w:val="Normal"/>
    <w:uiPriority w:val="99"/>
    <w:qFormat/>
    <w:rsid w:val="009D059A"/>
    <w:pPr>
      <w:numPr>
        <w:ilvl w:val="1"/>
        <w:numId w:val="3"/>
      </w:numPr>
      <w:ind w:left="850" w:hanging="425"/>
    </w:pPr>
  </w:style>
  <w:style w:type="paragraph" w:styleId="ListBullet3">
    <w:name w:val="List Bullet 3"/>
    <w:basedOn w:val="Normal"/>
    <w:uiPriority w:val="99"/>
    <w:qFormat/>
    <w:rsid w:val="00FA2B8E"/>
    <w:pPr>
      <w:numPr>
        <w:numId w:val="5"/>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4"/>
      </w:numPr>
    </w:pPr>
  </w:style>
  <w:style w:type="paragraph" w:customStyle="1" w:styleId="Numberbullet2">
    <w:name w:val="Number bullet 2"/>
    <w:basedOn w:val="ListBullet2"/>
    <w:uiPriority w:val="3"/>
    <w:qFormat/>
    <w:rsid w:val="00F401EF"/>
    <w:pPr>
      <w:numPr>
        <w:numId w:val="4"/>
      </w:numPr>
    </w:pPr>
  </w:style>
  <w:style w:type="paragraph" w:customStyle="1" w:styleId="Numberbullet3">
    <w:name w:val="Number bullet 3"/>
    <w:basedOn w:val="Normal"/>
    <w:uiPriority w:val="2"/>
    <w:qFormat/>
    <w:rsid w:val="00FA2B8E"/>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3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7"/>
      </w:numPr>
      <w:tabs>
        <w:tab w:val="left" w:pos="425"/>
      </w:tabs>
    </w:pPr>
  </w:style>
  <w:style w:type="paragraph" w:customStyle="1" w:styleId="ListBullet-donotcross">
    <w:name w:val="List Bullet - do not (cross)"/>
    <w:basedOn w:val="ListBullet"/>
    <w:autoRedefine/>
    <w:uiPriority w:val="1"/>
    <w:qFormat/>
    <w:rsid w:val="00030D34"/>
    <w:pPr>
      <w:numPr>
        <w:numId w:val="8"/>
      </w:numPr>
      <w:ind w:left="357" w:hanging="357"/>
    </w:pPr>
    <w:rPr>
      <w:rFonts w:eastAsiaTheme="minorHAnsi" w:cstheme="minorBidi"/>
      <w:szCs w:val="22"/>
    </w:rPr>
  </w:style>
  <w:style w:type="paragraph" w:styleId="Revision">
    <w:name w:val="Revision"/>
    <w:hidden/>
    <w:uiPriority w:val="99"/>
    <w:semiHidden/>
    <w:rsid w:val="004222B4"/>
    <w:rPr>
      <w:sz w:val="22"/>
      <w:lang w:eastAsia="en-US"/>
    </w:rPr>
  </w:style>
  <w:style w:type="paragraph" w:customStyle="1" w:styleId="Default">
    <w:name w:val="Default"/>
    <w:rsid w:val="004222B4"/>
    <w:pPr>
      <w:autoSpaceDE w:val="0"/>
      <w:autoSpaceDN w:val="0"/>
      <w:adjustRightInd w:val="0"/>
    </w:pPr>
    <w:rPr>
      <w:rFonts w:ascii="Segoe UI" w:hAnsi="Segoe UI" w:cs="Segoe UI"/>
      <w:color w:val="000000"/>
      <w:sz w:val="24"/>
      <w:szCs w:val="24"/>
    </w:rPr>
  </w:style>
  <w:style w:type="paragraph" w:customStyle="1" w:styleId="Pa15">
    <w:name w:val="Pa15"/>
    <w:basedOn w:val="Default"/>
    <w:next w:val="Default"/>
    <w:uiPriority w:val="99"/>
    <w:rsid w:val="004222B4"/>
    <w:pPr>
      <w:spacing w:line="201" w:lineRule="atLeast"/>
    </w:pPr>
    <w:rPr>
      <w:color w:val="auto"/>
    </w:rPr>
  </w:style>
  <w:style w:type="paragraph" w:styleId="ListParagraph">
    <w:name w:val="List Paragraph"/>
    <w:aliases w:val="List Paragraph1,Recommendation,List Paragraph11,Bullet point,Body text,Bullet Point,Bulletr List Paragraph,Content descriptions,FooterText,L,List Bullet 1,List Paragraph2,List Paragraph21,Listeafsnit1,NFP GP Bulleted List,リスト段落"/>
    <w:basedOn w:val="Normal"/>
    <w:link w:val="ListParagraphChar"/>
    <w:uiPriority w:val="34"/>
    <w:qFormat/>
    <w:rsid w:val="004222B4"/>
    <w:pPr>
      <w:ind w:left="720"/>
      <w:contextualSpacing/>
    </w:pPr>
    <w:rPr>
      <w:rFonts w:ascii="Cambria" w:hAnsi="Cambria"/>
      <w:color w:val="auto"/>
    </w:rPr>
  </w:style>
  <w:style w:type="table" w:customStyle="1" w:styleId="TableTGAblue1">
    <w:name w:val="Table TGA blue1"/>
    <w:basedOn w:val="TableNormal"/>
    <w:uiPriority w:val="99"/>
    <w:qFormat/>
    <w:rsid w:val="004222B4"/>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Tahoma" w:hAnsi="Tahom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Bullet1">
    <w:name w:val="Bullet1"/>
    <w:basedOn w:val="Normal"/>
    <w:autoRedefine/>
    <w:qFormat/>
    <w:rsid w:val="002D09AB"/>
    <w:pPr>
      <w:spacing w:before="0" w:after="0" w:line="240" w:lineRule="auto"/>
    </w:pPr>
    <w:rPr>
      <w:rFonts w:ascii="Calibri" w:eastAsiaTheme="minorHAnsi" w:hAnsi="Calibri" w:cs="Arial"/>
      <w:b/>
      <w:bCs/>
      <w:color w:val="00235D" w:themeColor="accent1" w:themeShade="80"/>
      <w:sz w:val="32"/>
      <w:szCs w:val="32"/>
    </w:rPr>
  </w:style>
  <w:style w:type="character" w:customStyle="1" w:styleId="ListParagraphChar">
    <w:name w:val="List Paragraph Char"/>
    <w:aliases w:val="List Paragraph1 Char,Recommendation Char,List Paragraph11 Char,Bullet point Char,Body text Char,Bullet Point Char,Bulletr List Paragraph Char,Content descriptions Char,FooterText Char,L Char,List Bullet 1 Char,List Paragraph2 Char"/>
    <w:basedOn w:val="DefaultParagraphFont"/>
    <w:link w:val="ListParagraph"/>
    <w:uiPriority w:val="34"/>
    <w:qFormat/>
    <w:locked/>
    <w:rsid w:val="004222B4"/>
    <w:rPr>
      <w:sz w:val="22"/>
      <w:lang w:eastAsia="en-US"/>
    </w:rPr>
  </w:style>
  <w:style w:type="paragraph" w:styleId="NormalWeb">
    <w:name w:val="Normal (Web)"/>
    <w:basedOn w:val="Normal"/>
    <w:uiPriority w:val="99"/>
    <w:semiHidden/>
    <w:unhideWhenUsed/>
    <w:rsid w:val="004222B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paragraph">
    <w:name w:val="paragraph"/>
    <w:basedOn w:val="Normal"/>
    <w:rsid w:val="004222B4"/>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normaltextrun">
    <w:name w:val="normaltextrun"/>
    <w:basedOn w:val="DefaultParagraphFont"/>
    <w:rsid w:val="004222B4"/>
  </w:style>
  <w:style w:type="paragraph" w:styleId="BodyText">
    <w:name w:val="Body Text"/>
    <w:aliases w:val="CAB - Body Text,Body Text Cab"/>
    <w:link w:val="BodyTextChar"/>
    <w:rsid w:val="004222B4"/>
    <w:pPr>
      <w:spacing w:before="120"/>
    </w:pPr>
    <w:rPr>
      <w:rFonts w:ascii="Arial" w:eastAsiaTheme="minorHAnsi" w:hAnsi="Arial" w:cstheme="minorBidi"/>
      <w:sz w:val="22"/>
      <w:szCs w:val="22"/>
      <w:lang w:eastAsia="en-US"/>
    </w:rPr>
  </w:style>
  <w:style w:type="character" w:customStyle="1" w:styleId="BodyTextChar">
    <w:name w:val="Body Text Char"/>
    <w:aliases w:val="CAB - Body Text Char,Body Text Cab Char"/>
    <w:basedOn w:val="DefaultParagraphFont"/>
    <w:link w:val="BodyText"/>
    <w:rsid w:val="004222B4"/>
    <w:rPr>
      <w:rFonts w:ascii="Arial" w:eastAsiaTheme="minorHAnsi" w:hAnsi="Arial" w:cstheme="minorBidi"/>
      <w:sz w:val="22"/>
      <w:szCs w:val="22"/>
      <w:lang w:eastAsia="en-US"/>
    </w:rPr>
  </w:style>
  <w:style w:type="paragraph" w:customStyle="1" w:styleId="CAB-NumberedParagraph">
    <w:name w:val="CAB - Numbered Paragraph"/>
    <w:basedOn w:val="Normal"/>
    <w:uiPriority w:val="98"/>
    <w:rsid w:val="004222B4"/>
    <w:pPr>
      <w:tabs>
        <w:tab w:val="num" w:pos="340"/>
      </w:tabs>
      <w:spacing w:before="0" w:after="200" w:line="276" w:lineRule="auto"/>
      <w:ind w:left="340"/>
    </w:pPr>
    <w:rPr>
      <w:rFonts w:eastAsiaTheme="minorHAnsi" w:cstheme="minorBidi"/>
      <w:color w:val="auto"/>
      <w:szCs w:val="22"/>
    </w:rPr>
  </w:style>
  <w:style w:type="character" w:styleId="EndnoteReference">
    <w:name w:val="endnote reference"/>
    <w:basedOn w:val="DefaultParagraphFont"/>
    <w:uiPriority w:val="99"/>
    <w:semiHidden/>
    <w:unhideWhenUsed/>
    <w:rsid w:val="004222B4"/>
    <w:rPr>
      <w:vertAlign w:val="superscript"/>
    </w:rPr>
  </w:style>
  <w:style w:type="character" w:customStyle="1" w:styleId="UnresolvedMention1">
    <w:name w:val="Unresolved Mention1"/>
    <w:basedOn w:val="DefaultParagraphFont"/>
    <w:uiPriority w:val="99"/>
    <w:semiHidden/>
    <w:unhideWhenUsed/>
    <w:rsid w:val="004222B4"/>
    <w:rPr>
      <w:color w:val="605E5C"/>
      <w:shd w:val="clear" w:color="auto" w:fill="E1DFDD"/>
    </w:rPr>
  </w:style>
  <w:style w:type="numbering" w:customStyle="1" w:styleId="ListBullets2">
    <w:name w:val="ListBullets2"/>
    <w:uiPriority w:val="99"/>
    <w:locked/>
    <w:rsid w:val="004222B4"/>
  </w:style>
  <w:style w:type="character" w:styleId="UnresolvedMention">
    <w:name w:val="Unresolved Mention"/>
    <w:basedOn w:val="DefaultParagraphFont"/>
    <w:uiPriority w:val="99"/>
    <w:semiHidden/>
    <w:unhideWhenUsed/>
    <w:rsid w:val="004222B4"/>
    <w:rPr>
      <w:color w:val="605E5C"/>
      <w:shd w:val="clear" w:color="auto" w:fill="E1DFDD"/>
    </w:rPr>
  </w:style>
  <w:style w:type="paragraph" w:customStyle="1" w:styleId="Numberbullet2a">
    <w:name w:val="Number bullet 2 a)"/>
    <w:basedOn w:val="Numberbullet2"/>
    <w:uiPriority w:val="1"/>
    <w:qFormat/>
    <w:rsid w:val="004222B4"/>
    <w:pPr>
      <w:numPr>
        <w:ilvl w:val="0"/>
        <w:numId w:val="9"/>
      </w:numPr>
      <w:ind w:left="714" w:hanging="357"/>
    </w:pPr>
    <w:rPr>
      <w:rFonts w:asciiTheme="minorHAnsi" w:hAnsiTheme="minorHAnsi"/>
      <w:color w:val="auto"/>
    </w:rPr>
  </w:style>
  <w:style w:type="table" w:customStyle="1" w:styleId="TableTGAblack1">
    <w:name w:val="Table TGA black1"/>
    <w:basedOn w:val="TableNormal"/>
    <w:uiPriority w:val="99"/>
    <w:rsid w:val="00E60356"/>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NumberedList1">
    <w:name w:val="Numbered List 1"/>
    <w:basedOn w:val="Normal"/>
    <w:qFormat/>
    <w:rsid w:val="00087DD7"/>
    <w:pPr>
      <w:numPr>
        <w:numId w:val="11"/>
      </w:numPr>
      <w:suppressAutoHyphens/>
      <w:spacing w:before="180" w:after="60" w:line="280" w:lineRule="atLeast"/>
    </w:pPr>
    <w:rPr>
      <w:rFonts w:asciiTheme="minorHAnsi" w:eastAsiaTheme="minorHAnsi" w:hAnsiTheme="minorHAnsi" w:cstheme="minorBidi"/>
      <w:color w:val="auto"/>
      <w:szCs w:val="22"/>
    </w:rPr>
  </w:style>
  <w:style w:type="paragraph" w:customStyle="1" w:styleId="NumberedList2">
    <w:name w:val="Numbered List 2"/>
    <w:basedOn w:val="NumberedList1"/>
    <w:qFormat/>
    <w:rsid w:val="00087DD7"/>
    <w:pPr>
      <w:numPr>
        <w:ilvl w:val="1"/>
      </w:numPr>
      <w:spacing w:before="120"/>
    </w:pPr>
  </w:style>
  <w:style w:type="paragraph" w:customStyle="1" w:styleId="NumberedList3">
    <w:name w:val="Numbered List 3"/>
    <w:basedOn w:val="NumberedList2"/>
    <w:qFormat/>
    <w:rsid w:val="00087DD7"/>
    <w:pPr>
      <w:numPr>
        <w:ilvl w:val="2"/>
      </w:numPr>
    </w:pPr>
  </w:style>
  <w:style w:type="numbering" w:customStyle="1" w:styleId="Numberedlist">
    <w:name w:val="Numbered list"/>
    <w:uiPriority w:val="99"/>
    <w:rsid w:val="00087DD7"/>
    <w:pPr>
      <w:numPr>
        <w:numId w:val="11"/>
      </w:numPr>
    </w:pPr>
  </w:style>
  <w:style w:type="character" w:customStyle="1" w:styleId="CABNETParagraphChar">
    <w:name w:val="CABNET Paragraph. Char"/>
    <w:basedOn w:val="DefaultParagraphFont"/>
    <w:link w:val="CABNETParagraph"/>
    <w:uiPriority w:val="98"/>
    <w:locked/>
    <w:rsid w:val="007C36BA"/>
    <w:rPr>
      <w:rFonts w:ascii="Arial" w:hAnsi="Arial" w:cstheme="minorHAnsi"/>
      <w:sz w:val="22"/>
      <w:szCs w:val="22"/>
    </w:rPr>
  </w:style>
  <w:style w:type="paragraph" w:customStyle="1" w:styleId="CABNETParagraph">
    <w:name w:val="CABNET Paragraph."/>
    <w:basedOn w:val="Normal"/>
    <w:link w:val="CABNETParagraphChar"/>
    <w:uiPriority w:val="98"/>
    <w:qFormat/>
    <w:rsid w:val="007C36BA"/>
    <w:pPr>
      <w:spacing w:after="120" w:line="240" w:lineRule="auto"/>
    </w:pPr>
    <w:rPr>
      <w:rFonts w:cstheme="minorHAnsi"/>
      <w:color w:val="auto"/>
      <w:szCs w:val="22"/>
      <w:lang w:eastAsia="en-AU"/>
    </w:rPr>
  </w:style>
  <w:style w:type="paragraph" w:customStyle="1" w:styleId="CABBulletList">
    <w:name w:val="CAB Bullet List"/>
    <w:basedOn w:val="ListParagraph"/>
    <w:uiPriority w:val="98"/>
    <w:qFormat/>
    <w:rsid w:val="0007339D"/>
    <w:pPr>
      <w:numPr>
        <w:numId w:val="12"/>
      </w:numPr>
      <w:tabs>
        <w:tab w:val="num" w:pos="360"/>
        <w:tab w:val="left" w:pos="851"/>
      </w:tabs>
      <w:spacing w:before="60" w:after="60" w:line="240" w:lineRule="auto"/>
      <w:ind w:left="850" w:hanging="288"/>
    </w:pPr>
    <w:rPr>
      <w:rFonts w:ascii="Arial" w:hAnsi="Arial" w:cstheme="minorBidi"/>
      <w:szCs w:val="22"/>
      <w:lang w:eastAsia="en-AU"/>
    </w:rPr>
  </w:style>
  <w:style w:type="table" w:customStyle="1" w:styleId="TableGrid1">
    <w:name w:val="Table Grid1"/>
    <w:basedOn w:val="TableNormal"/>
    <w:next w:val="TableGrid"/>
    <w:uiPriority w:val="39"/>
    <w:rsid w:val="00EC656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3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1638">
      <w:bodyDiv w:val="1"/>
      <w:marLeft w:val="0"/>
      <w:marRight w:val="0"/>
      <w:marTop w:val="0"/>
      <w:marBottom w:val="0"/>
      <w:divBdr>
        <w:top w:val="none" w:sz="0" w:space="0" w:color="auto"/>
        <w:left w:val="none" w:sz="0" w:space="0" w:color="auto"/>
        <w:bottom w:val="none" w:sz="0" w:space="0" w:color="auto"/>
        <w:right w:val="none" w:sz="0" w:space="0" w:color="auto"/>
      </w:divBdr>
    </w:div>
    <w:div w:id="24528656">
      <w:bodyDiv w:val="1"/>
      <w:marLeft w:val="0"/>
      <w:marRight w:val="0"/>
      <w:marTop w:val="0"/>
      <w:marBottom w:val="0"/>
      <w:divBdr>
        <w:top w:val="none" w:sz="0" w:space="0" w:color="auto"/>
        <w:left w:val="none" w:sz="0" w:space="0" w:color="auto"/>
        <w:bottom w:val="none" w:sz="0" w:space="0" w:color="auto"/>
        <w:right w:val="none" w:sz="0" w:space="0" w:color="auto"/>
      </w:divBdr>
      <w:divsChild>
        <w:div w:id="1053962744">
          <w:marLeft w:val="274"/>
          <w:marRight w:val="0"/>
          <w:marTop w:val="0"/>
          <w:marBottom w:val="0"/>
          <w:divBdr>
            <w:top w:val="none" w:sz="0" w:space="0" w:color="auto"/>
            <w:left w:val="none" w:sz="0" w:space="0" w:color="auto"/>
            <w:bottom w:val="none" w:sz="0" w:space="0" w:color="auto"/>
            <w:right w:val="none" w:sz="0" w:space="0" w:color="auto"/>
          </w:divBdr>
        </w:div>
      </w:divsChild>
    </w:div>
    <w:div w:id="30111766">
      <w:bodyDiv w:val="1"/>
      <w:marLeft w:val="0"/>
      <w:marRight w:val="0"/>
      <w:marTop w:val="0"/>
      <w:marBottom w:val="0"/>
      <w:divBdr>
        <w:top w:val="none" w:sz="0" w:space="0" w:color="auto"/>
        <w:left w:val="none" w:sz="0" w:space="0" w:color="auto"/>
        <w:bottom w:val="none" w:sz="0" w:space="0" w:color="auto"/>
        <w:right w:val="none" w:sz="0" w:space="0" w:color="auto"/>
      </w:divBdr>
    </w:div>
    <w:div w:id="56638182">
      <w:bodyDiv w:val="1"/>
      <w:marLeft w:val="0"/>
      <w:marRight w:val="0"/>
      <w:marTop w:val="0"/>
      <w:marBottom w:val="0"/>
      <w:divBdr>
        <w:top w:val="none" w:sz="0" w:space="0" w:color="auto"/>
        <w:left w:val="none" w:sz="0" w:space="0" w:color="auto"/>
        <w:bottom w:val="none" w:sz="0" w:space="0" w:color="auto"/>
        <w:right w:val="none" w:sz="0" w:space="0" w:color="auto"/>
      </w:divBdr>
    </w:div>
    <w:div w:id="303394586">
      <w:bodyDiv w:val="1"/>
      <w:marLeft w:val="0"/>
      <w:marRight w:val="0"/>
      <w:marTop w:val="0"/>
      <w:marBottom w:val="0"/>
      <w:divBdr>
        <w:top w:val="none" w:sz="0" w:space="0" w:color="auto"/>
        <w:left w:val="none" w:sz="0" w:space="0" w:color="auto"/>
        <w:bottom w:val="none" w:sz="0" w:space="0" w:color="auto"/>
        <w:right w:val="none" w:sz="0" w:space="0" w:color="auto"/>
      </w:divBdr>
    </w:div>
    <w:div w:id="449251488">
      <w:bodyDiv w:val="1"/>
      <w:marLeft w:val="0"/>
      <w:marRight w:val="0"/>
      <w:marTop w:val="0"/>
      <w:marBottom w:val="0"/>
      <w:divBdr>
        <w:top w:val="none" w:sz="0" w:space="0" w:color="auto"/>
        <w:left w:val="none" w:sz="0" w:space="0" w:color="auto"/>
        <w:bottom w:val="none" w:sz="0" w:space="0" w:color="auto"/>
        <w:right w:val="none" w:sz="0" w:space="0" w:color="auto"/>
      </w:divBdr>
      <w:divsChild>
        <w:div w:id="1020009141">
          <w:marLeft w:val="1267"/>
          <w:marRight w:val="0"/>
          <w:marTop w:val="67"/>
          <w:marBottom w:val="120"/>
          <w:divBdr>
            <w:top w:val="none" w:sz="0" w:space="0" w:color="auto"/>
            <w:left w:val="none" w:sz="0" w:space="0" w:color="auto"/>
            <w:bottom w:val="none" w:sz="0" w:space="0" w:color="auto"/>
            <w:right w:val="none" w:sz="0" w:space="0" w:color="auto"/>
          </w:divBdr>
        </w:div>
      </w:divsChild>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25488493">
      <w:bodyDiv w:val="1"/>
      <w:marLeft w:val="0"/>
      <w:marRight w:val="0"/>
      <w:marTop w:val="0"/>
      <w:marBottom w:val="0"/>
      <w:divBdr>
        <w:top w:val="none" w:sz="0" w:space="0" w:color="auto"/>
        <w:left w:val="none" w:sz="0" w:space="0" w:color="auto"/>
        <w:bottom w:val="none" w:sz="0" w:space="0" w:color="auto"/>
        <w:right w:val="none" w:sz="0" w:space="0" w:color="auto"/>
      </w:divBdr>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3348544">
      <w:bodyDiv w:val="1"/>
      <w:marLeft w:val="0"/>
      <w:marRight w:val="0"/>
      <w:marTop w:val="0"/>
      <w:marBottom w:val="0"/>
      <w:divBdr>
        <w:top w:val="none" w:sz="0" w:space="0" w:color="auto"/>
        <w:left w:val="none" w:sz="0" w:space="0" w:color="auto"/>
        <w:bottom w:val="none" w:sz="0" w:space="0" w:color="auto"/>
        <w:right w:val="none" w:sz="0" w:space="0" w:color="auto"/>
      </w:divBdr>
    </w:div>
    <w:div w:id="598490852">
      <w:bodyDiv w:val="1"/>
      <w:marLeft w:val="0"/>
      <w:marRight w:val="0"/>
      <w:marTop w:val="0"/>
      <w:marBottom w:val="0"/>
      <w:divBdr>
        <w:top w:val="none" w:sz="0" w:space="0" w:color="auto"/>
        <w:left w:val="none" w:sz="0" w:space="0" w:color="auto"/>
        <w:bottom w:val="none" w:sz="0" w:space="0" w:color="auto"/>
        <w:right w:val="none" w:sz="0" w:space="0" w:color="auto"/>
      </w:divBdr>
    </w:div>
    <w:div w:id="615451837">
      <w:bodyDiv w:val="1"/>
      <w:marLeft w:val="0"/>
      <w:marRight w:val="0"/>
      <w:marTop w:val="0"/>
      <w:marBottom w:val="0"/>
      <w:divBdr>
        <w:top w:val="none" w:sz="0" w:space="0" w:color="auto"/>
        <w:left w:val="none" w:sz="0" w:space="0" w:color="auto"/>
        <w:bottom w:val="none" w:sz="0" w:space="0" w:color="auto"/>
        <w:right w:val="none" w:sz="0" w:space="0" w:color="auto"/>
      </w:divBdr>
    </w:div>
    <w:div w:id="632565586">
      <w:bodyDiv w:val="1"/>
      <w:marLeft w:val="0"/>
      <w:marRight w:val="0"/>
      <w:marTop w:val="0"/>
      <w:marBottom w:val="0"/>
      <w:divBdr>
        <w:top w:val="none" w:sz="0" w:space="0" w:color="auto"/>
        <w:left w:val="none" w:sz="0" w:space="0" w:color="auto"/>
        <w:bottom w:val="none" w:sz="0" w:space="0" w:color="auto"/>
        <w:right w:val="none" w:sz="0" w:space="0" w:color="auto"/>
      </w:divBdr>
    </w:div>
    <w:div w:id="662856361">
      <w:bodyDiv w:val="1"/>
      <w:marLeft w:val="0"/>
      <w:marRight w:val="0"/>
      <w:marTop w:val="0"/>
      <w:marBottom w:val="0"/>
      <w:divBdr>
        <w:top w:val="none" w:sz="0" w:space="0" w:color="auto"/>
        <w:left w:val="none" w:sz="0" w:space="0" w:color="auto"/>
        <w:bottom w:val="none" w:sz="0" w:space="0" w:color="auto"/>
        <w:right w:val="none" w:sz="0" w:space="0" w:color="auto"/>
      </w:divBdr>
    </w:div>
    <w:div w:id="701705253">
      <w:bodyDiv w:val="1"/>
      <w:marLeft w:val="0"/>
      <w:marRight w:val="0"/>
      <w:marTop w:val="0"/>
      <w:marBottom w:val="0"/>
      <w:divBdr>
        <w:top w:val="none" w:sz="0" w:space="0" w:color="auto"/>
        <w:left w:val="none" w:sz="0" w:space="0" w:color="auto"/>
        <w:bottom w:val="none" w:sz="0" w:space="0" w:color="auto"/>
        <w:right w:val="none" w:sz="0" w:space="0" w:color="auto"/>
      </w:divBdr>
    </w:div>
    <w:div w:id="765032792">
      <w:bodyDiv w:val="1"/>
      <w:marLeft w:val="0"/>
      <w:marRight w:val="0"/>
      <w:marTop w:val="0"/>
      <w:marBottom w:val="0"/>
      <w:divBdr>
        <w:top w:val="none" w:sz="0" w:space="0" w:color="auto"/>
        <w:left w:val="none" w:sz="0" w:space="0" w:color="auto"/>
        <w:bottom w:val="none" w:sz="0" w:space="0" w:color="auto"/>
        <w:right w:val="none" w:sz="0" w:space="0" w:color="auto"/>
      </w:divBdr>
    </w:div>
    <w:div w:id="782193562">
      <w:bodyDiv w:val="1"/>
      <w:marLeft w:val="0"/>
      <w:marRight w:val="0"/>
      <w:marTop w:val="0"/>
      <w:marBottom w:val="0"/>
      <w:divBdr>
        <w:top w:val="none" w:sz="0" w:space="0" w:color="auto"/>
        <w:left w:val="none" w:sz="0" w:space="0" w:color="auto"/>
        <w:bottom w:val="none" w:sz="0" w:space="0" w:color="auto"/>
        <w:right w:val="none" w:sz="0" w:space="0" w:color="auto"/>
      </w:divBdr>
    </w:div>
    <w:div w:id="799692325">
      <w:bodyDiv w:val="1"/>
      <w:marLeft w:val="0"/>
      <w:marRight w:val="0"/>
      <w:marTop w:val="0"/>
      <w:marBottom w:val="0"/>
      <w:divBdr>
        <w:top w:val="none" w:sz="0" w:space="0" w:color="auto"/>
        <w:left w:val="none" w:sz="0" w:space="0" w:color="auto"/>
        <w:bottom w:val="none" w:sz="0" w:space="0" w:color="auto"/>
        <w:right w:val="none" w:sz="0" w:space="0" w:color="auto"/>
      </w:divBdr>
    </w:div>
    <w:div w:id="918829218">
      <w:bodyDiv w:val="1"/>
      <w:marLeft w:val="0"/>
      <w:marRight w:val="0"/>
      <w:marTop w:val="0"/>
      <w:marBottom w:val="0"/>
      <w:divBdr>
        <w:top w:val="none" w:sz="0" w:space="0" w:color="auto"/>
        <w:left w:val="none" w:sz="0" w:space="0" w:color="auto"/>
        <w:bottom w:val="none" w:sz="0" w:space="0" w:color="auto"/>
        <w:right w:val="none" w:sz="0" w:space="0" w:color="auto"/>
      </w:divBdr>
      <w:divsChild>
        <w:div w:id="991369683">
          <w:marLeft w:val="274"/>
          <w:marRight w:val="0"/>
          <w:marTop w:val="0"/>
          <w:marBottom w:val="0"/>
          <w:divBdr>
            <w:top w:val="none" w:sz="0" w:space="0" w:color="auto"/>
            <w:left w:val="none" w:sz="0" w:space="0" w:color="auto"/>
            <w:bottom w:val="none" w:sz="0" w:space="0" w:color="auto"/>
            <w:right w:val="none" w:sz="0" w:space="0" w:color="auto"/>
          </w:divBdr>
        </w:div>
      </w:divsChild>
    </w:div>
    <w:div w:id="930509136">
      <w:bodyDiv w:val="1"/>
      <w:marLeft w:val="0"/>
      <w:marRight w:val="0"/>
      <w:marTop w:val="0"/>
      <w:marBottom w:val="0"/>
      <w:divBdr>
        <w:top w:val="none" w:sz="0" w:space="0" w:color="auto"/>
        <w:left w:val="none" w:sz="0" w:space="0" w:color="auto"/>
        <w:bottom w:val="none" w:sz="0" w:space="0" w:color="auto"/>
        <w:right w:val="none" w:sz="0" w:space="0" w:color="auto"/>
      </w:divBdr>
    </w:div>
    <w:div w:id="933248562">
      <w:bodyDiv w:val="1"/>
      <w:marLeft w:val="0"/>
      <w:marRight w:val="0"/>
      <w:marTop w:val="0"/>
      <w:marBottom w:val="0"/>
      <w:divBdr>
        <w:top w:val="none" w:sz="0" w:space="0" w:color="auto"/>
        <w:left w:val="none" w:sz="0" w:space="0" w:color="auto"/>
        <w:bottom w:val="none" w:sz="0" w:space="0" w:color="auto"/>
        <w:right w:val="none" w:sz="0" w:space="0" w:color="auto"/>
      </w:divBdr>
    </w:div>
    <w:div w:id="1013609624">
      <w:bodyDiv w:val="1"/>
      <w:marLeft w:val="0"/>
      <w:marRight w:val="0"/>
      <w:marTop w:val="0"/>
      <w:marBottom w:val="0"/>
      <w:divBdr>
        <w:top w:val="none" w:sz="0" w:space="0" w:color="auto"/>
        <w:left w:val="none" w:sz="0" w:space="0" w:color="auto"/>
        <w:bottom w:val="none" w:sz="0" w:space="0" w:color="auto"/>
        <w:right w:val="none" w:sz="0" w:space="0" w:color="auto"/>
      </w:divBdr>
    </w:div>
    <w:div w:id="1024483946">
      <w:bodyDiv w:val="1"/>
      <w:marLeft w:val="0"/>
      <w:marRight w:val="0"/>
      <w:marTop w:val="0"/>
      <w:marBottom w:val="0"/>
      <w:divBdr>
        <w:top w:val="none" w:sz="0" w:space="0" w:color="auto"/>
        <w:left w:val="none" w:sz="0" w:space="0" w:color="auto"/>
        <w:bottom w:val="none" w:sz="0" w:space="0" w:color="auto"/>
        <w:right w:val="none" w:sz="0" w:space="0" w:color="auto"/>
      </w:divBdr>
    </w:div>
    <w:div w:id="1034769389">
      <w:bodyDiv w:val="1"/>
      <w:marLeft w:val="0"/>
      <w:marRight w:val="0"/>
      <w:marTop w:val="0"/>
      <w:marBottom w:val="0"/>
      <w:divBdr>
        <w:top w:val="none" w:sz="0" w:space="0" w:color="auto"/>
        <w:left w:val="none" w:sz="0" w:space="0" w:color="auto"/>
        <w:bottom w:val="none" w:sz="0" w:space="0" w:color="auto"/>
        <w:right w:val="none" w:sz="0" w:space="0" w:color="auto"/>
      </w:divBdr>
    </w:div>
    <w:div w:id="1076632709">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20171229">
      <w:bodyDiv w:val="1"/>
      <w:marLeft w:val="0"/>
      <w:marRight w:val="0"/>
      <w:marTop w:val="0"/>
      <w:marBottom w:val="0"/>
      <w:divBdr>
        <w:top w:val="none" w:sz="0" w:space="0" w:color="auto"/>
        <w:left w:val="none" w:sz="0" w:space="0" w:color="auto"/>
        <w:bottom w:val="none" w:sz="0" w:space="0" w:color="auto"/>
        <w:right w:val="none" w:sz="0" w:space="0" w:color="auto"/>
      </w:divBdr>
      <w:divsChild>
        <w:div w:id="1006984083">
          <w:marLeft w:val="1166"/>
          <w:marRight w:val="0"/>
          <w:marTop w:val="60"/>
          <w:marBottom w:val="40"/>
          <w:divBdr>
            <w:top w:val="none" w:sz="0" w:space="0" w:color="auto"/>
            <w:left w:val="none" w:sz="0" w:space="0" w:color="auto"/>
            <w:bottom w:val="none" w:sz="0" w:space="0" w:color="auto"/>
            <w:right w:val="none" w:sz="0" w:space="0" w:color="auto"/>
          </w:divBdr>
        </w:div>
      </w:divsChild>
    </w:div>
    <w:div w:id="1255549293">
      <w:bodyDiv w:val="1"/>
      <w:marLeft w:val="0"/>
      <w:marRight w:val="0"/>
      <w:marTop w:val="0"/>
      <w:marBottom w:val="0"/>
      <w:divBdr>
        <w:top w:val="none" w:sz="0" w:space="0" w:color="auto"/>
        <w:left w:val="none" w:sz="0" w:space="0" w:color="auto"/>
        <w:bottom w:val="none" w:sz="0" w:space="0" w:color="auto"/>
        <w:right w:val="none" w:sz="0" w:space="0" w:color="auto"/>
      </w:divBdr>
    </w:div>
    <w:div w:id="1392117759">
      <w:bodyDiv w:val="1"/>
      <w:marLeft w:val="0"/>
      <w:marRight w:val="0"/>
      <w:marTop w:val="0"/>
      <w:marBottom w:val="0"/>
      <w:divBdr>
        <w:top w:val="none" w:sz="0" w:space="0" w:color="auto"/>
        <w:left w:val="none" w:sz="0" w:space="0" w:color="auto"/>
        <w:bottom w:val="none" w:sz="0" w:space="0" w:color="auto"/>
        <w:right w:val="none" w:sz="0" w:space="0" w:color="auto"/>
      </w:divBdr>
      <w:divsChild>
        <w:div w:id="257181363">
          <w:marLeft w:val="360"/>
          <w:marRight w:val="0"/>
          <w:marTop w:val="240"/>
          <w:marBottom w:val="40"/>
          <w:divBdr>
            <w:top w:val="none" w:sz="0" w:space="0" w:color="auto"/>
            <w:left w:val="none" w:sz="0" w:space="0" w:color="auto"/>
            <w:bottom w:val="none" w:sz="0" w:space="0" w:color="auto"/>
            <w:right w:val="none" w:sz="0" w:space="0" w:color="auto"/>
          </w:divBdr>
        </w:div>
      </w:divsChild>
    </w:div>
    <w:div w:id="1402022732">
      <w:bodyDiv w:val="1"/>
      <w:marLeft w:val="0"/>
      <w:marRight w:val="0"/>
      <w:marTop w:val="0"/>
      <w:marBottom w:val="0"/>
      <w:divBdr>
        <w:top w:val="none" w:sz="0" w:space="0" w:color="auto"/>
        <w:left w:val="none" w:sz="0" w:space="0" w:color="auto"/>
        <w:bottom w:val="none" w:sz="0" w:space="0" w:color="auto"/>
        <w:right w:val="none" w:sz="0" w:space="0" w:color="auto"/>
      </w:divBdr>
      <w:divsChild>
        <w:div w:id="2005431069">
          <w:marLeft w:val="274"/>
          <w:marRight w:val="0"/>
          <w:marTop w:val="0"/>
          <w:marBottom w:val="0"/>
          <w:divBdr>
            <w:top w:val="none" w:sz="0" w:space="0" w:color="auto"/>
            <w:left w:val="none" w:sz="0" w:space="0" w:color="auto"/>
            <w:bottom w:val="none" w:sz="0" w:space="0" w:color="auto"/>
            <w:right w:val="none" w:sz="0" w:space="0" w:color="auto"/>
          </w:divBdr>
        </w:div>
      </w:divsChild>
    </w:div>
    <w:div w:id="1428845779">
      <w:bodyDiv w:val="1"/>
      <w:marLeft w:val="0"/>
      <w:marRight w:val="0"/>
      <w:marTop w:val="0"/>
      <w:marBottom w:val="0"/>
      <w:divBdr>
        <w:top w:val="none" w:sz="0" w:space="0" w:color="auto"/>
        <w:left w:val="none" w:sz="0" w:space="0" w:color="auto"/>
        <w:bottom w:val="none" w:sz="0" w:space="0" w:color="auto"/>
        <w:right w:val="none" w:sz="0" w:space="0" w:color="auto"/>
      </w:divBdr>
      <w:divsChild>
        <w:div w:id="262810772">
          <w:marLeft w:val="547"/>
          <w:marRight w:val="0"/>
          <w:marTop w:val="200"/>
          <w:marBottom w:val="160"/>
          <w:divBdr>
            <w:top w:val="none" w:sz="0" w:space="0" w:color="auto"/>
            <w:left w:val="none" w:sz="0" w:space="0" w:color="auto"/>
            <w:bottom w:val="none" w:sz="0" w:space="0" w:color="auto"/>
            <w:right w:val="none" w:sz="0" w:space="0" w:color="auto"/>
          </w:divBdr>
        </w:div>
        <w:div w:id="970475560">
          <w:marLeft w:val="547"/>
          <w:marRight w:val="0"/>
          <w:marTop w:val="200"/>
          <w:marBottom w:val="160"/>
          <w:divBdr>
            <w:top w:val="none" w:sz="0" w:space="0" w:color="auto"/>
            <w:left w:val="none" w:sz="0" w:space="0" w:color="auto"/>
            <w:bottom w:val="none" w:sz="0" w:space="0" w:color="auto"/>
            <w:right w:val="none" w:sz="0" w:space="0" w:color="auto"/>
          </w:divBdr>
        </w:div>
        <w:div w:id="953289733">
          <w:marLeft w:val="547"/>
          <w:marRight w:val="0"/>
          <w:marTop w:val="200"/>
          <w:marBottom w:val="160"/>
          <w:divBdr>
            <w:top w:val="none" w:sz="0" w:space="0" w:color="auto"/>
            <w:left w:val="none" w:sz="0" w:space="0" w:color="auto"/>
            <w:bottom w:val="none" w:sz="0" w:space="0" w:color="auto"/>
            <w:right w:val="none" w:sz="0" w:space="0" w:color="auto"/>
          </w:divBdr>
        </w:div>
        <w:div w:id="1989283159">
          <w:marLeft w:val="547"/>
          <w:marRight w:val="0"/>
          <w:marTop w:val="200"/>
          <w:marBottom w:val="160"/>
          <w:divBdr>
            <w:top w:val="none" w:sz="0" w:space="0" w:color="auto"/>
            <w:left w:val="none" w:sz="0" w:space="0" w:color="auto"/>
            <w:bottom w:val="none" w:sz="0" w:space="0" w:color="auto"/>
            <w:right w:val="none" w:sz="0" w:space="0" w:color="auto"/>
          </w:divBdr>
        </w:div>
      </w:divsChild>
    </w:div>
    <w:div w:id="1468357405">
      <w:bodyDiv w:val="1"/>
      <w:marLeft w:val="0"/>
      <w:marRight w:val="0"/>
      <w:marTop w:val="0"/>
      <w:marBottom w:val="0"/>
      <w:divBdr>
        <w:top w:val="none" w:sz="0" w:space="0" w:color="auto"/>
        <w:left w:val="none" w:sz="0" w:space="0" w:color="auto"/>
        <w:bottom w:val="none" w:sz="0" w:space="0" w:color="auto"/>
        <w:right w:val="none" w:sz="0" w:space="0" w:color="auto"/>
      </w:divBdr>
    </w:div>
    <w:div w:id="1524368198">
      <w:bodyDiv w:val="1"/>
      <w:marLeft w:val="0"/>
      <w:marRight w:val="0"/>
      <w:marTop w:val="0"/>
      <w:marBottom w:val="0"/>
      <w:divBdr>
        <w:top w:val="none" w:sz="0" w:space="0" w:color="auto"/>
        <w:left w:val="none" w:sz="0" w:space="0" w:color="auto"/>
        <w:bottom w:val="none" w:sz="0" w:space="0" w:color="auto"/>
        <w:right w:val="none" w:sz="0" w:space="0" w:color="auto"/>
      </w:divBdr>
    </w:div>
    <w:div w:id="1576237182">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40782613">
      <w:bodyDiv w:val="1"/>
      <w:marLeft w:val="0"/>
      <w:marRight w:val="0"/>
      <w:marTop w:val="0"/>
      <w:marBottom w:val="0"/>
      <w:divBdr>
        <w:top w:val="none" w:sz="0" w:space="0" w:color="auto"/>
        <w:left w:val="none" w:sz="0" w:space="0" w:color="auto"/>
        <w:bottom w:val="none" w:sz="0" w:space="0" w:color="auto"/>
        <w:right w:val="none" w:sz="0" w:space="0" w:color="auto"/>
      </w:divBdr>
      <w:divsChild>
        <w:div w:id="889800308">
          <w:marLeft w:val="360"/>
          <w:marRight w:val="0"/>
          <w:marTop w:val="240"/>
          <w:marBottom w:val="40"/>
          <w:divBdr>
            <w:top w:val="none" w:sz="0" w:space="0" w:color="auto"/>
            <w:left w:val="none" w:sz="0" w:space="0" w:color="auto"/>
            <w:bottom w:val="none" w:sz="0" w:space="0" w:color="auto"/>
            <w:right w:val="none" w:sz="0" w:space="0" w:color="auto"/>
          </w:divBdr>
        </w:div>
      </w:divsChild>
    </w:div>
    <w:div w:id="1802455359">
      <w:bodyDiv w:val="1"/>
      <w:marLeft w:val="0"/>
      <w:marRight w:val="0"/>
      <w:marTop w:val="0"/>
      <w:marBottom w:val="0"/>
      <w:divBdr>
        <w:top w:val="none" w:sz="0" w:space="0" w:color="auto"/>
        <w:left w:val="none" w:sz="0" w:space="0" w:color="auto"/>
        <w:bottom w:val="none" w:sz="0" w:space="0" w:color="auto"/>
        <w:right w:val="none" w:sz="0" w:space="0" w:color="auto"/>
      </w:divBdr>
    </w:div>
    <w:div w:id="1865098426">
      <w:bodyDiv w:val="1"/>
      <w:marLeft w:val="0"/>
      <w:marRight w:val="0"/>
      <w:marTop w:val="0"/>
      <w:marBottom w:val="0"/>
      <w:divBdr>
        <w:top w:val="none" w:sz="0" w:space="0" w:color="auto"/>
        <w:left w:val="none" w:sz="0" w:space="0" w:color="auto"/>
        <w:bottom w:val="none" w:sz="0" w:space="0" w:color="auto"/>
        <w:right w:val="none" w:sz="0" w:space="0" w:color="auto"/>
      </w:divBdr>
    </w:div>
    <w:div w:id="1879466523">
      <w:bodyDiv w:val="1"/>
      <w:marLeft w:val="0"/>
      <w:marRight w:val="0"/>
      <w:marTop w:val="0"/>
      <w:marBottom w:val="0"/>
      <w:divBdr>
        <w:top w:val="none" w:sz="0" w:space="0" w:color="auto"/>
        <w:left w:val="none" w:sz="0" w:space="0" w:color="auto"/>
        <w:bottom w:val="none" w:sz="0" w:space="0" w:color="auto"/>
        <w:right w:val="none" w:sz="0" w:space="0" w:color="auto"/>
      </w:divBdr>
      <w:divsChild>
        <w:div w:id="302778151">
          <w:marLeft w:val="360"/>
          <w:marRight w:val="0"/>
          <w:marTop w:val="200"/>
          <w:marBottom w:val="120"/>
          <w:divBdr>
            <w:top w:val="none" w:sz="0" w:space="0" w:color="auto"/>
            <w:left w:val="none" w:sz="0" w:space="0" w:color="auto"/>
            <w:bottom w:val="none" w:sz="0" w:space="0" w:color="auto"/>
            <w:right w:val="none" w:sz="0" w:space="0" w:color="auto"/>
          </w:divBdr>
        </w:div>
        <w:div w:id="171382331">
          <w:marLeft w:val="1166"/>
          <w:marRight w:val="0"/>
          <w:marTop w:val="60"/>
          <w:marBottom w:val="40"/>
          <w:divBdr>
            <w:top w:val="none" w:sz="0" w:space="0" w:color="auto"/>
            <w:left w:val="none" w:sz="0" w:space="0" w:color="auto"/>
            <w:bottom w:val="none" w:sz="0" w:space="0" w:color="auto"/>
            <w:right w:val="none" w:sz="0" w:space="0" w:color="auto"/>
          </w:divBdr>
        </w:div>
        <w:div w:id="1451196177">
          <w:marLeft w:val="1166"/>
          <w:marRight w:val="0"/>
          <w:marTop w:val="60"/>
          <w:marBottom w:val="40"/>
          <w:divBdr>
            <w:top w:val="none" w:sz="0" w:space="0" w:color="auto"/>
            <w:left w:val="none" w:sz="0" w:space="0" w:color="auto"/>
            <w:bottom w:val="none" w:sz="0" w:space="0" w:color="auto"/>
            <w:right w:val="none" w:sz="0" w:space="0" w:color="auto"/>
          </w:divBdr>
        </w:div>
      </w:divsChild>
    </w:div>
    <w:div w:id="1919245823">
      <w:bodyDiv w:val="1"/>
      <w:marLeft w:val="0"/>
      <w:marRight w:val="0"/>
      <w:marTop w:val="0"/>
      <w:marBottom w:val="0"/>
      <w:divBdr>
        <w:top w:val="none" w:sz="0" w:space="0" w:color="auto"/>
        <w:left w:val="none" w:sz="0" w:space="0" w:color="auto"/>
        <w:bottom w:val="none" w:sz="0" w:space="0" w:color="auto"/>
        <w:right w:val="none" w:sz="0" w:space="0" w:color="auto"/>
      </w:divBdr>
    </w:div>
    <w:div w:id="1930961415">
      <w:bodyDiv w:val="1"/>
      <w:marLeft w:val="0"/>
      <w:marRight w:val="0"/>
      <w:marTop w:val="0"/>
      <w:marBottom w:val="0"/>
      <w:divBdr>
        <w:top w:val="none" w:sz="0" w:space="0" w:color="auto"/>
        <w:left w:val="none" w:sz="0" w:space="0" w:color="auto"/>
        <w:bottom w:val="none" w:sz="0" w:space="0" w:color="auto"/>
        <w:right w:val="none" w:sz="0" w:space="0" w:color="auto"/>
      </w:divBdr>
      <w:divsChild>
        <w:div w:id="745150689">
          <w:marLeft w:val="360"/>
          <w:marRight w:val="0"/>
          <w:marTop w:val="200"/>
          <w:marBottom w:val="120"/>
          <w:divBdr>
            <w:top w:val="none" w:sz="0" w:space="0" w:color="auto"/>
            <w:left w:val="none" w:sz="0" w:space="0" w:color="auto"/>
            <w:bottom w:val="none" w:sz="0" w:space="0" w:color="auto"/>
            <w:right w:val="none" w:sz="0" w:space="0" w:color="auto"/>
          </w:divBdr>
        </w:div>
      </w:divsChild>
    </w:div>
    <w:div w:id="1937862343">
      <w:bodyDiv w:val="1"/>
      <w:marLeft w:val="0"/>
      <w:marRight w:val="0"/>
      <w:marTop w:val="0"/>
      <w:marBottom w:val="0"/>
      <w:divBdr>
        <w:top w:val="none" w:sz="0" w:space="0" w:color="auto"/>
        <w:left w:val="none" w:sz="0" w:space="0" w:color="auto"/>
        <w:bottom w:val="none" w:sz="0" w:space="0" w:color="auto"/>
        <w:right w:val="none" w:sz="0" w:space="0" w:color="auto"/>
      </w:divBdr>
    </w:div>
    <w:div w:id="1943489086">
      <w:bodyDiv w:val="1"/>
      <w:marLeft w:val="0"/>
      <w:marRight w:val="0"/>
      <w:marTop w:val="0"/>
      <w:marBottom w:val="0"/>
      <w:divBdr>
        <w:top w:val="none" w:sz="0" w:space="0" w:color="auto"/>
        <w:left w:val="none" w:sz="0" w:space="0" w:color="auto"/>
        <w:bottom w:val="none" w:sz="0" w:space="0" w:color="auto"/>
        <w:right w:val="none" w:sz="0" w:space="0" w:color="auto"/>
      </w:divBdr>
      <w:divsChild>
        <w:div w:id="1619950513">
          <w:marLeft w:val="274"/>
          <w:marRight w:val="0"/>
          <w:marTop w:val="0"/>
          <w:marBottom w:val="0"/>
          <w:divBdr>
            <w:top w:val="none" w:sz="0" w:space="0" w:color="auto"/>
            <w:left w:val="none" w:sz="0" w:space="0" w:color="auto"/>
            <w:bottom w:val="none" w:sz="0" w:space="0" w:color="auto"/>
            <w:right w:val="none" w:sz="0" w:space="0" w:color="auto"/>
          </w:divBdr>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 w:id="2126924670">
      <w:bodyDiv w:val="1"/>
      <w:marLeft w:val="0"/>
      <w:marRight w:val="0"/>
      <w:marTop w:val="0"/>
      <w:marBottom w:val="0"/>
      <w:divBdr>
        <w:top w:val="none" w:sz="0" w:space="0" w:color="auto"/>
        <w:left w:val="none" w:sz="0" w:space="0" w:color="auto"/>
        <w:bottom w:val="none" w:sz="0" w:space="0" w:color="auto"/>
        <w:right w:val="none" w:sz="0" w:space="0" w:color="auto"/>
      </w:divBdr>
      <w:divsChild>
        <w:div w:id="1153064963">
          <w:marLeft w:val="446"/>
          <w:marRight w:val="0"/>
          <w:marTop w:val="20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tga.gov.au/resources/publication/publications/performance-reports" TargetMode="External"/><Relationship Id="rId26" Type="http://schemas.openxmlformats.org/officeDocument/2006/relationships/hyperlink" Target="mailto:TGAFeesAndCharges@health.gov.au" TargetMode="External"/><Relationship Id="rId3" Type="http://schemas.openxmlformats.org/officeDocument/2006/relationships/styles" Target="styles.xml"/><Relationship Id="rId21" Type="http://schemas.openxmlformats.org/officeDocument/2006/relationships/hyperlink" Target="https://archive.budget.gov.au/2023-24/index.ht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ga.gov.au/resources/publication/corporate-reports/cost-recovery-implementation-statement-2025-2026"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finance.gov.au/government/managing-commonwealth-resources/implementing-charging-framework-rmg-302/what-australian-government-charging-framework" TargetMode="External"/><Relationship Id="rId20" Type="http://schemas.openxmlformats.org/officeDocument/2006/relationships/hyperlink" Target="https://archive.budget.gov.au/2023-24/index.htm"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gov.au/C2004A03952/latest/text" TargetMode="External"/><Relationship Id="rId23" Type="http://schemas.openxmlformats.org/officeDocument/2006/relationships/hyperlink" Target="https://consultations.tga.gov.au/regulatory-practice-section/tga-fees-and-charges-proposal-2026-27/" TargetMode="External"/><Relationship Id="rId28" Type="http://schemas.openxmlformats.org/officeDocument/2006/relationships/hyperlink" Target="https://www.tga.gov.au" TargetMode="External"/><Relationship Id="rId10" Type="http://schemas.openxmlformats.org/officeDocument/2006/relationships/footer" Target="footer1.xml"/><Relationship Id="rId19" Type="http://schemas.openxmlformats.org/officeDocument/2006/relationships/hyperlink" Target="https://www.health.gov.au/sites/default/files/documents/2020/02/health-portfolio-budget-statements-2019-20-health-portfolio-additional-estimates-statements-2019-20_0.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hyperlink" Target="https://archive.budget.gov.au/1997-98/index.htm" TargetMode="External"/><Relationship Id="rId27" Type="http://schemas.openxmlformats.org/officeDocument/2006/relationships/hyperlink" Target="mailto:info@tga.gov.au" TargetMode="External"/><Relationship Id="rId30" Type="http://schemas.openxmlformats.org/officeDocument/2006/relationships/footer" Target="footer5.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12</Pages>
  <Words>3220</Words>
  <Characters>18063</Characters>
  <Application>Microsoft Office Word</Application>
  <DocSecurity>0</DocSecurity>
  <Lines>435</Lines>
  <Paragraphs>227</Paragraphs>
  <ScaleCrop>false</ScaleCrop>
  <HeadingPairs>
    <vt:vector size="2" baseType="variant">
      <vt:variant>
        <vt:lpstr>Title</vt:lpstr>
      </vt:variant>
      <vt:variant>
        <vt:i4>1</vt:i4>
      </vt:variant>
    </vt:vector>
  </HeadingPairs>
  <TitlesOfParts>
    <vt:vector size="1" baseType="lpstr">
      <vt:lpstr>Cost Recovery Implementation Statement: 2022-2023</vt:lpstr>
    </vt:vector>
  </TitlesOfParts>
  <Company>Department of Health and Aged Care TGA</Company>
  <LinksUpToDate>false</LinksUpToDate>
  <CharactersWithSpaces>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Implementation Statement: 2022-2023</dc:title>
  <dc:subject/>
  <dc:creator>Therapeutic Goods Administration</dc:creator>
  <cp:keywords/>
  <dc:description/>
  <cp:lastModifiedBy>KUMAR, Ronil</cp:lastModifiedBy>
  <cp:revision>33</cp:revision>
  <cp:lastPrinted>2010-12-20T22:59:00Z</cp:lastPrinted>
  <dcterms:created xsi:type="dcterms:W3CDTF">2026-01-15T23:02:00Z</dcterms:created>
  <dcterms:modified xsi:type="dcterms:W3CDTF">2026-01-22T23:25:00Z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3a41d896,ae34dbc,7e02ba83,3608ca9a,6181c176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32d2db18,76cf80c4,d716ff1,3463bc27,1846a4bf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2026-01-13T03:46:55Z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618f5256-5470-4b40-a139-cac50254b5d8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