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567" w:tblpY="3166"/>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0E43CB" w:rsidRPr="009401F6" w14:paraId="4F77F6F3" w14:textId="77777777" w:rsidTr="751C0673">
        <w:trPr>
          <w:cantSplit/>
          <w:trHeight w:val="300"/>
        </w:trPr>
        <w:tc>
          <w:tcPr>
            <w:tcW w:w="10065" w:type="dxa"/>
          </w:tcPr>
          <w:p w14:paraId="6B419EDA" w14:textId="75448A96" w:rsidR="000E43CB" w:rsidRPr="009401F6" w:rsidRDefault="00EE3134" w:rsidP="000D21AE">
            <w:pPr>
              <w:pStyle w:val="Title"/>
            </w:pPr>
            <w:bookmarkStart w:id="0" w:name="_Toc168309834"/>
            <w:bookmarkStart w:id="1" w:name="_Hlk164774137"/>
            <w:r w:rsidRPr="00EE7C6F">
              <w:rPr>
                <w:sz w:val="40"/>
                <w:szCs w:val="40"/>
              </w:rPr>
              <w:t xml:space="preserve">Medical Devices – </w:t>
            </w:r>
            <w:r w:rsidR="00851A52">
              <w:rPr>
                <w:sz w:val="40"/>
                <w:szCs w:val="40"/>
              </w:rPr>
              <w:t>Essential Principles</w:t>
            </w:r>
            <w:r w:rsidRPr="00EE7C6F">
              <w:rPr>
                <w:sz w:val="40"/>
                <w:szCs w:val="40"/>
              </w:rPr>
              <w:t xml:space="preserve"> for </w:t>
            </w:r>
            <w:r w:rsidR="00C734C0">
              <w:rPr>
                <w:sz w:val="40"/>
                <w:szCs w:val="40"/>
              </w:rPr>
              <w:t>S</w:t>
            </w:r>
            <w:r w:rsidRPr="00EE7C6F">
              <w:rPr>
                <w:sz w:val="40"/>
                <w:szCs w:val="40"/>
              </w:rPr>
              <w:t xml:space="preserve">afety and </w:t>
            </w:r>
            <w:r w:rsidR="00C734C0">
              <w:rPr>
                <w:sz w:val="40"/>
                <w:szCs w:val="40"/>
              </w:rPr>
              <w:t>P</w:t>
            </w:r>
            <w:r w:rsidRPr="00EE7C6F">
              <w:rPr>
                <w:sz w:val="40"/>
                <w:szCs w:val="40"/>
              </w:rPr>
              <w:t>erformance</w:t>
            </w:r>
            <w:bookmarkEnd w:id="0"/>
          </w:p>
        </w:tc>
      </w:tr>
      <w:tr w:rsidR="000E43CB" w:rsidRPr="009401F6" w14:paraId="22EA3420" w14:textId="77777777" w:rsidTr="751C0673">
        <w:trPr>
          <w:cantSplit/>
          <w:trHeight w:val="1387"/>
        </w:trPr>
        <w:tc>
          <w:tcPr>
            <w:tcW w:w="10065" w:type="dxa"/>
          </w:tcPr>
          <w:p w14:paraId="48499587" w14:textId="5C28C0C7" w:rsidR="000E43CB" w:rsidRPr="00EE3134" w:rsidRDefault="00EE3134" w:rsidP="00DB48B9">
            <w:pPr>
              <w:pStyle w:val="Subtitle"/>
              <w:ind w:left="29"/>
              <w:rPr>
                <w:sz w:val="32"/>
                <w:szCs w:val="20"/>
              </w:rPr>
            </w:pPr>
            <w:r w:rsidRPr="00EE3134">
              <w:rPr>
                <w:sz w:val="32"/>
                <w:szCs w:val="20"/>
              </w:rPr>
              <w:t>Part 2: Proposed a</w:t>
            </w:r>
            <w:r w:rsidR="00E90A72" w:rsidRPr="00EE3134">
              <w:rPr>
                <w:sz w:val="32"/>
                <w:szCs w:val="20"/>
              </w:rPr>
              <w:t xml:space="preserve">lignment with </w:t>
            </w:r>
            <w:r w:rsidR="006D2170" w:rsidRPr="00EE3134">
              <w:rPr>
                <w:sz w:val="32"/>
                <w:szCs w:val="20"/>
              </w:rPr>
              <w:t xml:space="preserve">the </w:t>
            </w:r>
            <w:r w:rsidR="00E90A72" w:rsidRPr="00EE3134">
              <w:rPr>
                <w:sz w:val="32"/>
                <w:szCs w:val="20"/>
              </w:rPr>
              <w:t xml:space="preserve">European </w:t>
            </w:r>
            <w:r w:rsidR="00383A0D">
              <w:rPr>
                <w:sz w:val="32"/>
                <w:szCs w:val="20"/>
              </w:rPr>
              <w:t>R</w:t>
            </w:r>
            <w:r w:rsidR="00851A52">
              <w:rPr>
                <w:sz w:val="32"/>
                <w:szCs w:val="20"/>
              </w:rPr>
              <w:t>egulations</w:t>
            </w:r>
          </w:p>
          <w:p w14:paraId="20817ECD" w14:textId="0C52BD2F" w:rsidR="000E43CB" w:rsidRPr="009401F6" w:rsidRDefault="000E43CB" w:rsidP="751C0673">
            <w:r>
              <w:t xml:space="preserve">Version 1.0, </w:t>
            </w:r>
            <w:r w:rsidR="006E59CF">
              <w:t xml:space="preserve">August </w:t>
            </w:r>
            <w:r w:rsidR="00E90A72">
              <w:t>2024</w:t>
            </w:r>
          </w:p>
        </w:tc>
      </w:tr>
      <w:bookmarkEnd w:id="1"/>
    </w:tbl>
    <w:p w14:paraId="0DDE6534" w14:textId="7BE9535E" w:rsidR="000E43CB" w:rsidRPr="009401F6" w:rsidRDefault="000E43CB" w:rsidP="006168D3">
      <w:pPr>
        <w:sectPr w:rsidR="000E43CB" w:rsidRPr="009401F6" w:rsidSect="002A2EE1">
          <w:headerReference w:type="default" r:id="rId8"/>
          <w:footerReference w:type="default" r:id="rId9"/>
          <w:headerReference w:type="first" r:id="rId10"/>
          <w:pgSz w:w="11906" w:h="16838" w:code="9"/>
          <w:pgMar w:top="13571" w:right="1701" w:bottom="567" w:left="1701" w:header="1134" w:footer="788" w:gutter="0"/>
          <w:cols w:space="708"/>
          <w:titlePg/>
          <w:docGrid w:linePitch="360"/>
        </w:sectPr>
      </w:pPr>
    </w:p>
    <w:p w14:paraId="33E0A40E" w14:textId="77777777" w:rsidR="006663AD" w:rsidRDefault="006663AD">
      <w:pPr>
        <w:spacing w:before="0" w:after="120" w:line="259" w:lineRule="auto"/>
        <w:rPr>
          <w:b/>
          <w:bCs/>
          <w:sz w:val="17"/>
          <w:szCs w:val="17"/>
        </w:rPr>
      </w:pPr>
      <w:r>
        <w:rPr>
          <w:b/>
          <w:bCs/>
          <w:sz w:val="17"/>
          <w:szCs w:val="17"/>
        </w:rPr>
        <w:br w:type="page"/>
      </w:r>
    </w:p>
    <w:p w14:paraId="27DD2A7F" w14:textId="13FB89C2" w:rsidR="000E43CB" w:rsidRPr="00551A39" w:rsidRDefault="000E43CB" w:rsidP="00551A39">
      <w:pPr>
        <w:rPr>
          <w:b/>
          <w:bCs/>
          <w:sz w:val="17"/>
          <w:szCs w:val="17"/>
        </w:rPr>
      </w:pPr>
      <w:r w:rsidRPr="00551A39">
        <w:rPr>
          <w:b/>
          <w:bCs/>
          <w:sz w:val="17"/>
          <w:szCs w:val="17"/>
        </w:rPr>
        <w:lastRenderedPageBreak/>
        <w:t>Copyright</w:t>
      </w:r>
    </w:p>
    <w:p w14:paraId="6AB42339" w14:textId="0E6B5D7F" w:rsidR="000E43CB" w:rsidRDefault="000E43CB" w:rsidP="006168D3">
      <w:pPr>
        <w:pStyle w:val="LegalCopy"/>
      </w:pPr>
      <w:r w:rsidRPr="009401F6">
        <w:t>© Commonwealth of Australia 20</w:t>
      </w:r>
      <w:r>
        <w:t>2</w:t>
      </w:r>
      <w:r w:rsidR="00C82C50">
        <w:t>4</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w:t>
      </w:r>
      <w:proofErr w:type="gramStart"/>
      <w:r w:rsidRPr="009401F6">
        <w:t>reserved</w:t>
      </w:r>
      <w:proofErr w:type="gramEnd"/>
      <w:r w:rsidRPr="009401F6">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9401F6">
          <w:rPr>
            <w:rStyle w:val="Hyperlink"/>
            <w:rFonts w:cs="Arial"/>
          </w:rPr>
          <w:t>tga.copyright@tga.gov.au</w:t>
        </w:r>
      </w:hyperlink>
      <w:r w:rsidRPr="009401F6">
        <w:t>&gt;</w:t>
      </w:r>
      <w:r>
        <w:t>.</w:t>
      </w:r>
    </w:p>
    <w:p w14:paraId="1BB840CA" w14:textId="77777777" w:rsidR="000E43CB" w:rsidRPr="00551A39" w:rsidRDefault="000E43CB" w:rsidP="00551A39">
      <w:pPr>
        <w:rPr>
          <w:b/>
          <w:bCs/>
          <w:sz w:val="17"/>
          <w:szCs w:val="17"/>
        </w:rPr>
      </w:pPr>
      <w:r w:rsidRPr="00551A39">
        <w:rPr>
          <w:b/>
          <w:bCs/>
          <w:sz w:val="17"/>
          <w:szCs w:val="17"/>
        </w:rPr>
        <w:t>Confidentiality</w:t>
      </w:r>
    </w:p>
    <w:p w14:paraId="069A3B43" w14:textId="4C375025" w:rsidR="002772CC" w:rsidRDefault="00551A39" w:rsidP="006168D3">
      <w:pPr>
        <w:pStyle w:val="LegalCopy"/>
      </w:pPr>
      <w:r>
        <w:t>A</w:t>
      </w:r>
      <w:r w:rsidR="000E43CB" w:rsidRPr="00EB182C">
        <w:t>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bookmarkStart w:id="2" w:name="_Toc323738670"/>
    </w:p>
    <w:p w14:paraId="010A6E3E" w14:textId="77777777" w:rsidR="002772CC" w:rsidRDefault="002772CC">
      <w:pPr>
        <w:spacing w:before="0" w:after="120" w:line="259" w:lineRule="auto"/>
        <w:rPr>
          <w:color w:val="333F4A"/>
          <w:sz w:val="17"/>
        </w:rPr>
      </w:pPr>
      <w:r>
        <w:br w:type="page"/>
      </w:r>
    </w:p>
    <w:sdt>
      <w:sdtPr>
        <w:rPr>
          <w:rFonts w:ascii="Cambria" w:eastAsiaTheme="minorHAnsi" w:hAnsi="Cambria" w:cstheme="minorBidi"/>
          <w:b w:val="0"/>
          <w:color w:val="auto"/>
          <w:sz w:val="22"/>
        </w:rPr>
        <w:id w:val="3701955"/>
        <w:docPartObj>
          <w:docPartGallery w:val="Table of Contents"/>
          <w:docPartUnique/>
        </w:docPartObj>
      </w:sdtPr>
      <w:sdtEndPr>
        <w:rPr>
          <w:rFonts w:ascii="Arial" w:eastAsia="Cambria" w:hAnsi="Arial" w:cs="Times New Roman"/>
          <w:color w:val="333F48"/>
          <w:sz w:val="21"/>
        </w:rPr>
      </w:sdtEndPr>
      <w:sdtContent>
        <w:p w14:paraId="0E90E536" w14:textId="77777777" w:rsidR="002772CC" w:rsidRPr="009401F6" w:rsidRDefault="002772CC" w:rsidP="002772CC">
          <w:pPr>
            <w:pStyle w:val="NonTOCheading2"/>
          </w:pPr>
          <w:r w:rsidRPr="009401F6">
            <w:t>Contents</w:t>
          </w:r>
        </w:p>
        <w:p w14:paraId="4CDAA1F8" w14:textId="7C2A3BAC" w:rsidR="00ED7988" w:rsidRDefault="002772CC">
          <w:pPr>
            <w:pStyle w:val="TOC1"/>
            <w:rPr>
              <w:rFonts w:asciiTheme="minorHAnsi" w:eastAsiaTheme="minorEastAsia" w:hAnsiTheme="minorHAnsi" w:cstheme="minorBidi"/>
              <w:b w:val="0"/>
              <w:noProof/>
              <w:color w:val="auto"/>
              <w:kern w:val="2"/>
              <w:sz w:val="22"/>
              <w:szCs w:val="22"/>
              <w14:ligatures w14:val="standardContextual"/>
            </w:rPr>
          </w:pPr>
          <w:r w:rsidRPr="009401F6">
            <w:fldChar w:fldCharType="begin"/>
          </w:r>
          <w:r w:rsidRPr="009401F6">
            <w:instrText xml:space="preserve"> TOC \h \z \u \t "Heading 2,1,Heading 3,2,Heading 4,3" </w:instrText>
          </w:r>
          <w:r w:rsidRPr="009401F6">
            <w:fldChar w:fldCharType="separate"/>
          </w:r>
          <w:hyperlink w:anchor="_Toc173939938" w:history="1">
            <w:r w:rsidR="00ED7988" w:rsidRPr="00661261">
              <w:rPr>
                <w:rStyle w:val="Hyperlink"/>
                <w:noProof/>
              </w:rPr>
              <w:t>About</w:t>
            </w:r>
            <w:r w:rsidR="00ED7988">
              <w:rPr>
                <w:noProof/>
                <w:webHidden/>
              </w:rPr>
              <w:tab/>
            </w:r>
            <w:r w:rsidR="00ED7988">
              <w:rPr>
                <w:noProof/>
                <w:webHidden/>
              </w:rPr>
              <w:fldChar w:fldCharType="begin"/>
            </w:r>
            <w:r w:rsidR="00ED7988">
              <w:rPr>
                <w:noProof/>
                <w:webHidden/>
              </w:rPr>
              <w:instrText xml:space="preserve"> PAGEREF _Toc173939938 \h </w:instrText>
            </w:r>
            <w:r w:rsidR="00ED7988">
              <w:rPr>
                <w:noProof/>
                <w:webHidden/>
              </w:rPr>
            </w:r>
            <w:r w:rsidR="00ED7988">
              <w:rPr>
                <w:noProof/>
                <w:webHidden/>
              </w:rPr>
              <w:fldChar w:fldCharType="separate"/>
            </w:r>
            <w:r w:rsidR="00ED7988">
              <w:rPr>
                <w:noProof/>
                <w:webHidden/>
              </w:rPr>
              <w:t>6</w:t>
            </w:r>
            <w:r w:rsidR="00ED7988">
              <w:rPr>
                <w:noProof/>
                <w:webHidden/>
              </w:rPr>
              <w:fldChar w:fldCharType="end"/>
            </w:r>
          </w:hyperlink>
        </w:p>
        <w:p w14:paraId="7A8473AB" w14:textId="018EFB76" w:rsidR="00ED7988" w:rsidRDefault="00ED7988">
          <w:pPr>
            <w:pStyle w:val="TOC2"/>
            <w:rPr>
              <w:rFonts w:asciiTheme="minorHAnsi" w:eastAsiaTheme="minorEastAsia" w:hAnsiTheme="minorHAnsi" w:cstheme="minorBidi"/>
              <w:b w:val="0"/>
              <w:noProof/>
              <w:color w:val="auto"/>
              <w:kern w:val="2"/>
              <w:sz w:val="22"/>
              <w:szCs w:val="22"/>
              <w14:ligatures w14:val="standardContextual"/>
            </w:rPr>
          </w:pPr>
          <w:hyperlink w:anchor="_Toc173939939" w:history="1">
            <w:r w:rsidRPr="00661261">
              <w:rPr>
                <w:rStyle w:val="Hyperlink"/>
                <w:noProof/>
              </w:rPr>
              <w:t>AUS Essential Principles</w:t>
            </w:r>
            <w:r>
              <w:rPr>
                <w:noProof/>
                <w:webHidden/>
              </w:rPr>
              <w:tab/>
            </w:r>
            <w:r>
              <w:rPr>
                <w:noProof/>
                <w:webHidden/>
              </w:rPr>
              <w:fldChar w:fldCharType="begin"/>
            </w:r>
            <w:r>
              <w:rPr>
                <w:noProof/>
                <w:webHidden/>
              </w:rPr>
              <w:instrText xml:space="preserve"> PAGEREF _Toc173939939 \h </w:instrText>
            </w:r>
            <w:r>
              <w:rPr>
                <w:noProof/>
                <w:webHidden/>
              </w:rPr>
            </w:r>
            <w:r>
              <w:rPr>
                <w:noProof/>
                <w:webHidden/>
              </w:rPr>
              <w:fldChar w:fldCharType="separate"/>
            </w:r>
            <w:r>
              <w:rPr>
                <w:noProof/>
                <w:webHidden/>
              </w:rPr>
              <w:t>6</w:t>
            </w:r>
            <w:r>
              <w:rPr>
                <w:noProof/>
                <w:webHidden/>
              </w:rPr>
              <w:fldChar w:fldCharType="end"/>
            </w:r>
          </w:hyperlink>
        </w:p>
        <w:p w14:paraId="46565963" w14:textId="2A424DDB" w:rsidR="00ED7988" w:rsidRDefault="00ED7988">
          <w:pPr>
            <w:pStyle w:val="TOC2"/>
            <w:rPr>
              <w:rFonts w:asciiTheme="minorHAnsi" w:eastAsiaTheme="minorEastAsia" w:hAnsiTheme="minorHAnsi" w:cstheme="minorBidi"/>
              <w:b w:val="0"/>
              <w:noProof/>
              <w:color w:val="auto"/>
              <w:kern w:val="2"/>
              <w:sz w:val="22"/>
              <w:szCs w:val="22"/>
              <w14:ligatures w14:val="standardContextual"/>
            </w:rPr>
          </w:pPr>
          <w:hyperlink w:anchor="_Toc173939940" w:history="1">
            <w:r w:rsidRPr="00661261">
              <w:rPr>
                <w:rStyle w:val="Hyperlink"/>
                <w:noProof/>
              </w:rPr>
              <w:t>Approach for the alignment</w:t>
            </w:r>
            <w:r>
              <w:rPr>
                <w:noProof/>
                <w:webHidden/>
              </w:rPr>
              <w:tab/>
            </w:r>
            <w:r>
              <w:rPr>
                <w:noProof/>
                <w:webHidden/>
              </w:rPr>
              <w:fldChar w:fldCharType="begin"/>
            </w:r>
            <w:r>
              <w:rPr>
                <w:noProof/>
                <w:webHidden/>
              </w:rPr>
              <w:instrText xml:space="preserve"> PAGEREF _Toc173939940 \h </w:instrText>
            </w:r>
            <w:r>
              <w:rPr>
                <w:noProof/>
                <w:webHidden/>
              </w:rPr>
            </w:r>
            <w:r>
              <w:rPr>
                <w:noProof/>
                <w:webHidden/>
              </w:rPr>
              <w:fldChar w:fldCharType="separate"/>
            </w:r>
            <w:r>
              <w:rPr>
                <w:noProof/>
                <w:webHidden/>
              </w:rPr>
              <w:t>7</w:t>
            </w:r>
            <w:r>
              <w:rPr>
                <w:noProof/>
                <w:webHidden/>
              </w:rPr>
              <w:fldChar w:fldCharType="end"/>
            </w:r>
          </w:hyperlink>
        </w:p>
        <w:p w14:paraId="79B004F3" w14:textId="7DD6ACB6" w:rsidR="00ED7988" w:rsidRDefault="00ED7988">
          <w:pPr>
            <w:pStyle w:val="TOC3"/>
            <w:rPr>
              <w:rFonts w:asciiTheme="minorHAnsi" w:eastAsiaTheme="minorEastAsia" w:hAnsiTheme="minorHAnsi" w:cstheme="minorBidi"/>
              <w:b w:val="0"/>
              <w:noProof/>
              <w:color w:val="auto"/>
              <w:kern w:val="2"/>
              <w:sz w:val="22"/>
              <w:szCs w:val="22"/>
              <w14:ligatures w14:val="standardContextual"/>
            </w:rPr>
          </w:pPr>
          <w:hyperlink w:anchor="_Toc173939941" w:history="1">
            <w:r w:rsidRPr="00661261">
              <w:rPr>
                <w:rStyle w:val="Hyperlink"/>
                <w:noProof/>
              </w:rPr>
              <w:t>In-scope</w:t>
            </w:r>
            <w:r>
              <w:rPr>
                <w:noProof/>
                <w:webHidden/>
              </w:rPr>
              <w:tab/>
            </w:r>
            <w:r>
              <w:rPr>
                <w:noProof/>
                <w:webHidden/>
              </w:rPr>
              <w:fldChar w:fldCharType="begin"/>
            </w:r>
            <w:r>
              <w:rPr>
                <w:noProof/>
                <w:webHidden/>
              </w:rPr>
              <w:instrText xml:space="preserve"> PAGEREF _Toc173939941 \h </w:instrText>
            </w:r>
            <w:r>
              <w:rPr>
                <w:noProof/>
                <w:webHidden/>
              </w:rPr>
            </w:r>
            <w:r>
              <w:rPr>
                <w:noProof/>
                <w:webHidden/>
              </w:rPr>
              <w:fldChar w:fldCharType="separate"/>
            </w:r>
            <w:r>
              <w:rPr>
                <w:noProof/>
                <w:webHidden/>
              </w:rPr>
              <w:t>7</w:t>
            </w:r>
            <w:r>
              <w:rPr>
                <w:noProof/>
                <w:webHidden/>
              </w:rPr>
              <w:fldChar w:fldCharType="end"/>
            </w:r>
          </w:hyperlink>
        </w:p>
        <w:p w14:paraId="70BAE43F" w14:textId="7B4378E5" w:rsidR="00ED7988" w:rsidRDefault="00ED7988">
          <w:pPr>
            <w:pStyle w:val="TOC3"/>
            <w:rPr>
              <w:rFonts w:asciiTheme="minorHAnsi" w:eastAsiaTheme="minorEastAsia" w:hAnsiTheme="minorHAnsi" w:cstheme="minorBidi"/>
              <w:b w:val="0"/>
              <w:noProof/>
              <w:color w:val="auto"/>
              <w:kern w:val="2"/>
              <w:sz w:val="22"/>
              <w:szCs w:val="22"/>
              <w14:ligatures w14:val="standardContextual"/>
            </w:rPr>
          </w:pPr>
          <w:hyperlink w:anchor="_Toc173939942" w:history="1">
            <w:r w:rsidRPr="00661261">
              <w:rPr>
                <w:rStyle w:val="Hyperlink"/>
                <w:noProof/>
              </w:rPr>
              <w:t>Out-of-scope</w:t>
            </w:r>
            <w:r>
              <w:rPr>
                <w:noProof/>
                <w:webHidden/>
              </w:rPr>
              <w:tab/>
            </w:r>
            <w:r>
              <w:rPr>
                <w:noProof/>
                <w:webHidden/>
              </w:rPr>
              <w:fldChar w:fldCharType="begin"/>
            </w:r>
            <w:r>
              <w:rPr>
                <w:noProof/>
                <w:webHidden/>
              </w:rPr>
              <w:instrText xml:space="preserve"> PAGEREF _Toc173939942 \h </w:instrText>
            </w:r>
            <w:r>
              <w:rPr>
                <w:noProof/>
                <w:webHidden/>
              </w:rPr>
            </w:r>
            <w:r>
              <w:rPr>
                <w:noProof/>
                <w:webHidden/>
              </w:rPr>
              <w:fldChar w:fldCharType="separate"/>
            </w:r>
            <w:r>
              <w:rPr>
                <w:noProof/>
                <w:webHidden/>
              </w:rPr>
              <w:t>8</w:t>
            </w:r>
            <w:r>
              <w:rPr>
                <w:noProof/>
                <w:webHidden/>
              </w:rPr>
              <w:fldChar w:fldCharType="end"/>
            </w:r>
          </w:hyperlink>
        </w:p>
        <w:p w14:paraId="4CD33C66" w14:textId="75E967EB" w:rsidR="00ED7988" w:rsidRDefault="00ED7988">
          <w:pPr>
            <w:pStyle w:val="TOC3"/>
            <w:rPr>
              <w:rFonts w:asciiTheme="minorHAnsi" w:eastAsiaTheme="minorEastAsia" w:hAnsiTheme="minorHAnsi" w:cstheme="minorBidi"/>
              <w:b w:val="0"/>
              <w:noProof/>
              <w:color w:val="auto"/>
              <w:kern w:val="2"/>
              <w:sz w:val="22"/>
              <w:szCs w:val="22"/>
              <w14:ligatures w14:val="standardContextual"/>
            </w:rPr>
          </w:pPr>
          <w:hyperlink w:anchor="_Toc173939943" w:history="1">
            <w:r w:rsidRPr="00661261">
              <w:rPr>
                <w:rStyle w:val="Hyperlink"/>
                <w:noProof/>
              </w:rPr>
              <w:t>Proposal impacting Australian sponsors of IVD devices</w:t>
            </w:r>
            <w:r>
              <w:rPr>
                <w:noProof/>
                <w:webHidden/>
              </w:rPr>
              <w:tab/>
            </w:r>
            <w:r>
              <w:rPr>
                <w:noProof/>
                <w:webHidden/>
              </w:rPr>
              <w:fldChar w:fldCharType="begin"/>
            </w:r>
            <w:r>
              <w:rPr>
                <w:noProof/>
                <w:webHidden/>
              </w:rPr>
              <w:instrText xml:space="preserve"> PAGEREF _Toc173939943 \h </w:instrText>
            </w:r>
            <w:r>
              <w:rPr>
                <w:noProof/>
                <w:webHidden/>
              </w:rPr>
            </w:r>
            <w:r>
              <w:rPr>
                <w:noProof/>
                <w:webHidden/>
              </w:rPr>
              <w:fldChar w:fldCharType="separate"/>
            </w:r>
            <w:r>
              <w:rPr>
                <w:noProof/>
                <w:webHidden/>
              </w:rPr>
              <w:t>8</w:t>
            </w:r>
            <w:r>
              <w:rPr>
                <w:noProof/>
                <w:webHidden/>
              </w:rPr>
              <w:fldChar w:fldCharType="end"/>
            </w:r>
          </w:hyperlink>
        </w:p>
        <w:p w14:paraId="5EC0E41A" w14:textId="4FAF8D82" w:rsidR="00ED7988" w:rsidRDefault="00ED7988">
          <w:pPr>
            <w:pStyle w:val="TOC3"/>
            <w:rPr>
              <w:rFonts w:asciiTheme="minorHAnsi" w:eastAsiaTheme="minorEastAsia" w:hAnsiTheme="minorHAnsi" w:cstheme="minorBidi"/>
              <w:b w:val="0"/>
              <w:noProof/>
              <w:color w:val="auto"/>
              <w:kern w:val="2"/>
              <w:sz w:val="22"/>
              <w:szCs w:val="22"/>
              <w14:ligatures w14:val="standardContextual"/>
            </w:rPr>
          </w:pPr>
          <w:hyperlink w:anchor="_Toc173939944" w:history="1">
            <w:r w:rsidRPr="00661261">
              <w:rPr>
                <w:rStyle w:val="Hyperlink"/>
                <w:noProof/>
              </w:rPr>
              <w:t>Australian-specific proposals</w:t>
            </w:r>
            <w:r>
              <w:rPr>
                <w:noProof/>
                <w:webHidden/>
              </w:rPr>
              <w:tab/>
            </w:r>
            <w:r>
              <w:rPr>
                <w:noProof/>
                <w:webHidden/>
              </w:rPr>
              <w:fldChar w:fldCharType="begin"/>
            </w:r>
            <w:r>
              <w:rPr>
                <w:noProof/>
                <w:webHidden/>
              </w:rPr>
              <w:instrText xml:space="preserve"> PAGEREF _Toc173939944 \h </w:instrText>
            </w:r>
            <w:r>
              <w:rPr>
                <w:noProof/>
                <w:webHidden/>
              </w:rPr>
            </w:r>
            <w:r>
              <w:rPr>
                <w:noProof/>
                <w:webHidden/>
              </w:rPr>
              <w:fldChar w:fldCharType="separate"/>
            </w:r>
            <w:r>
              <w:rPr>
                <w:noProof/>
                <w:webHidden/>
              </w:rPr>
              <w:t>9</w:t>
            </w:r>
            <w:r>
              <w:rPr>
                <w:noProof/>
                <w:webHidden/>
              </w:rPr>
              <w:fldChar w:fldCharType="end"/>
            </w:r>
          </w:hyperlink>
        </w:p>
        <w:p w14:paraId="28FBAB7D" w14:textId="07CB8DEB" w:rsidR="00ED7988" w:rsidRDefault="00ED7988">
          <w:pPr>
            <w:pStyle w:val="TOC3"/>
            <w:rPr>
              <w:rFonts w:asciiTheme="minorHAnsi" w:eastAsiaTheme="minorEastAsia" w:hAnsiTheme="minorHAnsi" w:cstheme="minorBidi"/>
              <w:b w:val="0"/>
              <w:noProof/>
              <w:color w:val="auto"/>
              <w:kern w:val="2"/>
              <w:sz w:val="22"/>
              <w:szCs w:val="22"/>
              <w14:ligatures w14:val="standardContextual"/>
            </w:rPr>
          </w:pPr>
          <w:hyperlink w:anchor="_Toc173939945" w:history="1">
            <w:r w:rsidRPr="00661261">
              <w:rPr>
                <w:rStyle w:val="Hyperlink"/>
                <w:noProof/>
              </w:rPr>
              <w:t>Accompanying reference document</w:t>
            </w:r>
            <w:r>
              <w:rPr>
                <w:noProof/>
                <w:webHidden/>
              </w:rPr>
              <w:tab/>
            </w:r>
            <w:r>
              <w:rPr>
                <w:noProof/>
                <w:webHidden/>
              </w:rPr>
              <w:fldChar w:fldCharType="begin"/>
            </w:r>
            <w:r>
              <w:rPr>
                <w:noProof/>
                <w:webHidden/>
              </w:rPr>
              <w:instrText xml:space="preserve"> PAGEREF _Toc173939945 \h </w:instrText>
            </w:r>
            <w:r>
              <w:rPr>
                <w:noProof/>
                <w:webHidden/>
              </w:rPr>
            </w:r>
            <w:r>
              <w:rPr>
                <w:noProof/>
                <w:webHidden/>
              </w:rPr>
              <w:fldChar w:fldCharType="separate"/>
            </w:r>
            <w:r>
              <w:rPr>
                <w:noProof/>
                <w:webHidden/>
              </w:rPr>
              <w:t>9</w:t>
            </w:r>
            <w:r>
              <w:rPr>
                <w:noProof/>
                <w:webHidden/>
              </w:rPr>
              <w:fldChar w:fldCharType="end"/>
            </w:r>
          </w:hyperlink>
        </w:p>
        <w:p w14:paraId="59EE9F6B" w14:textId="1EF28DA6" w:rsidR="00ED7988" w:rsidRDefault="00ED7988">
          <w:pPr>
            <w:pStyle w:val="TOC3"/>
            <w:rPr>
              <w:rFonts w:asciiTheme="minorHAnsi" w:eastAsiaTheme="minorEastAsia" w:hAnsiTheme="minorHAnsi" w:cstheme="minorBidi"/>
              <w:b w:val="0"/>
              <w:noProof/>
              <w:color w:val="auto"/>
              <w:kern w:val="2"/>
              <w:sz w:val="22"/>
              <w:szCs w:val="22"/>
              <w14:ligatures w14:val="standardContextual"/>
            </w:rPr>
          </w:pPr>
          <w:hyperlink w:anchor="_Toc173939946" w:history="1">
            <w:r w:rsidRPr="00661261">
              <w:rPr>
                <w:rStyle w:val="Hyperlink"/>
                <w:noProof/>
              </w:rPr>
              <w:t>Impacts of the alignment</w:t>
            </w:r>
            <w:r>
              <w:rPr>
                <w:noProof/>
                <w:webHidden/>
              </w:rPr>
              <w:tab/>
            </w:r>
            <w:r>
              <w:rPr>
                <w:noProof/>
                <w:webHidden/>
              </w:rPr>
              <w:fldChar w:fldCharType="begin"/>
            </w:r>
            <w:r>
              <w:rPr>
                <w:noProof/>
                <w:webHidden/>
              </w:rPr>
              <w:instrText xml:space="preserve"> PAGEREF _Toc173939946 \h </w:instrText>
            </w:r>
            <w:r>
              <w:rPr>
                <w:noProof/>
                <w:webHidden/>
              </w:rPr>
            </w:r>
            <w:r>
              <w:rPr>
                <w:noProof/>
                <w:webHidden/>
              </w:rPr>
              <w:fldChar w:fldCharType="separate"/>
            </w:r>
            <w:r>
              <w:rPr>
                <w:noProof/>
                <w:webHidden/>
              </w:rPr>
              <w:t>9</w:t>
            </w:r>
            <w:r>
              <w:rPr>
                <w:noProof/>
                <w:webHidden/>
              </w:rPr>
              <w:fldChar w:fldCharType="end"/>
            </w:r>
          </w:hyperlink>
        </w:p>
        <w:p w14:paraId="3266B0E0" w14:textId="2D4D20D0" w:rsidR="00ED7988" w:rsidRDefault="00ED7988">
          <w:pPr>
            <w:pStyle w:val="TOC3"/>
            <w:rPr>
              <w:rFonts w:asciiTheme="minorHAnsi" w:eastAsiaTheme="minorEastAsia" w:hAnsiTheme="minorHAnsi" w:cstheme="minorBidi"/>
              <w:b w:val="0"/>
              <w:noProof/>
              <w:color w:val="auto"/>
              <w:kern w:val="2"/>
              <w:sz w:val="22"/>
              <w:szCs w:val="22"/>
              <w14:ligatures w14:val="standardContextual"/>
            </w:rPr>
          </w:pPr>
          <w:hyperlink w:anchor="_Toc173939947" w:history="1">
            <w:r w:rsidRPr="00661261">
              <w:rPr>
                <w:rStyle w:val="Hyperlink"/>
                <w:noProof/>
              </w:rPr>
              <w:t>Legislative changes</w:t>
            </w:r>
            <w:r>
              <w:rPr>
                <w:noProof/>
                <w:webHidden/>
              </w:rPr>
              <w:tab/>
            </w:r>
            <w:r>
              <w:rPr>
                <w:noProof/>
                <w:webHidden/>
              </w:rPr>
              <w:fldChar w:fldCharType="begin"/>
            </w:r>
            <w:r>
              <w:rPr>
                <w:noProof/>
                <w:webHidden/>
              </w:rPr>
              <w:instrText xml:space="preserve"> PAGEREF _Toc173939947 \h </w:instrText>
            </w:r>
            <w:r>
              <w:rPr>
                <w:noProof/>
                <w:webHidden/>
              </w:rPr>
            </w:r>
            <w:r>
              <w:rPr>
                <w:noProof/>
                <w:webHidden/>
              </w:rPr>
              <w:fldChar w:fldCharType="separate"/>
            </w:r>
            <w:r>
              <w:rPr>
                <w:noProof/>
                <w:webHidden/>
              </w:rPr>
              <w:t>9</w:t>
            </w:r>
            <w:r>
              <w:rPr>
                <w:noProof/>
                <w:webHidden/>
              </w:rPr>
              <w:fldChar w:fldCharType="end"/>
            </w:r>
          </w:hyperlink>
        </w:p>
        <w:p w14:paraId="289C5585" w14:textId="7EDB0739" w:rsidR="00ED7988" w:rsidRDefault="00ED7988">
          <w:pPr>
            <w:pStyle w:val="TOC1"/>
            <w:rPr>
              <w:rFonts w:asciiTheme="minorHAnsi" w:eastAsiaTheme="minorEastAsia" w:hAnsiTheme="minorHAnsi" w:cstheme="minorBidi"/>
              <w:b w:val="0"/>
              <w:noProof/>
              <w:color w:val="auto"/>
              <w:kern w:val="2"/>
              <w:sz w:val="22"/>
              <w:szCs w:val="22"/>
              <w14:ligatures w14:val="standardContextual"/>
            </w:rPr>
          </w:pPr>
          <w:hyperlink w:anchor="_Toc173939948" w:history="1">
            <w:r w:rsidRPr="00661261">
              <w:rPr>
                <w:rStyle w:val="Hyperlink"/>
                <w:noProof/>
              </w:rPr>
              <w:t>Proposals for alignment</w:t>
            </w:r>
            <w:r>
              <w:rPr>
                <w:noProof/>
                <w:webHidden/>
              </w:rPr>
              <w:tab/>
            </w:r>
            <w:r>
              <w:rPr>
                <w:noProof/>
                <w:webHidden/>
              </w:rPr>
              <w:fldChar w:fldCharType="begin"/>
            </w:r>
            <w:r>
              <w:rPr>
                <w:noProof/>
                <w:webHidden/>
              </w:rPr>
              <w:instrText xml:space="preserve"> PAGEREF _Toc173939948 \h </w:instrText>
            </w:r>
            <w:r>
              <w:rPr>
                <w:noProof/>
                <w:webHidden/>
              </w:rPr>
            </w:r>
            <w:r>
              <w:rPr>
                <w:noProof/>
                <w:webHidden/>
              </w:rPr>
              <w:fldChar w:fldCharType="separate"/>
            </w:r>
            <w:r>
              <w:rPr>
                <w:noProof/>
                <w:webHidden/>
              </w:rPr>
              <w:t>10</w:t>
            </w:r>
            <w:r>
              <w:rPr>
                <w:noProof/>
                <w:webHidden/>
              </w:rPr>
              <w:fldChar w:fldCharType="end"/>
            </w:r>
          </w:hyperlink>
        </w:p>
        <w:p w14:paraId="1089A87C" w14:textId="6F24045B" w:rsidR="00ED7988" w:rsidRDefault="00ED7988">
          <w:pPr>
            <w:pStyle w:val="TOC2"/>
            <w:rPr>
              <w:rFonts w:asciiTheme="minorHAnsi" w:eastAsiaTheme="minorEastAsia" w:hAnsiTheme="minorHAnsi" w:cstheme="minorBidi"/>
              <w:b w:val="0"/>
              <w:noProof/>
              <w:color w:val="auto"/>
              <w:kern w:val="2"/>
              <w:sz w:val="22"/>
              <w:szCs w:val="22"/>
              <w14:ligatures w14:val="standardContextual"/>
            </w:rPr>
          </w:pPr>
          <w:hyperlink w:anchor="_Toc173939949" w:history="1">
            <w:r w:rsidRPr="00661261">
              <w:rPr>
                <w:rStyle w:val="Hyperlink"/>
                <w:noProof/>
              </w:rPr>
              <w:t>Proposal 1: Adopt new AUS Essential Principles</w:t>
            </w:r>
            <w:r>
              <w:rPr>
                <w:noProof/>
                <w:webHidden/>
              </w:rPr>
              <w:tab/>
            </w:r>
            <w:r>
              <w:rPr>
                <w:noProof/>
                <w:webHidden/>
              </w:rPr>
              <w:fldChar w:fldCharType="begin"/>
            </w:r>
            <w:r>
              <w:rPr>
                <w:noProof/>
                <w:webHidden/>
              </w:rPr>
              <w:instrText xml:space="preserve"> PAGEREF _Toc173939949 \h </w:instrText>
            </w:r>
            <w:r>
              <w:rPr>
                <w:noProof/>
                <w:webHidden/>
              </w:rPr>
            </w:r>
            <w:r>
              <w:rPr>
                <w:noProof/>
                <w:webHidden/>
              </w:rPr>
              <w:fldChar w:fldCharType="separate"/>
            </w:r>
            <w:r>
              <w:rPr>
                <w:noProof/>
                <w:webHidden/>
              </w:rPr>
              <w:t>10</w:t>
            </w:r>
            <w:r>
              <w:rPr>
                <w:noProof/>
                <w:webHidden/>
              </w:rPr>
              <w:fldChar w:fldCharType="end"/>
            </w:r>
          </w:hyperlink>
        </w:p>
        <w:p w14:paraId="0C11565F" w14:textId="2E8D3C51" w:rsidR="00ED7988" w:rsidRDefault="00ED7988">
          <w:pPr>
            <w:pStyle w:val="TOC3"/>
            <w:rPr>
              <w:rFonts w:asciiTheme="minorHAnsi" w:eastAsiaTheme="minorEastAsia" w:hAnsiTheme="minorHAnsi" w:cstheme="minorBidi"/>
              <w:b w:val="0"/>
              <w:noProof/>
              <w:color w:val="auto"/>
              <w:kern w:val="2"/>
              <w:sz w:val="22"/>
              <w:szCs w:val="22"/>
              <w14:ligatures w14:val="standardContextual"/>
            </w:rPr>
          </w:pPr>
          <w:hyperlink w:anchor="_Toc173939950" w:history="1">
            <w:r w:rsidRPr="00661261">
              <w:rPr>
                <w:rStyle w:val="Hyperlink"/>
                <w:noProof/>
              </w:rPr>
              <w:t>Questions</w:t>
            </w:r>
            <w:r>
              <w:rPr>
                <w:noProof/>
                <w:webHidden/>
              </w:rPr>
              <w:tab/>
            </w:r>
            <w:r>
              <w:rPr>
                <w:noProof/>
                <w:webHidden/>
              </w:rPr>
              <w:fldChar w:fldCharType="begin"/>
            </w:r>
            <w:r>
              <w:rPr>
                <w:noProof/>
                <w:webHidden/>
              </w:rPr>
              <w:instrText xml:space="preserve"> PAGEREF _Toc173939950 \h </w:instrText>
            </w:r>
            <w:r>
              <w:rPr>
                <w:noProof/>
                <w:webHidden/>
              </w:rPr>
            </w:r>
            <w:r>
              <w:rPr>
                <w:noProof/>
                <w:webHidden/>
              </w:rPr>
              <w:fldChar w:fldCharType="separate"/>
            </w:r>
            <w:r>
              <w:rPr>
                <w:noProof/>
                <w:webHidden/>
              </w:rPr>
              <w:t>10</w:t>
            </w:r>
            <w:r>
              <w:rPr>
                <w:noProof/>
                <w:webHidden/>
              </w:rPr>
              <w:fldChar w:fldCharType="end"/>
            </w:r>
          </w:hyperlink>
        </w:p>
        <w:p w14:paraId="102B2C44" w14:textId="07181B3A" w:rsidR="00ED7988" w:rsidRDefault="00ED7988">
          <w:pPr>
            <w:pStyle w:val="TOC2"/>
            <w:rPr>
              <w:rFonts w:asciiTheme="minorHAnsi" w:eastAsiaTheme="minorEastAsia" w:hAnsiTheme="minorHAnsi" w:cstheme="minorBidi"/>
              <w:b w:val="0"/>
              <w:noProof/>
              <w:color w:val="auto"/>
              <w:kern w:val="2"/>
              <w:sz w:val="22"/>
              <w:szCs w:val="22"/>
              <w14:ligatures w14:val="standardContextual"/>
            </w:rPr>
          </w:pPr>
          <w:hyperlink w:anchor="_Toc173939951" w:history="1">
            <w:r w:rsidRPr="00661261">
              <w:rPr>
                <w:rStyle w:val="Hyperlink"/>
                <w:noProof/>
              </w:rPr>
              <w:t>Proposal 2: Amend AUS Essential Principles 2 and 4</w:t>
            </w:r>
            <w:r>
              <w:rPr>
                <w:noProof/>
                <w:webHidden/>
              </w:rPr>
              <w:tab/>
            </w:r>
            <w:r>
              <w:rPr>
                <w:noProof/>
                <w:webHidden/>
              </w:rPr>
              <w:fldChar w:fldCharType="begin"/>
            </w:r>
            <w:r>
              <w:rPr>
                <w:noProof/>
                <w:webHidden/>
              </w:rPr>
              <w:instrText xml:space="preserve"> PAGEREF _Toc173939951 \h </w:instrText>
            </w:r>
            <w:r>
              <w:rPr>
                <w:noProof/>
                <w:webHidden/>
              </w:rPr>
            </w:r>
            <w:r>
              <w:rPr>
                <w:noProof/>
                <w:webHidden/>
              </w:rPr>
              <w:fldChar w:fldCharType="separate"/>
            </w:r>
            <w:r>
              <w:rPr>
                <w:noProof/>
                <w:webHidden/>
              </w:rPr>
              <w:t>10</w:t>
            </w:r>
            <w:r>
              <w:rPr>
                <w:noProof/>
                <w:webHidden/>
              </w:rPr>
              <w:fldChar w:fldCharType="end"/>
            </w:r>
          </w:hyperlink>
        </w:p>
        <w:p w14:paraId="634DF78E" w14:textId="29B39F78" w:rsidR="00ED7988" w:rsidRDefault="00ED7988">
          <w:pPr>
            <w:pStyle w:val="TOC3"/>
            <w:rPr>
              <w:rFonts w:asciiTheme="minorHAnsi" w:eastAsiaTheme="minorEastAsia" w:hAnsiTheme="minorHAnsi" w:cstheme="minorBidi"/>
              <w:b w:val="0"/>
              <w:noProof/>
              <w:color w:val="auto"/>
              <w:kern w:val="2"/>
              <w:sz w:val="22"/>
              <w:szCs w:val="22"/>
              <w14:ligatures w14:val="standardContextual"/>
            </w:rPr>
          </w:pPr>
          <w:hyperlink w:anchor="_Toc173939952" w:history="1">
            <w:r w:rsidRPr="00661261">
              <w:rPr>
                <w:rStyle w:val="Hyperlink"/>
                <w:noProof/>
              </w:rPr>
              <w:t>Questions</w:t>
            </w:r>
            <w:r>
              <w:rPr>
                <w:noProof/>
                <w:webHidden/>
              </w:rPr>
              <w:tab/>
            </w:r>
            <w:r>
              <w:rPr>
                <w:noProof/>
                <w:webHidden/>
              </w:rPr>
              <w:fldChar w:fldCharType="begin"/>
            </w:r>
            <w:r>
              <w:rPr>
                <w:noProof/>
                <w:webHidden/>
              </w:rPr>
              <w:instrText xml:space="preserve"> PAGEREF _Toc173939952 \h </w:instrText>
            </w:r>
            <w:r>
              <w:rPr>
                <w:noProof/>
                <w:webHidden/>
              </w:rPr>
            </w:r>
            <w:r>
              <w:rPr>
                <w:noProof/>
                <w:webHidden/>
              </w:rPr>
              <w:fldChar w:fldCharType="separate"/>
            </w:r>
            <w:r>
              <w:rPr>
                <w:noProof/>
                <w:webHidden/>
              </w:rPr>
              <w:t>10</w:t>
            </w:r>
            <w:r>
              <w:rPr>
                <w:noProof/>
                <w:webHidden/>
              </w:rPr>
              <w:fldChar w:fldCharType="end"/>
            </w:r>
          </w:hyperlink>
        </w:p>
        <w:p w14:paraId="411EEE09" w14:textId="30A6467C" w:rsidR="00ED7988" w:rsidRDefault="00ED7988">
          <w:pPr>
            <w:pStyle w:val="TOC1"/>
            <w:rPr>
              <w:rFonts w:asciiTheme="minorHAnsi" w:eastAsiaTheme="minorEastAsia" w:hAnsiTheme="minorHAnsi" w:cstheme="minorBidi"/>
              <w:b w:val="0"/>
              <w:noProof/>
              <w:color w:val="auto"/>
              <w:kern w:val="2"/>
              <w:sz w:val="22"/>
              <w:szCs w:val="22"/>
              <w14:ligatures w14:val="standardContextual"/>
            </w:rPr>
          </w:pPr>
          <w:hyperlink w:anchor="_Toc173939953" w:history="1">
            <w:r w:rsidRPr="00661261">
              <w:rPr>
                <w:rStyle w:val="Hyperlink"/>
                <w:noProof/>
              </w:rPr>
              <w:t>Design and Construction: AUS Essential Principles 7 – 12 and 15</w:t>
            </w:r>
            <w:r>
              <w:rPr>
                <w:noProof/>
                <w:webHidden/>
              </w:rPr>
              <w:tab/>
            </w:r>
            <w:r>
              <w:rPr>
                <w:noProof/>
                <w:webHidden/>
              </w:rPr>
              <w:fldChar w:fldCharType="begin"/>
            </w:r>
            <w:r>
              <w:rPr>
                <w:noProof/>
                <w:webHidden/>
              </w:rPr>
              <w:instrText xml:space="preserve"> PAGEREF _Toc173939953 \h </w:instrText>
            </w:r>
            <w:r>
              <w:rPr>
                <w:noProof/>
                <w:webHidden/>
              </w:rPr>
            </w:r>
            <w:r>
              <w:rPr>
                <w:noProof/>
                <w:webHidden/>
              </w:rPr>
              <w:fldChar w:fldCharType="separate"/>
            </w:r>
            <w:r>
              <w:rPr>
                <w:noProof/>
                <w:webHidden/>
              </w:rPr>
              <w:t>11</w:t>
            </w:r>
            <w:r>
              <w:rPr>
                <w:noProof/>
                <w:webHidden/>
              </w:rPr>
              <w:fldChar w:fldCharType="end"/>
            </w:r>
          </w:hyperlink>
        </w:p>
        <w:p w14:paraId="5A9E94E0" w14:textId="6EF01991" w:rsidR="00ED7988" w:rsidRDefault="00ED7988">
          <w:pPr>
            <w:pStyle w:val="TOC2"/>
            <w:rPr>
              <w:rFonts w:asciiTheme="minorHAnsi" w:eastAsiaTheme="minorEastAsia" w:hAnsiTheme="minorHAnsi" w:cstheme="minorBidi"/>
              <w:b w:val="0"/>
              <w:noProof/>
              <w:color w:val="auto"/>
              <w:kern w:val="2"/>
              <w:sz w:val="22"/>
              <w:szCs w:val="22"/>
              <w14:ligatures w14:val="standardContextual"/>
            </w:rPr>
          </w:pPr>
          <w:hyperlink w:anchor="_Toc173939954" w:history="1">
            <w:r w:rsidRPr="00661261">
              <w:rPr>
                <w:rStyle w:val="Hyperlink"/>
                <w:noProof/>
              </w:rPr>
              <w:t>Proposal 3: Amend AUS Essential Principle 7 – Chemical, physical and biological properties</w:t>
            </w:r>
            <w:r>
              <w:rPr>
                <w:noProof/>
                <w:webHidden/>
              </w:rPr>
              <w:tab/>
            </w:r>
            <w:r>
              <w:rPr>
                <w:noProof/>
                <w:webHidden/>
              </w:rPr>
              <w:fldChar w:fldCharType="begin"/>
            </w:r>
            <w:r>
              <w:rPr>
                <w:noProof/>
                <w:webHidden/>
              </w:rPr>
              <w:instrText xml:space="preserve"> PAGEREF _Toc173939954 \h </w:instrText>
            </w:r>
            <w:r>
              <w:rPr>
                <w:noProof/>
                <w:webHidden/>
              </w:rPr>
            </w:r>
            <w:r>
              <w:rPr>
                <w:noProof/>
                <w:webHidden/>
              </w:rPr>
              <w:fldChar w:fldCharType="separate"/>
            </w:r>
            <w:r>
              <w:rPr>
                <w:noProof/>
                <w:webHidden/>
              </w:rPr>
              <w:t>11</w:t>
            </w:r>
            <w:r>
              <w:rPr>
                <w:noProof/>
                <w:webHidden/>
              </w:rPr>
              <w:fldChar w:fldCharType="end"/>
            </w:r>
          </w:hyperlink>
        </w:p>
        <w:p w14:paraId="10C24BC4" w14:textId="537C24DE" w:rsidR="00ED7988" w:rsidRDefault="00ED7988">
          <w:pPr>
            <w:pStyle w:val="TOC3"/>
            <w:rPr>
              <w:rFonts w:asciiTheme="minorHAnsi" w:eastAsiaTheme="minorEastAsia" w:hAnsiTheme="minorHAnsi" w:cstheme="minorBidi"/>
              <w:b w:val="0"/>
              <w:noProof/>
              <w:color w:val="auto"/>
              <w:kern w:val="2"/>
              <w:sz w:val="22"/>
              <w:szCs w:val="22"/>
              <w14:ligatures w14:val="standardContextual"/>
            </w:rPr>
          </w:pPr>
          <w:hyperlink w:anchor="_Toc173939955" w:history="1">
            <w:r w:rsidRPr="00661261">
              <w:rPr>
                <w:rStyle w:val="Hyperlink"/>
                <w:noProof/>
              </w:rPr>
              <w:t>Questions</w:t>
            </w:r>
            <w:r>
              <w:rPr>
                <w:noProof/>
                <w:webHidden/>
              </w:rPr>
              <w:tab/>
            </w:r>
            <w:r>
              <w:rPr>
                <w:noProof/>
                <w:webHidden/>
              </w:rPr>
              <w:fldChar w:fldCharType="begin"/>
            </w:r>
            <w:r>
              <w:rPr>
                <w:noProof/>
                <w:webHidden/>
              </w:rPr>
              <w:instrText xml:space="preserve"> PAGEREF _Toc173939955 \h </w:instrText>
            </w:r>
            <w:r>
              <w:rPr>
                <w:noProof/>
                <w:webHidden/>
              </w:rPr>
            </w:r>
            <w:r>
              <w:rPr>
                <w:noProof/>
                <w:webHidden/>
              </w:rPr>
              <w:fldChar w:fldCharType="separate"/>
            </w:r>
            <w:r>
              <w:rPr>
                <w:noProof/>
                <w:webHidden/>
              </w:rPr>
              <w:t>11</w:t>
            </w:r>
            <w:r>
              <w:rPr>
                <w:noProof/>
                <w:webHidden/>
              </w:rPr>
              <w:fldChar w:fldCharType="end"/>
            </w:r>
          </w:hyperlink>
        </w:p>
        <w:p w14:paraId="08E15162" w14:textId="291F570F" w:rsidR="00ED7988" w:rsidRDefault="00ED7988">
          <w:pPr>
            <w:pStyle w:val="TOC2"/>
            <w:rPr>
              <w:rFonts w:asciiTheme="minorHAnsi" w:eastAsiaTheme="minorEastAsia" w:hAnsiTheme="minorHAnsi" w:cstheme="minorBidi"/>
              <w:b w:val="0"/>
              <w:noProof/>
              <w:color w:val="auto"/>
              <w:kern w:val="2"/>
              <w:sz w:val="22"/>
              <w:szCs w:val="22"/>
              <w14:ligatures w14:val="standardContextual"/>
            </w:rPr>
          </w:pPr>
          <w:hyperlink w:anchor="_Toc173939956" w:history="1">
            <w:r w:rsidRPr="00661261">
              <w:rPr>
                <w:rStyle w:val="Hyperlink"/>
                <w:noProof/>
              </w:rPr>
              <w:t>Proposal 4: Amend AUS Essential Principle 8 – Infection and microbial contamination</w:t>
            </w:r>
            <w:r>
              <w:rPr>
                <w:noProof/>
                <w:webHidden/>
              </w:rPr>
              <w:tab/>
            </w:r>
            <w:r>
              <w:rPr>
                <w:noProof/>
                <w:webHidden/>
              </w:rPr>
              <w:fldChar w:fldCharType="begin"/>
            </w:r>
            <w:r>
              <w:rPr>
                <w:noProof/>
                <w:webHidden/>
              </w:rPr>
              <w:instrText xml:space="preserve"> PAGEREF _Toc173939956 \h </w:instrText>
            </w:r>
            <w:r>
              <w:rPr>
                <w:noProof/>
                <w:webHidden/>
              </w:rPr>
            </w:r>
            <w:r>
              <w:rPr>
                <w:noProof/>
                <w:webHidden/>
              </w:rPr>
              <w:fldChar w:fldCharType="separate"/>
            </w:r>
            <w:r>
              <w:rPr>
                <w:noProof/>
                <w:webHidden/>
              </w:rPr>
              <w:t>11</w:t>
            </w:r>
            <w:r>
              <w:rPr>
                <w:noProof/>
                <w:webHidden/>
              </w:rPr>
              <w:fldChar w:fldCharType="end"/>
            </w:r>
          </w:hyperlink>
        </w:p>
        <w:p w14:paraId="46FBD266" w14:textId="77AA6114" w:rsidR="00ED7988" w:rsidRDefault="00ED7988">
          <w:pPr>
            <w:pStyle w:val="TOC3"/>
            <w:rPr>
              <w:rFonts w:asciiTheme="minorHAnsi" w:eastAsiaTheme="minorEastAsia" w:hAnsiTheme="minorHAnsi" w:cstheme="minorBidi"/>
              <w:b w:val="0"/>
              <w:noProof/>
              <w:color w:val="auto"/>
              <w:kern w:val="2"/>
              <w:sz w:val="22"/>
              <w:szCs w:val="22"/>
              <w14:ligatures w14:val="standardContextual"/>
            </w:rPr>
          </w:pPr>
          <w:hyperlink w:anchor="_Toc173939957" w:history="1">
            <w:r w:rsidRPr="00661261">
              <w:rPr>
                <w:rStyle w:val="Hyperlink"/>
                <w:noProof/>
              </w:rPr>
              <w:t>Questions</w:t>
            </w:r>
            <w:r>
              <w:rPr>
                <w:noProof/>
                <w:webHidden/>
              </w:rPr>
              <w:tab/>
            </w:r>
            <w:r>
              <w:rPr>
                <w:noProof/>
                <w:webHidden/>
              </w:rPr>
              <w:fldChar w:fldCharType="begin"/>
            </w:r>
            <w:r>
              <w:rPr>
                <w:noProof/>
                <w:webHidden/>
              </w:rPr>
              <w:instrText xml:space="preserve"> PAGEREF _Toc173939957 \h </w:instrText>
            </w:r>
            <w:r>
              <w:rPr>
                <w:noProof/>
                <w:webHidden/>
              </w:rPr>
            </w:r>
            <w:r>
              <w:rPr>
                <w:noProof/>
                <w:webHidden/>
              </w:rPr>
              <w:fldChar w:fldCharType="separate"/>
            </w:r>
            <w:r>
              <w:rPr>
                <w:noProof/>
                <w:webHidden/>
              </w:rPr>
              <w:t>12</w:t>
            </w:r>
            <w:r>
              <w:rPr>
                <w:noProof/>
                <w:webHidden/>
              </w:rPr>
              <w:fldChar w:fldCharType="end"/>
            </w:r>
          </w:hyperlink>
        </w:p>
        <w:p w14:paraId="45C37CEE" w14:textId="30DEF6E1" w:rsidR="00ED7988" w:rsidRDefault="00ED7988">
          <w:pPr>
            <w:pStyle w:val="TOC2"/>
            <w:rPr>
              <w:rFonts w:asciiTheme="minorHAnsi" w:eastAsiaTheme="minorEastAsia" w:hAnsiTheme="minorHAnsi" w:cstheme="minorBidi"/>
              <w:b w:val="0"/>
              <w:noProof/>
              <w:color w:val="auto"/>
              <w:kern w:val="2"/>
              <w:sz w:val="22"/>
              <w:szCs w:val="22"/>
              <w14:ligatures w14:val="standardContextual"/>
            </w:rPr>
          </w:pPr>
          <w:hyperlink w:anchor="_Toc173939958" w:history="1">
            <w:r w:rsidRPr="00661261">
              <w:rPr>
                <w:rStyle w:val="Hyperlink"/>
                <w:noProof/>
              </w:rPr>
              <w:t>Proposal 5: Amend AUS Essential Principle 9 – Construction and environmental properties</w:t>
            </w:r>
            <w:r>
              <w:rPr>
                <w:noProof/>
                <w:webHidden/>
              </w:rPr>
              <w:tab/>
            </w:r>
            <w:r>
              <w:rPr>
                <w:noProof/>
                <w:webHidden/>
              </w:rPr>
              <w:fldChar w:fldCharType="begin"/>
            </w:r>
            <w:r>
              <w:rPr>
                <w:noProof/>
                <w:webHidden/>
              </w:rPr>
              <w:instrText xml:space="preserve"> PAGEREF _Toc173939958 \h </w:instrText>
            </w:r>
            <w:r>
              <w:rPr>
                <w:noProof/>
                <w:webHidden/>
              </w:rPr>
            </w:r>
            <w:r>
              <w:rPr>
                <w:noProof/>
                <w:webHidden/>
              </w:rPr>
              <w:fldChar w:fldCharType="separate"/>
            </w:r>
            <w:r>
              <w:rPr>
                <w:noProof/>
                <w:webHidden/>
              </w:rPr>
              <w:t>12</w:t>
            </w:r>
            <w:r>
              <w:rPr>
                <w:noProof/>
                <w:webHidden/>
              </w:rPr>
              <w:fldChar w:fldCharType="end"/>
            </w:r>
          </w:hyperlink>
        </w:p>
        <w:p w14:paraId="779C832F" w14:textId="49A2117A" w:rsidR="00ED7988" w:rsidRDefault="00ED7988">
          <w:pPr>
            <w:pStyle w:val="TOC3"/>
            <w:rPr>
              <w:rFonts w:asciiTheme="minorHAnsi" w:eastAsiaTheme="minorEastAsia" w:hAnsiTheme="minorHAnsi" w:cstheme="minorBidi"/>
              <w:b w:val="0"/>
              <w:noProof/>
              <w:color w:val="auto"/>
              <w:kern w:val="2"/>
              <w:sz w:val="22"/>
              <w:szCs w:val="22"/>
              <w14:ligatures w14:val="standardContextual"/>
            </w:rPr>
          </w:pPr>
          <w:hyperlink w:anchor="_Toc173939959" w:history="1">
            <w:r w:rsidRPr="00661261">
              <w:rPr>
                <w:rStyle w:val="Hyperlink"/>
                <w:noProof/>
              </w:rPr>
              <w:t>Questions</w:t>
            </w:r>
            <w:r>
              <w:rPr>
                <w:noProof/>
                <w:webHidden/>
              </w:rPr>
              <w:tab/>
            </w:r>
            <w:r>
              <w:rPr>
                <w:noProof/>
                <w:webHidden/>
              </w:rPr>
              <w:fldChar w:fldCharType="begin"/>
            </w:r>
            <w:r>
              <w:rPr>
                <w:noProof/>
                <w:webHidden/>
              </w:rPr>
              <w:instrText xml:space="preserve"> PAGEREF _Toc173939959 \h </w:instrText>
            </w:r>
            <w:r>
              <w:rPr>
                <w:noProof/>
                <w:webHidden/>
              </w:rPr>
            </w:r>
            <w:r>
              <w:rPr>
                <w:noProof/>
                <w:webHidden/>
              </w:rPr>
              <w:fldChar w:fldCharType="separate"/>
            </w:r>
            <w:r>
              <w:rPr>
                <w:noProof/>
                <w:webHidden/>
              </w:rPr>
              <w:t>12</w:t>
            </w:r>
            <w:r>
              <w:rPr>
                <w:noProof/>
                <w:webHidden/>
              </w:rPr>
              <w:fldChar w:fldCharType="end"/>
            </w:r>
          </w:hyperlink>
        </w:p>
        <w:p w14:paraId="4A61A247" w14:textId="700B85EA" w:rsidR="00ED7988" w:rsidRDefault="00ED7988">
          <w:pPr>
            <w:pStyle w:val="TOC2"/>
            <w:rPr>
              <w:rFonts w:asciiTheme="minorHAnsi" w:eastAsiaTheme="minorEastAsia" w:hAnsiTheme="minorHAnsi" w:cstheme="minorBidi"/>
              <w:b w:val="0"/>
              <w:noProof/>
              <w:color w:val="auto"/>
              <w:kern w:val="2"/>
              <w:sz w:val="22"/>
              <w:szCs w:val="22"/>
              <w14:ligatures w14:val="standardContextual"/>
            </w:rPr>
          </w:pPr>
          <w:hyperlink w:anchor="_Toc173939960" w:history="1">
            <w:r w:rsidRPr="00661261">
              <w:rPr>
                <w:rStyle w:val="Hyperlink"/>
                <w:noProof/>
              </w:rPr>
              <w:t>Proposal 6: Amend AUS Essential Principle 11 – Protection against radiation</w:t>
            </w:r>
            <w:r>
              <w:rPr>
                <w:noProof/>
                <w:webHidden/>
              </w:rPr>
              <w:tab/>
            </w:r>
            <w:r>
              <w:rPr>
                <w:noProof/>
                <w:webHidden/>
              </w:rPr>
              <w:fldChar w:fldCharType="begin"/>
            </w:r>
            <w:r>
              <w:rPr>
                <w:noProof/>
                <w:webHidden/>
              </w:rPr>
              <w:instrText xml:space="preserve"> PAGEREF _Toc173939960 \h </w:instrText>
            </w:r>
            <w:r>
              <w:rPr>
                <w:noProof/>
                <w:webHidden/>
              </w:rPr>
            </w:r>
            <w:r>
              <w:rPr>
                <w:noProof/>
                <w:webHidden/>
              </w:rPr>
              <w:fldChar w:fldCharType="separate"/>
            </w:r>
            <w:r>
              <w:rPr>
                <w:noProof/>
                <w:webHidden/>
              </w:rPr>
              <w:t>12</w:t>
            </w:r>
            <w:r>
              <w:rPr>
                <w:noProof/>
                <w:webHidden/>
              </w:rPr>
              <w:fldChar w:fldCharType="end"/>
            </w:r>
          </w:hyperlink>
        </w:p>
        <w:p w14:paraId="1E9B4F8B" w14:textId="0F4C9A64" w:rsidR="00ED7988" w:rsidRDefault="00ED7988">
          <w:pPr>
            <w:pStyle w:val="TOC3"/>
            <w:rPr>
              <w:rFonts w:asciiTheme="minorHAnsi" w:eastAsiaTheme="minorEastAsia" w:hAnsiTheme="minorHAnsi" w:cstheme="minorBidi"/>
              <w:b w:val="0"/>
              <w:noProof/>
              <w:color w:val="auto"/>
              <w:kern w:val="2"/>
              <w:sz w:val="22"/>
              <w:szCs w:val="22"/>
              <w14:ligatures w14:val="standardContextual"/>
            </w:rPr>
          </w:pPr>
          <w:hyperlink w:anchor="_Toc173939961" w:history="1">
            <w:r w:rsidRPr="00661261">
              <w:rPr>
                <w:rStyle w:val="Hyperlink"/>
                <w:noProof/>
              </w:rPr>
              <w:t>AUS-specific proposal</w:t>
            </w:r>
            <w:r>
              <w:rPr>
                <w:noProof/>
                <w:webHidden/>
              </w:rPr>
              <w:tab/>
            </w:r>
            <w:r>
              <w:rPr>
                <w:noProof/>
                <w:webHidden/>
              </w:rPr>
              <w:fldChar w:fldCharType="begin"/>
            </w:r>
            <w:r>
              <w:rPr>
                <w:noProof/>
                <w:webHidden/>
              </w:rPr>
              <w:instrText xml:space="preserve"> PAGEREF _Toc173939961 \h </w:instrText>
            </w:r>
            <w:r>
              <w:rPr>
                <w:noProof/>
                <w:webHidden/>
              </w:rPr>
            </w:r>
            <w:r>
              <w:rPr>
                <w:noProof/>
                <w:webHidden/>
              </w:rPr>
              <w:fldChar w:fldCharType="separate"/>
            </w:r>
            <w:r>
              <w:rPr>
                <w:noProof/>
                <w:webHidden/>
              </w:rPr>
              <w:t>13</w:t>
            </w:r>
            <w:r>
              <w:rPr>
                <w:noProof/>
                <w:webHidden/>
              </w:rPr>
              <w:fldChar w:fldCharType="end"/>
            </w:r>
          </w:hyperlink>
        </w:p>
        <w:p w14:paraId="4747417E" w14:textId="64B660D5" w:rsidR="00ED7988" w:rsidRDefault="00ED7988">
          <w:pPr>
            <w:pStyle w:val="TOC3"/>
            <w:rPr>
              <w:rFonts w:asciiTheme="minorHAnsi" w:eastAsiaTheme="minorEastAsia" w:hAnsiTheme="minorHAnsi" w:cstheme="minorBidi"/>
              <w:b w:val="0"/>
              <w:noProof/>
              <w:color w:val="auto"/>
              <w:kern w:val="2"/>
              <w:sz w:val="22"/>
              <w:szCs w:val="22"/>
              <w14:ligatures w14:val="standardContextual"/>
            </w:rPr>
          </w:pPr>
          <w:hyperlink w:anchor="_Toc173939962" w:history="1">
            <w:r w:rsidRPr="00661261">
              <w:rPr>
                <w:rStyle w:val="Hyperlink"/>
                <w:noProof/>
              </w:rPr>
              <w:t>Questions</w:t>
            </w:r>
            <w:r>
              <w:rPr>
                <w:noProof/>
                <w:webHidden/>
              </w:rPr>
              <w:tab/>
            </w:r>
            <w:r>
              <w:rPr>
                <w:noProof/>
                <w:webHidden/>
              </w:rPr>
              <w:fldChar w:fldCharType="begin"/>
            </w:r>
            <w:r>
              <w:rPr>
                <w:noProof/>
                <w:webHidden/>
              </w:rPr>
              <w:instrText xml:space="preserve"> PAGEREF _Toc173939962 \h </w:instrText>
            </w:r>
            <w:r>
              <w:rPr>
                <w:noProof/>
                <w:webHidden/>
              </w:rPr>
            </w:r>
            <w:r>
              <w:rPr>
                <w:noProof/>
                <w:webHidden/>
              </w:rPr>
              <w:fldChar w:fldCharType="separate"/>
            </w:r>
            <w:r>
              <w:rPr>
                <w:noProof/>
                <w:webHidden/>
              </w:rPr>
              <w:t>13</w:t>
            </w:r>
            <w:r>
              <w:rPr>
                <w:noProof/>
                <w:webHidden/>
              </w:rPr>
              <w:fldChar w:fldCharType="end"/>
            </w:r>
          </w:hyperlink>
        </w:p>
        <w:p w14:paraId="13A848E1" w14:textId="2A5AC8E4" w:rsidR="00ED7988" w:rsidRDefault="00ED7988">
          <w:pPr>
            <w:pStyle w:val="TOC2"/>
            <w:rPr>
              <w:rFonts w:asciiTheme="minorHAnsi" w:eastAsiaTheme="minorEastAsia" w:hAnsiTheme="minorHAnsi" w:cstheme="minorBidi"/>
              <w:b w:val="0"/>
              <w:noProof/>
              <w:color w:val="auto"/>
              <w:kern w:val="2"/>
              <w:sz w:val="22"/>
              <w:szCs w:val="22"/>
              <w14:ligatures w14:val="standardContextual"/>
            </w:rPr>
          </w:pPr>
          <w:hyperlink w:anchor="_Toc173939963" w:history="1">
            <w:r w:rsidRPr="00661261">
              <w:rPr>
                <w:rStyle w:val="Hyperlink"/>
                <w:noProof/>
              </w:rPr>
              <w:t>Proposal 7: Amend AUS Essential Principle 12 – Medical devices connected to or equipped with an energy source</w:t>
            </w:r>
            <w:r>
              <w:rPr>
                <w:noProof/>
                <w:webHidden/>
              </w:rPr>
              <w:tab/>
            </w:r>
            <w:r>
              <w:rPr>
                <w:noProof/>
                <w:webHidden/>
              </w:rPr>
              <w:fldChar w:fldCharType="begin"/>
            </w:r>
            <w:r>
              <w:rPr>
                <w:noProof/>
                <w:webHidden/>
              </w:rPr>
              <w:instrText xml:space="preserve"> PAGEREF _Toc173939963 \h </w:instrText>
            </w:r>
            <w:r>
              <w:rPr>
                <w:noProof/>
                <w:webHidden/>
              </w:rPr>
            </w:r>
            <w:r>
              <w:rPr>
                <w:noProof/>
                <w:webHidden/>
              </w:rPr>
              <w:fldChar w:fldCharType="separate"/>
            </w:r>
            <w:r>
              <w:rPr>
                <w:noProof/>
                <w:webHidden/>
              </w:rPr>
              <w:t>13</w:t>
            </w:r>
            <w:r>
              <w:rPr>
                <w:noProof/>
                <w:webHidden/>
              </w:rPr>
              <w:fldChar w:fldCharType="end"/>
            </w:r>
          </w:hyperlink>
        </w:p>
        <w:p w14:paraId="3A00ABDE" w14:textId="314C1879" w:rsidR="00ED7988" w:rsidRDefault="00ED7988">
          <w:pPr>
            <w:pStyle w:val="TOC3"/>
            <w:rPr>
              <w:rFonts w:asciiTheme="minorHAnsi" w:eastAsiaTheme="minorEastAsia" w:hAnsiTheme="minorHAnsi" w:cstheme="minorBidi"/>
              <w:b w:val="0"/>
              <w:noProof/>
              <w:color w:val="auto"/>
              <w:kern w:val="2"/>
              <w:sz w:val="22"/>
              <w:szCs w:val="22"/>
              <w14:ligatures w14:val="standardContextual"/>
            </w:rPr>
          </w:pPr>
          <w:hyperlink w:anchor="_Toc173939964" w:history="1">
            <w:r w:rsidRPr="00661261">
              <w:rPr>
                <w:rStyle w:val="Hyperlink"/>
                <w:noProof/>
              </w:rPr>
              <w:t>Questions</w:t>
            </w:r>
            <w:r>
              <w:rPr>
                <w:noProof/>
                <w:webHidden/>
              </w:rPr>
              <w:tab/>
            </w:r>
            <w:r>
              <w:rPr>
                <w:noProof/>
                <w:webHidden/>
              </w:rPr>
              <w:fldChar w:fldCharType="begin"/>
            </w:r>
            <w:r>
              <w:rPr>
                <w:noProof/>
                <w:webHidden/>
              </w:rPr>
              <w:instrText xml:space="preserve"> PAGEREF _Toc173939964 \h </w:instrText>
            </w:r>
            <w:r>
              <w:rPr>
                <w:noProof/>
                <w:webHidden/>
              </w:rPr>
            </w:r>
            <w:r>
              <w:rPr>
                <w:noProof/>
                <w:webHidden/>
              </w:rPr>
              <w:fldChar w:fldCharType="separate"/>
            </w:r>
            <w:r>
              <w:rPr>
                <w:noProof/>
                <w:webHidden/>
              </w:rPr>
              <w:t>14</w:t>
            </w:r>
            <w:r>
              <w:rPr>
                <w:noProof/>
                <w:webHidden/>
              </w:rPr>
              <w:fldChar w:fldCharType="end"/>
            </w:r>
          </w:hyperlink>
        </w:p>
        <w:p w14:paraId="46CE2C1B" w14:textId="40CA337B" w:rsidR="00ED7988" w:rsidRDefault="00ED7988">
          <w:pPr>
            <w:pStyle w:val="TOC2"/>
            <w:rPr>
              <w:rFonts w:asciiTheme="minorHAnsi" w:eastAsiaTheme="minorEastAsia" w:hAnsiTheme="minorHAnsi" w:cstheme="minorBidi"/>
              <w:b w:val="0"/>
              <w:noProof/>
              <w:color w:val="auto"/>
              <w:kern w:val="2"/>
              <w:sz w:val="22"/>
              <w:szCs w:val="22"/>
              <w14:ligatures w14:val="standardContextual"/>
            </w:rPr>
          </w:pPr>
          <w:hyperlink w:anchor="_Toc173939965" w:history="1">
            <w:r w:rsidRPr="00661261">
              <w:rPr>
                <w:rStyle w:val="Hyperlink"/>
                <w:noProof/>
              </w:rPr>
              <w:t>Proposal 8: Amend AUS Essential Principle 15 – IVD medical devices only</w:t>
            </w:r>
            <w:r>
              <w:rPr>
                <w:noProof/>
                <w:webHidden/>
              </w:rPr>
              <w:tab/>
            </w:r>
            <w:r>
              <w:rPr>
                <w:noProof/>
                <w:webHidden/>
              </w:rPr>
              <w:fldChar w:fldCharType="begin"/>
            </w:r>
            <w:r>
              <w:rPr>
                <w:noProof/>
                <w:webHidden/>
              </w:rPr>
              <w:instrText xml:space="preserve"> PAGEREF _Toc173939965 \h </w:instrText>
            </w:r>
            <w:r>
              <w:rPr>
                <w:noProof/>
                <w:webHidden/>
              </w:rPr>
            </w:r>
            <w:r>
              <w:rPr>
                <w:noProof/>
                <w:webHidden/>
              </w:rPr>
              <w:fldChar w:fldCharType="separate"/>
            </w:r>
            <w:r>
              <w:rPr>
                <w:noProof/>
                <w:webHidden/>
              </w:rPr>
              <w:t>14</w:t>
            </w:r>
            <w:r>
              <w:rPr>
                <w:noProof/>
                <w:webHidden/>
              </w:rPr>
              <w:fldChar w:fldCharType="end"/>
            </w:r>
          </w:hyperlink>
        </w:p>
        <w:p w14:paraId="6E7ED415" w14:textId="0B61733B" w:rsidR="00ED7988" w:rsidRDefault="00ED7988">
          <w:pPr>
            <w:pStyle w:val="TOC3"/>
            <w:rPr>
              <w:rFonts w:asciiTheme="minorHAnsi" w:eastAsiaTheme="minorEastAsia" w:hAnsiTheme="minorHAnsi" w:cstheme="minorBidi"/>
              <w:b w:val="0"/>
              <w:noProof/>
              <w:color w:val="auto"/>
              <w:kern w:val="2"/>
              <w:sz w:val="22"/>
              <w:szCs w:val="22"/>
              <w14:ligatures w14:val="standardContextual"/>
            </w:rPr>
          </w:pPr>
          <w:hyperlink w:anchor="_Toc173939966" w:history="1">
            <w:r w:rsidRPr="00661261">
              <w:rPr>
                <w:rStyle w:val="Hyperlink"/>
                <w:noProof/>
              </w:rPr>
              <w:t>AUS-specific proposal</w:t>
            </w:r>
            <w:r>
              <w:rPr>
                <w:noProof/>
                <w:webHidden/>
              </w:rPr>
              <w:tab/>
            </w:r>
            <w:r>
              <w:rPr>
                <w:noProof/>
                <w:webHidden/>
              </w:rPr>
              <w:fldChar w:fldCharType="begin"/>
            </w:r>
            <w:r>
              <w:rPr>
                <w:noProof/>
                <w:webHidden/>
              </w:rPr>
              <w:instrText xml:space="preserve"> PAGEREF _Toc173939966 \h </w:instrText>
            </w:r>
            <w:r>
              <w:rPr>
                <w:noProof/>
                <w:webHidden/>
              </w:rPr>
            </w:r>
            <w:r>
              <w:rPr>
                <w:noProof/>
                <w:webHidden/>
              </w:rPr>
              <w:fldChar w:fldCharType="separate"/>
            </w:r>
            <w:r>
              <w:rPr>
                <w:noProof/>
                <w:webHidden/>
              </w:rPr>
              <w:t>14</w:t>
            </w:r>
            <w:r>
              <w:rPr>
                <w:noProof/>
                <w:webHidden/>
              </w:rPr>
              <w:fldChar w:fldCharType="end"/>
            </w:r>
          </w:hyperlink>
        </w:p>
        <w:p w14:paraId="129B2663" w14:textId="2EA1ED78" w:rsidR="00ED7988" w:rsidRDefault="00ED7988">
          <w:pPr>
            <w:pStyle w:val="TOC3"/>
            <w:rPr>
              <w:rFonts w:asciiTheme="minorHAnsi" w:eastAsiaTheme="minorEastAsia" w:hAnsiTheme="minorHAnsi" w:cstheme="minorBidi"/>
              <w:b w:val="0"/>
              <w:noProof/>
              <w:color w:val="auto"/>
              <w:kern w:val="2"/>
              <w:sz w:val="22"/>
              <w:szCs w:val="22"/>
              <w14:ligatures w14:val="standardContextual"/>
            </w:rPr>
          </w:pPr>
          <w:hyperlink w:anchor="_Toc173939967" w:history="1">
            <w:r w:rsidRPr="00661261">
              <w:rPr>
                <w:rStyle w:val="Hyperlink"/>
                <w:noProof/>
              </w:rPr>
              <w:t>Questions</w:t>
            </w:r>
            <w:r>
              <w:rPr>
                <w:noProof/>
                <w:webHidden/>
              </w:rPr>
              <w:tab/>
            </w:r>
            <w:r>
              <w:rPr>
                <w:noProof/>
                <w:webHidden/>
              </w:rPr>
              <w:fldChar w:fldCharType="begin"/>
            </w:r>
            <w:r>
              <w:rPr>
                <w:noProof/>
                <w:webHidden/>
              </w:rPr>
              <w:instrText xml:space="preserve"> PAGEREF _Toc173939967 \h </w:instrText>
            </w:r>
            <w:r>
              <w:rPr>
                <w:noProof/>
                <w:webHidden/>
              </w:rPr>
            </w:r>
            <w:r>
              <w:rPr>
                <w:noProof/>
                <w:webHidden/>
              </w:rPr>
              <w:fldChar w:fldCharType="separate"/>
            </w:r>
            <w:r>
              <w:rPr>
                <w:noProof/>
                <w:webHidden/>
              </w:rPr>
              <w:t>14</w:t>
            </w:r>
            <w:r>
              <w:rPr>
                <w:noProof/>
                <w:webHidden/>
              </w:rPr>
              <w:fldChar w:fldCharType="end"/>
            </w:r>
          </w:hyperlink>
        </w:p>
        <w:p w14:paraId="651C6813" w14:textId="12AC9A44" w:rsidR="00ED7988" w:rsidRDefault="00ED7988">
          <w:pPr>
            <w:pStyle w:val="TOC1"/>
            <w:rPr>
              <w:rFonts w:asciiTheme="minorHAnsi" w:eastAsiaTheme="minorEastAsia" w:hAnsiTheme="minorHAnsi" w:cstheme="minorBidi"/>
              <w:b w:val="0"/>
              <w:noProof/>
              <w:color w:val="auto"/>
              <w:kern w:val="2"/>
              <w:sz w:val="22"/>
              <w:szCs w:val="22"/>
              <w14:ligatures w14:val="standardContextual"/>
            </w:rPr>
          </w:pPr>
          <w:hyperlink w:anchor="_Toc173939968" w:history="1">
            <w:r w:rsidRPr="00661261">
              <w:rPr>
                <w:rStyle w:val="Hyperlink"/>
                <w:noProof/>
              </w:rPr>
              <w:t>Information supplied by the manufacturer: AUS Essential Principle 13</w:t>
            </w:r>
            <w:r>
              <w:rPr>
                <w:noProof/>
                <w:webHidden/>
              </w:rPr>
              <w:tab/>
            </w:r>
            <w:r>
              <w:rPr>
                <w:noProof/>
                <w:webHidden/>
              </w:rPr>
              <w:fldChar w:fldCharType="begin"/>
            </w:r>
            <w:r>
              <w:rPr>
                <w:noProof/>
                <w:webHidden/>
              </w:rPr>
              <w:instrText xml:space="preserve"> PAGEREF _Toc173939968 \h </w:instrText>
            </w:r>
            <w:r>
              <w:rPr>
                <w:noProof/>
                <w:webHidden/>
              </w:rPr>
            </w:r>
            <w:r>
              <w:rPr>
                <w:noProof/>
                <w:webHidden/>
              </w:rPr>
              <w:fldChar w:fldCharType="separate"/>
            </w:r>
            <w:r>
              <w:rPr>
                <w:noProof/>
                <w:webHidden/>
              </w:rPr>
              <w:t>15</w:t>
            </w:r>
            <w:r>
              <w:rPr>
                <w:noProof/>
                <w:webHidden/>
              </w:rPr>
              <w:fldChar w:fldCharType="end"/>
            </w:r>
          </w:hyperlink>
        </w:p>
        <w:p w14:paraId="0DD17F04" w14:textId="18430A1E" w:rsidR="00ED7988" w:rsidRDefault="00ED7988">
          <w:pPr>
            <w:pStyle w:val="TOC2"/>
            <w:rPr>
              <w:rFonts w:asciiTheme="minorHAnsi" w:eastAsiaTheme="minorEastAsia" w:hAnsiTheme="minorHAnsi" w:cstheme="minorBidi"/>
              <w:b w:val="0"/>
              <w:noProof/>
              <w:color w:val="auto"/>
              <w:kern w:val="2"/>
              <w:sz w:val="22"/>
              <w:szCs w:val="22"/>
              <w14:ligatures w14:val="standardContextual"/>
            </w:rPr>
          </w:pPr>
          <w:hyperlink w:anchor="_Toc173939969" w:history="1">
            <w:r w:rsidRPr="00661261">
              <w:rPr>
                <w:rStyle w:val="Hyperlink"/>
                <w:noProof/>
              </w:rPr>
              <w:t>Proposal 9: Amend AUS Essential Principle 13.1 (General labelling)</w:t>
            </w:r>
            <w:r>
              <w:rPr>
                <w:noProof/>
                <w:webHidden/>
              </w:rPr>
              <w:tab/>
            </w:r>
            <w:r>
              <w:rPr>
                <w:noProof/>
                <w:webHidden/>
              </w:rPr>
              <w:fldChar w:fldCharType="begin"/>
            </w:r>
            <w:r>
              <w:rPr>
                <w:noProof/>
                <w:webHidden/>
              </w:rPr>
              <w:instrText xml:space="preserve"> PAGEREF _Toc173939969 \h </w:instrText>
            </w:r>
            <w:r>
              <w:rPr>
                <w:noProof/>
                <w:webHidden/>
              </w:rPr>
            </w:r>
            <w:r>
              <w:rPr>
                <w:noProof/>
                <w:webHidden/>
              </w:rPr>
              <w:fldChar w:fldCharType="separate"/>
            </w:r>
            <w:r>
              <w:rPr>
                <w:noProof/>
                <w:webHidden/>
              </w:rPr>
              <w:t>15</w:t>
            </w:r>
            <w:r>
              <w:rPr>
                <w:noProof/>
                <w:webHidden/>
              </w:rPr>
              <w:fldChar w:fldCharType="end"/>
            </w:r>
          </w:hyperlink>
        </w:p>
        <w:p w14:paraId="39027553" w14:textId="66DFA540" w:rsidR="00ED7988" w:rsidRDefault="00ED7988">
          <w:pPr>
            <w:pStyle w:val="TOC3"/>
            <w:rPr>
              <w:rFonts w:asciiTheme="minorHAnsi" w:eastAsiaTheme="minorEastAsia" w:hAnsiTheme="minorHAnsi" w:cstheme="minorBidi"/>
              <w:b w:val="0"/>
              <w:noProof/>
              <w:color w:val="auto"/>
              <w:kern w:val="2"/>
              <w:sz w:val="22"/>
              <w:szCs w:val="22"/>
              <w14:ligatures w14:val="standardContextual"/>
            </w:rPr>
          </w:pPr>
          <w:hyperlink w:anchor="_Toc173939970" w:history="1">
            <w:r w:rsidRPr="00661261">
              <w:rPr>
                <w:rStyle w:val="Hyperlink"/>
                <w:noProof/>
              </w:rPr>
              <w:t>AUS-specific proposals</w:t>
            </w:r>
            <w:r>
              <w:rPr>
                <w:noProof/>
                <w:webHidden/>
              </w:rPr>
              <w:tab/>
            </w:r>
            <w:r>
              <w:rPr>
                <w:noProof/>
                <w:webHidden/>
              </w:rPr>
              <w:fldChar w:fldCharType="begin"/>
            </w:r>
            <w:r>
              <w:rPr>
                <w:noProof/>
                <w:webHidden/>
              </w:rPr>
              <w:instrText xml:space="preserve"> PAGEREF _Toc173939970 \h </w:instrText>
            </w:r>
            <w:r>
              <w:rPr>
                <w:noProof/>
                <w:webHidden/>
              </w:rPr>
            </w:r>
            <w:r>
              <w:rPr>
                <w:noProof/>
                <w:webHidden/>
              </w:rPr>
              <w:fldChar w:fldCharType="separate"/>
            </w:r>
            <w:r>
              <w:rPr>
                <w:noProof/>
                <w:webHidden/>
              </w:rPr>
              <w:t>15</w:t>
            </w:r>
            <w:r>
              <w:rPr>
                <w:noProof/>
                <w:webHidden/>
              </w:rPr>
              <w:fldChar w:fldCharType="end"/>
            </w:r>
          </w:hyperlink>
        </w:p>
        <w:p w14:paraId="2E5BC5D3" w14:textId="3B0935C8" w:rsidR="00ED7988" w:rsidRDefault="00ED7988">
          <w:pPr>
            <w:pStyle w:val="TOC3"/>
            <w:rPr>
              <w:rFonts w:asciiTheme="minorHAnsi" w:eastAsiaTheme="minorEastAsia" w:hAnsiTheme="minorHAnsi" w:cstheme="minorBidi"/>
              <w:b w:val="0"/>
              <w:noProof/>
              <w:color w:val="auto"/>
              <w:kern w:val="2"/>
              <w:sz w:val="22"/>
              <w:szCs w:val="22"/>
              <w14:ligatures w14:val="standardContextual"/>
            </w:rPr>
          </w:pPr>
          <w:hyperlink w:anchor="_Toc173939971" w:history="1">
            <w:r w:rsidRPr="00661261">
              <w:rPr>
                <w:rStyle w:val="Hyperlink"/>
                <w:noProof/>
              </w:rPr>
              <w:t>Questions</w:t>
            </w:r>
            <w:r>
              <w:rPr>
                <w:noProof/>
                <w:webHidden/>
              </w:rPr>
              <w:tab/>
            </w:r>
            <w:r>
              <w:rPr>
                <w:noProof/>
                <w:webHidden/>
              </w:rPr>
              <w:fldChar w:fldCharType="begin"/>
            </w:r>
            <w:r>
              <w:rPr>
                <w:noProof/>
                <w:webHidden/>
              </w:rPr>
              <w:instrText xml:space="preserve"> PAGEREF _Toc173939971 \h </w:instrText>
            </w:r>
            <w:r>
              <w:rPr>
                <w:noProof/>
                <w:webHidden/>
              </w:rPr>
            </w:r>
            <w:r>
              <w:rPr>
                <w:noProof/>
                <w:webHidden/>
              </w:rPr>
              <w:fldChar w:fldCharType="separate"/>
            </w:r>
            <w:r>
              <w:rPr>
                <w:noProof/>
                <w:webHidden/>
              </w:rPr>
              <w:t>16</w:t>
            </w:r>
            <w:r>
              <w:rPr>
                <w:noProof/>
                <w:webHidden/>
              </w:rPr>
              <w:fldChar w:fldCharType="end"/>
            </w:r>
          </w:hyperlink>
        </w:p>
        <w:p w14:paraId="11C0ECDF" w14:textId="0E080AD8" w:rsidR="00ED7988" w:rsidRDefault="00ED7988">
          <w:pPr>
            <w:pStyle w:val="TOC2"/>
            <w:rPr>
              <w:rFonts w:asciiTheme="minorHAnsi" w:eastAsiaTheme="minorEastAsia" w:hAnsiTheme="minorHAnsi" w:cstheme="minorBidi"/>
              <w:b w:val="0"/>
              <w:noProof/>
              <w:color w:val="auto"/>
              <w:kern w:val="2"/>
              <w:sz w:val="22"/>
              <w:szCs w:val="22"/>
              <w14:ligatures w14:val="standardContextual"/>
            </w:rPr>
          </w:pPr>
          <w:hyperlink w:anchor="_Toc173939972" w:history="1">
            <w:r w:rsidRPr="00661261">
              <w:rPr>
                <w:rStyle w:val="Hyperlink"/>
                <w:noProof/>
              </w:rPr>
              <w:t>Proposal 10: Amend AUS Essential Principle 13.3 (General labelling)</w:t>
            </w:r>
            <w:r>
              <w:rPr>
                <w:noProof/>
                <w:webHidden/>
              </w:rPr>
              <w:tab/>
            </w:r>
            <w:r>
              <w:rPr>
                <w:noProof/>
                <w:webHidden/>
              </w:rPr>
              <w:fldChar w:fldCharType="begin"/>
            </w:r>
            <w:r>
              <w:rPr>
                <w:noProof/>
                <w:webHidden/>
              </w:rPr>
              <w:instrText xml:space="preserve"> PAGEREF _Toc173939972 \h </w:instrText>
            </w:r>
            <w:r>
              <w:rPr>
                <w:noProof/>
                <w:webHidden/>
              </w:rPr>
            </w:r>
            <w:r>
              <w:rPr>
                <w:noProof/>
                <w:webHidden/>
              </w:rPr>
              <w:fldChar w:fldCharType="separate"/>
            </w:r>
            <w:r>
              <w:rPr>
                <w:noProof/>
                <w:webHidden/>
              </w:rPr>
              <w:t>17</w:t>
            </w:r>
            <w:r>
              <w:rPr>
                <w:noProof/>
                <w:webHidden/>
              </w:rPr>
              <w:fldChar w:fldCharType="end"/>
            </w:r>
          </w:hyperlink>
        </w:p>
        <w:p w14:paraId="314BE9D9" w14:textId="2C472F88" w:rsidR="00ED7988" w:rsidRDefault="00ED7988">
          <w:pPr>
            <w:pStyle w:val="TOC3"/>
            <w:rPr>
              <w:rFonts w:asciiTheme="minorHAnsi" w:eastAsiaTheme="minorEastAsia" w:hAnsiTheme="minorHAnsi" w:cstheme="minorBidi"/>
              <w:b w:val="0"/>
              <w:noProof/>
              <w:color w:val="auto"/>
              <w:kern w:val="2"/>
              <w:sz w:val="22"/>
              <w:szCs w:val="22"/>
              <w14:ligatures w14:val="standardContextual"/>
            </w:rPr>
          </w:pPr>
          <w:hyperlink w:anchor="_Toc173939973" w:history="1">
            <w:r w:rsidRPr="00661261">
              <w:rPr>
                <w:rStyle w:val="Hyperlink"/>
                <w:noProof/>
              </w:rPr>
              <w:t>Questions</w:t>
            </w:r>
            <w:r>
              <w:rPr>
                <w:noProof/>
                <w:webHidden/>
              </w:rPr>
              <w:tab/>
            </w:r>
            <w:r>
              <w:rPr>
                <w:noProof/>
                <w:webHidden/>
              </w:rPr>
              <w:fldChar w:fldCharType="begin"/>
            </w:r>
            <w:r>
              <w:rPr>
                <w:noProof/>
                <w:webHidden/>
              </w:rPr>
              <w:instrText xml:space="preserve"> PAGEREF _Toc173939973 \h </w:instrText>
            </w:r>
            <w:r>
              <w:rPr>
                <w:noProof/>
                <w:webHidden/>
              </w:rPr>
            </w:r>
            <w:r>
              <w:rPr>
                <w:noProof/>
                <w:webHidden/>
              </w:rPr>
              <w:fldChar w:fldCharType="separate"/>
            </w:r>
            <w:r>
              <w:rPr>
                <w:noProof/>
                <w:webHidden/>
              </w:rPr>
              <w:t>17</w:t>
            </w:r>
            <w:r>
              <w:rPr>
                <w:noProof/>
                <w:webHidden/>
              </w:rPr>
              <w:fldChar w:fldCharType="end"/>
            </w:r>
          </w:hyperlink>
        </w:p>
        <w:p w14:paraId="48570492" w14:textId="04ED4080" w:rsidR="00ED7988" w:rsidRDefault="00ED7988">
          <w:pPr>
            <w:pStyle w:val="TOC2"/>
            <w:rPr>
              <w:rFonts w:asciiTheme="minorHAnsi" w:eastAsiaTheme="minorEastAsia" w:hAnsiTheme="minorHAnsi" w:cstheme="minorBidi"/>
              <w:b w:val="0"/>
              <w:noProof/>
              <w:color w:val="auto"/>
              <w:kern w:val="2"/>
              <w:sz w:val="22"/>
              <w:szCs w:val="22"/>
              <w14:ligatures w14:val="standardContextual"/>
            </w:rPr>
          </w:pPr>
          <w:hyperlink w:anchor="_Toc173939974" w:history="1">
            <w:r w:rsidRPr="00661261">
              <w:rPr>
                <w:rStyle w:val="Hyperlink"/>
                <w:noProof/>
              </w:rPr>
              <w:t>Proposal 11: Amend AUS Essential Principle 13.4(3)1-28, 30-31 – Instructions for use</w:t>
            </w:r>
            <w:r>
              <w:rPr>
                <w:noProof/>
                <w:webHidden/>
              </w:rPr>
              <w:tab/>
            </w:r>
            <w:r>
              <w:rPr>
                <w:noProof/>
                <w:webHidden/>
              </w:rPr>
              <w:fldChar w:fldCharType="begin"/>
            </w:r>
            <w:r>
              <w:rPr>
                <w:noProof/>
                <w:webHidden/>
              </w:rPr>
              <w:instrText xml:space="preserve"> PAGEREF _Toc173939974 \h </w:instrText>
            </w:r>
            <w:r>
              <w:rPr>
                <w:noProof/>
                <w:webHidden/>
              </w:rPr>
            </w:r>
            <w:r>
              <w:rPr>
                <w:noProof/>
                <w:webHidden/>
              </w:rPr>
              <w:fldChar w:fldCharType="separate"/>
            </w:r>
            <w:r>
              <w:rPr>
                <w:noProof/>
                <w:webHidden/>
              </w:rPr>
              <w:t>17</w:t>
            </w:r>
            <w:r>
              <w:rPr>
                <w:noProof/>
                <w:webHidden/>
              </w:rPr>
              <w:fldChar w:fldCharType="end"/>
            </w:r>
          </w:hyperlink>
        </w:p>
        <w:p w14:paraId="4D572D9B" w14:textId="14FA74E6" w:rsidR="00ED7988" w:rsidRDefault="00ED7988">
          <w:pPr>
            <w:pStyle w:val="TOC3"/>
            <w:rPr>
              <w:rFonts w:asciiTheme="minorHAnsi" w:eastAsiaTheme="minorEastAsia" w:hAnsiTheme="minorHAnsi" w:cstheme="minorBidi"/>
              <w:b w:val="0"/>
              <w:noProof/>
              <w:color w:val="auto"/>
              <w:kern w:val="2"/>
              <w:sz w:val="22"/>
              <w:szCs w:val="22"/>
              <w14:ligatures w14:val="standardContextual"/>
            </w:rPr>
          </w:pPr>
          <w:hyperlink w:anchor="_Toc173939975" w:history="1">
            <w:r w:rsidRPr="00661261">
              <w:rPr>
                <w:rStyle w:val="Hyperlink"/>
                <w:noProof/>
              </w:rPr>
              <w:t>Questions</w:t>
            </w:r>
            <w:r>
              <w:rPr>
                <w:noProof/>
                <w:webHidden/>
              </w:rPr>
              <w:tab/>
            </w:r>
            <w:r>
              <w:rPr>
                <w:noProof/>
                <w:webHidden/>
              </w:rPr>
              <w:fldChar w:fldCharType="begin"/>
            </w:r>
            <w:r>
              <w:rPr>
                <w:noProof/>
                <w:webHidden/>
              </w:rPr>
              <w:instrText xml:space="preserve"> PAGEREF _Toc173939975 \h </w:instrText>
            </w:r>
            <w:r>
              <w:rPr>
                <w:noProof/>
                <w:webHidden/>
              </w:rPr>
            </w:r>
            <w:r>
              <w:rPr>
                <w:noProof/>
                <w:webHidden/>
              </w:rPr>
              <w:fldChar w:fldCharType="separate"/>
            </w:r>
            <w:r>
              <w:rPr>
                <w:noProof/>
                <w:webHidden/>
              </w:rPr>
              <w:t>17</w:t>
            </w:r>
            <w:r>
              <w:rPr>
                <w:noProof/>
                <w:webHidden/>
              </w:rPr>
              <w:fldChar w:fldCharType="end"/>
            </w:r>
          </w:hyperlink>
        </w:p>
        <w:p w14:paraId="247D619C" w14:textId="62EE78CA" w:rsidR="00ED7988" w:rsidRDefault="00ED7988">
          <w:pPr>
            <w:pStyle w:val="TOC2"/>
            <w:rPr>
              <w:rFonts w:asciiTheme="minorHAnsi" w:eastAsiaTheme="minorEastAsia" w:hAnsiTheme="minorHAnsi" w:cstheme="minorBidi"/>
              <w:b w:val="0"/>
              <w:noProof/>
              <w:color w:val="auto"/>
              <w:kern w:val="2"/>
              <w:sz w:val="22"/>
              <w:szCs w:val="22"/>
              <w14:ligatures w14:val="standardContextual"/>
            </w:rPr>
          </w:pPr>
          <w:hyperlink w:anchor="_Toc173939976" w:history="1">
            <w:r w:rsidRPr="00661261">
              <w:rPr>
                <w:rStyle w:val="Hyperlink"/>
                <w:noProof/>
              </w:rPr>
              <w:t>Proposal 12: Amend AUS Essential Principle 13.4(3) Item 29 – IFU information for IVD devices only</w:t>
            </w:r>
            <w:r>
              <w:rPr>
                <w:noProof/>
                <w:webHidden/>
              </w:rPr>
              <w:tab/>
            </w:r>
            <w:r>
              <w:rPr>
                <w:noProof/>
                <w:webHidden/>
              </w:rPr>
              <w:fldChar w:fldCharType="begin"/>
            </w:r>
            <w:r>
              <w:rPr>
                <w:noProof/>
                <w:webHidden/>
              </w:rPr>
              <w:instrText xml:space="preserve"> PAGEREF _Toc173939976 \h </w:instrText>
            </w:r>
            <w:r>
              <w:rPr>
                <w:noProof/>
                <w:webHidden/>
              </w:rPr>
            </w:r>
            <w:r>
              <w:rPr>
                <w:noProof/>
                <w:webHidden/>
              </w:rPr>
              <w:fldChar w:fldCharType="separate"/>
            </w:r>
            <w:r>
              <w:rPr>
                <w:noProof/>
                <w:webHidden/>
              </w:rPr>
              <w:t>18</w:t>
            </w:r>
            <w:r>
              <w:rPr>
                <w:noProof/>
                <w:webHidden/>
              </w:rPr>
              <w:fldChar w:fldCharType="end"/>
            </w:r>
          </w:hyperlink>
        </w:p>
        <w:p w14:paraId="79167064" w14:textId="5E72A1C7" w:rsidR="00ED7988" w:rsidRDefault="00ED7988">
          <w:pPr>
            <w:pStyle w:val="TOC3"/>
            <w:rPr>
              <w:rFonts w:asciiTheme="minorHAnsi" w:eastAsiaTheme="minorEastAsia" w:hAnsiTheme="minorHAnsi" w:cstheme="minorBidi"/>
              <w:b w:val="0"/>
              <w:noProof/>
              <w:color w:val="auto"/>
              <w:kern w:val="2"/>
              <w:sz w:val="22"/>
              <w:szCs w:val="22"/>
              <w14:ligatures w14:val="standardContextual"/>
            </w:rPr>
          </w:pPr>
          <w:hyperlink w:anchor="_Toc173939977" w:history="1">
            <w:r w:rsidRPr="00661261">
              <w:rPr>
                <w:rStyle w:val="Hyperlink"/>
                <w:noProof/>
              </w:rPr>
              <w:t>AUS-specific proposal</w:t>
            </w:r>
            <w:r>
              <w:rPr>
                <w:noProof/>
                <w:webHidden/>
              </w:rPr>
              <w:tab/>
            </w:r>
            <w:r>
              <w:rPr>
                <w:noProof/>
                <w:webHidden/>
              </w:rPr>
              <w:fldChar w:fldCharType="begin"/>
            </w:r>
            <w:r>
              <w:rPr>
                <w:noProof/>
                <w:webHidden/>
              </w:rPr>
              <w:instrText xml:space="preserve"> PAGEREF _Toc173939977 \h </w:instrText>
            </w:r>
            <w:r>
              <w:rPr>
                <w:noProof/>
                <w:webHidden/>
              </w:rPr>
            </w:r>
            <w:r>
              <w:rPr>
                <w:noProof/>
                <w:webHidden/>
              </w:rPr>
              <w:fldChar w:fldCharType="separate"/>
            </w:r>
            <w:r>
              <w:rPr>
                <w:noProof/>
                <w:webHidden/>
              </w:rPr>
              <w:t>18</w:t>
            </w:r>
            <w:r>
              <w:rPr>
                <w:noProof/>
                <w:webHidden/>
              </w:rPr>
              <w:fldChar w:fldCharType="end"/>
            </w:r>
          </w:hyperlink>
        </w:p>
        <w:p w14:paraId="6CE29A8C" w14:textId="4772C9D4" w:rsidR="00ED7988" w:rsidRDefault="00ED7988">
          <w:pPr>
            <w:pStyle w:val="TOC3"/>
            <w:rPr>
              <w:rFonts w:asciiTheme="minorHAnsi" w:eastAsiaTheme="minorEastAsia" w:hAnsiTheme="minorHAnsi" w:cstheme="minorBidi"/>
              <w:b w:val="0"/>
              <w:noProof/>
              <w:color w:val="auto"/>
              <w:kern w:val="2"/>
              <w:sz w:val="22"/>
              <w:szCs w:val="22"/>
              <w14:ligatures w14:val="standardContextual"/>
            </w:rPr>
          </w:pPr>
          <w:hyperlink w:anchor="_Toc173939978" w:history="1">
            <w:r w:rsidRPr="00661261">
              <w:rPr>
                <w:rStyle w:val="Hyperlink"/>
                <w:noProof/>
              </w:rPr>
              <w:t>Questions</w:t>
            </w:r>
            <w:r>
              <w:rPr>
                <w:noProof/>
                <w:webHidden/>
              </w:rPr>
              <w:tab/>
            </w:r>
            <w:r>
              <w:rPr>
                <w:noProof/>
                <w:webHidden/>
              </w:rPr>
              <w:fldChar w:fldCharType="begin"/>
            </w:r>
            <w:r>
              <w:rPr>
                <w:noProof/>
                <w:webHidden/>
              </w:rPr>
              <w:instrText xml:space="preserve"> PAGEREF _Toc173939978 \h </w:instrText>
            </w:r>
            <w:r>
              <w:rPr>
                <w:noProof/>
                <w:webHidden/>
              </w:rPr>
            </w:r>
            <w:r>
              <w:rPr>
                <w:noProof/>
                <w:webHidden/>
              </w:rPr>
              <w:fldChar w:fldCharType="separate"/>
            </w:r>
            <w:r>
              <w:rPr>
                <w:noProof/>
                <w:webHidden/>
              </w:rPr>
              <w:t>18</w:t>
            </w:r>
            <w:r>
              <w:rPr>
                <w:noProof/>
                <w:webHidden/>
              </w:rPr>
              <w:fldChar w:fldCharType="end"/>
            </w:r>
          </w:hyperlink>
        </w:p>
        <w:p w14:paraId="4C4FCE31" w14:textId="657F1978" w:rsidR="00ED7988" w:rsidRDefault="00ED7988">
          <w:pPr>
            <w:pStyle w:val="TOC2"/>
            <w:rPr>
              <w:rFonts w:asciiTheme="minorHAnsi" w:eastAsiaTheme="minorEastAsia" w:hAnsiTheme="minorHAnsi" w:cstheme="minorBidi"/>
              <w:b w:val="0"/>
              <w:noProof/>
              <w:color w:val="auto"/>
              <w:kern w:val="2"/>
              <w:sz w:val="22"/>
              <w:szCs w:val="22"/>
              <w14:ligatures w14:val="standardContextual"/>
            </w:rPr>
          </w:pPr>
          <w:hyperlink w:anchor="_Toc173939979" w:history="1">
            <w:r w:rsidRPr="00661261">
              <w:rPr>
                <w:rStyle w:val="Hyperlink"/>
                <w:noProof/>
              </w:rPr>
              <w:t>Proposal 13: Amend AUS Essential Principle 13B</w:t>
            </w:r>
            <w:r>
              <w:rPr>
                <w:noProof/>
                <w:webHidden/>
              </w:rPr>
              <w:tab/>
            </w:r>
            <w:r>
              <w:rPr>
                <w:noProof/>
                <w:webHidden/>
              </w:rPr>
              <w:fldChar w:fldCharType="begin"/>
            </w:r>
            <w:r>
              <w:rPr>
                <w:noProof/>
                <w:webHidden/>
              </w:rPr>
              <w:instrText xml:space="preserve"> PAGEREF _Toc173939979 \h </w:instrText>
            </w:r>
            <w:r>
              <w:rPr>
                <w:noProof/>
                <w:webHidden/>
              </w:rPr>
            </w:r>
            <w:r>
              <w:rPr>
                <w:noProof/>
                <w:webHidden/>
              </w:rPr>
              <w:fldChar w:fldCharType="separate"/>
            </w:r>
            <w:r>
              <w:rPr>
                <w:noProof/>
                <w:webHidden/>
              </w:rPr>
              <w:t>18</w:t>
            </w:r>
            <w:r>
              <w:rPr>
                <w:noProof/>
                <w:webHidden/>
              </w:rPr>
              <w:fldChar w:fldCharType="end"/>
            </w:r>
          </w:hyperlink>
        </w:p>
        <w:p w14:paraId="2CA605D8" w14:textId="1767BD32" w:rsidR="00ED7988" w:rsidRDefault="00ED7988">
          <w:pPr>
            <w:pStyle w:val="TOC3"/>
            <w:rPr>
              <w:rFonts w:asciiTheme="minorHAnsi" w:eastAsiaTheme="minorEastAsia" w:hAnsiTheme="minorHAnsi" w:cstheme="minorBidi"/>
              <w:b w:val="0"/>
              <w:noProof/>
              <w:color w:val="auto"/>
              <w:kern w:val="2"/>
              <w:sz w:val="22"/>
              <w:szCs w:val="22"/>
              <w14:ligatures w14:val="standardContextual"/>
            </w:rPr>
          </w:pPr>
          <w:hyperlink w:anchor="_Toc173939980" w:history="1">
            <w:r w:rsidRPr="00661261">
              <w:rPr>
                <w:rStyle w:val="Hyperlink"/>
                <w:noProof/>
              </w:rPr>
              <w:t>Questions</w:t>
            </w:r>
            <w:r>
              <w:rPr>
                <w:noProof/>
                <w:webHidden/>
              </w:rPr>
              <w:tab/>
            </w:r>
            <w:r>
              <w:rPr>
                <w:noProof/>
                <w:webHidden/>
              </w:rPr>
              <w:fldChar w:fldCharType="begin"/>
            </w:r>
            <w:r>
              <w:rPr>
                <w:noProof/>
                <w:webHidden/>
              </w:rPr>
              <w:instrText xml:space="preserve"> PAGEREF _Toc173939980 \h </w:instrText>
            </w:r>
            <w:r>
              <w:rPr>
                <w:noProof/>
                <w:webHidden/>
              </w:rPr>
            </w:r>
            <w:r>
              <w:rPr>
                <w:noProof/>
                <w:webHidden/>
              </w:rPr>
              <w:fldChar w:fldCharType="separate"/>
            </w:r>
            <w:r>
              <w:rPr>
                <w:noProof/>
                <w:webHidden/>
              </w:rPr>
              <w:t>19</w:t>
            </w:r>
            <w:r>
              <w:rPr>
                <w:noProof/>
                <w:webHidden/>
              </w:rPr>
              <w:fldChar w:fldCharType="end"/>
            </w:r>
          </w:hyperlink>
        </w:p>
        <w:p w14:paraId="783AF35A" w14:textId="2FE57B60" w:rsidR="00ED7988" w:rsidRDefault="00ED7988">
          <w:pPr>
            <w:pStyle w:val="TOC1"/>
            <w:rPr>
              <w:rFonts w:asciiTheme="minorHAnsi" w:eastAsiaTheme="minorEastAsia" w:hAnsiTheme="minorHAnsi" w:cstheme="minorBidi"/>
              <w:b w:val="0"/>
              <w:noProof/>
              <w:color w:val="auto"/>
              <w:kern w:val="2"/>
              <w:sz w:val="22"/>
              <w:szCs w:val="22"/>
              <w14:ligatures w14:val="standardContextual"/>
            </w:rPr>
          </w:pPr>
          <w:hyperlink w:anchor="_Toc173939981" w:history="1">
            <w:r w:rsidRPr="00661261">
              <w:rPr>
                <w:rStyle w:val="Hyperlink"/>
                <w:noProof/>
              </w:rPr>
              <w:t>Requirements of Australian sponsors</w:t>
            </w:r>
            <w:r>
              <w:rPr>
                <w:noProof/>
                <w:webHidden/>
              </w:rPr>
              <w:tab/>
            </w:r>
            <w:r>
              <w:rPr>
                <w:noProof/>
                <w:webHidden/>
              </w:rPr>
              <w:fldChar w:fldCharType="begin"/>
            </w:r>
            <w:r>
              <w:rPr>
                <w:noProof/>
                <w:webHidden/>
              </w:rPr>
              <w:instrText xml:space="preserve"> PAGEREF _Toc173939981 \h </w:instrText>
            </w:r>
            <w:r>
              <w:rPr>
                <w:noProof/>
                <w:webHidden/>
              </w:rPr>
            </w:r>
            <w:r>
              <w:rPr>
                <w:noProof/>
                <w:webHidden/>
              </w:rPr>
              <w:fldChar w:fldCharType="separate"/>
            </w:r>
            <w:r>
              <w:rPr>
                <w:noProof/>
                <w:webHidden/>
              </w:rPr>
              <w:t>19</w:t>
            </w:r>
            <w:r>
              <w:rPr>
                <w:noProof/>
                <w:webHidden/>
              </w:rPr>
              <w:fldChar w:fldCharType="end"/>
            </w:r>
          </w:hyperlink>
        </w:p>
        <w:p w14:paraId="0896B344" w14:textId="7B8F8897" w:rsidR="00ED7988" w:rsidRDefault="00ED7988">
          <w:pPr>
            <w:pStyle w:val="TOC2"/>
            <w:rPr>
              <w:rFonts w:asciiTheme="minorHAnsi" w:eastAsiaTheme="minorEastAsia" w:hAnsiTheme="minorHAnsi" w:cstheme="minorBidi"/>
              <w:b w:val="0"/>
              <w:noProof/>
              <w:color w:val="auto"/>
              <w:kern w:val="2"/>
              <w:sz w:val="22"/>
              <w:szCs w:val="22"/>
              <w14:ligatures w14:val="standardContextual"/>
            </w:rPr>
          </w:pPr>
          <w:hyperlink w:anchor="_Toc173939982" w:history="1">
            <w:r w:rsidRPr="00661261">
              <w:rPr>
                <w:rStyle w:val="Hyperlink"/>
                <w:noProof/>
              </w:rPr>
              <w:t>Proposal 14: Amend AUS Regulation 10.2 – Australian sponsors</w:t>
            </w:r>
            <w:r>
              <w:rPr>
                <w:noProof/>
                <w:webHidden/>
              </w:rPr>
              <w:tab/>
            </w:r>
            <w:r>
              <w:rPr>
                <w:noProof/>
                <w:webHidden/>
              </w:rPr>
              <w:fldChar w:fldCharType="begin"/>
            </w:r>
            <w:r>
              <w:rPr>
                <w:noProof/>
                <w:webHidden/>
              </w:rPr>
              <w:instrText xml:space="preserve"> PAGEREF _Toc173939982 \h </w:instrText>
            </w:r>
            <w:r>
              <w:rPr>
                <w:noProof/>
                <w:webHidden/>
              </w:rPr>
            </w:r>
            <w:r>
              <w:rPr>
                <w:noProof/>
                <w:webHidden/>
              </w:rPr>
              <w:fldChar w:fldCharType="separate"/>
            </w:r>
            <w:r>
              <w:rPr>
                <w:noProof/>
                <w:webHidden/>
              </w:rPr>
              <w:t>19</w:t>
            </w:r>
            <w:r>
              <w:rPr>
                <w:noProof/>
                <w:webHidden/>
              </w:rPr>
              <w:fldChar w:fldCharType="end"/>
            </w:r>
          </w:hyperlink>
        </w:p>
        <w:p w14:paraId="1867FD04" w14:textId="5CDCDDB4" w:rsidR="00ED7988" w:rsidRDefault="00ED7988">
          <w:pPr>
            <w:pStyle w:val="TOC3"/>
            <w:rPr>
              <w:rFonts w:asciiTheme="minorHAnsi" w:eastAsiaTheme="minorEastAsia" w:hAnsiTheme="minorHAnsi" w:cstheme="minorBidi"/>
              <w:b w:val="0"/>
              <w:noProof/>
              <w:color w:val="auto"/>
              <w:kern w:val="2"/>
              <w:sz w:val="22"/>
              <w:szCs w:val="22"/>
              <w14:ligatures w14:val="standardContextual"/>
            </w:rPr>
          </w:pPr>
          <w:hyperlink w:anchor="_Toc173939983" w:history="1">
            <w:r w:rsidRPr="00661261">
              <w:rPr>
                <w:rStyle w:val="Hyperlink"/>
                <w:noProof/>
              </w:rPr>
              <w:t>Provision of technical support to Australian customers for IVD devices</w:t>
            </w:r>
            <w:r>
              <w:rPr>
                <w:noProof/>
                <w:webHidden/>
              </w:rPr>
              <w:tab/>
            </w:r>
            <w:r>
              <w:rPr>
                <w:noProof/>
                <w:webHidden/>
              </w:rPr>
              <w:fldChar w:fldCharType="begin"/>
            </w:r>
            <w:r>
              <w:rPr>
                <w:noProof/>
                <w:webHidden/>
              </w:rPr>
              <w:instrText xml:space="preserve"> PAGEREF _Toc173939983 \h </w:instrText>
            </w:r>
            <w:r>
              <w:rPr>
                <w:noProof/>
                <w:webHidden/>
              </w:rPr>
            </w:r>
            <w:r>
              <w:rPr>
                <w:noProof/>
                <w:webHidden/>
              </w:rPr>
              <w:fldChar w:fldCharType="separate"/>
            </w:r>
            <w:r>
              <w:rPr>
                <w:noProof/>
                <w:webHidden/>
              </w:rPr>
              <w:t>19</w:t>
            </w:r>
            <w:r>
              <w:rPr>
                <w:noProof/>
                <w:webHidden/>
              </w:rPr>
              <w:fldChar w:fldCharType="end"/>
            </w:r>
          </w:hyperlink>
        </w:p>
        <w:p w14:paraId="6862369A" w14:textId="0B683F1F" w:rsidR="00ED7988" w:rsidRDefault="00ED7988">
          <w:pPr>
            <w:pStyle w:val="TOC3"/>
            <w:rPr>
              <w:rFonts w:asciiTheme="minorHAnsi" w:eastAsiaTheme="minorEastAsia" w:hAnsiTheme="minorHAnsi" w:cstheme="minorBidi"/>
              <w:b w:val="0"/>
              <w:noProof/>
              <w:color w:val="auto"/>
              <w:kern w:val="2"/>
              <w:sz w:val="22"/>
              <w:szCs w:val="22"/>
              <w14:ligatures w14:val="standardContextual"/>
            </w:rPr>
          </w:pPr>
          <w:hyperlink w:anchor="_Toc173939984" w:history="1">
            <w:r w:rsidRPr="00661261">
              <w:rPr>
                <w:rStyle w:val="Hyperlink"/>
                <w:noProof/>
              </w:rPr>
              <w:t>Current Regulation 10.2</w:t>
            </w:r>
            <w:r>
              <w:rPr>
                <w:noProof/>
                <w:webHidden/>
              </w:rPr>
              <w:tab/>
            </w:r>
            <w:r>
              <w:rPr>
                <w:noProof/>
                <w:webHidden/>
              </w:rPr>
              <w:fldChar w:fldCharType="begin"/>
            </w:r>
            <w:r>
              <w:rPr>
                <w:noProof/>
                <w:webHidden/>
              </w:rPr>
              <w:instrText xml:space="preserve"> PAGEREF _Toc173939984 \h </w:instrText>
            </w:r>
            <w:r>
              <w:rPr>
                <w:noProof/>
                <w:webHidden/>
              </w:rPr>
            </w:r>
            <w:r>
              <w:rPr>
                <w:noProof/>
                <w:webHidden/>
              </w:rPr>
              <w:fldChar w:fldCharType="separate"/>
            </w:r>
            <w:r>
              <w:rPr>
                <w:noProof/>
                <w:webHidden/>
              </w:rPr>
              <w:t>20</w:t>
            </w:r>
            <w:r>
              <w:rPr>
                <w:noProof/>
                <w:webHidden/>
              </w:rPr>
              <w:fldChar w:fldCharType="end"/>
            </w:r>
          </w:hyperlink>
        </w:p>
        <w:p w14:paraId="1AD59BF9" w14:textId="10F864C4" w:rsidR="00ED7988" w:rsidRDefault="00ED7988">
          <w:pPr>
            <w:pStyle w:val="TOC3"/>
            <w:rPr>
              <w:rFonts w:asciiTheme="minorHAnsi" w:eastAsiaTheme="minorEastAsia" w:hAnsiTheme="minorHAnsi" w:cstheme="minorBidi"/>
              <w:b w:val="0"/>
              <w:noProof/>
              <w:color w:val="auto"/>
              <w:kern w:val="2"/>
              <w:sz w:val="22"/>
              <w:szCs w:val="22"/>
              <w14:ligatures w14:val="standardContextual"/>
            </w:rPr>
          </w:pPr>
          <w:hyperlink w:anchor="_Toc173939985" w:history="1">
            <w:r w:rsidRPr="00661261">
              <w:rPr>
                <w:rStyle w:val="Hyperlink"/>
                <w:noProof/>
              </w:rPr>
              <w:t>Questions</w:t>
            </w:r>
            <w:r>
              <w:rPr>
                <w:noProof/>
                <w:webHidden/>
              </w:rPr>
              <w:tab/>
            </w:r>
            <w:r>
              <w:rPr>
                <w:noProof/>
                <w:webHidden/>
              </w:rPr>
              <w:fldChar w:fldCharType="begin"/>
            </w:r>
            <w:r>
              <w:rPr>
                <w:noProof/>
                <w:webHidden/>
              </w:rPr>
              <w:instrText xml:space="preserve"> PAGEREF _Toc173939985 \h </w:instrText>
            </w:r>
            <w:r>
              <w:rPr>
                <w:noProof/>
                <w:webHidden/>
              </w:rPr>
            </w:r>
            <w:r>
              <w:rPr>
                <w:noProof/>
                <w:webHidden/>
              </w:rPr>
              <w:fldChar w:fldCharType="separate"/>
            </w:r>
            <w:r>
              <w:rPr>
                <w:noProof/>
                <w:webHidden/>
              </w:rPr>
              <w:t>20</w:t>
            </w:r>
            <w:r>
              <w:rPr>
                <w:noProof/>
                <w:webHidden/>
              </w:rPr>
              <w:fldChar w:fldCharType="end"/>
            </w:r>
          </w:hyperlink>
        </w:p>
        <w:p w14:paraId="0FCD53C3" w14:textId="69DCF9DF" w:rsidR="00ED7988" w:rsidRDefault="00ED7988">
          <w:pPr>
            <w:pStyle w:val="TOC1"/>
            <w:rPr>
              <w:rFonts w:asciiTheme="minorHAnsi" w:eastAsiaTheme="minorEastAsia" w:hAnsiTheme="minorHAnsi" w:cstheme="minorBidi"/>
              <w:b w:val="0"/>
              <w:noProof/>
              <w:color w:val="auto"/>
              <w:kern w:val="2"/>
              <w:sz w:val="22"/>
              <w:szCs w:val="22"/>
              <w14:ligatures w14:val="standardContextual"/>
            </w:rPr>
          </w:pPr>
          <w:hyperlink w:anchor="_Toc173939986" w:history="1">
            <w:r w:rsidRPr="00661261">
              <w:rPr>
                <w:rStyle w:val="Hyperlink"/>
                <w:noProof/>
              </w:rPr>
              <w:t>Definitions</w:t>
            </w:r>
            <w:r>
              <w:rPr>
                <w:noProof/>
                <w:webHidden/>
              </w:rPr>
              <w:tab/>
            </w:r>
            <w:r>
              <w:rPr>
                <w:noProof/>
                <w:webHidden/>
              </w:rPr>
              <w:fldChar w:fldCharType="begin"/>
            </w:r>
            <w:r>
              <w:rPr>
                <w:noProof/>
                <w:webHidden/>
              </w:rPr>
              <w:instrText xml:space="preserve"> PAGEREF _Toc173939986 \h </w:instrText>
            </w:r>
            <w:r>
              <w:rPr>
                <w:noProof/>
                <w:webHidden/>
              </w:rPr>
            </w:r>
            <w:r>
              <w:rPr>
                <w:noProof/>
                <w:webHidden/>
              </w:rPr>
              <w:fldChar w:fldCharType="separate"/>
            </w:r>
            <w:r>
              <w:rPr>
                <w:noProof/>
                <w:webHidden/>
              </w:rPr>
              <w:t>20</w:t>
            </w:r>
            <w:r>
              <w:rPr>
                <w:noProof/>
                <w:webHidden/>
              </w:rPr>
              <w:fldChar w:fldCharType="end"/>
            </w:r>
          </w:hyperlink>
        </w:p>
        <w:p w14:paraId="53130B13" w14:textId="4D153FE2" w:rsidR="00ED7988" w:rsidRDefault="00ED7988">
          <w:pPr>
            <w:pStyle w:val="TOC2"/>
            <w:rPr>
              <w:rFonts w:asciiTheme="minorHAnsi" w:eastAsiaTheme="minorEastAsia" w:hAnsiTheme="minorHAnsi" w:cstheme="minorBidi"/>
              <w:b w:val="0"/>
              <w:noProof/>
              <w:color w:val="auto"/>
              <w:kern w:val="2"/>
              <w:sz w:val="22"/>
              <w:szCs w:val="22"/>
              <w14:ligatures w14:val="standardContextual"/>
            </w:rPr>
          </w:pPr>
          <w:hyperlink w:anchor="_Toc173939987" w:history="1">
            <w:r w:rsidRPr="00661261">
              <w:rPr>
                <w:rStyle w:val="Hyperlink"/>
                <w:noProof/>
              </w:rPr>
              <w:t>Proposal 15: Adopt definitions</w:t>
            </w:r>
            <w:r>
              <w:rPr>
                <w:noProof/>
                <w:webHidden/>
              </w:rPr>
              <w:tab/>
            </w:r>
            <w:r>
              <w:rPr>
                <w:noProof/>
                <w:webHidden/>
              </w:rPr>
              <w:fldChar w:fldCharType="begin"/>
            </w:r>
            <w:r>
              <w:rPr>
                <w:noProof/>
                <w:webHidden/>
              </w:rPr>
              <w:instrText xml:space="preserve"> PAGEREF _Toc173939987 \h </w:instrText>
            </w:r>
            <w:r>
              <w:rPr>
                <w:noProof/>
                <w:webHidden/>
              </w:rPr>
            </w:r>
            <w:r>
              <w:rPr>
                <w:noProof/>
                <w:webHidden/>
              </w:rPr>
              <w:fldChar w:fldCharType="separate"/>
            </w:r>
            <w:r>
              <w:rPr>
                <w:noProof/>
                <w:webHidden/>
              </w:rPr>
              <w:t>20</w:t>
            </w:r>
            <w:r>
              <w:rPr>
                <w:noProof/>
                <w:webHidden/>
              </w:rPr>
              <w:fldChar w:fldCharType="end"/>
            </w:r>
          </w:hyperlink>
        </w:p>
        <w:p w14:paraId="1C9CAA53" w14:textId="32CC0C30" w:rsidR="00ED7988" w:rsidRDefault="00ED7988">
          <w:pPr>
            <w:pStyle w:val="TOC3"/>
            <w:rPr>
              <w:rFonts w:asciiTheme="minorHAnsi" w:eastAsiaTheme="minorEastAsia" w:hAnsiTheme="minorHAnsi" w:cstheme="minorBidi"/>
              <w:b w:val="0"/>
              <w:noProof/>
              <w:color w:val="auto"/>
              <w:kern w:val="2"/>
              <w:sz w:val="22"/>
              <w:szCs w:val="22"/>
              <w14:ligatures w14:val="standardContextual"/>
            </w:rPr>
          </w:pPr>
          <w:hyperlink w:anchor="_Toc173939988" w:history="1">
            <w:r w:rsidRPr="00661261">
              <w:rPr>
                <w:rStyle w:val="Hyperlink"/>
                <w:noProof/>
              </w:rPr>
              <w:t>Questions</w:t>
            </w:r>
            <w:r>
              <w:rPr>
                <w:noProof/>
                <w:webHidden/>
              </w:rPr>
              <w:tab/>
            </w:r>
            <w:r>
              <w:rPr>
                <w:noProof/>
                <w:webHidden/>
              </w:rPr>
              <w:fldChar w:fldCharType="begin"/>
            </w:r>
            <w:r>
              <w:rPr>
                <w:noProof/>
                <w:webHidden/>
              </w:rPr>
              <w:instrText xml:space="preserve"> PAGEREF _Toc173939988 \h </w:instrText>
            </w:r>
            <w:r>
              <w:rPr>
                <w:noProof/>
                <w:webHidden/>
              </w:rPr>
            </w:r>
            <w:r>
              <w:rPr>
                <w:noProof/>
                <w:webHidden/>
              </w:rPr>
              <w:fldChar w:fldCharType="separate"/>
            </w:r>
            <w:r>
              <w:rPr>
                <w:noProof/>
                <w:webHidden/>
              </w:rPr>
              <w:t>21</w:t>
            </w:r>
            <w:r>
              <w:rPr>
                <w:noProof/>
                <w:webHidden/>
              </w:rPr>
              <w:fldChar w:fldCharType="end"/>
            </w:r>
          </w:hyperlink>
        </w:p>
        <w:p w14:paraId="413F0480" w14:textId="0BA25108" w:rsidR="00ED7988" w:rsidRDefault="00ED7988">
          <w:pPr>
            <w:pStyle w:val="TOC1"/>
            <w:rPr>
              <w:rFonts w:asciiTheme="minorHAnsi" w:eastAsiaTheme="minorEastAsia" w:hAnsiTheme="minorHAnsi" w:cstheme="minorBidi"/>
              <w:b w:val="0"/>
              <w:noProof/>
              <w:color w:val="auto"/>
              <w:kern w:val="2"/>
              <w:sz w:val="22"/>
              <w:szCs w:val="22"/>
              <w14:ligatures w14:val="standardContextual"/>
            </w:rPr>
          </w:pPr>
          <w:hyperlink w:anchor="_Toc173939989" w:history="1">
            <w:r w:rsidRPr="00661261">
              <w:rPr>
                <w:rStyle w:val="Hyperlink"/>
                <w:noProof/>
              </w:rPr>
              <w:t>Transitional arrangements</w:t>
            </w:r>
            <w:r>
              <w:rPr>
                <w:noProof/>
                <w:webHidden/>
              </w:rPr>
              <w:tab/>
            </w:r>
            <w:r>
              <w:rPr>
                <w:noProof/>
                <w:webHidden/>
              </w:rPr>
              <w:fldChar w:fldCharType="begin"/>
            </w:r>
            <w:r>
              <w:rPr>
                <w:noProof/>
                <w:webHidden/>
              </w:rPr>
              <w:instrText xml:space="preserve"> PAGEREF _Toc173939989 \h </w:instrText>
            </w:r>
            <w:r>
              <w:rPr>
                <w:noProof/>
                <w:webHidden/>
              </w:rPr>
            </w:r>
            <w:r>
              <w:rPr>
                <w:noProof/>
                <w:webHidden/>
              </w:rPr>
              <w:fldChar w:fldCharType="separate"/>
            </w:r>
            <w:r>
              <w:rPr>
                <w:noProof/>
                <w:webHidden/>
              </w:rPr>
              <w:t>21</w:t>
            </w:r>
            <w:r>
              <w:rPr>
                <w:noProof/>
                <w:webHidden/>
              </w:rPr>
              <w:fldChar w:fldCharType="end"/>
            </w:r>
          </w:hyperlink>
        </w:p>
        <w:p w14:paraId="299C6DE1" w14:textId="271CAE0B" w:rsidR="00ED7988" w:rsidRDefault="00ED7988">
          <w:pPr>
            <w:pStyle w:val="TOC2"/>
            <w:rPr>
              <w:rFonts w:asciiTheme="minorHAnsi" w:eastAsiaTheme="minorEastAsia" w:hAnsiTheme="minorHAnsi" w:cstheme="minorBidi"/>
              <w:b w:val="0"/>
              <w:noProof/>
              <w:color w:val="auto"/>
              <w:kern w:val="2"/>
              <w:sz w:val="22"/>
              <w:szCs w:val="22"/>
              <w14:ligatures w14:val="standardContextual"/>
            </w:rPr>
          </w:pPr>
          <w:hyperlink w:anchor="_Toc173939990" w:history="1">
            <w:r w:rsidRPr="00661261">
              <w:rPr>
                <w:rStyle w:val="Hyperlink"/>
                <w:noProof/>
              </w:rPr>
              <w:t>Proposal 16: Transitional arrangements</w:t>
            </w:r>
            <w:r>
              <w:rPr>
                <w:noProof/>
                <w:webHidden/>
              </w:rPr>
              <w:tab/>
            </w:r>
            <w:r>
              <w:rPr>
                <w:noProof/>
                <w:webHidden/>
              </w:rPr>
              <w:fldChar w:fldCharType="begin"/>
            </w:r>
            <w:r>
              <w:rPr>
                <w:noProof/>
                <w:webHidden/>
              </w:rPr>
              <w:instrText xml:space="preserve"> PAGEREF _Toc173939990 \h </w:instrText>
            </w:r>
            <w:r>
              <w:rPr>
                <w:noProof/>
                <w:webHidden/>
              </w:rPr>
            </w:r>
            <w:r>
              <w:rPr>
                <w:noProof/>
                <w:webHidden/>
              </w:rPr>
              <w:fldChar w:fldCharType="separate"/>
            </w:r>
            <w:r>
              <w:rPr>
                <w:noProof/>
                <w:webHidden/>
              </w:rPr>
              <w:t>22</w:t>
            </w:r>
            <w:r>
              <w:rPr>
                <w:noProof/>
                <w:webHidden/>
              </w:rPr>
              <w:fldChar w:fldCharType="end"/>
            </w:r>
          </w:hyperlink>
        </w:p>
        <w:p w14:paraId="7130203C" w14:textId="325C55CE" w:rsidR="00ED7988" w:rsidRDefault="00ED7988">
          <w:pPr>
            <w:pStyle w:val="TOC3"/>
            <w:rPr>
              <w:rFonts w:asciiTheme="minorHAnsi" w:eastAsiaTheme="minorEastAsia" w:hAnsiTheme="minorHAnsi" w:cstheme="minorBidi"/>
              <w:b w:val="0"/>
              <w:noProof/>
              <w:color w:val="auto"/>
              <w:kern w:val="2"/>
              <w:sz w:val="22"/>
              <w:szCs w:val="22"/>
              <w14:ligatures w14:val="standardContextual"/>
            </w:rPr>
          </w:pPr>
          <w:hyperlink w:anchor="_Toc173939991" w:history="1">
            <w:r w:rsidRPr="00661261">
              <w:rPr>
                <w:rStyle w:val="Hyperlink"/>
                <w:noProof/>
              </w:rPr>
              <w:t>Questions</w:t>
            </w:r>
            <w:r>
              <w:rPr>
                <w:noProof/>
                <w:webHidden/>
              </w:rPr>
              <w:tab/>
            </w:r>
            <w:r>
              <w:rPr>
                <w:noProof/>
                <w:webHidden/>
              </w:rPr>
              <w:fldChar w:fldCharType="begin"/>
            </w:r>
            <w:r>
              <w:rPr>
                <w:noProof/>
                <w:webHidden/>
              </w:rPr>
              <w:instrText xml:space="preserve"> PAGEREF _Toc173939991 \h </w:instrText>
            </w:r>
            <w:r>
              <w:rPr>
                <w:noProof/>
                <w:webHidden/>
              </w:rPr>
            </w:r>
            <w:r>
              <w:rPr>
                <w:noProof/>
                <w:webHidden/>
              </w:rPr>
              <w:fldChar w:fldCharType="separate"/>
            </w:r>
            <w:r>
              <w:rPr>
                <w:noProof/>
                <w:webHidden/>
              </w:rPr>
              <w:t>22</w:t>
            </w:r>
            <w:r>
              <w:rPr>
                <w:noProof/>
                <w:webHidden/>
              </w:rPr>
              <w:fldChar w:fldCharType="end"/>
            </w:r>
          </w:hyperlink>
        </w:p>
        <w:p w14:paraId="5E519348" w14:textId="147D0F46" w:rsidR="00ED7988" w:rsidRDefault="00ED7988">
          <w:pPr>
            <w:pStyle w:val="TOC1"/>
            <w:rPr>
              <w:rFonts w:asciiTheme="minorHAnsi" w:eastAsiaTheme="minorEastAsia" w:hAnsiTheme="minorHAnsi" w:cstheme="minorBidi"/>
              <w:b w:val="0"/>
              <w:noProof/>
              <w:color w:val="auto"/>
              <w:kern w:val="2"/>
              <w:sz w:val="22"/>
              <w:szCs w:val="22"/>
              <w14:ligatures w14:val="standardContextual"/>
            </w:rPr>
          </w:pPr>
          <w:hyperlink w:anchor="_Toc173939992" w:history="1">
            <w:r w:rsidRPr="00661261">
              <w:rPr>
                <w:rStyle w:val="Hyperlink"/>
                <w:noProof/>
              </w:rPr>
              <w:t>Open comments</w:t>
            </w:r>
            <w:r>
              <w:rPr>
                <w:noProof/>
                <w:webHidden/>
              </w:rPr>
              <w:tab/>
            </w:r>
            <w:r>
              <w:rPr>
                <w:noProof/>
                <w:webHidden/>
              </w:rPr>
              <w:fldChar w:fldCharType="begin"/>
            </w:r>
            <w:r>
              <w:rPr>
                <w:noProof/>
                <w:webHidden/>
              </w:rPr>
              <w:instrText xml:space="preserve"> PAGEREF _Toc173939992 \h </w:instrText>
            </w:r>
            <w:r>
              <w:rPr>
                <w:noProof/>
                <w:webHidden/>
              </w:rPr>
            </w:r>
            <w:r>
              <w:rPr>
                <w:noProof/>
                <w:webHidden/>
              </w:rPr>
              <w:fldChar w:fldCharType="separate"/>
            </w:r>
            <w:r>
              <w:rPr>
                <w:noProof/>
                <w:webHidden/>
              </w:rPr>
              <w:t>22</w:t>
            </w:r>
            <w:r>
              <w:rPr>
                <w:noProof/>
                <w:webHidden/>
              </w:rPr>
              <w:fldChar w:fldCharType="end"/>
            </w:r>
          </w:hyperlink>
        </w:p>
        <w:p w14:paraId="7A8C2A2A" w14:textId="67490BCD" w:rsidR="00ED7988" w:rsidRDefault="00ED7988">
          <w:pPr>
            <w:pStyle w:val="TOC1"/>
            <w:rPr>
              <w:rFonts w:asciiTheme="minorHAnsi" w:eastAsiaTheme="minorEastAsia" w:hAnsiTheme="minorHAnsi" w:cstheme="minorBidi"/>
              <w:b w:val="0"/>
              <w:noProof/>
              <w:color w:val="auto"/>
              <w:kern w:val="2"/>
              <w:sz w:val="22"/>
              <w:szCs w:val="22"/>
              <w14:ligatures w14:val="standardContextual"/>
            </w:rPr>
          </w:pPr>
          <w:hyperlink w:anchor="_Toc173939993" w:history="1">
            <w:r w:rsidRPr="00661261">
              <w:rPr>
                <w:rStyle w:val="Hyperlink"/>
                <w:noProof/>
              </w:rPr>
              <w:t>Fees and charges</w:t>
            </w:r>
            <w:r>
              <w:rPr>
                <w:noProof/>
                <w:webHidden/>
              </w:rPr>
              <w:tab/>
            </w:r>
            <w:r>
              <w:rPr>
                <w:noProof/>
                <w:webHidden/>
              </w:rPr>
              <w:fldChar w:fldCharType="begin"/>
            </w:r>
            <w:r>
              <w:rPr>
                <w:noProof/>
                <w:webHidden/>
              </w:rPr>
              <w:instrText xml:space="preserve"> PAGEREF _Toc173939993 \h </w:instrText>
            </w:r>
            <w:r>
              <w:rPr>
                <w:noProof/>
                <w:webHidden/>
              </w:rPr>
            </w:r>
            <w:r>
              <w:rPr>
                <w:noProof/>
                <w:webHidden/>
              </w:rPr>
              <w:fldChar w:fldCharType="separate"/>
            </w:r>
            <w:r>
              <w:rPr>
                <w:noProof/>
                <w:webHidden/>
              </w:rPr>
              <w:t>22</w:t>
            </w:r>
            <w:r>
              <w:rPr>
                <w:noProof/>
                <w:webHidden/>
              </w:rPr>
              <w:fldChar w:fldCharType="end"/>
            </w:r>
          </w:hyperlink>
        </w:p>
        <w:p w14:paraId="6E3A7482" w14:textId="5A7338C4" w:rsidR="00ED7988" w:rsidRDefault="00ED7988">
          <w:pPr>
            <w:pStyle w:val="TOC1"/>
            <w:rPr>
              <w:rFonts w:asciiTheme="minorHAnsi" w:eastAsiaTheme="minorEastAsia" w:hAnsiTheme="minorHAnsi" w:cstheme="minorBidi"/>
              <w:b w:val="0"/>
              <w:noProof/>
              <w:color w:val="auto"/>
              <w:kern w:val="2"/>
              <w:sz w:val="22"/>
              <w:szCs w:val="22"/>
              <w14:ligatures w14:val="standardContextual"/>
            </w:rPr>
          </w:pPr>
          <w:hyperlink w:anchor="_Toc173939994" w:history="1">
            <w:r w:rsidRPr="00661261">
              <w:rPr>
                <w:rStyle w:val="Hyperlink"/>
                <w:noProof/>
              </w:rPr>
              <w:t>Appendix 1: EU GSPRs not adopted</w:t>
            </w:r>
            <w:r>
              <w:rPr>
                <w:noProof/>
                <w:webHidden/>
              </w:rPr>
              <w:tab/>
            </w:r>
            <w:r>
              <w:rPr>
                <w:noProof/>
                <w:webHidden/>
              </w:rPr>
              <w:fldChar w:fldCharType="begin"/>
            </w:r>
            <w:r>
              <w:rPr>
                <w:noProof/>
                <w:webHidden/>
              </w:rPr>
              <w:instrText xml:space="preserve"> PAGEREF _Toc173939994 \h </w:instrText>
            </w:r>
            <w:r>
              <w:rPr>
                <w:noProof/>
                <w:webHidden/>
              </w:rPr>
            </w:r>
            <w:r>
              <w:rPr>
                <w:noProof/>
                <w:webHidden/>
              </w:rPr>
              <w:fldChar w:fldCharType="separate"/>
            </w:r>
            <w:r>
              <w:rPr>
                <w:noProof/>
                <w:webHidden/>
              </w:rPr>
              <w:t>23</w:t>
            </w:r>
            <w:r>
              <w:rPr>
                <w:noProof/>
                <w:webHidden/>
              </w:rPr>
              <w:fldChar w:fldCharType="end"/>
            </w:r>
          </w:hyperlink>
        </w:p>
        <w:p w14:paraId="0528979B" w14:textId="539484C1" w:rsidR="002772CC" w:rsidRDefault="002772CC" w:rsidP="002772CC">
          <w:r w:rsidRPr="009401F6">
            <w:fldChar w:fldCharType="end"/>
          </w:r>
        </w:p>
      </w:sdtContent>
    </w:sdt>
    <w:p w14:paraId="09C7ACA8" w14:textId="77777777" w:rsidR="000E43CB" w:rsidRPr="00EB182C" w:rsidRDefault="000E43CB" w:rsidP="006168D3">
      <w:pPr>
        <w:pStyle w:val="LegalCopy"/>
      </w:pPr>
    </w:p>
    <w:p w14:paraId="43251A8C" w14:textId="5839AF90" w:rsidR="002772CC" w:rsidRDefault="002772CC"/>
    <w:p w14:paraId="291AE051" w14:textId="77777777" w:rsidR="000E43CB" w:rsidRPr="009401F6" w:rsidRDefault="000E43CB" w:rsidP="006168D3">
      <w:r w:rsidRPr="009401F6">
        <w:br w:type="page"/>
      </w:r>
    </w:p>
    <w:p w14:paraId="192DAEA2" w14:textId="6CF80203" w:rsidR="008E7AAC" w:rsidRPr="008E7AAC" w:rsidRDefault="00834B34" w:rsidP="008E7AAC">
      <w:pPr>
        <w:pStyle w:val="Heading2"/>
      </w:pPr>
      <w:bookmarkStart w:id="3" w:name="_Toc173939938"/>
      <w:bookmarkEnd w:id="2"/>
      <w:r>
        <w:t>About</w:t>
      </w:r>
      <w:bookmarkEnd w:id="3"/>
    </w:p>
    <w:p w14:paraId="0CD4616E" w14:textId="56A905CA" w:rsidR="00851A52" w:rsidRPr="00383A0D" w:rsidRDefault="00851A52" w:rsidP="00851A52">
      <w:r w:rsidRPr="00383A0D">
        <w:t>The medical device regulatory framework in Australia is based on global</w:t>
      </w:r>
      <w:r w:rsidR="00183C67">
        <w:t>ly recognised</w:t>
      </w:r>
      <w:r w:rsidRPr="00383A0D">
        <w:t xml:space="preserve"> principles, with added assurance by the Therapeutic Goods Administration (TGA).</w:t>
      </w:r>
    </w:p>
    <w:p w14:paraId="4AAA66D1" w14:textId="77D47A5E" w:rsidR="00851A52" w:rsidRPr="00383A0D" w:rsidRDefault="00851A52" w:rsidP="00851A52">
      <w:r w:rsidRPr="00383A0D">
        <w:t xml:space="preserve">An </w:t>
      </w:r>
      <w:r w:rsidRPr="00383A0D">
        <w:rPr>
          <w:i/>
          <w:iCs/>
        </w:rPr>
        <w:t>Action Plan for Medical Devices</w:t>
      </w:r>
      <w:r>
        <w:rPr>
          <w:rStyle w:val="FootnoteReference"/>
          <w:i/>
          <w:iCs/>
        </w:rPr>
        <w:footnoteReference w:id="2"/>
      </w:r>
      <w:r w:rsidRPr="00383A0D">
        <w:rPr>
          <w:i/>
          <w:iCs/>
        </w:rPr>
        <w:t xml:space="preserve"> </w:t>
      </w:r>
      <w:r w:rsidRPr="00383A0D">
        <w:t xml:space="preserve">is a </w:t>
      </w:r>
      <w:r w:rsidRPr="00851A52">
        <w:t>three-part</w:t>
      </w:r>
      <w:r w:rsidRPr="00383A0D">
        <w:t xml:space="preserve"> strategy that aims to strengthen Australia’s regulatory system whilst continuing to be patient focused and have greater transparency. It outlines actions that continue to improve the safety, </w:t>
      </w:r>
      <w:proofErr w:type="gramStart"/>
      <w:r w:rsidRPr="00383A0D">
        <w:t>performance</w:t>
      </w:r>
      <w:proofErr w:type="gramEnd"/>
      <w:r w:rsidRPr="00383A0D">
        <w:t xml:space="preserve"> and quality of medical devices in Australia and improve health outcomes for patients who require medical devices. </w:t>
      </w:r>
    </w:p>
    <w:p w14:paraId="10A15B04" w14:textId="77777777" w:rsidR="00851A52" w:rsidRPr="00383A0D" w:rsidRDefault="00851A52" w:rsidP="00851A52">
      <w:r w:rsidRPr="00383A0D">
        <w:t xml:space="preserve">The TGA has been systematically reviewing the regulations and guidance materials relating to medical devices, with progress published on the TGA website.  </w:t>
      </w:r>
    </w:p>
    <w:p w14:paraId="192D5A95" w14:textId="778AE153" w:rsidR="00851A52" w:rsidRPr="00851A52" w:rsidRDefault="00851A52" w:rsidP="00851A52">
      <w:r w:rsidRPr="00383A0D">
        <w:t xml:space="preserve">This consultation focuses on Part 2 of reviewing the </w:t>
      </w:r>
      <w:r w:rsidR="004D051F">
        <w:t xml:space="preserve">Australian (AUS) </w:t>
      </w:r>
      <w:r>
        <w:t>Essential Principles</w:t>
      </w:r>
      <w:r w:rsidRPr="00383A0D">
        <w:t xml:space="preserve"> for Safety and Performance of medical devices to ensure they remain relevant</w:t>
      </w:r>
      <w:r w:rsidR="00980415">
        <w:t>. It also</w:t>
      </w:r>
      <w:r w:rsidRPr="00383A0D">
        <w:t xml:space="preserve"> identifies where potential strengthening of the regulations could occur.</w:t>
      </w:r>
      <w:r w:rsidRPr="00851A52">
        <w:t xml:space="preserve"> </w:t>
      </w:r>
    </w:p>
    <w:p w14:paraId="7BF8CD75" w14:textId="553B540F" w:rsidR="00851A52" w:rsidRPr="00383A0D" w:rsidRDefault="00851A52" w:rsidP="00851A52">
      <w:r w:rsidRPr="00383A0D">
        <w:t xml:space="preserve">The regulatory </w:t>
      </w:r>
      <w:r w:rsidR="00183C67">
        <w:t xml:space="preserve">reforms </w:t>
      </w:r>
      <w:r w:rsidR="00980415">
        <w:t xml:space="preserve">in this consultation </w:t>
      </w:r>
      <w:r w:rsidR="00183C67">
        <w:t xml:space="preserve">are </w:t>
      </w:r>
      <w:r w:rsidRPr="00383A0D">
        <w:t>based on the Government policy as agreed in 2016 in response to the Review of Medicine and Medical Devices Regulation</w:t>
      </w:r>
      <w:r w:rsidRPr="00383A0D">
        <w:rPr>
          <w:rStyle w:val="FootnoteReference"/>
        </w:rPr>
        <w:footnoteReference w:id="3"/>
      </w:r>
      <w:r w:rsidR="00980415">
        <w:t>. It was agreed</w:t>
      </w:r>
      <w:r w:rsidRPr="00383A0D">
        <w:t xml:space="preserve"> that the Australian Medical Device Framework be aligned, wherever possible, with the European Union </w:t>
      </w:r>
      <w:r w:rsidR="00980415">
        <w:t>Medical Device F</w:t>
      </w:r>
      <w:r w:rsidRPr="00383A0D">
        <w:t>ramework</w:t>
      </w:r>
      <w:r w:rsidR="00980415">
        <w:t xml:space="preserve">. Of note was the existing </w:t>
      </w:r>
      <w:r w:rsidRPr="00383A0D">
        <w:t xml:space="preserve">alignment </w:t>
      </w:r>
      <w:r w:rsidR="0024713F">
        <w:t>already between the two frameworks</w:t>
      </w:r>
      <w:r w:rsidRPr="00383A0D">
        <w:t xml:space="preserve">. </w:t>
      </w:r>
    </w:p>
    <w:p w14:paraId="12EEFEB6" w14:textId="7479FD00" w:rsidR="00851A52" w:rsidRPr="00383A0D" w:rsidRDefault="0024713F" w:rsidP="00851A52">
      <w:r>
        <w:t>In 2019 we consulted on</w:t>
      </w:r>
      <w:r w:rsidR="00851A52" w:rsidRPr="00383A0D">
        <w:t xml:space="preserve"> Part </w:t>
      </w:r>
      <w:r>
        <w:t>1,</w:t>
      </w:r>
      <w:r w:rsidR="00851A52" w:rsidRPr="00383A0D">
        <w:t xml:space="preserve"> </w:t>
      </w:r>
      <w:hyperlink r:id="rId12">
        <w:r w:rsidR="00851A52" w:rsidRPr="00383A0D">
          <w:rPr>
            <w:rStyle w:val="Hyperlink"/>
            <w:i/>
            <w:iCs/>
          </w:rPr>
          <w:t xml:space="preserve">Proposed changes to the medical device </w:t>
        </w:r>
        <w:r w:rsidR="00851A52">
          <w:rPr>
            <w:rStyle w:val="Hyperlink"/>
            <w:i/>
            <w:iCs/>
          </w:rPr>
          <w:t>Essential Principles</w:t>
        </w:r>
        <w:r w:rsidR="00851A52" w:rsidRPr="00383A0D">
          <w:rPr>
            <w:rStyle w:val="Hyperlink"/>
            <w:i/>
            <w:iCs/>
          </w:rPr>
          <w:t xml:space="preserve"> for safety and performance</w:t>
        </w:r>
      </w:hyperlink>
      <w:r>
        <w:rPr>
          <w:rStyle w:val="Hyperlink"/>
          <w:i/>
          <w:iCs/>
        </w:rPr>
        <w:t>.</w:t>
      </w:r>
      <w:r>
        <w:t xml:space="preserve"> Feedback i</w:t>
      </w:r>
      <w:r w:rsidR="00851A52" w:rsidRPr="00383A0D">
        <w:t xml:space="preserve">ndicated strong support for </w:t>
      </w:r>
      <w:r w:rsidR="000F5DF3" w:rsidRPr="00383A0D">
        <w:t>align</w:t>
      </w:r>
      <w:r w:rsidR="000F5DF3">
        <w:t>ment</w:t>
      </w:r>
      <w:r w:rsidR="000F5DF3" w:rsidRPr="00383A0D">
        <w:t xml:space="preserve"> </w:t>
      </w:r>
      <w:r w:rsidR="00851A52" w:rsidRPr="00383A0D">
        <w:t>with the General Safety and Performance Requirements (GSPR) of the EU Regulations.</w:t>
      </w:r>
    </w:p>
    <w:p w14:paraId="75AE53AC" w14:textId="79ACB1A0" w:rsidR="00851A52" w:rsidRDefault="000F5DF3" w:rsidP="00851A52">
      <w:r w:rsidRPr="00383A0D">
        <w:t>Th</w:t>
      </w:r>
      <w:r>
        <w:t>is</w:t>
      </w:r>
      <w:r w:rsidRPr="00383A0D">
        <w:t xml:space="preserve"> </w:t>
      </w:r>
      <w:r w:rsidR="00851A52" w:rsidRPr="00383A0D">
        <w:t xml:space="preserve">consultation seeks to confirm views on where appropriate alignment </w:t>
      </w:r>
      <w:r w:rsidR="004D051F" w:rsidRPr="00383A0D">
        <w:t xml:space="preserve">should occur </w:t>
      </w:r>
      <w:r w:rsidR="00851A52" w:rsidRPr="00383A0D">
        <w:t>with the GSPR of the European Regulation 2017/745 on medical devices (MDR) and Regulation 2017/746 for in vitro diagnostic medical devices (IVDR), collectively referred to as the EU Regulations.</w:t>
      </w:r>
    </w:p>
    <w:p w14:paraId="0372A831" w14:textId="3199A2E2" w:rsidR="00E90A72" w:rsidRPr="00E90A72" w:rsidRDefault="004D051F" w:rsidP="006168D3">
      <w:pPr>
        <w:pStyle w:val="Heading3"/>
      </w:pPr>
      <w:bookmarkStart w:id="4" w:name="_Toc173939939"/>
      <w:r>
        <w:t xml:space="preserve">AUS </w:t>
      </w:r>
      <w:r w:rsidR="00851A52">
        <w:t>Essential Principles</w:t>
      </w:r>
      <w:bookmarkEnd w:id="4"/>
    </w:p>
    <w:p w14:paraId="0B353F93" w14:textId="6E499B29" w:rsidR="00106E1F" w:rsidRDefault="003240CC" w:rsidP="006168D3">
      <w:r>
        <w:t xml:space="preserve">The </w:t>
      </w:r>
      <w:r w:rsidR="004D051F">
        <w:t xml:space="preserve">AUS </w:t>
      </w:r>
      <w:r w:rsidR="00851A52">
        <w:t>Essential Principles</w:t>
      </w:r>
      <w:r w:rsidR="009C2713">
        <w:t xml:space="preserve"> </w:t>
      </w:r>
      <w:r w:rsidR="00DA5D17">
        <w:t xml:space="preserve">for safety and performance of medical devices </w:t>
      </w:r>
      <w:r w:rsidR="009C2713">
        <w:t>are described</w:t>
      </w:r>
      <w:r>
        <w:t xml:space="preserve"> in t</w:t>
      </w:r>
      <w:r w:rsidR="00E90A72">
        <w:t xml:space="preserve">he </w:t>
      </w:r>
      <w:hyperlink r:id="rId13" w:history="1">
        <w:r w:rsidR="00E90A72" w:rsidRPr="009E74DD">
          <w:rPr>
            <w:rStyle w:val="Hyperlink"/>
            <w:i/>
          </w:rPr>
          <w:t>Therapeutic Goods Act 1989</w:t>
        </w:r>
      </w:hyperlink>
      <w:r>
        <w:rPr>
          <w:rStyle w:val="FootnoteReference"/>
        </w:rPr>
        <w:footnoteReference w:id="4"/>
      </w:r>
      <w:r>
        <w:t xml:space="preserve"> </w:t>
      </w:r>
      <w:r w:rsidR="00E90A72">
        <w:t xml:space="preserve"> (the Act) and </w:t>
      </w:r>
      <w:r w:rsidR="00183C67">
        <w:t xml:space="preserve">listed in </w:t>
      </w:r>
      <w:r w:rsidR="00E90A72">
        <w:t xml:space="preserve">the </w:t>
      </w:r>
      <w:hyperlink r:id="rId14" w:history="1">
        <w:r w:rsidR="00E90A72" w:rsidRPr="009E74DD">
          <w:rPr>
            <w:rStyle w:val="Hyperlink"/>
            <w:i/>
          </w:rPr>
          <w:t>Therapeutic Goods (Medical Devices) Regulations 2002</w:t>
        </w:r>
      </w:hyperlink>
      <w:r>
        <w:rPr>
          <w:rStyle w:val="FootnoteReference"/>
        </w:rPr>
        <w:footnoteReference w:id="5"/>
      </w:r>
      <w:r>
        <w:t>,</w:t>
      </w:r>
      <w:r w:rsidR="00E90A72">
        <w:t xml:space="preserve"> (the Regulations)</w:t>
      </w:r>
      <w:r w:rsidR="009C2713">
        <w:t xml:space="preserve">. </w:t>
      </w:r>
      <w:r w:rsidR="009C2713" w:rsidRPr="009C2713">
        <w:t xml:space="preserve">Manufacturers must </w:t>
      </w:r>
      <w:r w:rsidR="006003FC">
        <w:t xml:space="preserve">be able to </w:t>
      </w:r>
      <w:r w:rsidR="009C2713" w:rsidRPr="009C2713">
        <w:t xml:space="preserve">demonstrate that their devices meet all relevant </w:t>
      </w:r>
      <w:r w:rsidR="006003FC">
        <w:t xml:space="preserve">AUS </w:t>
      </w:r>
      <w:r w:rsidR="00851A52">
        <w:t>Essential Principles</w:t>
      </w:r>
      <w:r w:rsidR="009C2713" w:rsidRPr="009C2713">
        <w:t>. Sponsors must either hold or be able to get this evidence from their manufacturer on request.</w:t>
      </w:r>
    </w:p>
    <w:p w14:paraId="39307B24" w14:textId="367D0BD5" w:rsidR="00C73BA0" w:rsidRDefault="0017456B" w:rsidP="006168D3">
      <w:r>
        <w:t>T</w:t>
      </w:r>
      <w:r w:rsidR="00C73BA0">
        <w:t xml:space="preserve">he </w:t>
      </w:r>
      <w:r w:rsidR="006003FC">
        <w:t xml:space="preserve">AUS </w:t>
      </w:r>
      <w:r w:rsidR="00851A52">
        <w:t>Essential Principles</w:t>
      </w:r>
      <w:r w:rsidR="00C73BA0">
        <w:t xml:space="preserve"> cover</w:t>
      </w:r>
      <w:r w:rsidR="00610604">
        <w:t>:</w:t>
      </w:r>
    </w:p>
    <w:p w14:paraId="13F0F21E" w14:textId="514E6EE3" w:rsidR="00C73BA0" w:rsidRPr="0074151C" w:rsidRDefault="00C73BA0" w:rsidP="00353E34">
      <w:pPr>
        <w:pStyle w:val="ListBullet"/>
      </w:pPr>
      <w:r w:rsidRPr="00B8389F">
        <w:rPr>
          <w:b/>
          <w:bCs/>
        </w:rPr>
        <w:t>General principles</w:t>
      </w:r>
      <w:r w:rsidRPr="0074151C">
        <w:t xml:space="preserve"> (</w:t>
      </w:r>
      <w:r w:rsidR="006003FC">
        <w:t xml:space="preserve">AUS </w:t>
      </w:r>
      <w:r w:rsidR="00851A52">
        <w:t>Essential Principles</w:t>
      </w:r>
      <w:r w:rsidRPr="0074151C">
        <w:t xml:space="preserve"> 1-6) </w:t>
      </w:r>
      <w:r w:rsidR="0074151C">
        <w:rPr>
          <w:b/>
          <w:bCs/>
        </w:rPr>
        <w:br/>
      </w:r>
      <w:r w:rsidRPr="0074151C">
        <w:t>These apply to all medical devices and cover principles of health and safety, risk management, long-term safety, and that the benefits outweigh any undesirable effects.</w:t>
      </w:r>
    </w:p>
    <w:p w14:paraId="1D852871" w14:textId="7CE1FB9F" w:rsidR="00C73BA0" w:rsidRPr="0074151C" w:rsidRDefault="00C73BA0" w:rsidP="00353E34">
      <w:pPr>
        <w:pStyle w:val="ListBullet"/>
      </w:pPr>
      <w:r w:rsidRPr="00B8389F">
        <w:rPr>
          <w:b/>
          <w:bCs/>
        </w:rPr>
        <w:t>Design and construction principles</w:t>
      </w:r>
      <w:r w:rsidRPr="0074151C">
        <w:t xml:space="preserve"> (</w:t>
      </w:r>
      <w:r w:rsidR="006003FC">
        <w:t xml:space="preserve">AUS </w:t>
      </w:r>
      <w:r w:rsidR="00851A52">
        <w:t>Essential Principles</w:t>
      </w:r>
      <w:r w:rsidRPr="0074151C">
        <w:t xml:space="preserve"> 7-12 and 15)</w:t>
      </w:r>
      <w:r w:rsidR="0074151C">
        <w:br/>
      </w:r>
      <w:r w:rsidRPr="0074151C">
        <w:t>These apply on a case-by-case basis, depending on the type of device and technology used.</w:t>
      </w:r>
    </w:p>
    <w:p w14:paraId="186D2BBA" w14:textId="57950ABF" w:rsidR="00C73BA0" w:rsidRPr="0074151C" w:rsidRDefault="00C73BA0" w:rsidP="00353E34">
      <w:pPr>
        <w:pStyle w:val="ListBullet"/>
      </w:pPr>
      <w:r w:rsidRPr="00B8389F">
        <w:rPr>
          <w:b/>
          <w:bCs/>
        </w:rPr>
        <w:t>Information to be provided with a medical device</w:t>
      </w:r>
      <w:r w:rsidRPr="0074151C">
        <w:t xml:space="preserve"> (</w:t>
      </w:r>
      <w:r w:rsidR="006003FC">
        <w:t xml:space="preserve">AUS </w:t>
      </w:r>
      <w:r w:rsidR="00851A52">
        <w:t xml:space="preserve">Essential Principle </w:t>
      </w:r>
      <w:r w:rsidRPr="0074151C">
        <w:t>13)</w:t>
      </w:r>
      <w:r w:rsidR="0074151C">
        <w:br/>
      </w:r>
      <w:r w:rsidRPr="0074151C">
        <w:t xml:space="preserve">This applies to all devices to ensure relevant information is provided to users.   </w:t>
      </w:r>
    </w:p>
    <w:p w14:paraId="2F334CA6" w14:textId="40CCC645" w:rsidR="00C73BA0" w:rsidRDefault="00C73BA0" w:rsidP="00353E34">
      <w:pPr>
        <w:pStyle w:val="ListBullet"/>
      </w:pPr>
      <w:r w:rsidRPr="00B8389F">
        <w:rPr>
          <w:b/>
          <w:bCs/>
        </w:rPr>
        <w:t>Clinical evidence</w:t>
      </w:r>
      <w:r w:rsidRPr="0074151C">
        <w:t xml:space="preserve"> (</w:t>
      </w:r>
      <w:r w:rsidR="006003FC">
        <w:t xml:space="preserve">AUS </w:t>
      </w:r>
      <w:r w:rsidR="00851A52">
        <w:t xml:space="preserve">Essential Principle </w:t>
      </w:r>
      <w:r w:rsidRPr="0074151C">
        <w:t>14)</w:t>
      </w:r>
      <w:r w:rsidR="0074151C">
        <w:br/>
      </w:r>
      <w:r w:rsidRPr="0074151C">
        <w:t>This applies to all devices, as</w:t>
      </w:r>
      <w:r>
        <w:t xml:space="preserve"> appropriate for the use and classification of the device.</w:t>
      </w:r>
    </w:p>
    <w:p w14:paraId="1D71DA5D" w14:textId="77777777" w:rsidR="00331F3D" w:rsidRDefault="00331F3D" w:rsidP="006168D3">
      <w:pPr>
        <w:pStyle w:val="Heading3"/>
      </w:pPr>
      <w:bookmarkStart w:id="5" w:name="_Toc168309839"/>
      <w:bookmarkStart w:id="6" w:name="_Toc173939940"/>
      <w:r>
        <w:t xml:space="preserve">Approach for the </w:t>
      </w:r>
      <w:proofErr w:type="gramStart"/>
      <w:r>
        <w:t>alignment</w:t>
      </w:r>
      <w:bookmarkEnd w:id="5"/>
      <w:bookmarkEnd w:id="6"/>
      <w:proofErr w:type="gramEnd"/>
    </w:p>
    <w:p w14:paraId="2B8454DC" w14:textId="68CCDD8F" w:rsidR="00EE3134" w:rsidRDefault="00EE3134" w:rsidP="00EE3134">
      <w:r>
        <w:t xml:space="preserve">We have </w:t>
      </w:r>
      <w:r w:rsidRPr="005D7582">
        <w:t xml:space="preserve">compared the intent of each </w:t>
      </w:r>
      <w:r w:rsidR="004D051F">
        <w:t xml:space="preserve">AUS </w:t>
      </w:r>
      <w:r w:rsidR="00851A52">
        <w:t xml:space="preserve">Essential Principle </w:t>
      </w:r>
      <w:r w:rsidRPr="00383A0D">
        <w:t xml:space="preserve">with the intent of the corresponding </w:t>
      </w:r>
      <w:r w:rsidR="007C3BD0" w:rsidRPr="00383A0D">
        <w:t>EU GSPRs</w:t>
      </w:r>
      <w:r w:rsidRPr="00383A0D">
        <w:t>, for both non-IVD and IVD medical devices</w:t>
      </w:r>
      <w:r w:rsidR="00B51A05">
        <w:t xml:space="preserve"> and applied the approach below.</w:t>
      </w:r>
    </w:p>
    <w:p w14:paraId="502CA456" w14:textId="372AF8FC" w:rsidR="000579AA" w:rsidRPr="00383A0D" w:rsidRDefault="000579AA" w:rsidP="000579AA">
      <w:pPr>
        <w:pStyle w:val="Heading4"/>
      </w:pPr>
      <w:bookmarkStart w:id="7" w:name="_Toc173939941"/>
      <w:r>
        <w:t>In-scope</w:t>
      </w:r>
      <w:bookmarkEnd w:id="7"/>
    </w:p>
    <w:p w14:paraId="7592F77A" w14:textId="225B29BB" w:rsidR="004202A4" w:rsidRDefault="00B51A05" w:rsidP="00851A52">
      <w:r>
        <w:t>We have p</w:t>
      </w:r>
      <w:r w:rsidR="004202A4">
        <w:t xml:space="preserve">roposed </w:t>
      </w:r>
      <w:r w:rsidR="004202A4" w:rsidRPr="00F2172B">
        <w:rPr>
          <w:b/>
          <w:bCs/>
        </w:rPr>
        <w:t>changes</w:t>
      </w:r>
      <w:r w:rsidR="004202A4">
        <w:t xml:space="preserve"> where:</w:t>
      </w:r>
    </w:p>
    <w:p w14:paraId="05D1CB59" w14:textId="77777777" w:rsidR="004202A4" w:rsidRDefault="004202A4" w:rsidP="00720585">
      <w:pPr>
        <w:pStyle w:val="ListBullet"/>
        <w:numPr>
          <w:ilvl w:val="0"/>
          <w:numId w:val="36"/>
        </w:numPr>
      </w:pPr>
      <w:r w:rsidRPr="00383A0D">
        <w:t xml:space="preserve">EU GSPR </w:t>
      </w:r>
      <w:r>
        <w:t>adds new</w:t>
      </w:r>
      <w:r w:rsidRPr="00383A0D">
        <w:t xml:space="preserve"> requirements </w:t>
      </w:r>
      <w:r>
        <w:t>to</w:t>
      </w:r>
      <w:r w:rsidRPr="00383A0D">
        <w:t xml:space="preserve"> improve safety or </w:t>
      </w:r>
      <w:proofErr w:type="gramStart"/>
      <w:r w:rsidRPr="00383A0D">
        <w:t>performance</w:t>
      </w:r>
      <w:proofErr w:type="gramEnd"/>
    </w:p>
    <w:p w14:paraId="49855BCA" w14:textId="7C89C306" w:rsidR="004202A4" w:rsidRPr="00383A0D" w:rsidRDefault="004202A4" w:rsidP="00720585">
      <w:pPr>
        <w:pStyle w:val="ListBullet"/>
        <w:numPr>
          <w:ilvl w:val="0"/>
          <w:numId w:val="36"/>
        </w:numPr>
      </w:pPr>
      <w:r>
        <w:t xml:space="preserve">EU GSPR adds clarity to </w:t>
      </w:r>
      <w:r w:rsidR="00F2172B">
        <w:t xml:space="preserve">the </w:t>
      </w:r>
      <w:r>
        <w:t xml:space="preserve">regulatory expectation of </w:t>
      </w:r>
      <w:proofErr w:type="gramStart"/>
      <w:r>
        <w:t>compliance</w:t>
      </w:r>
      <w:proofErr w:type="gramEnd"/>
      <w:r>
        <w:t xml:space="preserve"> </w:t>
      </w:r>
    </w:p>
    <w:p w14:paraId="083F3E23" w14:textId="50B30D6A" w:rsidR="00B51A05" w:rsidRPr="00EE3134" w:rsidRDefault="00B51A05" w:rsidP="00720585">
      <w:pPr>
        <w:pStyle w:val="ListBullet"/>
        <w:numPr>
          <w:ilvl w:val="0"/>
          <w:numId w:val="36"/>
        </w:numPr>
      </w:pPr>
      <w:r>
        <w:t>EU GSPR</w:t>
      </w:r>
      <w:r w:rsidRPr="00EE3134">
        <w:t>s introduce</w:t>
      </w:r>
      <w:r w:rsidR="00F2172B">
        <w:t>s</w:t>
      </w:r>
      <w:r w:rsidRPr="00EE3134">
        <w:t xml:space="preserve"> terminology that requires a definition in the Australian </w:t>
      </w:r>
      <w:r>
        <w:t>legislation</w:t>
      </w:r>
      <w:r w:rsidR="00F2172B">
        <w:t>.</w:t>
      </w:r>
    </w:p>
    <w:p w14:paraId="1FE51CAE" w14:textId="5B7D8D8C" w:rsidR="004202A4" w:rsidRPr="00383A0D" w:rsidRDefault="00B51A05" w:rsidP="007F7B2C">
      <w:r>
        <w:t xml:space="preserve">We have </w:t>
      </w:r>
      <w:r w:rsidR="004202A4">
        <w:t xml:space="preserve">proposed </w:t>
      </w:r>
      <w:r w:rsidRPr="00F2172B">
        <w:rPr>
          <w:b/>
          <w:bCs/>
        </w:rPr>
        <w:t>no changes</w:t>
      </w:r>
      <w:r>
        <w:t xml:space="preserve"> </w:t>
      </w:r>
      <w:r w:rsidR="004202A4">
        <w:t>where:</w:t>
      </w:r>
    </w:p>
    <w:p w14:paraId="1AFC5887" w14:textId="49631DE2" w:rsidR="00851A52" w:rsidRPr="00F2172B" w:rsidRDefault="004D051F" w:rsidP="00F2172B">
      <w:pPr>
        <w:pStyle w:val="ListBullet-donotcross"/>
        <w:ind w:left="709" w:hanging="357"/>
      </w:pPr>
      <w:r w:rsidRPr="00F2172B">
        <w:t xml:space="preserve">AUS </w:t>
      </w:r>
      <w:r w:rsidR="00851A52" w:rsidRPr="00F2172B">
        <w:t>Essential Principles</w:t>
      </w:r>
      <w:r w:rsidR="00F2172B">
        <w:t xml:space="preserve"> </w:t>
      </w:r>
      <w:r w:rsidR="00851A52" w:rsidRPr="00F2172B">
        <w:t xml:space="preserve">align with the intent of </w:t>
      </w:r>
      <w:r w:rsidR="00F2172B">
        <w:t>a related</w:t>
      </w:r>
      <w:r w:rsidR="00851A52" w:rsidRPr="00F2172B">
        <w:t xml:space="preserve"> </w:t>
      </w:r>
      <w:r w:rsidR="0093565F" w:rsidRPr="00F2172B">
        <w:t xml:space="preserve">EU </w:t>
      </w:r>
      <w:r w:rsidR="00851A52" w:rsidRPr="00F2172B">
        <w:t>GSPR</w:t>
      </w:r>
    </w:p>
    <w:p w14:paraId="27ED3375" w14:textId="7A7E309A" w:rsidR="00161D08" w:rsidRPr="00F2172B" w:rsidRDefault="00851A52" w:rsidP="00F2172B">
      <w:pPr>
        <w:pStyle w:val="ListBullet-donotcross"/>
        <w:ind w:left="709" w:hanging="357"/>
      </w:pPr>
      <w:r w:rsidRPr="00F2172B">
        <w:t xml:space="preserve">AUS Essential Principle </w:t>
      </w:r>
      <w:r w:rsidR="00610604" w:rsidRPr="00F2172B">
        <w:t>has</w:t>
      </w:r>
      <w:r w:rsidR="00161D08" w:rsidRPr="00F2172B">
        <w:t xml:space="preserve"> no equivalent EU GSPR </w:t>
      </w:r>
      <w:r w:rsidRPr="00F2172B">
        <w:t xml:space="preserve"> </w:t>
      </w:r>
    </w:p>
    <w:p w14:paraId="4251998C" w14:textId="61077C1A" w:rsidR="0093565F" w:rsidRPr="00F2172B" w:rsidRDefault="00F2172B" w:rsidP="00F2172B">
      <w:pPr>
        <w:pStyle w:val="ListBullet-donotcross"/>
        <w:ind w:left="709" w:hanging="357"/>
      </w:pPr>
      <w:r>
        <w:t xml:space="preserve">an </w:t>
      </w:r>
      <w:r w:rsidR="0093565F" w:rsidRPr="00F2172B">
        <w:t xml:space="preserve">EU </w:t>
      </w:r>
      <w:r w:rsidR="00851A52" w:rsidRPr="00F2172B">
        <w:t>GSPR is not relevant in the Australian context</w:t>
      </w:r>
      <w:r>
        <w:t xml:space="preserve">, a list of these </w:t>
      </w:r>
      <w:proofErr w:type="gramStart"/>
      <w:r>
        <w:t>are</w:t>
      </w:r>
      <w:proofErr w:type="gramEnd"/>
      <w:r>
        <w:t xml:space="preserve"> provided in </w:t>
      </w:r>
      <w:hyperlink w:anchor="_Appendix_1:_Alignment" w:history="1">
        <w:r w:rsidRPr="00F2172B">
          <w:rPr>
            <w:rStyle w:val="Hyperlink"/>
          </w:rPr>
          <w:t>Appendix 1</w:t>
        </w:r>
      </w:hyperlink>
      <w:r>
        <w:t>.</w:t>
      </w:r>
      <w:r w:rsidR="00851A52" w:rsidRPr="00F2172B">
        <w:t xml:space="preserve"> </w:t>
      </w:r>
    </w:p>
    <w:p w14:paraId="2BB2326B" w14:textId="77777777" w:rsidR="00B51A05" w:rsidRDefault="00B51A05" w:rsidP="00C0715B">
      <w:pPr>
        <w:pStyle w:val="Heading4"/>
        <w:pageBreakBefore/>
      </w:pPr>
      <w:bookmarkStart w:id="8" w:name="_Toc173939942"/>
      <w:r>
        <w:rPr>
          <w:rStyle w:val="ui-provider"/>
        </w:rPr>
        <w:t>Out</w:t>
      </w:r>
      <w:r>
        <w:t>-of-scope</w:t>
      </w:r>
      <w:bookmarkEnd w:id="8"/>
    </w:p>
    <w:p w14:paraId="6E44F4BB" w14:textId="77777777" w:rsidR="00B51A05" w:rsidRDefault="00B51A05" w:rsidP="00C0715B">
      <w:pPr>
        <w:keepNext/>
      </w:pPr>
      <w:r>
        <w:t xml:space="preserve">This </w:t>
      </w:r>
      <w:r w:rsidRPr="005E645B">
        <w:t>consultation does not consider</w:t>
      </w:r>
      <w:r>
        <w:t xml:space="preserve"> the following:</w:t>
      </w:r>
    </w:p>
    <w:p w14:paraId="666D9D2C" w14:textId="6ACCEA0C" w:rsidR="00B51A05" w:rsidRDefault="00B51A05" w:rsidP="00C0715B">
      <w:pPr>
        <w:pStyle w:val="ListBullet-donotcross"/>
        <w:keepNext/>
      </w:pPr>
      <w:r w:rsidRPr="00C0715B">
        <w:t>AUS Essential Principle 14 for clinical evidence</w:t>
      </w:r>
      <w:r>
        <w:rPr>
          <w:b/>
          <w:bCs/>
        </w:rPr>
        <w:t xml:space="preserve"> </w:t>
      </w:r>
      <w:r>
        <w:rPr>
          <w:b/>
          <w:bCs/>
        </w:rPr>
        <w:br/>
      </w:r>
      <w:r w:rsidRPr="00C82C50">
        <w:t>T</w:t>
      </w:r>
      <w:r>
        <w:t xml:space="preserve">he EU Regulations </w:t>
      </w:r>
      <w:r w:rsidR="00F2172B">
        <w:t xml:space="preserve">outline requirements for clinical evidence within the Articles and Annexes of the EU Regulations and </w:t>
      </w:r>
      <w:r>
        <w:t>do not have an equivalent EU GSPR. Given the difference in legislative structure, we have chosen to retain AUS Essential Principle 14 and do not consider this to be an additional Australian-specific requirement. Our clinical evidence guidance</w:t>
      </w:r>
      <w:r>
        <w:rPr>
          <w:rStyle w:val="FootnoteReference"/>
        </w:rPr>
        <w:footnoteReference w:id="6"/>
      </w:r>
      <w:r>
        <w:t xml:space="preserve"> provides clarity on compliance expectations.</w:t>
      </w:r>
    </w:p>
    <w:p w14:paraId="5EE802E1" w14:textId="0DBB3A39" w:rsidR="00F2172B" w:rsidRPr="00EE3134" w:rsidRDefault="00C0715B" w:rsidP="00F2172B">
      <w:pPr>
        <w:pStyle w:val="ListBullet-donotcross"/>
      </w:pPr>
      <w:r>
        <w:t>S</w:t>
      </w:r>
      <w:r w:rsidR="00F2172B">
        <w:t xml:space="preserve">tructural </w:t>
      </w:r>
      <w:r w:rsidR="00F2172B" w:rsidRPr="00EE3134">
        <w:t>differences between the Australian and European regulations</w:t>
      </w:r>
      <w:r>
        <w:br/>
      </w:r>
      <w:r w:rsidR="00F2172B">
        <w:t>T</w:t>
      </w:r>
      <w:r w:rsidR="00F2172B" w:rsidRPr="00EE3134">
        <w:t xml:space="preserve">he </w:t>
      </w:r>
      <w:r w:rsidR="00F2172B">
        <w:t>AUS Essential Principles</w:t>
      </w:r>
      <w:r>
        <w:t xml:space="preserve"> structure</w:t>
      </w:r>
      <w:r w:rsidR="00F2172B" w:rsidRPr="00EE3134">
        <w:t xml:space="preserve"> will </w:t>
      </w:r>
      <w:r w:rsidR="00F2172B">
        <w:t>continue to apply to</w:t>
      </w:r>
      <w:r w:rsidR="00F2172B" w:rsidRPr="00EE3134">
        <w:t xml:space="preserve"> both non-IVD</w:t>
      </w:r>
      <w:r>
        <w:t xml:space="preserve"> </w:t>
      </w:r>
      <w:r w:rsidR="00F2172B" w:rsidRPr="00EE3134">
        <w:t xml:space="preserve">and IVD </w:t>
      </w:r>
      <w:r>
        <w:t xml:space="preserve">medical </w:t>
      </w:r>
      <w:r w:rsidR="00F2172B" w:rsidRPr="00EE3134">
        <w:t xml:space="preserve">devices. </w:t>
      </w:r>
    </w:p>
    <w:p w14:paraId="41212AF3" w14:textId="09525AEE" w:rsidR="00B51A05" w:rsidRPr="00EE3134" w:rsidRDefault="00C0715B" w:rsidP="00B51A05">
      <w:pPr>
        <w:pStyle w:val="ListBullet-donotcross"/>
      </w:pPr>
      <w:r>
        <w:t xml:space="preserve">AUS Essential </w:t>
      </w:r>
      <w:r w:rsidR="005C04E3">
        <w:t>P</w:t>
      </w:r>
      <w:r>
        <w:t xml:space="preserve">rinciples relate </w:t>
      </w:r>
      <w:r w:rsidR="005C04E3">
        <w:t>to ongoing reforms projects</w:t>
      </w:r>
      <w:r w:rsidR="005C04E3">
        <w:br/>
      </w:r>
      <w:r w:rsidR="00B51A05" w:rsidRPr="00383A0D">
        <w:t>Where we are consulting separately about proposed reforms that address a specific GSPR</w:t>
      </w:r>
      <w:r w:rsidR="005C04E3">
        <w:t>s, related Essential Principles may be reviewed as needed, including:</w:t>
      </w:r>
      <w:r w:rsidR="00B51A05" w:rsidRPr="007D2BE5">
        <w:t xml:space="preserve"> </w:t>
      </w:r>
    </w:p>
    <w:p w14:paraId="163388EA" w14:textId="6F4B207F" w:rsidR="00B51A05" w:rsidRPr="005C171F" w:rsidRDefault="00B51A05" w:rsidP="00F2172B">
      <w:pPr>
        <w:pStyle w:val="ListBullet-donotcross"/>
        <w:ind w:left="1134"/>
      </w:pPr>
      <w:r w:rsidRPr="00F2172B">
        <w:t>Unique Device Identification System in Australia</w:t>
      </w:r>
      <w:r>
        <w:t xml:space="preserve"> </w:t>
      </w:r>
      <w:r>
        <w:br/>
      </w:r>
      <w:r w:rsidRPr="005C171F">
        <w:t xml:space="preserve">Changes will be incorporated into the </w:t>
      </w:r>
      <w:r>
        <w:t>AUS Essential Principles</w:t>
      </w:r>
      <w:r w:rsidRPr="005C171F">
        <w:t>, as appropriate.</w:t>
      </w:r>
    </w:p>
    <w:p w14:paraId="52182A03" w14:textId="302A8832" w:rsidR="00B51A05" w:rsidRPr="005C171F" w:rsidRDefault="00B51A05" w:rsidP="00F2172B">
      <w:pPr>
        <w:pStyle w:val="ListBullet-donotcross"/>
        <w:ind w:left="1134"/>
      </w:pPr>
      <w:r w:rsidRPr="00F2172B">
        <w:t>Software including software as a medical device</w:t>
      </w:r>
      <w:r w:rsidRPr="005C171F">
        <w:t xml:space="preserve"> </w:t>
      </w:r>
      <w:r w:rsidRPr="005C171F">
        <w:br/>
        <w:t xml:space="preserve">Changes are </w:t>
      </w:r>
      <w:r>
        <w:t>an ongoing part of our reforms, although one minor amendment to AUS Essential Principle 13B has been included for comment, under Proposal 13.</w:t>
      </w:r>
    </w:p>
    <w:p w14:paraId="041086FE" w14:textId="19E87EF0" w:rsidR="00B51A05" w:rsidRDefault="00B51A05" w:rsidP="00F2172B">
      <w:pPr>
        <w:pStyle w:val="ListBullet-donotcross"/>
        <w:ind w:left="1134"/>
      </w:pPr>
      <w:r w:rsidRPr="00F2172B">
        <w:t xml:space="preserve">Devices without a specified therapeutic function </w:t>
      </w:r>
      <w:r w:rsidR="000579AA" w:rsidRPr="00C82C50">
        <w:t xml:space="preserve">under </w:t>
      </w:r>
      <w:r w:rsidR="000579AA">
        <w:t>EU</w:t>
      </w:r>
      <w:r w:rsidR="000579AA" w:rsidRPr="00C82C50">
        <w:t xml:space="preserve"> GSPR 9 (MDR</w:t>
      </w:r>
      <w:r w:rsidR="000579AA">
        <w:t>)</w:t>
      </w:r>
    </w:p>
    <w:p w14:paraId="09175FD8" w14:textId="37473166" w:rsidR="00B51A05" w:rsidRDefault="00B51A05" w:rsidP="00F2172B">
      <w:pPr>
        <w:pStyle w:val="ListBullet-donotcross"/>
        <w:ind w:left="1134"/>
      </w:pPr>
      <w:r w:rsidRPr="00F2172B">
        <w:t>Electronic IFUs</w:t>
      </w:r>
      <w:r>
        <w:t xml:space="preserve"> </w:t>
      </w:r>
      <w:r>
        <w:br/>
      </w:r>
    </w:p>
    <w:p w14:paraId="60C4A354" w14:textId="2E7B18FB" w:rsidR="00B51A05" w:rsidRDefault="00AF030B" w:rsidP="00B51A05">
      <w:r>
        <w:t>W</w:t>
      </w:r>
      <w:r w:rsidR="00B51A05">
        <w:t xml:space="preserve">e have recently consulted on proposals to supply instructions for use in more flexible formats, which closed on 28 May 2024. The outcomes of this consultation will be published on the </w:t>
      </w:r>
      <w:hyperlink r:id="rId15" w:history="1">
        <w:r w:rsidR="00B51A05" w:rsidRPr="005F5670">
          <w:rPr>
            <w:rStyle w:val="Hyperlink"/>
          </w:rPr>
          <w:t>Consultation Hub</w:t>
        </w:r>
      </w:hyperlink>
      <w:r w:rsidR="00B51A05">
        <w:t xml:space="preserve">, under “We asked, </w:t>
      </w:r>
      <w:r>
        <w:t>you</w:t>
      </w:r>
      <w:r w:rsidR="00B51A05">
        <w:t xml:space="preserve"> said, </w:t>
      </w:r>
      <w:r>
        <w:t>w</w:t>
      </w:r>
      <w:r w:rsidR="00B51A05">
        <w:t xml:space="preserve">e did” section. </w:t>
      </w:r>
    </w:p>
    <w:p w14:paraId="5FFDF0AA" w14:textId="20105719" w:rsidR="006F5ABC" w:rsidRDefault="003501CF" w:rsidP="006F5ABC">
      <w:pPr>
        <w:pStyle w:val="Heading4"/>
      </w:pPr>
      <w:bookmarkStart w:id="9" w:name="_Toc173939943"/>
      <w:r>
        <w:t xml:space="preserve">Proposal </w:t>
      </w:r>
      <w:r w:rsidR="0082251B">
        <w:t>impacting</w:t>
      </w:r>
      <w:r w:rsidR="00046F7E">
        <w:t xml:space="preserve"> Australian </w:t>
      </w:r>
      <w:r w:rsidR="003E136F">
        <w:t>sponsor</w:t>
      </w:r>
      <w:r w:rsidR="00046F7E">
        <w:t xml:space="preserve">s </w:t>
      </w:r>
      <w:r w:rsidR="0082251B">
        <w:t xml:space="preserve">of IVD </w:t>
      </w:r>
      <w:proofErr w:type="gramStart"/>
      <w:r w:rsidR="0082251B">
        <w:t>devices</w:t>
      </w:r>
      <w:bookmarkEnd w:id="9"/>
      <w:proofErr w:type="gramEnd"/>
      <w:r w:rsidR="0082251B">
        <w:t xml:space="preserve"> </w:t>
      </w:r>
    </w:p>
    <w:p w14:paraId="1396D7DE" w14:textId="6052B8C1" w:rsidR="006F5ABC" w:rsidRDefault="008E5D0A" w:rsidP="007C3BD0">
      <w:bookmarkStart w:id="10" w:name="_Hlk170808332"/>
      <w:r>
        <w:t xml:space="preserve">One of the proposed amendments to Essential Principle 13 is that IVD device manufacturers be required to provide contact details for users to obtain technical assistance (Proposal 11). </w:t>
      </w:r>
      <w:r w:rsidR="00BC74D9">
        <w:t xml:space="preserve">As such, we propose </w:t>
      </w:r>
      <w:r w:rsidR="00BC74D9" w:rsidRPr="00F60010">
        <w:t xml:space="preserve">that Australian sponsors </w:t>
      </w:r>
      <w:r w:rsidR="00BC74D9">
        <w:t xml:space="preserve">of such devices </w:t>
      </w:r>
      <w:r>
        <w:t>also be required to have</w:t>
      </w:r>
      <w:r w:rsidR="00BC74D9" w:rsidRPr="00F60010">
        <w:t xml:space="preserve"> appropriate agreements in place with the</w:t>
      </w:r>
      <w:r w:rsidR="00BC74D9">
        <w:t>ir</w:t>
      </w:r>
      <w:r w:rsidR="00BC74D9" w:rsidRPr="00F60010">
        <w:t xml:space="preserve"> manufacturer</w:t>
      </w:r>
      <w:r w:rsidR="007B5E79">
        <w:t>/s</w:t>
      </w:r>
      <w:r w:rsidR="00BC74D9" w:rsidRPr="00F60010">
        <w:t xml:space="preserve"> to</w:t>
      </w:r>
      <w:r w:rsidR="00BC74D9" w:rsidRPr="00CC717C">
        <w:t xml:space="preserve"> </w:t>
      </w:r>
      <w:r w:rsidR="00BC74D9" w:rsidRPr="00F60010">
        <w:t xml:space="preserve">ensure technical assistance </w:t>
      </w:r>
      <w:r w:rsidR="00BC74D9">
        <w:t xml:space="preserve">is provided </w:t>
      </w:r>
      <w:r w:rsidR="00BC74D9" w:rsidRPr="00F60010">
        <w:t>to Australian customers</w:t>
      </w:r>
      <w:r w:rsidR="00BC74D9">
        <w:t>.</w:t>
      </w:r>
      <w:bookmarkEnd w:id="10"/>
    </w:p>
    <w:p w14:paraId="3A3D5302" w14:textId="11077D8E" w:rsidR="006062AF" w:rsidRDefault="00DA621C" w:rsidP="006062AF">
      <w:r>
        <w:t>For D</w:t>
      </w:r>
      <w:r w:rsidR="006062AF">
        <w:t>etails</w:t>
      </w:r>
      <w:r>
        <w:t xml:space="preserve">, refer to </w:t>
      </w:r>
      <w:hyperlink w:anchor="_Proposal_14:_Amend" w:history="1">
        <w:r w:rsidR="006062AF">
          <w:rPr>
            <w:rStyle w:val="Hyperlink"/>
          </w:rPr>
          <w:t>Proposal</w:t>
        </w:r>
      </w:hyperlink>
      <w:r w:rsidR="006062AF">
        <w:rPr>
          <w:rStyle w:val="Hyperlink"/>
        </w:rPr>
        <w:t xml:space="preserve"> 14</w:t>
      </w:r>
      <w:r w:rsidR="006062AF" w:rsidRPr="002C6E40">
        <w:t xml:space="preserve">: Amend </w:t>
      </w:r>
      <w:r w:rsidR="006062AF">
        <w:t>Regulation 10.2.</w:t>
      </w:r>
    </w:p>
    <w:p w14:paraId="29FC28FE" w14:textId="6A5AF377" w:rsidR="00046F7E" w:rsidRDefault="00046F7E" w:rsidP="00CA692F">
      <w:pPr>
        <w:pStyle w:val="Heading4"/>
      </w:pPr>
      <w:bookmarkStart w:id="11" w:name="_Toc173939944"/>
      <w:r w:rsidRPr="0044274A">
        <w:t>Australian</w:t>
      </w:r>
      <w:r w:rsidR="00094ACA" w:rsidRPr="005573B9">
        <w:t>-</w:t>
      </w:r>
      <w:r w:rsidRPr="0044274A">
        <w:t>specific</w:t>
      </w:r>
      <w:r w:rsidR="00094ACA">
        <w:t xml:space="preserve"> proposals</w:t>
      </w:r>
      <w:bookmarkEnd w:id="11"/>
    </w:p>
    <w:p w14:paraId="09312B6F" w14:textId="05BD5143" w:rsidR="009431F5" w:rsidRPr="00AE35E5" w:rsidRDefault="006A78EA" w:rsidP="00C101A5">
      <w:r>
        <w:t>T</w:t>
      </w:r>
      <w:r w:rsidR="009431F5">
        <w:t xml:space="preserve">here are some </w:t>
      </w:r>
      <w:r w:rsidR="00E83B1E">
        <w:t xml:space="preserve">circumstances where it </w:t>
      </w:r>
      <w:r w:rsidR="0095133A">
        <w:t xml:space="preserve">is </w:t>
      </w:r>
      <w:r w:rsidR="00E83B1E">
        <w:t xml:space="preserve">necessary to introduce </w:t>
      </w:r>
      <w:r w:rsidR="001915A3">
        <w:t>additional</w:t>
      </w:r>
      <w:r w:rsidR="0005052E">
        <w:t xml:space="preserve"> </w:t>
      </w:r>
      <w:r w:rsidR="004D051F">
        <w:t>clarity</w:t>
      </w:r>
      <w:r w:rsidR="00E83B1E">
        <w:t xml:space="preserve"> </w:t>
      </w:r>
      <w:r w:rsidR="009431F5">
        <w:t xml:space="preserve">to address specific safety concerns. Where such amendments have been proposed, </w:t>
      </w:r>
      <w:r>
        <w:t xml:space="preserve">that are not present in the EU GSPRs, </w:t>
      </w:r>
      <w:r w:rsidR="009431F5">
        <w:t xml:space="preserve">we have </w:t>
      </w:r>
      <w:r w:rsidR="009431F5" w:rsidRPr="00AE35E5">
        <w:t>identified these as Australian</w:t>
      </w:r>
      <w:r w:rsidR="00094ACA" w:rsidRPr="00AE35E5">
        <w:t>-</w:t>
      </w:r>
      <w:r w:rsidR="009431F5" w:rsidRPr="00AE35E5">
        <w:t xml:space="preserve">specific </w:t>
      </w:r>
      <w:r w:rsidR="00C101A5" w:rsidRPr="00AE35E5">
        <w:t xml:space="preserve">(AUS-specific) </w:t>
      </w:r>
      <w:r w:rsidR="00094ACA" w:rsidRPr="00AE35E5">
        <w:t>proposals</w:t>
      </w:r>
      <w:r w:rsidR="00B81D88" w:rsidRPr="00AE35E5">
        <w:t>:</w:t>
      </w:r>
    </w:p>
    <w:p w14:paraId="4F46E77B" w14:textId="5D145160" w:rsidR="00B24280" w:rsidRPr="00AE35E5" w:rsidRDefault="00094ACA" w:rsidP="00B81D88">
      <w:r w:rsidRPr="00AE35E5">
        <w:t>AUS-specific proposals</w:t>
      </w:r>
      <w:r w:rsidR="00B24280" w:rsidRPr="00AE35E5">
        <w:t xml:space="preserve"> </w:t>
      </w:r>
      <w:r w:rsidR="00B81D88" w:rsidRPr="00AE35E5">
        <w:t>occur under</w:t>
      </w:r>
      <w:r w:rsidR="00B24280" w:rsidRPr="00AE35E5">
        <w:t>:</w:t>
      </w:r>
    </w:p>
    <w:p w14:paraId="30F61FA2" w14:textId="397C3574" w:rsidR="006B21F1" w:rsidRPr="00AE35E5" w:rsidRDefault="006B21F1" w:rsidP="00B81D88">
      <w:pPr>
        <w:pStyle w:val="ListBullet"/>
      </w:pPr>
      <w:r w:rsidRPr="00AE35E5">
        <w:t>Proposal 1(</w:t>
      </w:r>
      <w:r w:rsidR="00000057" w:rsidRPr="00AE35E5">
        <w:t>a</w:t>
      </w:r>
      <w:r w:rsidRPr="00AE35E5">
        <w:t>), for new AUS Essential Principles</w:t>
      </w:r>
    </w:p>
    <w:p w14:paraId="67F3EEFC" w14:textId="2F26B6A7" w:rsidR="00B24280" w:rsidRPr="00AE35E5" w:rsidRDefault="00B24280" w:rsidP="005573B9">
      <w:pPr>
        <w:pStyle w:val="ListBullet"/>
      </w:pPr>
      <w:r w:rsidRPr="00AE35E5">
        <w:t>Proposal 6(b)</w:t>
      </w:r>
      <w:r w:rsidR="006B21F1" w:rsidRPr="00AE35E5">
        <w:t>,</w:t>
      </w:r>
      <w:r w:rsidRPr="00AE35E5">
        <w:t xml:space="preserve"> for AUS Essential Principle 11</w:t>
      </w:r>
    </w:p>
    <w:p w14:paraId="14359D8A" w14:textId="5422243B" w:rsidR="00B24280" w:rsidRPr="00AE35E5" w:rsidRDefault="00B24280" w:rsidP="005573B9">
      <w:pPr>
        <w:pStyle w:val="ListBullet"/>
      </w:pPr>
      <w:r w:rsidRPr="00AE35E5">
        <w:t>Proposal 8(b)</w:t>
      </w:r>
      <w:r w:rsidR="006B21F1" w:rsidRPr="00AE35E5">
        <w:t>,</w:t>
      </w:r>
      <w:r w:rsidRPr="00AE35E5">
        <w:t xml:space="preserve"> for AUS Essential Principle 15(4)</w:t>
      </w:r>
    </w:p>
    <w:p w14:paraId="002A3A0F" w14:textId="0A6B11DA" w:rsidR="00B24280" w:rsidRPr="00AE35E5" w:rsidRDefault="00B24280" w:rsidP="005573B9">
      <w:pPr>
        <w:pStyle w:val="ListBullet"/>
      </w:pPr>
      <w:r w:rsidRPr="00AE35E5">
        <w:t>Proposal 9(b, c, d)</w:t>
      </w:r>
      <w:r w:rsidR="006B21F1" w:rsidRPr="00AE35E5">
        <w:t>,</w:t>
      </w:r>
      <w:r w:rsidRPr="00AE35E5">
        <w:t xml:space="preserve"> for AUS Essential Principle 13.1(3, 4, 5)</w:t>
      </w:r>
    </w:p>
    <w:p w14:paraId="521AB3C1" w14:textId="0AB42B03" w:rsidR="00B24280" w:rsidRPr="00AE35E5" w:rsidRDefault="00B24280" w:rsidP="005573B9">
      <w:pPr>
        <w:pStyle w:val="ListBullet"/>
      </w:pPr>
      <w:r w:rsidRPr="00AE35E5">
        <w:t>Proposal 9(e)</w:t>
      </w:r>
      <w:r w:rsidR="006B21F1" w:rsidRPr="00AE35E5">
        <w:t>,</w:t>
      </w:r>
      <w:r w:rsidRPr="00AE35E5">
        <w:t xml:space="preserve"> for AUS Essential Principle 13.4 (new clause) </w:t>
      </w:r>
    </w:p>
    <w:p w14:paraId="1FB28C4A" w14:textId="7151223B" w:rsidR="00B24280" w:rsidRPr="00AE35E5" w:rsidRDefault="00B24280" w:rsidP="005573B9">
      <w:pPr>
        <w:pStyle w:val="ListBullet"/>
      </w:pPr>
      <w:r w:rsidRPr="00AE35E5">
        <w:t>Proposal 12(b)</w:t>
      </w:r>
      <w:r w:rsidR="006B21F1" w:rsidRPr="00AE35E5">
        <w:t>,</w:t>
      </w:r>
      <w:r w:rsidRPr="00AE35E5">
        <w:t xml:space="preserve"> for AUS Essential Principle 13.4(3) Item 29 – for IVD devices only</w:t>
      </w:r>
    </w:p>
    <w:p w14:paraId="5CD2647F" w14:textId="77777777" w:rsidR="006F5ABC" w:rsidRDefault="006F5ABC" w:rsidP="006F5ABC">
      <w:pPr>
        <w:pStyle w:val="Heading4"/>
      </w:pPr>
      <w:bookmarkStart w:id="12" w:name="_Toc173939945"/>
      <w:r>
        <w:t>Accompanying reference document</w:t>
      </w:r>
      <w:bookmarkEnd w:id="12"/>
    </w:p>
    <w:p w14:paraId="0FC03DE8" w14:textId="28CCFBDD" w:rsidR="00FC3F6E" w:rsidRDefault="00C101A5" w:rsidP="003C66EC">
      <w:r w:rsidRPr="000D245C">
        <w:rPr>
          <w:b/>
          <w:bCs/>
        </w:rPr>
        <w:t>Attachment 1:</w:t>
      </w:r>
      <w:r>
        <w:t xml:space="preserve"> </w:t>
      </w:r>
      <w:r w:rsidR="00FC3F6E" w:rsidRPr="00FC3F6E">
        <w:rPr>
          <w:i/>
          <w:iCs/>
        </w:rPr>
        <w:t xml:space="preserve">Proposals to align </w:t>
      </w:r>
      <w:r w:rsidRPr="00FC3F6E">
        <w:rPr>
          <w:i/>
          <w:iCs/>
        </w:rPr>
        <w:t>the</w:t>
      </w:r>
      <w:r w:rsidRPr="008711EA">
        <w:rPr>
          <w:i/>
          <w:iCs/>
        </w:rPr>
        <w:t xml:space="preserve"> </w:t>
      </w:r>
      <w:r w:rsidR="00851A52">
        <w:rPr>
          <w:i/>
          <w:iCs/>
        </w:rPr>
        <w:t>AUS Essential Principles</w:t>
      </w:r>
      <w:r w:rsidRPr="008711EA">
        <w:rPr>
          <w:i/>
          <w:iCs/>
        </w:rPr>
        <w:t xml:space="preserve"> </w:t>
      </w:r>
      <w:r w:rsidR="00FC3F6E">
        <w:rPr>
          <w:i/>
          <w:iCs/>
        </w:rPr>
        <w:t>with</w:t>
      </w:r>
      <w:r w:rsidRPr="008711EA">
        <w:rPr>
          <w:i/>
          <w:iCs/>
        </w:rPr>
        <w:t xml:space="preserve"> </w:t>
      </w:r>
      <w:r>
        <w:rPr>
          <w:i/>
          <w:iCs/>
        </w:rPr>
        <w:t>the</w:t>
      </w:r>
      <w:r w:rsidRPr="008711EA">
        <w:rPr>
          <w:i/>
          <w:iCs/>
        </w:rPr>
        <w:t xml:space="preserve"> </w:t>
      </w:r>
      <w:r>
        <w:rPr>
          <w:i/>
          <w:iCs/>
        </w:rPr>
        <w:t>EU GSPR</w:t>
      </w:r>
      <w:r w:rsidR="00FC3F6E">
        <w:rPr>
          <w:i/>
          <w:iCs/>
        </w:rPr>
        <w:t>,</w:t>
      </w:r>
      <w:r>
        <w:t xml:space="preserve"> </w:t>
      </w:r>
      <w:bookmarkStart w:id="13" w:name="_Hlk165311826"/>
      <w:r>
        <w:t xml:space="preserve">presents </w:t>
      </w:r>
      <w:r w:rsidR="00FC3F6E">
        <w:t xml:space="preserve">each clause of the </w:t>
      </w:r>
      <w:r w:rsidR="00851A52">
        <w:t>AUS Essential Principles</w:t>
      </w:r>
      <w:r w:rsidR="00FC3F6E">
        <w:t xml:space="preserve"> against the equivalent EU GSPRs together with the proposed changes for alignmen</w:t>
      </w:r>
      <w:bookmarkEnd w:id="13"/>
      <w:r w:rsidR="00FC3F6E">
        <w:t>t.</w:t>
      </w:r>
      <w:r w:rsidR="003F154E">
        <w:t xml:space="preserve"> </w:t>
      </w:r>
    </w:p>
    <w:p w14:paraId="41813C63" w14:textId="291155CD" w:rsidR="00E048A6" w:rsidRDefault="00052E37" w:rsidP="006168D3">
      <w:pPr>
        <w:pStyle w:val="Heading4"/>
      </w:pPr>
      <w:bookmarkStart w:id="14" w:name="_Toc173939946"/>
      <w:r>
        <w:t>Impacts</w:t>
      </w:r>
      <w:r w:rsidR="00E048A6" w:rsidRPr="005C171F">
        <w:t xml:space="preserve"> of the alignment</w:t>
      </w:r>
      <w:bookmarkEnd w:id="14"/>
    </w:p>
    <w:p w14:paraId="0662BAC4" w14:textId="45B0FF63" w:rsidR="00437189" w:rsidRPr="00A004D1" w:rsidRDefault="00437189" w:rsidP="006168D3">
      <w:r>
        <w:t xml:space="preserve">It is anticipated that </w:t>
      </w:r>
      <w:r w:rsidR="00052E37">
        <w:t xml:space="preserve">benefits of </w:t>
      </w:r>
      <w:r>
        <w:t xml:space="preserve">adopting these proposals will: </w:t>
      </w:r>
    </w:p>
    <w:p w14:paraId="14A3B6F7" w14:textId="3633B98C" w:rsidR="00437189" w:rsidRDefault="00437189" w:rsidP="00353E34">
      <w:pPr>
        <w:pStyle w:val="ListBullet"/>
      </w:pPr>
      <w:r>
        <w:t>provide clarity and consistency for manufacturers</w:t>
      </w:r>
      <w:r w:rsidRPr="00A62AE2">
        <w:t xml:space="preserve"> </w:t>
      </w:r>
      <w:r w:rsidR="0011424D">
        <w:t xml:space="preserve">on regulatory expectations of </w:t>
      </w:r>
      <w:proofErr w:type="gramStart"/>
      <w:r w:rsidR="0011424D">
        <w:t>compliance</w:t>
      </w:r>
      <w:proofErr w:type="gramEnd"/>
      <w:r w:rsidR="0011424D">
        <w:t xml:space="preserve"> </w:t>
      </w:r>
    </w:p>
    <w:p w14:paraId="3FC1D341" w14:textId="139B5017" w:rsidR="00187521" w:rsidRPr="007647B7" w:rsidRDefault="00187521" w:rsidP="00353E34">
      <w:pPr>
        <w:pStyle w:val="ListBullet"/>
      </w:pPr>
      <w:r>
        <w:rPr>
          <w:rStyle w:val="ui-provider"/>
        </w:rPr>
        <w:t xml:space="preserve">simplify regulatory compliance for over 90% of medical devices supplied in Australia that utilise European manufacturer </w:t>
      </w:r>
      <w:proofErr w:type="gramStart"/>
      <w:r>
        <w:rPr>
          <w:rStyle w:val="ui-provider"/>
        </w:rPr>
        <w:t>evidence</w:t>
      </w:r>
      <w:proofErr w:type="gramEnd"/>
    </w:p>
    <w:p w14:paraId="39D43CD0" w14:textId="77A5258D" w:rsidR="00437189" w:rsidRPr="00C96C4B" w:rsidRDefault="00437189" w:rsidP="00353E34">
      <w:pPr>
        <w:pStyle w:val="ListBullet"/>
      </w:pPr>
      <w:r>
        <w:t>i</w:t>
      </w:r>
      <w:r w:rsidRPr="00C96C4B">
        <w:t>mprove clarity, specificity, and transparency</w:t>
      </w:r>
      <w:r w:rsidR="007A072E">
        <w:t xml:space="preserve"> on managing </w:t>
      </w:r>
      <w:r w:rsidRPr="00C96C4B">
        <w:t xml:space="preserve">risks associated with the design and manufacture of </w:t>
      </w:r>
      <w:proofErr w:type="gramStart"/>
      <w:r w:rsidRPr="00C96C4B">
        <w:t>devices</w:t>
      </w:r>
      <w:proofErr w:type="gramEnd"/>
    </w:p>
    <w:p w14:paraId="5F3D08C9" w14:textId="7BD5A032" w:rsidR="00437189" w:rsidRDefault="0011424D" w:rsidP="00353E34">
      <w:pPr>
        <w:pStyle w:val="ListBullet"/>
      </w:pPr>
      <w:r>
        <w:t xml:space="preserve">improve safety and performance of medical </w:t>
      </w:r>
      <w:proofErr w:type="gramStart"/>
      <w:r>
        <w:t>devices</w:t>
      </w:r>
      <w:proofErr w:type="gramEnd"/>
      <w:r>
        <w:t xml:space="preserve"> </w:t>
      </w:r>
    </w:p>
    <w:p w14:paraId="71B0A601" w14:textId="75ECF5AA" w:rsidR="00187521" w:rsidRDefault="00125214" w:rsidP="007F7B2C">
      <w:r>
        <w:t>It is anticipated that the</w:t>
      </w:r>
      <w:r w:rsidR="00052E37">
        <w:t xml:space="preserve"> disadvantage of adopting the</w:t>
      </w:r>
      <w:r>
        <w:t>se</w:t>
      </w:r>
      <w:r w:rsidR="00052E37">
        <w:t xml:space="preserve"> propos</w:t>
      </w:r>
      <w:r>
        <w:t xml:space="preserve">als </w:t>
      </w:r>
      <w:r w:rsidR="00176049">
        <w:t>may be</w:t>
      </w:r>
      <w:r w:rsidR="007F7B2C">
        <w:t xml:space="preserve"> </w:t>
      </w:r>
      <w:r w:rsidR="002F01A4">
        <w:t xml:space="preserve">possible </w:t>
      </w:r>
      <w:r w:rsidR="00052E37">
        <w:t xml:space="preserve">increased regulatory burden for </w:t>
      </w:r>
      <w:r w:rsidR="00052E37" w:rsidRPr="0011424D">
        <w:t xml:space="preserve">manufacturers that do not </w:t>
      </w:r>
      <w:r w:rsidR="006648E9" w:rsidRPr="0011424D">
        <w:t>currently</w:t>
      </w:r>
      <w:r w:rsidR="00052E37" w:rsidRPr="0011424D">
        <w:t xml:space="preserve"> </w:t>
      </w:r>
      <w:r w:rsidR="00404B90" w:rsidRPr="0011424D">
        <w:t>utilise</w:t>
      </w:r>
      <w:r w:rsidR="00052E37" w:rsidRPr="0011424D">
        <w:t xml:space="preserve"> European </w:t>
      </w:r>
      <w:r w:rsidR="00404B90" w:rsidRPr="0011424D">
        <w:t xml:space="preserve">manufacturer evidence to support their </w:t>
      </w:r>
      <w:r w:rsidR="00795052">
        <w:t>inclusion in the Australian Register of Therapeutic Goods</w:t>
      </w:r>
      <w:r w:rsidR="00795052" w:rsidRPr="0011424D">
        <w:t xml:space="preserve"> </w:t>
      </w:r>
      <w:r w:rsidR="00795052">
        <w:t>(</w:t>
      </w:r>
      <w:r w:rsidR="00404B90" w:rsidRPr="0011424D">
        <w:t>ARTG</w:t>
      </w:r>
      <w:r w:rsidR="00795052">
        <w:t>)</w:t>
      </w:r>
      <w:r w:rsidR="007D4ACA">
        <w:t>.</w:t>
      </w:r>
      <w:r w:rsidR="002F01A4">
        <w:t xml:space="preserve"> </w:t>
      </w:r>
    </w:p>
    <w:p w14:paraId="4CB4FA85" w14:textId="77777777" w:rsidR="00331F3D" w:rsidRDefault="00331F3D" w:rsidP="006168D3">
      <w:pPr>
        <w:pStyle w:val="Heading4"/>
      </w:pPr>
      <w:bookmarkStart w:id="15" w:name="_Toc173939947"/>
      <w:r>
        <w:t>Legislative changes</w:t>
      </w:r>
      <w:bookmarkEnd w:id="15"/>
    </w:p>
    <w:p w14:paraId="55FBA11F" w14:textId="651B1FF4" w:rsidR="00331F3D" w:rsidRDefault="00D81862" w:rsidP="006168D3">
      <w:r w:rsidRPr="008C1225">
        <w:t>We are</w:t>
      </w:r>
      <w:r w:rsidR="00D26A2B" w:rsidRPr="008C1225">
        <w:t xml:space="preserve"> not propos</w:t>
      </w:r>
      <w:r w:rsidRPr="008C1225">
        <w:t>ing</w:t>
      </w:r>
      <w:r w:rsidR="00CE1883" w:rsidRPr="008C1225">
        <w:t xml:space="preserve"> legislative wording </w:t>
      </w:r>
      <w:r w:rsidR="004B1397" w:rsidRPr="008C1225">
        <w:t>in this consultation</w:t>
      </w:r>
      <w:r w:rsidR="00CE7958" w:rsidRPr="008C1225">
        <w:t xml:space="preserve"> </w:t>
      </w:r>
      <w:r w:rsidR="00781598" w:rsidRPr="008C1225">
        <w:t xml:space="preserve">but </w:t>
      </w:r>
      <w:r w:rsidR="00544FDF" w:rsidRPr="008C1225">
        <w:t>rather</w:t>
      </w:r>
      <w:r w:rsidR="00781598" w:rsidRPr="008C1225">
        <w:t xml:space="preserve"> </w:t>
      </w:r>
      <w:r w:rsidR="00120243">
        <w:t>state</w:t>
      </w:r>
      <w:r w:rsidR="00120243" w:rsidRPr="008C1225">
        <w:t xml:space="preserve"> </w:t>
      </w:r>
      <w:r w:rsidR="0036759D" w:rsidRPr="008C1225">
        <w:t xml:space="preserve">the intent of </w:t>
      </w:r>
      <w:r w:rsidR="00544FDF" w:rsidRPr="008C1225">
        <w:t xml:space="preserve">the </w:t>
      </w:r>
      <w:r w:rsidR="004B1397" w:rsidRPr="008C1225">
        <w:t xml:space="preserve">proposed </w:t>
      </w:r>
      <w:r w:rsidR="0095549C" w:rsidRPr="008C1225">
        <w:t xml:space="preserve">changes to be </w:t>
      </w:r>
      <w:r w:rsidR="00621286" w:rsidRPr="008C1225">
        <w:t>adopted</w:t>
      </w:r>
      <w:r w:rsidR="00CE1883" w:rsidRPr="008C1225">
        <w:t xml:space="preserve">. </w:t>
      </w:r>
      <w:r w:rsidR="00437189" w:rsidRPr="008C1225">
        <w:t xml:space="preserve">Where </w:t>
      </w:r>
      <w:r w:rsidR="00EC0617" w:rsidRPr="008C1225">
        <w:t>the outcome of</w:t>
      </w:r>
      <w:r w:rsidR="00437189" w:rsidRPr="008C1225">
        <w:t xml:space="preserve"> this consultation </w:t>
      </w:r>
      <w:r w:rsidR="004E5F57" w:rsidRPr="008C1225">
        <w:t>supports</w:t>
      </w:r>
      <w:r w:rsidR="00437189" w:rsidRPr="008C1225">
        <w:t xml:space="preserve"> changes to the </w:t>
      </w:r>
      <w:r w:rsidR="00851A52">
        <w:t>AUS Essential Principles</w:t>
      </w:r>
      <w:r w:rsidR="00437189" w:rsidRPr="008C1225">
        <w:t xml:space="preserve">, </w:t>
      </w:r>
      <w:r w:rsidR="00EC0617" w:rsidRPr="008C1225">
        <w:t xml:space="preserve">subject to Government approval, </w:t>
      </w:r>
      <w:r w:rsidR="00437189" w:rsidRPr="008C1225">
        <w:t xml:space="preserve">the legislation </w:t>
      </w:r>
      <w:r w:rsidR="00F5758A" w:rsidRPr="008C1225">
        <w:t xml:space="preserve">changes </w:t>
      </w:r>
      <w:r w:rsidR="00EC0617" w:rsidRPr="008C1225">
        <w:t>w</w:t>
      </w:r>
      <w:r w:rsidR="00801E04">
        <w:t>ill</w:t>
      </w:r>
      <w:r w:rsidR="00EC0617" w:rsidRPr="008C1225">
        <w:t xml:space="preserve"> </w:t>
      </w:r>
      <w:r w:rsidR="00437189" w:rsidRPr="008C1225">
        <w:t xml:space="preserve">be </w:t>
      </w:r>
      <w:r w:rsidR="00F5758A" w:rsidRPr="008C1225">
        <w:t xml:space="preserve">drafted </w:t>
      </w:r>
      <w:r w:rsidR="00D976E6" w:rsidRPr="008C1225">
        <w:t xml:space="preserve">using </w:t>
      </w:r>
      <w:r w:rsidR="00437189" w:rsidRPr="008C1225">
        <w:t xml:space="preserve">Australian legal terminology. </w:t>
      </w:r>
      <w:r w:rsidR="00307986" w:rsidRPr="008C1225">
        <w:t xml:space="preserve">Our </w:t>
      </w:r>
      <w:r w:rsidR="00437189" w:rsidRPr="008C1225">
        <w:t xml:space="preserve">aim </w:t>
      </w:r>
      <w:r w:rsidR="00436649" w:rsidRPr="008C1225">
        <w:t>is</w:t>
      </w:r>
      <w:r w:rsidR="00437189" w:rsidRPr="008C1225">
        <w:t xml:space="preserve"> to align the </w:t>
      </w:r>
      <w:r w:rsidR="00437189" w:rsidRPr="00755DB9">
        <w:t>intent</w:t>
      </w:r>
      <w:r w:rsidR="00437189" w:rsidRPr="008C1225">
        <w:t xml:space="preserve"> of the</w:t>
      </w:r>
      <w:r w:rsidR="00437189">
        <w:t xml:space="preserve"> </w:t>
      </w:r>
      <w:r w:rsidR="00851A52">
        <w:t>AUS Essential Principles</w:t>
      </w:r>
      <w:r w:rsidR="00307986">
        <w:t xml:space="preserve"> </w:t>
      </w:r>
      <w:r w:rsidR="007073C8">
        <w:t>with the EU GSPRs.</w:t>
      </w:r>
    </w:p>
    <w:p w14:paraId="6DD254CF" w14:textId="35CD4D4E" w:rsidR="00A363F1" w:rsidRDefault="00A363F1" w:rsidP="006168D3">
      <w:pPr>
        <w:rPr>
          <w:rFonts w:ascii="Cambria" w:hAnsi="Cambria"/>
        </w:rPr>
      </w:pPr>
      <w:r>
        <w:t xml:space="preserve">Certain terminology in Australian legislation and regulation has established meanings which may not be equivalent to that defined in the </w:t>
      </w:r>
      <w:r w:rsidR="007C3BD0">
        <w:t>EU GSPRs</w:t>
      </w:r>
      <w:r>
        <w:t>. In these instances, it is not proposed to replace Australian definitions with EU definitions.</w:t>
      </w:r>
    </w:p>
    <w:p w14:paraId="7FBA28C6" w14:textId="4E0564C5" w:rsidR="00E90A72" w:rsidRPr="00E90A72" w:rsidRDefault="000C256D" w:rsidP="006168D3">
      <w:pPr>
        <w:pStyle w:val="Heading2"/>
      </w:pPr>
      <w:bookmarkStart w:id="16" w:name="_Toc168309840"/>
      <w:bookmarkStart w:id="17" w:name="_Toc173939948"/>
      <w:r>
        <w:t>Proposals for alignment</w:t>
      </w:r>
      <w:bookmarkEnd w:id="16"/>
      <w:bookmarkEnd w:id="17"/>
    </w:p>
    <w:p w14:paraId="49E0DF82" w14:textId="434E4D12" w:rsidR="009D5AFA" w:rsidRDefault="00AA79DF" w:rsidP="006168D3">
      <w:r>
        <w:t>We are seeking your</w:t>
      </w:r>
      <w:r w:rsidR="00925EA5">
        <w:t xml:space="preserve"> feedback on </w:t>
      </w:r>
      <w:r w:rsidR="00FF72CF">
        <w:t xml:space="preserve">proposals </w:t>
      </w:r>
      <w:r w:rsidR="00CE4418">
        <w:t>to align</w:t>
      </w:r>
      <w:r w:rsidR="00925EA5">
        <w:t xml:space="preserve"> </w:t>
      </w:r>
      <w:r w:rsidR="00CE4418">
        <w:t xml:space="preserve">the </w:t>
      </w:r>
      <w:r w:rsidR="00851A52">
        <w:t>AUS Essential Principles</w:t>
      </w:r>
      <w:r w:rsidR="00925EA5">
        <w:t xml:space="preserve"> </w:t>
      </w:r>
      <w:r w:rsidR="00E90A72">
        <w:t>with</w:t>
      </w:r>
      <w:r w:rsidR="00E52D06">
        <w:t xml:space="preserve"> the</w:t>
      </w:r>
      <w:r w:rsidR="00E90A72">
        <w:t xml:space="preserve"> </w:t>
      </w:r>
      <w:r w:rsidR="00103C83">
        <w:t>EU GSPR</w:t>
      </w:r>
      <w:r w:rsidR="00CE4418">
        <w:t xml:space="preserve">s, where applicable </w:t>
      </w:r>
      <w:r w:rsidR="009D5AFA">
        <w:t xml:space="preserve">and relevant to the Australian context. </w:t>
      </w:r>
    </w:p>
    <w:p w14:paraId="40DC9FCF" w14:textId="6FA1E877" w:rsidR="00751817" w:rsidRDefault="00751817" w:rsidP="00751817">
      <w:pPr>
        <w:pStyle w:val="Heading3"/>
      </w:pPr>
      <w:bookmarkStart w:id="18" w:name="_Proposal_1:_Minor"/>
      <w:bookmarkStart w:id="19" w:name="_Toc168309841"/>
      <w:bookmarkStart w:id="20" w:name="_Toc173939949"/>
      <w:bookmarkEnd w:id="18"/>
      <w:r>
        <w:t xml:space="preserve">Proposal 1: Adopt new </w:t>
      </w:r>
      <w:bookmarkEnd w:id="19"/>
      <w:r w:rsidR="00851A52">
        <w:t>AUS Essential Principles</w:t>
      </w:r>
      <w:bookmarkEnd w:id="20"/>
    </w:p>
    <w:p w14:paraId="6AEB991F" w14:textId="5D207E2A" w:rsidR="00751817" w:rsidRDefault="00751817" w:rsidP="00751817">
      <w:r>
        <w:t>This proposal considers adopting the intent of the EU GSPR</w:t>
      </w:r>
      <w:r w:rsidR="007C3BD0">
        <w:t>s</w:t>
      </w:r>
      <w:r>
        <w:t xml:space="preserve"> for which there is currently not a related </w:t>
      </w:r>
      <w:r w:rsidR="004D051F">
        <w:t>AUS Essential</w:t>
      </w:r>
      <w:r w:rsidR="00263D59">
        <w:t xml:space="preserve"> Principle</w:t>
      </w:r>
      <w:r>
        <w:t xml:space="preserve">.  The legislative text for these </w:t>
      </w:r>
      <w:r w:rsidR="00103C83">
        <w:t>EU GSPR</w:t>
      </w:r>
      <w:r>
        <w:t xml:space="preserve">s </w:t>
      </w:r>
      <w:r w:rsidR="00EC0617">
        <w:t xml:space="preserve">is </w:t>
      </w:r>
      <w:r>
        <w:t xml:space="preserve">presented in </w:t>
      </w:r>
      <w:r w:rsidRPr="000D245C">
        <w:rPr>
          <w:b/>
          <w:bCs/>
        </w:rPr>
        <w:t>Attachment 1</w:t>
      </w:r>
      <w:r>
        <w:t>.</w:t>
      </w:r>
    </w:p>
    <w:p w14:paraId="698872DD" w14:textId="5AA60274" w:rsidR="00447A62" w:rsidRDefault="00447A62" w:rsidP="00225640">
      <w:pPr>
        <w:pStyle w:val="Heading4"/>
      </w:pPr>
      <w:bookmarkStart w:id="21" w:name="_Toc173939950"/>
      <w:r>
        <w:t>Questions</w:t>
      </w:r>
      <w:bookmarkEnd w:id="21"/>
    </w:p>
    <w:tbl>
      <w:tblPr>
        <w:tblW w:w="9639" w:type="dxa"/>
        <w:tblLayout w:type="fixed"/>
        <w:tblCellMar>
          <w:left w:w="0" w:type="dxa"/>
          <w:right w:w="0" w:type="dxa"/>
        </w:tblCellMar>
        <w:tblLook w:val="04A0" w:firstRow="1" w:lastRow="0" w:firstColumn="1" w:lastColumn="0" w:noHBand="0" w:noVBand="1"/>
      </w:tblPr>
      <w:tblGrid>
        <w:gridCol w:w="1134"/>
        <w:gridCol w:w="8505"/>
      </w:tblGrid>
      <w:tr w:rsidR="00751817" w:rsidRPr="009401F6" w14:paraId="16E4B317" w14:textId="77777777" w:rsidTr="009C2500">
        <w:tc>
          <w:tcPr>
            <w:tcW w:w="1134" w:type="dxa"/>
            <w:vAlign w:val="center"/>
          </w:tcPr>
          <w:p w14:paraId="6B5E1AB1" w14:textId="77777777" w:rsidR="00751817" w:rsidRPr="009401F6" w:rsidRDefault="00751817" w:rsidP="009C2500">
            <w:r w:rsidRPr="00A004D1">
              <w:rPr>
                <w:noProof/>
              </w:rPr>
              <w:drawing>
                <wp:inline distT="0" distB="0" distL="0" distR="0" wp14:anchorId="5EB72962" wp14:editId="2FC8DFA8">
                  <wp:extent cx="694944" cy="694944"/>
                  <wp:effectExtent l="0" t="0" r="0" b="0"/>
                  <wp:docPr id="22" name="Picture 22" descr="Image of a 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mage of a question mark"/>
                          <pic:cNvPicPr/>
                        </pic:nvPicPr>
                        <pic:blipFill>
                          <a:blip r:embed="rId16">
                            <a:extLst>
                              <a:ext uri="{28A0092B-C50C-407E-A947-70E740481C1C}">
                                <a14:useLocalDpi xmlns:a14="http://schemas.microsoft.com/office/drawing/2010/main" val="0"/>
                              </a:ext>
                            </a:extLst>
                          </a:blip>
                          <a:stretch>
                            <a:fillRect/>
                          </a:stretch>
                        </pic:blipFill>
                        <pic:spPr>
                          <a:xfrm>
                            <a:off x="0" y="0"/>
                            <a:ext cx="693466" cy="693466"/>
                          </a:xfrm>
                          <a:prstGeom prst="rect">
                            <a:avLst/>
                          </a:prstGeom>
                        </pic:spPr>
                      </pic:pic>
                    </a:graphicData>
                  </a:graphic>
                </wp:inline>
              </w:drawing>
            </w:r>
          </w:p>
        </w:tc>
        <w:tc>
          <w:tcPr>
            <w:tcW w:w="8505" w:type="dxa"/>
            <w:shd w:val="clear" w:color="auto" w:fill="EAEAEA"/>
            <w:tcMar>
              <w:top w:w="170" w:type="dxa"/>
              <w:left w:w="170" w:type="dxa"/>
              <w:bottom w:w="170" w:type="dxa"/>
              <w:right w:w="170" w:type="dxa"/>
            </w:tcMar>
            <w:vAlign w:val="center"/>
          </w:tcPr>
          <w:p w14:paraId="1432EFD0" w14:textId="1CFD5F08" w:rsidR="00751817" w:rsidRPr="00A629D6" w:rsidRDefault="00751817" w:rsidP="009C2500">
            <w:pPr>
              <w:rPr>
                <w:b/>
                <w:bCs/>
              </w:rPr>
            </w:pPr>
            <w:r w:rsidRPr="00A629D6">
              <w:rPr>
                <w:b/>
                <w:bCs/>
              </w:rPr>
              <w:t xml:space="preserve">Proposal </w:t>
            </w:r>
            <w:r>
              <w:rPr>
                <w:b/>
                <w:bCs/>
              </w:rPr>
              <w:t>1:</w:t>
            </w:r>
            <w:r w:rsidRPr="00A629D6">
              <w:rPr>
                <w:b/>
                <w:bCs/>
              </w:rPr>
              <w:t xml:space="preserve"> </w:t>
            </w:r>
            <w:r w:rsidR="00DE0EA9">
              <w:rPr>
                <w:b/>
                <w:bCs/>
              </w:rPr>
              <w:t>Adopt new</w:t>
            </w:r>
            <w:r>
              <w:rPr>
                <w:b/>
                <w:bCs/>
              </w:rPr>
              <w:t xml:space="preserve"> </w:t>
            </w:r>
            <w:r w:rsidR="00851A52">
              <w:rPr>
                <w:b/>
                <w:bCs/>
              </w:rPr>
              <w:t>AUS Essential Principles</w:t>
            </w:r>
          </w:p>
          <w:p w14:paraId="7BF96AE0" w14:textId="1F6D2DB7" w:rsidR="00DB3941" w:rsidRDefault="00AB6A5D" w:rsidP="00720585">
            <w:pPr>
              <w:pStyle w:val="Legislativeletterbullet"/>
              <w:numPr>
                <w:ilvl w:val="0"/>
                <w:numId w:val="24"/>
              </w:numPr>
            </w:pPr>
            <w:r w:rsidRPr="00AB6A5D">
              <w:t xml:space="preserve">Do you agree with our proposal to align with the intent of the EU </w:t>
            </w:r>
            <w:r>
              <w:t xml:space="preserve">MDR and IVDR </w:t>
            </w:r>
            <w:r w:rsidRPr="00AB6A5D">
              <w:t>GSPR</w:t>
            </w:r>
            <w:r>
              <w:t>s</w:t>
            </w:r>
            <w:r w:rsidRPr="00AB6A5D">
              <w:t xml:space="preserve"> 2, 3 and 5 and </w:t>
            </w:r>
            <w:r>
              <w:t xml:space="preserve">EU </w:t>
            </w:r>
            <w:r w:rsidRPr="00AB6A5D">
              <w:t>MDR GSPR 22</w:t>
            </w:r>
            <w:r>
              <w:t>?</w:t>
            </w:r>
            <w:r w:rsidR="00225640">
              <w:t xml:space="preserve"> </w:t>
            </w:r>
            <w:r w:rsidR="00FE0B4E">
              <w:t>E</w:t>
            </w:r>
            <w:r w:rsidR="00225640">
              <w:t>xplain.</w:t>
            </w:r>
          </w:p>
          <w:p w14:paraId="60CF971A" w14:textId="35D22891" w:rsidR="003F5772" w:rsidRPr="00256A0C" w:rsidRDefault="00225640" w:rsidP="00751817">
            <w:pPr>
              <w:pStyle w:val="Legislativeletterbullet"/>
            </w:pPr>
            <w:r w:rsidRPr="00225640">
              <w:t>If you have additional comments related to the above proposal</w:t>
            </w:r>
            <w:r>
              <w:t>s</w:t>
            </w:r>
            <w:r w:rsidR="000D6936">
              <w:t>,</w:t>
            </w:r>
            <w:r w:rsidRPr="00225640">
              <w:t xml:space="preserve"> provide your feedback</w:t>
            </w:r>
            <w:r w:rsidR="003F5772">
              <w:t>.</w:t>
            </w:r>
          </w:p>
        </w:tc>
      </w:tr>
    </w:tbl>
    <w:p w14:paraId="0D03200A" w14:textId="29436AB4" w:rsidR="00B13A93" w:rsidRPr="00E90A72" w:rsidRDefault="00613DE2" w:rsidP="00613DE2">
      <w:pPr>
        <w:pStyle w:val="Heading3"/>
      </w:pPr>
      <w:bookmarkStart w:id="22" w:name="_Toc168309842"/>
      <w:bookmarkStart w:id="23" w:name="_Toc173939951"/>
      <w:r>
        <w:t xml:space="preserve">Proposal </w:t>
      </w:r>
      <w:r w:rsidR="00751817">
        <w:t>2</w:t>
      </w:r>
      <w:r>
        <w:t xml:space="preserve">: </w:t>
      </w:r>
      <w:r w:rsidR="000D3E23">
        <w:t xml:space="preserve">Amend </w:t>
      </w:r>
      <w:r w:rsidR="00851A52">
        <w:t>AUS Essential Principles</w:t>
      </w:r>
      <w:r w:rsidR="00B13A93">
        <w:t xml:space="preserve"> </w:t>
      </w:r>
      <w:r w:rsidR="004858E3">
        <w:t xml:space="preserve">2 </w:t>
      </w:r>
      <w:r w:rsidR="00D03EC2">
        <w:t>and</w:t>
      </w:r>
      <w:r w:rsidR="004858E3">
        <w:t xml:space="preserve"> 4</w:t>
      </w:r>
      <w:bookmarkEnd w:id="22"/>
      <w:bookmarkEnd w:id="23"/>
    </w:p>
    <w:p w14:paraId="223336F4" w14:textId="77777777" w:rsidR="007F6AF5" w:rsidRDefault="00851A52" w:rsidP="00C21CFB">
      <w:r>
        <w:t>AUS Essential Principles</w:t>
      </w:r>
      <w:r w:rsidR="00B13A93">
        <w:t xml:space="preserve"> 1</w:t>
      </w:r>
      <w:r w:rsidR="00B1421B">
        <w:t xml:space="preserve">-6 </w:t>
      </w:r>
      <w:r w:rsidR="00097317">
        <w:t xml:space="preserve">are presented </w:t>
      </w:r>
      <w:r w:rsidR="00F5758A">
        <w:t xml:space="preserve">with </w:t>
      </w:r>
      <w:r w:rsidR="00B1421B">
        <w:t xml:space="preserve">the corresponding EU </w:t>
      </w:r>
      <w:r w:rsidR="00103C83">
        <w:t>GSPR</w:t>
      </w:r>
      <w:r w:rsidR="006804F2">
        <w:t>s</w:t>
      </w:r>
      <w:r w:rsidR="00103C83">
        <w:t xml:space="preserve"> </w:t>
      </w:r>
      <w:r w:rsidR="00B13A93">
        <w:t xml:space="preserve">in </w:t>
      </w:r>
      <w:r w:rsidR="00056040" w:rsidRPr="000D245C">
        <w:rPr>
          <w:b/>
          <w:bCs/>
        </w:rPr>
        <w:t>A</w:t>
      </w:r>
      <w:r w:rsidR="00C21CFB" w:rsidRPr="000D245C">
        <w:rPr>
          <w:b/>
          <w:bCs/>
        </w:rPr>
        <w:t>ttachment</w:t>
      </w:r>
      <w:r w:rsidR="00B13A93" w:rsidRPr="000D245C">
        <w:rPr>
          <w:b/>
          <w:bCs/>
        </w:rPr>
        <w:t xml:space="preserve"> </w:t>
      </w:r>
      <w:r w:rsidR="00C21CFB" w:rsidRPr="000D245C">
        <w:rPr>
          <w:b/>
          <w:bCs/>
        </w:rPr>
        <w:t>1</w:t>
      </w:r>
      <w:r w:rsidR="00C21CFB">
        <w:t>.</w:t>
      </w:r>
      <w:r w:rsidR="00AB5362">
        <w:t xml:space="preserve"> </w:t>
      </w:r>
    </w:p>
    <w:p w14:paraId="6043ACE9" w14:textId="02C6DDAF" w:rsidR="00C64BE1" w:rsidRDefault="00AB5362" w:rsidP="00C21CFB">
      <w:r>
        <w:t xml:space="preserve">As the intent of our </w:t>
      </w:r>
      <w:r w:rsidR="00851A52">
        <w:t>AUS Essential Principles</w:t>
      </w:r>
      <w:r>
        <w:t xml:space="preserve"> align well with the EU </w:t>
      </w:r>
      <w:r w:rsidR="00103C83">
        <w:t>GSPR</w:t>
      </w:r>
      <w:r>
        <w:t xml:space="preserve">, we are only proposing minor amendments to </w:t>
      </w:r>
      <w:r w:rsidR="00851A52">
        <w:t>AUS Essential Principles</w:t>
      </w:r>
      <w:r>
        <w:t xml:space="preserve"> 2 and 4.</w:t>
      </w:r>
    </w:p>
    <w:p w14:paraId="571B2CFC" w14:textId="3DDBB683" w:rsidR="00447A62" w:rsidRDefault="00447A62" w:rsidP="00755DB9">
      <w:pPr>
        <w:pStyle w:val="Heading4"/>
        <w:rPr>
          <w:b w:val="0"/>
          <w:bCs w:val="0"/>
        </w:rPr>
        <w:sectPr w:rsidR="00447A62" w:rsidSect="002A2EE1">
          <w:headerReference w:type="default" r:id="rId17"/>
          <w:footerReference w:type="default" r:id="rId18"/>
          <w:headerReference w:type="first" r:id="rId19"/>
          <w:type w:val="continuous"/>
          <w:pgSz w:w="11906" w:h="16838" w:code="9"/>
          <w:pgMar w:top="1530" w:right="1418" w:bottom="1361" w:left="1418" w:header="998" w:footer="283" w:gutter="0"/>
          <w:cols w:space="708"/>
          <w:titlePg/>
          <w:docGrid w:linePitch="360"/>
        </w:sectPr>
      </w:pPr>
      <w:bookmarkStart w:id="24" w:name="_Toc173939952"/>
      <w:r>
        <w:t>Questions</w:t>
      </w:r>
      <w:bookmarkEnd w:id="24"/>
    </w:p>
    <w:tbl>
      <w:tblPr>
        <w:tblW w:w="9639" w:type="dxa"/>
        <w:tblLayout w:type="fixed"/>
        <w:tblCellMar>
          <w:left w:w="0" w:type="dxa"/>
          <w:right w:w="0" w:type="dxa"/>
        </w:tblCellMar>
        <w:tblLook w:val="04A0" w:firstRow="1" w:lastRow="0" w:firstColumn="1" w:lastColumn="0" w:noHBand="0" w:noVBand="1"/>
      </w:tblPr>
      <w:tblGrid>
        <w:gridCol w:w="1134"/>
        <w:gridCol w:w="8505"/>
      </w:tblGrid>
      <w:tr w:rsidR="00B13A93" w:rsidRPr="009401F6" w14:paraId="3C1FE56F" w14:textId="77777777" w:rsidTr="00536BEB">
        <w:tc>
          <w:tcPr>
            <w:tcW w:w="1134" w:type="dxa"/>
            <w:vAlign w:val="center"/>
          </w:tcPr>
          <w:p w14:paraId="0C7CBDC8" w14:textId="77777777" w:rsidR="00B13A93" w:rsidRPr="009401F6" w:rsidRDefault="00B13A93" w:rsidP="006168D3">
            <w:r w:rsidRPr="00A004D1">
              <w:rPr>
                <w:noProof/>
              </w:rPr>
              <w:drawing>
                <wp:inline distT="0" distB="0" distL="0" distR="0" wp14:anchorId="712D5759" wp14:editId="6D550DC1">
                  <wp:extent cx="694944" cy="694944"/>
                  <wp:effectExtent l="0" t="0" r="0" b="0"/>
                  <wp:docPr id="2" name="Picture 2" descr="Image of a 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a question mark."/>
                          <pic:cNvPicPr/>
                        </pic:nvPicPr>
                        <pic:blipFill>
                          <a:blip r:embed="rId16">
                            <a:extLst>
                              <a:ext uri="{28A0092B-C50C-407E-A947-70E740481C1C}">
                                <a14:useLocalDpi xmlns:a14="http://schemas.microsoft.com/office/drawing/2010/main" val="0"/>
                              </a:ext>
                            </a:extLst>
                          </a:blip>
                          <a:stretch>
                            <a:fillRect/>
                          </a:stretch>
                        </pic:blipFill>
                        <pic:spPr>
                          <a:xfrm>
                            <a:off x="0" y="0"/>
                            <a:ext cx="693466" cy="693466"/>
                          </a:xfrm>
                          <a:prstGeom prst="rect">
                            <a:avLst/>
                          </a:prstGeom>
                        </pic:spPr>
                      </pic:pic>
                    </a:graphicData>
                  </a:graphic>
                </wp:inline>
              </w:drawing>
            </w:r>
          </w:p>
        </w:tc>
        <w:tc>
          <w:tcPr>
            <w:tcW w:w="8505" w:type="dxa"/>
            <w:shd w:val="clear" w:color="auto" w:fill="EAEAEA"/>
            <w:tcMar>
              <w:top w:w="170" w:type="dxa"/>
              <w:left w:w="170" w:type="dxa"/>
              <w:bottom w:w="170" w:type="dxa"/>
              <w:right w:w="170" w:type="dxa"/>
            </w:tcMar>
            <w:vAlign w:val="center"/>
          </w:tcPr>
          <w:p w14:paraId="28894B05" w14:textId="4EA62DF2" w:rsidR="00B13A93" w:rsidRPr="00A629D6" w:rsidRDefault="00B13A93" w:rsidP="00A629D6">
            <w:pPr>
              <w:rPr>
                <w:b/>
                <w:bCs/>
              </w:rPr>
            </w:pPr>
            <w:r w:rsidRPr="00A629D6">
              <w:rPr>
                <w:b/>
                <w:bCs/>
              </w:rPr>
              <w:t xml:space="preserve">Proposal </w:t>
            </w:r>
            <w:r w:rsidR="00751817">
              <w:rPr>
                <w:b/>
                <w:bCs/>
              </w:rPr>
              <w:t>2</w:t>
            </w:r>
            <w:r w:rsidR="00C21CFB">
              <w:rPr>
                <w:b/>
                <w:bCs/>
              </w:rPr>
              <w:t>:</w:t>
            </w:r>
            <w:r w:rsidR="007C3DD4" w:rsidRPr="00A629D6">
              <w:rPr>
                <w:b/>
                <w:bCs/>
              </w:rPr>
              <w:t xml:space="preserve"> </w:t>
            </w:r>
            <w:r w:rsidR="00751817">
              <w:rPr>
                <w:b/>
                <w:bCs/>
              </w:rPr>
              <w:t xml:space="preserve">Amend </w:t>
            </w:r>
            <w:r w:rsidR="00851A52">
              <w:rPr>
                <w:b/>
                <w:bCs/>
              </w:rPr>
              <w:t>AUS Essential Principles</w:t>
            </w:r>
            <w:r w:rsidRPr="00A629D6">
              <w:rPr>
                <w:b/>
                <w:bCs/>
              </w:rPr>
              <w:t xml:space="preserve"> </w:t>
            </w:r>
            <w:r w:rsidR="00751817">
              <w:rPr>
                <w:b/>
                <w:bCs/>
              </w:rPr>
              <w:t xml:space="preserve">2 </w:t>
            </w:r>
            <w:r w:rsidR="00D03EC2">
              <w:rPr>
                <w:b/>
                <w:bCs/>
              </w:rPr>
              <w:t>and</w:t>
            </w:r>
            <w:r w:rsidR="00751817">
              <w:rPr>
                <w:b/>
                <w:bCs/>
              </w:rPr>
              <w:t xml:space="preserve"> 4</w:t>
            </w:r>
          </w:p>
          <w:p w14:paraId="4256FEDF" w14:textId="50647368" w:rsidR="00097317" w:rsidRPr="00097317" w:rsidRDefault="004677AC" w:rsidP="00720585">
            <w:pPr>
              <w:pStyle w:val="Legislativeletterbullet"/>
              <w:numPr>
                <w:ilvl w:val="0"/>
                <w:numId w:val="31"/>
              </w:numPr>
            </w:pPr>
            <w:r w:rsidRPr="004677AC">
              <w:t xml:space="preserve">Do you agree with the proposal to introduce into </w:t>
            </w:r>
            <w:r w:rsidR="004D051F">
              <w:t>AUS Essential</w:t>
            </w:r>
            <w:r w:rsidRPr="004677AC">
              <w:t xml:space="preserve"> Principle 2(d), the requirement to provide users with information for safety, as described in EU MDR GSPR 4(c)</w:t>
            </w:r>
            <w:r w:rsidR="00B1421B" w:rsidRPr="00C30D99">
              <w:t xml:space="preserve">? </w:t>
            </w:r>
          </w:p>
          <w:p w14:paraId="7A156278" w14:textId="5271B4D9" w:rsidR="00097317" w:rsidRDefault="004677AC" w:rsidP="00FE27E6">
            <w:pPr>
              <w:pStyle w:val="Legislativeletterbullet"/>
            </w:pPr>
            <w:r w:rsidRPr="004677AC">
              <w:t xml:space="preserve">Do you agree with the proposal to amend </w:t>
            </w:r>
            <w:r w:rsidR="004D051F">
              <w:t>AUS Essential</w:t>
            </w:r>
            <w:r w:rsidRPr="004677AC">
              <w:t xml:space="preserve"> Principle 4(a) to clarify that it applies to the "device lifetime", as defined in the </w:t>
            </w:r>
            <w:r w:rsidR="006613E5">
              <w:t xml:space="preserve">AUS </w:t>
            </w:r>
            <w:r w:rsidRPr="004677AC">
              <w:t>Regulations</w:t>
            </w:r>
            <w:r w:rsidR="006613E5">
              <w:t xml:space="preserve"> and in line with the GSPR 6/IVDR GSPR 9.2</w:t>
            </w:r>
            <w:r w:rsidR="00FE27E6" w:rsidRPr="00C30D99">
              <w:t xml:space="preserve">? </w:t>
            </w:r>
          </w:p>
          <w:p w14:paraId="4627CC1F" w14:textId="77777777" w:rsidR="005F2C41" w:rsidRPr="004E6B47" w:rsidRDefault="005F2C41" w:rsidP="004E6B47">
            <w:pPr>
              <w:ind w:left="541"/>
              <w:rPr>
                <w:b/>
                <w:i/>
                <w:iCs/>
                <w:sz w:val="20"/>
                <w:szCs w:val="20"/>
              </w:rPr>
            </w:pPr>
            <w:r w:rsidRPr="004E6B47">
              <w:rPr>
                <w:b/>
                <w:bCs/>
                <w:i/>
                <w:iCs/>
                <w:sz w:val="20"/>
                <w:szCs w:val="20"/>
              </w:rPr>
              <w:t>device lifetime</w:t>
            </w:r>
            <w:r w:rsidRPr="004E6B47">
              <w:rPr>
                <w:i/>
                <w:iCs/>
                <w:sz w:val="20"/>
                <w:szCs w:val="20"/>
              </w:rPr>
              <w:t>, in relation to a medical device, means the period, indicated by the manufacturer, during which:</w:t>
            </w:r>
          </w:p>
          <w:p w14:paraId="369C4989" w14:textId="77777777" w:rsidR="005F2C41" w:rsidRPr="004E6B47" w:rsidRDefault="005F2C41" w:rsidP="004E6B47">
            <w:pPr>
              <w:ind w:left="541"/>
              <w:rPr>
                <w:b/>
                <w:i/>
                <w:iCs/>
                <w:sz w:val="20"/>
                <w:szCs w:val="20"/>
              </w:rPr>
            </w:pPr>
            <w:r w:rsidRPr="004E6B47">
              <w:rPr>
                <w:i/>
                <w:iCs/>
                <w:sz w:val="20"/>
                <w:szCs w:val="20"/>
              </w:rPr>
              <w:t xml:space="preserve">                      (a)  the device can be safely used; and</w:t>
            </w:r>
          </w:p>
          <w:p w14:paraId="64D7D8B4" w14:textId="25B4AFCB" w:rsidR="005F2C41" w:rsidRPr="004E6B47" w:rsidRDefault="005F2C41" w:rsidP="006110B1">
            <w:pPr>
              <w:ind w:left="2100" w:hanging="1559"/>
              <w:rPr>
                <w:b/>
                <w:i/>
                <w:iCs/>
                <w:sz w:val="20"/>
                <w:szCs w:val="20"/>
              </w:rPr>
            </w:pPr>
            <w:r w:rsidRPr="004E6B47">
              <w:rPr>
                <w:i/>
                <w:iCs/>
                <w:sz w:val="20"/>
                <w:szCs w:val="20"/>
              </w:rPr>
              <w:t xml:space="preserve">                     (b)  the characteristics and performance of the device are not affected by its age.</w:t>
            </w:r>
          </w:p>
          <w:p w14:paraId="06E28BF5" w14:textId="4B0834E5" w:rsidR="00D73118" w:rsidRPr="00256A0C" w:rsidRDefault="00225640" w:rsidP="00E831DC">
            <w:pPr>
              <w:pStyle w:val="Legislativeletterbullet"/>
            </w:pPr>
            <w:r w:rsidRPr="00225640">
              <w:t xml:space="preserve">If you think other changes are needed for AUS Essential Principles 1-6, </w:t>
            </w:r>
            <w:r w:rsidR="006D1902">
              <w:t xml:space="preserve">please </w:t>
            </w:r>
            <w:r w:rsidRPr="00225640">
              <w:t>explain.</w:t>
            </w:r>
          </w:p>
        </w:tc>
      </w:tr>
    </w:tbl>
    <w:p w14:paraId="7BDD5C67" w14:textId="1BB0EDC0" w:rsidR="00C44182" w:rsidRDefault="00C44182" w:rsidP="00C44182">
      <w:pPr>
        <w:pStyle w:val="Heading2"/>
      </w:pPr>
      <w:bookmarkStart w:id="25" w:name="_Toc168309843"/>
      <w:bookmarkStart w:id="26" w:name="_Hlk164245740"/>
      <w:bookmarkStart w:id="27" w:name="_Toc173939953"/>
      <w:r>
        <w:t xml:space="preserve">Design and Construction: </w:t>
      </w:r>
      <w:r w:rsidR="00851A52">
        <w:t>AUS Essential Principles</w:t>
      </w:r>
      <w:r>
        <w:t xml:space="preserve"> 7 – 12 and 15</w:t>
      </w:r>
      <w:bookmarkEnd w:id="25"/>
      <w:bookmarkEnd w:id="27"/>
    </w:p>
    <w:p w14:paraId="3D7B2C11" w14:textId="529A9A3F" w:rsidR="00AC4571" w:rsidRPr="00E90A72" w:rsidRDefault="00C21CFB" w:rsidP="00872697">
      <w:pPr>
        <w:pStyle w:val="Heading3"/>
      </w:pPr>
      <w:bookmarkStart w:id="28" w:name="_Toc168309844"/>
      <w:bookmarkStart w:id="29" w:name="_Toc173939954"/>
      <w:bookmarkEnd w:id="26"/>
      <w:r>
        <w:t xml:space="preserve">Proposal </w:t>
      </w:r>
      <w:r w:rsidR="004868FA">
        <w:t>3</w:t>
      </w:r>
      <w:r>
        <w:t>:</w:t>
      </w:r>
      <w:r w:rsidR="004868FA">
        <w:t xml:space="preserve"> </w:t>
      </w:r>
      <w:r w:rsidR="00AC4571">
        <w:t xml:space="preserve">Amend </w:t>
      </w:r>
      <w:r w:rsidR="00851A52">
        <w:t xml:space="preserve">AUS Essential Principle </w:t>
      </w:r>
      <w:r w:rsidR="00AC4571">
        <w:t>7</w:t>
      </w:r>
      <w:r w:rsidR="00481806">
        <w:t xml:space="preserve"> – </w:t>
      </w:r>
      <w:r w:rsidR="00AC4571">
        <w:t xml:space="preserve">Chemical, physical and biological </w:t>
      </w:r>
      <w:proofErr w:type="gramStart"/>
      <w:r w:rsidR="00AC4571">
        <w:t>properties</w:t>
      </w:r>
      <w:bookmarkEnd w:id="28"/>
      <w:bookmarkEnd w:id="29"/>
      <w:proofErr w:type="gramEnd"/>
    </w:p>
    <w:p w14:paraId="7B99B3A5" w14:textId="4FFC2012" w:rsidR="00C21CFB" w:rsidRDefault="00C21CFB" w:rsidP="00C21CFB">
      <w:bookmarkStart w:id="30" w:name="_Hlk160996357"/>
      <w:r>
        <w:t xml:space="preserve">The </w:t>
      </w:r>
      <w:r w:rsidR="007C3BD0">
        <w:t>EU GSPRs</w:t>
      </w:r>
      <w:r>
        <w:t xml:space="preserve"> related to this </w:t>
      </w:r>
      <w:r w:rsidR="00851A52">
        <w:t xml:space="preserve">AUS Essential Principle </w:t>
      </w:r>
      <w:r>
        <w:t>which expand the scope or provide clarity, for which we propose to adopt a similar intent, are listed</w:t>
      </w:r>
      <w:r w:rsidR="008830C7">
        <w:t xml:space="preserve"> in</w:t>
      </w:r>
      <w:r>
        <w:t xml:space="preserve"> </w:t>
      </w:r>
      <w:r w:rsidR="004968DA">
        <w:rPr>
          <w:b/>
          <w:bCs/>
        </w:rPr>
        <w:t>Attachment 1</w:t>
      </w:r>
      <w:r>
        <w:t>.</w:t>
      </w:r>
    </w:p>
    <w:p w14:paraId="56809130" w14:textId="5A7D71F1" w:rsidR="00447A62" w:rsidRDefault="00447A62" w:rsidP="00755DB9">
      <w:pPr>
        <w:pStyle w:val="Heading4"/>
      </w:pPr>
      <w:bookmarkStart w:id="31" w:name="_Toc173939955"/>
      <w:r>
        <w:t>Questions</w:t>
      </w:r>
      <w:bookmarkEnd w:id="31"/>
    </w:p>
    <w:tbl>
      <w:tblPr>
        <w:tblW w:w="9498" w:type="dxa"/>
        <w:tblLayout w:type="fixed"/>
        <w:tblCellMar>
          <w:left w:w="0" w:type="dxa"/>
          <w:right w:w="0" w:type="dxa"/>
        </w:tblCellMar>
        <w:tblLook w:val="04A0" w:firstRow="1" w:lastRow="0" w:firstColumn="1" w:lastColumn="0" w:noHBand="0" w:noVBand="1"/>
      </w:tblPr>
      <w:tblGrid>
        <w:gridCol w:w="1134"/>
        <w:gridCol w:w="8364"/>
      </w:tblGrid>
      <w:tr w:rsidR="00AC4571" w:rsidRPr="009401F6" w14:paraId="4DEDFF5C" w14:textId="77777777" w:rsidTr="00536BEB">
        <w:tc>
          <w:tcPr>
            <w:tcW w:w="1134" w:type="dxa"/>
            <w:vAlign w:val="center"/>
          </w:tcPr>
          <w:bookmarkEnd w:id="30"/>
          <w:p w14:paraId="13D38306" w14:textId="77777777" w:rsidR="00AC4571" w:rsidRPr="009401F6" w:rsidRDefault="00AC4571" w:rsidP="006168D3">
            <w:r w:rsidRPr="00A004D1">
              <w:rPr>
                <w:noProof/>
              </w:rPr>
              <w:drawing>
                <wp:inline distT="0" distB="0" distL="0" distR="0" wp14:anchorId="0F3B7CD3" wp14:editId="03D672FA">
                  <wp:extent cx="694944" cy="694944"/>
                  <wp:effectExtent l="0" t="0" r="0" b="0"/>
                  <wp:docPr id="6" name="Picture 6" descr="Image of a 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age of a question mark."/>
                          <pic:cNvPicPr/>
                        </pic:nvPicPr>
                        <pic:blipFill>
                          <a:blip r:embed="rId16">
                            <a:extLst>
                              <a:ext uri="{28A0092B-C50C-407E-A947-70E740481C1C}">
                                <a14:useLocalDpi xmlns:a14="http://schemas.microsoft.com/office/drawing/2010/main" val="0"/>
                              </a:ext>
                            </a:extLst>
                          </a:blip>
                          <a:stretch>
                            <a:fillRect/>
                          </a:stretch>
                        </pic:blipFill>
                        <pic:spPr>
                          <a:xfrm>
                            <a:off x="0" y="0"/>
                            <a:ext cx="693466" cy="693466"/>
                          </a:xfrm>
                          <a:prstGeom prst="rect">
                            <a:avLst/>
                          </a:prstGeom>
                        </pic:spPr>
                      </pic:pic>
                    </a:graphicData>
                  </a:graphic>
                </wp:inline>
              </w:drawing>
            </w:r>
          </w:p>
        </w:tc>
        <w:tc>
          <w:tcPr>
            <w:tcW w:w="8364" w:type="dxa"/>
            <w:shd w:val="clear" w:color="auto" w:fill="EAEAEA"/>
            <w:tcMar>
              <w:top w:w="170" w:type="dxa"/>
              <w:left w:w="170" w:type="dxa"/>
              <w:bottom w:w="170" w:type="dxa"/>
              <w:right w:w="170" w:type="dxa"/>
            </w:tcMar>
            <w:vAlign w:val="center"/>
          </w:tcPr>
          <w:p w14:paraId="34564676" w14:textId="040824C0" w:rsidR="00AC4571" w:rsidRPr="00C3542E" w:rsidRDefault="00AC4571" w:rsidP="00C3542E">
            <w:pPr>
              <w:rPr>
                <w:b/>
                <w:bCs/>
              </w:rPr>
            </w:pPr>
            <w:bookmarkStart w:id="32" w:name="_Proposal_2_–"/>
            <w:bookmarkEnd w:id="32"/>
            <w:r w:rsidRPr="00C3542E">
              <w:rPr>
                <w:b/>
                <w:bCs/>
              </w:rPr>
              <w:t xml:space="preserve">Proposal </w:t>
            </w:r>
            <w:r w:rsidR="00C21CFB">
              <w:rPr>
                <w:b/>
                <w:bCs/>
              </w:rPr>
              <w:t>3:</w:t>
            </w:r>
            <w:r w:rsidRPr="00C3542E">
              <w:rPr>
                <w:b/>
                <w:bCs/>
              </w:rPr>
              <w:t xml:space="preserve"> Amend </w:t>
            </w:r>
            <w:r w:rsidR="00851A52">
              <w:rPr>
                <w:b/>
                <w:bCs/>
              </w:rPr>
              <w:t xml:space="preserve">AUS Essential Principle </w:t>
            </w:r>
            <w:r w:rsidRPr="00C3542E">
              <w:rPr>
                <w:b/>
                <w:bCs/>
              </w:rPr>
              <w:t xml:space="preserve">7 </w:t>
            </w:r>
          </w:p>
          <w:p w14:paraId="1E4919EC" w14:textId="7D99F3CF" w:rsidR="00C13078" w:rsidRPr="00D719DE" w:rsidRDefault="00F52ED6" w:rsidP="00720585">
            <w:pPr>
              <w:pStyle w:val="Legislativeletterbullet"/>
              <w:numPr>
                <w:ilvl w:val="0"/>
                <w:numId w:val="14"/>
              </w:numPr>
            </w:pPr>
            <w:r w:rsidRPr="0006394A">
              <w:t xml:space="preserve">Do you agree </w:t>
            </w:r>
            <w:r w:rsidR="00C30D99">
              <w:t xml:space="preserve">with the proposal </w:t>
            </w:r>
            <w:r>
              <w:t xml:space="preserve">to adopt the intent of the </w:t>
            </w:r>
            <w:r w:rsidR="00FC07DD">
              <w:t>EU GSPR</w:t>
            </w:r>
            <w:r>
              <w:t>s</w:t>
            </w:r>
            <w:r w:rsidR="000F37A3">
              <w:t>,</w:t>
            </w:r>
            <w:r>
              <w:t xml:space="preserve"> related to </w:t>
            </w:r>
            <w:r w:rsidR="00851A52">
              <w:t xml:space="preserve">AUS Essential Principle </w:t>
            </w:r>
            <w:r>
              <w:t>7</w:t>
            </w:r>
            <w:r w:rsidR="0092007E">
              <w:t xml:space="preserve">? </w:t>
            </w:r>
          </w:p>
          <w:p w14:paraId="23534E42" w14:textId="33A7B0D5" w:rsidR="00925301" w:rsidRPr="00256A0C" w:rsidRDefault="00225640" w:rsidP="00E831DC">
            <w:pPr>
              <w:pStyle w:val="Legislativeletterbullet"/>
            </w:pPr>
            <w:r w:rsidRPr="00225640">
              <w:t>If you think other changes are needed for AUS Essential Principle 7, explain.</w:t>
            </w:r>
          </w:p>
        </w:tc>
      </w:tr>
    </w:tbl>
    <w:p w14:paraId="1132AE96" w14:textId="69CA146C" w:rsidR="00925301" w:rsidRPr="00E90A72" w:rsidRDefault="00C21CFB" w:rsidP="00FE20B6">
      <w:pPr>
        <w:pStyle w:val="Heading3"/>
        <w:ind w:right="-2"/>
      </w:pPr>
      <w:bookmarkStart w:id="33" w:name="_Proposal_3:_Amend"/>
      <w:bookmarkStart w:id="34" w:name="_Toc168309845"/>
      <w:bookmarkStart w:id="35" w:name="_Toc173939956"/>
      <w:bookmarkEnd w:id="33"/>
      <w:r>
        <w:t>Proposal 4:</w:t>
      </w:r>
      <w:r w:rsidR="00872697">
        <w:t xml:space="preserve"> </w:t>
      </w:r>
      <w:r w:rsidR="00925301">
        <w:t xml:space="preserve">Amend </w:t>
      </w:r>
      <w:r w:rsidR="00851A52">
        <w:t xml:space="preserve">AUS Essential Principle </w:t>
      </w:r>
      <w:r w:rsidR="00925301">
        <w:t>8</w:t>
      </w:r>
      <w:r w:rsidR="00481806">
        <w:t xml:space="preserve"> – I</w:t>
      </w:r>
      <w:r w:rsidR="00925301">
        <w:t xml:space="preserve">nfection and microbial </w:t>
      </w:r>
      <w:proofErr w:type="gramStart"/>
      <w:r w:rsidR="00925301">
        <w:t>contamination</w:t>
      </w:r>
      <w:bookmarkEnd w:id="34"/>
      <w:bookmarkEnd w:id="35"/>
      <w:proofErr w:type="gramEnd"/>
    </w:p>
    <w:p w14:paraId="2460A61B" w14:textId="00F1BE19" w:rsidR="005146FC" w:rsidRDefault="005146FC" w:rsidP="00F603A1">
      <w:pPr>
        <w:keepNext/>
      </w:pPr>
      <w:bookmarkStart w:id="36" w:name="_Hlk161086824"/>
      <w:r>
        <w:t xml:space="preserve">The </w:t>
      </w:r>
      <w:r w:rsidR="007C3BD0">
        <w:t>EU GSPRs</w:t>
      </w:r>
      <w:r>
        <w:t xml:space="preserve"> </w:t>
      </w:r>
      <w:r w:rsidR="00C21CFB">
        <w:t xml:space="preserve">related to this </w:t>
      </w:r>
      <w:r w:rsidR="00851A52">
        <w:t xml:space="preserve">AUS Essential Principle </w:t>
      </w:r>
      <w:r>
        <w:t>which expand the scope or provide clarity, for which we propose to adopt a similar intent, are listed</w:t>
      </w:r>
      <w:r w:rsidR="008830C7">
        <w:t xml:space="preserve"> in</w:t>
      </w:r>
      <w:r>
        <w:t xml:space="preserve"> </w:t>
      </w:r>
      <w:r w:rsidR="004968DA">
        <w:rPr>
          <w:b/>
          <w:bCs/>
        </w:rPr>
        <w:t>Attachment 1</w:t>
      </w:r>
      <w:r>
        <w:t>.</w:t>
      </w:r>
    </w:p>
    <w:p w14:paraId="0366AC4B" w14:textId="77777777" w:rsidR="00D861E0" w:rsidRDefault="00D861E0" w:rsidP="00D861E0">
      <w:pPr>
        <w:pStyle w:val="TableTitle0"/>
      </w:pPr>
      <w:r>
        <w:t xml:space="preserve">Amendment to cover IVD devices containing biological material of human </w:t>
      </w:r>
      <w:proofErr w:type="gramStart"/>
      <w:r>
        <w:t>origin</w:t>
      </w:r>
      <w:proofErr w:type="gramEnd"/>
    </w:p>
    <w:p w14:paraId="3D2696C3" w14:textId="77777777" w:rsidR="00810555" w:rsidRDefault="00310269" w:rsidP="00F603A1">
      <w:r w:rsidRPr="00FB0A08">
        <w:t xml:space="preserve">The EU IVDR GSPR 12 expands the scope to include biological substances </w:t>
      </w:r>
      <w:r w:rsidRPr="00A10197">
        <w:t>of human origin.</w:t>
      </w:r>
      <w:r w:rsidR="00FB0A08" w:rsidRPr="00FB0A08">
        <w:t xml:space="preserve"> </w:t>
      </w:r>
    </w:p>
    <w:p w14:paraId="429DF719" w14:textId="3BC62FDA" w:rsidR="00A41B05" w:rsidRDefault="00FB0A08" w:rsidP="00F603A1">
      <w:r w:rsidRPr="00FB0A08">
        <w:t xml:space="preserve">Our IVD devices framework includes </w:t>
      </w:r>
      <w:r w:rsidR="007459FE">
        <w:t xml:space="preserve">devices that contain </w:t>
      </w:r>
      <w:r w:rsidRPr="00FB0A08">
        <w:t xml:space="preserve">biological material of human origin that is non-viable or rendered non-viable, although this is not captured within our </w:t>
      </w:r>
      <w:r w:rsidR="00851A52">
        <w:t>AUS Essential Principles</w:t>
      </w:r>
      <w:r w:rsidRPr="00FB0A08">
        <w:t>.</w:t>
      </w:r>
      <w:r>
        <w:t xml:space="preserve"> </w:t>
      </w:r>
    </w:p>
    <w:p w14:paraId="0FFF9AF0" w14:textId="42689EB9" w:rsidR="00310269" w:rsidRDefault="00FB0A08" w:rsidP="00F603A1">
      <w:r w:rsidRPr="00FB0A08">
        <w:t xml:space="preserve">As such, we propose to amend </w:t>
      </w:r>
      <w:r w:rsidR="00851A52">
        <w:t xml:space="preserve">AUS Essential Principle </w:t>
      </w:r>
      <w:r w:rsidRPr="00FB0A08">
        <w:t>8</w:t>
      </w:r>
      <w:r>
        <w:t>.2</w:t>
      </w:r>
      <w:r w:rsidRPr="00FB0A08">
        <w:t xml:space="preserve">, to </w:t>
      </w:r>
      <w:r w:rsidR="007459FE">
        <w:t xml:space="preserve">additionally </w:t>
      </w:r>
      <w:r w:rsidRPr="00FB0A08">
        <w:t>include IVD devices that contain tissues or cells of human origin, or their derivatives, which are non-viable or rendered non-viable. Any device that includes biological material that is viable is regulated as a biological under our Biologicals Regulatory Framework</w:t>
      </w:r>
      <w:r w:rsidR="00310269" w:rsidRPr="00FB0A08">
        <w:t>.</w:t>
      </w:r>
    </w:p>
    <w:p w14:paraId="2594B972" w14:textId="77777777" w:rsidR="00D861E0" w:rsidRDefault="00D861E0" w:rsidP="00D861E0">
      <w:pPr>
        <w:pStyle w:val="TableTitle0"/>
      </w:pPr>
      <w:r>
        <w:t>Inclusions of an equivalent clause to EU MDR GSPR 13.3</w:t>
      </w:r>
    </w:p>
    <w:p w14:paraId="7C0A0FCB" w14:textId="1497FB69" w:rsidR="008D2C83" w:rsidRDefault="007459FE" w:rsidP="00F603A1">
      <w:r>
        <w:t>The EU MDR GSPR 13.3 for non-IVD medical devices</w:t>
      </w:r>
      <w:r w:rsidR="00F901E2">
        <w:t xml:space="preserve"> covers devices</w:t>
      </w:r>
      <w:r>
        <w:t xml:space="preserve"> </w:t>
      </w:r>
      <w:r w:rsidR="008D2C83">
        <w:t>manufactured utilising biological substances other than those referred to in GSPR 1</w:t>
      </w:r>
      <w:r w:rsidR="00F901E2">
        <w:t>3</w:t>
      </w:r>
      <w:r w:rsidR="008D2C83">
        <w:t>.1 and 13.2:</w:t>
      </w:r>
    </w:p>
    <w:p w14:paraId="11761CF7" w14:textId="68808361" w:rsidR="008D2C83" w:rsidRDefault="008D2C83" w:rsidP="00F603A1">
      <w:pPr>
        <w:pStyle w:val="ListBullet"/>
      </w:pPr>
      <w:r>
        <w:t xml:space="preserve">13.1 </w:t>
      </w:r>
      <w:r w:rsidR="00F901E2">
        <w:t xml:space="preserve">refers to </w:t>
      </w:r>
      <w:r w:rsidRPr="006209DD">
        <w:t>derivatives of tissues or cells of human origin which are non-viable or are rendered non-</w:t>
      </w:r>
      <w:proofErr w:type="gramStart"/>
      <w:r w:rsidRPr="006209DD">
        <w:t>viable</w:t>
      </w:r>
      <w:proofErr w:type="gramEnd"/>
      <w:r w:rsidRPr="006209DD">
        <w:t xml:space="preserve"> </w:t>
      </w:r>
    </w:p>
    <w:p w14:paraId="69D3E362" w14:textId="39F18B43" w:rsidR="008D2C83" w:rsidRDefault="008D2C83" w:rsidP="00F603A1">
      <w:pPr>
        <w:pStyle w:val="ListBullet"/>
      </w:pPr>
      <w:r>
        <w:t xml:space="preserve">13.2 </w:t>
      </w:r>
      <w:r w:rsidR="00F901E2">
        <w:t>refers to</w:t>
      </w:r>
      <w:r>
        <w:t xml:space="preserve"> </w:t>
      </w:r>
      <w:r w:rsidRPr="006209DD">
        <w:t>tissues or cells of animal origin, or their derivatives, which are non-viable or rendered non-</w:t>
      </w:r>
      <w:proofErr w:type="gramStart"/>
      <w:r w:rsidRPr="006209DD">
        <w:t>viable</w:t>
      </w:r>
      <w:proofErr w:type="gramEnd"/>
      <w:r w:rsidRPr="006209DD">
        <w:t xml:space="preserve"> </w:t>
      </w:r>
    </w:p>
    <w:p w14:paraId="7E26A8B0" w14:textId="77777777" w:rsidR="004A3102" w:rsidRDefault="008D2C83" w:rsidP="00F603A1">
      <w:r>
        <w:rPr>
          <w:rFonts w:cs="Arial"/>
        </w:rPr>
        <w:t>Hence</w:t>
      </w:r>
      <w:r w:rsidR="006804F2">
        <w:rPr>
          <w:rFonts w:cs="Arial"/>
        </w:rPr>
        <w:t>,</w:t>
      </w:r>
      <w:r>
        <w:rPr>
          <w:rFonts w:cs="Arial"/>
        </w:rPr>
        <w:t xml:space="preserve"> EU MDR GSPR 13.3 </w:t>
      </w:r>
      <w:r w:rsidR="00870EFE">
        <w:rPr>
          <w:rFonts w:cs="Arial"/>
        </w:rPr>
        <w:t xml:space="preserve">is a catch-all clause to </w:t>
      </w:r>
      <w:r>
        <w:rPr>
          <w:rFonts w:cs="Arial"/>
        </w:rPr>
        <w:t xml:space="preserve">include </w:t>
      </w:r>
      <w:r>
        <w:t xml:space="preserve">anything other than substances from human or animal origin, which are non-viable or rendered non-viable. </w:t>
      </w:r>
    </w:p>
    <w:p w14:paraId="1D1271F5" w14:textId="47B4CCEE" w:rsidR="007459FE" w:rsidRDefault="008D2C83" w:rsidP="00F603A1">
      <w:r>
        <w:t xml:space="preserve">As such, we are proposing to introduce a similar “catch-all” clause. This may result in changes to where recombinant and microbial origin material is </w:t>
      </w:r>
      <w:r w:rsidR="00F603A1">
        <w:t>included but</w:t>
      </w:r>
      <w:r>
        <w:t xml:space="preserve"> will not change the requirements for compliance.</w:t>
      </w:r>
    </w:p>
    <w:p w14:paraId="783A6BD7" w14:textId="60F83C13" w:rsidR="00447A62" w:rsidRPr="00FB0A08" w:rsidRDefault="00447A62" w:rsidP="00755DB9">
      <w:pPr>
        <w:pStyle w:val="Heading4"/>
      </w:pPr>
      <w:bookmarkStart w:id="37" w:name="_Toc173939957"/>
      <w:r>
        <w:t>Questions</w:t>
      </w:r>
      <w:bookmarkEnd w:id="37"/>
    </w:p>
    <w:tbl>
      <w:tblPr>
        <w:tblW w:w="9356" w:type="dxa"/>
        <w:tblLayout w:type="fixed"/>
        <w:tblCellMar>
          <w:left w:w="0" w:type="dxa"/>
          <w:right w:w="0" w:type="dxa"/>
        </w:tblCellMar>
        <w:tblLook w:val="04A0" w:firstRow="1" w:lastRow="0" w:firstColumn="1" w:lastColumn="0" w:noHBand="0" w:noVBand="1"/>
      </w:tblPr>
      <w:tblGrid>
        <w:gridCol w:w="1134"/>
        <w:gridCol w:w="8222"/>
      </w:tblGrid>
      <w:tr w:rsidR="00925301" w:rsidRPr="009401F6" w14:paraId="31604321" w14:textId="77777777" w:rsidTr="00536BEB">
        <w:tc>
          <w:tcPr>
            <w:tcW w:w="1134" w:type="dxa"/>
            <w:vAlign w:val="center"/>
          </w:tcPr>
          <w:bookmarkEnd w:id="36"/>
          <w:p w14:paraId="4D7D9589" w14:textId="77777777" w:rsidR="00925301" w:rsidRPr="009401F6" w:rsidRDefault="00925301" w:rsidP="00FE20B6">
            <w:pPr>
              <w:keepNext/>
            </w:pPr>
            <w:r w:rsidRPr="00A004D1">
              <w:rPr>
                <w:noProof/>
              </w:rPr>
              <w:drawing>
                <wp:inline distT="0" distB="0" distL="0" distR="0" wp14:anchorId="684F6AFF" wp14:editId="539DE7B1">
                  <wp:extent cx="694944" cy="694944"/>
                  <wp:effectExtent l="0" t="0" r="0" b="0"/>
                  <wp:docPr id="7" name="Picture 7" descr="Image of a 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age of a question mark."/>
                          <pic:cNvPicPr/>
                        </pic:nvPicPr>
                        <pic:blipFill>
                          <a:blip r:embed="rId16">
                            <a:extLst>
                              <a:ext uri="{28A0092B-C50C-407E-A947-70E740481C1C}">
                                <a14:useLocalDpi xmlns:a14="http://schemas.microsoft.com/office/drawing/2010/main" val="0"/>
                              </a:ext>
                            </a:extLst>
                          </a:blip>
                          <a:stretch>
                            <a:fillRect/>
                          </a:stretch>
                        </pic:blipFill>
                        <pic:spPr>
                          <a:xfrm>
                            <a:off x="0" y="0"/>
                            <a:ext cx="693466" cy="693466"/>
                          </a:xfrm>
                          <a:prstGeom prst="rect">
                            <a:avLst/>
                          </a:prstGeom>
                        </pic:spPr>
                      </pic:pic>
                    </a:graphicData>
                  </a:graphic>
                </wp:inline>
              </w:drawing>
            </w:r>
          </w:p>
        </w:tc>
        <w:tc>
          <w:tcPr>
            <w:tcW w:w="8222" w:type="dxa"/>
            <w:shd w:val="clear" w:color="auto" w:fill="EAEAEA"/>
            <w:tcMar>
              <w:top w:w="170" w:type="dxa"/>
              <w:left w:w="170" w:type="dxa"/>
              <w:bottom w:w="170" w:type="dxa"/>
              <w:right w:w="170" w:type="dxa"/>
            </w:tcMar>
            <w:vAlign w:val="center"/>
          </w:tcPr>
          <w:p w14:paraId="65DE92DE" w14:textId="72C21768" w:rsidR="00925301" w:rsidRPr="00AA7407" w:rsidRDefault="00925301" w:rsidP="00FE20B6">
            <w:pPr>
              <w:keepNext/>
              <w:rPr>
                <w:b/>
                <w:bCs/>
              </w:rPr>
            </w:pPr>
            <w:r w:rsidRPr="00AA7407">
              <w:rPr>
                <w:b/>
                <w:bCs/>
              </w:rPr>
              <w:t xml:space="preserve">Proposal </w:t>
            </w:r>
            <w:r w:rsidR="00C21CFB">
              <w:rPr>
                <w:b/>
                <w:bCs/>
              </w:rPr>
              <w:t>4:</w:t>
            </w:r>
            <w:r w:rsidRPr="00AA7407">
              <w:rPr>
                <w:b/>
                <w:bCs/>
              </w:rPr>
              <w:t xml:space="preserve"> </w:t>
            </w:r>
            <w:r w:rsidR="00E55E57">
              <w:rPr>
                <w:b/>
                <w:bCs/>
              </w:rPr>
              <w:t xml:space="preserve">Amend </w:t>
            </w:r>
            <w:r w:rsidR="00851A52">
              <w:rPr>
                <w:b/>
                <w:bCs/>
              </w:rPr>
              <w:t xml:space="preserve">AUS Essential Principle </w:t>
            </w:r>
            <w:r w:rsidRPr="00AA7407">
              <w:rPr>
                <w:b/>
                <w:bCs/>
              </w:rPr>
              <w:t>8</w:t>
            </w:r>
          </w:p>
          <w:p w14:paraId="323C8057" w14:textId="1C4298EC" w:rsidR="001B1166" w:rsidRPr="00D719DE" w:rsidRDefault="001B1166" w:rsidP="00720585">
            <w:pPr>
              <w:pStyle w:val="Legislativeletterbullet"/>
              <w:keepNext/>
              <w:numPr>
                <w:ilvl w:val="0"/>
                <w:numId w:val="21"/>
              </w:numPr>
            </w:pPr>
            <w:r w:rsidRPr="0006394A">
              <w:t xml:space="preserve">Do you agree </w:t>
            </w:r>
            <w:r w:rsidR="00C30D99">
              <w:t xml:space="preserve">with the proposal </w:t>
            </w:r>
            <w:r>
              <w:t xml:space="preserve">to adopt the intent of the </w:t>
            </w:r>
            <w:r w:rsidR="00FC07DD">
              <w:t>EU GSPR</w:t>
            </w:r>
            <w:r>
              <w:t xml:space="preserve">s, related to </w:t>
            </w:r>
            <w:r w:rsidR="00851A52">
              <w:t xml:space="preserve">AUS Essential Principle </w:t>
            </w:r>
            <w:r>
              <w:t xml:space="preserve">8? </w:t>
            </w:r>
          </w:p>
          <w:p w14:paraId="6BD3A4A5" w14:textId="4337B85D" w:rsidR="00D861E0" w:rsidRPr="00256A0C" w:rsidRDefault="00D861E0" w:rsidP="00D861E0">
            <w:pPr>
              <w:pStyle w:val="Legislativeletterbullet"/>
              <w:keepNext/>
            </w:pPr>
            <w:r w:rsidRPr="00D861E0">
              <w:t>If you think other changes are needed for AUS Essential Principle 8, explain</w:t>
            </w:r>
            <w:r w:rsidR="00134213">
              <w:t>.</w:t>
            </w:r>
          </w:p>
        </w:tc>
      </w:tr>
    </w:tbl>
    <w:p w14:paraId="54580FD5" w14:textId="435D01FA" w:rsidR="00925301" w:rsidRPr="00E90A72" w:rsidRDefault="00C21CFB" w:rsidP="00B76BDF">
      <w:pPr>
        <w:pStyle w:val="Heading3"/>
        <w:ind w:right="-2"/>
      </w:pPr>
      <w:bookmarkStart w:id="38" w:name="_Proposal_4:_Amend"/>
      <w:bookmarkStart w:id="39" w:name="_Toc168309846"/>
      <w:bookmarkStart w:id="40" w:name="_Toc173939958"/>
      <w:bookmarkEnd w:id="38"/>
      <w:r>
        <w:t>Proposal 5:</w:t>
      </w:r>
      <w:r w:rsidR="00872697">
        <w:t xml:space="preserve"> A</w:t>
      </w:r>
      <w:r w:rsidR="00925301">
        <w:t xml:space="preserve">mend </w:t>
      </w:r>
      <w:r w:rsidR="00851A52">
        <w:t xml:space="preserve">AUS Essential Principle </w:t>
      </w:r>
      <w:r w:rsidR="00925301">
        <w:t>9</w:t>
      </w:r>
      <w:r w:rsidR="00481806">
        <w:t xml:space="preserve"> – </w:t>
      </w:r>
      <w:r w:rsidR="00925301">
        <w:t xml:space="preserve">Construction and environmental </w:t>
      </w:r>
      <w:proofErr w:type="gramStart"/>
      <w:r w:rsidR="00925301">
        <w:t>properties</w:t>
      </w:r>
      <w:bookmarkEnd w:id="39"/>
      <w:bookmarkEnd w:id="40"/>
      <w:proofErr w:type="gramEnd"/>
    </w:p>
    <w:p w14:paraId="210D729D" w14:textId="22FECC27" w:rsidR="00C21CFB" w:rsidRDefault="00C21CFB" w:rsidP="00B76BDF">
      <w:pPr>
        <w:keepNext/>
      </w:pPr>
      <w:r>
        <w:t xml:space="preserve">The </w:t>
      </w:r>
      <w:r w:rsidR="007C3BD0">
        <w:t>EU GSPRs</w:t>
      </w:r>
      <w:r>
        <w:t xml:space="preserve"> related to this </w:t>
      </w:r>
      <w:r w:rsidR="00851A52">
        <w:t xml:space="preserve">AUS Essential Principle </w:t>
      </w:r>
      <w:r>
        <w:t>which expand the scope or provide clarity, for which we propose to adopt a similar intent, are listed</w:t>
      </w:r>
      <w:r w:rsidR="008830C7">
        <w:t xml:space="preserve"> in</w:t>
      </w:r>
      <w:r>
        <w:t xml:space="preserve"> </w:t>
      </w:r>
      <w:r w:rsidR="004968DA">
        <w:rPr>
          <w:b/>
          <w:bCs/>
        </w:rPr>
        <w:t>Attachment 1</w:t>
      </w:r>
      <w:r>
        <w:t>.</w:t>
      </w:r>
    </w:p>
    <w:p w14:paraId="503ADE73" w14:textId="6D25A8AA" w:rsidR="00447A62" w:rsidRDefault="00447A62" w:rsidP="00755DB9">
      <w:pPr>
        <w:pStyle w:val="Heading4"/>
      </w:pPr>
      <w:bookmarkStart w:id="41" w:name="_Toc173939959"/>
      <w:r>
        <w:t>Questions</w:t>
      </w:r>
      <w:bookmarkEnd w:id="41"/>
    </w:p>
    <w:tbl>
      <w:tblPr>
        <w:tblW w:w="9038" w:type="dxa"/>
        <w:tblLayout w:type="fixed"/>
        <w:tblCellMar>
          <w:left w:w="0" w:type="dxa"/>
          <w:right w:w="0" w:type="dxa"/>
        </w:tblCellMar>
        <w:tblLook w:val="04A0" w:firstRow="1" w:lastRow="0" w:firstColumn="1" w:lastColumn="0" w:noHBand="0" w:noVBand="1"/>
      </w:tblPr>
      <w:tblGrid>
        <w:gridCol w:w="1276"/>
        <w:gridCol w:w="7762"/>
      </w:tblGrid>
      <w:tr w:rsidR="00925301" w:rsidRPr="009401F6" w14:paraId="25BC9AE7" w14:textId="77777777" w:rsidTr="751C0673">
        <w:tc>
          <w:tcPr>
            <w:tcW w:w="1276" w:type="dxa"/>
            <w:vAlign w:val="center"/>
          </w:tcPr>
          <w:p w14:paraId="083AC55D" w14:textId="77777777" w:rsidR="00925301" w:rsidRPr="009401F6" w:rsidRDefault="00925301" w:rsidP="00B76BDF">
            <w:pPr>
              <w:keepNext/>
            </w:pPr>
            <w:r w:rsidRPr="00A004D1">
              <w:rPr>
                <w:noProof/>
              </w:rPr>
              <w:drawing>
                <wp:inline distT="0" distB="0" distL="0" distR="0" wp14:anchorId="47E536AC" wp14:editId="66531CA9">
                  <wp:extent cx="694944" cy="694944"/>
                  <wp:effectExtent l="0" t="0" r="0" b="0"/>
                  <wp:docPr id="10" name="Picture 10" descr="Image of a 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of a question mark."/>
                          <pic:cNvPicPr/>
                        </pic:nvPicPr>
                        <pic:blipFill>
                          <a:blip r:embed="rId16">
                            <a:extLst>
                              <a:ext uri="{28A0092B-C50C-407E-A947-70E740481C1C}">
                                <a14:useLocalDpi xmlns:a14="http://schemas.microsoft.com/office/drawing/2010/main" val="0"/>
                              </a:ext>
                            </a:extLst>
                          </a:blip>
                          <a:stretch>
                            <a:fillRect/>
                          </a:stretch>
                        </pic:blipFill>
                        <pic:spPr>
                          <a:xfrm>
                            <a:off x="0" y="0"/>
                            <a:ext cx="693466" cy="693466"/>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1B23FF3" w14:textId="12A9E18A" w:rsidR="00925301" w:rsidRPr="007A07E6" w:rsidRDefault="00925301" w:rsidP="00B76BDF">
            <w:pPr>
              <w:keepNext/>
              <w:rPr>
                <w:b/>
                <w:bCs/>
              </w:rPr>
            </w:pPr>
            <w:r w:rsidRPr="007A07E6">
              <w:rPr>
                <w:b/>
                <w:bCs/>
              </w:rPr>
              <w:t xml:space="preserve">Proposal </w:t>
            </w:r>
            <w:r w:rsidR="00C21CFB">
              <w:rPr>
                <w:b/>
                <w:bCs/>
              </w:rPr>
              <w:t>5</w:t>
            </w:r>
            <w:r w:rsidR="008016EB">
              <w:rPr>
                <w:b/>
                <w:bCs/>
              </w:rPr>
              <w:t>:</w:t>
            </w:r>
            <w:r w:rsidRPr="007A07E6">
              <w:rPr>
                <w:b/>
                <w:bCs/>
              </w:rPr>
              <w:t xml:space="preserve"> </w:t>
            </w:r>
            <w:r w:rsidR="008016EB">
              <w:rPr>
                <w:b/>
                <w:bCs/>
              </w:rPr>
              <w:t xml:space="preserve">Amend </w:t>
            </w:r>
            <w:r w:rsidR="00851A52">
              <w:rPr>
                <w:b/>
                <w:bCs/>
              </w:rPr>
              <w:t xml:space="preserve">AUS Essential Principle </w:t>
            </w:r>
            <w:r w:rsidRPr="007A07E6">
              <w:rPr>
                <w:b/>
                <w:bCs/>
              </w:rPr>
              <w:t>9</w:t>
            </w:r>
          </w:p>
          <w:p w14:paraId="15E1B4BC" w14:textId="14CE41DB" w:rsidR="00110EB2" w:rsidRPr="00110EB2" w:rsidRDefault="00DA2298" w:rsidP="00720585">
            <w:pPr>
              <w:pStyle w:val="Legislativeletterbullet"/>
              <w:keepNext/>
              <w:numPr>
                <w:ilvl w:val="0"/>
                <w:numId w:val="16"/>
              </w:numPr>
            </w:pPr>
            <w:r w:rsidRPr="00DA2298">
              <w:t xml:space="preserve">Do </w:t>
            </w:r>
            <w:r w:rsidRPr="00110EB2">
              <w:t xml:space="preserve">you agree </w:t>
            </w:r>
            <w:r w:rsidR="00C30D99">
              <w:t xml:space="preserve">with the proposal </w:t>
            </w:r>
            <w:r w:rsidRPr="00110EB2">
              <w:t xml:space="preserve">to adopt the intent of the </w:t>
            </w:r>
            <w:r w:rsidR="00FC07DD">
              <w:t>EU GSPR</w:t>
            </w:r>
            <w:r w:rsidRPr="00110EB2">
              <w:t xml:space="preserve">s, related to </w:t>
            </w:r>
            <w:r w:rsidR="00851A52">
              <w:t xml:space="preserve">AUS Essential Principle </w:t>
            </w:r>
            <w:r w:rsidRPr="00110EB2">
              <w:t xml:space="preserve">9? </w:t>
            </w:r>
          </w:p>
          <w:p w14:paraId="7C24AAE2" w14:textId="4BA8B195" w:rsidR="00925301" w:rsidRPr="00256A0C" w:rsidRDefault="00D861E0" w:rsidP="00B76BDF">
            <w:pPr>
              <w:pStyle w:val="Legislativeletterbullet"/>
              <w:keepNext/>
            </w:pPr>
            <w:r w:rsidRPr="00D861E0">
              <w:t xml:space="preserve">If you think other changes are needed for AUS Essential Principle </w:t>
            </w:r>
            <w:r>
              <w:t>9</w:t>
            </w:r>
            <w:r w:rsidRPr="00D861E0">
              <w:t>,</w:t>
            </w:r>
            <w:r w:rsidR="003644E9">
              <w:t xml:space="preserve"> </w:t>
            </w:r>
            <w:r w:rsidRPr="00D861E0">
              <w:t>explain</w:t>
            </w:r>
            <w:r w:rsidR="00925301">
              <w:t>.</w:t>
            </w:r>
          </w:p>
        </w:tc>
      </w:tr>
    </w:tbl>
    <w:p w14:paraId="1106815A" w14:textId="31515B6A" w:rsidR="0049296D" w:rsidRPr="00E90A72" w:rsidRDefault="008016EB" w:rsidP="00E86C49">
      <w:pPr>
        <w:pStyle w:val="Heading3"/>
      </w:pPr>
      <w:bookmarkStart w:id="42" w:name="_Proposal_5:_Retain"/>
      <w:bookmarkStart w:id="43" w:name="_Proposal_6:_Retain"/>
      <w:bookmarkStart w:id="44" w:name="_Toc168309847"/>
      <w:bookmarkStart w:id="45" w:name="_Toc173939960"/>
      <w:bookmarkEnd w:id="42"/>
      <w:bookmarkEnd w:id="43"/>
      <w:r>
        <w:t xml:space="preserve">Proposal </w:t>
      </w:r>
      <w:r w:rsidR="0000205C">
        <w:t>6</w:t>
      </w:r>
      <w:r>
        <w:t xml:space="preserve">: </w:t>
      </w:r>
      <w:r w:rsidR="00125967">
        <w:t xml:space="preserve">Amend </w:t>
      </w:r>
      <w:r w:rsidR="00851A52">
        <w:t xml:space="preserve">AUS Essential Principle </w:t>
      </w:r>
      <w:r w:rsidR="0049296D">
        <w:t>11</w:t>
      </w:r>
      <w:r w:rsidR="00481806">
        <w:t xml:space="preserve"> – </w:t>
      </w:r>
      <w:r w:rsidR="0049296D">
        <w:t xml:space="preserve">Protection against </w:t>
      </w:r>
      <w:proofErr w:type="gramStart"/>
      <w:r w:rsidR="0049296D">
        <w:t>radiation</w:t>
      </w:r>
      <w:bookmarkEnd w:id="44"/>
      <w:bookmarkEnd w:id="45"/>
      <w:proofErr w:type="gramEnd"/>
    </w:p>
    <w:p w14:paraId="0F722EA7" w14:textId="7DAFF18B" w:rsidR="009569F9" w:rsidRDefault="009569F9" w:rsidP="009569F9">
      <w:r>
        <w:t>The EU GSPRs related to this AUS Essential Principle which expand the scope or provide clarity, for which we propose to adopt a similar intent, are listed</w:t>
      </w:r>
      <w:r w:rsidR="008830C7">
        <w:t xml:space="preserve"> in</w:t>
      </w:r>
      <w:r>
        <w:t xml:space="preserve"> </w:t>
      </w:r>
      <w:r>
        <w:rPr>
          <w:b/>
          <w:bCs/>
        </w:rPr>
        <w:t>Attachment 1</w:t>
      </w:r>
      <w:r>
        <w:t>.</w:t>
      </w:r>
    </w:p>
    <w:p w14:paraId="236334DC" w14:textId="25350A0F" w:rsidR="00125967" w:rsidRDefault="00806C34" w:rsidP="00125967">
      <w:r>
        <w:t xml:space="preserve">In reviewing </w:t>
      </w:r>
      <w:r w:rsidR="00851A52">
        <w:t xml:space="preserve">AUS Essential Principle </w:t>
      </w:r>
      <w:r>
        <w:t xml:space="preserve">11 we </w:t>
      </w:r>
      <w:r w:rsidR="009D4AB4">
        <w:t xml:space="preserve">have consulted with </w:t>
      </w:r>
      <w:r w:rsidR="00724952">
        <w:t>the Australian Radiation Protection and Nuclear Safety Agency (</w:t>
      </w:r>
      <w:r w:rsidR="009D4AB4">
        <w:t>ARPANSA</w:t>
      </w:r>
      <w:r w:rsidR="00724952">
        <w:t>)</w:t>
      </w:r>
      <w:r w:rsidR="009D4AB4">
        <w:t xml:space="preserve"> and </w:t>
      </w:r>
      <w:r w:rsidR="00EC0C74">
        <w:t>p</w:t>
      </w:r>
      <w:r w:rsidR="007D5E59">
        <w:t>ropose changes to</w:t>
      </w:r>
      <w:r w:rsidR="007D5E59" w:rsidRPr="00BE6AEF">
        <w:t xml:space="preserve"> </w:t>
      </w:r>
      <w:r w:rsidR="00851A52">
        <w:t xml:space="preserve">AUS Essential Principle </w:t>
      </w:r>
      <w:r w:rsidR="007D5E59">
        <w:t xml:space="preserve">11 to align with the </w:t>
      </w:r>
      <w:r w:rsidR="007C3BD0">
        <w:t>EU GSPRs</w:t>
      </w:r>
      <w:r w:rsidR="00576FFB">
        <w:t xml:space="preserve">. </w:t>
      </w:r>
    </w:p>
    <w:p w14:paraId="56B8297A" w14:textId="77777777" w:rsidR="00094ACA" w:rsidRDefault="00670444" w:rsidP="00670444">
      <w:r>
        <w:t xml:space="preserve">The proposals include changing the wording to </w:t>
      </w:r>
      <w:r w:rsidRPr="00C663A8">
        <w:t xml:space="preserve">refer to </w:t>
      </w:r>
      <w:r w:rsidRPr="009020F1">
        <w:t>ionising and non-ionising radiation</w:t>
      </w:r>
      <w:r w:rsidRPr="00C663A8">
        <w:t xml:space="preserve"> instead of visible and </w:t>
      </w:r>
      <w:r w:rsidR="00216A78">
        <w:t>in</w:t>
      </w:r>
      <w:r w:rsidRPr="00C663A8">
        <w:t xml:space="preserve">visible radiation (for consistency with </w:t>
      </w:r>
      <w:r>
        <w:t>EU GSPRs</w:t>
      </w:r>
      <w:r w:rsidRPr="00C663A8">
        <w:t xml:space="preserve"> and other Australian Regulations on radiation protection</w:t>
      </w:r>
      <w:r w:rsidRPr="004C08F8">
        <w:rPr>
          <w:rStyle w:val="FootnoteReference"/>
        </w:rPr>
        <w:footnoteReference w:id="7"/>
      </w:r>
      <w:r>
        <w:t xml:space="preserve">). </w:t>
      </w:r>
    </w:p>
    <w:p w14:paraId="03217FCA" w14:textId="77777777" w:rsidR="00094ACA" w:rsidRDefault="00094ACA" w:rsidP="00755DB9">
      <w:pPr>
        <w:pStyle w:val="Heading4"/>
      </w:pPr>
      <w:bookmarkStart w:id="46" w:name="_Toc173939961"/>
      <w:r>
        <w:t>AUS-specific proposal</w:t>
      </w:r>
      <w:bookmarkEnd w:id="46"/>
    </w:p>
    <w:p w14:paraId="4710583A" w14:textId="0B11B801" w:rsidR="00670444" w:rsidRDefault="00670444" w:rsidP="00670444">
      <w:r>
        <w:t xml:space="preserve">We have also included </w:t>
      </w:r>
      <w:r w:rsidR="00422586">
        <w:t>several</w:t>
      </w:r>
      <w:r>
        <w:t xml:space="preserve"> </w:t>
      </w:r>
      <w:r w:rsidR="00624EDF">
        <w:t xml:space="preserve">AUS-specific </w:t>
      </w:r>
      <w:r>
        <w:t xml:space="preserve">proposals </w:t>
      </w:r>
      <w:r w:rsidR="00216A78">
        <w:t xml:space="preserve">(under </w:t>
      </w:r>
      <w:r w:rsidR="00094ACA">
        <w:t xml:space="preserve">Proposal </w:t>
      </w:r>
      <w:r w:rsidR="00216A78">
        <w:t>6(b))</w:t>
      </w:r>
      <w:r w:rsidR="009569F9">
        <w:t xml:space="preserve">. These </w:t>
      </w:r>
      <w:r>
        <w:t xml:space="preserve">aim to clarify the </w:t>
      </w:r>
      <w:r w:rsidR="00370DEB">
        <w:t>expectation</w:t>
      </w:r>
      <w:r>
        <w:t xml:space="preserve"> of compliance with existing </w:t>
      </w:r>
      <w:r w:rsidR="00851A52">
        <w:t>AUS Essential Principles</w:t>
      </w:r>
      <w:r>
        <w:t xml:space="preserve">, </w:t>
      </w:r>
      <w:r w:rsidR="00422586">
        <w:t>from</w:t>
      </w:r>
      <w:r>
        <w:t>:</w:t>
      </w:r>
    </w:p>
    <w:p w14:paraId="36688949" w14:textId="09B8D6F3" w:rsidR="00670444" w:rsidRDefault="00851A52" w:rsidP="00670444">
      <w:pPr>
        <w:pStyle w:val="ListBullet"/>
      </w:pPr>
      <w:r w:rsidRPr="009569F9">
        <w:rPr>
          <w:b/>
          <w:bCs/>
        </w:rPr>
        <w:t xml:space="preserve">AUS Essential Principle </w:t>
      </w:r>
      <w:r w:rsidR="00670444" w:rsidRPr="009569F9">
        <w:rPr>
          <w:b/>
          <w:bCs/>
        </w:rPr>
        <w:t>9</w:t>
      </w:r>
      <w:r w:rsidR="00670444">
        <w:t>, regarding disposal of any waste products</w:t>
      </w:r>
    </w:p>
    <w:p w14:paraId="1652A4D1" w14:textId="131AEDE4" w:rsidR="00670444" w:rsidRDefault="00435E61" w:rsidP="00670444">
      <w:pPr>
        <w:pStyle w:val="ListBullet"/>
      </w:pPr>
      <w:r w:rsidRPr="009569F9">
        <w:rPr>
          <w:b/>
          <w:bCs/>
        </w:rPr>
        <w:t xml:space="preserve">AUS </w:t>
      </w:r>
      <w:r w:rsidR="00670444" w:rsidRPr="009569F9">
        <w:rPr>
          <w:b/>
          <w:bCs/>
        </w:rPr>
        <w:t xml:space="preserve">Essential </w:t>
      </w:r>
      <w:r w:rsidRPr="009569F9">
        <w:rPr>
          <w:b/>
          <w:bCs/>
        </w:rPr>
        <w:t>P</w:t>
      </w:r>
      <w:r w:rsidR="00670444" w:rsidRPr="009569F9">
        <w:rPr>
          <w:b/>
          <w:bCs/>
        </w:rPr>
        <w:t>rinciple 7</w:t>
      </w:r>
      <w:r w:rsidR="00670444">
        <w:t xml:space="preserve">, regarding risks associated with leaching, such as </w:t>
      </w:r>
      <w:r w:rsidR="00670444" w:rsidRPr="002F0419">
        <w:t xml:space="preserve">unintended radiation when in operation and any leakage of radiation when not in </w:t>
      </w:r>
      <w:proofErr w:type="gramStart"/>
      <w:r w:rsidR="00670444" w:rsidRPr="002F0419">
        <w:t>operation</w:t>
      </w:r>
      <w:proofErr w:type="gramEnd"/>
    </w:p>
    <w:p w14:paraId="1DCD69FA" w14:textId="3C57F590" w:rsidR="00670444" w:rsidRDefault="00851A52" w:rsidP="008C3DD0">
      <w:pPr>
        <w:pStyle w:val="ListBullet"/>
      </w:pPr>
      <w:r w:rsidRPr="009569F9">
        <w:rPr>
          <w:b/>
          <w:bCs/>
        </w:rPr>
        <w:t xml:space="preserve">AUS Essential Principle </w:t>
      </w:r>
      <w:r w:rsidR="00670444" w:rsidRPr="009569F9">
        <w:rPr>
          <w:b/>
          <w:bCs/>
        </w:rPr>
        <w:t>13</w:t>
      </w:r>
      <w:r w:rsidR="00670444">
        <w:t>, regarding inform</w:t>
      </w:r>
      <w:r w:rsidR="009569F9">
        <w:t>ing</w:t>
      </w:r>
      <w:r w:rsidR="00670444">
        <w:t xml:space="preserve"> users and patients of any warnings, precautions, </w:t>
      </w:r>
      <w:proofErr w:type="gramStart"/>
      <w:r w:rsidR="00670444">
        <w:t>contraindications</w:t>
      </w:r>
      <w:proofErr w:type="gramEnd"/>
      <w:r w:rsidR="00670444">
        <w:t xml:space="preserve"> </w:t>
      </w:r>
      <w:r w:rsidR="00670444" w:rsidRPr="00823754">
        <w:t>and measures to be taken in the event of a malfunction of the device or changes in its performance that may affect safety</w:t>
      </w:r>
      <w:r w:rsidR="00435E61">
        <w:t>.</w:t>
      </w:r>
    </w:p>
    <w:p w14:paraId="0A57E6E9" w14:textId="74ACFC80" w:rsidR="009569F9" w:rsidRDefault="009569F9" w:rsidP="008C3DD0">
      <w:pPr>
        <w:pStyle w:val="ListBullet"/>
      </w:pPr>
      <w:r>
        <w:rPr>
          <w:rStyle w:val="Strong"/>
        </w:rPr>
        <w:t>AUS Essential Principle 12.12,</w:t>
      </w:r>
      <w:r>
        <w:t xml:space="preserve"> regarding protection against risks associated with administration of energy or substances.</w:t>
      </w:r>
    </w:p>
    <w:p w14:paraId="72F1E470" w14:textId="75420521" w:rsidR="00670444" w:rsidRDefault="00CC06B1" w:rsidP="00125967">
      <w:r>
        <w:t>T</w:t>
      </w:r>
      <w:r w:rsidR="00914ACB">
        <w:t xml:space="preserve">hese </w:t>
      </w:r>
      <w:r>
        <w:t>are not</w:t>
      </w:r>
      <w:r w:rsidR="00914ACB">
        <w:t xml:space="preserve"> </w:t>
      </w:r>
      <w:r w:rsidR="00832010">
        <w:t xml:space="preserve">new </w:t>
      </w:r>
      <w:r w:rsidR="00914ACB" w:rsidRPr="00914ACB">
        <w:t>requirements</w:t>
      </w:r>
      <w:r w:rsidR="00914ACB">
        <w:t xml:space="preserve">, as manufacturers must comply with all relevant </w:t>
      </w:r>
      <w:r w:rsidR="00851A52">
        <w:t>AUS Essential Principles</w:t>
      </w:r>
      <w:r w:rsidR="00914ACB">
        <w:t>. As such</w:t>
      </w:r>
      <w:r w:rsidR="009569F9">
        <w:t>,</w:t>
      </w:r>
      <w:r w:rsidR="00914ACB">
        <w:t xml:space="preserve"> we are interested in your input</w:t>
      </w:r>
      <w:r w:rsidR="009569F9">
        <w:t xml:space="preserve"> </w:t>
      </w:r>
      <w:r w:rsidR="00914ACB">
        <w:t xml:space="preserve">as to whether inclusion of </w:t>
      </w:r>
      <w:r w:rsidR="009569F9">
        <w:t xml:space="preserve">reference to such </w:t>
      </w:r>
      <w:r w:rsidR="00914ACB">
        <w:t>clauses would be helpful in clarifying our expectation of compliance for devices that emit radiation.</w:t>
      </w:r>
    </w:p>
    <w:p w14:paraId="37DAF949" w14:textId="0E67DA92" w:rsidR="00447A62" w:rsidRDefault="00447A62" w:rsidP="00755DB9">
      <w:pPr>
        <w:pStyle w:val="Heading4"/>
      </w:pPr>
      <w:bookmarkStart w:id="47" w:name="_Toc173939962"/>
      <w:r>
        <w:t>Questions</w:t>
      </w:r>
      <w:bookmarkEnd w:id="47"/>
    </w:p>
    <w:tbl>
      <w:tblPr>
        <w:tblW w:w="9498" w:type="dxa"/>
        <w:tblLayout w:type="fixed"/>
        <w:tblCellMar>
          <w:left w:w="0" w:type="dxa"/>
          <w:right w:w="0" w:type="dxa"/>
        </w:tblCellMar>
        <w:tblLook w:val="04A0" w:firstRow="1" w:lastRow="0" w:firstColumn="1" w:lastColumn="0" w:noHBand="0" w:noVBand="1"/>
      </w:tblPr>
      <w:tblGrid>
        <w:gridCol w:w="1276"/>
        <w:gridCol w:w="8222"/>
      </w:tblGrid>
      <w:tr w:rsidR="0083277C" w:rsidRPr="009401F6" w14:paraId="3F35CF50" w14:textId="77777777" w:rsidTr="000F5309">
        <w:tc>
          <w:tcPr>
            <w:tcW w:w="1276" w:type="dxa"/>
            <w:vAlign w:val="center"/>
          </w:tcPr>
          <w:p w14:paraId="345B3E0B" w14:textId="77777777" w:rsidR="0083277C" w:rsidRPr="009401F6" w:rsidRDefault="0083277C" w:rsidP="000F5309">
            <w:r w:rsidRPr="00A004D1">
              <w:rPr>
                <w:noProof/>
              </w:rPr>
              <w:drawing>
                <wp:inline distT="0" distB="0" distL="0" distR="0" wp14:anchorId="0E5F0C01" wp14:editId="6F5C30F7">
                  <wp:extent cx="694944" cy="694944"/>
                  <wp:effectExtent l="0" t="0" r="0" b="0"/>
                  <wp:docPr id="5" name="Picture 5" descr="Image of a 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ge of a question mark."/>
                          <pic:cNvPicPr/>
                        </pic:nvPicPr>
                        <pic:blipFill>
                          <a:blip r:embed="rId16">
                            <a:extLst>
                              <a:ext uri="{28A0092B-C50C-407E-A947-70E740481C1C}">
                                <a14:useLocalDpi xmlns:a14="http://schemas.microsoft.com/office/drawing/2010/main" val="0"/>
                              </a:ext>
                            </a:extLst>
                          </a:blip>
                          <a:stretch>
                            <a:fillRect/>
                          </a:stretch>
                        </pic:blipFill>
                        <pic:spPr>
                          <a:xfrm>
                            <a:off x="0" y="0"/>
                            <a:ext cx="693466" cy="693466"/>
                          </a:xfrm>
                          <a:prstGeom prst="rect">
                            <a:avLst/>
                          </a:prstGeom>
                        </pic:spPr>
                      </pic:pic>
                    </a:graphicData>
                  </a:graphic>
                </wp:inline>
              </w:drawing>
            </w:r>
          </w:p>
        </w:tc>
        <w:tc>
          <w:tcPr>
            <w:tcW w:w="8222" w:type="dxa"/>
            <w:shd w:val="clear" w:color="auto" w:fill="EAEAEA"/>
            <w:tcMar>
              <w:top w:w="170" w:type="dxa"/>
              <w:left w:w="170" w:type="dxa"/>
              <w:bottom w:w="170" w:type="dxa"/>
              <w:right w:w="170" w:type="dxa"/>
            </w:tcMar>
            <w:vAlign w:val="center"/>
          </w:tcPr>
          <w:p w14:paraId="2B67FE8D" w14:textId="77777777" w:rsidR="0083277C" w:rsidRPr="00F96AB7" w:rsidRDefault="0083277C" w:rsidP="000F5309">
            <w:pPr>
              <w:rPr>
                <w:b/>
                <w:bCs/>
              </w:rPr>
            </w:pPr>
            <w:r w:rsidRPr="00F96AB7">
              <w:rPr>
                <w:b/>
                <w:bCs/>
              </w:rPr>
              <w:t>Proposal</w:t>
            </w:r>
            <w:r>
              <w:rPr>
                <w:b/>
                <w:bCs/>
              </w:rPr>
              <w:t xml:space="preserve"> 6:</w:t>
            </w:r>
            <w:r w:rsidRPr="00F96AB7">
              <w:rPr>
                <w:b/>
                <w:bCs/>
              </w:rPr>
              <w:t xml:space="preserve"> </w:t>
            </w:r>
            <w:r>
              <w:rPr>
                <w:b/>
                <w:bCs/>
              </w:rPr>
              <w:t xml:space="preserve">Amend AUS Essential Principle </w:t>
            </w:r>
            <w:r w:rsidRPr="00F96AB7">
              <w:rPr>
                <w:b/>
                <w:bCs/>
              </w:rPr>
              <w:t>11</w:t>
            </w:r>
          </w:p>
          <w:p w14:paraId="4F9D2902" w14:textId="17453C48" w:rsidR="0083277C" w:rsidRDefault="0083277C" w:rsidP="00720585">
            <w:pPr>
              <w:pStyle w:val="Legislativeletterbullet"/>
              <w:numPr>
                <w:ilvl w:val="0"/>
                <w:numId w:val="17"/>
              </w:numPr>
            </w:pPr>
            <w:r w:rsidRPr="00DA2298">
              <w:t xml:space="preserve">Do </w:t>
            </w:r>
            <w:r w:rsidRPr="00110EB2">
              <w:t xml:space="preserve">you agree </w:t>
            </w:r>
            <w:r>
              <w:t xml:space="preserve">with the proposal </w:t>
            </w:r>
            <w:r w:rsidRPr="00110EB2">
              <w:t xml:space="preserve">to adopt the intent of the </w:t>
            </w:r>
            <w:r>
              <w:t>EU GSPR</w:t>
            </w:r>
            <w:r w:rsidRPr="00110EB2">
              <w:t xml:space="preserve">s, related to </w:t>
            </w:r>
            <w:r>
              <w:t>AUS Essential Principle 11</w:t>
            </w:r>
            <w:r w:rsidRPr="00110EB2">
              <w:t>?</w:t>
            </w:r>
            <w:r w:rsidRPr="003609F5">
              <w:t xml:space="preserve"> </w:t>
            </w:r>
          </w:p>
          <w:p w14:paraId="5B3B1DFF" w14:textId="5DA1758B" w:rsidR="0083277C" w:rsidRDefault="0083277C" w:rsidP="00720585">
            <w:pPr>
              <w:pStyle w:val="Legislativeletterbullet"/>
              <w:numPr>
                <w:ilvl w:val="0"/>
                <w:numId w:val="17"/>
              </w:numPr>
            </w:pPr>
            <w:r w:rsidRPr="00280787">
              <w:rPr>
                <w:color w:val="auto"/>
                <w:u w:val="single"/>
              </w:rPr>
              <w:t>AUS-specific:</w:t>
            </w:r>
            <w:r w:rsidRPr="00280787">
              <w:rPr>
                <w:color w:val="auto"/>
              </w:rPr>
              <w:t xml:space="preserve"> </w:t>
            </w:r>
            <w:r w:rsidR="00370DEB" w:rsidRPr="00370DEB">
              <w:t xml:space="preserve">Do you agree that AUS Essential Principle 11 </w:t>
            </w:r>
            <w:r w:rsidR="00370DEB">
              <w:t xml:space="preserve">should </w:t>
            </w:r>
            <w:r w:rsidR="00370DEB" w:rsidRPr="00370DEB">
              <w:t>re-iterate requirements from AUS Essential Principle</w:t>
            </w:r>
            <w:r w:rsidR="00D63C0D">
              <w:t>s</w:t>
            </w:r>
            <w:r w:rsidR="00370DEB" w:rsidRPr="00370DEB">
              <w:t xml:space="preserve"> 7, 9, 12 and 1</w:t>
            </w:r>
            <w:r>
              <w:t xml:space="preserve">? </w:t>
            </w:r>
          </w:p>
          <w:p w14:paraId="7C936FD2" w14:textId="21B18D41" w:rsidR="0083277C" w:rsidRPr="00256A0C" w:rsidRDefault="00370DEB" w:rsidP="000F5309">
            <w:pPr>
              <w:pStyle w:val="Legislativeletterbullet"/>
            </w:pPr>
            <w:r w:rsidRPr="00370DEB">
              <w:t>If you think other changes are needed for AUS Essential Principle 11, explain</w:t>
            </w:r>
            <w:r w:rsidR="0083277C">
              <w:t>.</w:t>
            </w:r>
          </w:p>
        </w:tc>
      </w:tr>
    </w:tbl>
    <w:p w14:paraId="500B4583" w14:textId="350B2C31" w:rsidR="0049296D" w:rsidRPr="00E90A72" w:rsidRDefault="00C850A0" w:rsidP="0083277C">
      <w:pPr>
        <w:pStyle w:val="Heading3"/>
        <w:keepNext w:val="0"/>
      </w:pPr>
      <w:bookmarkStart w:id="48" w:name="_Proposal_7:_Amend"/>
      <w:bookmarkStart w:id="49" w:name="_Toc168309848"/>
      <w:bookmarkStart w:id="50" w:name="_Toc173939963"/>
      <w:bookmarkEnd w:id="48"/>
      <w:r>
        <w:t xml:space="preserve">Proposal </w:t>
      </w:r>
      <w:r w:rsidR="0000205C">
        <w:t>7</w:t>
      </w:r>
      <w:r>
        <w:t>:</w:t>
      </w:r>
      <w:r w:rsidR="0049296D">
        <w:t xml:space="preserve"> Amend </w:t>
      </w:r>
      <w:r w:rsidR="00851A52">
        <w:t xml:space="preserve">AUS Essential Principle </w:t>
      </w:r>
      <w:r w:rsidR="0049296D">
        <w:t>12</w:t>
      </w:r>
      <w:r w:rsidR="00481806">
        <w:t xml:space="preserve"> – </w:t>
      </w:r>
      <w:r w:rsidR="0049296D">
        <w:t xml:space="preserve">Medical devices connected to or equipped with an energy </w:t>
      </w:r>
      <w:proofErr w:type="gramStart"/>
      <w:r w:rsidR="0049296D">
        <w:t>source</w:t>
      </w:r>
      <w:bookmarkEnd w:id="49"/>
      <w:bookmarkEnd w:id="50"/>
      <w:proofErr w:type="gramEnd"/>
    </w:p>
    <w:p w14:paraId="31952738" w14:textId="0F3F22A3" w:rsidR="0006612C" w:rsidRDefault="0006612C" w:rsidP="0083277C">
      <w:r>
        <w:t xml:space="preserve">The </w:t>
      </w:r>
      <w:r w:rsidR="007C3BD0">
        <w:t>EU GSPRs</w:t>
      </w:r>
      <w:r>
        <w:t xml:space="preserve"> related to this </w:t>
      </w:r>
      <w:r w:rsidR="00851A52">
        <w:t xml:space="preserve">AUS Essential Principle </w:t>
      </w:r>
      <w:r>
        <w:t xml:space="preserve">expand </w:t>
      </w:r>
      <w:r w:rsidR="00CC06B1">
        <w:t xml:space="preserve">its </w:t>
      </w:r>
      <w:r>
        <w:t xml:space="preserve">scope or provide clarity, for which we propose to adopt a similar intent, are </w:t>
      </w:r>
      <w:r w:rsidR="008830C7">
        <w:t xml:space="preserve">listed in </w:t>
      </w:r>
      <w:r w:rsidR="008830C7" w:rsidRPr="008830C7">
        <w:rPr>
          <w:b/>
          <w:bCs/>
        </w:rPr>
        <w:t>Attachment 1</w:t>
      </w:r>
      <w:r w:rsidRPr="008830C7">
        <w:rPr>
          <w:b/>
          <w:bCs/>
        </w:rPr>
        <w:t>.</w:t>
      </w:r>
    </w:p>
    <w:p w14:paraId="632A041E" w14:textId="3365338F" w:rsidR="00447A62" w:rsidRDefault="00447A62" w:rsidP="000D6936">
      <w:pPr>
        <w:pStyle w:val="Heading4"/>
      </w:pPr>
      <w:bookmarkStart w:id="51" w:name="_Toc173939964"/>
      <w:r>
        <w:t>Questions</w:t>
      </w:r>
      <w:bookmarkEnd w:id="51"/>
    </w:p>
    <w:tbl>
      <w:tblPr>
        <w:tblW w:w="9038" w:type="dxa"/>
        <w:tblLayout w:type="fixed"/>
        <w:tblCellMar>
          <w:left w:w="0" w:type="dxa"/>
          <w:right w:w="0" w:type="dxa"/>
        </w:tblCellMar>
        <w:tblLook w:val="04A0" w:firstRow="1" w:lastRow="0" w:firstColumn="1" w:lastColumn="0" w:noHBand="0" w:noVBand="1"/>
      </w:tblPr>
      <w:tblGrid>
        <w:gridCol w:w="1276"/>
        <w:gridCol w:w="7762"/>
      </w:tblGrid>
      <w:tr w:rsidR="00067563" w:rsidRPr="009401F6" w14:paraId="495FB943" w14:textId="77777777" w:rsidTr="751C0673">
        <w:tc>
          <w:tcPr>
            <w:tcW w:w="1276" w:type="dxa"/>
            <w:vAlign w:val="center"/>
          </w:tcPr>
          <w:p w14:paraId="34859ECE" w14:textId="77777777" w:rsidR="00067563" w:rsidRPr="009401F6" w:rsidRDefault="00067563" w:rsidP="00480C5E">
            <w:pPr>
              <w:keepNext/>
            </w:pPr>
            <w:r w:rsidRPr="00A004D1">
              <w:rPr>
                <w:noProof/>
              </w:rPr>
              <w:drawing>
                <wp:inline distT="0" distB="0" distL="0" distR="0" wp14:anchorId="28CE564E" wp14:editId="3E7CA92F">
                  <wp:extent cx="694944" cy="694944"/>
                  <wp:effectExtent l="0" t="0" r="0" b="0"/>
                  <wp:docPr id="12" name="Picture 12" descr="Image of a 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age of a question mark."/>
                          <pic:cNvPicPr/>
                        </pic:nvPicPr>
                        <pic:blipFill>
                          <a:blip r:embed="rId16">
                            <a:extLst>
                              <a:ext uri="{28A0092B-C50C-407E-A947-70E740481C1C}">
                                <a14:useLocalDpi xmlns:a14="http://schemas.microsoft.com/office/drawing/2010/main" val="0"/>
                              </a:ext>
                            </a:extLst>
                          </a:blip>
                          <a:stretch>
                            <a:fillRect/>
                          </a:stretch>
                        </pic:blipFill>
                        <pic:spPr>
                          <a:xfrm>
                            <a:off x="0" y="0"/>
                            <a:ext cx="693466" cy="693466"/>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52A0162" w14:textId="42DD7E31" w:rsidR="00067563" w:rsidRPr="00F96AB7" w:rsidRDefault="00067563" w:rsidP="00480C5E">
            <w:pPr>
              <w:keepNext/>
              <w:rPr>
                <w:b/>
                <w:bCs/>
              </w:rPr>
            </w:pPr>
            <w:r w:rsidRPr="00F96AB7">
              <w:rPr>
                <w:b/>
                <w:bCs/>
              </w:rPr>
              <w:t xml:space="preserve">Proposal </w:t>
            </w:r>
            <w:r w:rsidR="0000205C">
              <w:rPr>
                <w:b/>
                <w:bCs/>
              </w:rPr>
              <w:t>7</w:t>
            </w:r>
            <w:r w:rsidR="00C850A0">
              <w:rPr>
                <w:b/>
                <w:bCs/>
              </w:rPr>
              <w:t>: Amend</w:t>
            </w:r>
            <w:r w:rsidRPr="00F96AB7">
              <w:rPr>
                <w:b/>
                <w:bCs/>
              </w:rPr>
              <w:t xml:space="preserve"> </w:t>
            </w:r>
            <w:r w:rsidR="00851A52">
              <w:rPr>
                <w:b/>
                <w:bCs/>
              </w:rPr>
              <w:t xml:space="preserve">AUS Essential Principle </w:t>
            </w:r>
            <w:r w:rsidRPr="00F96AB7">
              <w:rPr>
                <w:b/>
                <w:bCs/>
              </w:rPr>
              <w:t>12</w:t>
            </w:r>
          </w:p>
          <w:p w14:paraId="1381CDA7" w14:textId="2DDDF3C4" w:rsidR="00920E4B" w:rsidRPr="00920E4B" w:rsidRDefault="00511EB7" w:rsidP="00720585">
            <w:pPr>
              <w:pStyle w:val="Legislativeletterbullet"/>
              <w:keepNext/>
              <w:numPr>
                <w:ilvl w:val="0"/>
                <w:numId w:val="20"/>
              </w:numPr>
            </w:pPr>
            <w:r w:rsidRPr="00DA2298">
              <w:t xml:space="preserve">Do </w:t>
            </w:r>
            <w:r w:rsidRPr="00110EB2">
              <w:t xml:space="preserve">you agree </w:t>
            </w:r>
            <w:r w:rsidR="00C30D99">
              <w:t xml:space="preserve">with the proposal </w:t>
            </w:r>
            <w:r w:rsidRPr="00110EB2">
              <w:t xml:space="preserve">to adopt the intent of the </w:t>
            </w:r>
            <w:r w:rsidR="00FC07DD">
              <w:t>EU GSPR</w:t>
            </w:r>
            <w:r w:rsidRPr="00110EB2">
              <w:t xml:space="preserve">s, related to </w:t>
            </w:r>
            <w:r w:rsidR="00851A52">
              <w:t xml:space="preserve">AUS Essential Principle </w:t>
            </w:r>
            <w:r>
              <w:t>12</w:t>
            </w:r>
            <w:r w:rsidRPr="00920E4B">
              <w:t xml:space="preserve">? </w:t>
            </w:r>
          </w:p>
          <w:p w14:paraId="1EAC0C47" w14:textId="3384AE36" w:rsidR="00067563" w:rsidRPr="00256A0C" w:rsidRDefault="00370DEB" w:rsidP="00480C5E">
            <w:pPr>
              <w:pStyle w:val="Legislativeletterbullet"/>
              <w:keepNext/>
            </w:pPr>
            <w:r w:rsidRPr="00370DEB">
              <w:t>If you think other changes are needed for AUS Essential Principle 1</w:t>
            </w:r>
            <w:r>
              <w:t>2</w:t>
            </w:r>
            <w:r w:rsidRPr="00370DEB">
              <w:t>,</w:t>
            </w:r>
            <w:r w:rsidR="003644E9">
              <w:t xml:space="preserve"> </w:t>
            </w:r>
            <w:r w:rsidRPr="00370DEB">
              <w:t>explain</w:t>
            </w:r>
            <w:r w:rsidR="00067563">
              <w:t>.</w:t>
            </w:r>
          </w:p>
        </w:tc>
      </w:tr>
    </w:tbl>
    <w:p w14:paraId="619C60C9" w14:textId="040EBD9F" w:rsidR="00C44182" w:rsidRDefault="00C44182" w:rsidP="00C44182">
      <w:pPr>
        <w:pStyle w:val="Heading3"/>
      </w:pPr>
      <w:bookmarkStart w:id="52" w:name="_Proposal_8:_Amend"/>
      <w:bookmarkStart w:id="53" w:name="_Toc168309849"/>
      <w:bookmarkStart w:id="54" w:name="_Toc173939965"/>
      <w:bookmarkEnd w:id="52"/>
      <w:r>
        <w:t xml:space="preserve">Proposal 8: Amend </w:t>
      </w:r>
      <w:r w:rsidR="00851A52">
        <w:t xml:space="preserve">AUS Essential Principle </w:t>
      </w:r>
      <w:r>
        <w:t>15</w:t>
      </w:r>
      <w:bookmarkEnd w:id="53"/>
      <w:r w:rsidR="00F34EC3">
        <w:t xml:space="preserve"> – </w:t>
      </w:r>
      <w:r w:rsidR="003C4E81">
        <w:t>IVD</w:t>
      </w:r>
      <w:r w:rsidR="00F34EC3">
        <w:t xml:space="preserve"> medical devices</w:t>
      </w:r>
      <w:r>
        <w:t xml:space="preserve"> </w:t>
      </w:r>
      <w:proofErr w:type="gramStart"/>
      <w:r w:rsidR="003C4E81">
        <w:t>only</w:t>
      </w:r>
      <w:bookmarkEnd w:id="54"/>
      <w:proofErr w:type="gramEnd"/>
    </w:p>
    <w:p w14:paraId="4739E05A" w14:textId="703A4580" w:rsidR="00C44182" w:rsidRDefault="00C44182" w:rsidP="00C44182">
      <w:r>
        <w:t xml:space="preserve">The </w:t>
      </w:r>
      <w:r w:rsidR="007C3BD0">
        <w:t>EU GSPRs</w:t>
      </w:r>
      <w:r>
        <w:t xml:space="preserve"> related to </w:t>
      </w:r>
      <w:r w:rsidR="00851A52">
        <w:t xml:space="preserve">AUS Essential Principle </w:t>
      </w:r>
      <w:r>
        <w:t xml:space="preserve">15, Principles applying to IVD medical devices only, which expand the scope or provide clarity for which we propose to adopt a similar intent, are </w:t>
      </w:r>
      <w:r w:rsidR="008830C7">
        <w:t xml:space="preserve">listed in </w:t>
      </w:r>
      <w:r w:rsidR="008830C7" w:rsidRPr="008830C7">
        <w:rPr>
          <w:b/>
          <w:bCs/>
        </w:rPr>
        <w:t>Attachment 1</w:t>
      </w:r>
      <w:r>
        <w:t>.</w:t>
      </w:r>
    </w:p>
    <w:p w14:paraId="255F5164" w14:textId="6F7405B6" w:rsidR="007951D2" w:rsidRDefault="004C3973" w:rsidP="007951D2">
      <w:pPr>
        <w:pStyle w:val="Heading4"/>
      </w:pPr>
      <w:bookmarkStart w:id="55" w:name="_Toc173939966"/>
      <w:r>
        <w:t>AUS-specific proposal</w:t>
      </w:r>
      <w:bookmarkEnd w:id="55"/>
    </w:p>
    <w:p w14:paraId="30DF8FBC" w14:textId="6677617C" w:rsidR="000A70DC" w:rsidRDefault="009E1575" w:rsidP="00F603A1">
      <w:r>
        <w:t>Proposal 8(b) includes alignment with t</w:t>
      </w:r>
      <w:r w:rsidR="00DD6B14">
        <w:t>he EU IVDR GSPR 19</w:t>
      </w:r>
      <w:r w:rsidR="0088191A">
        <w:t>.3</w:t>
      </w:r>
      <w:r>
        <w:t>. This requires</w:t>
      </w:r>
      <w:r w:rsidR="00DD6B14">
        <w:t xml:space="preserve"> </w:t>
      </w:r>
      <w:r w:rsidR="000D6936">
        <w:t xml:space="preserve">IVD medical </w:t>
      </w:r>
      <w:r w:rsidR="00DD6B14">
        <w:t xml:space="preserve">devices intended for self-testing or near-patient testing include in the instruction for use </w:t>
      </w:r>
      <w:r w:rsidR="00020BEF">
        <w:t>a procedure b</w:t>
      </w:r>
      <w:r w:rsidR="00DD6B14">
        <w:t>y which the intended user</w:t>
      </w:r>
      <w:r w:rsidR="000A70DC">
        <w:t>:</w:t>
      </w:r>
      <w:r w:rsidR="00DD6B14">
        <w:t xml:space="preserve"> </w:t>
      </w:r>
    </w:p>
    <w:p w14:paraId="089AAFBC" w14:textId="0A6A8A55" w:rsidR="000A70DC" w:rsidRDefault="000A70DC" w:rsidP="000A70DC">
      <w:pPr>
        <w:pStyle w:val="Numberbullet3"/>
      </w:pPr>
      <w:r>
        <w:t xml:space="preserve">be able to verify </w:t>
      </w:r>
      <w:r w:rsidR="00DD6B14">
        <w:t>at the time of use the device the device will perform as intended</w:t>
      </w:r>
      <w:r w:rsidR="00D63C0D">
        <w:t xml:space="preserve"> by the manufacturer</w:t>
      </w:r>
      <w:r w:rsidR="00DD6B14">
        <w:t xml:space="preserve"> and </w:t>
      </w:r>
    </w:p>
    <w:p w14:paraId="04C67DEF" w14:textId="3C66F5E1" w:rsidR="00DD6B14" w:rsidRDefault="00DD6B14" w:rsidP="000A70DC">
      <w:pPr>
        <w:pStyle w:val="Numberbullet3"/>
      </w:pPr>
      <w:r>
        <w:t>be warned if the device has failed to provide a valid result.</w:t>
      </w:r>
    </w:p>
    <w:p w14:paraId="7982ABF8" w14:textId="2089BD9E" w:rsidR="00DD6B14" w:rsidRDefault="00851A52" w:rsidP="00F603A1">
      <w:r>
        <w:t xml:space="preserve">AUS Essential Principle </w:t>
      </w:r>
      <w:r w:rsidR="00DD6B14">
        <w:t xml:space="preserve">15(4) </w:t>
      </w:r>
      <w:r w:rsidR="009E1575">
        <w:t xml:space="preserve">currently </w:t>
      </w:r>
      <w:r w:rsidR="00DD6B14">
        <w:t xml:space="preserve">requires </w:t>
      </w:r>
      <w:r w:rsidR="009E1575">
        <w:t xml:space="preserve">that </w:t>
      </w:r>
      <w:r w:rsidR="00DD6B14">
        <w:t>all IVD devices must</w:t>
      </w:r>
      <w:r w:rsidR="00385530">
        <w:t>,</w:t>
      </w:r>
      <w:r w:rsidR="00DD6B14">
        <w:t xml:space="preserve"> to the extent possible, include provision for the user to verify, at the time of use, that the device will perform as intended. We consider this to be a fundamental requirement of all IVD devices</w:t>
      </w:r>
      <w:r w:rsidR="00020BEF">
        <w:t>, so we do not propose to amend th</w:t>
      </w:r>
      <w:r w:rsidR="000D6936">
        <w:t>e existing AUS Essential Principle</w:t>
      </w:r>
      <w:r w:rsidR="00020BEF">
        <w:t xml:space="preserve"> to only apply to devices intended for self-testing or point of care testing</w:t>
      </w:r>
      <w:r w:rsidR="009E1575">
        <w:t>, as in EU IVDR GSPR 19.3</w:t>
      </w:r>
      <w:r w:rsidR="00020BEF">
        <w:t>.</w:t>
      </w:r>
    </w:p>
    <w:p w14:paraId="788174D3" w14:textId="7E00008D" w:rsidR="00DD6B14" w:rsidRDefault="00DD6B14" w:rsidP="00F603A1">
      <w:r>
        <w:t>Likewise, we consider that all IVD devices</w:t>
      </w:r>
      <w:r w:rsidR="000A70DC">
        <w:t xml:space="preserve"> must, to the extent possible, </w:t>
      </w:r>
      <w:r>
        <w:t xml:space="preserve">include </w:t>
      </w:r>
      <w:r w:rsidR="00020BEF">
        <w:t>a procedure by which the intended user</w:t>
      </w:r>
      <w:r>
        <w:t xml:space="preserve"> </w:t>
      </w:r>
      <w:r w:rsidR="0083277C">
        <w:t>is</w:t>
      </w:r>
      <w:r w:rsidR="00020BEF">
        <w:t xml:space="preserve"> warned if the device has failed to provide a valid result. </w:t>
      </w:r>
      <w:r w:rsidR="000A70DC">
        <w:t>Hence, we</w:t>
      </w:r>
      <w:r w:rsidR="00020BEF">
        <w:t xml:space="preserve"> propos</w:t>
      </w:r>
      <w:r w:rsidR="000A70DC">
        <w:t>e</w:t>
      </w:r>
      <w:r w:rsidR="00020BEF">
        <w:t xml:space="preserve"> to include this requirement within </w:t>
      </w:r>
      <w:r w:rsidR="00851A52">
        <w:t xml:space="preserve">AUS Essential Principle </w:t>
      </w:r>
      <w:r w:rsidR="00020BEF">
        <w:t>15,</w:t>
      </w:r>
      <w:r w:rsidR="000A70DC">
        <w:t xml:space="preserve"> to apply</w:t>
      </w:r>
      <w:r w:rsidR="00020BEF">
        <w:t xml:space="preserve"> to all IVD devices</w:t>
      </w:r>
      <w:r w:rsidR="000A70DC">
        <w:t xml:space="preserve">. </w:t>
      </w:r>
    </w:p>
    <w:p w14:paraId="70675A7D" w14:textId="0494E59C" w:rsidR="00447A62" w:rsidRDefault="00447A62" w:rsidP="00755DB9">
      <w:pPr>
        <w:pStyle w:val="Heading4"/>
      </w:pPr>
      <w:bookmarkStart w:id="56" w:name="_Toc173939967"/>
      <w:r>
        <w:t>Questions</w:t>
      </w:r>
      <w:bookmarkEnd w:id="56"/>
    </w:p>
    <w:tbl>
      <w:tblPr>
        <w:tblW w:w="9038" w:type="dxa"/>
        <w:tblLayout w:type="fixed"/>
        <w:tblCellMar>
          <w:left w:w="0" w:type="dxa"/>
          <w:right w:w="0" w:type="dxa"/>
        </w:tblCellMar>
        <w:tblLook w:val="04A0" w:firstRow="1" w:lastRow="0" w:firstColumn="1" w:lastColumn="0" w:noHBand="0" w:noVBand="1"/>
      </w:tblPr>
      <w:tblGrid>
        <w:gridCol w:w="1276"/>
        <w:gridCol w:w="7762"/>
      </w:tblGrid>
      <w:tr w:rsidR="00C44182" w:rsidRPr="009401F6" w14:paraId="2F13052D" w14:textId="77777777" w:rsidTr="0062211B">
        <w:tc>
          <w:tcPr>
            <w:tcW w:w="1276" w:type="dxa"/>
            <w:vAlign w:val="center"/>
          </w:tcPr>
          <w:p w14:paraId="1260B4AA" w14:textId="77777777" w:rsidR="00C44182" w:rsidRPr="009401F6" w:rsidRDefault="00C44182" w:rsidP="0062211B">
            <w:r w:rsidRPr="00A004D1">
              <w:rPr>
                <w:noProof/>
              </w:rPr>
              <w:drawing>
                <wp:inline distT="0" distB="0" distL="0" distR="0" wp14:anchorId="07BA67C4" wp14:editId="12ED8CD5">
                  <wp:extent cx="694944" cy="694944"/>
                  <wp:effectExtent l="0" t="0" r="0" b="0"/>
                  <wp:docPr id="20" name="Picture 20" descr="Image of a 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mage of a question mark."/>
                          <pic:cNvPicPr/>
                        </pic:nvPicPr>
                        <pic:blipFill>
                          <a:blip r:embed="rId16">
                            <a:extLst>
                              <a:ext uri="{28A0092B-C50C-407E-A947-70E740481C1C}">
                                <a14:useLocalDpi xmlns:a14="http://schemas.microsoft.com/office/drawing/2010/main" val="0"/>
                              </a:ext>
                            </a:extLst>
                          </a:blip>
                          <a:stretch>
                            <a:fillRect/>
                          </a:stretch>
                        </pic:blipFill>
                        <pic:spPr>
                          <a:xfrm>
                            <a:off x="0" y="0"/>
                            <a:ext cx="693466" cy="693466"/>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2FF9AAD" w14:textId="644F3CE0" w:rsidR="00C44182" w:rsidRPr="00F96AB7" w:rsidRDefault="00C44182" w:rsidP="0062211B">
            <w:pPr>
              <w:rPr>
                <w:b/>
                <w:bCs/>
              </w:rPr>
            </w:pPr>
            <w:r w:rsidRPr="00F96AB7">
              <w:rPr>
                <w:b/>
                <w:bCs/>
              </w:rPr>
              <w:t xml:space="preserve">Proposal </w:t>
            </w:r>
            <w:r>
              <w:rPr>
                <w:b/>
                <w:bCs/>
              </w:rPr>
              <w:t>8:</w:t>
            </w:r>
            <w:r w:rsidRPr="00F96AB7">
              <w:rPr>
                <w:b/>
                <w:bCs/>
              </w:rPr>
              <w:t xml:space="preserve"> </w:t>
            </w:r>
            <w:r>
              <w:rPr>
                <w:b/>
                <w:bCs/>
              </w:rPr>
              <w:t xml:space="preserve">Amend </w:t>
            </w:r>
            <w:r w:rsidR="00851A52">
              <w:rPr>
                <w:b/>
                <w:bCs/>
              </w:rPr>
              <w:t xml:space="preserve">AUS Essential Principle </w:t>
            </w:r>
            <w:r w:rsidRPr="00F96AB7">
              <w:rPr>
                <w:b/>
                <w:bCs/>
              </w:rPr>
              <w:t>1</w:t>
            </w:r>
            <w:r>
              <w:rPr>
                <w:b/>
                <w:bCs/>
              </w:rPr>
              <w:t>5</w:t>
            </w:r>
          </w:p>
          <w:p w14:paraId="42DDAC2C" w14:textId="699D4A16" w:rsidR="00C44182" w:rsidRPr="00356B00" w:rsidRDefault="00C44182" w:rsidP="00720585">
            <w:pPr>
              <w:pStyle w:val="Legislativeletterbullet"/>
              <w:numPr>
                <w:ilvl w:val="0"/>
                <w:numId w:val="27"/>
              </w:numPr>
            </w:pPr>
            <w:r w:rsidRPr="00356B00">
              <w:t xml:space="preserve">Do you agree </w:t>
            </w:r>
            <w:r>
              <w:t xml:space="preserve">with the proposal </w:t>
            </w:r>
            <w:r w:rsidRPr="00356B00">
              <w:t xml:space="preserve">to adopt the intent of the </w:t>
            </w:r>
            <w:r w:rsidR="00FC07DD">
              <w:t>EU GSPR</w:t>
            </w:r>
            <w:r w:rsidRPr="00356B00">
              <w:t xml:space="preserve">s, related to </w:t>
            </w:r>
            <w:r w:rsidR="00851A52">
              <w:t xml:space="preserve">AUS Essential Principle </w:t>
            </w:r>
            <w:r>
              <w:t>15</w:t>
            </w:r>
            <w:r w:rsidRPr="00356B00">
              <w:t xml:space="preserve">? </w:t>
            </w:r>
          </w:p>
          <w:p w14:paraId="31F66535" w14:textId="12ED2AC3" w:rsidR="00020BEF" w:rsidRDefault="00020BEF" w:rsidP="00720585">
            <w:pPr>
              <w:pStyle w:val="Legislativeletterbullet"/>
              <w:numPr>
                <w:ilvl w:val="0"/>
                <w:numId w:val="27"/>
              </w:numPr>
            </w:pPr>
            <w:r w:rsidRPr="00280787">
              <w:rPr>
                <w:color w:val="auto"/>
                <w:u w:val="single"/>
              </w:rPr>
              <w:t>AUS-specific:</w:t>
            </w:r>
            <w:r w:rsidRPr="00280787">
              <w:rPr>
                <w:color w:val="auto"/>
              </w:rPr>
              <w:t xml:space="preserve"> </w:t>
            </w:r>
            <w:r w:rsidR="007951D2" w:rsidRPr="007951D2">
              <w:t>Do you agree to adopt the intention of IVDR GSPR 19.3</w:t>
            </w:r>
            <w:r w:rsidR="0088191A">
              <w:t xml:space="preserve">, </w:t>
            </w:r>
            <w:r w:rsidR="007951D2" w:rsidRPr="007951D2">
              <w:t xml:space="preserve">but to apply the requirements to </w:t>
            </w:r>
            <w:r w:rsidR="0088191A" w:rsidRPr="0088191A">
              <w:rPr>
                <w:u w:val="single"/>
              </w:rPr>
              <w:t>all</w:t>
            </w:r>
            <w:r w:rsidR="007951D2" w:rsidRPr="007951D2">
              <w:t xml:space="preserve"> IVD devices?</w:t>
            </w:r>
          </w:p>
          <w:p w14:paraId="52A56B52" w14:textId="041C1EEB" w:rsidR="00C44182" w:rsidRPr="00256A0C" w:rsidRDefault="004C3973" w:rsidP="00720585">
            <w:pPr>
              <w:pStyle w:val="Legislativeletterbullet"/>
              <w:numPr>
                <w:ilvl w:val="0"/>
                <w:numId w:val="27"/>
              </w:numPr>
            </w:pPr>
            <w:r w:rsidRPr="004C3973">
              <w:t>If you think other changes are needed for AUS Essential Principle 15, explain</w:t>
            </w:r>
            <w:r w:rsidR="00C44182">
              <w:t>.</w:t>
            </w:r>
          </w:p>
        </w:tc>
      </w:tr>
    </w:tbl>
    <w:p w14:paraId="52E4D5AF" w14:textId="4D330101" w:rsidR="00C44182" w:rsidRPr="00C44182" w:rsidRDefault="00C44182" w:rsidP="00C44182">
      <w:pPr>
        <w:pStyle w:val="Heading2"/>
      </w:pPr>
      <w:bookmarkStart w:id="57" w:name="_Toc168309850"/>
      <w:bookmarkStart w:id="58" w:name="_Hlk164245803"/>
      <w:bookmarkStart w:id="59" w:name="_Toc173939968"/>
      <w:r>
        <w:t xml:space="preserve">Information supplied by the manufacturer: </w:t>
      </w:r>
      <w:r w:rsidR="00851A52">
        <w:t xml:space="preserve">AUS Essential Principle </w:t>
      </w:r>
      <w:r>
        <w:t>13</w:t>
      </w:r>
      <w:bookmarkEnd w:id="57"/>
      <w:bookmarkEnd w:id="59"/>
    </w:p>
    <w:p w14:paraId="130160DE" w14:textId="62D26BD3" w:rsidR="0049296D" w:rsidRPr="00E90A72" w:rsidRDefault="00C850A0" w:rsidP="005D0840">
      <w:pPr>
        <w:pStyle w:val="Heading3"/>
      </w:pPr>
      <w:bookmarkStart w:id="60" w:name="_Proposal_9:_Amend_1"/>
      <w:bookmarkStart w:id="61" w:name="_Toc168309851"/>
      <w:bookmarkStart w:id="62" w:name="_Toc173939969"/>
      <w:bookmarkEnd w:id="58"/>
      <w:bookmarkEnd w:id="60"/>
      <w:r>
        <w:t xml:space="preserve">Proposal </w:t>
      </w:r>
      <w:r w:rsidR="00C44182">
        <w:t>9</w:t>
      </w:r>
      <w:r>
        <w:t>:</w:t>
      </w:r>
      <w:r w:rsidR="0049296D">
        <w:t xml:space="preserve"> Amend </w:t>
      </w:r>
      <w:r w:rsidR="00851A52">
        <w:t xml:space="preserve">AUS Essential Principle </w:t>
      </w:r>
      <w:r w:rsidR="0049296D">
        <w:t>13</w:t>
      </w:r>
      <w:r w:rsidR="006826DA">
        <w:t xml:space="preserve">.1 </w:t>
      </w:r>
      <w:r w:rsidR="000D7037">
        <w:t>(General labelling)</w:t>
      </w:r>
      <w:bookmarkEnd w:id="61"/>
      <w:bookmarkEnd w:id="62"/>
    </w:p>
    <w:p w14:paraId="5E472D07" w14:textId="589D4250" w:rsidR="0006612C" w:rsidRDefault="0006612C" w:rsidP="0006612C">
      <w:bookmarkStart w:id="63" w:name="_Hlk159232126"/>
      <w:r>
        <w:t xml:space="preserve">The </w:t>
      </w:r>
      <w:r w:rsidR="007C3BD0">
        <w:t>EU GSPRs</w:t>
      </w:r>
      <w:r>
        <w:t xml:space="preserve"> related to this </w:t>
      </w:r>
      <w:r w:rsidR="00851A52">
        <w:t xml:space="preserve">AUS Essential Principle </w:t>
      </w:r>
      <w:r>
        <w:t xml:space="preserve">which expand the scope or provide clarity, for which we propose to adopt a similar intent, are </w:t>
      </w:r>
      <w:r w:rsidR="008830C7">
        <w:t xml:space="preserve">listed in </w:t>
      </w:r>
      <w:r w:rsidR="008830C7" w:rsidRPr="000D245C">
        <w:rPr>
          <w:b/>
          <w:bCs/>
        </w:rPr>
        <w:t>Attachment 1</w:t>
      </w:r>
      <w:r>
        <w:t>.</w:t>
      </w:r>
    </w:p>
    <w:p w14:paraId="2B7D2A3E" w14:textId="1F0C0BA8" w:rsidR="008E6570" w:rsidRDefault="00094ACA" w:rsidP="008E6570">
      <w:pPr>
        <w:pStyle w:val="Heading4"/>
      </w:pPr>
      <w:bookmarkStart w:id="64" w:name="_Toc173939970"/>
      <w:r>
        <w:t>AUS-specific proposals</w:t>
      </w:r>
      <w:bookmarkEnd w:id="64"/>
    </w:p>
    <w:p w14:paraId="7C64BD47" w14:textId="2EBF362A" w:rsidR="008E6570" w:rsidRDefault="008E6570" w:rsidP="008E6570">
      <w:pPr>
        <w:pStyle w:val="Heading5"/>
      </w:pPr>
      <w:r>
        <w:t>Machine-readable format</w:t>
      </w:r>
    </w:p>
    <w:p w14:paraId="12A3CEE3" w14:textId="6F545E05" w:rsidR="0083277C" w:rsidRDefault="009E1575" w:rsidP="0083277C">
      <w:r>
        <w:t>Proposal 9(b)</w:t>
      </w:r>
      <w:r w:rsidR="008E6570">
        <w:t xml:space="preserve"> </w:t>
      </w:r>
      <w:r w:rsidR="0083277C">
        <w:t xml:space="preserve">relates to alignment with </w:t>
      </w:r>
      <w:r w:rsidR="008E6570">
        <w:t xml:space="preserve">EU GSPR </w:t>
      </w:r>
      <w:r w:rsidR="0083277C">
        <w:t xml:space="preserve">23.1(c), </w:t>
      </w:r>
      <w:r w:rsidR="008E6570">
        <w:t xml:space="preserve">to allow information, under AUS Essential Principle 13.1(3), to </w:t>
      </w:r>
      <w:r w:rsidR="008E6570" w:rsidRPr="0083277C">
        <w:rPr>
          <w:i/>
          <w:iCs/>
        </w:rPr>
        <w:t>also</w:t>
      </w:r>
      <w:r w:rsidR="008E6570">
        <w:t xml:space="preserve"> be provided in a machine-readable format</w:t>
      </w:r>
      <w:r w:rsidR="0083277C">
        <w:t>:</w:t>
      </w:r>
      <w:r w:rsidR="008E6570">
        <w:t xml:space="preserve"> </w:t>
      </w:r>
    </w:p>
    <w:p w14:paraId="56BB5A04" w14:textId="77777777" w:rsidR="0083277C" w:rsidRDefault="0083277C" w:rsidP="0083277C">
      <w:pPr>
        <w:pStyle w:val="ListBullet"/>
      </w:pPr>
      <w:r>
        <w:t>EU GSPR 23.1(c):</w:t>
      </w:r>
    </w:p>
    <w:p w14:paraId="274952AA" w14:textId="6091DC3F" w:rsidR="008E6570" w:rsidRDefault="008E6570" w:rsidP="0083277C">
      <w:pPr>
        <w:pStyle w:val="ListBullet2"/>
      </w:pPr>
      <w:r w:rsidRPr="0083277C">
        <w:rPr>
          <w:i/>
          <w:iCs/>
        </w:rPr>
        <w:t>Labels shall be provided in a human-readable format and may be supplemented by machine-readable information, such as radio-frequency identification or bar codes</w:t>
      </w:r>
      <w:r>
        <w:t>.</w:t>
      </w:r>
    </w:p>
    <w:p w14:paraId="79C90BC1" w14:textId="0A0694A9" w:rsidR="0083277C" w:rsidRDefault="002F1F19" w:rsidP="0083277C">
      <w:r w:rsidRPr="002F1F19">
        <w:t>The AUS-specific proposal relates to reducing risks from any potential interference from such formats on the intended performance of the device</w:t>
      </w:r>
      <w:r>
        <w:t>:</w:t>
      </w:r>
    </w:p>
    <w:p w14:paraId="08F63B85" w14:textId="6F5F0E01" w:rsidR="008E6570" w:rsidRDefault="004C3973" w:rsidP="008E6570">
      <w:pPr>
        <w:pStyle w:val="ListBullet"/>
      </w:pPr>
      <w:r>
        <w:t>AUS-specific proposal</w:t>
      </w:r>
      <w:r w:rsidR="008E6570">
        <w:t xml:space="preserve">: </w:t>
      </w:r>
    </w:p>
    <w:p w14:paraId="6FFB7957" w14:textId="0700D6D8" w:rsidR="008E6570" w:rsidRPr="008E6570" w:rsidRDefault="002F1F19" w:rsidP="008E6570">
      <w:pPr>
        <w:pStyle w:val="ListBullet2"/>
      </w:pPr>
      <w:r>
        <w:t xml:space="preserve">Information required under AUS Essential Principle 13.1(3) may be supplemented by </w:t>
      </w:r>
      <w:r w:rsidR="008E6570">
        <w:t xml:space="preserve">machine-readable </w:t>
      </w:r>
      <w:r>
        <w:t xml:space="preserve">information </w:t>
      </w:r>
      <w:r w:rsidR="008E6570">
        <w:t>provid</w:t>
      </w:r>
      <w:r>
        <w:t>ing such information does</w:t>
      </w:r>
      <w:r w:rsidR="008E6570">
        <w:t xml:space="preserve"> not interfere with the performance of the device or the device’s ability to meet the </w:t>
      </w:r>
      <w:r w:rsidR="006003FC">
        <w:t xml:space="preserve">AUS </w:t>
      </w:r>
      <w:r w:rsidR="008E6570">
        <w:t>Essential Principles.</w:t>
      </w:r>
    </w:p>
    <w:p w14:paraId="5989D026" w14:textId="67BDEE1D" w:rsidR="00365959" w:rsidRDefault="00365959" w:rsidP="008E6570">
      <w:pPr>
        <w:pStyle w:val="Heading5"/>
      </w:pPr>
      <w:r>
        <w:t>Legibility</w:t>
      </w:r>
    </w:p>
    <w:p w14:paraId="0928F96D" w14:textId="5D2E96CB" w:rsidR="00365959" w:rsidRDefault="009E1575" w:rsidP="00F603A1">
      <w:r>
        <w:t xml:space="preserve">Proposal </w:t>
      </w:r>
      <w:r w:rsidR="002F1F19">
        <w:t xml:space="preserve">9(c) relates to legibility as described in </w:t>
      </w:r>
      <w:r w:rsidR="00851A52">
        <w:t xml:space="preserve">AUS Essential Principle </w:t>
      </w:r>
      <w:r w:rsidR="00365959">
        <w:t>13.1(5)</w:t>
      </w:r>
      <w:r w:rsidR="002F1F19">
        <w:t>, which</w:t>
      </w:r>
      <w:r w:rsidR="00377E45">
        <w:t xml:space="preserve"> </w:t>
      </w:r>
      <w:r w:rsidR="00365959">
        <w:t>states the legibility requirement to be 1mm. The EU GSPRs require information on the label to be legible, however it does not specify what that means.</w:t>
      </w:r>
    </w:p>
    <w:p w14:paraId="26E92B22" w14:textId="5215F4A0" w:rsidR="00365959" w:rsidRDefault="00365959" w:rsidP="00F603A1">
      <w:r>
        <w:t xml:space="preserve">The TGA has had complaints, particularly from users of devices intended for self-testing, that information in the instructions for use has been </w:t>
      </w:r>
      <w:r w:rsidR="00120284">
        <w:t>“</w:t>
      </w:r>
      <w:r>
        <w:t>too small to read</w:t>
      </w:r>
      <w:r w:rsidR="00120284">
        <w:t>”</w:t>
      </w:r>
      <w:r>
        <w:t xml:space="preserve">, even though it complies with the “1mm” requirement of </w:t>
      </w:r>
      <w:r w:rsidR="00851A52">
        <w:t xml:space="preserve">AUS Essential Principle </w:t>
      </w:r>
      <w:r>
        <w:t>13.1(5). This is because the size requirement can be interpreted as including the full size</w:t>
      </w:r>
      <w:r w:rsidR="00120284">
        <w:t>-</w:t>
      </w:r>
      <w:r>
        <w:t xml:space="preserve">range of letters (upper and lower case), making the main letter portion difficult for </w:t>
      </w:r>
      <w:r w:rsidR="00120284">
        <w:t>some</w:t>
      </w:r>
      <w:r>
        <w:t xml:space="preserve"> users to read </w:t>
      </w:r>
      <w:r w:rsidR="00120284">
        <w:t xml:space="preserve">easily, </w:t>
      </w:r>
      <w:r>
        <w:t>without magnification.</w:t>
      </w:r>
    </w:p>
    <w:p w14:paraId="4A77B75E" w14:textId="70F8E426" w:rsidR="00365959" w:rsidRDefault="00365959" w:rsidP="00F603A1">
      <w:r>
        <w:t xml:space="preserve">Given the “1mm” requirement can be vague and </w:t>
      </w:r>
      <w:r w:rsidR="00377E45">
        <w:t xml:space="preserve">does </w:t>
      </w:r>
      <w:r>
        <w:t xml:space="preserve">not always result in information being legible, we consider it more appropriate to refer to </w:t>
      </w:r>
      <w:r w:rsidRPr="00356B00">
        <w:t>a FONT TYPE and SIZE, or equivalent, to be considered “legible</w:t>
      </w:r>
      <w:r w:rsidR="00120284">
        <w:t>”. F</w:t>
      </w:r>
      <w:r>
        <w:t>or example, font and size to be at least equivalent to 8pt Times New Roman</w:t>
      </w:r>
      <w:r w:rsidRPr="00356B00">
        <w:t>.</w:t>
      </w:r>
    </w:p>
    <w:p w14:paraId="05EDE101" w14:textId="77777777" w:rsidR="00B27065" w:rsidRDefault="00B27065" w:rsidP="00B27065">
      <w:pPr>
        <w:rPr>
          <w:b/>
          <w:bCs/>
          <w:i/>
        </w:rPr>
      </w:pPr>
      <w:r w:rsidRPr="00B27065">
        <w:t xml:space="preserve">In addition to Proposal 9(c), there is also a move toward labels being designed for all abilities. As such, this proposal considers the benefit of requiring attention be given to the contrast of the text against the background for any precautions, </w:t>
      </w:r>
      <w:proofErr w:type="gramStart"/>
      <w:r w:rsidRPr="00B27065">
        <w:t>warnings</w:t>
      </w:r>
      <w:proofErr w:type="gramEnd"/>
      <w:r w:rsidRPr="00B27065">
        <w:t xml:space="preserve"> and contraindications.  </w:t>
      </w:r>
    </w:p>
    <w:p w14:paraId="3B3A0869" w14:textId="68E7211A" w:rsidR="00D56280" w:rsidRDefault="00D56280" w:rsidP="008E6570">
      <w:pPr>
        <w:pStyle w:val="Heading6"/>
      </w:pPr>
      <w:r>
        <w:t xml:space="preserve">Single copy of IFU where multiple devices are supplied to a single user or </w:t>
      </w:r>
      <w:proofErr w:type="gramStart"/>
      <w:r w:rsidR="00F66B0E">
        <w:t>location</w:t>
      </w:r>
      <w:proofErr w:type="gramEnd"/>
    </w:p>
    <w:p w14:paraId="15854619" w14:textId="60B3FDA5" w:rsidR="00D56280" w:rsidRDefault="00F66B0E" w:rsidP="00F603A1">
      <w:pPr>
        <w:pStyle w:val="Legislativeletterbullet"/>
        <w:numPr>
          <w:ilvl w:val="0"/>
          <w:numId w:val="0"/>
        </w:numPr>
      </w:pPr>
      <w:r>
        <w:t>T</w:t>
      </w:r>
      <w:r w:rsidR="00D56280">
        <w:t>he EU IVDR GSPR 20.1(e) and the EU MDR</w:t>
      </w:r>
      <w:r>
        <w:t xml:space="preserve"> 23.1(e) </w:t>
      </w:r>
      <w:r w:rsidR="00D56280">
        <w:t xml:space="preserve">allow manufacturers to provide a single copy of the instructions for use to a </w:t>
      </w:r>
      <w:r>
        <w:t xml:space="preserve">single </w:t>
      </w:r>
      <w:r w:rsidR="00D56280">
        <w:t xml:space="preserve">user </w:t>
      </w:r>
      <w:r>
        <w:t>or</w:t>
      </w:r>
      <w:r w:rsidR="00D56280">
        <w:t xml:space="preserve"> </w:t>
      </w:r>
      <w:r>
        <w:t>location</w:t>
      </w:r>
      <w:r w:rsidR="00D56280">
        <w:t xml:space="preserve">, where multiple devices have been supplied, </w:t>
      </w:r>
      <w:r>
        <w:t>where agreed to</w:t>
      </w:r>
      <w:r w:rsidR="00D56280">
        <w:t xml:space="preserve"> by the customer. The </w:t>
      </w:r>
      <w:proofErr w:type="gramStart"/>
      <w:r w:rsidR="00D56280">
        <w:t>EU IVDR</w:t>
      </w:r>
      <w:proofErr w:type="gramEnd"/>
      <w:r w:rsidR="00D56280">
        <w:t xml:space="preserve"> however, explicitly excludes IVD devices intended for self-testing </w:t>
      </w:r>
      <w:r>
        <w:t>and near patient testing from this clause.</w:t>
      </w:r>
    </w:p>
    <w:p w14:paraId="1D2DEDAA" w14:textId="081F94A4" w:rsidR="001F2B71" w:rsidRDefault="001F2B71" w:rsidP="00F603A1">
      <w:pPr>
        <w:pStyle w:val="Legislativeletterbullet"/>
        <w:numPr>
          <w:ilvl w:val="0"/>
          <w:numId w:val="0"/>
        </w:numPr>
      </w:pPr>
      <w:r w:rsidRPr="001F2B71">
        <w:t xml:space="preserve">Proposal 15 amends the definition of lay person to apply to all devices, rather than only </w:t>
      </w:r>
      <w:r>
        <w:t xml:space="preserve">applying to </w:t>
      </w:r>
      <w:r w:rsidRPr="001F2B71">
        <w:t xml:space="preserve">IVD devices. As such, we propose to also exclude devices intended for use by lay </w:t>
      </w:r>
      <w:r w:rsidR="001665AC">
        <w:t>persons</w:t>
      </w:r>
      <w:r w:rsidRPr="001F2B71">
        <w:t xml:space="preserve"> from the provision in </w:t>
      </w:r>
      <w:r>
        <w:t xml:space="preserve">EU </w:t>
      </w:r>
      <w:r w:rsidRPr="001F2B71">
        <w:t xml:space="preserve">MDR GSPR 23.1(e), in the same manner as IVD devices intended for self-test and near patient testing are excluded from the </w:t>
      </w:r>
      <w:r>
        <w:t xml:space="preserve">equivalent </w:t>
      </w:r>
      <w:r w:rsidRPr="001F2B71">
        <w:t xml:space="preserve">provision in </w:t>
      </w:r>
      <w:r>
        <w:t xml:space="preserve">EU </w:t>
      </w:r>
      <w:r w:rsidRPr="001F2B71">
        <w:t>IVDR GSPR 23.1(e).</w:t>
      </w:r>
    </w:p>
    <w:p w14:paraId="65690E78" w14:textId="0B0C9829" w:rsidR="00447A62" w:rsidRDefault="00447A62" w:rsidP="00755DB9">
      <w:pPr>
        <w:pStyle w:val="Heading4"/>
      </w:pPr>
      <w:bookmarkStart w:id="65" w:name="_Toc173939971"/>
      <w:r>
        <w:t>Questions</w:t>
      </w:r>
      <w:bookmarkEnd w:id="65"/>
    </w:p>
    <w:tbl>
      <w:tblPr>
        <w:tblW w:w="9038" w:type="dxa"/>
        <w:tblLayout w:type="fixed"/>
        <w:tblCellMar>
          <w:left w:w="0" w:type="dxa"/>
          <w:right w:w="0" w:type="dxa"/>
        </w:tblCellMar>
        <w:tblLook w:val="04A0" w:firstRow="1" w:lastRow="0" w:firstColumn="1" w:lastColumn="0" w:noHBand="0" w:noVBand="1"/>
      </w:tblPr>
      <w:tblGrid>
        <w:gridCol w:w="1276"/>
        <w:gridCol w:w="7762"/>
      </w:tblGrid>
      <w:tr w:rsidR="00993016" w:rsidRPr="009401F6" w14:paraId="5DC5BBC7" w14:textId="77777777" w:rsidTr="00EC2B31">
        <w:tc>
          <w:tcPr>
            <w:tcW w:w="1276" w:type="dxa"/>
            <w:vAlign w:val="center"/>
          </w:tcPr>
          <w:p w14:paraId="316AA984" w14:textId="77777777" w:rsidR="00993016" w:rsidRPr="009401F6" w:rsidRDefault="00993016" w:rsidP="00EC2B31">
            <w:r w:rsidRPr="00A004D1">
              <w:rPr>
                <w:noProof/>
              </w:rPr>
              <w:drawing>
                <wp:inline distT="0" distB="0" distL="0" distR="0" wp14:anchorId="05C1B343" wp14:editId="4962C47E">
                  <wp:extent cx="694944" cy="694944"/>
                  <wp:effectExtent l="0" t="0" r="0" b="0"/>
                  <wp:docPr id="19" name="Picture 19" descr="Image of a 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mage of a question mark."/>
                          <pic:cNvPicPr/>
                        </pic:nvPicPr>
                        <pic:blipFill>
                          <a:blip r:embed="rId16">
                            <a:extLst>
                              <a:ext uri="{28A0092B-C50C-407E-A947-70E740481C1C}">
                                <a14:useLocalDpi xmlns:a14="http://schemas.microsoft.com/office/drawing/2010/main" val="0"/>
                              </a:ext>
                            </a:extLst>
                          </a:blip>
                          <a:stretch>
                            <a:fillRect/>
                          </a:stretch>
                        </pic:blipFill>
                        <pic:spPr>
                          <a:xfrm>
                            <a:off x="0" y="0"/>
                            <a:ext cx="693466" cy="693466"/>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3F5FDB9" w14:textId="26476DBF" w:rsidR="00993016" w:rsidRPr="00F96AB7" w:rsidRDefault="00993016" w:rsidP="00EC2B31">
            <w:pPr>
              <w:rPr>
                <w:b/>
                <w:bCs/>
              </w:rPr>
            </w:pPr>
            <w:r w:rsidRPr="00F96AB7">
              <w:rPr>
                <w:b/>
                <w:bCs/>
              </w:rPr>
              <w:t xml:space="preserve">Proposal </w:t>
            </w:r>
            <w:r w:rsidR="00C44182">
              <w:rPr>
                <w:b/>
                <w:bCs/>
              </w:rPr>
              <w:t>9</w:t>
            </w:r>
            <w:r w:rsidR="00C850A0">
              <w:rPr>
                <w:b/>
                <w:bCs/>
              </w:rPr>
              <w:t>: Amend</w:t>
            </w:r>
            <w:r w:rsidRPr="00F96AB7">
              <w:rPr>
                <w:b/>
                <w:bCs/>
              </w:rPr>
              <w:t xml:space="preserve"> </w:t>
            </w:r>
            <w:r w:rsidR="00851A52">
              <w:rPr>
                <w:b/>
                <w:bCs/>
              </w:rPr>
              <w:t xml:space="preserve">AUS Essential Principle </w:t>
            </w:r>
            <w:r w:rsidRPr="00F96AB7">
              <w:rPr>
                <w:b/>
                <w:bCs/>
              </w:rPr>
              <w:t>1</w:t>
            </w:r>
            <w:r>
              <w:rPr>
                <w:b/>
                <w:bCs/>
              </w:rPr>
              <w:t>3.1</w:t>
            </w:r>
          </w:p>
          <w:p w14:paraId="4920BB29" w14:textId="5FD3D85E" w:rsidR="009860EF" w:rsidRPr="00356B00" w:rsidRDefault="009860EF" w:rsidP="00720585">
            <w:pPr>
              <w:pStyle w:val="Legislativeletterbullet"/>
              <w:numPr>
                <w:ilvl w:val="0"/>
                <w:numId w:val="22"/>
              </w:numPr>
            </w:pPr>
            <w:bookmarkStart w:id="66" w:name="_Hlk161645978"/>
            <w:bookmarkStart w:id="67" w:name="_Hlk161649456"/>
            <w:r w:rsidRPr="00356B00">
              <w:t xml:space="preserve">Do you agree </w:t>
            </w:r>
            <w:r>
              <w:t xml:space="preserve">with the proposal </w:t>
            </w:r>
            <w:r w:rsidRPr="00356B00">
              <w:t xml:space="preserve">to adopt the intent of the </w:t>
            </w:r>
            <w:r w:rsidR="00FC07DD">
              <w:t>EU GSPR</w:t>
            </w:r>
            <w:r w:rsidRPr="00356B00">
              <w:t xml:space="preserve">s, related to </w:t>
            </w:r>
            <w:r w:rsidR="00851A52">
              <w:t xml:space="preserve">AUS Essential Principle </w:t>
            </w:r>
            <w:r w:rsidRPr="00356B00">
              <w:t xml:space="preserve">13.1? </w:t>
            </w:r>
          </w:p>
          <w:p w14:paraId="2D2C804E" w14:textId="40B9DD76" w:rsidR="008E6570" w:rsidRDefault="008E6570" w:rsidP="00720585">
            <w:pPr>
              <w:pStyle w:val="Legislativeletterbullet"/>
              <w:numPr>
                <w:ilvl w:val="0"/>
                <w:numId w:val="22"/>
              </w:numPr>
            </w:pPr>
            <w:r w:rsidRPr="00280787">
              <w:rPr>
                <w:color w:val="auto"/>
                <w:u w:val="single"/>
              </w:rPr>
              <w:t>AUS-specific:</w:t>
            </w:r>
            <w:r w:rsidRPr="00280787">
              <w:rPr>
                <w:color w:val="auto"/>
              </w:rPr>
              <w:t xml:space="preserve"> </w:t>
            </w:r>
            <w:r w:rsidR="002F1F19" w:rsidRPr="002F1F19">
              <w:t>Do you agree with the proposal to allow information required under AUS Essential Principle 13.1(3) to be supplemented by machine-readable information providing such information does not interfere with the performance of the device or the device’s ability to meet the AUS Essential Principles</w:t>
            </w:r>
            <w:r>
              <w:t>?</w:t>
            </w:r>
          </w:p>
          <w:p w14:paraId="07B8E44C" w14:textId="3F3E48F9" w:rsidR="009860EF" w:rsidRDefault="008E6570" w:rsidP="00720585">
            <w:pPr>
              <w:pStyle w:val="Legislativeletterbullet"/>
              <w:numPr>
                <w:ilvl w:val="0"/>
                <w:numId w:val="22"/>
              </w:numPr>
            </w:pPr>
            <w:r w:rsidRPr="00280787">
              <w:rPr>
                <w:color w:val="auto"/>
                <w:u w:val="single"/>
              </w:rPr>
              <w:t>AUS-specific:</w:t>
            </w:r>
            <w:r w:rsidRPr="00280787">
              <w:rPr>
                <w:color w:val="auto"/>
              </w:rPr>
              <w:t xml:space="preserve"> </w:t>
            </w:r>
            <w:r w:rsidR="009860EF" w:rsidRPr="009749E2">
              <w:t xml:space="preserve">For </w:t>
            </w:r>
            <w:r w:rsidR="00851A52">
              <w:t xml:space="preserve">AUS Essential Principle </w:t>
            </w:r>
            <w:r w:rsidR="009860EF" w:rsidRPr="009749E2">
              <w:t>13.1(5),</w:t>
            </w:r>
            <w:r w:rsidR="009860EF">
              <w:t xml:space="preserve"> do you agree that legibility would be better defined by referring to a specific font type and size rather than “a minimum of 1mm”, such as equivalent to at least 8pt Times New Roman? </w:t>
            </w:r>
          </w:p>
          <w:p w14:paraId="4ABE17B6" w14:textId="53825225" w:rsidR="00D56280" w:rsidRPr="00770942" w:rsidRDefault="008E6570" w:rsidP="00720585">
            <w:pPr>
              <w:pStyle w:val="Legislativeletterbullet"/>
              <w:numPr>
                <w:ilvl w:val="0"/>
                <w:numId w:val="22"/>
              </w:numPr>
            </w:pPr>
            <w:r w:rsidRPr="00280787">
              <w:rPr>
                <w:color w:val="auto"/>
                <w:u w:val="single"/>
              </w:rPr>
              <w:t>AUS-specific:</w:t>
            </w:r>
            <w:r w:rsidRPr="00280787">
              <w:rPr>
                <w:color w:val="auto"/>
              </w:rPr>
              <w:t xml:space="preserve"> </w:t>
            </w:r>
            <w:r w:rsidR="00D56280" w:rsidRPr="009749E2">
              <w:t xml:space="preserve">For </w:t>
            </w:r>
            <w:r w:rsidR="00851A52">
              <w:t xml:space="preserve">AUS Essential Principle </w:t>
            </w:r>
            <w:r w:rsidR="00D56280" w:rsidRPr="009749E2">
              <w:t>13.1(5),</w:t>
            </w:r>
            <w:r w:rsidR="00D56280">
              <w:t xml:space="preserve"> do you agree that legibility should incorporate consideration of text contrast against background for warnings, precautions required to be brought to the attention of the user? </w:t>
            </w:r>
          </w:p>
          <w:p w14:paraId="3226E343" w14:textId="1D2A5FF5" w:rsidR="009860EF" w:rsidRDefault="00D56280" w:rsidP="00720585">
            <w:pPr>
              <w:pStyle w:val="Legislativeletterbullet"/>
              <w:numPr>
                <w:ilvl w:val="0"/>
                <w:numId w:val="22"/>
              </w:numPr>
              <w:ind w:left="535"/>
            </w:pPr>
            <w:r w:rsidRPr="001E7054">
              <w:rPr>
                <w:color w:val="auto"/>
                <w:u w:val="single"/>
              </w:rPr>
              <w:t>AUS-specific:</w:t>
            </w:r>
            <w:r w:rsidRPr="001E7054">
              <w:t xml:space="preserve"> </w:t>
            </w:r>
            <w:r w:rsidR="001F2B71" w:rsidRPr="001E7054">
              <w:t xml:space="preserve">Do you agree </w:t>
            </w:r>
            <w:r w:rsidR="00735733" w:rsidRPr="001E7054">
              <w:t>that</w:t>
            </w:r>
            <w:r w:rsidR="001F2B71" w:rsidRPr="001E7054">
              <w:t xml:space="preserve"> devices intended for use by lay </w:t>
            </w:r>
            <w:r w:rsidR="0003787C" w:rsidRPr="001E7054">
              <w:t>person</w:t>
            </w:r>
            <w:r w:rsidR="001665AC" w:rsidRPr="001E7054">
              <w:t>s</w:t>
            </w:r>
            <w:r w:rsidR="001F2B71" w:rsidRPr="001E7054">
              <w:t xml:space="preserve"> (using the amended definition under Proposal 15) </w:t>
            </w:r>
            <w:r w:rsidR="00735733" w:rsidRPr="001E7054">
              <w:t>all need their own instructions for use</w:t>
            </w:r>
            <w:r w:rsidR="009860EF">
              <w:t xml:space="preserve">? </w:t>
            </w:r>
          </w:p>
          <w:p w14:paraId="0D890D09" w14:textId="7DB00A40" w:rsidR="00993016" w:rsidRPr="00256A0C" w:rsidRDefault="003644E9" w:rsidP="00720585">
            <w:pPr>
              <w:pStyle w:val="Legislativeletterbullet"/>
              <w:numPr>
                <w:ilvl w:val="0"/>
                <w:numId w:val="22"/>
              </w:numPr>
            </w:pPr>
            <w:r>
              <w:t>I</w:t>
            </w:r>
            <w:r w:rsidR="00953700" w:rsidRPr="00953700">
              <w:t>f you think other changes are needed for AUS Essential Principle 13.1, explain</w:t>
            </w:r>
            <w:r w:rsidR="009860EF">
              <w:t>.</w:t>
            </w:r>
            <w:bookmarkEnd w:id="66"/>
            <w:bookmarkEnd w:id="67"/>
          </w:p>
        </w:tc>
      </w:tr>
    </w:tbl>
    <w:p w14:paraId="67483725" w14:textId="2F85461C" w:rsidR="00AE2390" w:rsidRDefault="00C850A0" w:rsidP="00FE20B6">
      <w:pPr>
        <w:pStyle w:val="Heading3"/>
      </w:pPr>
      <w:bookmarkStart w:id="68" w:name="_Toc168309852"/>
      <w:bookmarkStart w:id="69" w:name="_Toc173939972"/>
      <w:r>
        <w:t xml:space="preserve">Proposal </w:t>
      </w:r>
      <w:r w:rsidR="00C44182">
        <w:t>10</w:t>
      </w:r>
      <w:r>
        <w:t>:</w:t>
      </w:r>
      <w:r w:rsidR="00AE2390">
        <w:t xml:space="preserve"> Amend </w:t>
      </w:r>
      <w:r w:rsidR="00851A52">
        <w:t xml:space="preserve">AUS Essential Principle </w:t>
      </w:r>
      <w:r w:rsidR="00AE2390">
        <w:t xml:space="preserve">13.3 </w:t>
      </w:r>
      <w:r w:rsidR="000D7037">
        <w:t>(General labelling)</w:t>
      </w:r>
      <w:bookmarkEnd w:id="68"/>
      <w:bookmarkEnd w:id="69"/>
      <w:r w:rsidR="000D7037">
        <w:t xml:space="preserve"> </w:t>
      </w:r>
    </w:p>
    <w:p w14:paraId="5858E20E" w14:textId="0DC1A461" w:rsidR="0006612C" w:rsidRDefault="0006612C" w:rsidP="00FE20B6">
      <w:pPr>
        <w:keepNext/>
      </w:pPr>
      <w:r>
        <w:t xml:space="preserve">The </w:t>
      </w:r>
      <w:r w:rsidR="007C3BD0">
        <w:t>EU GSPRs</w:t>
      </w:r>
      <w:r>
        <w:t xml:space="preserve"> related to this </w:t>
      </w:r>
      <w:r w:rsidR="00851A52">
        <w:t xml:space="preserve">AUS Essential Principle </w:t>
      </w:r>
      <w:r>
        <w:t xml:space="preserve">which expand the scope or provide clarity, for which we propose to adopt a similar intent, are </w:t>
      </w:r>
      <w:r w:rsidR="008830C7">
        <w:t xml:space="preserve">listed in </w:t>
      </w:r>
      <w:r w:rsidR="008830C7" w:rsidRPr="000D245C">
        <w:rPr>
          <w:b/>
          <w:bCs/>
        </w:rPr>
        <w:t>Attachment 1</w:t>
      </w:r>
      <w:r>
        <w:t>.</w:t>
      </w:r>
    </w:p>
    <w:p w14:paraId="3C7B83D1" w14:textId="6F52411C" w:rsidR="00447A62" w:rsidRDefault="00447A62" w:rsidP="00755DB9">
      <w:pPr>
        <w:pStyle w:val="Heading4"/>
      </w:pPr>
      <w:bookmarkStart w:id="70" w:name="_Toc173939973"/>
      <w:r>
        <w:t>Questions</w:t>
      </w:r>
      <w:bookmarkEnd w:id="70"/>
    </w:p>
    <w:tbl>
      <w:tblPr>
        <w:tblW w:w="9038" w:type="dxa"/>
        <w:tblLayout w:type="fixed"/>
        <w:tblCellMar>
          <w:left w:w="0" w:type="dxa"/>
          <w:right w:w="0" w:type="dxa"/>
        </w:tblCellMar>
        <w:tblLook w:val="04A0" w:firstRow="1" w:lastRow="0" w:firstColumn="1" w:lastColumn="0" w:noHBand="0" w:noVBand="1"/>
      </w:tblPr>
      <w:tblGrid>
        <w:gridCol w:w="1276"/>
        <w:gridCol w:w="7762"/>
      </w:tblGrid>
      <w:tr w:rsidR="00356B00" w:rsidRPr="009401F6" w14:paraId="3ADA4407" w14:textId="77777777" w:rsidTr="00EC2B31">
        <w:tc>
          <w:tcPr>
            <w:tcW w:w="1276" w:type="dxa"/>
            <w:vAlign w:val="center"/>
          </w:tcPr>
          <w:p w14:paraId="3F0476C6" w14:textId="77777777" w:rsidR="00356B00" w:rsidRPr="009401F6" w:rsidRDefault="00356B00" w:rsidP="00FE20B6">
            <w:pPr>
              <w:keepNext/>
            </w:pPr>
            <w:r w:rsidRPr="00A004D1">
              <w:rPr>
                <w:noProof/>
              </w:rPr>
              <w:drawing>
                <wp:inline distT="0" distB="0" distL="0" distR="0" wp14:anchorId="6270986F" wp14:editId="6EBEC1F3">
                  <wp:extent cx="694944" cy="694944"/>
                  <wp:effectExtent l="0" t="0" r="0" b="0"/>
                  <wp:docPr id="21" name="Picture 21" descr="Image of a 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mage of a question mark."/>
                          <pic:cNvPicPr/>
                        </pic:nvPicPr>
                        <pic:blipFill>
                          <a:blip r:embed="rId16">
                            <a:extLst>
                              <a:ext uri="{28A0092B-C50C-407E-A947-70E740481C1C}">
                                <a14:useLocalDpi xmlns:a14="http://schemas.microsoft.com/office/drawing/2010/main" val="0"/>
                              </a:ext>
                            </a:extLst>
                          </a:blip>
                          <a:stretch>
                            <a:fillRect/>
                          </a:stretch>
                        </pic:blipFill>
                        <pic:spPr>
                          <a:xfrm>
                            <a:off x="0" y="0"/>
                            <a:ext cx="693466" cy="693466"/>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94D5921" w14:textId="3C4D33FB" w:rsidR="00356B00" w:rsidRPr="00F96AB7" w:rsidRDefault="00356B00" w:rsidP="00FE20B6">
            <w:pPr>
              <w:keepNext/>
              <w:rPr>
                <w:b/>
                <w:bCs/>
              </w:rPr>
            </w:pPr>
            <w:r w:rsidRPr="00F96AB7">
              <w:rPr>
                <w:b/>
                <w:bCs/>
              </w:rPr>
              <w:t xml:space="preserve">Proposal </w:t>
            </w:r>
            <w:r w:rsidR="00C44182">
              <w:rPr>
                <w:b/>
                <w:bCs/>
              </w:rPr>
              <w:t>10</w:t>
            </w:r>
            <w:r w:rsidR="00C850A0">
              <w:rPr>
                <w:b/>
                <w:bCs/>
              </w:rPr>
              <w:t>:</w:t>
            </w:r>
            <w:r w:rsidRPr="00F96AB7">
              <w:rPr>
                <w:b/>
                <w:bCs/>
              </w:rPr>
              <w:t xml:space="preserve"> </w:t>
            </w:r>
            <w:r>
              <w:rPr>
                <w:b/>
                <w:bCs/>
              </w:rPr>
              <w:t xml:space="preserve">Amend </w:t>
            </w:r>
            <w:r w:rsidR="00851A52">
              <w:rPr>
                <w:b/>
                <w:bCs/>
              </w:rPr>
              <w:t xml:space="preserve">AUS Essential Principle </w:t>
            </w:r>
            <w:r w:rsidRPr="00F96AB7">
              <w:rPr>
                <w:b/>
                <w:bCs/>
              </w:rPr>
              <w:t>1</w:t>
            </w:r>
            <w:r>
              <w:rPr>
                <w:b/>
                <w:bCs/>
              </w:rPr>
              <w:t>3.3</w:t>
            </w:r>
          </w:p>
          <w:p w14:paraId="1761209B" w14:textId="1C2E4C8E" w:rsidR="00356B00" w:rsidRPr="00356B00" w:rsidRDefault="00356B00" w:rsidP="00720585">
            <w:pPr>
              <w:pStyle w:val="Legislativeletterbullet"/>
              <w:keepNext/>
              <w:numPr>
                <w:ilvl w:val="0"/>
                <w:numId w:val="23"/>
              </w:numPr>
            </w:pPr>
            <w:r w:rsidRPr="00356B00">
              <w:t>Do you agree</w:t>
            </w:r>
            <w:r w:rsidR="00C30D99">
              <w:t xml:space="preserve"> with the proposal</w:t>
            </w:r>
            <w:r w:rsidRPr="00356B00">
              <w:t xml:space="preserve"> to adopt the intent of the </w:t>
            </w:r>
            <w:r w:rsidR="00FC07DD">
              <w:t>EU GSPR</w:t>
            </w:r>
            <w:r w:rsidRPr="00356B00">
              <w:t xml:space="preserve">s, related to </w:t>
            </w:r>
            <w:r w:rsidR="00851A52">
              <w:t xml:space="preserve">AUS Essential Principle </w:t>
            </w:r>
            <w:r w:rsidRPr="00356B00">
              <w:t>13.</w:t>
            </w:r>
            <w:r w:rsidR="0053343E">
              <w:t>3</w:t>
            </w:r>
            <w:r w:rsidRPr="00356B00">
              <w:t>?</w:t>
            </w:r>
          </w:p>
          <w:p w14:paraId="6BE13C7C" w14:textId="65863332" w:rsidR="00356B00" w:rsidRPr="00256A0C" w:rsidRDefault="004C392C" w:rsidP="00FE20B6">
            <w:pPr>
              <w:pStyle w:val="Legislativeletterbullet"/>
              <w:keepNext/>
            </w:pPr>
            <w:r w:rsidRPr="004C392C">
              <w:t>If you think other changes are needed for AUS Essential Principle 13.3, explain</w:t>
            </w:r>
            <w:r w:rsidR="00356B00">
              <w:t>.</w:t>
            </w:r>
          </w:p>
        </w:tc>
      </w:tr>
    </w:tbl>
    <w:p w14:paraId="38D6F533" w14:textId="6B38C37C" w:rsidR="0041757E" w:rsidRDefault="0041757E" w:rsidP="005D0840">
      <w:pPr>
        <w:pStyle w:val="Heading3"/>
      </w:pPr>
      <w:bookmarkStart w:id="71" w:name="_Proposal_9:_Amend"/>
      <w:bookmarkStart w:id="72" w:name="_Proposal_11:_Amend"/>
      <w:bookmarkStart w:id="73" w:name="_Proposal_10:_Amend"/>
      <w:bookmarkStart w:id="74" w:name="_Toc168309853"/>
      <w:bookmarkStart w:id="75" w:name="_Toc173939974"/>
      <w:bookmarkEnd w:id="63"/>
      <w:bookmarkEnd w:id="71"/>
      <w:bookmarkEnd w:id="72"/>
      <w:bookmarkEnd w:id="73"/>
      <w:r>
        <w:t>Proposal</w:t>
      </w:r>
      <w:r w:rsidR="00356B00">
        <w:t xml:space="preserve"> 1</w:t>
      </w:r>
      <w:r w:rsidR="00C44182">
        <w:t>1</w:t>
      </w:r>
      <w:r w:rsidR="00C850A0">
        <w:t>:</w:t>
      </w:r>
      <w:r>
        <w:t xml:space="preserve"> Amend </w:t>
      </w:r>
      <w:r w:rsidR="00851A52">
        <w:t xml:space="preserve">AUS Essential Principle </w:t>
      </w:r>
      <w:r>
        <w:t>13.4</w:t>
      </w:r>
      <w:r w:rsidR="00513D8F">
        <w:t>(3)1-28</w:t>
      </w:r>
      <w:r w:rsidR="001872F0">
        <w:t>, 30-31</w:t>
      </w:r>
      <w:r w:rsidR="00481806">
        <w:t xml:space="preserve"> – </w:t>
      </w:r>
      <w:r w:rsidR="00A07D89">
        <w:t xml:space="preserve">Instructions for </w:t>
      </w:r>
      <w:proofErr w:type="gramStart"/>
      <w:r w:rsidR="00A07D89">
        <w:t>use</w:t>
      </w:r>
      <w:bookmarkEnd w:id="74"/>
      <w:bookmarkEnd w:id="75"/>
      <w:proofErr w:type="gramEnd"/>
    </w:p>
    <w:p w14:paraId="56419A4F" w14:textId="1DDC309D" w:rsidR="0006612C" w:rsidRDefault="0006612C" w:rsidP="0006612C">
      <w:r>
        <w:t xml:space="preserve">The </w:t>
      </w:r>
      <w:r w:rsidR="007C3BD0">
        <w:t>EU GSPRs</w:t>
      </w:r>
      <w:r>
        <w:t xml:space="preserve"> related to this </w:t>
      </w:r>
      <w:r w:rsidR="00851A52">
        <w:t xml:space="preserve">AUS Essential Principle </w:t>
      </w:r>
      <w:r>
        <w:t xml:space="preserve">which expand the scope or provide clarity, for which we propose to adopt a similar intent, are </w:t>
      </w:r>
      <w:r w:rsidR="008830C7">
        <w:t xml:space="preserve">listed in </w:t>
      </w:r>
      <w:r w:rsidR="008830C7" w:rsidRPr="000D245C">
        <w:rPr>
          <w:b/>
          <w:bCs/>
        </w:rPr>
        <w:t>Attachment 1</w:t>
      </w:r>
      <w:r>
        <w:t>.</w:t>
      </w:r>
    </w:p>
    <w:p w14:paraId="7F1077C7" w14:textId="122DE6F7" w:rsidR="004C392C" w:rsidRDefault="004C392C" w:rsidP="0006612C">
      <w:r w:rsidRPr="004C392C">
        <w:rPr>
          <w:b/>
          <w:bCs/>
        </w:rPr>
        <w:t>Item 29</w:t>
      </w:r>
      <w:r w:rsidRPr="004C392C">
        <w:t xml:space="preserve"> of Essential Principle 13.4(3) relates to specific requirements for IVD devices only. These requirements are presented in Proposal 12 for your input.</w:t>
      </w:r>
    </w:p>
    <w:p w14:paraId="5E2B9307" w14:textId="333D090A" w:rsidR="00447A62" w:rsidRDefault="00447A62" w:rsidP="00755DB9">
      <w:pPr>
        <w:pStyle w:val="Heading4"/>
      </w:pPr>
      <w:bookmarkStart w:id="76" w:name="_Toc173939975"/>
      <w:r>
        <w:t>Questions</w:t>
      </w:r>
      <w:bookmarkEnd w:id="76"/>
    </w:p>
    <w:tbl>
      <w:tblPr>
        <w:tblW w:w="9038" w:type="dxa"/>
        <w:tblLayout w:type="fixed"/>
        <w:tblCellMar>
          <w:left w:w="0" w:type="dxa"/>
          <w:right w:w="0" w:type="dxa"/>
        </w:tblCellMar>
        <w:tblLook w:val="04A0" w:firstRow="1" w:lastRow="0" w:firstColumn="1" w:lastColumn="0" w:noHBand="0" w:noVBand="1"/>
      </w:tblPr>
      <w:tblGrid>
        <w:gridCol w:w="1276"/>
        <w:gridCol w:w="7762"/>
      </w:tblGrid>
      <w:tr w:rsidR="0068761E" w:rsidRPr="009401F6" w14:paraId="5EFC4265" w14:textId="77777777" w:rsidTr="00642F68">
        <w:tc>
          <w:tcPr>
            <w:tcW w:w="1276" w:type="dxa"/>
            <w:vAlign w:val="center"/>
          </w:tcPr>
          <w:p w14:paraId="18D8BF17" w14:textId="77777777" w:rsidR="0068761E" w:rsidRPr="009401F6" w:rsidRDefault="0068761E" w:rsidP="00642F68">
            <w:r w:rsidRPr="00A004D1">
              <w:rPr>
                <w:noProof/>
              </w:rPr>
              <w:drawing>
                <wp:inline distT="0" distB="0" distL="0" distR="0" wp14:anchorId="0E8BFEA0" wp14:editId="16036E9C">
                  <wp:extent cx="694944" cy="694944"/>
                  <wp:effectExtent l="0" t="0" r="0" b="0"/>
                  <wp:docPr id="16" name="Picture 16" descr="Image of a 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mage of a question mark."/>
                          <pic:cNvPicPr/>
                        </pic:nvPicPr>
                        <pic:blipFill>
                          <a:blip r:embed="rId16">
                            <a:extLst>
                              <a:ext uri="{28A0092B-C50C-407E-A947-70E740481C1C}">
                                <a14:useLocalDpi xmlns:a14="http://schemas.microsoft.com/office/drawing/2010/main" val="0"/>
                              </a:ext>
                            </a:extLst>
                          </a:blip>
                          <a:stretch>
                            <a:fillRect/>
                          </a:stretch>
                        </pic:blipFill>
                        <pic:spPr>
                          <a:xfrm>
                            <a:off x="0" y="0"/>
                            <a:ext cx="693466" cy="693466"/>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E278D7A" w14:textId="4E1870B0" w:rsidR="0068761E" w:rsidRPr="00F96AB7" w:rsidRDefault="0068761E" w:rsidP="00642F68">
            <w:pPr>
              <w:rPr>
                <w:b/>
                <w:bCs/>
              </w:rPr>
            </w:pPr>
            <w:r w:rsidRPr="00F96AB7">
              <w:rPr>
                <w:b/>
                <w:bCs/>
              </w:rPr>
              <w:t xml:space="preserve">Proposal </w:t>
            </w:r>
            <w:r>
              <w:rPr>
                <w:b/>
                <w:bCs/>
              </w:rPr>
              <w:t>1</w:t>
            </w:r>
            <w:r w:rsidR="00C44182">
              <w:rPr>
                <w:b/>
                <w:bCs/>
              </w:rPr>
              <w:t>1</w:t>
            </w:r>
            <w:r>
              <w:rPr>
                <w:b/>
                <w:bCs/>
              </w:rPr>
              <w:t>:</w:t>
            </w:r>
            <w:r w:rsidRPr="00F96AB7">
              <w:rPr>
                <w:b/>
                <w:bCs/>
              </w:rPr>
              <w:t xml:space="preserve"> </w:t>
            </w:r>
            <w:r>
              <w:rPr>
                <w:b/>
                <w:bCs/>
              </w:rPr>
              <w:t xml:space="preserve">Amend </w:t>
            </w:r>
            <w:r w:rsidR="00851A52">
              <w:rPr>
                <w:b/>
                <w:bCs/>
              </w:rPr>
              <w:t xml:space="preserve">AUS Essential Principle </w:t>
            </w:r>
            <w:r w:rsidRPr="00F96AB7">
              <w:rPr>
                <w:b/>
                <w:bCs/>
              </w:rPr>
              <w:t>1</w:t>
            </w:r>
            <w:r>
              <w:rPr>
                <w:b/>
                <w:bCs/>
              </w:rPr>
              <w:t>3.4</w:t>
            </w:r>
            <w:r w:rsidR="00B21493">
              <w:rPr>
                <w:b/>
                <w:bCs/>
              </w:rPr>
              <w:t>(3)1-28</w:t>
            </w:r>
            <w:r>
              <w:rPr>
                <w:b/>
                <w:bCs/>
              </w:rPr>
              <w:t xml:space="preserve"> (IFU)</w:t>
            </w:r>
          </w:p>
          <w:p w14:paraId="5E6B5D08" w14:textId="767E453E" w:rsidR="0068761E" w:rsidRPr="00356B00" w:rsidRDefault="004C392C" w:rsidP="00720585">
            <w:pPr>
              <w:pStyle w:val="Legislativeletterbullet"/>
              <w:numPr>
                <w:ilvl w:val="0"/>
                <w:numId w:val="25"/>
              </w:numPr>
            </w:pPr>
            <w:r w:rsidRPr="004C392C">
              <w:t>Do you agree with the proposal to adopt the intent of the EU GSPRs, related to AUS Essential Principle 13.4(3) Item:1-31 (excluding Item 29)</w:t>
            </w:r>
            <w:r w:rsidR="0068761E" w:rsidRPr="00356B00">
              <w:t xml:space="preserve">? </w:t>
            </w:r>
          </w:p>
          <w:p w14:paraId="6EBCE078" w14:textId="245F3100" w:rsidR="0068761E" w:rsidRPr="00256A0C" w:rsidRDefault="004C392C" w:rsidP="00642F68">
            <w:pPr>
              <w:pStyle w:val="Legislativeletterbullet"/>
            </w:pPr>
            <w:r w:rsidRPr="004C392C">
              <w:t>If you think other changes are needed for AUS Essential Principle 13.4(3) Item:1-31 (excluding Item 29), explain</w:t>
            </w:r>
            <w:r w:rsidR="0068761E">
              <w:t>.</w:t>
            </w:r>
          </w:p>
        </w:tc>
      </w:tr>
    </w:tbl>
    <w:p w14:paraId="59DE7D6F" w14:textId="588BD1DC" w:rsidR="005E278C" w:rsidRDefault="0099441D" w:rsidP="00303739">
      <w:pPr>
        <w:pStyle w:val="Heading3"/>
      </w:pPr>
      <w:bookmarkStart w:id="77" w:name="_Toc168309854"/>
      <w:bookmarkStart w:id="78" w:name="_Toc173939976"/>
      <w:r>
        <w:t>Proposal 1</w:t>
      </w:r>
      <w:r w:rsidR="00C44182">
        <w:t>2</w:t>
      </w:r>
      <w:r>
        <w:t xml:space="preserve">: Amend </w:t>
      </w:r>
      <w:r w:rsidR="00851A52">
        <w:t xml:space="preserve">AUS Essential Principle </w:t>
      </w:r>
      <w:r>
        <w:t>13.4(3)</w:t>
      </w:r>
      <w:r w:rsidR="00D83781">
        <w:t xml:space="preserve"> Item </w:t>
      </w:r>
      <w:r>
        <w:t>29</w:t>
      </w:r>
      <w:r w:rsidR="00481806">
        <w:t xml:space="preserve"> – </w:t>
      </w:r>
      <w:r w:rsidR="0022774F">
        <w:t xml:space="preserve">IFU information for IVD devices </w:t>
      </w:r>
      <w:proofErr w:type="gramStart"/>
      <w:r w:rsidR="0022774F">
        <w:t>only</w:t>
      </w:r>
      <w:bookmarkEnd w:id="77"/>
      <w:bookmarkEnd w:id="78"/>
      <w:proofErr w:type="gramEnd"/>
    </w:p>
    <w:p w14:paraId="292737BF" w14:textId="29625353" w:rsidR="00544757" w:rsidRDefault="0073458C" w:rsidP="00303739">
      <w:pPr>
        <w:keepNext/>
      </w:pPr>
      <w:r>
        <w:t xml:space="preserve">The </w:t>
      </w:r>
      <w:r w:rsidR="007C3BD0">
        <w:t>EU GSPRs</w:t>
      </w:r>
      <w:r>
        <w:t xml:space="preserve"> related to this </w:t>
      </w:r>
      <w:r w:rsidR="00851A52">
        <w:t xml:space="preserve">AUS Essential Principle </w:t>
      </w:r>
      <w:r>
        <w:t xml:space="preserve">which expand the scope or provide clarity, for which we propose to adopt a similar intent, are </w:t>
      </w:r>
      <w:r w:rsidR="008830C7">
        <w:t xml:space="preserve">listed in </w:t>
      </w:r>
      <w:r w:rsidR="008830C7" w:rsidRPr="000D245C">
        <w:rPr>
          <w:b/>
          <w:bCs/>
        </w:rPr>
        <w:t>Attachment 1</w:t>
      </w:r>
      <w:r w:rsidR="00544757">
        <w:t>.</w:t>
      </w:r>
    </w:p>
    <w:p w14:paraId="3724616E" w14:textId="4E1CEF04" w:rsidR="00D83781" w:rsidRDefault="004C3973" w:rsidP="00D83781">
      <w:pPr>
        <w:pStyle w:val="Heading4"/>
      </w:pPr>
      <w:bookmarkStart w:id="79" w:name="_Toc173939977"/>
      <w:r>
        <w:t>AUS-specific proposal</w:t>
      </w:r>
      <w:bookmarkEnd w:id="79"/>
    </w:p>
    <w:p w14:paraId="541E6F5A" w14:textId="77777777" w:rsidR="00280BA2" w:rsidRDefault="00B366C9" w:rsidP="00B366C9">
      <w:pPr>
        <w:pStyle w:val="NormalWeb"/>
        <w:rPr>
          <w:rFonts w:ascii="Arial" w:eastAsia="Cambria" w:hAnsi="Arial"/>
          <w:color w:val="333F48"/>
          <w:sz w:val="21"/>
          <w:szCs w:val="21"/>
        </w:rPr>
      </w:pPr>
      <w:r w:rsidRPr="00190AF8">
        <w:rPr>
          <w:rFonts w:ascii="Arial" w:eastAsia="Cambria" w:hAnsi="Arial"/>
          <w:color w:val="333F48"/>
          <w:sz w:val="21"/>
          <w:szCs w:val="21"/>
        </w:rPr>
        <w:t xml:space="preserve">This </w:t>
      </w:r>
      <w:r w:rsidR="00E521A7" w:rsidRPr="00190AF8">
        <w:rPr>
          <w:rFonts w:ascii="Arial" w:eastAsia="Cambria" w:hAnsi="Arial"/>
          <w:color w:val="333F48"/>
          <w:sz w:val="21"/>
          <w:szCs w:val="21"/>
        </w:rPr>
        <w:t xml:space="preserve">AUS-specific </w:t>
      </w:r>
      <w:r w:rsidRPr="00190AF8">
        <w:rPr>
          <w:rFonts w:ascii="Arial" w:eastAsia="Cambria" w:hAnsi="Arial"/>
          <w:color w:val="333F48"/>
          <w:sz w:val="21"/>
          <w:szCs w:val="21"/>
        </w:rPr>
        <w:t>proposal relates to </w:t>
      </w:r>
      <w:r w:rsidR="004C392C">
        <w:rPr>
          <w:rFonts w:ascii="Arial" w:eastAsia="Cambria" w:hAnsi="Arial"/>
          <w:color w:val="333F48"/>
          <w:sz w:val="21"/>
          <w:szCs w:val="21"/>
        </w:rPr>
        <w:t xml:space="preserve">clause (b) under EU </w:t>
      </w:r>
      <w:r w:rsidRPr="00190AF8">
        <w:rPr>
          <w:rFonts w:ascii="Arial" w:eastAsia="Cambria" w:hAnsi="Arial"/>
          <w:color w:val="333F48"/>
          <w:sz w:val="21"/>
          <w:szCs w:val="21"/>
        </w:rPr>
        <w:t>IVDR GSPR 20.4.2</w:t>
      </w:r>
      <w:r w:rsidR="00447A62" w:rsidRPr="00190AF8">
        <w:rPr>
          <w:rFonts w:ascii="Arial" w:eastAsia="Cambria" w:hAnsi="Arial"/>
          <w:color w:val="333F48"/>
          <w:sz w:val="21"/>
          <w:szCs w:val="21"/>
        </w:rPr>
        <w:t xml:space="preserve">. </w:t>
      </w:r>
      <w:r w:rsidR="004C392C">
        <w:rPr>
          <w:rFonts w:ascii="Arial" w:eastAsia="Cambria" w:hAnsi="Arial"/>
          <w:color w:val="333F48"/>
          <w:sz w:val="21"/>
          <w:szCs w:val="21"/>
        </w:rPr>
        <w:t>T</w:t>
      </w:r>
      <w:r w:rsidR="00447A62" w:rsidRPr="00190AF8">
        <w:rPr>
          <w:rFonts w:ascii="Arial" w:eastAsia="Cambria" w:hAnsi="Arial"/>
          <w:color w:val="333F48"/>
          <w:sz w:val="21"/>
          <w:szCs w:val="21"/>
        </w:rPr>
        <w:t xml:space="preserve">his </w:t>
      </w:r>
      <w:r w:rsidR="004C392C">
        <w:rPr>
          <w:rFonts w:ascii="Arial" w:eastAsia="Cambria" w:hAnsi="Arial"/>
          <w:color w:val="333F48"/>
          <w:sz w:val="21"/>
          <w:szCs w:val="21"/>
        </w:rPr>
        <w:t xml:space="preserve">clause </w:t>
      </w:r>
      <w:r w:rsidRPr="00190AF8">
        <w:rPr>
          <w:rFonts w:ascii="Arial" w:eastAsia="Cambria" w:hAnsi="Arial"/>
          <w:color w:val="333F48"/>
          <w:sz w:val="21"/>
          <w:szCs w:val="21"/>
        </w:rPr>
        <w:t>allows specific particulars to be omitted</w:t>
      </w:r>
      <w:r w:rsidR="004C392C">
        <w:rPr>
          <w:rFonts w:ascii="Arial" w:eastAsia="Cambria" w:hAnsi="Arial"/>
          <w:color w:val="333F48"/>
          <w:sz w:val="21"/>
          <w:szCs w:val="21"/>
        </w:rPr>
        <w:t xml:space="preserve"> for devices intended for self-testing or near patient testing</w:t>
      </w:r>
      <w:r w:rsidRPr="00190AF8">
        <w:rPr>
          <w:rFonts w:ascii="Arial" w:eastAsia="Cambria" w:hAnsi="Arial"/>
          <w:color w:val="333F48"/>
          <w:sz w:val="21"/>
          <w:szCs w:val="21"/>
        </w:rPr>
        <w:t>. Under such circumstances, we are proposing to include</w:t>
      </w:r>
      <w:r w:rsidR="00447A62" w:rsidRPr="00190AF8">
        <w:rPr>
          <w:rFonts w:ascii="Arial" w:eastAsia="Cambria" w:hAnsi="Arial"/>
          <w:color w:val="333F48"/>
          <w:sz w:val="21"/>
          <w:szCs w:val="21"/>
        </w:rPr>
        <w:t xml:space="preserve"> an additional </w:t>
      </w:r>
      <w:r w:rsidR="004C392C">
        <w:rPr>
          <w:rFonts w:ascii="Arial" w:eastAsia="Cambria" w:hAnsi="Arial"/>
          <w:color w:val="333F48"/>
          <w:sz w:val="21"/>
          <w:szCs w:val="21"/>
        </w:rPr>
        <w:t>AUS-specific proposal</w:t>
      </w:r>
      <w:r w:rsidR="00280BA2">
        <w:rPr>
          <w:rFonts w:ascii="Arial" w:eastAsia="Cambria" w:hAnsi="Arial"/>
          <w:color w:val="333F48"/>
          <w:sz w:val="21"/>
          <w:szCs w:val="21"/>
        </w:rPr>
        <w:t>:</w:t>
      </w:r>
    </w:p>
    <w:p w14:paraId="74063A3F" w14:textId="2B53B894" w:rsidR="00B366C9" w:rsidRPr="00190AF8" w:rsidRDefault="00280BA2" w:rsidP="00280BA2">
      <w:pPr>
        <w:pStyle w:val="ListBullet"/>
      </w:pPr>
      <w:r>
        <w:t xml:space="preserve">If </w:t>
      </w:r>
      <w:r w:rsidR="00B366C9" w:rsidRPr="00190AF8">
        <w:t xml:space="preserve">any particulars of AUS EP 13.4(3)29 </w:t>
      </w:r>
      <w:r>
        <w:t>are</w:t>
      </w:r>
      <w:r w:rsidR="00447A62" w:rsidRPr="00190AF8">
        <w:t xml:space="preserve"> </w:t>
      </w:r>
      <w:r>
        <w:t>omitted,</w:t>
      </w:r>
      <w:r w:rsidR="004C392C">
        <w:t xml:space="preserve"> under an equivalent clause to IVDR GSPR 20.4.2(b)</w:t>
      </w:r>
      <w:r w:rsidR="00B366C9" w:rsidRPr="00190AF8">
        <w:t xml:space="preserve">, </w:t>
      </w:r>
      <w:r>
        <w:t xml:space="preserve">such information </w:t>
      </w:r>
      <w:r w:rsidR="00B366C9" w:rsidRPr="00190AF8">
        <w:t>must be available and presented to the Secretary upon request</w:t>
      </w:r>
      <w:r w:rsidR="00E26CE2" w:rsidRPr="00190AF8">
        <w:t xml:space="preserve">, </w:t>
      </w:r>
      <w:r w:rsidR="00B366C9" w:rsidRPr="00190AF8">
        <w:t>according to the legislated timeframes for such requests.</w:t>
      </w:r>
    </w:p>
    <w:p w14:paraId="756AFA2C" w14:textId="01C15509" w:rsidR="00447A62" w:rsidRDefault="00447A62" w:rsidP="00755DB9">
      <w:pPr>
        <w:pStyle w:val="Heading4"/>
        <w:rPr>
          <w:rFonts w:ascii="Lato" w:hAnsi="Lato"/>
          <w:color w:val="333333"/>
          <w:sz w:val="21"/>
          <w:szCs w:val="21"/>
          <w:shd w:val="clear" w:color="auto" w:fill="EEEEEE"/>
        </w:rPr>
      </w:pPr>
      <w:bookmarkStart w:id="80" w:name="_Toc173939978"/>
      <w:r>
        <w:t>Questions</w:t>
      </w:r>
      <w:bookmarkEnd w:id="80"/>
    </w:p>
    <w:tbl>
      <w:tblPr>
        <w:tblW w:w="9038" w:type="dxa"/>
        <w:tblLayout w:type="fixed"/>
        <w:tblCellMar>
          <w:left w:w="0" w:type="dxa"/>
          <w:right w:w="0" w:type="dxa"/>
        </w:tblCellMar>
        <w:tblLook w:val="04A0" w:firstRow="1" w:lastRow="0" w:firstColumn="1" w:lastColumn="0" w:noHBand="0" w:noVBand="1"/>
      </w:tblPr>
      <w:tblGrid>
        <w:gridCol w:w="1276"/>
        <w:gridCol w:w="7762"/>
      </w:tblGrid>
      <w:tr w:rsidR="00E54E45" w:rsidRPr="009401F6" w14:paraId="2E9A09AC" w14:textId="77777777" w:rsidTr="00642F68">
        <w:tc>
          <w:tcPr>
            <w:tcW w:w="1276" w:type="dxa"/>
            <w:vAlign w:val="center"/>
          </w:tcPr>
          <w:p w14:paraId="08B44A48" w14:textId="77777777" w:rsidR="00E54E45" w:rsidRPr="009401F6" w:rsidRDefault="00E54E45" w:rsidP="00303739">
            <w:pPr>
              <w:keepNext/>
            </w:pPr>
            <w:r w:rsidRPr="00A004D1">
              <w:rPr>
                <w:noProof/>
              </w:rPr>
              <w:drawing>
                <wp:inline distT="0" distB="0" distL="0" distR="0" wp14:anchorId="6671E911" wp14:editId="37492BBE">
                  <wp:extent cx="694944" cy="694944"/>
                  <wp:effectExtent l="0" t="0" r="0" b="0"/>
                  <wp:docPr id="17" name="Picture 17" descr="Image of a 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mage of a question mark."/>
                          <pic:cNvPicPr/>
                        </pic:nvPicPr>
                        <pic:blipFill>
                          <a:blip r:embed="rId16">
                            <a:extLst>
                              <a:ext uri="{28A0092B-C50C-407E-A947-70E740481C1C}">
                                <a14:useLocalDpi xmlns:a14="http://schemas.microsoft.com/office/drawing/2010/main" val="0"/>
                              </a:ext>
                            </a:extLst>
                          </a:blip>
                          <a:stretch>
                            <a:fillRect/>
                          </a:stretch>
                        </pic:blipFill>
                        <pic:spPr>
                          <a:xfrm>
                            <a:off x="0" y="0"/>
                            <a:ext cx="693466" cy="693466"/>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792657B" w14:textId="7709F4B8" w:rsidR="00E54E45" w:rsidRPr="00F96AB7" w:rsidRDefault="00E54E45" w:rsidP="00303739">
            <w:pPr>
              <w:keepNext/>
              <w:rPr>
                <w:b/>
                <w:bCs/>
              </w:rPr>
            </w:pPr>
            <w:r w:rsidRPr="00F96AB7">
              <w:rPr>
                <w:b/>
                <w:bCs/>
              </w:rPr>
              <w:t xml:space="preserve">Proposal </w:t>
            </w:r>
            <w:r>
              <w:rPr>
                <w:b/>
                <w:bCs/>
              </w:rPr>
              <w:t>1</w:t>
            </w:r>
            <w:r w:rsidR="00C44182">
              <w:rPr>
                <w:b/>
                <w:bCs/>
              </w:rPr>
              <w:t>2</w:t>
            </w:r>
            <w:r>
              <w:rPr>
                <w:b/>
                <w:bCs/>
              </w:rPr>
              <w:t>:</w:t>
            </w:r>
            <w:r w:rsidRPr="00F96AB7">
              <w:rPr>
                <w:b/>
                <w:bCs/>
              </w:rPr>
              <w:t xml:space="preserve"> </w:t>
            </w:r>
            <w:r>
              <w:rPr>
                <w:b/>
                <w:bCs/>
              </w:rPr>
              <w:t xml:space="preserve">Amend </w:t>
            </w:r>
            <w:r w:rsidR="00851A52">
              <w:rPr>
                <w:b/>
                <w:bCs/>
              </w:rPr>
              <w:t xml:space="preserve">AUS Essential Principle </w:t>
            </w:r>
            <w:r w:rsidRPr="00F96AB7">
              <w:rPr>
                <w:b/>
                <w:bCs/>
              </w:rPr>
              <w:t>1</w:t>
            </w:r>
            <w:r>
              <w:rPr>
                <w:b/>
                <w:bCs/>
              </w:rPr>
              <w:t>3.4</w:t>
            </w:r>
            <w:r w:rsidR="005C7322">
              <w:rPr>
                <w:b/>
                <w:bCs/>
              </w:rPr>
              <w:t>(3)29</w:t>
            </w:r>
            <w:r>
              <w:rPr>
                <w:b/>
                <w:bCs/>
              </w:rPr>
              <w:t xml:space="preserve"> (IFU</w:t>
            </w:r>
            <w:r w:rsidR="00A64720">
              <w:rPr>
                <w:b/>
                <w:bCs/>
              </w:rPr>
              <w:t xml:space="preserve"> – IVD devices)</w:t>
            </w:r>
          </w:p>
          <w:p w14:paraId="164BD170" w14:textId="328D30AF" w:rsidR="00E54E45" w:rsidRPr="00356B00" w:rsidRDefault="00E54E45" w:rsidP="00720585">
            <w:pPr>
              <w:pStyle w:val="Legislativeletterbullet"/>
              <w:keepNext/>
              <w:numPr>
                <w:ilvl w:val="0"/>
                <w:numId w:val="26"/>
              </w:numPr>
            </w:pPr>
            <w:r w:rsidRPr="00356B00">
              <w:t xml:space="preserve">Do you agree </w:t>
            </w:r>
            <w:r w:rsidR="00732713">
              <w:t xml:space="preserve">with the proposal </w:t>
            </w:r>
            <w:r w:rsidRPr="00356B00">
              <w:t xml:space="preserve">to adopt the intent of the </w:t>
            </w:r>
            <w:r w:rsidR="00FC07DD">
              <w:t>EU GSPR</w:t>
            </w:r>
            <w:r w:rsidRPr="00356B00">
              <w:t xml:space="preserve">s, related to </w:t>
            </w:r>
            <w:r w:rsidR="00851A52">
              <w:t xml:space="preserve">AUS Essential Principle </w:t>
            </w:r>
            <w:r w:rsidRPr="00356B00">
              <w:t>13.</w:t>
            </w:r>
            <w:r>
              <w:t>4</w:t>
            </w:r>
            <w:r w:rsidR="00A64720">
              <w:t>(3)29</w:t>
            </w:r>
            <w:r w:rsidRPr="00356B00">
              <w:t xml:space="preserve">? </w:t>
            </w:r>
          </w:p>
          <w:p w14:paraId="0D8565DD" w14:textId="33202A2A" w:rsidR="00E4152B" w:rsidRDefault="00E4152B" w:rsidP="00303739">
            <w:pPr>
              <w:pStyle w:val="Legislativeletterbullet"/>
              <w:keepNext/>
            </w:pPr>
            <w:r w:rsidRPr="00280787">
              <w:rPr>
                <w:color w:val="auto"/>
                <w:u w:val="single"/>
              </w:rPr>
              <w:t>AUS-specific:</w:t>
            </w:r>
            <w:r w:rsidRPr="00280787">
              <w:rPr>
                <w:color w:val="auto"/>
              </w:rPr>
              <w:t xml:space="preserve"> </w:t>
            </w:r>
            <w:r w:rsidR="004E009E" w:rsidRPr="004E009E">
              <w:t>Do you agree with the proposal that if any particulars of AUS EP 13.4(3)29 are omitted, under an equivalent clause to IVDR GSPR 20.4.2(b), such information must be available and presented to the Secretary upon request, according to the legislated timeframes for such requests</w:t>
            </w:r>
            <w:r w:rsidR="006C1B95" w:rsidRPr="006C1B95">
              <w:t>?</w:t>
            </w:r>
          </w:p>
          <w:p w14:paraId="08AB4C48" w14:textId="6866E3A6" w:rsidR="00E54E45" w:rsidRPr="00256A0C" w:rsidRDefault="004E009E" w:rsidP="00303739">
            <w:pPr>
              <w:pStyle w:val="Legislativeletterbullet"/>
              <w:keepNext/>
            </w:pPr>
            <w:r w:rsidRPr="004E009E">
              <w:t>If you think other changes are needed for AUS Essential Principle 13.4(3)29, explain</w:t>
            </w:r>
            <w:r w:rsidR="00E54E45">
              <w:t>.</w:t>
            </w:r>
          </w:p>
        </w:tc>
      </w:tr>
    </w:tbl>
    <w:p w14:paraId="20AC1444" w14:textId="76074D8D" w:rsidR="00A07D89" w:rsidRDefault="00FF12AF" w:rsidP="00F76CE4">
      <w:pPr>
        <w:pStyle w:val="Heading3"/>
      </w:pPr>
      <w:bookmarkStart w:id="81" w:name="_Toc168309855"/>
      <w:bookmarkStart w:id="82" w:name="_Toc173939979"/>
      <w:r>
        <w:t xml:space="preserve">Proposal </w:t>
      </w:r>
      <w:r w:rsidR="00F548FF">
        <w:t>1</w:t>
      </w:r>
      <w:r w:rsidR="00C44182">
        <w:t>3</w:t>
      </w:r>
      <w:r w:rsidR="008F21C3">
        <w:t>: Amend</w:t>
      </w:r>
      <w:r w:rsidR="00F548FF">
        <w:t xml:space="preserve"> </w:t>
      </w:r>
      <w:r w:rsidR="00851A52">
        <w:t xml:space="preserve">AUS Essential Principle </w:t>
      </w:r>
      <w:proofErr w:type="gramStart"/>
      <w:r w:rsidR="00F548FF">
        <w:t>13B</w:t>
      </w:r>
      <w:bookmarkEnd w:id="81"/>
      <w:bookmarkEnd w:id="82"/>
      <w:proofErr w:type="gramEnd"/>
    </w:p>
    <w:p w14:paraId="41EE3E48" w14:textId="77777777" w:rsidR="00214FA3" w:rsidRDefault="006A13D5" w:rsidP="00190AF8">
      <w:bookmarkStart w:id="83" w:name="_Hlk168060186"/>
      <w:r w:rsidRPr="006A13D5">
        <w:t xml:space="preserve">The intent of </w:t>
      </w:r>
      <w:r w:rsidR="00851A52">
        <w:t xml:space="preserve">AUS Essential Principle </w:t>
      </w:r>
      <w:r w:rsidRPr="006A13D5">
        <w:t>13B is for users to access sufficient information to identify the version of the software being used</w:t>
      </w:r>
      <w:r w:rsidR="00190AF8">
        <w:t xml:space="preserve"> and ensure traceability</w:t>
      </w:r>
      <w:r w:rsidRPr="006A13D5">
        <w:t xml:space="preserve">. </w:t>
      </w:r>
    </w:p>
    <w:p w14:paraId="5E17F595" w14:textId="77777777" w:rsidR="00214FA3" w:rsidRDefault="006A13D5" w:rsidP="00190AF8">
      <w:r w:rsidRPr="006A13D5">
        <w:t>We recognise that not all device manufacturers use build numbers</w:t>
      </w:r>
      <w:r w:rsidR="00D9497D">
        <w:t>. I</w:t>
      </w:r>
      <w:r w:rsidRPr="006A13D5">
        <w:t>nclusion of this information would depend on the version control management system used by the manufacturer</w:t>
      </w:r>
      <w:r w:rsidR="00190AF8">
        <w:t>.</w:t>
      </w:r>
      <w:r w:rsidRPr="006A13D5">
        <w:t xml:space="preserve"> </w:t>
      </w:r>
    </w:p>
    <w:p w14:paraId="25B106AE" w14:textId="6BD82533" w:rsidR="00190AF8" w:rsidRDefault="006A13D5" w:rsidP="00190AF8">
      <w:pPr>
        <w:rPr>
          <w:rFonts w:ascii="Calibri" w:eastAsiaTheme="minorHAnsi" w:hAnsi="Calibri"/>
          <w:color w:val="auto"/>
          <w:sz w:val="22"/>
          <w:szCs w:val="22"/>
          <w:lang w:eastAsia="en-US"/>
        </w:rPr>
      </w:pPr>
      <w:r w:rsidRPr="006A13D5">
        <w:t xml:space="preserve">As such, we are proposing to clarify the intent of </w:t>
      </w:r>
      <w:r w:rsidR="00851A52">
        <w:t xml:space="preserve">AUS Essential Principle </w:t>
      </w:r>
      <w:r>
        <w:t>13B</w:t>
      </w:r>
      <w:r w:rsidRPr="006A13D5">
        <w:t>, as for all other principles, that manufacturers are required to comply, where relevant</w:t>
      </w:r>
      <w:r w:rsidR="00190AF8">
        <w:t>.</w:t>
      </w:r>
    </w:p>
    <w:p w14:paraId="360D1C59" w14:textId="135A0699" w:rsidR="00073EE2" w:rsidRDefault="00073EE2" w:rsidP="00D25C90">
      <w:pPr>
        <w:pStyle w:val="Legislativeletterbullet"/>
        <w:numPr>
          <w:ilvl w:val="0"/>
          <w:numId w:val="0"/>
        </w:numPr>
      </w:pPr>
    </w:p>
    <w:bookmarkEnd w:id="83"/>
    <w:p w14:paraId="4775FB3F" w14:textId="23755F10" w:rsidR="009939EA" w:rsidRPr="0025722A" w:rsidRDefault="001D3E6A" w:rsidP="0025722A">
      <w:pPr>
        <w:rPr>
          <w:b/>
          <w:bCs/>
        </w:rPr>
      </w:pPr>
      <w:r w:rsidRPr="0025722A">
        <w:rPr>
          <w:b/>
          <w:bCs/>
        </w:rPr>
        <w:t xml:space="preserve">Current </w:t>
      </w:r>
      <w:r w:rsidR="00851A52">
        <w:rPr>
          <w:b/>
          <w:bCs/>
        </w:rPr>
        <w:t xml:space="preserve">AUS Essential Principle </w:t>
      </w:r>
      <w:r w:rsidR="009939EA" w:rsidRPr="0025722A">
        <w:rPr>
          <w:b/>
          <w:bCs/>
        </w:rPr>
        <w:t>13B</w:t>
      </w:r>
      <w:r w:rsidRPr="0025722A">
        <w:rPr>
          <w:b/>
          <w:bCs/>
        </w:rPr>
        <w:t>:</w:t>
      </w:r>
      <w:r w:rsidR="009939EA" w:rsidRPr="0025722A">
        <w:rPr>
          <w:b/>
          <w:bCs/>
        </w:rPr>
        <w:t xml:space="preserve">  Software—version numbers and build numbers</w:t>
      </w:r>
      <w:r w:rsidR="0025722A">
        <w:rPr>
          <w:rStyle w:val="FootnoteReference"/>
          <w:b/>
          <w:bCs/>
        </w:rPr>
        <w:footnoteReference w:id="8"/>
      </w:r>
    </w:p>
    <w:p w14:paraId="14347DED" w14:textId="68134537" w:rsidR="009939EA" w:rsidRPr="00820DAC" w:rsidRDefault="009939EA" w:rsidP="009939EA">
      <w:pPr>
        <w:pStyle w:val="Legislativeiiiiii"/>
        <w:tabs>
          <w:tab w:val="clear" w:pos="360"/>
          <w:tab w:val="num" w:pos="851"/>
        </w:tabs>
        <w:rPr>
          <w:i/>
          <w:iCs/>
        </w:rPr>
      </w:pPr>
      <w:r w:rsidRPr="00820DAC">
        <w:rPr>
          <w:i/>
          <w:iCs/>
        </w:rPr>
        <w:tab/>
        <w:t>(1) For a medical device that is software, or that incorporates software, the current version number and current build number of the software must be accessible by, and identifiable to, users of the device.</w:t>
      </w:r>
    </w:p>
    <w:p w14:paraId="3CCFAA77" w14:textId="1B31C3AF" w:rsidR="009939EA" w:rsidRPr="00820DAC" w:rsidRDefault="009939EA" w:rsidP="009939EA">
      <w:pPr>
        <w:pStyle w:val="Legislativeiiiiii"/>
        <w:tabs>
          <w:tab w:val="clear" w:pos="360"/>
          <w:tab w:val="num" w:pos="851"/>
        </w:tabs>
        <w:rPr>
          <w:i/>
          <w:iCs/>
        </w:rPr>
      </w:pPr>
      <w:r w:rsidRPr="00820DAC">
        <w:rPr>
          <w:i/>
          <w:iCs/>
        </w:rPr>
        <w:t>(2)</w:t>
      </w:r>
      <w:r w:rsidRPr="00820DAC">
        <w:rPr>
          <w:i/>
          <w:iCs/>
        </w:rPr>
        <w:tab/>
        <w:t>The current version number and current build number of the software:</w:t>
      </w:r>
    </w:p>
    <w:p w14:paraId="05CB6802" w14:textId="20803D22" w:rsidR="009939EA" w:rsidRPr="00820DAC" w:rsidRDefault="009939EA" w:rsidP="009939EA">
      <w:pPr>
        <w:pStyle w:val="Legislativeiiiiii"/>
        <w:ind w:left="1534"/>
        <w:rPr>
          <w:i/>
          <w:iCs/>
        </w:rPr>
      </w:pPr>
      <w:r w:rsidRPr="00820DAC">
        <w:rPr>
          <w:i/>
          <w:iCs/>
        </w:rPr>
        <w:tab/>
        <w:t xml:space="preserve">(a) </w:t>
      </w:r>
      <w:r w:rsidRPr="00820DAC">
        <w:rPr>
          <w:i/>
          <w:iCs/>
        </w:rPr>
        <w:tab/>
        <w:t>must be in English; and</w:t>
      </w:r>
    </w:p>
    <w:p w14:paraId="1768547E" w14:textId="0D754FCA" w:rsidR="009939EA" w:rsidRDefault="009939EA" w:rsidP="009939EA">
      <w:pPr>
        <w:pStyle w:val="Legislativeiiiiii"/>
        <w:ind w:left="1534"/>
        <w:rPr>
          <w:i/>
          <w:iCs/>
        </w:rPr>
      </w:pPr>
      <w:r w:rsidRPr="00820DAC">
        <w:rPr>
          <w:i/>
          <w:iCs/>
        </w:rPr>
        <w:tab/>
        <w:t xml:space="preserve">(b) </w:t>
      </w:r>
      <w:r w:rsidRPr="00820DAC">
        <w:rPr>
          <w:i/>
          <w:iCs/>
        </w:rPr>
        <w:tab/>
        <w:t>may also be in any other language</w:t>
      </w:r>
    </w:p>
    <w:p w14:paraId="72B41764" w14:textId="63DBC18D" w:rsidR="00447A62" w:rsidRPr="00820DAC" w:rsidRDefault="00447A62" w:rsidP="00755DB9">
      <w:pPr>
        <w:pStyle w:val="Heading4"/>
      </w:pPr>
      <w:bookmarkStart w:id="84" w:name="_Toc173939980"/>
      <w:r>
        <w:t>Questions</w:t>
      </w:r>
      <w:bookmarkEnd w:id="84"/>
    </w:p>
    <w:tbl>
      <w:tblPr>
        <w:tblW w:w="9038" w:type="dxa"/>
        <w:tblLayout w:type="fixed"/>
        <w:tblCellMar>
          <w:left w:w="0" w:type="dxa"/>
          <w:right w:w="0" w:type="dxa"/>
        </w:tblCellMar>
        <w:tblLook w:val="04A0" w:firstRow="1" w:lastRow="0" w:firstColumn="1" w:lastColumn="0" w:noHBand="0" w:noVBand="1"/>
      </w:tblPr>
      <w:tblGrid>
        <w:gridCol w:w="1276"/>
        <w:gridCol w:w="7762"/>
      </w:tblGrid>
      <w:tr w:rsidR="00E73159" w:rsidRPr="009401F6" w14:paraId="5A9BE345" w14:textId="77777777" w:rsidTr="00642F68">
        <w:tc>
          <w:tcPr>
            <w:tcW w:w="1276" w:type="dxa"/>
            <w:vAlign w:val="center"/>
          </w:tcPr>
          <w:p w14:paraId="6F79D8EE" w14:textId="77777777" w:rsidR="00E73159" w:rsidRPr="009401F6" w:rsidRDefault="00E73159" w:rsidP="00642F68">
            <w:r w:rsidRPr="00A004D1">
              <w:rPr>
                <w:noProof/>
              </w:rPr>
              <w:drawing>
                <wp:inline distT="0" distB="0" distL="0" distR="0" wp14:anchorId="296AB099" wp14:editId="1B5276B2">
                  <wp:extent cx="694944" cy="694944"/>
                  <wp:effectExtent l="0" t="0" r="0" b="0"/>
                  <wp:docPr id="18" name="Picture 18" descr="Image of a 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mage of a question mark."/>
                          <pic:cNvPicPr/>
                        </pic:nvPicPr>
                        <pic:blipFill>
                          <a:blip r:embed="rId16">
                            <a:extLst>
                              <a:ext uri="{28A0092B-C50C-407E-A947-70E740481C1C}">
                                <a14:useLocalDpi xmlns:a14="http://schemas.microsoft.com/office/drawing/2010/main" val="0"/>
                              </a:ext>
                            </a:extLst>
                          </a:blip>
                          <a:stretch>
                            <a:fillRect/>
                          </a:stretch>
                        </pic:blipFill>
                        <pic:spPr>
                          <a:xfrm>
                            <a:off x="0" y="0"/>
                            <a:ext cx="693466" cy="693466"/>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4893F3C" w14:textId="10F5A21F" w:rsidR="001D3E6A" w:rsidRPr="001D3E6A" w:rsidRDefault="00E73159" w:rsidP="001D3E6A">
            <w:pPr>
              <w:rPr>
                <w:b/>
                <w:bCs/>
              </w:rPr>
            </w:pPr>
            <w:bookmarkStart w:id="85" w:name="_Hlk162446529"/>
            <w:r w:rsidRPr="00F96AB7">
              <w:rPr>
                <w:b/>
                <w:bCs/>
              </w:rPr>
              <w:t xml:space="preserve">Proposal </w:t>
            </w:r>
            <w:r>
              <w:rPr>
                <w:b/>
                <w:bCs/>
              </w:rPr>
              <w:t>1</w:t>
            </w:r>
            <w:r w:rsidR="00C44182">
              <w:rPr>
                <w:b/>
                <w:bCs/>
              </w:rPr>
              <w:t>3</w:t>
            </w:r>
            <w:r>
              <w:rPr>
                <w:b/>
                <w:bCs/>
              </w:rPr>
              <w:t>:</w:t>
            </w:r>
            <w:r w:rsidRPr="00F96AB7">
              <w:rPr>
                <w:b/>
                <w:bCs/>
              </w:rPr>
              <w:t xml:space="preserve"> </w:t>
            </w:r>
            <w:r>
              <w:rPr>
                <w:b/>
                <w:bCs/>
              </w:rPr>
              <w:t xml:space="preserve">Amend </w:t>
            </w:r>
            <w:r w:rsidR="00851A52">
              <w:rPr>
                <w:b/>
                <w:bCs/>
              </w:rPr>
              <w:t xml:space="preserve">AUS Essential Principle </w:t>
            </w:r>
            <w:proofErr w:type="gramStart"/>
            <w:r w:rsidRPr="00F96AB7">
              <w:rPr>
                <w:b/>
                <w:bCs/>
              </w:rPr>
              <w:t>1</w:t>
            </w:r>
            <w:r>
              <w:rPr>
                <w:b/>
                <w:bCs/>
              </w:rPr>
              <w:t>3</w:t>
            </w:r>
            <w:r w:rsidR="000F67DB">
              <w:rPr>
                <w:b/>
                <w:bCs/>
              </w:rPr>
              <w:t>B</w:t>
            </w:r>
            <w:proofErr w:type="gramEnd"/>
          </w:p>
          <w:p w14:paraId="7072A5CD" w14:textId="747FFD74" w:rsidR="006A13D5" w:rsidRDefault="006A13D5" w:rsidP="00720585">
            <w:pPr>
              <w:pStyle w:val="Legislativeletterbullet"/>
              <w:numPr>
                <w:ilvl w:val="0"/>
                <w:numId w:val="34"/>
              </w:numPr>
            </w:pPr>
            <w:r w:rsidRPr="00303739">
              <w:t xml:space="preserve">Do you </w:t>
            </w:r>
            <w:r>
              <w:t xml:space="preserve">think it necessary to amend </w:t>
            </w:r>
            <w:r w:rsidR="00851A52">
              <w:t xml:space="preserve">AUS Essential Principle </w:t>
            </w:r>
            <w:r>
              <w:t>13B to clarify that a build number be accessible by and identifiable to users of the device, only where it is used by the manufacture as a</w:t>
            </w:r>
            <w:r w:rsidRPr="0015495E">
              <w:t xml:space="preserve"> component of the manufacturer</w:t>
            </w:r>
            <w:r>
              <w:t>’</w:t>
            </w:r>
            <w:r w:rsidRPr="0015495E">
              <w:t>s version control management system</w:t>
            </w:r>
            <w:r>
              <w:t xml:space="preserve">? </w:t>
            </w:r>
            <w:r w:rsidR="004E009E">
              <w:t xml:space="preserve"> </w:t>
            </w:r>
            <w:r w:rsidR="00055141">
              <w:t>E</w:t>
            </w:r>
            <w:r w:rsidR="004E009E">
              <w:t>xplain.</w:t>
            </w:r>
          </w:p>
          <w:bookmarkEnd w:id="85"/>
          <w:p w14:paraId="2A92BE51" w14:textId="4E383304" w:rsidR="000A202D" w:rsidRPr="00256A0C" w:rsidRDefault="004E009E" w:rsidP="000731F5">
            <w:pPr>
              <w:pStyle w:val="Legislativeletterbullet"/>
            </w:pPr>
            <w:r w:rsidRPr="004E009E">
              <w:t>If you think other changes are needed for AUS Essential Principle 13B, explain</w:t>
            </w:r>
            <w:r>
              <w:t>.</w:t>
            </w:r>
          </w:p>
        </w:tc>
      </w:tr>
    </w:tbl>
    <w:p w14:paraId="052BA832" w14:textId="1FBAED49" w:rsidR="00C44182" w:rsidRDefault="00C44182" w:rsidP="00C44182">
      <w:pPr>
        <w:pStyle w:val="Heading2"/>
      </w:pPr>
      <w:bookmarkStart w:id="86" w:name="_Proposal_10:_New"/>
      <w:bookmarkStart w:id="87" w:name="_Proposal_15:_Adopt"/>
      <w:bookmarkStart w:id="88" w:name="_Proposal_14:_Amend"/>
      <w:bookmarkStart w:id="89" w:name="_Toc168309856"/>
      <w:bookmarkStart w:id="90" w:name="_Hlk164246283"/>
      <w:bookmarkStart w:id="91" w:name="_Toc173939981"/>
      <w:bookmarkEnd w:id="86"/>
      <w:bookmarkEnd w:id="87"/>
      <w:bookmarkEnd w:id="88"/>
      <w:r>
        <w:t xml:space="preserve">Requirements of Australian </w:t>
      </w:r>
      <w:r w:rsidR="003E136F">
        <w:t>sponsor</w:t>
      </w:r>
      <w:r>
        <w:t>s</w:t>
      </w:r>
      <w:bookmarkEnd w:id="89"/>
      <w:bookmarkEnd w:id="91"/>
    </w:p>
    <w:p w14:paraId="1D93FE28" w14:textId="3F9F3106" w:rsidR="00AA4756" w:rsidRDefault="00AA4756" w:rsidP="007E0501">
      <w:pPr>
        <w:pStyle w:val="Heading3"/>
      </w:pPr>
      <w:bookmarkStart w:id="92" w:name="_Toc168309857"/>
      <w:bookmarkStart w:id="93" w:name="_Toc173939982"/>
      <w:bookmarkEnd w:id="90"/>
      <w:r>
        <w:t xml:space="preserve">Proposal 14: Amend </w:t>
      </w:r>
      <w:r w:rsidR="00A47979">
        <w:t xml:space="preserve">AUS </w:t>
      </w:r>
      <w:r>
        <w:t>Regulation 10.2</w:t>
      </w:r>
      <w:r w:rsidR="00EC73BD">
        <w:t xml:space="preserve"> – Australian </w:t>
      </w:r>
      <w:proofErr w:type="gramStart"/>
      <w:r w:rsidR="003E136F">
        <w:t>sponsor</w:t>
      </w:r>
      <w:r w:rsidR="00EC73BD">
        <w:t>s</w:t>
      </w:r>
      <w:bookmarkEnd w:id="92"/>
      <w:bookmarkEnd w:id="93"/>
      <w:proofErr w:type="gramEnd"/>
    </w:p>
    <w:p w14:paraId="588018E1" w14:textId="5D870B83" w:rsidR="00A96FB6" w:rsidRPr="006209DD" w:rsidRDefault="00A96FB6" w:rsidP="00A96FB6">
      <w:pPr>
        <w:pStyle w:val="Heading4"/>
      </w:pPr>
      <w:bookmarkStart w:id="94" w:name="_Toc170375705"/>
      <w:bookmarkStart w:id="95" w:name="_Hlk164247047"/>
      <w:bookmarkStart w:id="96" w:name="_Toc173939983"/>
      <w:r w:rsidRPr="006209DD">
        <w:t xml:space="preserve">Provision of technical support </w:t>
      </w:r>
      <w:bookmarkEnd w:id="94"/>
      <w:r>
        <w:t>to Australian customers</w:t>
      </w:r>
      <w:r w:rsidR="008E5D0A">
        <w:t xml:space="preserve"> for IVD devices</w:t>
      </w:r>
      <w:bookmarkEnd w:id="96"/>
    </w:p>
    <w:p w14:paraId="39762C4E" w14:textId="058E8BCC" w:rsidR="00426CA6" w:rsidRDefault="00A96FB6" w:rsidP="00755DB9">
      <w:bookmarkStart w:id="97" w:name="_Toc170375706"/>
      <w:r>
        <w:t>In</w:t>
      </w:r>
      <w:r w:rsidRPr="00D353F1">
        <w:t xml:space="preserve"> Proposal 11</w:t>
      </w:r>
      <w:r>
        <w:t xml:space="preserve">, </w:t>
      </w:r>
      <w:r w:rsidRPr="00D353F1">
        <w:t xml:space="preserve">we propose to introduce requirements </w:t>
      </w:r>
      <w:r>
        <w:t xml:space="preserve">(under </w:t>
      </w:r>
      <w:r w:rsidRPr="00D353F1">
        <w:t>EP 13.4(3) Item 1</w:t>
      </w:r>
      <w:r>
        <w:t xml:space="preserve">) </w:t>
      </w:r>
      <w:r w:rsidRPr="00D353F1">
        <w:t>for manufacturers</w:t>
      </w:r>
      <w:r>
        <w:t xml:space="preserve"> of IVD devices</w:t>
      </w:r>
      <w:r w:rsidRPr="00D353F1">
        <w:t xml:space="preserve"> to include in the instructions for use, contact details to allow users to obtain technical assistance</w:t>
      </w:r>
      <w:r>
        <w:t xml:space="preserve">. </w:t>
      </w:r>
    </w:p>
    <w:p w14:paraId="63B51B1A" w14:textId="77777777" w:rsidR="00071106" w:rsidRDefault="00A96FB6" w:rsidP="00755DB9">
      <w:r>
        <w:t>This is based on alignment with</w:t>
      </w:r>
      <w:r w:rsidRPr="00D353F1">
        <w:t xml:space="preserve"> EU </w:t>
      </w:r>
      <w:r w:rsidRPr="00A96FB6">
        <w:t>IVDR GSPR 20.4.1.</w:t>
      </w:r>
      <w:r>
        <w:t xml:space="preserve"> </w:t>
      </w:r>
    </w:p>
    <w:p w14:paraId="513887B7" w14:textId="58482B61" w:rsidR="0010517E" w:rsidRDefault="00A96FB6" w:rsidP="00755DB9">
      <w:r w:rsidRPr="00D353F1">
        <w:t xml:space="preserve">As such, it is important that Australian sponsors </w:t>
      </w:r>
      <w:r>
        <w:t xml:space="preserve">of IVD devices </w:t>
      </w:r>
      <w:r w:rsidRPr="00D353F1">
        <w:t>have agreements in place with their manufacturer/s to ensure an appropriate level of technical assistance is available to Australian customers.</w:t>
      </w:r>
      <w:r>
        <w:t xml:space="preserve"> </w:t>
      </w:r>
    </w:p>
    <w:p w14:paraId="45474395" w14:textId="25EB5C16" w:rsidR="00A96FB6" w:rsidRDefault="00A96FB6" w:rsidP="00755DB9">
      <w:r w:rsidRPr="00AB4ABE">
        <w:t>This would be especially important for IVD devices intended for self-testing and point of care testing.</w:t>
      </w:r>
    </w:p>
    <w:p w14:paraId="59F88EC8" w14:textId="77777777" w:rsidR="00A96FB6" w:rsidRPr="00D353F1" w:rsidRDefault="00A96FB6" w:rsidP="00A96FB6">
      <w:pPr>
        <w:pStyle w:val="Heading4"/>
        <w:rPr>
          <w:rFonts w:cstheme="minorHAnsi"/>
          <w:bCs w:val="0"/>
          <w:color w:val="auto"/>
          <w:sz w:val="21"/>
          <w:szCs w:val="21"/>
        </w:rPr>
      </w:pPr>
      <w:bookmarkStart w:id="98" w:name="_Toc173939984"/>
      <w:r>
        <w:t>Current Regulation 10.2</w:t>
      </w:r>
      <w:bookmarkEnd w:id="97"/>
      <w:bookmarkEnd w:id="98"/>
    </w:p>
    <w:p w14:paraId="2F8A7ED3" w14:textId="77777777" w:rsidR="00A96FB6" w:rsidRDefault="00A96FB6" w:rsidP="00A96FB6">
      <w:r>
        <w:t>Our current Regulation 10.2 Information for Sponsors, states:</w:t>
      </w:r>
    </w:p>
    <w:p w14:paraId="6F303B44" w14:textId="77777777" w:rsidR="00A96FB6" w:rsidRPr="002A79DA" w:rsidRDefault="00A96FB6" w:rsidP="00A96FB6">
      <w:r w:rsidRPr="002A79DA">
        <w:t>(1)  The sponsor of a medical device must ensure that the sponsor’s name and address are:</w:t>
      </w:r>
    </w:p>
    <w:p w14:paraId="285E9F02" w14:textId="77777777" w:rsidR="00A96FB6" w:rsidRPr="002A79DA" w:rsidRDefault="00A96FB6" w:rsidP="00A96FB6">
      <w:r w:rsidRPr="002A79DA">
        <w:tab/>
        <w:t>(a) provided with the device in such a way that a user of the device can readily identify the sponsor; and</w:t>
      </w:r>
    </w:p>
    <w:p w14:paraId="5106DA94" w14:textId="673B3889" w:rsidR="00A96FB6" w:rsidRPr="002A79DA" w:rsidRDefault="00A96FB6" w:rsidP="00A96FB6">
      <w:r w:rsidRPr="002A79DA">
        <w:tab/>
        <w:t>(b) located in accordance with clause 13.2 in Schedul</w:t>
      </w:r>
      <w:r>
        <w:t>e</w:t>
      </w:r>
      <w:r w:rsidR="004448F8">
        <w:t xml:space="preserve"> 1</w:t>
      </w:r>
      <w:r w:rsidRPr="002A79DA">
        <w:t>.</w:t>
      </w:r>
    </w:p>
    <w:p w14:paraId="0EFC4B37" w14:textId="77777777" w:rsidR="00A96FB6" w:rsidRDefault="00A96FB6" w:rsidP="00A96FB6">
      <w:r w:rsidRPr="002A79DA">
        <w:t>(2)</w:t>
      </w:r>
      <w:r>
        <w:t xml:space="preserve"> </w:t>
      </w:r>
      <w:r w:rsidRPr="002A79DA">
        <w:t>If the sponsor of a medical device arranges for a label to be attached or affixed to the device for the purpose of complying with sub regulation (1) or for any other purpose (for example, to comply with a labelling requirement under the law of a State or Territory), the label must not in any way adulterate the device or obscure the information provided with the device by the manufacturer.</w:t>
      </w:r>
    </w:p>
    <w:p w14:paraId="6B68E2FA" w14:textId="43729C43" w:rsidR="00447A62" w:rsidRPr="000626E6" w:rsidRDefault="00447A62" w:rsidP="00755DB9">
      <w:pPr>
        <w:pStyle w:val="Heading4"/>
      </w:pPr>
      <w:bookmarkStart w:id="99" w:name="_Toc173939985"/>
      <w:r>
        <w:t>Questions</w:t>
      </w:r>
      <w:bookmarkEnd w:id="99"/>
    </w:p>
    <w:tbl>
      <w:tblPr>
        <w:tblW w:w="9038" w:type="dxa"/>
        <w:tblLayout w:type="fixed"/>
        <w:tblCellMar>
          <w:left w:w="0" w:type="dxa"/>
          <w:right w:w="0" w:type="dxa"/>
        </w:tblCellMar>
        <w:tblLook w:val="04A0" w:firstRow="1" w:lastRow="0" w:firstColumn="1" w:lastColumn="0" w:noHBand="0" w:noVBand="1"/>
      </w:tblPr>
      <w:tblGrid>
        <w:gridCol w:w="1276"/>
        <w:gridCol w:w="7762"/>
      </w:tblGrid>
      <w:tr w:rsidR="00AA4756" w:rsidRPr="009401F6" w14:paraId="28BF73B1" w14:textId="77777777" w:rsidTr="002B589D">
        <w:tc>
          <w:tcPr>
            <w:tcW w:w="1276" w:type="dxa"/>
            <w:vAlign w:val="center"/>
          </w:tcPr>
          <w:bookmarkEnd w:id="95"/>
          <w:p w14:paraId="397911E4" w14:textId="77777777" w:rsidR="00AA4756" w:rsidRPr="009401F6" w:rsidRDefault="00AA4756" w:rsidP="00D25C90">
            <w:r w:rsidRPr="00A004D1">
              <w:rPr>
                <w:noProof/>
              </w:rPr>
              <w:drawing>
                <wp:inline distT="0" distB="0" distL="0" distR="0" wp14:anchorId="53C62172" wp14:editId="31964491">
                  <wp:extent cx="694944" cy="694944"/>
                  <wp:effectExtent l="0" t="0" r="0" b="0"/>
                  <wp:docPr id="1" name="Picture 1" descr="Image of a 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a question mark."/>
                          <pic:cNvPicPr/>
                        </pic:nvPicPr>
                        <pic:blipFill>
                          <a:blip r:embed="rId16">
                            <a:extLst>
                              <a:ext uri="{28A0092B-C50C-407E-A947-70E740481C1C}">
                                <a14:useLocalDpi xmlns:a14="http://schemas.microsoft.com/office/drawing/2010/main" val="0"/>
                              </a:ext>
                            </a:extLst>
                          </a:blip>
                          <a:stretch>
                            <a:fillRect/>
                          </a:stretch>
                        </pic:blipFill>
                        <pic:spPr>
                          <a:xfrm>
                            <a:off x="0" y="0"/>
                            <a:ext cx="693466" cy="693466"/>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4B01A23" w14:textId="2FF076F9" w:rsidR="00AA4756" w:rsidRPr="00F96AB7" w:rsidRDefault="00AA4756" w:rsidP="00D25C90">
            <w:pPr>
              <w:rPr>
                <w:b/>
                <w:bCs/>
              </w:rPr>
            </w:pPr>
            <w:r w:rsidRPr="00F96AB7">
              <w:rPr>
                <w:b/>
                <w:bCs/>
              </w:rPr>
              <w:t xml:space="preserve">Proposal </w:t>
            </w:r>
            <w:r>
              <w:rPr>
                <w:b/>
                <w:bCs/>
              </w:rPr>
              <w:t>14:</w:t>
            </w:r>
            <w:r w:rsidRPr="00F96AB7">
              <w:rPr>
                <w:b/>
                <w:bCs/>
              </w:rPr>
              <w:t xml:space="preserve"> </w:t>
            </w:r>
            <w:r>
              <w:rPr>
                <w:b/>
                <w:bCs/>
              </w:rPr>
              <w:t xml:space="preserve">Amend </w:t>
            </w:r>
            <w:r w:rsidR="00A47979">
              <w:rPr>
                <w:b/>
                <w:bCs/>
              </w:rPr>
              <w:t xml:space="preserve">AUS </w:t>
            </w:r>
            <w:r>
              <w:rPr>
                <w:b/>
                <w:bCs/>
              </w:rPr>
              <w:t>Regulation 10.2</w:t>
            </w:r>
          </w:p>
          <w:p w14:paraId="57118FAE" w14:textId="3874FFDB" w:rsidR="00303739" w:rsidRDefault="00A96FB6" w:rsidP="00720585">
            <w:pPr>
              <w:pStyle w:val="Legislativeletterbullet"/>
              <w:numPr>
                <w:ilvl w:val="0"/>
                <w:numId w:val="30"/>
              </w:numPr>
            </w:pPr>
            <w:r w:rsidRPr="00A96FB6">
              <w:t xml:space="preserve">Do you agree that Australian Sponsors </w:t>
            </w:r>
            <w:r>
              <w:t xml:space="preserve">of IVD devices </w:t>
            </w:r>
            <w:r w:rsidRPr="00A96FB6">
              <w:t>be required to have written agreements in place with their manufacturer/s to ensure an appropriate level of technical assistance be available to Australian customers</w:t>
            </w:r>
            <w:r w:rsidR="00B24487">
              <w:t xml:space="preserve">?  </w:t>
            </w:r>
          </w:p>
          <w:p w14:paraId="39C07E70" w14:textId="115C24D3" w:rsidR="00AA4756" w:rsidRPr="00256A0C" w:rsidRDefault="00DE4E39" w:rsidP="00720585">
            <w:pPr>
              <w:pStyle w:val="Legislativeletterbullet"/>
              <w:numPr>
                <w:ilvl w:val="0"/>
                <w:numId w:val="30"/>
              </w:numPr>
            </w:pPr>
            <w:r>
              <w:t>I</w:t>
            </w:r>
            <w:r w:rsidRPr="00DE4E39">
              <w:t>f you think other changes are needed for AUS Regulation 10.2, explain</w:t>
            </w:r>
            <w:r w:rsidR="00AA4756">
              <w:t>.</w:t>
            </w:r>
          </w:p>
        </w:tc>
      </w:tr>
    </w:tbl>
    <w:p w14:paraId="43B6588B" w14:textId="77777777" w:rsidR="00C44182" w:rsidRDefault="00C44182" w:rsidP="00C44182">
      <w:pPr>
        <w:pStyle w:val="Heading2"/>
      </w:pPr>
      <w:bookmarkStart w:id="100" w:name="_Toc168309858"/>
      <w:bookmarkStart w:id="101" w:name="_Hlk164246867"/>
      <w:bookmarkStart w:id="102" w:name="_Toc173939986"/>
      <w:r>
        <w:t>Definitions</w:t>
      </w:r>
      <w:bookmarkEnd w:id="100"/>
      <w:bookmarkEnd w:id="102"/>
    </w:p>
    <w:p w14:paraId="0EB203B2" w14:textId="3B082D15" w:rsidR="00E642BC" w:rsidRDefault="00E642BC" w:rsidP="007E0501">
      <w:pPr>
        <w:pStyle w:val="Heading3"/>
      </w:pPr>
      <w:bookmarkStart w:id="103" w:name="_Toc168309859"/>
      <w:bookmarkStart w:id="104" w:name="_Toc173939987"/>
      <w:bookmarkEnd w:id="101"/>
      <w:r>
        <w:t>Proposal 1</w:t>
      </w:r>
      <w:r w:rsidR="00AA4756">
        <w:t>5</w:t>
      </w:r>
      <w:r>
        <w:t xml:space="preserve">: Adopt </w:t>
      </w:r>
      <w:proofErr w:type="gramStart"/>
      <w:r>
        <w:t>definitions</w:t>
      </w:r>
      <w:bookmarkEnd w:id="103"/>
      <w:bookmarkEnd w:id="104"/>
      <w:proofErr w:type="gramEnd"/>
    </w:p>
    <w:p w14:paraId="5F007A90" w14:textId="1932D896" w:rsidR="00E642BC" w:rsidRDefault="00E642BC" w:rsidP="005D0840">
      <w:r>
        <w:t>The following definitions are being consider</w:t>
      </w:r>
      <w:r w:rsidR="00732713">
        <w:t>ed</w:t>
      </w:r>
      <w:r>
        <w:t xml:space="preserve"> for adoption to provide clarity and consistency with the </w:t>
      </w:r>
      <w:r w:rsidR="007C3BD0">
        <w:t>EU GSPRs</w:t>
      </w:r>
      <w:r>
        <w:t>:</w:t>
      </w:r>
    </w:p>
    <w:tbl>
      <w:tblPr>
        <w:tblStyle w:val="TableGrid"/>
        <w:tblW w:w="9067" w:type="dxa"/>
        <w:tblLook w:val="04A0" w:firstRow="1" w:lastRow="0" w:firstColumn="1" w:lastColumn="0" w:noHBand="0" w:noVBand="1"/>
      </w:tblPr>
      <w:tblGrid>
        <w:gridCol w:w="1594"/>
        <w:gridCol w:w="7473"/>
      </w:tblGrid>
      <w:tr w:rsidR="00892CB5" w:rsidRPr="00B66506" w14:paraId="1117A165" w14:textId="77777777" w:rsidTr="00806B60">
        <w:trPr>
          <w:tblHeader/>
        </w:trPr>
        <w:tc>
          <w:tcPr>
            <w:tcW w:w="1594" w:type="dxa"/>
            <w:shd w:val="clear" w:color="auto" w:fill="2E74B5" w:themeFill="accent5" w:themeFillShade="BF"/>
          </w:tcPr>
          <w:p w14:paraId="49DBBC36" w14:textId="66B92015" w:rsidR="00892CB5" w:rsidRPr="00B66506" w:rsidRDefault="00892CB5" w:rsidP="005D0840">
            <w:pPr>
              <w:rPr>
                <w:b/>
                <w:bCs/>
                <w:color w:val="FFFFFF" w:themeColor="background1"/>
              </w:rPr>
            </w:pPr>
            <w:r w:rsidRPr="00B66506">
              <w:rPr>
                <w:b/>
                <w:bCs/>
                <w:color w:val="FFFFFF" w:themeColor="background1"/>
              </w:rPr>
              <w:t>Term</w:t>
            </w:r>
          </w:p>
        </w:tc>
        <w:tc>
          <w:tcPr>
            <w:tcW w:w="7473" w:type="dxa"/>
            <w:shd w:val="clear" w:color="auto" w:fill="2E74B5" w:themeFill="accent5" w:themeFillShade="BF"/>
          </w:tcPr>
          <w:p w14:paraId="0DD03584" w14:textId="4ADD67C9" w:rsidR="00892CB5" w:rsidRPr="00B66506" w:rsidRDefault="00892CB5" w:rsidP="005D0840">
            <w:pPr>
              <w:rPr>
                <w:b/>
                <w:bCs/>
                <w:color w:val="FFFFFF" w:themeColor="background1"/>
              </w:rPr>
            </w:pPr>
            <w:r w:rsidRPr="00B66506">
              <w:rPr>
                <w:b/>
                <w:bCs/>
                <w:color w:val="FFFFFF" w:themeColor="background1"/>
              </w:rPr>
              <w:t>Definition</w:t>
            </w:r>
          </w:p>
        </w:tc>
      </w:tr>
      <w:tr w:rsidR="00892CB5" w14:paraId="4411FC70" w14:textId="77777777" w:rsidTr="00806B60">
        <w:tc>
          <w:tcPr>
            <w:tcW w:w="1594" w:type="dxa"/>
          </w:tcPr>
          <w:p w14:paraId="5297611A" w14:textId="5349E54D" w:rsidR="00892CB5" w:rsidRDefault="00892CB5" w:rsidP="005D0840">
            <w:r>
              <w:t>Interoperability</w:t>
            </w:r>
          </w:p>
        </w:tc>
        <w:tc>
          <w:tcPr>
            <w:tcW w:w="7473" w:type="dxa"/>
          </w:tcPr>
          <w:p w14:paraId="120BF1A0" w14:textId="6F41380D" w:rsidR="00806B60" w:rsidRPr="00806B60" w:rsidRDefault="00806B60" w:rsidP="00562FCD">
            <w:pPr>
              <w:rPr>
                <w:b/>
                <w:bCs/>
              </w:rPr>
            </w:pPr>
            <w:r w:rsidRPr="00806B60">
              <w:rPr>
                <w:b/>
                <w:bCs/>
              </w:rPr>
              <w:t>EU definition:</w:t>
            </w:r>
          </w:p>
          <w:p w14:paraId="1C808D98" w14:textId="25BB006C" w:rsidR="00892CB5" w:rsidRPr="006D5EA8" w:rsidRDefault="007B2C32" w:rsidP="00806B60">
            <w:pPr>
              <w:ind w:left="720"/>
              <w:rPr>
                <w:i/>
                <w:iCs/>
              </w:rPr>
            </w:pPr>
            <w:r>
              <w:rPr>
                <w:i/>
                <w:iCs/>
              </w:rPr>
              <w:t>T</w:t>
            </w:r>
            <w:r w:rsidR="00892CB5" w:rsidRPr="006D5EA8">
              <w:rPr>
                <w:i/>
                <w:iCs/>
              </w:rPr>
              <w:t xml:space="preserve">he ability of two or more devices, including software, from the same manufacturer or from different manufacturers, to: </w:t>
            </w:r>
          </w:p>
          <w:p w14:paraId="3A228353" w14:textId="43DF3103" w:rsidR="00892CB5" w:rsidRPr="006D5EA8" w:rsidRDefault="00892CB5" w:rsidP="00720585">
            <w:pPr>
              <w:pStyle w:val="Legislativeletterbullet"/>
              <w:numPr>
                <w:ilvl w:val="0"/>
                <w:numId w:val="28"/>
              </w:numPr>
              <w:ind w:left="1222"/>
              <w:rPr>
                <w:i/>
                <w:iCs/>
              </w:rPr>
            </w:pPr>
            <w:r w:rsidRPr="006D5EA8">
              <w:rPr>
                <w:i/>
                <w:iCs/>
              </w:rPr>
              <w:t xml:space="preserve">exchange information and use the information that has been exchanged for the correct execution of a specified function without changing the content of the data, and/or </w:t>
            </w:r>
          </w:p>
          <w:p w14:paraId="0F843368" w14:textId="30462E0B" w:rsidR="00892CB5" w:rsidRPr="006D5EA8" w:rsidRDefault="00892CB5" w:rsidP="00806B60">
            <w:pPr>
              <w:pStyle w:val="Legislativeletterbullet"/>
              <w:ind w:left="1222"/>
              <w:rPr>
                <w:i/>
                <w:iCs/>
              </w:rPr>
            </w:pPr>
            <w:r w:rsidRPr="006D5EA8">
              <w:rPr>
                <w:i/>
                <w:iCs/>
              </w:rPr>
              <w:t xml:space="preserve">communicate with each other, and/or </w:t>
            </w:r>
          </w:p>
          <w:p w14:paraId="1475123E" w14:textId="4DE316B2" w:rsidR="00892CB5" w:rsidRPr="006D5EA8" w:rsidRDefault="00892CB5" w:rsidP="00806B60">
            <w:pPr>
              <w:pStyle w:val="Legislativeletterbullet"/>
              <w:ind w:left="1222"/>
            </w:pPr>
            <w:r w:rsidRPr="006D5EA8">
              <w:rPr>
                <w:i/>
                <w:iCs/>
              </w:rPr>
              <w:t>work together as intended;</w:t>
            </w:r>
          </w:p>
        </w:tc>
      </w:tr>
      <w:tr w:rsidR="00892CB5" w14:paraId="70E84548" w14:textId="77777777" w:rsidTr="00806B60">
        <w:tc>
          <w:tcPr>
            <w:tcW w:w="1594" w:type="dxa"/>
          </w:tcPr>
          <w:p w14:paraId="010E246A" w14:textId="2B817EA8" w:rsidR="00892CB5" w:rsidRDefault="00892CB5" w:rsidP="005D0840">
            <w:r>
              <w:t>Benefit-risk determination</w:t>
            </w:r>
          </w:p>
        </w:tc>
        <w:tc>
          <w:tcPr>
            <w:tcW w:w="7473" w:type="dxa"/>
          </w:tcPr>
          <w:p w14:paraId="6DDB3181" w14:textId="77777777" w:rsidR="00806B60" w:rsidRPr="00806B60" w:rsidRDefault="00806B60" w:rsidP="00806B60">
            <w:pPr>
              <w:rPr>
                <w:b/>
                <w:bCs/>
              </w:rPr>
            </w:pPr>
            <w:bookmarkStart w:id="105" w:name="_Hlk162509717"/>
            <w:r w:rsidRPr="00806B60">
              <w:rPr>
                <w:b/>
                <w:bCs/>
              </w:rPr>
              <w:t>EU definition:</w:t>
            </w:r>
          </w:p>
          <w:p w14:paraId="1697B42D" w14:textId="5BC498C3" w:rsidR="00892CB5" w:rsidRPr="006D5EA8" w:rsidRDefault="007B2C32" w:rsidP="00806B60">
            <w:pPr>
              <w:ind w:left="720"/>
              <w:rPr>
                <w:i/>
                <w:iCs/>
              </w:rPr>
            </w:pPr>
            <w:r>
              <w:rPr>
                <w:i/>
                <w:iCs/>
              </w:rPr>
              <w:t>T</w:t>
            </w:r>
            <w:r w:rsidR="00892CB5" w:rsidRPr="006D5EA8">
              <w:rPr>
                <w:i/>
                <w:iCs/>
              </w:rPr>
              <w:t>he analysis of all assessments of benefit and risk of possible relevance for the use of the device for the intended purpose, when used in accordance with the intended purpose given by the manufacturer.</w:t>
            </w:r>
            <w:bookmarkEnd w:id="105"/>
          </w:p>
        </w:tc>
      </w:tr>
      <w:tr w:rsidR="006F6A4D" w14:paraId="36618851" w14:textId="77777777" w:rsidTr="00806B60">
        <w:tc>
          <w:tcPr>
            <w:tcW w:w="1594" w:type="dxa"/>
          </w:tcPr>
          <w:p w14:paraId="7704A2CE" w14:textId="06087779" w:rsidR="006F6A4D" w:rsidRDefault="006F6A4D" w:rsidP="005D0840">
            <w:r>
              <w:t>Lay person</w:t>
            </w:r>
          </w:p>
        </w:tc>
        <w:tc>
          <w:tcPr>
            <w:tcW w:w="7473" w:type="dxa"/>
          </w:tcPr>
          <w:p w14:paraId="37C3FC0A" w14:textId="77777777" w:rsidR="00806B60" w:rsidRPr="00806B60" w:rsidRDefault="00806B60" w:rsidP="00806B60">
            <w:pPr>
              <w:pStyle w:val="Definition"/>
              <w:keepLines/>
              <w:spacing w:before="80" w:line="240" w:lineRule="exact"/>
              <w:ind w:left="0"/>
              <w:rPr>
                <w:rFonts w:ascii="Arial" w:hAnsi="Arial" w:cs="Arial"/>
                <w:b/>
                <w:bCs/>
                <w:sz w:val="21"/>
                <w:szCs w:val="21"/>
              </w:rPr>
            </w:pPr>
            <w:r w:rsidRPr="00806B60">
              <w:rPr>
                <w:rFonts w:ascii="Arial" w:hAnsi="Arial" w:cs="Arial"/>
                <w:b/>
                <w:bCs/>
                <w:sz w:val="21"/>
                <w:szCs w:val="21"/>
              </w:rPr>
              <w:t xml:space="preserve">EU definition: </w:t>
            </w:r>
          </w:p>
          <w:p w14:paraId="4D367989" w14:textId="5019D5DF" w:rsidR="00806B60" w:rsidRPr="006D5EA8" w:rsidRDefault="00806B60" w:rsidP="00806B60">
            <w:pPr>
              <w:pStyle w:val="Definition"/>
              <w:keepLines/>
              <w:spacing w:before="80" w:line="240" w:lineRule="exact"/>
              <w:ind w:left="720"/>
              <w:rPr>
                <w:rFonts w:ascii="Arial" w:hAnsi="Arial" w:cs="Arial"/>
                <w:sz w:val="21"/>
                <w:szCs w:val="21"/>
              </w:rPr>
            </w:pPr>
            <w:r>
              <w:rPr>
                <w:rFonts w:ascii="Arial" w:hAnsi="Arial" w:cs="Arial"/>
                <w:i/>
                <w:iCs/>
                <w:sz w:val="21"/>
                <w:szCs w:val="21"/>
              </w:rPr>
              <w:t>‘</w:t>
            </w:r>
            <w:proofErr w:type="gramStart"/>
            <w:r w:rsidRPr="006D5EA8">
              <w:rPr>
                <w:rFonts w:ascii="Arial" w:hAnsi="Arial" w:cs="Arial"/>
                <w:i/>
                <w:iCs/>
                <w:sz w:val="21"/>
                <w:szCs w:val="21"/>
              </w:rPr>
              <w:t>lay</w:t>
            </w:r>
            <w:proofErr w:type="gramEnd"/>
            <w:r w:rsidRPr="006D5EA8">
              <w:rPr>
                <w:rFonts w:ascii="Arial" w:hAnsi="Arial" w:cs="Arial"/>
                <w:i/>
                <w:iCs/>
                <w:sz w:val="21"/>
                <w:szCs w:val="21"/>
              </w:rPr>
              <w:t xml:space="preserve"> person’ means an individual who does not have formal education in a relevant field of healthcare or medical discipline</w:t>
            </w:r>
          </w:p>
          <w:p w14:paraId="410B9966" w14:textId="5A2C472C" w:rsidR="001B2FB2" w:rsidRPr="00806B60" w:rsidRDefault="001B2FB2" w:rsidP="005D0840">
            <w:pPr>
              <w:rPr>
                <w:b/>
                <w:bCs/>
              </w:rPr>
            </w:pPr>
            <w:r w:rsidRPr="00806B60">
              <w:rPr>
                <w:b/>
                <w:bCs/>
              </w:rPr>
              <w:t xml:space="preserve">Current </w:t>
            </w:r>
            <w:r w:rsidR="00806B60">
              <w:rPr>
                <w:b/>
                <w:bCs/>
              </w:rPr>
              <w:t xml:space="preserve">AUS </w:t>
            </w:r>
            <w:r w:rsidRPr="00806B60">
              <w:rPr>
                <w:b/>
                <w:bCs/>
              </w:rPr>
              <w:t>definition:</w:t>
            </w:r>
          </w:p>
          <w:p w14:paraId="4292480A" w14:textId="0FA595C9" w:rsidR="001B2FB2" w:rsidRDefault="001B2FB2" w:rsidP="00806B60">
            <w:pPr>
              <w:ind w:left="720"/>
            </w:pPr>
            <w:r w:rsidRPr="004C08F8">
              <w:rPr>
                <w:b/>
                <w:bCs/>
                <w:i/>
                <w:iCs/>
              </w:rPr>
              <w:t>lay person</w:t>
            </w:r>
            <w:r w:rsidRPr="004C08F8">
              <w:rPr>
                <w:i/>
                <w:iCs/>
              </w:rPr>
              <w:t>, for the use of an IVD medical device for self</w:t>
            </w:r>
            <w:r w:rsidRPr="004C08F8">
              <w:rPr>
                <w:rFonts w:ascii="Cambria Math" w:hAnsi="Cambria Math" w:cs="Cambria Math"/>
                <w:i/>
                <w:iCs/>
              </w:rPr>
              <w:t>‑</w:t>
            </w:r>
            <w:r w:rsidRPr="004C08F8">
              <w:rPr>
                <w:i/>
                <w:iCs/>
              </w:rPr>
              <w:t>testing, means an individual who does not have formal training in a medical field or discipline to which the self</w:t>
            </w:r>
            <w:r w:rsidRPr="004C08F8">
              <w:rPr>
                <w:rFonts w:ascii="Cambria Math" w:hAnsi="Cambria Math" w:cs="Cambria Math"/>
                <w:i/>
                <w:iCs/>
              </w:rPr>
              <w:t>‑</w:t>
            </w:r>
            <w:r w:rsidRPr="004C08F8">
              <w:rPr>
                <w:i/>
                <w:iCs/>
              </w:rPr>
              <w:t>testing relates</w:t>
            </w:r>
            <w:r w:rsidRPr="001B2FB2">
              <w:t>.</w:t>
            </w:r>
          </w:p>
          <w:p w14:paraId="0F720367" w14:textId="77777777" w:rsidR="00806B60" w:rsidRPr="00806B60" w:rsidRDefault="00806B60" w:rsidP="005D0840">
            <w:pPr>
              <w:rPr>
                <w:b/>
                <w:bCs/>
              </w:rPr>
            </w:pPr>
            <w:r w:rsidRPr="00806B60">
              <w:rPr>
                <w:b/>
                <w:bCs/>
              </w:rPr>
              <w:t>Proposed change:</w:t>
            </w:r>
          </w:p>
          <w:p w14:paraId="2E121888" w14:textId="299576F5" w:rsidR="006F6A4D" w:rsidRPr="006D5EA8" w:rsidRDefault="006D5EA8" w:rsidP="005D0840">
            <w:r w:rsidRPr="006D5EA8">
              <w:t>Amend</w:t>
            </w:r>
            <w:r w:rsidR="006F6A4D" w:rsidRPr="006D5EA8">
              <w:t xml:space="preserve"> the </w:t>
            </w:r>
            <w:r w:rsidR="00806B60">
              <w:t>AUS</w:t>
            </w:r>
            <w:r w:rsidR="006F6A4D" w:rsidRPr="006D5EA8">
              <w:t xml:space="preserve"> </w:t>
            </w:r>
            <w:r w:rsidR="006F6A4D" w:rsidRPr="001B2FB2">
              <w:t xml:space="preserve">definition </w:t>
            </w:r>
            <w:r w:rsidR="00D57932" w:rsidRPr="001B2FB2">
              <w:t xml:space="preserve">of </w:t>
            </w:r>
            <w:r w:rsidR="00D57932" w:rsidRPr="001B2FB2">
              <w:rPr>
                <w:i/>
                <w:iCs/>
              </w:rPr>
              <w:t>lay</w:t>
            </w:r>
            <w:r w:rsidRPr="001B2FB2">
              <w:rPr>
                <w:i/>
                <w:iCs/>
              </w:rPr>
              <w:t xml:space="preserve"> </w:t>
            </w:r>
            <w:r w:rsidR="00D57932" w:rsidRPr="001B2FB2">
              <w:rPr>
                <w:i/>
                <w:iCs/>
              </w:rPr>
              <w:t>person</w:t>
            </w:r>
            <w:r w:rsidR="00D57932" w:rsidRPr="001B2FB2">
              <w:t xml:space="preserve"> </w:t>
            </w:r>
            <w:r w:rsidR="001B2FB2">
              <w:t>i</w:t>
            </w:r>
            <w:r w:rsidRPr="001B2FB2">
              <w:t>n</w:t>
            </w:r>
            <w:r w:rsidRPr="006D5EA8">
              <w:t xml:space="preserve"> the </w:t>
            </w:r>
            <w:r w:rsidR="00806B60">
              <w:t xml:space="preserve">AUS </w:t>
            </w:r>
            <w:r w:rsidRPr="006D5EA8">
              <w:t xml:space="preserve">Regulations </w:t>
            </w:r>
            <w:r w:rsidR="00D57932" w:rsidRPr="006D5EA8">
              <w:t>to more broadly apply to all devices</w:t>
            </w:r>
            <w:r w:rsidR="001B2FB2">
              <w:t>.</w:t>
            </w:r>
            <w:r w:rsidR="00D57932" w:rsidRPr="006D5EA8">
              <w:t xml:space="preserve"> </w:t>
            </w:r>
          </w:p>
          <w:p w14:paraId="07E6A556" w14:textId="7A5FF70A" w:rsidR="006F6A4D" w:rsidRPr="006D5EA8" w:rsidRDefault="006F6A4D" w:rsidP="00806B60">
            <w:pPr>
              <w:pStyle w:val="Definition"/>
              <w:keepLines/>
              <w:spacing w:before="80" w:line="240" w:lineRule="exact"/>
              <w:ind w:left="0"/>
            </w:pPr>
          </w:p>
        </w:tc>
      </w:tr>
    </w:tbl>
    <w:p w14:paraId="33C87CD9" w14:textId="2D8189BA" w:rsidR="00B35A9E" w:rsidRDefault="00447A62" w:rsidP="00755DB9">
      <w:pPr>
        <w:pStyle w:val="Heading4"/>
      </w:pPr>
      <w:bookmarkStart w:id="106" w:name="_Toc173939988"/>
      <w:r>
        <w:t>Questions</w:t>
      </w:r>
      <w:bookmarkEnd w:id="106"/>
    </w:p>
    <w:tbl>
      <w:tblPr>
        <w:tblW w:w="9038" w:type="dxa"/>
        <w:tblLayout w:type="fixed"/>
        <w:tblCellMar>
          <w:left w:w="0" w:type="dxa"/>
          <w:right w:w="0" w:type="dxa"/>
        </w:tblCellMar>
        <w:tblLook w:val="04A0" w:firstRow="1" w:lastRow="0" w:firstColumn="1" w:lastColumn="0" w:noHBand="0" w:noVBand="1"/>
      </w:tblPr>
      <w:tblGrid>
        <w:gridCol w:w="1276"/>
        <w:gridCol w:w="7762"/>
      </w:tblGrid>
      <w:tr w:rsidR="0000205C" w:rsidRPr="009401F6" w14:paraId="1F7CFDCD" w14:textId="77777777" w:rsidTr="002B589D">
        <w:tc>
          <w:tcPr>
            <w:tcW w:w="1276" w:type="dxa"/>
            <w:vAlign w:val="center"/>
          </w:tcPr>
          <w:p w14:paraId="2FFB4C55" w14:textId="77777777" w:rsidR="0000205C" w:rsidRPr="009401F6" w:rsidRDefault="0000205C" w:rsidP="002B589D">
            <w:r w:rsidRPr="00A004D1">
              <w:rPr>
                <w:noProof/>
              </w:rPr>
              <w:drawing>
                <wp:inline distT="0" distB="0" distL="0" distR="0" wp14:anchorId="19215B78" wp14:editId="33452839">
                  <wp:extent cx="694944" cy="694944"/>
                  <wp:effectExtent l="0" t="0" r="0" b="0"/>
                  <wp:docPr id="11" name="Picture 11" descr="Image of a 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mage of a question mark."/>
                          <pic:cNvPicPr/>
                        </pic:nvPicPr>
                        <pic:blipFill>
                          <a:blip r:embed="rId16">
                            <a:extLst>
                              <a:ext uri="{28A0092B-C50C-407E-A947-70E740481C1C}">
                                <a14:useLocalDpi xmlns:a14="http://schemas.microsoft.com/office/drawing/2010/main" val="0"/>
                              </a:ext>
                            </a:extLst>
                          </a:blip>
                          <a:stretch>
                            <a:fillRect/>
                          </a:stretch>
                        </pic:blipFill>
                        <pic:spPr>
                          <a:xfrm>
                            <a:off x="0" y="0"/>
                            <a:ext cx="693466" cy="693466"/>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6AC326B" w14:textId="7C68AD53" w:rsidR="0000205C" w:rsidRPr="00F96AB7" w:rsidRDefault="0000205C" w:rsidP="002B589D">
            <w:pPr>
              <w:rPr>
                <w:b/>
                <w:bCs/>
              </w:rPr>
            </w:pPr>
            <w:r w:rsidRPr="00F96AB7">
              <w:rPr>
                <w:b/>
                <w:bCs/>
              </w:rPr>
              <w:t xml:space="preserve">Proposal </w:t>
            </w:r>
            <w:r>
              <w:rPr>
                <w:b/>
                <w:bCs/>
              </w:rPr>
              <w:t>1</w:t>
            </w:r>
            <w:r w:rsidR="00AA4756">
              <w:rPr>
                <w:b/>
                <w:bCs/>
              </w:rPr>
              <w:t>5</w:t>
            </w:r>
            <w:r>
              <w:rPr>
                <w:b/>
                <w:bCs/>
              </w:rPr>
              <w:t>:</w:t>
            </w:r>
            <w:r w:rsidRPr="00F96AB7">
              <w:rPr>
                <w:b/>
                <w:bCs/>
              </w:rPr>
              <w:t xml:space="preserve"> </w:t>
            </w:r>
            <w:r>
              <w:rPr>
                <w:b/>
                <w:bCs/>
              </w:rPr>
              <w:t xml:space="preserve">Adopt definitions related to the </w:t>
            </w:r>
            <w:r w:rsidR="00851A52">
              <w:rPr>
                <w:b/>
                <w:bCs/>
              </w:rPr>
              <w:t>AUS Essential Principles</w:t>
            </w:r>
          </w:p>
          <w:p w14:paraId="27170F09" w14:textId="4F6C4F9A" w:rsidR="0000205C" w:rsidRPr="00356B00" w:rsidRDefault="00EC73BD" w:rsidP="00720585">
            <w:pPr>
              <w:pStyle w:val="Legislativeletterbullet"/>
              <w:numPr>
                <w:ilvl w:val="0"/>
                <w:numId w:val="29"/>
              </w:numPr>
            </w:pPr>
            <w:r w:rsidRPr="00EC73BD">
              <w:t>Do you agree with the proposal to introduce terminology and intent of the definitions for "interoperability"</w:t>
            </w:r>
            <w:r w:rsidR="00B8229D">
              <w:t xml:space="preserve">, </w:t>
            </w:r>
            <w:r w:rsidRPr="00EC73BD">
              <w:t>"benefit-risk determination"</w:t>
            </w:r>
            <w:r w:rsidR="00B8229D">
              <w:t xml:space="preserve"> and to amend the definition for “lay person”</w:t>
            </w:r>
            <w:r w:rsidR="006278C9">
              <w:t xml:space="preserve"> to apply to all devices</w:t>
            </w:r>
            <w:r>
              <w:t xml:space="preserve">? </w:t>
            </w:r>
          </w:p>
          <w:p w14:paraId="03CE6172" w14:textId="1AEF776A" w:rsidR="0000205C" w:rsidRPr="00256A0C" w:rsidRDefault="0000205C" w:rsidP="00720585">
            <w:pPr>
              <w:pStyle w:val="Legislativeletterbullet"/>
              <w:numPr>
                <w:ilvl w:val="0"/>
                <w:numId w:val="27"/>
              </w:numPr>
            </w:pPr>
            <w:r w:rsidRPr="00356B00">
              <w:t>Provide reasons for your position (optional).</w:t>
            </w:r>
          </w:p>
        </w:tc>
      </w:tr>
    </w:tbl>
    <w:p w14:paraId="47FC2A9B" w14:textId="77777777" w:rsidR="0000205C" w:rsidRDefault="0000205C" w:rsidP="00D100B2">
      <w:pPr>
        <w:pStyle w:val="ListBullet2"/>
        <w:numPr>
          <w:ilvl w:val="0"/>
          <w:numId w:val="0"/>
        </w:numPr>
      </w:pPr>
    </w:p>
    <w:p w14:paraId="6A90CF96" w14:textId="1DD9D1D2" w:rsidR="00BC4F06" w:rsidRDefault="00BC4F06" w:rsidP="00C55FED">
      <w:pPr>
        <w:pStyle w:val="Heading2"/>
      </w:pPr>
      <w:bookmarkStart w:id="107" w:name="_Toc168309860"/>
      <w:bookmarkStart w:id="108" w:name="_Toc173939989"/>
      <w:r>
        <w:t>Transitional arrangements</w:t>
      </w:r>
      <w:bookmarkEnd w:id="107"/>
      <w:bookmarkEnd w:id="108"/>
    </w:p>
    <w:p w14:paraId="3D735C74" w14:textId="51AE70E3" w:rsidR="00BC4F06" w:rsidRPr="00252FC6" w:rsidRDefault="00285C43" w:rsidP="005D0840">
      <w:r>
        <w:t>The TGA</w:t>
      </w:r>
      <w:r w:rsidR="00BC4F06">
        <w:t xml:space="preserve"> propose</w:t>
      </w:r>
      <w:r>
        <w:t>s</w:t>
      </w:r>
      <w:r w:rsidR="00BC4F06">
        <w:t xml:space="preserve"> that </w:t>
      </w:r>
      <w:r w:rsidR="00B8117B">
        <w:t xml:space="preserve">should the </w:t>
      </w:r>
      <w:r w:rsidR="00851A52">
        <w:t>AUS Essential Principles</w:t>
      </w:r>
      <w:r w:rsidR="00B8117B">
        <w:t xml:space="preserve"> be </w:t>
      </w:r>
      <w:r w:rsidR="00AE47FB">
        <w:t>revised;</w:t>
      </w:r>
      <w:r w:rsidR="00B8117B">
        <w:t xml:space="preserve"> a transition period will be put in place for compliance with any new requirements. </w:t>
      </w:r>
      <w:r w:rsidR="00B8117B" w:rsidRPr="00252FC6">
        <w:t>These may include:</w:t>
      </w:r>
    </w:p>
    <w:p w14:paraId="0DAEA104" w14:textId="1BBD059B" w:rsidR="00BC4F06" w:rsidRPr="00252FC6" w:rsidRDefault="00BC4F06" w:rsidP="00720585">
      <w:pPr>
        <w:pStyle w:val="ListParagraph"/>
        <w:numPr>
          <w:ilvl w:val="0"/>
          <w:numId w:val="33"/>
        </w:numPr>
        <w:rPr>
          <w:rFonts w:ascii="Arial" w:hAnsi="Arial"/>
          <w:sz w:val="21"/>
          <w:szCs w:val="21"/>
        </w:rPr>
      </w:pPr>
      <w:r w:rsidRPr="00252FC6">
        <w:rPr>
          <w:rFonts w:ascii="Arial" w:hAnsi="Arial"/>
          <w:sz w:val="21"/>
          <w:szCs w:val="21"/>
        </w:rPr>
        <w:t xml:space="preserve">for </w:t>
      </w:r>
      <w:r w:rsidR="00AA03F6" w:rsidRPr="00252FC6">
        <w:rPr>
          <w:rFonts w:ascii="Arial" w:hAnsi="Arial"/>
          <w:sz w:val="21"/>
          <w:szCs w:val="21"/>
        </w:rPr>
        <w:t xml:space="preserve">any existing or new </w:t>
      </w:r>
      <w:r w:rsidR="0015755E" w:rsidRPr="00252FC6">
        <w:rPr>
          <w:rFonts w:ascii="Arial" w:hAnsi="Arial"/>
          <w:sz w:val="21"/>
          <w:szCs w:val="21"/>
        </w:rPr>
        <w:t xml:space="preserve">medical device </w:t>
      </w:r>
      <w:r w:rsidRPr="00252FC6">
        <w:rPr>
          <w:rFonts w:ascii="Arial" w:hAnsi="Arial"/>
          <w:sz w:val="21"/>
          <w:szCs w:val="21"/>
        </w:rPr>
        <w:t xml:space="preserve">ARTG inclusion </w:t>
      </w:r>
      <w:r w:rsidR="0015755E" w:rsidRPr="00252FC6">
        <w:rPr>
          <w:rFonts w:ascii="Arial" w:hAnsi="Arial"/>
          <w:sz w:val="21"/>
          <w:szCs w:val="21"/>
        </w:rPr>
        <w:t xml:space="preserve">applications </w:t>
      </w:r>
      <w:r w:rsidR="00AA03F6" w:rsidRPr="00252FC6">
        <w:rPr>
          <w:rFonts w:ascii="Arial" w:hAnsi="Arial"/>
          <w:sz w:val="21"/>
          <w:szCs w:val="21"/>
        </w:rPr>
        <w:t xml:space="preserve">when </w:t>
      </w:r>
      <w:r w:rsidRPr="00252FC6">
        <w:rPr>
          <w:rFonts w:ascii="Arial" w:hAnsi="Arial"/>
          <w:sz w:val="21"/>
          <w:szCs w:val="21"/>
        </w:rPr>
        <w:t xml:space="preserve">the proposed amendment takes effect, </w:t>
      </w:r>
      <w:r w:rsidR="00AA03F6" w:rsidRPr="00252FC6">
        <w:rPr>
          <w:rFonts w:ascii="Arial" w:hAnsi="Arial"/>
          <w:sz w:val="21"/>
          <w:szCs w:val="21"/>
        </w:rPr>
        <w:t xml:space="preserve">sponsors will have </w:t>
      </w:r>
      <w:r w:rsidRPr="00252FC6">
        <w:rPr>
          <w:rFonts w:ascii="Arial" w:hAnsi="Arial"/>
          <w:sz w:val="21"/>
          <w:szCs w:val="21"/>
        </w:rPr>
        <w:t xml:space="preserve">four (4) years to </w:t>
      </w:r>
      <w:r w:rsidR="00AA03F6" w:rsidRPr="00252FC6">
        <w:rPr>
          <w:rFonts w:ascii="Arial" w:hAnsi="Arial"/>
          <w:sz w:val="21"/>
          <w:szCs w:val="21"/>
        </w:rPr>
        <w:t xml:space="preserve">comply with the revised </w:t>
      </w:r>
      <w:r w:rsidR="00851A52">
        <w:rPr>
          <w:rFonts w:ascii="Arial" w:hAnsi="Arial"/>
          <w:sz w:val="21"/>
          <w:szCs w:val="21"/>
        </w:rPr>
        <w:t>AUS Essential Principles</w:t>
      </w:r>
      <w:r w:rsidRPr="00252FC6">
        <w:rPr>
          <w:rFonts w:ascii="Arial" w:hAnsi="Arial"/>
          <w:sz w:val="21"/>
          <w:szCs w:val="21"/>
        </w:rPr>
        <w:t>.</w:t>
      </w:r>
    </w:p>
    <w:p w14:paraId="4227EDE5" w14:textId="5DE43B25" w:rsidR="00C55F0A" w:rsidRPr="00252FC6" w:rsidRDefault="0015755E" w:rsidP="00720585">
      <w:pPr>
        <w:pStyle w:val="ListParagraph"/>
        <w:numPr>
          <w:ilvl w:val="0"/>
          <w:numId w:val="33"/>
        </w:numPr>
        <w:rPr>
          <w:rFonts w:ascii="Arial" w:hAnsi="Arial"/>
          <w:sz w:val="21"/>
          <w:szCs w:val="21"/>
        </w:rPr>
      </w:pPr>
      <w:r w:rsidRPr="00252FC6">
        <w:rPr>
          <w:rFonts w:ascii="Arial" w:hAnsi="Arial"/>
          <w:sz w:val="21"/>
          <w:szCs w:val="21"/>
        </w:rPr>
        <w:t>f</w:t>
      </w:r>
      <w:r w:rsidR="00C55F0A" w:rsidRPr="00252FC6">
        <w:rPr>
          <w:rFonts w:ascii="Arial" w:hAnsi="Arial"/>
          <w:sz w:val="21"/>
          <w:szCs w:val="21"/>
        </w:rPr>
        <w:t>or devices already included in the ARTG</w:t>
      </w:r>
      <w:r w:rsidR="00B8117B" w:rsidRPr="00252FC6">
        <w:rPr>
          <w:rFonts w:ascii="Arial" w:hAnsi="Arial"/>
          <w:sz w:val="21"/>
          <w:szCs w:val="21"/>
        </w:rPr>
        <w:t xml:space="preserve"> at the time the proposed amendment takes effect</w:t>
      </w:r>
      <w:r w:rsidR="00C55F0A" w:rsidRPr="00252FC6">
        <w:rPr>
          <w:rFonts w:ascii="Arial" w:hAnsi="Arial"/>
          <w:sz w:val="21"/>
          <w:szCs w:val="21"/>
        </w:rPr>
        <w:t xml:space="preserve">, sponsors </w:t>
      </w:r>
      <w:r w:rsidR="00B8117B" w:rsidRPr="00252FC6">
        <w:rPr>
          <w:rFonts w:ascii="Arial" w:hAnsi="Arial"/>
          <w:sz w:val="21"/>
          <w:szCs w:val="21"/>
        </w:rPr>
        <w:t>will not</w:t>
      </w:r>
      <w:r w:rsidR="00C55F0A" w:rsidRPr="00252FC6">
        <w:rPr>
          <w:rFonts w:ascii="Arial" w:hAnsi="Arial"/>
          <w:sz w:val="21"/>
          <w:szCs w:val="21"/>
        </w:rPr>
        <w:t xml:space="preserve"> need to re-apply </w:t>
      </w:r>
      <w:r w:rsidR="00B8117B" w:rsidRPr="00252FC6">
        <w:rPr>
          <w:rFonts w:ascii="Arial" w:hAnsi="Arial"/>
          <w:sz w:val="21"/>
          <w:szCs w:val="21"/>
        </w:rPr>
        <w:t>for ARTG inclusion</w:t>
      </w:r>
      <w:r w:rsidR="00252FC6" w:rsidRPr="00252FC6">
        <w:rPr>
          <w:rFonts w:ascii="Arial" w:hAnsi="Arial"/>
          <w:sz w:val="21"/>
          <w:szCs w:val="21"/>
        </w:rPr>
        <w:t xml:space="preserve"> and will have six (6) years to comply </w:t>
      </w:r>
      <w:r w:rsidR="00B8117B" w:rsidRPr="00252FC6">
        <w:rPr>
          <w:rFonts w:ascii="Arial" w:hAnsi="Arial"/>
          <w:sz w:val="21"/>
          <w:szCs w:val="21"/>
        </w:rPr>
        <w:t xml:space="preserve">with the revised </w:t>
      </w:r>
      <w:r w:rsidR="00851A52">
        <w:rPr>
          <w:rFonts w:ascii="Arial" w:hAnsi="Arial"/>
          <w:sz w:val="21"/>
          <w:szCs w:val="21"/>
        </w:rPr>
        <w:t>AUS Essential Principles</w:t>
      </w:r>
      <w:r w:rsidR="00B8117B" w:rsidRPr="00252FC6">
        <w:rPr>
          <w:rFonts w:ascii="Arial" w:hAnsi="Arial"/>
          <w:sz w:val="21"/>
          <w:szCs w:val="21"/>
        </w:rPr>
        <w:t>.</w:t>
      </w:r>
    </w:p>
    <w:p w14:paraId="34711A58" w14:textId="2D572802" w:rsidR="00FA77B7" w:rsidRDefault="00FA77B7" w:rsidP="00FA77B7">
      <w:pPr>
        <w:pStyle w:val="Heading3"/>
      </w:pPr>
      <w:bookmarkStart w:id="109" w:name="_Toc168309861"/>
      <w:bookmarkStart w:id="110" w:name="_Toc173939990"/>
      <w:r w:rsidRPr="00252FC6">
        <w:t>Proposal 16: Transitional arrangements</w:t>
      </w:r>
      <w:bookmarkEnd w:id="109"/>
      <w:bookmarkEnd w:id="110"/>
    </w:p>
    <w:p w14:paraId="5C93BA3E" w14:textId="22ECEEDD" w:rsidR="00447A62" w:rsidRPr="00447A62" w:rsidRDefault="00447A62" w:rsidP="00755DB9">
      <w:pPr>
        <w:pStyle w:val="Heading4"/>
      </w:pPr>
      <w:bookmarkStart w:id="111" w:name="_Toc173939991"/>
      <w:r>
        <w:t>Questions</w:t>
      </w:r>
      <w:bookmarkEnd w:id="111"/>
    </w:p>
    <w:tbl>
      <w:tblPr>
        <w:tblW w:w="9038" w:type="dxa"/>
        <w:tblLayout w:type="fixed"/>
        <w:tblCellMar>
          <w:left w:w="0" w:type="dxa"/>
          <w:right w:w="0" w:type="dxa"/>
        </w:tblCellMar>
        <w:tblLook w:val="04A0" w:firstRow="1" w:lastRow="0" w:firstColumn="1" w:lastColumn="0" w:noHBand="0" w:noVBand="1"/>
      </w:tblPr>
      <w:tblGrid>
        <w:gridCol w:w="1276"/>
        <w:gridCol w:w="7762"/>
      </w:tblGrid>
      <w:tr w:rsidR="00C55F0A" w:rsidRPr="009401F6" w14:paraId="7783458C" w14:textId="77777777" w:rsidTr="005667C0">
        <w:tc>
          <w:tcPr>
            <w:tcW w:w="1276" w:type="dxa"/>
            <w:vAlign w:val="center"/>
          </w:tcPr>
          <w:p w14:paraId="7C9172AD" w14:textId="77777777" w:rsidR="00C55F0A" w:rsidRPr="009401F6" w:rsidRDefault="00C55F0A" w:rsidP="005667C0">
            <w:r w:rsidRPr="00A004D1">
              <w:rPr>
                <w:noProof/>
              </w:rPr>
              <w:drawing>
                <wp:inline distT="0" distB="0" distL="0" distR="0" wp14:anchorId="02100A1E" wp14:editId="4385ABB5">
                  <wp:extent cx="694944" cy="694944"/>
                  <wp:effectExtent l="0" t="0" r="0" b="0"/>
                  <wp:docPr id="8" name="Picture 8" descr="Image of a 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of a question mark."/>
                          <pic:cNvPicPr/>
                        </pic:nvPicPr>
                        <pic:blipFill>
                          <a:blip r:embed="rId16">
                            <a:extLst>
                              <a:ext uri="{28A0092B-C50C-407E-A947-70E740481C1C}">
                                <a14:useLocalDpi xmlns:a14="http://schemas.microsoft.com/office/drawing/2010/main" val="0"/>
                              </a:ext>
                            </a:extLst>
                          </a:blip>
                          <a:stretch>
                            <a:fillRect/>
                          </a:stretch>
                        </pic:blipFill>
                        <pic:spPr>
                          <a:xfrm>
                            <a:off x="0" y="0"/>
                            <a:ext cx="693466" cy="693466"/>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2E9430B" w14:textId="31AEC041" w:rsidR="00C55F0A" w:rsidRPr="00F96AB7" w:rsidRDefault="00C55F0A" w:rsidP="005667C0">
            <w:pPr>
              <w:rPr>
                <w:b/>
                <w:bCs/>
              </w:rPr>
            </w:pPr>
            <w:r w:rsidRPr="00F96AB7">
              <w:rPr>
                <w:b/>
                <w:bCs/>
              </w:rPr>
              <w:t xml:space="preserve">Proposal </w:t>
            </w:r>
            <w:r>
              <w:rPr>
                <w:b/>
                <w:bCs/>
              </w:rPr>
              <w:t>16:</w:t>
            </w:r>
            <w:r w:rsidRPr="00F96AB7">
              <w:rPr>
                <w:b/>
                <w:bCs/>
              </w:rPr>
              <w:t xml:space="preserve"> </w:t>
            </w:r>
            <w:r>
              <w:rPr>
                <w:b/>
                <w:bCs/>
              </w:rPr>
              <w:t>Transition periods</w:t>
            </w:r>
          </w:p>
          <w:p w14:paraId="79BDE1EC" w14:textId="09369E17" w:rsidR="00C55F0A" w:rsidRPr="00356B00" w:rsidRDefault="00C55F0A" w:rsidP="00720585">
            <w:pPr>
              <w:pStyle w:val="Legislativeletterbullet"/>
              <w:numPr>
                <w:ilvl w:val="0"/>
                <w:numId w:val="32"/>
              </w:numPr>
            </w:pPr>
            <w:r w:rsidRPr="00EC73BD">
              <w:t xml:space="preserve">Do you agree with the proposal to </w:t>
            </w:r>
            <w:r>
              <w:t>apply a 4-year transition period</w:t>
            </w:r>
            <w:r w:rsidR="00252FC6">
              <w:t xml:space="preserve"> for existing or new inclusion applications</w:t>
            </w:r>
            <w:r>
              <w:t xml:space="preserve"> </w:t>
            </w:r>
            <w:r w:rsidR="00252FC6" w:rsidRPr="00252FC6">
              <w:t>when the proposed amendment takes effect</w:t>
            </w:r>
            <w:r w:rsidR="00B8117B">
              <w:t>?</w:t>
            </w:r>
            <w:r>
              <w:t xml:space="preserve"> </w:t>
            </w:r>
          </w:p>
          <w:p w14:paraId="627450C4" w14:textId="642946DE" w:rsidR="00C55F0A" w:rsidRPr="00356B00" w:rsidRDefault="00C55F0A" w:rsidP="00720585">
            <w:pPr>
              <w:pStyle w:val="Legislativeletterbullet"/>
              <w:numPr>
                <w:ilvl w:val="0"/>
                <w:numId w:val="32"/>
              </w:numPr>
            </w:pPr>
            <w:r w:rsidRPr="00EC73BD">
              <w:t xml:space="preserve">Do you agree with the proposal to </w:t>
            </w:r>
            <w:r>
              <w:t xml:space="preserve">apply a </w:t>
            </w:r>
            <w:r w:rsidR="00B8117B">
              <w:t>6</w:t>
            </w:r>
            <w:r>
              <w:t xml:space="preserve">-year transition period for </w:t>
            </w:r>
            <w:r w:rsidR="00B8117B">
              <w:t>any current ARTG entries</w:t>
            </w:r>
            <w:r w:rsidR="00252FC6" w:rsidRPr="00252FC6">
              <w:t xml:space="preserve"> when the proposed amendment takes effect</w:t>
            </w:r>
            <w:r w:rsidR="00B8117B">
              <w:t xml:space="preserve">? </w:t>
            </w:r>
            <w:r w:rsidRPr="00356B00">
              <w:t xml:space="preserve"> </w:t>
            </w:r>
          </w:p>
          <w:p w14:paraId="04910E5A" w14:textId="29D74D55" w:rsidR="00C55F0A" w:rsidRPr="00356B00" w:rsidRDefault="00C55F0A" w:rsidP="00720585">
            <w:pPr>
              <w:pStyle w:val="Legislativeletterbullet"/>
              <w:numPr>
                <w:ilvl w:val="0"/>
                <w:numId w:val="27"/>
              </w:numPr>
            </w:pPr>
            <w:r w:rsidRPr="00356B00">
              <w:t>Provide reasons for your position (optional).</w:t>
            </w:r>
          </w:p>
          <w:p w14:paraId="4BE050A9" w14:textId="63DB04A8" w:rsidR="00C55F0A" w:rsidRPr="00256A0C" w:rsidRDefault="00C55F0A" w:rsidP="007B5200">
            <w:pPr>
              <w:pStyle w:val="Legislativeletterbullet"/>
              <w:numPr>
                <w:ilvl w:val="0"/>
                <w:numId w:val="0"/>
              </w:numPr>
              <w:ind w:left="502" w:hanging="360"/>
            </w:pPr>
          </w:p>
        </w:tc>
      </w:tr>
    </w:tbl>
    <w:p w14:paraId="31E738A8" w14:textId="77777777" w:rsidR="00C55F0A" w:rsidRDefault="00C55F0A" w:rsidP="00C55F0A"/>
    <w:p w14:paraId="2DA38A96" w14:textId="77777777" w:rsidR="00A47979" w:rsidRDefault="00A47979" w:rsidP="00A47979">
      <w:pPr>
        <w:pStyle w:val="Heading2"/>
      </w:pPr>
      <w:bookmarkStart w:id="112" w:name="_Toc18058911"/>
      <w:bookmarkStart w:id="113" w:name="_Toc168309862"/>
      <w:bookmarkStart w:id="114" w:name="_Toc173939992"/>
      <w:r>
        <w:t>Open comments</w:t>
      </w:r>
      <w:bookmarkEnd w:id="114"/>
    </w:p>
    <w:p w14:paraId="76086804" w14:textId="77777777" w:rsidR="00A47979" w:rsidRPr="00F6671A" w:rsidRDefault="00A47979" w:rsidP="00A47979">
      <w:r>
        <w:t xml:space="preserve">The online survey provides you with an opportunity to provide any </w:t>
      </w:r>
      <w:r w:rsidRPr="00F6671A">
        <w:t xml:space="preserve">other comments you have not had an opportunity to </w:t>
      </w:r>
      <w:r>
        <w:t>make throughout the consultation. R</w:t>
      </w:r>
      <w:r w:rsidRPr="00973B87">
        <w:t>eference any comments to the proposals within the consultation paper</w:t>
      </w:r>
      <w:r>
        <w:t>.</w:t>
      </w:r>
    </w:p>
    <w:p w14:paraId="7F63C5E1" w14:textId="77777777" w:rsidR="00BC4F06" w:rsidRDefault="00BC4F06" w:rsidP="00C55FED">
      <w:pPr>
        <w:pStyle w:val="Heading2"/>
      </w:pPr>
      <w:bookmarkStart w:id="115" w:name="_Toc173939993"/>
      <w:r>
        <w:t>Fees and charges</w:t>
      </w:r>
      <w:bookmarkEnd w:id="112"/>
      <w:bookmarkEnd w:id="113"/>
      <w:bookmarkEnd w:id="115"/>
    </w:p>
    <w:p w14:paraId="31AB481E" w14:textId="77777777" w:rsidR="00BC4F06" w:rsidRDefault="00BC4F06" w:rsidP="005D0840">
      <w:r>
        <w:t>The changes proposed under this consultation will not affect fees or annual charges.</w:t>
      </w:r>
    </w:p>
    <w:p w14:paraId="3E76C1BD" w14:textId="77777777" w:rsidR="00026FE7" w:rsidRDefault="00026FE7" w:rsidP="005D0840">
      <w:pPr>
        <w:sectPr w:rsidR="00026FE7" w:rsidSect="002A2EE1">
          <w:type w:val="continuous"/>
          <w:pgSz w:w="11906" w:h="16838" w:code="9"/>
          <w:pgMar w:top="1530" w:right="1418" w:bottom="1361" w:left="1418" w:header="998" w:footer="283" w:gutter="0"/>
          <w:cols w:space="708"/>
          <w:titlePg/>
          <w:docGrid w:linePitch="360"/>
        </w:sectPr>
      </w:pPr>
    </w:p>
    <w:p w14:paraId="4094F5F2" w14:textId="543FF23F" w:rsidR="00F14AF1" w:rsidRPr="005C3FFD" w:rsidRDefault="00F14AF1" w:rsidP="00F14AF1">
      <w:pPr>
        <w:pStyle w:val="Heading2"/>
      </w:pPr>
      <w:bookmarkStart w:id="116" w:name="_Appendix_1:_Alignment"/>
      <w:bookmarkStart w:id="117" w:name="_Appendix_1:_EU"/>
      <w:bookmarkStart w:id="118" w:name="_Toc168309864"/>
      <w:bookmarkStart w:id="119" w:name="_Toc173939994"/>
      <w:bookmarkEnd w:id="116"/>
      <w:bookmarkEnd w:id="117"/>
      <w:r>
        <w:t xml:space="preserve">Appendix 1: </w:t>
      </w:r>
      <w:r w:rsidR="007C3BD0">
        <w:t xml:space="preserve">EU </w:t>
      </w:r>
      <w:r>
        <w:t xml:space="preserve">GSPRs not </w:t>
      </w:r>
      <w:proofErr w:type="gramStart"/>
      <w:r>
        <w:t>adopted</w:t>
      </w:r>
      <w:bookmarkStart w:id="120" w:name="_Hlk159232155"/>
      <w:bookmarkEnd w:id="118"/>
      <w:bookmarkEnd w:id="119"/>
      <w:proofErr w:type="gramEnd"/>
    </w:p>
    <w:tbl>
      <w:tblPr>
        <w:tblStyle w:val="TableGrid1"/>
        <w:tblW w:w="9776" w:type="dxa"/>
        <w:tblLayout w:type="fixed"/>
        <w:tblLook w:val="04A0" w:firstRow="1" w:lastRow="0" w:firstColumn="1" w:lastColumn="0" w:noHBand="0" w:noVBand="1"/>
      </w:tblPr>
      <w:tblGrid>
        <w:gridCol w:w="4531"/>
        <w:gridCol w:w="5245"/>
      </w:tblGrid>
      <w:tr w:rsidR="00F14AF1" w:rsidRPr="00D24E47" w14:paraId="131A71B7" w14:textId="77777777" w:rsidTr="00DE0D24">
        <w:trPr>
          <w:tblHeader/>
        </w:trPr>
        <w:tc>
          <w:tcPr>
            <w:tcW w:w="4531" w:type="dxa"/>
            <w:shd w:val="clear" w:color="auto" w:fill="B8CCEA"/>
          </w:tcPr>
          <w:p w14:paraId="2DAC26C6" w14:textId="29CE8F7C" w:rsidR="00F14AF1" w:rsidRPr="00D24E47" w:rsidRDefault="007C3BD0" w:rsidP="00DE0D24">
            <w:pPr>
              <w:keepNext/>
              <w:spacing w:before="80" w:after="40" w:line="264" w:lineRule="auto"/>
              <w:ind w:left="113"/>
              <w:rPr>
                <w:b/>
                <w:bCs/>
                <w:color w:val="263287"/>
              </w:rPr>
            </w:pPr>
            <w:r>
              <w:rPr>
                <w:b/>
                <w:bCs/>
                <w:color w:val="263287"/>
              </w:rPr>
              <w:t>EU GSPRs</w:t>
            </w:r>
            <w:r w:rsidR="00F14AF1" w:rsidRPr="00D24E47">
              <w:rPr>
                <w:b/>
                <w:bCs/>
                <w:color w:val="263287"/>
              </w:rPr>
              <w:t xml:space="preserve"> not adopted</w:t>
            </w:r>
          </w:p>
        </w:tc>
        <w:tc>
          <w:tcPr>
            <w:tcW w:w="5245" w:type="dxa"/>
            <w:shd w:val="clear" w:color="auto" w:fill="B8CCEA"/>
          </w:tcPr>
          <w:p w14:paraId="405835F3" w14:textId="17BDD867" w:rsidR="00F14AF1" w:rsidRPr="00D24E47" w:rsidRDefault="00F14AF1" w:rsidP="00DE0D24">
            <w:pPr>
              <w:keepNext/>
              <w:spacing w:before="80" w:after="40" w:line="264" w:lineRule="auto"/>
              <w:ind w:left="113"/>
              <w:rPr>
                <w:b/>
                <w:bCs/>
                <w:color w:val="263287"/>
              </w:rPr>
            </w:pPr>
            <w:r w:rsidRPr="00D24E47">
              <w:rPr>
                <w:b/>
                <w:bCs/>
                <w:color w:val="263287"/>
              </w:rPr>
              <w:t xml:space="preserve">Justification for not adopting the EU </w:t>
            </w:r>
            <w:r w:rsidR="007C3BD0">
              <w:rPr>
                <w:b/>
                <w:bCs/>
                <w:color w:val="263287"/>
              </w:rPr>
              <w:t>GSPRs</w:t>
            </w:r>
            <w:r w:rsidRPr="00D24E47">
              <w:rPr>
                <w:b/>
                <w:bCs/>
                <w:color w:val="263287"/>
              </w:rPr>
              <w:t xml:space="preserve"> into the </w:t>
            </w:r>
            <w:r w:rsidR="00851A52">
              <w:rPr>
                <w:b/>
                <w:bCs/>
                <w:color w:val="263287"/>
              </w:rPr>
              <w:t>AUS Essential Principles</w:t>
            </w:r>
          </w:p>
        </w:tc>
      </w:tr>
      <w:tr w:rsidR="00F14AF1" w:rsidRPr="00D57D2C" w14:paraId="2647D478" w14:textId="77777777" w:rsidTr="00DE0D24">
        <w:tc>
          <w:tcPr>
            <w:tcW w:w="4531" w:type="dxa"/>
            <w:tcBorders>
              <w:top w:val="single" w:sz="4" w:space="0" w:color="auto"/>
              <w:bottom w:val="single" w:sz="4" w:space="0" w:color="auto"/>
            </w:tcBorders>
          </w:tcPr>
          <w:p w14:paraId="3EA6C276" w14:textId="3DD8EE05" w:rsidR="008F5E13" w:rsidRPr="00BC78EA" w:rsidRDefault="008F5E13" w:rsidP="008F5E13">
            <w:pPr>
              <w:rPr>
                <w:rStyle w:val="Strong"/>
              </w:rPr>
            </w:pPr>
            <w:r>
              <w:rPr>
                <w:rStyle w:val="Strong"/>
              </w:rPr>
              <w:t xml:space="preserve">MDR </w:t>
            </w:r>
            <w:r w:rsidRPr="00BC78EA">
              <w:rPr>
                <w:rStyle w:val="Strong"/>
              </w:rPr>
              <w:t xml:space="preserve">GSPR 10.4.1. Design and manufacture of </w:t>
            </w:r>
            <w:proofErr w:type="gramStart"/>
            <w:r w:rsidRPr="00BC78EA">
              <w:rPr>
                <w:rStyle w:val="Strong"/>
              </w:rPr>
              <w:t>devices</w:t>
            </w:r>
            <w:proofErr w:type="gramEnd"/>
          </w:p>
          <w:p w14:paraId="1E7EFC6A" w14:textId="77777777" w:rsidR="008F5E13" w:rsidRPr="006209DD" w:rsidRDefault="008F5E13" w:rsidP="008F5E13">
            <w:pPr>
              <w:rPr>
                <w:shd w:val="clear" w:color="auto" w:fill="FFFFFF" w:themeFill="background1"/>
              </w:rPr>
            </w:pPr>
            <w:r w:rsidRPr="006209DD">
              <w:rPr>
                <w:shd w:val="clear" w:color="auto" w:fill="FFFFFF" w:themeFill="background1"/>
              </w:rPr>
              <w:t xml:space="preserve">Devices shall be designed and manufactured in such a way as to reduce as far as possible the risks posed by substances or particles, including wear debris, degradation products and processing residues, that may be </w:t>
            </w:r>
            <w:r w:rsidRPr="00BC78EA">
              <w:rPr>
                <w:shd w:val="clear" w:color="auto" w:fill="FFFFFF" w:themeFill="background1"/>
              </w:rPr>
              <w:t>released from</w:t>
            </w:r>
            <w:r w:rsidRPr="006209DD">
              <w:rPr>
                <w:shd w:val="clear" w:color="auto" w:fill="FFFFFF" w:themeFill="background1"/>
              </w:rPr>
              <w:t xml:space="preserve"> the device. </w:t>
            </w:r>
          </w:p>
          <w:p w14:paraId="08A6364B" w14:textId="77777777" w:rsidR="008F5E13" w:rsidRPr="006209DD" w:rsidRDefault="008F5E13" w:rsidP="008F5E13">
            <w:r w:rsidRPr="006209DD">
              <w:t>Devices, or those parts thereof or those materials used therein that:</w:t>
            </w:r>
          </w:p>
          <w:p w14:paraId="6B7D8F2B" w14:textId="77777777" w:rsidR="008F5E13" w:rsidRPr="006209DD" w:rsidRDefault="008F5E13" w:rsidP="008F5E13">
            <w:pPr>
              <w:pStyle w:val="ListBullet2"/>
              <w:ind w:left="340" w:hanging="170"/>
            </w:pPr>
            <w:r w:rsidRPr="006209DD">
              <w:t>Are invasive and come into direct contact with the human body,</w:t>
            </w:r>
          </w:p>
          <w:p w14:paraId="4AEA601A" w14:textId="77777777" w:rsidR="008F5E13" w:rsidRPr="00223222" w:rsidRDefault="008F5E13" w:rsidP="008F5E13">
            <w:pPr>
              <w:pStyle w:val="ListBullet2"/>
              <w:ind w:left="340" w:hanging="170"/>
            </w:pPr>
            <w:r w:rsidRPr="00223222">
              <w:t>(re)administer medicines</w:t>
            </w:r>
            <w:r w:rsidRPr="006209DD">
              <w:t xml:space="preserve">, body liquids or other substances, including gases, to/from the body, </w:t>
            </w:r>
            <w:r w:rsidRPr="00223222">
              <w:t>or</w:t>
            </w:r>
          </w:p>
          <w:p w14:paraId="1C75AC79" w14:textId="77777777" w:rsidR="008F5E13" w:rsidRPr="00223222" w:rsidRDefault="008F5E13" w:rsidP="008F5E13">
            <w:pPr>
              <w:pStyle w:val="ListBullet2"/>
              <w:ind w:left="340" w:hanging="170"/>
            </w:pPr>
            <w:r w:rsidRPr="00223222">
              <w:t xml:space="preserve">Transport or store such medicines, body fluids or substances, including gases, to be (re)administered to the body, </w:t>
            </w:r>
          </w:p>
          <w:p w14:paraId="69666E6E" w14:textId="77777777" w:rsidR="008F5E13" w:rsidRPr="00223222" w:rsidRDefault="008F5E13" w:rsidP="008F5E13">
            <w:bookmarkStart w:id="121" w:name="_Hlk172196997"/>
            <w:r>
              <w:t>s</w:t>
            </w:r>
            <w:r w:rsidRPr="00223222">
              <w:t>hall only contain the following substances in a concentration that is above 0,1 % weight by weight (w/w) where justified pursuant to Section 10.4.2:</w:t>
            </w:r>
          </w:p>
          <w:p w14:paraId="19A74EF3" w14:textId="77777777" w:rsidR="008F5E13" w:rsidRPr="006209DD" w:rsidRDefault="008F5E13" w:rsidP="008F5E13">
            <w:pPr>
              <w:pStyle w:val="Legislativeletterbullet"/>
              <w:numPr>
                <w:ilvl w:val="0"/>
                <w:numId w:val="11"/>
              </w:numPr>
            </w:pPr>
            <w:r w:rsidRPr="00223222">
              <w:t xml:space="preserve">Substances which are carcinogenic, </w:t>
            </w:r>
            <w:proofErr w:type="gramStart"/>
            <w:r w:rsidRPr="00223222">
              <w:t>mutagenic</w:t>
            </w:r>
            <w:proofErr w:type="gramEnd"/>
            <w:r w:rsidRPr="00223222">
              <w:t xml:space="preserve"> or toxic to reproduction (‘CMR’), of category 1A or 1B</w:t>
            </w:r>
            <w:r w:rsidRPr="006209DD">
              <w:t>, in accordance with Part 3 of Annex VI to Regulation (EC) No 1272/2008 of the European Parliament and of the Council (1), or</w:t>
            </w:r>
          </w:p>
          <w:p w14:paraId="39CD549F" w14:textId="77777777" w:rsidR="00F14AF1" w:rsidRDefault="008F5E13" w:rsidP="008F5E13">
            <w:pPr>
              <w:rPr>
                <w:shd w:val="clear" w:color="auto" w:fill="FFFFFF" w:themeFill="background1"/>
              </w:rPr>
            </w:pPr>
            <w:r w:rsidRPr="00A427C9">
              <w:rPr>
                <w:shd w:val="clear" w:color="auto" w:fill="FFFFFF" w:themeFill="background1"/>
              </w:rPr>
              <w:t>Substances having endocrine-disrupting properties for which there is scientific evidence of probable serious effects to human health and which are identified either in accordance with the procedure set out in Article 59 of Regulation (EC) No 1907/2006 of the European Parliament and of the Council (2) or, once a delegated act has been adopted by the Commission pursuant to the first subparagraph of Article 5(3) of Regulation (EU) No 528/2012 of the European Parliament and the Council (3), in accordance with the criteria that are relevant to human health amongst the criteria established therein</w:t>
            </w:r>
            <w:bookmarkEnd w:id="121"/>
            <w:r>
              <w:rPr>
                <w:shd w:val="clear" w:color="auto" w:fill="FFFFFF" w:themeFill="background1"/>
              </w:rPr>
              <w:t>.</w:t>
            </w:r>
          </w:p>
          <w:p w14:paraId="1534314E" w14:textId="77777777" w:rsidR="008F5E13" w:rsidRPr="006209DD" w:rsidRDefault="008F5E13" w:rsidP="008F5E13">
            <w:r w:rsidRPr="00BC78EA">
              <w:rPr>
                <w:rStyle w:val="Strong"/>
              </w:rPr>
              <w:t>GSPR 10.3</w:t>
            </w:r>
            <w:r w:rsidRPr="006209DD">
              <w:rPr>
                <w:b/>
                <w:bCs/>
              </w:rPr>
              <w:t xml:space="preserve"> </w:t>
            </w:r>
            <w:r w:rsidRPr="006209DD">
              <w:t xml:space="preserve">Devices shall be designed and manufactured in such a </w:t>
            </w:r>
            <w:r w:rsidRPr="006209DD">
              <w:rPr>
                <w:shd w:val="clear" w:color="auto" w:fill="FFFFFF" w:themeFill="background1"/>
              </w:rPr>
              <w:t xml:space="preserve">way as to reduce to a level as low as reasonably practicable the risks posed by substances or particles, including wear debris, degradation products and processing residues, that may be </w:t>
            </w:r>
            <w:r w:rsidRPr="00BC78EA">
              <w:rPr>
                <w:shd w:val="clear" w:color="auto" w:fill="FFFFFF" w:themeFill="background1"/>
              </w:rPr>
              <w:t>released from the</w:t>
            </w:r>
            <w:r w:rsidRPr="006209DD">
              <w:rPr>
                <w:shd w:val="clear" w:color="auto" w:fill="FFFFFF" w:themeFill="background1"/>
              </w:rPr>
              <w:t xml:space="preserve"> device.</w:t>
            </w:r>
            <w:r w:rsidRPr="006209DD">
              <w:t xml:space="preserve"> </w:t>
            </w:r>
          </w:p>
          <w:p w14:paraId="0E543323" w14:textId="77777777" w:rsidR="008F5E13" w:rsidRPr="006209DD" w:rsidRDefault="008F5E13" w:rsidP="008F5E13">
            <w:pPr>
              <w:rPr>
                <w:shd w:val="clear" w:color="auto" w:fill="D9E2F3" w:themeFill="accent1" w:themeFillTint="33"/>
              </w:rPr>
            </w:pPr>
            <w:bookmarkStart w:id="122" w:name="_Hlk172196915"/>
            <w:r w:rsidRPr="006209DD">
              <w:rPr>
                <w:shd w:val="clear" w:color="auto" w:fill="FFFFFF" w:themeFill="background1"/>
              </w:rPr>
              <w:t>Special attention shall be given to substances which are:</w:t>
            </w:r>
          </w:p>
          <w:p w14:paraId="4F3A893A" w14:textId="77777777" w:rsidR="008F5E13" w:rsidRPr="006209DD" w:rsidRDefault="008F5E13" w:rsidP="008F5E13">
            <w:pPr>
              <w:pStyle w:val="ListBullet2"/>
              <w:rPr>
                <w:shd w:val="clear" w:color="auto" w:fill="D9E2F3" w:themeFill="accent1" w:themeFillTint="33"/>
              </w:rPr>
            </w:pPr>
            <w:r w:rsidRPr="006209DD">
              <w:rPr>
                <w:shd w:val="clear" w:color="auto" w:fill="FFFFFF" w:themeFill="background1"/>
              </w:rPr>
              <w:t xml:space="preserve">Carcinogenic, </w:t>
            </w:r>
            <w:proofErr w:type="gramStart"/>
            <w:r w:rsidRPr="006209DD">
              <w:rPr>
                <w:shd w:val="clear" w:color="auto" w:fill="FFFFFF" w:themeFill="background1"/>
              </w:rPr>
              <w:t>mutagenic</w:t>
            </w:r>
            <w:proofErr w:type="gramEnd"/>
            <w:r w:rsidRPr="006209DD">
              <w:rPr>
                <w:shd w:val="clear" w:color="auto" w:fill="FFFFFF" w:themeFill="background1"/>
              </w:rPr>
              <w:t xml:space="preserve"> or toxic to reproduction (‘CMR’), in accordance with Part 3 of Annex VI to Regulation (EC) No 1272/2008 of the European Parliament and of the Council (1), and</w:t>
            </w:r>
            <w:r w:rsidRPr="006209DD">
              <w:rPr>
                <w:shd w:val="clear" w:color="auto" w:fill="D9E2F3" w:themeFill="accent1" w:themeFillTint="33"/>
              </w:rPr>
              <w:t xml:space="preserve"> </w:t>
            </w:r>
          </w:p>
          <w:p w14:paraId="13AF42CD" w14:textId="77777777" w:rsidR="008F5E13" w:rsidRPr="00DF4E52" w:rsidRDefault="008F5E13" w:rsidP="008F5E13">
            <w:pPr>
              <w:pStyle w:val="ListBullet2"/>
              <w:rPr>
                <w:shd w:val="clear" w:color="auto" w:fill="FFFFFF" w:themeFill="background1"/>
              </w:rPr>
            </w:pPr>
            <w:r w:rsidRPr="006209DD">
              <w:rPr>
                <w:shd w:val="clear" w:color="auto" w:fill="FFFFFF" w:themeFill="background1"/>
              </w:rPr>
              <w:t>To substances having endocrine disrupting properties for which there is scientific evidence of probable serious effects to</w:t>
            </w:r>
            <w:r w:rsidRPr="00DF4E52">
              <w:rPr>
                <w:shd w:val="clear" w:color="auto" w:fill="FFFFFF" w:themeFill="background1"/>
              </w:rPr>
              <w:t xml:space="preserve"> </w:t>
            </w:r>
            <w:r w:rsidRPr="006209DD">
              <w:rPr>
                <w:shd w:val="clear" w:color="auto" w:fill="FFFFFF" w:themeFill="background1"/>
              </w:rPr>
              <w:t>human health and</w:t>
            </w:r>
            <w:r w:rsidRPr="00DF4E52">
              <w:rPr>
                <w:shd w:val="clear" w:color="auto" w:fill="FFFFFF" w:themeFill="background1"/>
              </w:rPr>
              <w:t xml:space="preserve"> </w:t>
            </w:r>
          </w:p>
          <w:p w14:paraId="26C2A094" w14:textId="45A265F3" w:rsidR="008F5E13" w:rsidRDefault="008F5E13" w:rsidP="008F5E13">
            <w:pPr>
              <w:rPr>
                <w:b/>
                <w:bCs/>
              </w:rPr>
            </w:pPr>
            <w:r w:rsidRPr="006209DD">
              <w:rPr>
                <w:shd w:val="clear" w:color="auto" w:fill="FFFFFF" w:themeFill="background1"/>
              </w:rPr>
              <w:t>Which are identified in accordance with the procedure set out in Article 59 of Regulation (EC) No 1907/2006 of the European Parliament and of the Council</w:t>
            </w:r>
            <w:r w:rsidRPr="006209DD">
              <w:rPr>
                <w:shd w:val="clear" w:color="auto" w:fill="FFFFFF" w:themeFill="background1"/>
                <w:vertAlign w:val="superscript"/>
              </w:rPr>
              <w:footnoteReference w:id="9"/>
            </w:r>
            <w:bookmarkEnd w:id="122"/>
          </w:p>
        </w:tc>
        <w:tc>
          <w:tcPr>
            <w:tcW w:w="5245" w:type="dxa"/>
            <w:tcBorders>
              <w:top w:val="single" w:sz="4" w:space="0" w:color="auto"/>
              <w:bottom w:val="single" w:sz="4" w:space="0" w:color="auto"/>
            </w:tcBorders>
            <w:shd w:val="clear" w:color="auto" w:fill="auto"/>
          </w:tcPr>
          <w:p w14:paraId="64EE4235" w14:textId="36D8D837" w:rsidR="00597979" w:rsidRDefault="008F5E13" w:rsidP="00597979">
            <w:pPr>
              <w:rPr>
                <w:rStyle w:val="SubtleEmphasis"/>
                <w:i w:val="0"/>
                <w:iCs/>
              </w:rPr>
            </w:pPr>
            <w:r w:rsidRPr="008F5E13">
              <w:rPr>
                <w:rStyle w:val="SubtleEmphasis"/>
                <w:i w:val="0"/>
                <w:iCs/>
              </w:rPr>
              <w:t xml:space="preserve">Australia does not have the equivalent legislative framework as Europe regarding the requirements placed on </w:t>
            </w:r>
            <w:r w:rsidRPr="00223222">
              <w:t xml:space="preserve">carcinogenic, </w:t>
            </w:r>
            <w:proofErr w:type="gramStart"/>
            <w:r w:rsidRPr="00223222">
              <w:t>mutagenic</w:t>
            </w:r>
            <w:proofErr w:type="gramEnd"/>
            <w:r w:rsidRPr="00223222">
              <w:t xml:space="preserve"> or toxic to reproduction</w:t>
            </w:r>
            <w:r w:rsidRPr="008F5E13">
              <w:rPr>
                <w:rStyle w:val="SubtleEmphasis"/>
                <w:i w:val="0"/>
                <w:iCs/>
              </w:rPr>
              <w:t xml:space="preserve"> and/or endocrine-disrupting substances</w:t>
            </w:r>
            <w:r>
              <w:rPr>
                <w:rStyle w:val="SubtleEmphasis"/>
                <w:i w:val="0"/>
                <w:iCs/>
              </w:rPr>
              <w:t xml:space="preserve">. As such, </w:t>
            </w:r>
            <w:r w:rsidRPr="008F5E13">
              <w:rPr>
                <w:rStyle w:val="SubtleEmphasis"/>
                <w:i w:val="0"/>
                <w:iCs/>
              </w:rPr>
              <w:t xml:space="preserve">we propose to take a broader principles-based approach. </w:t>
            </w:r>
            <w:r>
              <w:rPr>
                <w:rStyle w:val="SubtleEmphasis"/>
                <w:i w:val="0"/>
                <w:iCs/>
              </w:rPr>
              <w:t>to devices incorporating such substances as proposed under AUS EP 7.5.</w:t>
            </w:r>
          </w:p>
          <w:p w14:paraId="13971686" w14:textId="44F1D663" w:rsidR="008F5E13" w:rsidRPr="008F5E13" w:rsidRDefault="008F5E13" w:rsidP="00597979">
            <w:pPr>
              <w:rPr>
                <w:i/>
                <w:iCs/>
              </w:rPr>
            </w:pPr>
          </w:p>
        </w:tc>
      </w:tr>
      <w:tr w:rsidR="008F5E13" w:rsidRPr="00D57D2C" w14:paraId="79F405ED" w14:textId="77777777" w:rsidTr="00DE0D24">
        <w:tc>
          <w:tcPr>
            <w:tcW w:w="4531" w:type="dxa"/>
            <w:tcBorders>
              <w:top w:val="single" w:sz="4" w:space="0" w:color="auto"/>
              <w:bottom w:val="single" w:sz="4" w:space="0" w:color="auto"/>
            </w:tcBorders>
          </w:tcPr>
          <w:p w14:paraId="1815A311" w14:textId="77777777" w:rsidR="008F5E13" w:rsidRPr="00BC78EA" w:rsidRDefault="008F5E13" w:rsidP="008F5E13">
            <w:pPr>
              <w:rPr>
                <w:rStyle w:val="Strong"/>
              </w:rPr>
            </w:pPr>
            <w:r w:rsidRPr="00BC78EA">
              <w:rPr>
                <w:rStyle w:val="Strong"/>
              </w:rPr>
              <w:t>MDR GSPR 10.4.2 Justification regarding the presence of CMR and/or endocrine-disrupting substances</w:t>
            </w:r>
          </w:p>
          <w:p w14:paraId="111D7DEC" w14:textId="77777777" w:rsidR="008F5E13" w:rsidRPr="006209DD" w:rsidRDefault="008F5E13" w:rsidP="008F5E13">
            <w:r w:rsidRPr="006209DD">
              <w:t>The justification for the presence of such substances shall be based upon:</w:t>
            </w:r>
          </w:p>
          <w:p w14:paraId="337489CC" w14:textId="77777777" w:rsidR="008F5E13" w:rsidRPr="006209DD" w:rsidRDefault="008F5E13" w:rsidP="00720585">
            <w:pPr>
              <w:pStyle w:val="Legislativeletterbullet"/>
              <w:numPr>
                <w:ilvl w:val="0"/>
                <w:numId w:val="35"/>
              </w:numPr>
            </w:pPr>
            <w:r>
              <w:t>a</w:t>
            </w:r>
            <w:r w:rsidRPr="006209DD">
              <w:t xml:space="preserve">n analysis and estimation of potential patient or user exposure to the </w:t>
            </w:r>
            <w:proofErr w:type="gramStart"/>
            <w:r w:rsidRPr="006209DD">
              <w:t>substance;</w:t>
            </w:r>
            <w:proofErr w:type="gramEnd"/>
          </w:p>
          <w:p w14:paraId="18D72064" w14:textId="77777777" w:rsidR="008F5E13" w:rsidRPr="006209DD" w:rsidRDefault="008F5E13" w:rsidP="008F5E13">
            <w:pPr>
              <w:pStyle w:val="Legislativeletterbullet"/>
              <w:numPr>
                <w:ilvl w:val="0"/>
                <w:numId w:val="11"/>
              </w:numPr>
            </w:pPr>
            <w:r>
              <w:t>a</w:t>
            </w:r>
            <w:r w:rsidRPr="006209DD">
              <w:t xml:space="preserve">n analysis of possible alternative substances, materials or designs, including, where available, information about independent research, peer-reviewed studies, scientific opinions from relevant scientific committees and an analysis of the availability of such </w:t>
            </w:r>
            <w:proofErr w:type="gramStart"/>
            <w:r w:rsidRPr="006209DD">
              <w:t>alternatives;</w:t>
            </w:r>
            <w:proofErr w:type="gramEnd"/>
          </w:p>
          <w:p w14:paraId="325663AA" w14:textId="77777777" w:rsidR="0003040C" w:rsidRPr="0003040C" w:rsidRDefault="008F5E13" w:rsidP="0003040C">
            <w:pPr>
              <w:pStyle w:val="Legislativeletterbullet"/>
              <w:numPr>
                <w:ilvl w:val="0"/>
                <w:numId w:val="11"/>
              </w:numPr>
              <w:rPr>
                <w:b/>
                <w:bCs/>
              </w:rPr>
            </w:pPr>
            <w:r>
              <w:t>a</w:t>
            </w:r>
            <w:r w:rsidRPr="006209DD">
              <w:t>rgumentation as to why possible substance and/ or material substitutes, if available, or design changes, if feasible, are inappropriate in relation to maintaining the functionality, performance and the benefit-risk ratios of the product; including taking into account if the intended use of such devices includes treatment of children or treatment of pregnant or breastfeeding women or treatment of other patient groups considered particularly vulnerable to such substances and/or materials; and</w:t>
            </w:r>
          </w:p>
          <w:p w14:paraId="24C8EAAB" w14:textId="68AC3ABD" w:rsidR="008F5E13" w:rsidRPr="00BC78EA" w:rsidRDefault="008F5E13" w:rsidP="0003040C">
            <w:pPr>
              <w:pStyle w:val="Legislativeletterbullet"/>
              <w:numPr>
                <w:ilvl w:val="0"/>
                <w:numId w:val="11"/>
              </w:numPr>
              <w:rPr>
                <w:rStyle w:val="Strong"/>
              </w:rPr>
            </w:pPr>
            <w:r>
              <w:t>w</w:t>
            </w:r>
            <w:r w:rsidRPr="006209DD">
              <w:t>here applicable and available, the latest relevant scientific committee guidelines in accordance with Sections 10.4.3. And 10.4.4.</w:t>
            </w:r>
          </w:p>
        </w:tc>
        <w:tc>
          <w:tcPr>
            <w:tcW w:w="5245" w:type="dxa"/>
            <w:tcBorders>
              <w:top w:val="single" w:sz="4" w:space="0" w:color="auto"/>
              <w:bottom w:val="single" w:sz="4" w:space="0" w:color="auto"/>
            </w:tcBorders>
            <w:shd w:val="clear" w:color="auto" w:fill="auto"/>
          </w:tcPr>
          <w:p w14:paraId="5C7829CD" w14:textId="77777777" w:rsidR="0003040C" w:rsidRPr="0003040C" w:rsidRDefault="0003040C" w:rsidP="0003040C">
            <w:pPr>
              <w:rPr>
                <w:rStyle w:val="SubtleEmphasis"/>
                <w:i w:val="0"/>
                <w:iCs/>
              </w:rPr>
            </w:pPr>
            <w:r w:rsidRPr="0003040C">
              <w:rPr>
                <w:rStyle w:val="SubtleEmphasis"/>
                <w:i w:val="0"/>
                <w:iCs/>
              </w:rPr>
              <w:t xml:space="preserve">Australia does not have the equivalent legislative framework as Europe regarding the requirements placed on carcinogenic, </w:t>
            </w:r>
            <w:proofErr w:type="gramStart"/>
            <w:r w:rsidRPr="0003040C">
              <w:rPr>
                <w:rStyle w:val="SubtleEmphasis"/>
                <w:i w:val="0"/>
                <w:iCs/>
              </w:rPr>
              <w:t>mutagenic</w:t>
            </w:r>
            <w:proofErr w:type="gramEnd"/>
            <w:r w:rsidRPr="0003040C">
              <w:rPr>
                <w:rStyle w:val="SubtleEmphasis"/>
                <w:i w:val="0"/>
                <w:iCs/>
              </w:rPr>
              <w:t xml:space="preserve"> or toxic to reproduction and/or endocrine-disrupting substances. As such, we propose to take a broader principles-based approach. to devices incorporating such substances. Hence the specific requirements of EU MDR GSPR 10.4.2 will not be adopted.</w:t>
            </w:r>
          </w:p>
          <w:p w14:paraId="08E88ADF" w14:textId="52AFB579" w:rsidR="0003040C" w:rsidRPr="0003040C" w:rsidRDefault="0003040C" w:rsidP="0003040C">
            <w:pPr>
              <w:rPr>
                <w:rStyle w:val="SubtleEmphasis"/>
                <w:i w:val="0"/>
                <w:iCs/>
              </w:rPr>
            </w:pPr>
            <w:r w:rsidRPr="0003040C">
              <w:rPr>
                <w:rStyle w:val="SubtleEmphasis"/>
                <w:i w:val="0"/>
                <w:iCs/>
              </w:rPr>
              <w:t>However, we may include in our guidance clarification on applying the principles of</w:t>
            </w:r>
            <w:r>
              <w:rPr>
                <w:rStyle w:val="SubtleEmphasis"/>
                <w:i w:val="0"/>
                <w:iCs/>
              </w:rPr>
              <w:t xml:space="preserve"> AUS Essential Principle 2</w:t>
            </w:r>
            <w:r w:rsidRPr="0003040C">
              <w:rPr>
                <w:rStyle w:val="SubtleEmphasis"/>
                <w:i w:val="0"/>
                <w:iCs/>
              </w:rPr>
              <w:t xml:space="preserve"> in minimising risks related to such substances. For example, it would be expected that for any substances known to be carcinogenic, mutagenic or toxic to reproduction, or </w:t>
            </w:r>
            <w:proofErr w:type="gramStart"/>
            <w:r w:rsidRPr="0003040C">
              <w:rPr>
                <w:rStyle w:val="SubtleEmphasis"/>
                <w:i w:val="0"/>
                <w:iCs/>
              </w:rPr>
              <w:t>endocrine-disrupting</w:t>
            </w:r>
            <w:proofErr w:type="gramEnd"/>
            <w:r w:rsidRPr="0003040C">
              <w:rPr>
                <w:rStyle w:val="SubtleEmphasis"/>
                <w:i w:val="0"/>
                <w:iCs/>
              </w:rPr>
              <w:t>, the manufacturer would:</w:t>
            </w:r>
          </w:p>
          <w:p w14:paraId="5C2447FB" w14:textId="77777777" w:rsidR="0003040C" w:rsidRPr="0003040C" w:rsidRDefault="0003040C" w:rsidP="0003040C">
            <w:pPr>
              <w:pStyle w:val="ListBullet2"/>
              <w:rPr>
                <w:rStyle w:val="SubtleEmphasis"/>
                <w:i w:val="0"/>
                <w:iCs/>
              </w:rPr>
            </w:pPr>
            <w:r w:rsidRPr="0003040C">
              <w:rPr>
                <w:rStyle w:val="SubtleEmphasis"/>
                <w:i w:val="0"/>
                <w:iCs/>
              </w:rPr>
              <w:t xml:space="preserve">undertake an analysis and estimation of potential patient or user exposure to the </w:t>
            </w:r>
            <w:proofErr w:type="gramStart"/>
            <w:r w:rsidRPr="0003040C">
              <w:rPr>
                <w:rStyle w:val="SubtleEmphasis"/>
                <w:i w:val="0"/>
                <w:iCs/>
              </w:rPr>
              <w:t>substance</w:t>
            </w:r>
            <w:proofErr w:type="gramEnd"/>
          </w:p>
          <w:p w14:paraId="76EA4025" w14:textId="77777777" w:rsidR="0003040C" w:rsidRPr="0003040C" w:rsidRDefault="0003040C" w:rsidP="0003040C">
            <w:pPr>
              <w:pStyle w:val="ListBullet2"/>
              <w:rPr>
                <w:rStyle w:val="SubtleEmphasis"/>
                <w:i w:val="0"/>
                <w:iCs/>
              </w:rPr>
            </w:pPr>
            <w:r w:rsidRPr="0003040C">
              <w:rPr>
                <w:rStyle w:val="SubtleEmphasis"/>
                <w:i w:val="0"/>
                <w:iCs/>
              </w:rPr>
              <w:t xml:space="preserve">undertake an analysis of possible alternative substances, </w:t>
            </w:r>
            <w:proofErr w:type="gramStart"/>
            <w:r w:rsidRPr="0003040C">
              <w:rPr>
                <w:rStyle w:val="SubtleEmphasis"/>
                <w:i w:val="0"/>
                <w:iCs/>
              </w:rPr>
              <w:t>materials</w:t>
            </w:r>
            <w:proofErr w:type="gramEnd"/>
            <w:r w:rsidRPr="0003040C">
              <w:rPr>
                <w:rStyle w:val="SubtleEmphasis"/>
                <w:i w:val="0"/>
                <w:iCs/>
              </w:rPr>
              <w:t xml:space="preserve"> or designs, including, where available, information about independent research, peer-reviewed studies, scientific opinions from relevant scientific committees and an analysis of the availability of such alternatives</w:t>
            </w:r>
          </w:p>
          <w:p w14:paraId="13ABD516" w14:textId="77777777" w:rsidR="0003040C" w:rsidRPr="0003040C" w:rsidRDefault="0003040C" w:rsidP="0003040C">
            <w:pPr>
              <w:pStyle w:val="ListBullet2"/>
              <w:rPr>
                <w:rStyle w:val="SubtleEmphasis"/>
                <w:i w:val="0"/>
                <w:iCs/>
              </w:rPr>
            </w:pPr>
            <w:r w:rsidRPr="0003040C">
              <w:rPr>
                <w:rStyle w:val="SubtleEmphasis"/>
                <w:i w:val="0"/>
                <w:iCs/>
              </w:rPr>
              <w:t>be able to justify as to why possible substance and/ or material substitutes, if available, or design changes, if feasible, are inappropriate in relation to maintaining the functionality, performance and the benefit-risk ratios of the product; including taking into account if the intended use of such devices includes treatment of children or treatment of pregnant or breastfeeding women or treatment of other patient groups considered particularly vulnerable to such substances and/or materials.</w:t>
            </w:r>
          </w:p>
          <w:p w14:paraId="4ADF7764" w14:textId="421A7A65" w:rsidR="008F5E13" w:rsidRPr="008F5E13" w:rsidRDefault="0003040C" w:rsidP="0003040C">
            <w:pPr>
              <w:pStyle w:val="ListBullet2"/>
              <w:rPr>
                <w:rStyle w:val="SubtleEmphasis"/>
                <w:i w:val="0"/>
                <w:iCs/>
              </w:rPr>
            </w:pPr>
            <w:r w:rsidRPr="0003040C">
              <w:rPr>
                <w:rStyle w:val="SubtleEmphasis"/>
                <w:i w:val="0"/>
                <w:iCs/>
              </w:rPr>
              <w:t>Include precautions and warnings for any vulnerable populations for which the device is intended to be used</w:t>
            </w:r>
          </w:p>
        </w:tc>
      </w:tr>
      <w:tr w:rsidR="008F5E13" w:rsidRPr="00D57D2C" w14:paraId="554999A6" w14:textId="77777777" w:rsidTr="00DE0D24">
        <w:tc>
          <w:tcPr>
            <w:tcW w:w="4531" w:type="dxa"/>
            <w:tcBorders>
              <w:top w:val="single" w:sz="4" w:space="0" w:color="auto"/>
              <w:bottom w:val="single" w:sz="4" w:space="0" w:color="auto"/>
            </w:tcBorders>
          </w:tcPr>
          <w:p w14:paraId="1177AF38" w14:textId="77777777" w:rsidR="008F5E13" w:rsidRDefault="008F5E13" w:rsidP="008F5E13">
            <w:pPr>
              <w:rPr>
                <w:b/>
                <w:bCs/>
              </w:rPr>
            </w:pPr>
            <w:r>
              <w:rPr>
                <w:b/>
                <w:bCs/>
              </w:rPr>
              <w:t>MDR GSPR 10.4.3 – Guidelines on phthalates</w:t>
            </w:r>
          </w:p>
          <w:p w14:paraId="3789ACD8" w14:textId="083F767F" w:rsidR="008F5E13" w:rsidRPr="00411BD8" w:rsidRDefault="008F5E13" w:rsidP="008F5E13">
            <w:r w:rsidRPr="00411BD8">
              <w:t xml:space="preserve">For the purposes of Section 10.4., the Commission shall, as soon as possible and by 26 May 2018, provide the relevant scientific committee with a mandate to prepare guidelines that shall be ready before 26 May 2020. The mandate for the committee shall encompass at least a benefit-risk assessment of the presence of phthalates which belong to either of the groups of substances referred to in points (a) and (b) of Section 10.4.1. The benefit-risk assessment shall </w:t>
            </w:r>
            <w:r w:rsidR="0038767F" w:rsidRPr="00411BD8">
              <w:t>consider</w:t>
            </w:r>
            <w:r w:rsidRPr="00411BD8">
              <w:t xml:space="preserve"> the intended purpose and context of the use of the device, as well as any available alternative substances and alternative materials, </w:t>
            </w:r>
            <w:proofErr w:type="gramStart"/>
            <w:r w:rsidRPr="00411BD8">
              <w:t>designs</w:t>
            </w:r>
            <w:proofErr w:type="gramEnd"/>
            <w:r w:rsidRPr="00411BD8">
              <w:t xml:space="preserve"> or medical treatments. When deemed appropriate </w:t>
            </w:r>
            <w:proofErr w:type="gramStart"/>
            <w:r w:rsidRPr="00411BD8">
              <w:t>on the basis of</w:t>
            </w:r>
            <w:proofErr w:type="gramEnd"/>
            <w:r w:rsidRPr="00411BD8">
              <w:t xml:space="preserve"> the latest scientific evidence, but at least every five years, the guidelines shall be updated. 5.5.2017 L 117/96 Official Journal of the European Union EN </w:t>
            </w:r>
          </w:p>
          <w:p w14:paraId="4223E0CE" w14:textId="77777777" w:rsidR="008F5E13" w:rsidRDefault="008F5E13" w:rsidP="008F5E13">
            <w:pPr>
              <w:rPr>
                <w:b/>
                <w:bCs/>
              </w:rPr>
            </w:pPr>
            <w:r>
              <w:rPr>
                <w:b/>
                <w:bCs/>
              </w:rPr>
              <w:t>MDR GSPR 10.4.4 – Guidelines on other CMR and endocrine disrupting substances</w:t>
            </w:r>
          </w:p>
          <w:p w14:paraId="7574172C" w14:textId="333F33D6" w:rsidR="008F5E13" w:rsidRPr="00411BD8" w:rsidRDefault="008F5E13" w:rsidP="008F5E13">
            <w:r w:rsidRPr="00411BD8">
              <w:t xml:space="preserve">Subsequently, the Commission shall mandate the relevant scientific committee to prepare guidelines as referred to in Section 10.4.3. </w:t>
            </w:r>
            <w:r w:rsidR="008D67B4" w:rsidRPr="00411BD8">
              <w:t>also,</w:t>
            </w:r>
            <w:r w:rsidRPr="00411BD8">
              <w:t xml:space="preserve"> for other substances referred to in points (a) and (b) of Section 10.4.1., where appropriate.</w:t>
            </w:r>
          </w:p>
          <w:p w14:paraId="13DFEEB3" w14:textId="77777777" w:rsidR="008F5E13" w:rsidRDefault="008F5E13" w:rsidP="008F5E13">
            <w:pPr>
              <w:rPr>
                <w:b/>
                <w:bCs/>
              </w:rPr>
            </w:pPr>
          </w:p>
        </w:tc>
        <w:tc>
          <w:tcPr>
            <w:tcW w:w="5245" w:type="dxa"/>
            <w:tcBorders>
              <w:top w:val="single" w:sz="4" w:space="0" w:color="auto"/>
              <w:bottom w:val="single" w:sz="4" w:space="0" w:color="auto"/>
            </w:tcBorders>
            <w:shd w:val="clear" w:color="auto" w:fill="auto"/>
          </w:tcPr>
          <w:p w14:paraId="01A9F91C" w14:textId="77777777" w:rsidR="008F5E13" w:rsidRDefault="008F5E13" w:rsidP="008F5E13">
            <w:r>
              <w:t xml:space="preserve">These MDR GSPRs includes a requirement on the </w:t>
            </w:r>
            <w:r w:rsidRPr="00E54570">
              <w:t>EU Commission to publish guidelines</w:t>
            </w:r>
            <w:r w:rsidRPr="005C3FFD">
              <w:t xml:space="preserve"> on phthalates</w:t>
            </w:r>
            <w:r>
              <w:t xml:space="preserve">, cytogenic mutagenic and toxic to reproduction substances </w:t>
            </w:r>
            <w:r w:rsidRPr="005C3FFD">
              <w:t>and endocrine-disrupting substances</w:t>
            </w:r>
            <w:r>
              <w:t xml:space="preserve">. </w:t>
            </w:r>
          </w:p>
          <w:p w14:paraId="10D4F863" w14:textId="70C6600A" w:rsidR="008F5E13" w:rsidRDefault="008F5E13" w:rsidP="008F5E13">
            <w:r>
              <w:t>Our</w:t>
            </w:r>
            <w:r w:rsidRPr="00597979">
              <w:t xml:space="preserve"> </w:t>
            </w:r>
            <w:r>
              <w:t>AUS Essential Principles</w:t>
            </w:r>
            <w:r w:rsidRPr="00597979">
              <w:t xml:space="preserve"> place requirements on manufacturers and do not place obligations on the Australian Government.</w:t>
            </w:r>
          </w:p>
        </w:tc>
      </w:tr>
      <w:tr w:rsidR="0003040C" w:rsidRPr="00D57D2C" w14:paraId="1B340EE6" w14:textId="77777777" w:rsidTr="00DE0D24">
        <w:tc>
          <w:tcPr>
            <w:tcW w:w="4531" w:type="dxa"/>
            <w:tcBorders>
              <w:top w:val="single" w:sz="4" w:space="0" w:color="auto"/>
              <w:bottom w:val="single" w:sz="4" w:space="0" w:color="auto"/>
            </w:tcBorders>
          </w:tcPr>
          <w:p w14:paraId="4B3A3CCB" w14:textId="77777777" w:rsidR="0003040C" w:rsidRPr="00D72068" w:rsidRDefault="0003040C" w:rsidP="0003040C">
            <w:pPr>
              <w:rPr>
                <w:rStyle w:val="Strong"/>
              </w:rPr>
            </w:pPr>
            <w:r w:rsidRPr="00D72068">
              <w:rPr>
                <w:rStyle w:val="Strong"/>
              </w:rPr>
              <w:t>MDR GSPR 10.4.5 Substances - Labelling</w:t>
            </w:r>
          </w:p>
          <w:p w14:paraId="6B9DEF25" w14:textId="143B199B" w:rsidR="0003040C" w:rsidRDefault="0003040C" w:rsidP="0003040C">
            <w:pPr>
              <w:rPr>
                <w:b/>
                <w:bCs/>
              </w:rPr>
            </w:pPr>
            <w:r w:rsidRPr="006209DD">
              <w:t>Where devices, parts thereof or materials used therein as referred to in Section 10.4.1</w:t>
            </w:r>
            <w:r>
              <w:t xml:space="preserve"> c</w:t>
            </w:r>
            <w:r w:rsidRPr="006209DD">
              <w:t xml:space="preserve">ontain substances referred to in points (a) or (b) of Section 10.4.1 </w:t>
            </w:r>
            <w:r>
              <w:t>i</w:t>
            </w:r>
            <w:r w:rsidRPr="006209DD">
              <w:t>n a concentration above 0,1 % weight by weight (w/w), the presence of those substances shall be labelled on the device itself and/or on the packaging for each unit or, where appropriate, on the sales packaging, with the list of such substances. If the intended use of such devices includes treatment of children or treatment of pregnant or breastfeeding women or treatment of other patient groups considered particularly vulnerable to such substances and/or materials, information on residual risks for those patient groups and, if applicable, on appropriate precautionary measures shall be given in the instructions for use</w:t>
            </w:r>
          </w:p>
        </w:tc>
        <w:tc>
          <w:tcPr>
            <w:tcW w:w="5245" w:type="dxa"/>
            <w:tcBorders>
              <w:top w:val="single" w:sz="4" w:space="0" w:color="auto"/>
              <w:bottom w:val="single" w:sz="4" w:space="0" w:color="auto"/>
            </w:tcBorders>
            <w:shd w:val="clear" w:color="auto" w:fill="auto"/>
          </w:tcPr>
          <w:p w14:paraId="784DAC40" w14:textId="77777777" w:rsidR="0003040C" w:rsidRPr="0003040C" w:rsidRDefault="0003040C" w:rsidP="0003040C">
            <w:pPr>
              <w:rPr>
                <w:rStyle w:val="SubtleEmphasis"/>
                <w:i w:val="0"/>
                <w:iCs/>
              </w:rPr>
            </w:pPr>
            <w:r w:rsidRPr="0003040C">
              <w:rPr>
                <w:rStyle w:val="SubtleEmphasis"/>
                <w:i w:val="0"/>
                <w:iCs/>
              </w:rPr>
              <w:t>As Australia does not have the equivalent legislative framework as Europe regarding the requirements placed on CRM and/or endocrine-disrupting substances, we propose to take a broader principles-based approach. As such, the specific requirements of EU MDR GSPR 10.4.5 will not be adopted.</w:t>
            </w:r>
          </w:p>
          <w:p w14:paraId="24EC6038" w14:textId="77777777" w:rsidR="0003040C" w:rsidRDefault="0003040C" w:rsidP="00DE0D24"/>
        </w:tc>
      </w:tr>
      <w:tr w:rsidR="00F14AF1" w:rsidRPr="00D57D2C" w14:paraId="5ECFB32A" w14:textId="77777777" w:rsidTr="00DE0D24">
        <w:tc>
          <w:tcPr>
            <w:tcW w:w="4531" w:type="dxa"/>
            <w:tcBorders>
              <w:top w:val="single" w:sz="4" w:space="0" w:color="auto"/>
              <w:bottom w:val="single" w:sz="4" w:space="0" w:color="auto"/>
            </w:tcBorders>
          </w:tcPr>
          <w:p w14:paraId="2CAEC581" w14:textId="77777777" w:rsidR="00F14AF1" w:rsidRDefault="00F14AF1" w:rsidP="00DE0D24">
            <w:pPr>
              <w:rPr>
                <w:b/>
                <w:bCs/>
              </w:rPr>
            </w:pPr>
            <w:r>
              <w:rPr>
                <w:b/>
                <w:bCs/>
              </w:rPr>
              <w:t>MDR GSPR 9</w:t>
            </w:r>
          </w:p>
          <w:p w14:paraId="47DBAB66" w14:textId="77777777" w:rsidR="00F14AF1" w:rsidRDefault="00F14AF1" w:rsidP="00DE0D24">
            <w:pPr>
              <w:rPr>
                <w:b/>
                <w:bCs/>
              </w:rPr>
            </w:pPr>
            <w:r w:rsidRPr="008745E6">
              <w:t>For the devices referred to in Annex XVI, the general safety requirements set out in Sections 1 and 8 shall be understood to mean that the device, when used under the conditions and for the purposes intended, does not present a risk at all or presents a risk that is no more than the maximum acceptable risk related to the product's use which is consistent with a high level of protection for the safety and health of persons</w:t>
            </w:r>
            <w:r>
              <w:rPr>
                <w:b/>
                <w:bCs/>
              </w:rPr>
              <w:t>.</w:t>
            </w:r>
          </w:p>
        </w:tc>
        <w:tc>
          <w:tcPr>
            <w:tcW w:w="5245" w:type="dxa"/>
            <w:tcBorders>
              <w:top w:val="single" w:sz="4" w:space="0" w:color="auto"/>
              <w:bottom w:val="single" w:sz="4" w:space="0" w:color="auto"/>
            </w:tcBorders>
            <w:shd w:val="clear" w:color="auto" w:fill="auto"/>
          </w:tcPr>
          <w:p w14:paraId="514B311C" w14:textId="77777777" w:rsidR="00F14AF1" w:rsidRPr="003277A0" w:rsidRDefault="00F14AF1" w:rsidP="00DE0D24">
            <w:r>
              <w:t xml:space="preserve">This MDR </w:t>
            </w:r>
            <w:r w:rsidRPr="003277A0">
              <w:t xml:space="preserve">GSPR relates to the requirement for medical devices without an intended medical purpose. </w:t>
            </w:r>
          </w:p>
          <w:p w14:paraId="4CA7DCD5" w14:textId="33B92B96" w:rsidR="00F14AF1" w:rsidRDefault="00F14AF1" w:rsidP="00DE0D24">
            <w:r>
              <w:t xml:space="preserve">These types of devices are currently outside the scope of </w:t>
            </w:r>
            <w:r w:rsidR="008D6F05">
              <w:t>the Australian r</w:t>
            </w:r>
            <w:r>
              <w:t xml:space="preserve">egulatory framework. Review of the regulation of such devices is an ongoing part of our </w:t>
            </w:r>
            <w:proofErr w:type="gramStart"/>
            <w:r>
              <w:t>reforms</w:t>
            </w:r>
            <w:proofErr w:type="gramEnd"/>
            <w:r>
              <w:t xml:space="preserve"> projects. As such, this </w:t>
            </w:r>
            <w:r w:rsidR="00FC07DD">
              <w:t>EU GSPR</w:t>
            </w:r>
            <w:r>
              <w:t xml:space="preserve"> is outside the scope of the current reforms to the </w:t>
            </w:r>
            <w:r w:rsidR="00851A52">
              <w:t>AUS Essential Principles</w:t>
            </w:r>
            <w:r>
              <w:t>.</w:t>
            </w:r>
          </w:p>
        </w:tc>
      </w:tr>
      <w:tr w:rsidR="00F14AF1" w:rsidRPr="00D57D2C" w14:paraId="3FDDD40F" w14:textId="77777777" w:rsidTr="00DE0D24">
        <w:tc>
          <w:tcPr>
            <w:tcW w:w="4531" w:type="dxa"/>
            <w:tcBorders>
              <w:top w:val="single" w:sz="4" w:space="0" w:color="auto"/>
              <w:bottom w:val="single" w:sz="4" w:space="0" w:color="auto"/>
            </w:tcBorders>
          </w:tcPr>
          <w:p w14:paraId="20ABCB01" w14:textId="77777777" w:rsidR="00F14AF1" w:rsidRPr="00AE3C17" w:rsidRDefault="00F14AF1" w:rsidP="00DE0D24">
            <w:pPr>
              <w:rPr>
                <w:b/>
                <w:bCs/>
              </w:rPr>
            </w:pPr>
            <w:r>
              <w:rPr>
                <w:b/>
                <w:bCs/>
              </w:rPr>
              <w:t xml:space="preserve">MDR GSPR </w:t>
            </w:r>
            <w:r w:rsidRPr="00AE3C17">
              <w:rPr>
                <w:b/>
                <w:bCs/>
              </w:rPr>
              <w:t xml:space="preserve">13. Devices incorporating materials of biological </w:t>
            </w:r>
            <w:proofErr w:type="gramStart"/>
            <w:r w:rsidRPr="00AE3C17">
              <w:rPr>
                <w:b/>
                <w:bCs/>
              </w:rPr>
              <w:t>origin</w:t>
            </w:r>
            <w:proofErr w:type="gramEnd"/>
          </w:p>
          <w:p w14:paraId="799796F6" w14:textId="77777777" w:rsidR="00F14AF1" w:rsidRPr="00AE3C17" w:rsidRDefault="00F14AF1" w:rsidP="00DE0D24">
            <w:r w:rsidRPr="00AE3C17">
              <w:rPr>
                <w:b/>
                <w:bCs/>
              </w:rPr>
              <w:t xml:space="preserve">GSPR 13.1 </w:t>
            </w:r>
            <w:r w:rsidRPr="00AE3C17">
              <w:t xml:space="preserve">For devices manufactured utilising derivatives of tissues or cells of human origin which are non-viable or are rendered non-viable covered by this Regulation in accordance with point (g) of Article 1(6), the following shall apply: </w:t>
            </w:r>
          </w:p>
          <w:p w14:paraId="47876503" w14:textId="77777777" w:rsidR="00F14AF1" w:rsidRPr="00AE3C17" w:rsidRDefault="00F14AF1">
            <w:pPr>
              <w:pStyle w:val="Legislativeletterbullet"/>
              <w:numPr>
                <w:ilvl w:val="0"/>
                <w:numId w:val="11"/>
              </w:numPr>
              <w:ind w:left="317"/>
            </w:pPr>
            <w:r w:rsidRPr="00AE3C17">
              <w:t>donation, procurement and testing of the tissues and cells shall be done in accordance with Directive 2004/23/</w:t>
            </w:r>
            <w:proofErr w:type="gramStart"/>
            <w:r w:rsidRPr="00AE3C17">
              <w:t>EC;</w:t>
            </w:r>
            <w:proofErr w:type="gramEnd"/>
            <w:r w:rsidRPr="00AE3C17">
              <w:t xml:space="preserve"> </w:t>
            </w:r>
          </w:p>
          <w:p w14:paraId="303AF17E" w14:textId="77777777" w:rsidR="00F14AF1" w:rsidRPr="00AE3C17" w:rsidRDefault="00F14AF1" w:rsidP="00F14AF1">
            <w:pPr>
              <w:pStyle w:val="Legislativeletterbullet"/>
              <w:ind w:left="315"/>
            </w:pPr>
            <w:r w:rsidRPr="00AE3C17">
              <w:t xml:space="preserve">processing, preservation and any other handling of those tissues and cells or their derivatives shall be carried out </w:t>
            </w:r>
            <w:proofErr w:type="gramStart"/>
            <w:r w:rsidRPr="00AE3C17">
              <w:t>so as to</w:t>
            </w:r>
            <w:proofErr w:type="gramEnd"/>
            <w:r w:rsidRPr="00AE3C17">
              <w:t xml:space="preserve"> provide safety for patients, users and, where applicable, other persons. In particular, safety with regard to viruses and other transmissible agents shall be addressed by appropriate methods of sourcing and by implementation of validated methods of elimination or inactivation in the course of the manufacturing </w:t>
            </w:r>
            <w:proofErr w:type="gramStart"/>
            <w:r w:rsidRPr="00AE3C17">
              <w:t>process;</w:t>
            </w:r>
            <w:proofErr w:type="gramEnd"/>
            <w:r w:rsidRPr="00AE3C17">
              <w:t xml:space="preserve"> </w:t>
            </w:r>
          </w:p>
          <w:p w14:paraId="56E644AA" w14:textId="1F9F2460" w:rsidR="00F14AF1" w:rsidRPr="003277A0" w:rsidRDefault="00F14AF1" w:rsidP="003277A0">
            <w:r w:rsidRPr="00AE3C17">
              <w:t>the traceability system for those devices shall be complementary and</w:t>
            </w:r>
            <w:r w:rsidRPr="00AE3C17">
              <w:rPr>
                <w:b/>
                <w:bCs/>
              </w:rPr>
              <w:t xml:space="preserve"> </w:t>
            </w:r>
            <w:r w:rsidRPr="00AE3C17">
              <w:t>compatible with the traceability and data protection requirements laid down in Directive 2004/23/EC and in Directive 2002/98/EC.</w:t>
            </w:r>
          </w:p>
        </w:tc>
        <w:tc>
          <w:tcPr>
            <w:tcW w:w="5245" w:type="dxa"/>
            <w:tcBorders>
              <w:top w:val="single" w:sz="4" w:space="0" w:color="auto"/>
              <w:bottom w:val="single" w:sz="4" w:space="0" w:color="auto"/>
            </w:tcBorders>
            <w:shd w:val="clear" w:color="auto" w:fill="auto"/>
          </w:tcPr>
          <w:p w14:paraId="42CA7105" w14:textId="43D3C4CA" w:rsidR="00597979" w:rsidRPr="00597979" w:rsidRDefault="006236AC" w:rsidP="00597979">
            <w:pPr>
              <w:rPr>
                <w:rFonts w:cs="Arial"/>
              </w:rPr>
            </w:pPr>
            <w:r>
              <w:rPr>
                <w:rFonts w:cs="Arial"/>
              </w:rPr>
              <w:t xml:space="preserve">Non-IVD devices </w:t>
            </w:r>
            <w:r w:rsidRPr="00AE3C17">
              <w:t>utilising derivatives of tissues or cells of human origin which are non-viable or are rendered non-viable</w:t>
            </w:r>
            <w:r>
              <w:t xml:space="preserve"> are outside the scope of the Australian medical device regulatory framework.</w:t>
            </w:r>
            <w:r>
              <w:rPr>
                <w:rFonts w:cs="Arial"/>
              </w:rPr>
              <w:t xml:space="preserve"> </w:t>
            </w:r>
            <w:r w:rsidR="00597979" w:rsidRPr="00597979">
              <w:rPr>
                <w:rFonts w:cs="Arial"/>
              </w:rPr>
              <w:t xml:space="preserve">We do not propose to adopt these </w:t>
            </w:r>
            <w:r w:rsidR="00FC07DD">
              <w:rPr>
                <w:rFonts w:cs="Arial"/>
              </w:rPr>
              <w:t>EU GSPR</w:t>
            </w:r>
            <w:r w:rsidR="00597979" w:rsidRPr="00597979">
              <w:rPr>
                <w:rFonts w:cs="Arial"/>
              </w:rPr>
              <w:t xml:space="preserve">s </w:t>
            </w:r>
            <w:r>
              <w:rPr>
                <w:rFonts w:cs="Arial"/>
              </w:rPr>
              <w:t xml:space="preserve">for non-IVD devices </w:t>
            </w:r>
            <w:r w:rsidR="00597979" w:rsidRPr="00597979">
              <w:rPr>
                <w:rFonts w:cs="Arial"/>
              </w:rPr>
              <w:t xml:space="preserve">because these issues are addressed under </w:t>
            </w:r>
            <w:r>
              <w:rPr>
                <w:rFonts w:cs="Arial"/>
              </w:rPr>
              <w:t xml:space="preserve">our </w:t>
            </w:r>
            <w:proofErr w:type="gramStart"/>
            <w:r>
              <w:rPr>
                <w:rFonts w:cs="Arial"/>
              </w:rPr>
              <w:t>b</w:t>
            </w:r>
            <w:r w:rsidRPr="00597979">
              <w:rPr>
                <w:rFonts w:cs="Arial"/>
              </w:rPr>
              <w:t>iologicals</w:t>
            </w:r>
            <w:proofErr w:type="gramEnd"/>
            <w:r w:rsidRPr="00597979">
              <w:rPr>
                <w:rFonts w:cs="Arial"/>
              </w:rPr>
              <w:t xml:space="preserve"> </w:t>
            </w:r>
            <w:r>
              <w:rPr>
                <w:rFonts w:cs="Arial"/>
              </w:rPr>
              <w:t>r</w:t>
            </w:r>
            <w:r w:rsidRPr="00597979">
              <w:rPr>
                <w:rFonts w:cs="Arial"/>
              </w:rPr>
              <w:t xml:space="preserve">egulatory </w:t>
            </w:r>
            <w:r>
              <w:rPr>
                <w:rFonts w:cs="Arial"/>
              </w:rPr>
              <w:t>f</w:t>
            </w:r>
            <w:r w:rsidRPr="00597979">
              <w:rPr>
                <w:rFonts w:cs="Arial"/>
              </w:rPr>
              <w:t>ramework</w:t>
            </w:r>
            <w:r w:rsidR="00597979" w:rsidRPr="00597979">
              <w:rPr>
                <w:rFonts w:cs="Arial"/>
              </w:rPr>
              <w:t>. The exception is for IVD</w:t>
            </w:r>
            <w:r>
              <w:rPr>
                <w:rFonts w:cs="Arial"/>
              </w:rPr>
              <w:t xml:space="preserve"> devices</w:t>
            </w:r>
            <w:r w:rsidR="00597979" w:rsidRPr="00597979">
              <w:rPr>
                <w:rFonts w:cs="Arial"/>
              </w:rPr>
              <w:t xml:space="preserve"> that contain substances of human origin, </w:t>
            </w:r>
            <w:r w:rsidR="00BA74DB">
              <w:rPr>
                <w:rFonts w:cs="Arial"/>
              </w:rPr>
              <w:t>which are non-viable or rendered non-viable</w:t>
            </w:r>
            <w:r>
              <w:rPr>
                <w:rFonts w:cs="Arial"/>
              </w:rPr>
              <w:t>. For IVD devices</w:t>
            </w:r>
            <w:r w:rsidR="00BA74DB">
              <w:rPr>
                <w:rFonts w:cs="Arial"/>
              </w:rPr>
              <w:t xml:space="preserve">, </w:t>
            </w:r>
            <w:r w:rsidR="00597979" w:rsidRPr="00597979">
              <w:rPr>
                <w:rFonts w:cs="Arial"/>
              </w:rPr>
              <w:t xml:space="preserve">we propose to include </w:t>
            </w:r>
            <w:r>
              <w:rPr>
                <w:rFonts w:cs="Arial"/>
              </w:rPr>
              <w:t xml:space="preserve">equivalent requirements for IVD devices </w:t>
            </w:r>
            <w:r w:rsidR="00597979" w:rsidRPr="00597979">
              <w:rPr>
                <w:rFonts w:cs="Arial"/>
              </w:rPr>
              <w:t xml:space="preserve">under </w:t>
            </w:r>
            <w:r w:rsidR="00851A52">
              <w:t xml:space="preserve">AUS Essential Principle </w:t>
            </w:r>
            <w:r w:rsidR="00597979" w:rsidRPr="00597979">
              <w:rPr>
                <w:rFonts w:cs="Arial"/>
              </w:rPr>
              <w:t>8.2</w:t>
            </w:r>
            <w:r w:rsidR="00BA74DB">
              <w:rPr>
                <w:rFonts w:cs="Arial"/>
              </w:rPr>
              <w:t>.</w:t>
            </w:r>
            <w:r w:rsidR="00597979" w:rsidRPr="00597979">
              <w:rPr>
                <w:rFonts w:cs="Arial"/>
              </w:rPr>
              <w:t xml:space="preserve"> </w:t>
            </w:r>
          </w:p>
          <w:p w14:paraId="77DBA1DF" w14:textId="3EB1A0AE" w:rsidR="00F14AF1" w:rsidRPr="00597979" w:rsidRDefault="00F14AF1" w:rsidP="00BA74DB">
            <w:pPr>
              <w:pStyle w:val="ListBullet"/>
              <w:numPr>
                <w:ilvl w:val="0"/>
                <w:numId w:val="0"/>
              </w:numPr>
              <w:ind w:left="360" w:hanging="360"/>
              <w:rPr>
                <w:rFonts w:cs="Arial"/>
              </w:rPr>
            </w:pPr>
            <w:r w:rsidRPr="00597979">
              <w:rPr>
                <w:rStyle w:val="Hyperlink"/>
                <w:rFonts w:cs="Arial"/>
                <w:color w:val="333F48"/>
                <w:u w:val="none"/>
              </w:rPr>
              <w:t xml:space="preserve"> </w:t>
            </w:r>
          </w:p>
        </w:tc>
      </w:tr>
      <w:tr w:rsidR="00F14AF1" w:rsidRPr="00D57D2C" w14:paraId="66E356BE" w14:textId="77777777" w:rsidTr="00DE0D24">
        <w:tc>
          <w:tcPr>
            <w:tcW w:w="4531" w:type="dxa"/>
            <w:tcBorders>
              <w:top w:val="single" w:sz="4" w:space="0" w:color="auto"/>
              <w:bottom w:val="single" w:sz="4" w:space="0" w:color="auto"/>
            </w:tcBorders>
          </w:tcPr>
          <w:p w14:paraId="3C1D1A97" w14:textId="77777777" w:rsidR="00F14AF1" w:rsidRDefault="00F14AF1" w:rsidP="00DE0D24">
            <w:r>
              <w:rPr>
                <w:b/>
                <w:bCs/>
              </w:rPr>
              <w:t>IVDR GSPR 20.1(d)</w:t>
            </w:r>
            <w:r w:rsidRPr="005E23B1">
              <w:t xml:space="preserve"> </w:t>
            </w:r>
          </w:p>
          <w:p w14:paraId="4391F636" w14:textId="77777777" w:rsidR="00F14AF1" w:rsidRDefault="00F14AF1" w:rsidP="00DE0D24">
            <w:pPr>
              <w:rPr>
                <w:b/>
                <w:bCs/>
              </w:rPr>
            </w:pPr>
            <w:r w:rsidRPr="005E23B1">
              <w:t xml:space="preserve">Instructions for use shall be provided together with devices. </w:t>
            </w:r>
            <w:r w:rsidRPr="008E29F0">
              <w:t>However, in duly justified and exceptional cases instructions for use shall not be required or may be abbreviated if the device can be used safely and as intended by the manufacturer without any such instructions for use.</w:t>
            </w:r>
          </w:p>
        </w:tc>
        <w:tc>
          <w:tcPr>
            <w:tcW w:w="5245" w:type="dxa"/>
            <w:tcBorders>
              <w:top w:val="single" w:sz="4" w:space="0" w:color="auto"/>
              <w:bottom w:val="single" w:sz="4" w:space="0" w:color="auto"/>
            </w:tcBorders>
            <w:shd w:val="clear" w:color="auto" w:fill="auto"/>
          </w:tcPr>
          <w:p w14:paraId="519F49E9" w14:textId="5EE6BB83" w:rsidR="00F14AF1" w:rsidRDefault="00F14AF1" w:rsidP="00BA74DB">
            <w:r>
              <w:t xml:space="preserve">The second sentence of IVDR GSPR 20.1(d) relates to circumstances when an IFU need not be provided for an IVD device. </w:t>
            </w:r>
            <w:r w:rsidR="00BA74DB">
              <w:t>We do not think any such circumstances would apply to IVDs of Class 2, 3 and 4. As such, w</w:t>
            </w:r>
            <w:r>
              <w:t xml:space="preserve">e intend to retain the requirements in </w:t>
            </w:r>
            <w:r w:rsidR="00851A52">
              <w:t xml:space="preserve">AUS Essential Principle </w:t>
            </w:r>
            <w:r>
              <w:t>13.2(2). We do not consider this to be an additional requirement, as the EU Regulation only applies in exceptional and duly justified cases</w:t>
            </w:r>
            <w:r w:rsidR="00BA74DB">
              <w:t>.</w:t>
            </w:r>
          </w:p>
        </w:tc>
      </w:tr>
      <w:tr w:rsidR="00F14AF1" w:rsidRPr="00D57D2C" w14:paraId="6E1907F7" w14:textId="77777777" w:rsidTr="00DE0D24">
        <w:tc>
          <w:tcPr>
            <w:tcW w:w="4531" w:type="dxa"/>
            <w:tcBorders>
              <w:top w:val="single" w:sz="4" w:space="0" w:color="auto"/>
              <w:bottom w:val="single" w:sz="4" w:space="0" w:color="auto"/>
            </w:tcBorders>
          </w:tcPr>
          <w:p w14:paraId="69BD01E1" w14:textId="1CF43E22" w:rsidR="00F14AF1" w:rsidRPr="007E43E7" w:rsidRDefault="00F14AF1" w:rsidP="00DE0D24">
            <w:r>
              <w:rPr>
                <w:b/>
                <w:bCs/>
              </w:rPr>
              <w:t xml:space="preserve">MDR GSPR 23.1(f) </w:t>
            </w:r>
            <w:r w:rsidRPr="00E157B9">
              <w:t xml:space="preserve">Instructions for use may be provided to the user in non-paper format (e.g. electronic) to the extent, and only under the conditions, set out in </w:t>
            </w:r>
            <w:hyperlink r:id="rId20" w:history="1">
              <w:r w:rsidRPr="00EA15BC">
                <w:rPr>
                  <w:rStyle w:val="Hyperlink"/>
                  <w:rFonts w:eastAsia="Times New Roman"/>
                  <w:bCs/>
                  <w:szCs w:val="22"/>
                </w:rPr>
                <w:t>Regulation (EU) No 207/2012</w:t>
              </w:r>
            </w:hyperlink>
            <w:r w:rsidRPr="00E157B9">
              <w:t xml:space="preserve"> or in any subsequent implementing rules adopted pursuant to this Regulation.</w:t>
            </w:r>
          </w:p>
          <w:p w14:paraId="12FDFEEA" w14:textId="530B8BA9" w:rsidR="00F14AF1" w:rsidRPr="003277A0" w:rsidRDefault="00F14AF1" w:rsidP="00DE0D24">
            <w:pPr>
              <w:rPr>
                <w:rFonts w:eastAsia="Times New Roman"/>
                <w:bCs/>
                <w:color w:val="000000"/>
                <w:szCs w:val="22"/>
              </w:rPr>
            </w:pPr>
            <w:r>
              <w:rPr>
                <w:b/>
                <w:bCs/>
              </w:rPr>
              <w:t xml:space="preserve">IVDR GSPR 20.1(f) </w:t>
            </w:r>
            <w:r w:rsidRPr="00A107B0">
              <w:rPr>
                <w:rFonts w:eastAsia="Times New Roman"/>
                <w:bCs/>
                <w:color w:val="000000"/>
                <w:szCs w:val="22"/>
              </w:rPr>
              <w:t xml:space="preserve">When the device is intended </w:t>
            </w:r>
            <w:r w:rsidRPr="003277A0">
              <w:rPr>
                <w:rFonts w:eastAsia="Times New Roman"/>
                <w:bCs/>
                <w:color w:val="000000"/>
                <w:szCs w:val="22"/>
              </w:rPr>
              <w:t>for professional use only, instructions for use may be provided to the user in non-paper format (</w:t>
            </w:r>
            <w:r w:rsidR="000B1C92" w:rsidRPr="003277A0">
              <w:rPr>
                <w:rFonts w:eastAsia="Times New Roman"/>
                <w:bCs/>
                <w:color w:val="000000"/>
                <w:szCs w:val="22"/>
              </w:rPr>
              <w:t>e.g.,</w:t>
            </w:r>
            <w:r w:rsidRPr="003277A0">
              <w:rPr>
                <w:rFonts w:eastAsia="Times New Roman"/>
                <w:bCs/>
                <w:color w:val="000000"/>
                <w:szCs w:val="22"/>
              </w:rPr>
              <w:t xml:space="preserve"> electronic), except when the device is intended for near-patient testing.</w:t>
            </w:r>
          </w:p>
          <w:p w14:paraId="3529193F" w14:textId="77777777" w:rsidR="00F14AF1" w:rsidRDefault="00F14AF1" w:rsidP="00DE0D24">
            <w:pPr>
              <w:rPr>
                <w:b/>
                <w:bCs/>
              </w:rPr>
            </w:pPr>
          </w:p>
          <w:p w14:paraId="04BA4F3F" w14:textId="77777777" w:rsidR="00F14AF1" w:rsidRDefault="00F14AF1" w:rsidP="00DE0D24">
            <w:pPr>
              <w:rPr>
                <w:b/>
                <w:bCs/>
              </w:rPr>
            </w:pPr>
            <w:r>
              <w:rPr>
                <w:b/>
                <w:bCs/>
              </w:rPr>
              <w:t>IVDR GSPR 20.2(n)</w:t>
            </w:r>
            <w:r>
              <w:rPr>
                <w:rFonts w:eastAsia="Times New Roman"/>
                <w:bCs/>
                <w:color w:val="000000"/>
                <w:szCs w:val="22"/>
              </w:rPr>
              <w:t xml:space="preserve"> The label shall bear </w:t>
            </w:r>
            <w:proofErr w:type="gramStart"/>
            <w:r>
              <w:rPr>
                <w:rFonts w:eastAsia="Times New Roman"/>
                <w:bCs/>
                <w:color w:val="000000"/>
                <w:szCs w:val="22"/>
              </w:rPr>
              <w:t>all of</w:t>
            </w:r>
            <w:proofErr w:type="gramEnd"/>
            <w:r>
              <w:rPr>
                <w:rFonts w:eastAsia="Times New Roman"/>
                <w:bCs/>
                <w:color w:val="000000"/>
                <w:szCs w:val="22"/>
              </w:rPr>
              <w:t xml:space="preserve"> the following particulars: </w:t>
            </w:r>
            <w:r w:rsidRPr="00086D2C">
              <w:rPr>
                <w:rFonts w:eastAsia="Times New Roman"/>
                <w:bCs/>
                <w:color w:val="000000"/>
                <w:szCs w:val="22"/>
              </w:rPr>
              <w:t>if the instructions for use are not provided in paper form in accordance with point (f) of Section 20.1, a reference to their accessibility (or availability), and where applicable the website address where they can be consulted</w:t>
            </w:r>
            <w:r>
              <w:rPr>
                <w:rFonts w:eastAsia="Times New Roman"/>
                <w:bCs/>
                <w:color w:val="000000"/>
                <w:szCs w:val="22"/>
              </w:rPr>
              <w:t>.</w:t>
            </w:r>
          </w:p>
        </w:tc>
        <w:tc>
          <w:tcPr>
            <w:tcW w:w="5245" w:type="dxa"/>
            <w:tcBorders>
              <w:top w:val="single" w:sz="4" w:space="0" w:color="auto"/>
              <w:bottom w:val="single" w:sz="4" w:space="0" w:color="auto"/>
            </w:tcBorders>
            <w:shd w:val="clear" w:color="auto" w:fill="auto"/>
          </w:tcPr>
          <w:p w14:paraId="7A7ED0B1" w14:textId="54B48BC5" w:rsidR="00F14AF1" w:rsidRDefault="00F14AF1" w:rsidP="00DE0D24">
            <w:pPr>
              <w:rPr>
                <w:sz w:val="20"/>
                <w:szCs w:val="20"/>
              </w:rPr>
            </w:pPr>
            <w:r>
              <w:rPr>
                <w:rFonts w:cs="Arial"/>
                <w:color w:val="171717" w:themeColor="background2" w:themeShade="1A"/>
              </w:rPr>
              <w:t xml:space="preserve">These MDR and IVDR </w:t>
            </w:r>
            <w:r>
              <w:t xml:space="preserve">GSPRs relate </w:t>
            </w:r>
            <w:r w:rsidRPr="003277A0">
              <w:t>to electronic instructions for use.  Electronic IFUs ar</w:t>
            </w:r>
            <w:r>
              <w:t>e part of our ongoing reforms. Once a policy decision has been made</w:t>
            </w:r>
            <w:r w:rsidR="00A76DB6">
              <w:t xml:space="preserve"> following the recent consultation</w:t>
            </w:r>
            <w:r>
              <w:t xml:space="preserve">, the </w:t>
            </w:r>
            <w:r w:rsidR="00851A52">
              <w:t>AUS Essential Principles</w:t>
            </w:r>
            <w:r>
              <w:t xml:space="preserve"> related to these </w:t>
            </w:r>
            <w:r w:rsidR="00FC07DD">
              <w:t>EU GSPR</w:t>
            </w:r>
            <w:r>
              <w:t>s will be reconsidered, where appropriate</w:t>
            </w:r>
            <w:r w:rsidR="00BA74DB">
              <w:t>.</w:t>
            </w:r>
          </w:p>
        </w:tc>
      </w:tr>
      <w:tr w:rsidR="00F14AF1" w:rsidRPr="00D57D2C" w14:paraId="7038FA26" w14:textId="77777777" w:rsidTr="00DE0D24">
        <w:tc>
          <w:tcPr>
            <w:tcW w:w="4531" w:type="dxa"/>
            <w:tcBorders>
              <w:top w:val="single" w:sz="4" w:space="0" w:color="auto"/>
              <w:bottom w:val="single" w:sz="4" w:space="0" w:color="auto"/>
            </w:tcBorders>
          </w:tcPr>
          <w:p w14:paraId="51537DB3" w14:textId="77777777" w:rsidR="00F14AF1" w:rsidRDefault="00F14AF1" w:rsidP="00DE0D24">
            <w:pPr>
              <w:rPr>
                <w:rFonts w:eastAsia="Times New Roman"/>
                <w:b/>
                <w:bCs/>
                <w:color w:val="000000"/>
                <w:szCs w:val="22"/>
              </w:rPr>
            </w:pPr>
            <w:r>
              <w:rPr>
                <w:b/>
                <w:bCs/>
              </w:rPr>
              <w:t xml:space="preserve">MDR GSPR 23.2(d) IVDR GSPR </w:t>
            </w:r>
            <w:r w:rsidRPr="007418D3">
              <w:rPr>
                <w:rFonts w:eastAsia="Times New Roman"/>
                <w:b/>
                <w:bCs/>
                <w:color w:val="000000"/>
                <w:szCs w:val="22"/>
              </w:rPr>
              <w:t>20.2 (d)</w:t>
            </w:r>
          </w:p>
          <w:p w14:paraId="0B0A1652" w14:textId="2070E7CB" w:rsidR="00F14AF1" w:rsidRDefault="00F14AF1" w:rsidP="00DE0D24">
            <w:r>
              <w:t>The label shall bear</w:t>
            </w:r>
            <w:r w:rsidR="008D67B4">
              <w:t>:</w:t>
            </w:r>
          </w:p>
          <w:p w14:paraId="1D06F68C" w14:textId="77777777" w:rsidR="00F14AF1" w:rsidRPr="00411BD8" w:rsidRDefault="00F14AF1" w:rsidP="00DE0D24">
            <w:pPr>
              <w:ind w:left="316" w:hanging="316"/>
            </w:pPr>
            <w:r>
              <w:t xml:space="preserve">(d) </w:t>
            </w:r>
            <w:r w:rsidRPr="00411BD8">
              <w:t>if the manufacturer has its registered place of business outside the Union, the name of the authorised representative and address of the registered place of business of the authorised representative;</w:t>
            </w:r>
          </w:p>
        </w:tc>
        <w:tc>
          <w:tcPr>
            <w:tcW w:w="5245" w:type="dxa"/>
            <w:tcBorders>
              <w:top w:val="single" w:sz="4" w:space="0" w:color="auto"/>
              <w:bottom w:val="single" w:sz="4" w:space="0" w:color="auto"/>
            </w:tcBorders>
            <w:shd w:val="clear" w:color="auto" w:fill="auto"/>
          </w:tcPr>
          <w:p w14:paraId="50DFF6FD" w14:textId="4D72599A" w:rsidR="00F14AF1" w:rsidRDefault="00F14AF1" w:rsidP="00DE0D24">
            <w:r>
              <w:t xml:space="preserve">These </w:t>
            </w:r>
            <w:r w:rsidR="00FC07DD">
              <w:t>EU GSPR</w:t>
            </w:r>
            <w:r>
              <w:t xml:space="preserve">s cover </w:t>
            </w:r>
            <w:r w:rsidRPr="00E157B9">
              <w:t>manufacturer</w:t>
            </w:r>
            <w:r w:rsidR="009D250F">
              <w:t>s</w:t>
            </w:r>
            <w:r w:rsidRPr="00E157B9">
              <w:t xml:space="preserve"> </w:t>
            </w:r>
            <w:r>
              <w:t xml:space="preserve">whose </w:t>
            </w:r>
            <w:r w:rsidRPr="00E157B9">
              <w:t xml:space="preserve">registered place of business </w:t>
            </w:r>
            <w:r>
              <w:t xml:space="preserve">is </w:t>
            </w:r>
            <w:r w:rsidRPr="00E157B9">
              <w:t xml:space="preserve">outside the Union, </w:t>
            </w:r>
            <w:r>
              <w:t>which is not applicable in Australia.</w:t>
            </w:r>
          </w:p>
          <w:p w14:paraId="2F2D1986" w14:textId="48876496" w:rsidR="00597979" w:rsidRDefault="00597979" w:rsidP="00DE0D24">
            <w:pPr>
              <w:rPr>
                <w:bCs/>
              </w:rPr>
            </w:pPr>
            <w:r>
              <w:t xml:space="preserve">Our </w:t>
            </w:r>
            <w:r w:rsidR="00851A52">
              <w:t xml:space="preserve">AUS Essential Principle </w:t>
            </w:r>
            <w:r>
              <w:t>requires the registered place of business of the manufacturer, regardless of their location.</w:t>
            </w:r>
          </w:p>
        </w:tc>
      </w:tr>
      <w:tr w:rsidR="00F14AF1" w:rsidRPr="00D57D2C" w14:paraId="31D8744C" w14:textId="77777777" w:rsidTr="00DE0D24">
        <w:tc>
          <w:tcPr>
            <w:tcW w:w="4531" w:type="dxa"/>
            <w:tcBorders>
              <w:top w:val="single" w:sz="4" w:space="0" w:color="auto"/>
              <w:bottom w:val="single" w:sz="4" w:space="0" w:color="auto"/>
            </w:tcBorders>
          </w:tcPr>
          <w:p w14:paraId="54E18727" w14:textId="77777777" w:rsidR="00F14AF1" w:rsidRDefault="00F14AF1" w:rsidP="00DE0D24">
            <w:r>
              <w:rPr>
                <w:b/>
                <w:bCs/>
              </w:rPr>
              <w:t xml:space="preserve">MDR GSPR 23.2(o) </w:t>
            </w:r>
            <w:r w:rsidRPr="00E157B9">
              <w:t xml:space="preserve">  </w:t>
            </w:r>
          </w:p>
          <w:p w14:paraId="6B0ACD0A" w14:textId="74C1AED5" w:rsidR="00F14AF1" w:rsidRDefault="00F14AF1" w:rsidP="00DE0D24">
            <w:r>
              <w:t>The label shall bear</w:t>
            </w:r>
            <w:r w:rsidR="008D67B4">
              <w:t>:</w:t>
            </w:r>
          </w:p>
          <w:p w14:paraId="1868EBBA" w14:textId="77777777" w:rsidR="00F14AF1" w:rsidRDefault="00F14AF1" w:rsidP="00DE0D24">
            <w:pPr>
              <w:ind w:left="316" w:hanging="316"/>
              <w:rPr>
                <w:b/>
                <w:bCs/>
              </w:rPr>
            </w:pPr>
            <w:r>
              <w:t xml:space="preserve">(o) </w:t>
            </w:r>
            <w:r w:rsidRPr="00E157B9">
              <w:t xml:space="preserve">if the device is a </w:t>
            </w:r>
            <w:r w:rsidRPr="008F02DC">
              <w:rPr>
                <w:b/>
                <w:bCs/>
              </w:rPr>
              <w:t>single-use device that has been reprocessed</w:t>
            </w:r>
            <w:r w:rsidRPr="00E157B9">
              <w:t>, an indication of that fact, the number of</w:t>
            </w:r>
            <w:r>
              <w:t xml:space="preserve"> </w:t>
            </w:r>
            <w:r w:rsidRPr="00E157B9">
              <w:t>reprocessing cycles already performed, and any limitation as regards the number of reprocessing cycles</w:t>
            </w:r>
          </w:p>
        </w:tc>
        <w:tc>
          <w:tcPr>
            <w:tcW w:w="5245" w:type="dxa"/>
            <w:tcBorders>
              <w:top w:val="single" w:sz="4" w:space="0" w:color="auto"/>
              <w:bottom w:val="single" w:sz="4" w:space="0" w:color="auto"/>
            </w:tcBorders>
            <w:shd w:val="clear" w:color="auto" w:fill="auto"/>
          </w:tcPr>
          <w:p w14:paraId="0C27F20D" w14:textId="77777777" w:rsidR="00F14AF1" w:rsidRDefault="00F14AF1" w:rsidP="00DE0D24">
            <w:r>
              <w:t xml:space="preserve">The EU MDR outlines the provisions for </w:t>
            </w:r>
            <w:r w:rsidRPr="00495FF4">
              <w:rPr>
                <w:b/>
                <w:bCs/>
              </w:rPr>
              <w:t>reprocessing of single-use devices</w:t>
            </w:r>
            <w:r>
              <w:t xml:space="preserve"> in </w:t>
            </w:r>
            <w:r w:rsidRPr="00950A85">
              <w:rPr>
                <w:i/>
                <w:iCs/>
              </w:rPr>
              <w:t>Article 17</w:t>
            </w:r>
            <w:r>
              <w:t xml:space="preserve">. </w:t>
            </w:r>
          </w:p>
          <w:p w14:paraId="737D8807" w14:textId="3F0D7EAC" w:rsidR="00F14AF1" w:rsidRPr="00441DE6" w:rsidRDefault="00F14AF1" w:rsidP="00DE0D24">
            <w:r>
              <w:t>We currently have no such provisions within our Regulations. Inclusion of such provisions, if deemed necessary, may be the focus of a separate consultation.</w:t>
            </w:r>
          </w:p>
        </w:tc>
      </w:tr>
      <w:tr w:rsidR="00F14AF1" w:rsidRPr="00D57D2C" w14:paraId="258993E9" w14:textId="77777777" w:rsidTr="00DE0D24">
        <w:tc>
          <w:tcPr>
            <w:tcW w:w="4531" w:type="dxa"/>
            <w:tcBorders>
              <w:top w:val="single" w:sz="4" w:space="0" w:color="auto"/>
              <w:bottom w:val="single" w:sz="4" w:space="0" w:color="auto"/>
            </w:tcBorders>
          </w:tcPr>
          <w:p w14:paraId="57F255E9" w14:textId="77777777" w:rsidR="00F14AF1" w:rsidRDefault="00F14AF1" w:rsidP="00DE0D24">
            <w:pPr>
              <w:rPr>
                <w:b/>
                <w:bCs/>
              </w:rPr>
            </w:pPr>
            <w:r>
              <w:rPr>
                <w:b/>
                <w:bCs/>
              </w:rPr>
              <w:t>MDR GSPR 23.4 Information in the instructions for use</w:t>
            </w:r>
          </w:p>
          <w:p w14:paraId="06D69E5F" w14:textId="17B0CD53" w:rsidR="00F14AF1" w:rsidRPr="00411BD8" w:rsidRDefault="00F14AF1" w:rsidP="00DE0D24">
            <w:r>
              <w:t>The instructions for use shall contain</w:t>
            </w:r>
            <w:r w:rsidR="008D67B4">
              <w:t>:</w:t>
            </w:r>
          </w:p>
          <w:p w14:paraId="72864400" w14:textId="77777777" w:rsidR="00F14AF1" w:rsidRPr="00411BD8" w:rsidRDefault="00F14AF1" w:rsidP="00DE0D24">
            <w:pPr>
              <w:ind w:left="316" w:hanging="316"/>
            </w:pPr>
            <w:r w:rsidRPr="00411BD8">
              <w:t>(x) for the devices covered by this Regulation pursuant to Article 1(2), information regarding the absence of a clinical benefit and the risks related to use of the device;</w:t>
            </w:r>
          </w:p>
        </w:tc>
        <w:tc>
          <w:tcPr>
            <w:tcW w:w="5245" w:type="dxa"/>
            <w:tcBorders>
              <w:top w:val="single" w:sz="4" w:space="0" w:color="auto"/>
              <w:bottom w:val="single" w:sz="4" w:space="0" w:color="auto"/>
            </w:tcBorders>
            <w:shd w:val="clear" w:color="auto" w:fill="auto"/>
          </w:tcPr>
          <w:p w14:paraId="23EBBB9F" w14:textId="1C2D2BFD" w:rsidR="00F14AF1" w:rsidRPr="0078771D" w:rsidRDefault="00F14AF1" w:rsidP="00DE0D24">
            <w:r>
              <w:t xml:space="preserve">This labelling requirement applies </w:t>
            </w:r>
            <w:r w:rsidRPr="004376CF">
              <w:t xml:space="preserve">to </w:t>
            </w:r>
            <w:r w:rsidRPr="004C08F8">
              <w:t>devices without an intended therapeutic purpose.</w:t>
            </w:r>
            <w:r>
              <w:t xml:space="preserve"> </w:t>
            </w:r>
            <w:r w:rsidR="00597979" w:rsidRPr="00E54570">
              <w:t xml:space="preserve">This is the subject of ongoing reforms and </w:t>
            </w:r>
            <w:r w:rsidR="004376CF" w:rsidRPr="00E54570">
              <w:t>will be addressed</w:t>
            </w:r>
            <w:r w:rsidR="00597979" w:rsidRPr="00E54570">
              <w:t xml:space="preserve"> separately</w:t>
            </w:r>
            <w:r w:rsidR="004376CF" w:rsidRPr="00E54570">
              <w:t xml:space="preserve"> to this consultatio</w:t>
            </w:r>
            <w:r w:rsidR="00D25C90" w:rsidRPr="00E54570">
              <w:t>n</w:t>
            </w:r>
            <w:r w:rsidRPr="00E54570">
              <w:t>.</w:t>
            </w:r>
            <w:r>
              <w:t xml:space="preserve"> </w:t>
            </w:r>
          </w:p>
        </w:tc>
      </w:tr>
      <w:tr w:rsidR="00F14AF1" w:rsidRPr="00D57D2C" w14:paraId="741B6184" w14:textId="77777777" w:rsidTr="00DE0D24">
        <w:tc>
          <w:tcPr>
            <w:tcW w:w="4531" w:type="dxa"/>
            <w:tcBorders>
              <w:top w:val="single" w:sz="4" w:space="0" w:color="auto"/>
              <w:bottom w:val="single" w:sz="4" w:space="0" w:color="auto"/>
            </w:tcBorders>
          </w:tcPr>
          <w:p w14:paraId="29FC209F" w14:textId="77777777" w:rsidR="00F14AF1" w:rsidRDefault="00F14AF1" w:rsidP="00DE0D24">
            <w:pPr>
              <w:rPr>
                <w:b/>
                <w:bCs/>
              </w:rPr>
            </w:pPr>
            <w:r>
              <w:rPr>
                <w:b/>
                <w:bCs/>
              </w:rPr>
              <w:t>MDR GSPR 23.4 Information in the instructions for use</w:t>
            </w:r>
          </w:p>
          <w:p w14:paraId="487C3879" w14:textId="77777777" w:rsidR="00F14AF1" w:rsidRDefault="00F14AF1" w:rsidP="00DE0D24">
            <w:r>
              <w:t>The instructions for use shall contain……</w:t>
            </w:r>
          </w:p>
          <w:p w14:paraId="608F4316" w14:textId="2776FE5A" w:rsidR="00F14AF1" w:rsidRPr="00411BD8" w:rsidRDefault="00F14AF1" w:rsidP="00DE0D24">
            <w:r>
              <w:t>(s) [sub-point:] i</w:t>
            </w:r>
            <w:r w:rsidRPr="00D24E47">
              <w:t xml:space="preserve">f the device is intended to administer medicinal products, tissues or cells of human or animal origin, or their derivatives, or biological substances, any limitations or incompatibility in the choice of substances to be </w:t>
            </w:r>
            <w:r w:rsidR="00AC4385" w:rsidRPr="00D24E47">
              <w:t>delivered</w:t>
            </w:r>
          </w:p>
          <w:p w14:paraId="730D879E" w14:textId="77777777" w:rsidR="00F14AF1" w:rsidRDefault="00F14AF1" w:rsidP="00DE0D24">
            <w:pPr>
              <w:rPr>
                <w:b/>
                <w:bCs/>
              </w:rPr>
            </w:pPr>
          </w:p>
        </w:tc>
        <w:tc>
          <w:tcPr>
            <w:tcW w:w="5245" w:type="dxa"/>
            <w:tcBorders>
              <w:top w:val="single" w:sz="4" w:space="0" w:color="auto"/>
              <w:bottom w:val="single" w:sz="4" w:space="0" w:color="auto"/>
            </w:tcBorders>
            <w:shd w:val="clear" w:color="auto" w:fill="auto"/>
          </w:tcPr>
          <w:p w14:paraId="6918B66D" w14:textId="33D5026F" w:rsidR="00F14AF1" w:rsidRPr="00BD41EE" w:rsidRDefault="00F14AF1" w:rsidP="00DE0D24">
            <w:r w:rsidRPr="00BD41EE">
              <w:t xml:space="preserve">Any labelling requirement related to tissues or cells, or their derivatives of </w:t>
            </w:r>
            <w:r w:rsidRPr="00E54570">
              <w:t>human origin for non-IVD devices</w:t>
            </w:r>
            <w:r>
              <w:rPr>
                <w:b/>
                <w:bCs/>
              </w:rPr>
              <w:t xml:space="preserve">, </w:t>
            </w:r>
            <w:r w:rsidR="00D25C90" w:rsidRPr="00D25C90">
              <w:t>ha</w:t>
            </w:r>
            <w:r w:rsidR="00D25C90">
              <w:t>ve</w:t>
            </w:r>
            <w:r w:rsidR="00D25C90" w:rsidRPr="00D25C90">
              <w:t xml:space="preserve"> not been adopted</w:t>
            </w:r>
            <w:r w:rsidR="00D25C90">
              <w:rPr>
                <w:b/>
                <w:bCs/>
              </w:rPr>
              <w:t xml:space="preserve"> </w:t>
            </w:r>
            <w:r w:rsidRPr="00F47DA3">
              <w:t>as such products are regulated under our Biologicals Regulatory Framework.</w:t>
            </w:r>
          </w:p>
        </w:tc>
      </w:tr>
    </w:tbl>
    <w:p w14:paraId="5978F0B3" w14:textId="0D2AA9FC" w:rsidR="00F14AF1" w:rsidRDefault="00F14AF1" w:rsidP="00F14AF1">
      <w:r>
        <w:t xml:space="preserve">Table description: The table includes the European General Safety and Performance Requirements which are </w:t>
      </w:r>
      <w:r w:rsidR="004376CF">
        <w:t xml:space="preserve">out of scope </w:t>
      </w:r>
      <w:r>
        <w:t xml:space="preserve">from the alignment of the </w:t>
      </w:r>
      <w:r w:rsidR="00851A52">
        <w:t>AUS Essential Principles</w:t>
      </w:r>
      <w:r>
        <w:t xml:space="preserve"> for medical devices, together with a </w:t>
      </w:r>
      <w:r w:rsidR="004376CF">
        <w:t>justification</w:t>
      </w:r>
      <w:r>
        <w:t xml:space="preserve">. </w:t>
      </w:r>
    </w:p>
    <w:p w14:paraId="08D6A3C7" w14:textId="77777777" w:rsidR="000E43CB" w:rsidRPr="009401F6" w:rsidRDefault="000E43CB" w:rsidP="006168D3">
      <w:pPr>
        <w:pStyle w:val="NonTOCheading2"/>
      </w:pPr>
      <w:bookmarkStart w:id="123" w:name="_Appendix_2:_Essential"/>
      <w:bookmarkStart w:id="124" w:name="_Appendix_2:_AU-specific"/>
      <w:bookmarkStart w:id="125" w:name="_Toc168309865"/>
      <w:bookmarkEnd w:id="120"/>
      <w:bookmarkEnd w:id="123"/>
      <w:bookmarkEnd w:id="124"/>
      <w:r w:rsidRPr="009401F6">
        <w:t>Version history</w:t>
      </w:r>
      <w:bookmarkEnd w:id="125"/>
    </w:p>
    <w:tbl>
      <w:tblPr>
        <w:tblStyle w:val="TGABlack2023"/>
        <w:tblW w:w="9038" w:type="dxa"/>
        <w:tblLayout w:type="fixed"/>
        <w:tblLook w:val="04A0" w:firstRow="1" w:lastRow="0" w:firstColumn="1" w:lastColumn="0" w:noHBand="0" w:noVBand="1"/>
      </w:tblPr>
      <w:tblGrid>
        <w:gridCol w:w="1276"/>
        <w:gridCol w:w="3242"/>
        <w:gridCol w:w="2712"/>
        <w:gridCol w:w="1808"/>
      </w:tblGrid>
      <w:tr w:rsidR="00A91F04" w:rsidRPr="00A91F04" w14:paraId="5B5E54CB" w14:textId="77777777" w:rsidTr="000E43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D55B654" w14:textId="77777777" w:rsidR="000E43CB" w:rsidRPr="00A91F04" w:rsidRDefault="000E43CB" w:rsidP="006168D3">
            <w:pPr>
              <w:rPr>
                <w:color w:val="FFFFFF" w:themeColor="background1"/>
              </w:rPr>
            </w:pPr>
            <w:bookmarkStart w:id="126" w:name="ColumnTitle_4"/>
            <w:r w:rsidRPr="00A91F04">
              <w:rPr>
                <w:color w:val="FFFFFF" w:themeColor="background1"/>
              </w:rPr>
              <w:t>Version</w:t>
            </w:r>
          </w:p>
        </w:tc>
        <w:tc>
          <w:tcPr>
            <w:tcW w:w="3242" w:type="dxa"/>
          </w:tcPr>
          <w:p w14:paraId="4C406E5C" w14:textId="77777777" w:rsidR="000E43CB" w:rsidRPr="00A91F04" w:rsidRDefault="000E43CB" w:rsidP="006168D3">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A91F04">
              <w:rPr>
                <w:color w:val="FFFFFF" w:themeColor="background1"/>
              </w:rPr>
              <w:t>Description of change</w:t>
            </w:r>
          </w:p>
        </w:tc>
        <w:tc>
          <w:tcPr>
            <w:tcW w:w="2712" w:type="dxa"/>
          </w:tcPr>
          <w:p w14:paraId="5ED6A1F3" w14:textId="77777777" w:rsidR="000E43CB" w:rsidRPr="00A91F04" w:rsidRDefault="000E43CB" w:rsidP="006168D3">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A91F04">
              <w:rPr>
                <w:color w:val="FFFFFF" w:themeColor="background1"/>
              </w:rPr>
              <w:t>Author</w:t>
            </w:r>
          </w:p>
        </w:tc>
        <w:tc>
          <w:tcPr>
            <w:tcW w:w="1808" w:type="dxa"/>
          </w:tcPr>
          <w:p w14:paraId="6B0FE202" w14:textId="77777777" w:rsidR="000E43CB" w:rsidRPr="00A91F04" w:rsidRDefault="000E43CB" w:rsidP="006168D3">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A91F04">
              <w:rPr>
                <w:color w:val="FFFFFF" w:themeColor="background1"/>
              </w:rPr>
              <w:t>Effective date</w:t>
            </w:r>
          </w:p>
        </w:tc>
      </w:tr>
      <w:bookmarkEnd w:id="126"/>
      <w:tr w:rsidR="000E43CB" w:rsidRPr="009401F6" w14:paraId="41147F39" w14:textId="77777777" w:rsidTr="000E43CB">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CE7E981" w14:textId="77777777" w:rsidR="000E43CB" w:rsidRPr="009401F6" w:rsidRDefault="000E43CB" w:rsidP="006168D3">
            <w:r w:rsidRPr="009401F6">
              <w:t>V1.0</w:t>
            </w:r>
          </w:p>
        </w:tc>
        <w:tc>
          <w:tcPr>
            <w:tcW w:w="3242" w:type="dxa"/>
          </w:tcPr>
          <w:p w14:paraId="77F5DA11" w14:textId="77777777" w:rsidR="000E43CB" w:rsidRPr="009401F6" w:rsidRDefault="000E43CB" w:rsidP="006168D3">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14:paraId="2DBBC712" w14:textId="6DE345D4" w:rsidR="000E43CB" w:rsidRPr="009401F6" w:rsidRDefault="00A76DB6" w:rsidP="006168D3">
            <w:pPr>
              <w:cnfStyle w:val="000000000000" w:firstRow="0" w:lastRow="0" w:firstColumn="0" w:lastColumn="0" w:oddVBand="0" w:evenVBand="0" w:oddHBand="0" w:evenHBand="0" w:firstRowFirstColumn="0" w:firstRowLastColumn="0" w:lastRowFirstColumn="0" w:lastRowLastColumn="0"/>
            </w:pPr>
            <w:r>
              <w:t>Devices Reforms Taskforce</w:t>
            </w:r>
          </w:p>
        </w:tc>
        <w:tc>
          <w:tcPr>
            <w:tcW w:w="1808" w:type="dxa"/>
          </w:tcPr>
          <w:p w14:paraId="17D0D1FC" w14:textId="131B2874" w:rsidR="000E43CB" w:rsidRPr="009401F6" w:rsidRDefault="00902903" w:rsidP="006168D3">
            <w:pPr>
              <w:cnfStyle w:val="000000000000" w:firstRow="0" w:lastRow="0" w:firstColumn="0" w:lastColumn="0" w:oddVBand="0" w:evenVBand="0" w:oddHBand="0" w:evenHBand="0" w:firstRowFirstColumn="0" w:firstRowLastColumn="0" w:lastRowFirstColumn="0" w:lastRowLastColumn="0"/>
            </w:pPr>
            <w:r>
              <w:t>August</w:t>
            </w:r>
            <w:r w:rsidR="00A76DB6">
              <w:t xml:space="preserve"> </w:t>
            </w:r>
            <w:r w:rsidR="00DE7A5F">
              <w:t>2024</w:t>
            </w:r>
            <w:r w:rsidR="000E43CB">
              <w:t xml:space="preserve"> </w:t>
            </w:r>
          </w:p>
        </w:tc>
      </w:tr>
    </w:tbl>
    <w:p w14:paraId="50750ECB" w14:textId="77777777" w:rsidR="000E43CB" w:rsidRDefault="000E43CB" w:rsidP="006168D3"/>
    <w:p w14:paraId="2A2ECF81" w14:textId="58C7A483" w:rsidR="00902903" w:rsidRDefault="00902903" w:rsidP="00902903">
      <w:pPr>
        <w:tabs>
          <w:tab w:val="left" w:pos="7350"/>
        </w:tabs>
      </w:pPr>
      <w:r>
        <w:tab/>
      </w:r>
    </w:p>
    <w:p w14:paraId="1901A9E6" w14:textId="60DB5137" w:rsidR="00902903" w:rsidRPr="00902903" w:rsidRDefault="00902903" w:rsidP="00902903">
      <w:pPr>
        <w:tabs>
          <w:tab w:val="left" w:pos="7350"/>
        </w:tabs>
        <w:sectPr w:rsidR="00902903" w:rsidRPr="00902903" w:rsidSect="00781196">
          <w:pgSz w:w="11906" w:h="16838" w:code="9"/>
          <w:pgMar w:top="1530" w:right="1418" w:bottom="1361" w:left="1418" w:header="998" w:footer="283" w:gutter="0"/>
          <w:cols w:space="708"/>
          <w:titlePg/>
          <w:docGrid w:linePitch="360"/>
        </w:sectPr>
      </w:pPr>
      <w:r>
        <w:tab/>
      </w:r>
    </w:p>
    <w:tbl>
      <w:tblPr>
        <w:tblW w:w="9145" w:type="dxa"/>
        <w:jc w:val="center"/>
        <w:tblLayout w:type="fixed"/>
        <w:tblCellMar>
          <w:left w:w="0" w:type="dxa"/>
          <w:right w:w="0" w:type="dxa"/>
        </w:tblCellMar>
        <w:tblLook w:val="04A0" w:firstRow="1" w:lastRow="0" w:firstColumn="1" w:lastColumn="0" w:noHBand="0" w:noVBand="1"/>
      </w:tblPr>
      <w:tblGrid>
        <w:gridCol w:w="9145"/>
      </w:tblGrid>
      <w:tr w:rsidR="000E43CB" w:rsidRPr="009401F6" w14:paraId="7009C48A" w14:textId="77777777" w:rsidTr="002A2EE1">
        <w:trPr>
          <w:trHeight w:hRule="exact" w:val="565"/>
          <w:jc w:val="center"/>
        </w:trPr>
        <w:tc>
          <w:tcPr>
            <w:tcW w:w="9145" w:type="dxa"/>
          </w:tcPr>
          <w:p w14:paraId="6FDF9952" w14:textId="77777777" w:rsidR="000E43CB" w:rsidRPr="009401F6" w:rsidRDefault="000E43CB" w:rsidP="006168D3">
            <w:pPr>
              <w:pStyle w:val="TGASignoff"/>
            </w:pPr>
            <w:r w:rsidRPr="009401F6">
              <w:t>Therapeutic Goods Administration</w:t>
            </w:r>
          </w:p>
        </w:tc>
      </w:tr>
      <w:tr w:rsidR="000E43CB" w:rsidRPr="009401F6" w14:paraId="10F19F1C" w14:textId="77777777" w:rsidTr="002A2EE1">
        <w:trPr>
          <w:trHeight w:val="963"/>
          <w:jc w:val="center"/>
        </w:trPr>
        <w:tc>
          <w:tcPr>
            <w:tcW w:w="9145" w:type="dxa"/>
            <w:tcMar>
              <w:top w:w="28" w:type="dxa"/>
            </w:tcMar>
          </w:tcPr>
          <w:p w14:paraId="41C5D5BF" w14:textId="77777777" w:rsidR="000E43CB" w:rsidRPr="009401F6" w:rsidRDefault="000E43CB" w:rsidP="006168D3">
            <w:pPr>
              <w:pStyle w:val="Address"/>
            </w:pPr>
            <w:r w:rsidRPr="009401F6">
              <w:t>PO Box 100 Woden ACT 2606 Australia</w:t>
            </w:r>
          </w:p>
          <w:p w14:paraId="5DA5E4B7" w14:textId="77777777" w:rsidR="000E43CB" w:rsidRPr="009401F6" w:rsidRDefault="000E43CB" w:rsidP="006168D3">
            <w:pPr>
              <w:pStyle w:val="Address"/>
            </w:pPr>
            <w:r w:rsidRPr="009401F6">
              <w:t xml:space="preserve">Email: </w:t>
            </w:r>
            <w:hyperlink r:id="rId21" w:history="1">
              <w:r w:rsidRPr="009401F6">
                <w:rPr>
                  <w:rStyle w:val="Hyperlink"/>
                </w:rPr>
                <w:t>info@tga.gov.au</w:t>
              </w:r>
            </w:hyperlink>
            <w:r w:rsidRPr="009401F6">
              <w:t xml:space="preserve">  Phone: 1800 020 </w:t>
            </w:r>
            <w:proofErr w:type="gramStart"/>
            <w:r w:rsidRPr="009401F6">
              <w:t>653  Fax</w:t>
            </w:r>
            <w:proofErr w:type="gramEnd"/>
            <w:r w:rsidRPr="009401F6">
              <w:t>: 02 62</w:t>
            </w:r>
            <w:r>
              <w:t>0</w:t>
            </w:r>
            <w:r w:rsidRPr="009401F6">
              <w:t xml:space="preserve">3 </w:t>
            </w:r>
            <w:r>
              <w:t>1</w:t>
            </w:r>
            <w:r w:rsidRPr="009401F6">
              <w:t>605</w:t>
            </w:r>
          </w:p>
          <w:p w14:paraId="404422A3" w14:textId="77777777" w:rsidR="000E43CB" w:rsidRPr="009401F6" w:rsidRDefault="00000000" w:rsidP="006168D3">
            <w:pPr>
              <w:pStyle w:val="Address"/>
              <w:rPr>
                <w:rStyle w:val="Hyperlink"/>
                <w:b/>
              </w:rPr>
            </w:pPr>
            <w:hyperlink r:id="rId22" w:history="1">
              <w:r w:rsidR="000E43CB" w:rsidRPr="009401F6">
                <w:rPr>
                  <w:rStyle w:val="Hyperlink"/>
                  <w:b/>
                </w:rPr>
                <w:t>https://www.tga.gov.au</w:t>
              </w:r>
            </w:hyperlink>
          </w:p>
        </w:tc>
      </w:tr>
      <w:tr w:rsidR="000E43CB" w:rsidRPr="009401F6" w14:paraId="43BE95B5" w14:textId="77777777" w:rsidTr="002A2EE1">
        <w:trPr>
          <w:trHeight w:val="251"/>
          <w:jc w:val="center"/>
        </w:trPr>
        <w:tc>
          <w:tcPr>
            <w:tcW w:w="9145" w:type="dxa"/>
            <w:tcMar>
              <w:top w:w="28" w:type="dxa"/>
            </w:tcMar>
          </w:tcPr>
          <w:p w14:paraId="2071AB1F" w14:textId="251D09F2" w:rsidR="000E43CB" w:rsidRPr="009401F6" w:rsidRDefault="000E43CB" w:rsidP="006168D3">
            <w:pPr>
              <w:pStyle w:val="Address"/>
            </w:pPr>
            <w:r w:rsidRPr="009401F6">
              <w:t>Reference/Publication #</w:t>
            </w:r>
            <w:r w:rsidR="00A91F04">
              <w:t xml:space="preserve"> </w:t>
            </w:r>
            <w:r w:rsidR="00A91F04" w:rsidRPr="00A91F04">
              <w:t>D24-274038</w:t>
            </w:r>
          </w:p>
        </w:tc>
      </w:tr>
    </w:tbl>
    <w:p w14:paraId="01822B9B" w14:textId="77777777" w:rsidR="000E43CB" w:rsidRPr="009401F6" w:rsidRDefault="000E43CB" w:rsidP="006168D3">
      <w:pPr>
        <w:pStyle w:val="Footer"/>
      </w:pPr>
    </w:p>
    <w:p w14:paraId="79CF8D88" w14:textId="77777777" w:rsidR="001B1F65" w:rsidRPr="000E43CB" w:rsidRDefault="001B1F65" w:rsidP="006168D3"/>
    <w:p w14:paraId="12A3BD02" w14:textId="77777777" w:rsidR="003760CB" w:rsidRPr="000E43CB" w:rsidRDefault="003760CB" w:rsidP="006168D3"/>
    <w:sectPr w:rsidR="003760CB" w:rsidRPr="000E43CB" w:rsidSect="002A2EE1">
      <w:headerReference w:type="first" r:id="rId23"/>
      <w:footerReference w:type="first" r:id="rId24"/>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B8F77" w14:textId="77777777" w:rsidR="00CE406D" w:rsidRDefault="00CE406D" w:rsidP="006168D3">
      <w:r>
        <w:separator/>
      </w:r>
    </w:p>
  </w:endnote>
  <w:endnote w:type="continuationSeparator" w:id="0">
    <w:p w14:paraId="640F4D99" w14:textId="77777777" w:rsidR="00CE406D" w:rsidRDefault="00CE406D" w:rsidP="006168D3">
      <w:r>
        <w:continuationSeparator/>
      </w:r>
    </w:p>
  </w:endnote>
  <w:endnote w:type="continuationNotice" w:id="1">
    <w:p w14:paraId="19F22DD3" w14:textId="77777777" w:rsidR="00CE406D" w:rsidRDefault="00CE406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hnschrift Light Condensed">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34EF7" w14:textId="77777777" w:rsidR="000E43CB" w:rsidRDefault="000E43CB" w:rsidP="006168D3">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246"/>
    </w:tblGrid>
    <w:tr w:rsidR="000E43CB" w:rsidRPr="00257138" w14:paraId="06E9B267" w14:textId="77777777" w:rsidTr="751C0673">
      <w:trPr>
        <w:trHeight w:val="423"/>
      </w:trPr>
      <w:tc>
        <w:tcPr>
          <w:tcW w:w="4360" w:type="dxa"/>
          <w:tcBorders>
            <w:top w:val="single" w:sz="4" w:space="0" w:color="auto"/>
          </w:tcBorders>
        </w:tcPr>
        <w:p w14:paraId="5DC961B9" w14:textId="77777777" w:rsidR="000E43CB" w:rsidRDefault="000E43CB" w:rsidP="006168D3">
          <w:pPr>
            <w:pStyle w:val="Footer"/>
          </w:pPr>
        </w:p>
        <w:p w14:paraId="11B6EA20" w14:textId="77777777" w:rsidR="000E43CB" w:rsidRPr="00257138" w:rsidRDefault="000E43CB" w:rsidP="006168D3">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Content>
            <w:p w14:paraId="31408107" w14:textId="77777777" w:rsidR="000E43CB" w:rsidRDefault="000E43CB" w:rsidP="751C0673">
              <w:pPr>
                <w:pStyle w:val="Footer"/>
              </w:pPr>
            </w:p>
            <w:p w14:paraId="12A2B440" w14:textId="77777777" w:rsidR="000E43CB" w:rsidRPr="00257138" w:rsidRDefault="751C0673" w:rsidP="751C0673">
              <w:pPr>
                <w:pStyle w:val="Footer"/>
              </w:pPr>
              <w:r>
                <w:t xml:space="preserve">Page </w:t>
              </w:r>
              <w:r w:rsidR="000E43CB" w:rsidRPr="751C0673">
                <w:rPr>
                  <w:noProof/>
                </w:rPr>
                <w:fldChar w:fldCharType="begin"/>
              </w:r>
              <w:r w:rsidR="000E43CB">
                <w:instrText xml:space="preserve"> PAGE </w:instrText>
              </w:r>
              <w:r w:rsidR="000E43CB" w:rsidRPr="751C0673">
                <w:fldChar w:fldCharType="separate"/>
              </w:r>
              <w:r w:rsidRPr="751C0673">
                <w:rPr>
                  <w:noProof/>
                </w:rPr>
                <w:t>2</w:t>
              </w:r>
              <w:r w:rsidR="000E43CB" w:rsidRPr="751C0673">
                <w:rPr>
                  <w:noProof/>
                </w:rPr>
                <w:fldChar w:fldCharType="end"/>
              </w:r>
              <w:r>
                <w:t xml:space="preserve"> of </w:t>
              </w:r>
              <w:r w:rsidR="000E43CB" w:rsidRPr="751C0673">
                <w:rPr>
                  <w:noProof/>
                </w:rPr>
                <w:fldChar w:fldCharType="begin"/>
              </w:r>
              <w:r w:rsidR="000E43CB">
                <w:instrText xml:space="preserve"> NUMPAGES  </w:instrText>
              </w:r>
              <w:r w:rsidR="000E43CB" w:rsidRPr="751C0673">
                <w:fldChar w:fldCharType="separate"/>
              </w:r>
              <w:r w:rsidRPr="751C0673">
                <w:rPr>
                  <w:noProof/>
                </w:rPr>
                <w:t>2</w:t>
              </w:r>
              <w:r w:rsidR="000E43CB" w:rsidRPr="751C0673">
                <w:rPr>
                  <w:noProof/>
                </w:rPr>
                <w:fldChar w:fldCharType="end"/>
              </w:r>
            </w:p>
          </w:sdtContent>
        </w:sdt>
      </w:tc>
    </w:tr>
    <w:tr w:rsidR="000E43CB" w:rsidRPr="00257138" w14:paraId="66284F2B" w14:textId="77777777" w:rsidTr="751C0673">
      <w:trPr>
        <w:trHeight w:val="263"/>
      </w:trPr>
      <w:tc>
        <w:tcPr>
          <w:tcW w:w="4360" w:type="dxa"/>
        </w:tcPr>
        <w:p w14:paraId="4E6DC0E8" w14:textId="77777777" w:rsidR="000E43CB" w:rsidRPr="00257138" w:rsidRDefault="000E43CB" w:rsidP="006168D3">
          <w:pPr>
            <w:pStyle w:val="Footer"/>
          </w:pPr>
          <w:r w:rsidRPr="00257138">
            <w:t xml:space="preserve">V1.0 </w:t>
          </w:r>
          <w:r>
            <w:t>Month</w:t>
          </w:r>
          <w:r w:rsidRPr="00257138">
            <w:t xml:space="preserve"> 201</w:t>
          </w:r>
          <w:r>
            <w:t>2</w:t>
          </w:r>
        </w:p>
      </w:tc>
      <w:tc>
        <w:tcPr>
          <w:tcW w:w="4360" w:type="dxa"/>
        </w:tcPr>
        <w:p w14:paraId="638E538E" w14:textId="77777777" w:rsidR="000E43CB" w:rsidRPr="00257138" w:rsidRDefault="000E43CB" w:rsidP="751C0673">
          <w:pPr>
            <w:pStyle w:val="Footer"/>
          </w:pPr>
        </w:p>
      </w:tc>
    </w:tr>
  </w:tbl>
  <w:p w14:paraId="337203A2" w14:textId="77777777" w:rsidR="000E43CB" w:rsidRPr="00826007" w:rsidRDefault="000E43CB" w:rsidP="00616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593"/>
    </w:tblGrid>
    <w:tr w:rsidR="000E43CB" w:rsidRPr="00257138" w14:paraId="613AB551" w14:textId="77777777" w:rsidTr="002A2EE1">
      <w:trPr>
        <w:trHeight w:val="423"/>
      </w:trPr>
      <w:tc>
        <w:tcPr>
          <w:tcW w:w="7479" w:type="dxa"/>
        </w:tcPr>
        <w:p w14:paraId="3EB4274C" w14:textId="568BA259" w:rsidR="000E43CB" w:rsidRPr="00257138" w:rsidRDefault="00CD1D60" w:rsidP="00C82C50">
          <w:pPr>
            <w:pStyle w:val="Footer"/>
          </w:pPr>
          <w:r>
            <w:t>Medical Devices – E</w:t>
          </w:r>
          <w:r w:rsidR="009D4670">
            <w:t>ssential Principles</w:t>
          </w:r>
          <w:r w:rsidR="002638F2">
            <w:t xml:space="preserve"> </w:t>
          </w:r>
          <w:r>
            <w:t>for Safety and Performance</w:t>
          </w:r>
          <w:r w:rsidR="000E43CB">
            <w:br/>
          </w:r>
          <w:r w:rsidR="000E43CB" w:rsidRPr="00257138">
            <w:t xml:space="preserve">V1.0 </w:t>
          </w:r>
          <w:r w:rsidR="00902903">
            <w:t>August</w:t>
          </w:r>
          <w:r w:rsidR="002638F2">
            <w:t xml:space="preserve"> 2024</w:t>
          </w:r>
        </w:p>
      </w:tc>
      <w:tc>
        <w:tcPr>
          <w:tcW w:w="1593" w:type="dxa"/>
        </w:tcPr>
        <w:sdt>
          <w:sdtPr>
            <w:id w:val="3702141"/>
            <w:docPartObj>
              <w:docPartGallery w:val="Page Numbers (Top of Page)"/>
              <w:docPartUnique/>
            </w:docPartObj>
          </w:sdtPr>
          <w:sdtContent>
            <w:p w14:paraId="20546887" w14:textId="77777777" w:rsidR="000E43CB" w:rsidRPr="00257138" w:rsidRDefault="000E43CB" w:rsidP="00C82C50">
              <w:pPr>
                <w:pStyle w:val="Footer"/>
              </w:pPr>
              <w:r w:rsidRPr="00257138">
                <w:t xml:space="preserve">Page </w:t>
              </w:r>
              <w:r>
                <w:fldChar w:fldCharType="begin"/>
              </w:r>
              <w:r>
                <w:instrText xml:space="preserve"> PAGE </w:instrText>
              </w:r>
              <w:r>
                <w:fldChar w:fldCharType="separate"/>
              </w:r>
              <w:r>
                <w:rPr>
                  <w:noProof/>
                </w:rPr>
                <w:t>5</w:t>
              </w:r>
              <w:r>
                <w:rPr>
                  <w:noProof/>
                </w:rPr>
                <w:fldChar w:fldCharType="end"/>
              </w:r>
              <w:r w:rsidRPr="00257138">
                <w:t xml:space="preserve"> of </w:t>
              </w:r>
              <w:r>
                <w:fldChar w:fldCharType="begin"/>
              </w:r>
              <w:r>
                <w:instrText>NUMPAGES</w:instrText>
              </w:r>
              <w:r>
                <w:fldChar w:fldCharType="separate"/>
              </w:r>
              <w:r>
                <w:rPr>
                  <w:noProof/>
                </w:rPr>
                <w:t>6</w:t>
              </w:r>
              <w:r>
                <w:fldChar w:fldCharType="end"/>
              </w:r>
            </w:p>
          </w:sdtContent>
        </w:sdt>
      </w:tc>
    </w:tr>
  </w:tbl>
  <w:p w14:paraId="244AE00F" w14:textId="77777777" w:rsidR="000E43CB" w:rsidRPr="00826007" w:rsidRDefault="000E43CB" w:rsidP="006168D3">
    <w:pPr>
      <w:pStyle w:val="Footer"/>
    </w:pPr>
  </w:p>
  <w:p w14:paraId="0733E1B0" w14:textId="77777777" w:rsidR="00232EA3" w:rsidRDefault="00232EA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628C" w14:textId="77777777" w:rsidR="001B1F65" w:rsidRPr="008E3C43" w:rsidRDefault="001B1F65" w:rsidP="00616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EDAD4" w14:textId="77777777" w:rsidR="00CE406D" w:rsidRDefault="00CE406D" w:rsidP="006168D3">
      <w:r>
        <w:separator/>
      </w:r>
    </w:p>
  </w:footnote>
  <w:footnote w:type="continuationSeparator" w:id="0">
    <w:p w14:paraId="1B0ED6FC" w14:textId="77777777" w:rsidR="00CE406D" w:rsidRDefault="00CE406D" w:rsidP="006168D3">
      <w:r>
        <w:continuationSeparator/>
      </w:r>
    </w:p>
  </w:footnote>
  <w:footnote w:type="continuationNotice" w:id="1">
    <w:p w14:paraId="574951FF" w14:textId="77777777" w:rsidR="00CE406D" w:rsidRDefault="00CE406D">
      <w:pPr>
        <w:spacing w:before="0" w:after="0" w:line="240" w:lineRule="auto"/>
      </w:pPr>
    </w:p>
  </w:footnote>
  <w:footnote w:id="2">
    <w:p w14:paraId="6FE59960" w14:textId="08FC355B" w:rsidR="00851A52" w:rsidRDefault="00851A52" w:rsidP="00383A0D">
      <w:r>
        <w:rPr>
          <w:rStyle w:val="FootnoteReference"/>
        </w:rPr>
        <w:footnoteRef/>
      </w:r>
      <w:r>
        <w:t xml:space="preserve"> </w:t>
      </w:r>
      <w:hyperlink r:id="rId1" w:history="1">
        <w:r w:rsidRPr="005115CA">
          <w:rPr>
            <w:rStyle w:val="Hyperlink"/>
          </w:rPr>
          <w:t>https://www.tga.gov.au/sites/default/files/2022-08/action-plan-medical-devices.pdf</w:t>
        </w:r>
      </w:hyperlink>
    </w:p>
  </w:footnote>
  <w:footnote w:id="3">
    <w:p w14:paraId="3CB68E11" w14:textId="77777777" w:rsidR="00851A52" w:rsidRDefault="00851A52" w:rsidP="00851A52">
      <w:pPr>
        <w:pStyle w:val="FootnoteText"/>
      </w:pPr>
      <w:r>
        <w:rPr>
          <w:rStyle w:val="FootnoteReference"/>
        </w:rPr>
        <w:footnoteRef/>
      </w:r>
      <w:r>
        <w:t xml:space="preserve"> Australian Government response to the Review of Medicines and Medical Devices Regulation: </w:t>
      </w:r>
      <w:hyperlink r:id="rId2" w:anchor="devices" w:history="1">
        <w:r w:rsidRPr="00460FFF">
          <w:rPr>
            <w:rStyle w:val="Hyperlink"/>
          </w:rPr>
          <w:t>https://www.tga.gov.au/news/news/australian-government-response-review-medicines-and-medical-devices-regulation#devices</w:t>
        </w:r>
      </w:hyperlink>
      <w:r>
        <w:t xml:space="preserve"> </w:t>
      </w:r>
    </w:p>
  </w:footnote>
  <w:footnote w:id="4">
    <w:p w14:paraId="09887EF1" w14:textId="77777777" w:rsidR="003240CC" w:rsidRDefault="003240CC" w:rsidP="003240CC">
      <w:pPr>
        <w:pStyle w:val="FootnoteText"/>
      </w:pPr>
      <w:r>
        <w:rPr>
          <w:rStyle w:val="FootnoteReference"/>
        </w:rPr>
        <w:footnoteRef/>
      </w:r>
      <w:r>
        <w:t xml:space="preserve"> </w:t>
      </w:r>
      <w:r w:rsidRPr="009E74DD">
        <w:rPr>
          <w:i/>
        </w:rPr>
        <w:t>Therapeutic Goods Act 1989</w:t>
      </w:r>
      <w:r w:rsidRPr="009E74DD">
        <w:t>, s. 3, Part 4-1 (ss. 41BA, 41BH), and Part 4-2 (ss. 41C, 41CA)</w:t>
      </w:r>
    </w:p>
  </w:footnote>
  <w:footnote w:id="5">
    <w:p w14:paraId="445DAD32" w14:textId="77777777" w:rsidR="003240CC" w:rsidRDefault="003240CC" w:rsidP="003240CC">
      <w:pPr>
        <w:pStyle w:val="FootnoteText"/>
      </w:pPr>
      <w:r>
        <w:rPr>
          <w:rStyle w:val="FootnoteReference"/>
        </w:rPr>
        <w:footnoteRef/>
      </w:r>
      <w:r>
        <w:t xml:space="preserve"> </w:t>
      </w:r>
      <w:r w:rsidRPr="009E74DD">
        <w:t>Part 2 (Reg. 2.1), and Schedule 1</w:t>
      </w:r>
    </w:p>
  </w:footnote>
  <w:footnote w:id="6">
    <w:p w14:paraId="72BAC0C1" w14:textId="77777777" w:rsidR="00B51A05" w:rsidRDefault="00B51A05" w:rsidP="00B51A05">
      <w:pPr>
        <w:pStyle w:val="FootnoteText"/>
      </w:pPr>
      <w:r>
        <w:rPr>
          <w:rStyle w:val="FootnoteReference"/>
        </w:rPr>
        <w:footnoteRef/>
      </w:r>
      <w:r>
        <w:t xml:space="preserve"> Guidance on clinical evidence: </w:t>
      </w:r>
      <w:hyperlink r:id="rId3" w:history="1">
        <w:r w:rsidRPr="00E133BE">
          <w:rPr>
            <w:rStyle w:val="Hyperlink"/>
          </w:rPr>
          <w:t>https://www.tga.gov.au/how-we-regulate/manufacturing/manufacture-medical-device/quality-safety-and-performance-requirements-medical-devices/principle-14-clinical-evidence</w:t>
        </w:r>
      </w:hyperlink>
      <w:r>
        <w:t xml:space="preserve"> </w:t>
      </w:r>
    </w:p>
  </w:footnote>
  <w:footnote w:id="7">
    <w:p w14:paraId="0DA57D60" w14:textId="77777777" w:rsidR="00670444" w:rsidRDefault="00670444" w:rsidP="00670444">
      <w:pPr>
        <w:pStyle w:val="FootnoteText"/>
      </w:pPr>
      <w:r>
        <w:rPr>
          <w:rStyle w:val="FootnoteReference"/>
        </w:rPr>
        <w:footnoteRef/>
      </w:r>
      <w:r>
        <w:t xml:space="preserve"> </w:t>
      </w:r>
      <w:r w:rsidRPr="00441C18">
        <w:rPr>
          <w:rFonts w:cs="Arial"/>
        </w:rPr>
        <w:t xml:space="preserve">Legislation related to radiation safety include: </w:t>
      </w:r>
      <w:hyperlink r:id="rId4" w:history="1">
        <w:r w:rsidRPr="00441C18">
          <w:rPr>
            <w:rStyle w:val="cf01"/>
            <w:rFonts w:ascii="Arial" w:hAnsi="Arial" w:cs="Arial"/>
            <w:color w:val="0000FF"/>
            <w:sz w:val="21"/>
            <w:szCs w:val="21"/>
            <w:u w:val="single"/>
          </w:rPr>
          <w:t>National Radioactive Waste Management Act 2012</w:t>
        </w:r>
      </w:hyperlink>
      <w:r w:rsidRPr="00441C18">
        <w:rPr>
          <w:rStyle w:val="cf01"/>
          <w:rFonts w:ascii="Arial" w:hAnsi="Arial" w:cs="Arial"/>
          <w:color w:val="0000FF"/>
          <w:sz w:val="21"/>
          <w:szCs w:val="21"/>
          <w:u w:val="single"/>
        </w:rPr>
        <w:t xml:space="preserve"> </w:t>
      </w:r>
      <w:r w:rsidRPr="00441C18">
        <w:rPr>
          <w:rFonts w:cs="Arial"/>
        </w:rPr>
        <w:t xml:space="preserve">and </w:t>
      </w:r>
      <w:hyperlink r:id="rId5" w:history="1">
        <w:r w:rsidRPr="00441C18">
          <w:rPr>
            <w:rStyle w:val="Emphasis"/>
            <w:rFonts w:cs="Arial"/>
            <w:i w:val="0"/>
            <w:iCs w:val="0"/>
            <w:color w:val="0000FF"/>
            <w:u w:val="single"/>
          </w:rPr>
          <w:t>Australian Radiation Protection and Nuclear Safety Act 1998</w:t>
        </w:r>
      </w:hyperlink>
    </w:p>
  </w:footnote>
  <w:footnote w:id="8">
    <w:p w14:paraId="2BAE8BA4" w14:textId="072972C9" w:rsidR="0025722A" w:rsidRDefault="0025722A">
      <w:pPr>
        <w:pStyle w:val="FootnoteText"/>
      </w:pPr>
      <w:r>
        <w:rPr>
          <w:rStyle w:val="FootnoteReference"/>
        </w:rPr>
        <w:footnoteRef/>
      </w:r>
      <w:r>
        <w:t xml:space="preserve"> Therapeutic Goods (Medical Devices) Regulations 2002, Schedule 1</w:t>
      </w:r>
    </w:p>
  </w:footnote>
  <w:footnote w:id="9">
    <w:p w14:paraId="022DECF4" w14:textId="77777777" w:rsidR="008F5E13" w:rsidRPr="00523BB1" w:rsidRDefault="008F5E13" w:rsidP="008F5E13">
      <w:r>
        <w:rPr>
          <w:rStyle w:val="FootnoteReference"/>
        </w:rPr>
        <w:footnoteRef/>
      </w:r>
      <w:r>
        <w:t xml:space="preserve"> Regulation (EC) No 1907/2006 of the European Parliament and of the Council of 18 December 2006 concerning the Registration, Evaluation, Authorisation and Restriction of Chemicals (REACH) (OJ L 136, 29.5.2007, p.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FBF8" w14:textId="73539D1C" w:rsidR="000E43CB" w:rsidRPr="00920FF4" w:rsidRDefault="000E43CB" w:rsidP="006168D3">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FFFA" w14:textId="136E9FC3" w:rsidR="000E43CB" w:rsidRPr="00E32326" w:rsidRDefault="000E43CB" w:rsidP="006168D3">
    <w:r w:rsidRPr="00F3255D">
      <w:rPr>
        <w:noProof/>
      </w:rPr>
      <w:drawing>
        <wp:anchor distT="0" distB="0" distL="114300" distR="114300" simplePos="0" relativeHeight="251658241" behindDoc="0" locked="0" layoutInCell="1" allowOverlap="1" wp14:anchorId="77BAD649" wp14:editId="64295F2A">
          <wp:simplePos x="0" y="0"/>
          <wp:positionH relativeFrom="column">
            <wp:posOffset>-474345</wp:posOffset>
          </wp:positionH>
          <wp:positionV relativeFrom="paragraph">
            <wp:posOffset>-255270</wp:posOffset>
          </wp:positionV>
          <wp:extent cx="2769870" cy="643255"/>
          <wp:effectExtent l="0" t="0" r="0" b="4445"/>
          <wp:wrapTopAndBottom/>
          <wp:docPr id="28" name="Picture 28" descr="Logo with the Australia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with the Australian coat of arm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9870" cy="6432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28738CB" w14:textId="15F3B6A9" w:rsidR="000E43CB" w:rsidRPr="00E32326" w:rsidRDefault="006663AD" w:rsidP="006168D3">
    <w:r>
      <w:rPr>
        <w:noProof/>
      </w:rPr>
      <w:drawing>
        <wp:anchor distT="0" distB="0" distL="114300" distR="114300" simplePos="0" relativeHeight="251662337" behindDoc="0" locked="0" layoutInCell="0" allowOverlap="1" wp14:anchorId="1682F5B9" wp14:editId="41B33B6D">
          <wp:simplePos x="0" y="0"/>
          <wp:positionH relativeFrom="page">
            <wp:align>left</wp:align>
          </wp:positionH>
          <wp:positionV relativeFrom="page">
            <wp:align>center</wp:align>
          </wp:positionV>
          <wp:extent cx="7615555" cy="4295140"/>
          <wp:effectExtent l="0" t="0" r="4445"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15555" cy="42951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F7B50">
      <w:rPr>
        <w:noProof/>
      </w:rPr>
      <w:drawing>
        <wp:anchor distT="0" distB="0" distL="114300" distR="114300" simplePos="0" relativeHeight="251666433" behindDoc="1" locked="0" layoutInCell="1" allowOverlap="1" wp14:anchorId="5B02E6FF" wp14:editId="69810E0D">
          <wp:simplePos x="0" y="0"/>
          <wp:positionH relativeFrom="column">
            <wp:posOffset>-1059543</wp:posOffset>
          </wp:positionH>
          <wp:positionV relativeFrom="paragraph">
            <wp:posOffset>3792401</wp:posOffset>
          </wp:positionV>
          <wp:extent cx="7642800" cy="5637600"/>
          <wp:effectExtent l="0" t="0" r="0" b="127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642800" cy="5637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F7B50">
      <w:rPr>
        <w:noProof/>
      </w:rPr>
      <w:drawing>
        <wp:anchor distT="0" distB="0" distL="114300" distR="114300" simplePos="0" relativeHeight="251664385" behindDoc="1" locked="0" layoutInCell="1" allowOverlap="1" wp14:anchorId="3FBBA9D2" wp14:editId="68D970A8">
          <wp:simplePos x="0" y="0"/>
          <wp:positionH relativeFrom="column">
            <wp:posOffset>-1065621</wp:posOffset>
          </wp:positionH>
          <wp:positionV relativeFrom="paragraph">
            <wp:posOffset>4219031</wp:posOffset>
          </wp:positionV>
          <wp:extent cx="7642800" cy="5637600"/>
          <wp:effectExtent l="0" t="0" r="0" b="127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642800" cy="5637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DC119" w14:textId="77777777" w:rsidR="000E43CB" w:rsidRPr="00920FF4" w:rsidRDefault="000E43CB" w:rsidP="006168D3">
    <w:pPr>
      <w:pStyle w:val="Header"/>
    </w:pPr>
    <w:r>
      <w:t>Therapeutic Goods Administration</w:t>
    </w:r>
  </w:p>
  <w:p w14:paraId="456B9D31" w14:textId="77777777" w:rsidR="00232EA3" w:rsidRDefault="00232EA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4B0F5" w14:textId="77777777" w:rsidR="000E43CB" w:rsidRPr="00920FF4" w:rsidRDefault="000E43CB" w:rsidP="006168D3">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26BA1" w14:textId="77777777" w:rsidR="001B1F65" w:rsidRPr="00FE501F" w:rsidRDefault="001B1F65" w:rsidP="006168D3">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8CE102"/>
    <w:lvl w:ilvl="0">
      <w:start w:val="1"/>
      <w:numFmt w:val="decimal"/>
      <w:pStyle w:val="ListNumber5"/>
      <w:lvlText w:val="%1."/>
      <w:lvlJc w:val="left"/>
      <w:pPr>
        <w:tabs>
          <w:tab w:val="num" w:pos="1350"/>
        </w:tabs>
        <w:ind w:left="1350"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FFFFFF89"/>
    <w:multiLevelType w:val="singleLevel"/>
    <w:tmpl w:val="3E800B7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10053F11"/>
    <w:multiLevelType w:val="multilevel"/>
    <w:tmpl w:val="2C2C1D42"/>
    <w:styleLink w:val="NumberBullet"/>
    <w:lvl w:ilvl="0">
      <w:start w:val="1"/>
      <w:numFmt w:val="decimal"/>
      <w:pStyle w:val="Numberbullet0"/>
      <w:lvlText w:val="%1."/>
      <w:lvlJc w:val="left"/>
      <w:pPr>
        <w:ind w:left="360" w:hanging="360"/>
      </w:pPr>
      <w:rPr>
        <w:rFonts w:ascii="Arial" w:hAnsi="Arial"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168F13E9"/>
    <w:multiLevelType w:val="multilevel"/>
    <w:tmpl w:val="F1A60EAA"/>
    <w:styleLink w:val="ListBullets"/>
    <w:lvl w:ilvl="0">
      <w:start w:val="4"/>
      <w:numFmt w:val="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1EB40BCA"/>
    <w:multiLevelType w:val="hybridMultilevel"/>
    <w:tmpl w:val="23AAA35C"/>
    <w:lvl w:ilvl="0" w:tplc="6C5C7870">
      <w:start w:val="1"/>
      <w:numFmt w:val="decimal"/>
      <w:pStyle w:val="Legislativenumbers"/>
      <w:lvlText w:val="(%1)"/>
      <w:lvlJc w:val="left"/>
      <w:pPr>
        <w:ind w:left="644"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1" w15:restartNumberingAfterBreak="0">
    <w:nsid w:val="2BCD249C"/>
    <w:multiLevelType w:val="hybridMultilevel"/>
    <w:tmpl w:val="4392C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710DC7"/>
    <w:multiLevelType w:val="hybridMultilevel"/>
    <w:tmpl w:val="6E90100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7912C9"/>
    <w:multiLevelType w:val="multilevel"/>
    <w:tmpl w:val="AE86E8F6"/>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4"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9B95C3E"/>
    <w:multiLevelType w:val="hybridMultilevel"/>
    <w:tmpl w:val="10B40ACC"/>
    <w:lvl w:ilvl="0" w:tplc="B358BFB8">
      <w:start w:val="1"/>
      <w:numFmt w:val="lowerLetter"/>
      <w:pStyle w:val="Legislativeletterbullet"/>
      <w:lvlText w:val="(%1)"/>
      <w:lvlJc w:val="left"/>
      <w:pPr>
        <w:ind w:left="502" w:hanging="360"/>
      </w:pPr>
      <w:rPr>
        <w:rFonts w:ascii="Arial" w:hAnsi="Arial" w:cs="Arial" w:hint="default"/>
        <w:b w:val="0"/>
        <w:bCs w:val="0"/>
        <w:i w:val="0"/>
        <w:iCs w:val="0"/>
        <w:strike w:val="0"/>
        <w:sz w:val="21"/>
        <w:szCs w:val="21"/>
      </w:rPr>
    </w:lvl>
    <w:lvl w:ilvl="1" w:tplc="0C090019">
      <w:start w:val="1"/>
      <w:numFmt w:val="lowerLetter"/>
      <w:lvlText w:val="%2."/>
      <w:lvlJc w:val="left"/>
      <w:pPr>
        <w:ind w:left="1865" w:hanging="360"/>
      </w:pPr>
    </w:lvl>
    <w:lvl w:ilvl="2" w:tplc="0C09001B">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num w:numId="1" w16cid:durableId="713506255">
    <w:abstractNumId w:val="6"/>
  </w:num>
  <w:num w:numId="2" w16cid:durableId="665674531">
    <w:abstractNumId w:val="7"/>
  </w:num>
  <w:num w:numId="3" w16cid:durableId="291445429">
    <w:abstractNumId w:val="14"/>
  </w:num>
  <w:num w:numId="4" w16cid:durableId="1010329712">
    <w:abstractNumId w:val="10"/>
  </w:num>
  <w:num w:numId="5" w16cid:durableId="625621702">
    <w:abstractNumId w:val="13"/>
  </w:num>
  <w:num w:numId="6" w16cid:durableId="2111510125">
    <w:abstractNumId w:val="4"/>
  </w:num>
  <w:num w:numId="7" w16cid:durableId="163474043">
    <w:abstractNumId w:val="3"/>
  </w:num>
  <w:num w:numId="8" w16cid:durableId="1050302479">
    <w:abstractNumId w:val="2"/>
  </w:num>
  <w:num w:numId="9" w16cid:durableId="1946762386">
    <w:abstractNumId w:val="1"/>
  </w:num>
  <w:num w:numId="10" w16cid:durableId="1732072555">
    <w:abstractNumId w:val="0"/>
  </w:num>
  <w:num w:numId="11" w16cid:durableId="916087657">
    <w:abstractNumId w:val="15"/>
    <w:lvlOverride w:ilvl="0">
      <w:startOverride w:val="1"/>
    </w:lvlOverride>
  </w:num>
  <w:num w:numId="12" w16cid:durableId="208995188">
    <w:abstractNumId w:val="9"/>
    <w:lvlOverride w:ilvl="0">
      <w:startOverride w:val="1"/>
    </w:lvlOverride>
  </w:num>
  <w:num w:numId="13" w16cid:durableId="670254821">
    <w:abstractNumId w:val="15"/>
  </w:num>
  <w:num w:numId="14" w16cid:durableId="2090150598">
    <w:abstractNumId w:val="15"/>
    <w:lvlOverride w:ilvl="0">
      <w:startOverride w:val="1"/>
    </w:lvlOverride>
  </w:num>
  <w:num w:numId="15" w16cid:durableId="958413586">
    <w:abstractNumId w:val="5"/>
  </w:num>
  <w:num w:numId="16" w16cid:durableId="957099963">
    <w:abstractNumId w:val="15"/>
    <w:lvlOverride w:ilvl="0">
      <w:startOverride w:val="1"/>
    </w:lvlOverride>
  </w:num>
  <w:num w:numId="17" w16cid:durableId="1524172125">
    <w:abstractNumId w:val="15"/>
    <w:lvlOverride w:ilvl="0">
      <w:startOverride w:val="1"/>
    </w:lvlOverride>
  </w:num>
  <w:num w:numId="18" w16cid:durableId="106432798">
    <w:abstractNumId w:val="8"/>
  </w:num>
  <w:num w:numId="19" w16cid:durableId="1681200503">
    <w:abstractNumId w:val="8"/>
    <w:lvlOverride w:ilvl="0">
      <w:lvl w:ilvl="0">
        <w:start w:val="4"/>
        <w:numFmt w:val="bullet"/>
        <w:lvlText w:val="•"/>
        <w:lvlJc w:val="left"/>
        <w:pPr>
          <w:ind w:left="360" w:hanging="360"/>
        </w:pPr>
        <w:rPr>
          <w:rFonts w:ascii="Cambria" w:eastAsia="Cambria" w:hAnsi="Cambria" w:hint="default"/>
        </w:rPr>
      </w:lvl>
    </w:lvlOverride>
    <w:lvlOverride w:ilvl="1">
      <w:lvl w:ilvl="1">
        <w:start w:val="1"/>
        <w:numFmt w:val="bullet"/>
        <w:pStyle w:val="ListBullet2"/>
        <w:lvlText w:val="–"/>
        <w:lvlJc w:val="left"/>
        <w:pPr>
          <w:ind w:left="720" w:hanging="360"/>
        </w:pPr>
        <w:rPr>
          <w:rFonts w:ascii="Arial" w:hAnsi="Arial"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20" w16cid:durableId="201673864">
    <w:abstractNumId w:val="15"/>
    <w:lvlOverride w:ilvl="0">
      <w:startOverride w:val="1"/>
    </w:lvlOverride>
  </w:num>
  <w:num w:numId="21" w16cid:durableId="2129083904">
    <w:abstractNumId w:val="15"/>
    <w:lvlOverride w:ilvl="0">
      <w:startOverride w:val="1"/>
    </w:lvlOverride>
  </w:num>
  <w:num w:numId="22" w16cid:durableId="373386981">
    <w:abstractNumId w:val="15"/>
    <w:lvlOverride w:ilvl="0">
      <w:startOverride w:val="1"/>
    </w:lvlOverride>
  </w:num>
  <w:num w:numId="23" w16cid:durableId="1633947047">
    <w:abstractNumId w:val="15"/>
    <w:lvlOverride w:ilvl="0">
      <w:startOverride w:val="1"/>
    </w:lvlOverride>
  </w:num>
  <w:num w:numId="24" w16cid:durableId="1555581285">
    <w:abstractNumId w:val="15"/>
    <w:lvlOverride w:ilvl="0">
      <w:startOverride w:val="1"/>
    </w:lvlOverride>
  </w:num>
  <w:num w:numId="25" w16cid:durableId="1520122942">
    <w:abstractNumId w:val="15"/>
    <w:lvlOverride w:ilvl="0">
      <w:startOverride w:val="1"/>
    </w:lvlOverride>
  </w:num>
  <w:num w:numId="26" w16cid:durableId="1309507120">
    <w:abstractNumId w:val="15"/>
    <w:lvlOverride w:ilvl="0">
      <w:startOverride w:val="1"/>
    </w:lvlOverride>
  </w:num>
  <w:num w:numId="27" w16cid:durableId="955215903">
    <w:abstractNumId w:val="15"/>
    <w:lvlOverride w:ilvl="0">
      <w:startOverride w:val="1"/>
    </w:lvlOverride>
  </w:num>
  <w:num w:numId="28" w16cid:durableId="1992755310">
    <w:abstractNumId w:val="15"/>
    <w:lvlOverride w:ilvl="0">
      <w:startOverride w:val="1"/>
    </w:lvlOverride>
  </w:num>
  <w:num w:numId="29" w16cid:durableId="1124615253">
    <w:abstractNumId w:val="15"/>
    <w:lvlOverride w:ilvl="0">
      <w:startOverride w:val="1"/>
    </w:lvlOverride>
  </w:num>
  <w:num w:numId="30" w16cid:durableId="1253930445">
    <w:abstractNumId w:val="15"/>
    <w:lvlOverride w:ilvl="0">
      <w:startOverride w:val="1"/>
    </w:lvlOverride>
  </w:num>
  <w:num w:numId="31" w16cid:durableId="571625504">
    <w:abstractNumId w:val="15"/>
    <w:lvlOverride w:ilvl="0">
      <w:startOverride w:val="1"/>
    </w:lvlOverride>
  </w:num>
  <w:num w:numId="32" w16cid:durableId="6055605">
    <w:abstractNumId w:val="15"/>
    <w:lvlOverride w:ilvl="0">
      <w:startOverride w:val="1"/>
    </w:lvlOverride>
  </w:num>
  <w:num w:numId="33" w16cid:durableId="298609428">
    <w:abstractNumId w:val="11"/>
  </w:num>
  <w:num w:numId="34" w16cid:durableId="844590752">
    <w:abstractNumId w:val="15"/>
    <w:lvlOverride w:ilvl="0">
      <w:startOverride w:val="1"/>
    </w:lvlOverride>
  </w:num>
  <w:num w:numId="35" w16cid:durableId="272059868">
    <w:abstractNumId w:val="15"/>
    <w:lvlOverride w:ilvl="0">
      <w:startOverride w:val="1"/>
    </w:lvlOverride>
  </w:num>
  <w:num w:numId="36" w16cid:durableId="1237014852">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A72"/>
    <w:rsid w:val="00000057"/>
    <w:rsid w:val="0000028D"/>
    <w:rsid w:val="0000032A"/>
    <w:rsid w:val="000003E6"/>
    <w:rsid w:val="00000DA5"/>
    <w:rsid w:val="00000F21"/>
    <w:rsid w:val="0000205C"/>
    <w:rsid w:val="00003425"/>
    <w:rsid w:val="000046F5"/>
    <w:rsid w:val="00004D24"/>
    <w:rsid w:val="00005964"/>
    <w:rsid w:val="00007732"/>
    <w:rsid w:val="00007E09"/>
    <w:rsid w:val="0001093E"/>
    <w:rsid w:val="00010F61"/>
    <w:rsid w:val="00013047"/>
    <w:rsid w:val="00013152"/>
    <w:rsid w:val="000137D3"/>
    <w:rsid w:val="00014AB9"/>
    <w:rsid w:val="000156AD"/>
    <w:rsid w:val="00015785"/>
    <w:rsid w:val="00016104"/>
    <w:rsid w:val="0002085A"/>
    <w:rsid w:val="00020BEF"/>
    <w:rsid w:val="0002289F"/>
    <w:rsid w:val="00022F30"/>
    <w:rsid w:val="0002326A"/>
    <w:rsid w:val="00023E6B"/>
    <w:rsid w:val="00024166"/>
    <w:rsid w:val="000241AA"/>
    <w:rsid w:val="000243F0"/>
    <w:rsid w:val="00024EEC"/>
    <w:rsid w:val="00026586"/>
    <w:rsid w:val="00026B3A"/>
    <w:rsid w:val="00026FE7"/>
    <w:rsid w:val="00027788"/>
    <w:rsid w:val="00027A79"/>
    <w:rsid w:val="0003040C"/>
    <w:rsid w:val="000306ED"/>
    <w:rsid w:val="00030D78"/>
    <w:rsid w:val="00030EEC"/>
    <w:rsid w:val="00030F0E"/>
    <w:rsid w:val="00031E02"/>
    <w:rsid w:val="000320B1"/>
    <w:rsid w:val="000339B8"/>
    <w:rsid w:val="00033C14"/>
    <w:rsid w:val="000341E2"/>
    <w:rsid w:val="00034230"/>
    <w:rsid w:val="00034700"/>
    <w:rsid w:val="00035A34"/>
    <w:rsid w:val="0003688A"/>
    <w:rsid w:val="0003787C"/>
    <w:rsid w:val="00037AA6"/>
    <w:rsid w:val="00037B2B"/>
    <w:rsid w:val="00040E8D"/>
    <w:rsid w:val="0004115D"/>
    <w:rsid w:val="000418D7"/>
    <w:rsid w:val="00041B5B"/>
    <w:rsid w:val="00041B87"/>
    <w:rsid w:val="00041C70"/>
    <w:rsid w:val="0004238D"/>
    <w:rsid w:val="0004294D"/>
    <w:rsid w:val="00042D96"/>
    <w:rsid w:val="0004380D"/>
    <w:rsid w:val="00043FBE"/>
    <w:rsid w:val="00044A5E"/>
    <w:rsid w:val="00044B9F"/>
    <w:rsid w:val="0004593B"/>
    <w:rsid w:val="000459F2"/>
    <w:rsid w:val="00045DF6"/>
    <w:rsid w:val="00045FA3"/>
    <w:rsid w:val="0004624B"/>
    <w:rsid w:val="000467F5"/>
    <w:rsid w:val="00046B7F"/>
    <w:rsid w:val="00046DF9"/>
    <w:rsid w:val="00046F7E"/>
    <w:rsid w:val="000504AC"/>
    <w:rsid w:val="0005052E"/>
    <w:rsid w:val="0005183B"/>
    <w:rsid w:val="00051893"/>
    <w:rsid w:val="000519CA"/>
    <w:rsid w:val="00051DBA"/>
    <w:rsid w:val="0005241C"/>
    <w:rsid w:val="00052A8E"/>
    <w:rsid w:val="00052D72"/>
    <w:rsid w:val="00052E37"/>
    <w:rsid w:val="00053585"/>
    <w:rsid w:val="00055081"/>
    <w:rsid w:val="00055141"/>
    <w:rsid w:val="00055CAF"/>
    <w:rsid w:val="00056040"/>
    <w:rsid w:val="000563D7"/>
    <w:rsid w:val="00056F4B"/>
    <w:rsid w:val="0005786E"/>
    <w:rsid w:val="000579AA"/>
    <w:rsid w:val="000606E9"/>
    <w:rsid w:val="00060D7C"/>
    <w:rsid w:val="00061A9F"/>
    <w:rsid w:val="00061AF5"/>
    <w:rsid w:val="00061D65"/>
    <w:rsid w:val="000622BD"/>
    <w:rsid w:val="000626E6"/>
    <w:rsid w:val="00062AE0"/>
    <w:rsid w:val="00062D1C"/>
    <w:rsid w:val="00063281"/>
    <w:rsid w:val="000636FB"/>
    <w:rsid w:val="0006394A"/>
    <w:rsid w:val="00063F17"/>
    <w:rsid w:val="000640C8"/>
    <w:rsid w:val="00064716"/>
    <w:rsid w:val="000656F8"/>
    <w:rsid w:val="00065C48"/>
    <w:rsid w:val="0006612C"/>
    <w:rsid w:val="00066970"/>
    <w:rsid w:val="00066BA8"/>
    <w:rsid w:val="00067563"/>
    <w:rsid w:val="00067F07"/>
    <w:rsid w:val="00070452"/>
    <w:rsid w:val="000706AF"/>
    <w:rsid w:val="00070D79"/>
    <w:rsid w:val="00071106"/>
    <w:rsid w:val="00071691"/>
    <w:rsid w:val="00071C39"/>
    <w:rsid w:val="00071E1D"/>
    <w:rsid w:val="000724F5"/>
    <w:rsid w:val="0007316C"/>
    <w:rsid w:val="000731F5"/>
    <w:rsid w:val="00073EE2"/>
    <w:rsid w:val="000741FC"/>
    <w:rsid w:val="00074577"/>
    <w:rsid w:val="000745B9"/>
    <w:rsid w:val="00074960"/>
    <w:rsid w:val="0007543B"/>
    <w:rsid w:val="000758D9"/>
    <w:rsid w:val="000763C0"/>
    <w:rsid w:val="000769C9"/>
    <w:rsid w:val="00076D58"/>
    <w:rsid w:val="00077BE7"/>
    <w:rsid w:val="00080041"/>
    <w:rsid w:val="00082933"/>
    <w:rsid w:val="000839D9"/>
    <w:rsid w:val="00083E61"/>
    <w:rsid w:val="0008526D"/>
    <w:rsid w:val="00086D2C"/>
    <w:rsid w:val="00086E8C"/>
    <w:rsid w:val="000873CF"/>
    <w:rsid w:val="000873F2"/>
    <w:rsid w:val="00087638"/>
    <w:rsid w:val="000876A4"/>
    <w:rsid w:val="00090B49"/>
    <w:rsid w:val="00090E51"/>
    <w:rsid w:val="00093BD8"/>
    <w:rsid w:val="00093C1B"/>
    <w:rsid w:val="00094ACA"/>
    <w:rsid w:val="00094B81"/>
    <w:rsid w:val="00094ED0"/>
    <w:rsid w:val="000957E1"/>
    <w:rsid w:val="00097317"/>
    <w:rsid w:val="000A0FE8"/>
    <w:rsid w:val="000A1047"/>
    <w:rsid w:val="000A1117"/>
    <w:rsid w:val="000A11C4"/>
    <w:rsid w:val="000A19FD"/>
    <w:rsid w:val="000A202D"/>
    <w:rsid w:val="000A44D3"/>
    <w:rsid w:val="000A4730"/>
    <w:rsid w:val="000A629D"/>
    <w:rsid w:val="000A70DC"/>
    <w:rsid w:val="000A7643"/>
    <w:rsid w:val="000A7BB6"/>
    <w:rsid w:val="000A7BC9"/>
    <w:rsid w:val="000B04FB"/>
    <w:rsid w:val="000B0B76"/>
    <w:rsid w:val="000B140D"/>
    <w:rsid w:val="000B1BBC"/>
    <w:rsid w:val="000B1C92"/>
    <w:rsid w:val="000B1DDB"/>
    <w:rsid w:val="000B23C7"/>
    <w:rsid w:val="000B2CD1"/>
    <w:rsid w:val="000B2D07"/>
    <w:rsid w:val="000B306E"/>
    <w:rsid w:val="000B3447"/>
    <w:rsid w:val="000B4EF3"/>
    <w:rsid w:val="000B4F0C"/>
    <w:rsid w:val="000B506C"/>
    <w:rsid w:val="000B63AC"/>
    <w:rsid w:val="000C1136"/>
    <w:rsid w:val="000C256D"/>
    <w:rsid w:val="000C31F3"/>
    <w:rsid w:val="000C4540"/>
    <w:rsid w:val="000C5A22"/>
    <w:rsid w:val="000C5D42"/>
    <w:rsid w:val="000C5DEC"/>
    <w:rsid w:val="000C7E9B"/>
    <w:rsid w:val="000D0172"/>
    <w:rsid w:val="000D0D8E"/>
    <w:rsid w:val="000D0DEB"/>
    <w:rsid w:val="000D21AE"/>
    <w:rsid w:val="000D245C"/>
    <w:rsid w:val="000D3E23"/>
    <w:rsid w:val="000D3F4D"/>
    <w:rsid w:val="000D41AB"/>
    <w:rsid w:val="000D5293"/>
    <w:rsid w:val="000D65F9"/>
    <w:rsid w:val="000D6936"/>
    <w:rsid w:val="000D69C4"/>
    <w:rsid w:val="000D7037"/>
    <w:rsid w:val="000D7C22"/>
    <w:rsid w:val="000E1330"/>
    <w:rsid w:val="000E1619"/>
    <w:rsid w:val="000E2E73"/>
    <w:rsid w:val="000E43CB"/>
    <w:rsid w:val="000E59A7"/>
    <w:rsid w:val="000E64FE"/>
    <w:rsid w:val="000E66D0"/>
    <w:rsid w:val="000E75FD"/>
    <w:rsid w:val="000F034F"/>
    <w:rsid w:val="000F0C34"/>
    <w:rsid w:val="000F11A5"/>
    <w:rsid w:val="000F2807"/>
    <w:rsid w:val="000F37A3"/>
    <w:rsid w:val="000F3E98"/>
    <w:rsid w:val="000F4571"/>
    <w:rsid w:val="000F48B2"/>
    <w:rsid w:val="000F5135"/>
    <w:rsid w:val="000F5BB0"/>
    <w:rsid w:val="000F5DF3"/>
    <w:rsid w:val="000F60A6"/>
    <w:rsid w:val="000F67DB"/>
    <w:rsid w:val="000F70D2"/>
    <w:rsid w:val="000F74FB"/>
    <w:rsid w:val="000F77DD"/>
    <w:rsid w:val="00100773"/>
    <w:rsid w:val="00100F15"/>
    <w:rsid w:val="001032D3"/>
    <w:rsid w:val="0010337F"/>
    <w:rsid w:val="00103C83"/>
    <w:rsid w:val="0010415F"/>
    <w:rsid w:val="0010431F"/>
    <w:rsid w:val="00104B82"/>
    <w:rsid w:val="00104FDB"/>
    <w:rsid w:val="0010517E"/>
    <w:rsid w:val="00106189"/>
    <w:rsid w:val="00106E1F"/>
    <w:rsid w:val="0010766B"/>
    <w:rsid w:val="0010768B"/>
    <w:rsid w:val="001077D1"/>
    <w:rsid w:val="001103C4"/>
    <w:rsid w:val="00110429"/>
    <w:rsid w:val="00110531"/>
    <w:rsid w:val="00110EB2"/>
    <w:rsid w:val="00111521"/>
    <w:rsid w:val="00111BB6"/>
    <w:rsid w:val="00112369"/>
    <w:rsid w:val="0011424D"/>
    <w:rsid w:val="00116195"/>
    <w:rsid w:val="0011665C"/>
    <w:rsid w:val="00116870"/>
    <w:rsid w:val="00116D8E"/>
    <w:rsid w:val="001173F6"/>
    <w:rsid w:val="00120243"/>
    <w:rsid w:val="00120284"/>
    <w:rsid w:val="00120487"/>
    <w:rsid w:val="00121869"/>
    <w:rsid w:val="001221D4"/>
    <w:rsid w:val="00122823"/>
    <w:rsid w:val="00122E06"/>
    <w:rsid w:val="00123E3A"/>
    <w:rsid w:val="0012438D"/>
    <w:rsid w:val="001245D5"/>
    <w:rsid w:val="0012473C"/>
    <w:rsid w:val="00125214"/>
    <w:rsid w:val="00125967"/>
    <w:rsid w:val="00126C45"/>
    <w:rsid w:val="00127251"/>
    <w:rsid w:val="001278E3"/>
    <w:rsid w:val="00127B0E"/>
    <w:rsid w:val="0013065D"/>
    <w:rsid w:val="001307D5"/>
    <w:rsid w:val="001308DB"/>
    <w:rsid w:val="00130C87"/>
    <w:rsid w:val="00132DF0"/>
    <w:rsid w:val="00133AAA"/>
    <w:rsid w:val="00133F2F"/>
    <w:rsid w:val="00133F80"/>
    <w:rsid w:val="00134213"/>
    <w:rsid w:val="00134704"/>
    <w:rsid w:val="00134788"/>
    <w:rsid w:val="001358A5"/>
    <w:rsid w:val="00136AB3"/>
    <w:rsid w:val="00136D97"/>
    <w:rsid w:val="00136DD6"/>
    <w:rsid w:val="00137993"/>
    <w:rsid w:val="00137AC0"/>
    <w:rsid w:val="001400A0"/>
    <w:rsid w:val="0014193F"/>
    <w:rsid w:val="00141F56"/>
    <w:rsid w:val="00141F68"/>
    <w:rsid w:val="0014218E"/>
    <w:rsid w:val="00142987"/>
    <w:rsid w:val="0014477B"/>
    <w:rsid w:val="001448D7"/>
    <w:rsid w:val="001458A6"/>
    <w:rsid w:val="00145979"/>
    <w:rsid w:val="001467F0"/>
    <w:rsid w:val="00147491"/>
    <w:rsid w:val="00147645"/>
    <w:rsid w:val="0015064B"/>
    <w:rsid w:val="00150D4F"/>
    <w:rsid w:val="00151145"/>
    <w:rsid w:val="001511EC"/>
    <w:rsid w:val="0015134D"/>
    <w:rsid w:val="00152183"/>
    <w:rsid w:val="00152C4A"/>
    <w:rsid w:val="00154C05"/>
    <w:rsid w:val="00156E07"/>
    <w:rsid w:val="00157323"/>
    <w:rsid w:val="0015755E"/>
    <w:rsid w:val="001575E3"/>
    <w:rsid w:val="00157DD7"/>
    <w:rsid w:val="00160102"/>
    <w:rsid w:val="00160201"/>
    <w:rsid w:val="0016045E"/>
    <w:rsid w:val="00161D08"/>
    <w:rsid w:val="0016207C"/>
    <w:rsid w:val="001620A2"/>
    <w:rsid w:val="001634EA"/>
    <w:rsid w:val="00163E9C"/>
    <w:rsid w:val="001642A6"/>
    <w:rsid w:val="00164996"/>
    <w:rsid w:val="00165175"/>
    <w:rsid w:val="00165A7C"/>
    <w:rsid w:val="00165B86"/>
    <w:rsid w:val="00165CEA"/>
    <w:rsid w:val="00165D42"/>
    <w:rsid w:val="001665AC"/>
    <w:rsid w:val="001677AF"/>
    <w:rsid w:val="00171372"/>
    <w:rsid w:val="001716C1"/>
    <w:rsid w:val="00171F7D"/>
    <w:rsid w:val="00172648"/>
    <w:rsid w:val="001727B7"/>
    <w:rsid w:val="00173579"/>
    <w:rsid w:val="00173C73"/>
    <w:rsid w:val="00173E96"/>
    <w:rsid w:val="0017456B"/>
    <w:rsid w:val="00174B74"/>
    <w:rsid w:val="0017564A"/>
    <w:rsid w:val="00175CD8"/>
    <w:rsid w:val="00176049"/>
    <w:rsid w:val="00176A7C"/>
    <w:rsid w:val="00176D80"/>
    <w:rsid w:val="001772DE"/>
    <w:rsid w:val="0018072B"/>
    <w:rsid w:val="001809D1"/>
    <w:rsid w:val="001819C1"/>
    <w:rsid w:val="00181EFE"/>
    <w:rsid w:val="001825E4"/>
    <w:rsid w:val="00182902"/>
    <w:rsid w:val="00182912"/>
    <w:rsid w:val="00183C67"/>
    <w:rsid w:val="00183EDD"/>
    <w:rsid w:val="001843BD"/>
    <w:rsid w:val="001845E5"/>
    <w:rsid w:val="00184866"/>
    <w:rsid w:val="00184E61"/>
    <w:rsid w:val="001850E0"/>
    <w:rsid w:val="0018517B"/>
    <w:rsid w:val="00185203"/>
    <w:rsid w:val="001862B4"/>
    <w:rsid w:val="001866F2"/>
    <w:rsid w:val="00186F6A"/>
    <w:rsid w:val="001872F0"/>
    <w:rsid w:val="00187521"/>
    <w:rsid w:val="00190AF8"/>
    <w:rsid w:val="001912E9"/>
    <w:rsid w:val="001915A3"/>
    <w:rsid w:val="0019277B"/>
    <w:rsid w:val="0019526B"/>
    <w:rsid w:val="001952F4"/>
    <w:rsid w:val="00195F4C"/>
    <w:rsid w:val="00196BA1"/>
    <w:rsid w:val="001975D3"/>
    <w:rsid w:val="00197637"/>
    <w:rsid w:val="001A036B"/>
    <w:rsid w:val="001A0C53"/>
    <w:rsid w:val="001A1032"/>
    <w:rsid w:val="001A1628"/>
    <w:rsid w:val="001A1710"/>
    <w:rsid w:val="001A28C9"/>
    <w:rsid w:val="001A3DE1"/>
    <w:rsid w:val="001A42C0"/>
    <w:rsid w:val="001A5F7C"/>
    <w:rsid w:val="001A6960"/>
    <w:rsid w:val="001A737B"/>
    <w:rsid w:val="001A75BA"/>
    <w:rsid w:val="001B03CB"/>
    <w:rsid w:val="001B0ED2"/>
    <w:rsid w:val="001B10B2"/>
    <w:rsid w:val="001B1166"/>
    <w:rsid w:val="001B1F65"/>
    <w:rsid w:val="001B2FB2"/>
    <w:rsid w:val="001B33D4"/>
    <w:rsid w:val="001B3DD1"/>
    <w:rsid w:val="001B4358"/>
    <w:rsid w:val="001B4CF0"/>
    <w:rsid w:val="001B570B"/>
    <w:rsid w:val="001B5E6F"/>
    <w:rsid w:val="001B6986"/>
    <w:rsid w:val="001B77AC"/>
    <w:rsid w:val="001C057F"/>
    <w:rsid w:val="001C09B0"/>
    <w:rsid w:val="001C0E01"/>
    <w:rsid w:val="001C11A0"/>
    <w:rsid w:val="001C20E4"/>
    <w:rsid w:val="001C2586"/>
    <w:rsid w:val="001C31E8"/>
    <w:rsid w:val="001C365A"/>
    <w:rsid w:val="001C37C8"/>
    <w:rsid w:val="001C37FF"/>
    <w:rsid w:val="001C3B07"/>
    <w:rsid w:val="001C3D74"/>
    <w:rsid w:val="001C3E4B"/>
    <w:rsid w:val="001C45A7"/>
    <w:rsid w:val="001C48BB"/>
    <w:rsid w:val="001C4A56"/>
    <w:rsid w:val="001C5753"/>
    <w:rsid w:val="001C5DCC"/>
    <w:rsid w:val="001C7014"/>
    <w:rsid w:val="001C7B29"/>
    <w:rsid w:val="001D0139"/>
    <w:rsid w:val="001D0E69"/>
    <w:rsid w:val="001D1A84"/>
    <w:rsid w:val="001D2045"/>
    <w:rsid w:val="001D2535"/>
    <w:rsid w:val="001D2CEE"/>
    <w:rsid w:val="001D2E02"/>
    <w:rsid w:val="001D3E6A"/>
    <w:rsid w:val="001D586B"/>
    <w:rsid w:val="001D5D91"/>
    <w:rsid w:val="001E0E7E"/>
    <w:rsid w:val="001E1AF1"/>
    <w:rsid w:val="001E1BEF"/>
    <w:rsid w:val="001E1DFB"/>
    <w:rsid w:val="001E28AA"/>
    <w:rsid w:val="001E28EF"/>
    <w:rsid w:val="001E3522"/>
    <w:rsid w:val="001E445C"/>
    <w:rsid w:val="001E490C"/>
    <w:rsid w:val="001E5B28"/>
    <w:rsid w:val="001E66DC"/>
    <w:rsid w:val="001E67C6"/>
    <w:rsid w:val="001E7054"/>
    <w:rsid w:val="001E779A"/>
    <w:rsid w:val="001E7A42"/>
    <w:rsid w:val="001F0090"/>
    <w:rsid w:val="001F0897"/>
    <w:rsid w:val="001F11A4"/>
    <w:rsid w:val="001F1335"/>
    <w:rsid w:val="001F161E"/>
    <w:rsid w:val="001F17A2"/>
    <w:rsid w:val="001F1D52"/>
    <w:rsid w:val="001F265F"/>
    <w:rsid w:val="001F2B71"/>
    <w:rsid w:val="001F2D99"/>
    <w:rsid w:val="001F3562"/>
    <w:rsid w:val="001F4E3B"/>
    <w:rsid w:val="001F555E"/>
    <w:rsid w:val="001F5A53"/>
    <w:rsid w:val="001F752D"/>
    <w:rsid w:val="001F7EEC"/>
    <w:rsid w:val="002003DA"/>
    <w:rsid w:val="00201115"/>
    <w:rsid w:val="00202662"/>
    <w:rsid w:val="002035D7"/>
    <w:rsid w:val="00203D9E"/>
    <w:rsid w:val="00205E33"/>
    <w:rsid w:val="00207AD3"/>
    <w:rsid w:val="00207B22"/>
    <w:rsid w:val="00210297"/>
    <w:rsid w:val="0021065D"/>
    <w:rsid w:val="00211D33"/>
    <w:rsid w:val="0021220D"/>
    <w:rsid w:val="00212928"/>
    <w:rsid w:val="0021418A"/>
    <w:rsid w:val="002142B9"/>
    <w:rsid w:val="00214D32"/>
    <w:rsid w:val="00214FA3"/>
    <w:rsid w:val="0021548D"/>
    <w:rsid w:val="00216686"/>
    <w:rsid w:val="00216A78"/>
    <w:rsid w:val="00216D10"/>
    <w:rsid w:val="002171F7"/>
    <w:rsid w:val="0021797C"/>
    <w:rsid w:val="00220A43"/>
    <w:rsid w:val="00220E69"/>
    <w:rsid w:val="00221991"/>
    <w:rsid w:val="00221F03"/>
    <w:rsid w:val="0022239F"/>
    <w:rsid w:val="0022317C"/>
    <w:rsid w:val="00223540"/>
    <w:rsid w:val="00224805"/>
    <w:rsid w:val="00225640"/>
    <w:rsid w:val="00225685"/>
    <w:rsid w:val="00226E57"/>
    <w:rsid w:val="0022761E"/>
    <w:rsid w:val="0022774F"/>
    <w:rsid w:val="002279BA"/>
    <w:rsid w:val="00231D92"/>
    <w:rsid w:val="00231DD4"/>
    <w:rsid w:val="00232EA3"/>
    <w:rsid w:val="0023345C"/>
    <w:rsid w:val="00235D7F"/>
    <w:rsid w:val="00236226"/>
    <w:rsid w:val="00236779"/>
    <w:rsid w:val="0023695C"/>
    <w:rsid w:val="00237538"/>
    <w:rsid w:val="0024019B"/>
    <w:rsid w:val="00240846"/>
    <w:rsid w:val="00240E06"/>
    <w:rsid w:val="00241485"/>
    <w:rsid w:val="00242291"/>
    <w:rsid w:val="002424B5"/>
    <w:rsid w:val="002433CB"/>
    <w:rsid w:val="00243AE0"/>
    <w:rsid w:val="00243D2E"/>
    <w:rsid w:val="00244A7D"/>
    <w:rsid w:val="00245FB7"/>
    <w:rsid w:val="00246703"/>
    <w:rsid w:val="00246D81"/>
    <w:rsid w:val="0024713F"/>
    <w:rsid w:val="002501FD"/>
    <w:rsid w:val="00250597"/>
    <w:rsid w:val="00250701"/>
    <w:rsid w:val="002526E2"/>
    <w:rsid w:val="00252AB4"/>
    <w:rsid w:val="00252DDB"/>
    <w:rsid w:val="00252FC6"/>
    <w:rsid w:val="00253D1F"/>
    <w:rsid w:val="002544ED"/>
    <w:rsid w:val="00256BC2"/>
    <w:rsid w:val="0025722A"/>
    <w:rsid w:val="00257426"/>
    <w:rsid w:val="00257E36"/>
    <w:rsid w:val="00260768"/>
    <w:rsid w:val="00261847"/>
    <w:rsid w:val="00261884"/>
    <w:rsid w:val="00261F6C"/>
    <w:rsid w:val="00262FD7"/>
    <w:rsid w:val="00263237"/>
    <w:rsid w:val="002632A0"/>
    <w:rsid w:val="002638F2"/>
    <w:rsid w:val="00263D59"/>
    <w:rsid w:val="002644CF"/>
    <w:rsid w:val="002649F1"/>
    <w:rsid w:val="00264F4F"/>
    <w:rsid w:val="0026603B"/>
    <w:rsid w:val="00266720"/>
    <w:rsid w:val="00267D72"/>
    <w:rsid w:val="002704C1"/>
    <w:rsid w:val="00270818"/>
    <w:rsid w:val="002709DC"/>
    <w:rsid w:val="0027194E"/>
    <w:rsid w:val="00272223"/>
    <w:rsid w:val="00272492"/>
    <w:rsid w:val="00273812"/>
    <w:rsid w:val="00273C49"/>
    <w:rsid w:val="00275967"/>
    <w:rsid w:val="00275B14"/>
    <w:rsid w:val="002764E0"/>
    <w:rsid w:val="002764EA"/>
    <w:rsid w:val="002772CC"/>
    <w:rsid w:val="00277C87"/>
    <w:rsid w:val="002803F1"/>
    <w:rsid w:val="00280787"/>
    <w:rsid w:val="00280BA2"/>
    <w:rsid w:val="002826DD"/>
    <w:rsid w:val="0028365C"/>
    <w:rsid w:val="00284A80"/>
    <w:rsid w:val="00285C43"/>
    <w:rsid w:val="00286BEC"/>
    <w:rsid w:val="002878EE"/>
    <w:rsid w:val="00287903"/>
    <w:rsid w:val="00290135"/>
    <w:rsid w:val="002911C7"/>
    <w:rsid w:val="00293A4B"/>
    <w:rsid w:val="00294517"/>
    <w:rsid w:val="0029564D"/>
    <w:rsid w:val="0029690A"/>
    <w:rsid w:val="0029710E"/>
    <w:rsid w:val="002A1280"/>
    <w:rsid w:val="002A13D5"/>
    <w:rsid w:val="002A1F19"/>
    <w:rsid w:val="002A2C15"/>
    <w:rsid w:val="002A2EE1"/>
    <w:rsid w:val="002A3AAF"/>
    <w:rsid w:val="002A45CA"/>
    <w:rsid w:val="002A4C52"/>
    <w:rsid w:val="002A4D59"/>
    <w:rsid w:val="002A56FD"/>
    <w:rsid w:val="002A5841"/>
    <w:rsid w:val="002A7223"/>
    <w:rsid w:val="002A7492"/>
    <w:rsid w:val="002B3CAF"/>
    <w:rsid w:val="002B3D11"/>
    <w:rsid w:val="002B5C42"/>
    <w:rsid w:val="002B6202"/>
    <w:rsid w:val="002C061A"/>
    <w:rsid w:val="002C063A"/>
    <w:rsid w:val="002C065B"/>
    <w:rsid w:val="002C1405"/>
    <w:rsid w:val="002C156D"/>
    <w:rsid w:val="002C1608"/>
    <w:rsid w:val="002C1C98"/>
    <w:rsid w:val="002C293C"/>
    <w:rsid w:val="002C29EA"/>
    <w:rsid w:val="002C3DEE"/>
    <w:rsid w:val="002C3EA2"/>
    <w:rsid w:val="002C4251"/>
    <w:rsid w:val="002C469C"/>
    <w:rsid w:val="002C506F"/>
    <w:rsid w:val="002C5713"/>
    <w:rsid w:val="002C5FB9"/>
    <w:rsid w:val="002C64A4"/>
    <w:rsid w:val="002C7A80"/>
    <w:rsid w:val="002D09E7"/>
    <w:rsid w:val="002D0D72"/>
    <w:rsid w:val="002D1680"/>
    <w:rsid w:val="002D1D9F"/>
    <w:rsid w:val="002D291E"/>
    <w:rsid w:val="002D2A1E"/>
    <w:rsid w:val="002D32FF"/>
    <w:rsid w:val="002D3811"/>
    <w:rsid w:val="002D3B2A"/>
    <w:rsid w:val="002D3FBB"/>
    <w:rsid w:val="002D42F9"/>
    <w:rsid w:val="002D450B"/>
    <w:rsid w:val="002D5DD6"/>
    <w:rsid w:val="002D6975"/>
    <w:rsid w:val="002D799C"/>
    <w:rsid w:val="002E1B37"/>
    <w:rsid w:val="002E1D6A"/>
    <w:rsid w:val="002E2405"/>
    <w:rsid w:val="002E267B"/>
    <w:rsid w:val="002E2695"/>
    <w:rsid w:val="002E42D7"/>
    <w:rsid w:val="002E4A2B"/>
    <w:rsid w:val="002E4A7C"/>
    <w:rsid w:val="002E5759"/>
    <w:rsid w:val="002E5958"/>
    <w:rsid w:val="002E5CF7"/>
    <w:rsid w:val="002E6044"/>
    <w:rsid w:val="002E628C"/>
    <w:rsid w:val="002E6D70"/>
    <w:rsid w:val="002E6EA7"/>
    <w:rsid w:val="002F01A4"/>
    <w:rsid w:val="002F0419"/>
    <w:rsid w:val="002F1F19"/>
    <w:rsid w:val="002F245B"/>
    <w:rsid w:val="002F24F0"/>
    <w:rsid w:val="002F344A"/>
    <w:rsid w:val="002F37C3"/>
    <w:rsid w:val="002F4F09"/>
    <w:rsid w:val="002F542B"/>
    <w:rsid w:val="002F589B"/>
    <w:rsid w:val="002F6696"/>
    <w:rsid w:val="003008D8"/>
    <w:rsid w:val="003021A8"/>
    <w:rsid w:val="00302BC2"/>
    <w:rsid w:val="00302F8E"/>
    <w:rsid w:val="003036C8"/>
    <w:rsid w:val="00303739"/>
    <w:rsid w:val="0030489C"/>
    <w:rsid w:val="00305780"/>
    <w:rsid w:val="00305AB0"/>
    <w:rsid w:val="003072B7"/>
    <w:rsid w:val="0030774B"/>
    <w:rsid w:val="00307986"/>
    <w:rsid w:val="00307CAE"/>
    <w:rsid w:val="00310204"/>
    <w:rsid w:val="00310269"/>
    <w:rsid w:val="00310295"/>
    <w:rsid w:val="00310E18"/>
    <w:rsid w:val="00311143"/>
    <w:rsid w:val="0031211D"/>
    <w:rsid w:val="00312159"/>
    <w:rsid w:val="003132BE"/>
    <w:rsid w:val="00314D16"/>
    <w:rsid w:val="00314E39"/>
    <w:rsid w:val="0031518F"/>
    <w:rsid w:val="00316B41"/>
    <w:rsid w:val="00316BC8"/>
    <w:rsid w:val="0031709B"/>
    <w:rsid w:val="00317B42"/>
    <w:rsid w:val="00317C3D"/>
    <w:rsid w:val="0032081D"/>
    <w:rsid w:val="00320AB0"/>
    <w:rsid w:val="003219F0"/>
    <w:rsid w:val="00322EF2"/>
    <w:rsid w:val="00323C24"/>
    <w:rsid w:val="003240AE"/>
    <w:rsid w:val="003240CC"/>
    <w:rsid w:val="00325379"/>
    <w:rsid w:val="0032771E"/>
    <w:rsid w:val="003277A0"/>
    <w:rsid w:val="00327809"/>
    <w:rsid w:val="003300C8"/>
    <w:rsid w:val="003312CB"/>
    <w:rsid w:val="00331435"/>
    <w:rsid w:val="00331A8B"/>
    <w:rsid w:val="00331F3D"/>
    <w:rsid w:val="00333E4E"/>
    <w:rsid w:val="003344D8"/>
    <w:rsid w:val="003349E9"/>
    <w:rsid w:val="00334A5F"/>
    <w:rsid w:val="00334DD2"/>
    <w:rsid w:val="00334F15"/>
    <w:rsid w:val="003358A8"/>
    <w:rsid w:val="00335FBD"/>
    <w:rsid w:val="0033619C"/>
    <w:rsid w:val="00337260"/>
    <w:rsid w:val="00337922"/>
    <w:rsid w:val="003406B8"/>
    <w:rsid w:val="00340813"/>
    <w:rsid w:val="00341497"/>
    <w:rsid w:val="00341663"/>
    <w:rsid w:val="00343D87"/>
    <w:rsid w:val="00344A3B"/>
    <w:rsid w:val="003452D8"/>
    <w:rsid w:val="003469E1"/>
    <w:rsid w:val="003470AA"/>
    <w:rsid w:val="003501CF"/>
    <w:rsid w:val="00350594"/>
    <w:rsid w:val="003510A8"/>
    <w:rsid w:val="00351C70"/>
    <w:rsid w:val="0035393B"/>
    <w:rsid w:val="00353E34"/>
    <w:rsid w:val="0035444D"/>
    <w:rsid w:val="003545A9"/>
    <w:rsid w:val="00355765"/>
    <w:rsid w:val="00355836"/>
    <w:rsid w:val="003560EA"/>
    <w:rsid w:val="003564F3"/>
    <w:rsid w:val="00356639"/>
    <w:rsid w:val="00356AC3"/>
    <w:rsid w:val="00356B00"/>
    <w:rsid w:val="00356C98"/>
    <w:rsid w:val="00357055"/>
    <w:rsid w:val="00357244"/>
    <w:rsid w:val="003574E2"/>
    <w:rsid w:val="003609F5"/>
    <w:rsid w:val="003620CF"/>
    <w:rsid w:val="00362AFC"/>
    <w:rsid w:val="00363B51"/>
    <w:rsid w:val="003644E9"/>
    <w:rsid w:val="00364875"/>
    <w:rsid w:val="003658FD"/>
    <w:rsid w:val="00365959"/>
    <w:rsid w:val="0036653E"/>
    <w:rsid w:val="003674F1"/>
    <w:rsid w:val="0036755A"/>
    <w:rsid w:val="0036759D"/>
    <w:rsid w:val="0037054B"/>
    <w:rsid w:val="00370DEB"/>
    <w:rsid w:val="00371ABC"/>
    <w:rsid w:val="00371B99"/>
    <w:rsid w:val="003724BB"/>
    <w:rsid w:val="00374BC6"/>
    <w:rsid w:val="0037511D"/>
    <w:rsid w:val="0037548D"/>
    <w:rsid w:val="00375521"/>
    <w:rsid w:val="0037566F"/>
    <w:rsid w:val="003760CB"/>
    <w:rsid w:val="00377E45"/>
    <w:rsid w:val="00381C10"/>
    <w:rsid w:val="003821A9"/>
    <w:rsid w:val="00382295"/>
    <w:rsid w:val="00382E64"/>
    <w:rsid w:val="0038355F"/>
    <w:rsid w:val="00383A0D"/>
    <w:rsid w:val="00383EF8"/>
    <w:rsid w:val="00385530"/>
    <w:rsid w:val="003857C9"/>
    <w:rsid w:val="00385934"/>
    <w:rsid w:val="003864F7"/>
    <w:rsid w:val="00386D9B"/>
    <w:rsid w:val="003874F2"/>
    <w:rsid w:val="0038767F"/>
    <w:rsid w:val="00390108"/>
    <w:rsid w:val="00390B59"/>
    <w:rsid w:val="00393E17"/>
    <w:rsid w:val="00393EAE"/>
    <w:rsid w:val="003945EE"/>
    <w:rsid w:val="00396767"/>
    <w:rsid w:val="003972E4"/>
    <w:rsid w:val="003A034E"/>
    <w:rsid w:val="003A0DDD"/>
    <w:rsid w:val="003A124B"/>
    <w:rsid w:val="003A2225"/>
    <w:rsid w:val="003A266F"/>
    <w:rsid w:val="003A4133"/>
    <w:rsid w:val="003A498F"/>
    <w:rsid w:val="003A531E"/>
    <w:rsid w:val="003A6DD3"/>
    <w:rsid w:val="003A754D"/>
    <w:rsid w:val="003A787E"/>
    <w:rsid w:val="003B0BF4"/>
    <w:rsid w:val="003B11BF"/>
    <w:rsid w:val="003B1E4C"/>
    <w:rsid w:val="003B2551"/>
    <w:rsid w:val="003B2C28"/>
    <w:rsid w:val="003B30AC"/>
    <w:rsid w:val="003B3377"/>
    <w:rsid w:val="003B3665"/>
    <w:rsid w:val="003B4894"/>
    <w:rsid w:val="003B4AA0"/>
    <w:rsid w:val="003B6C62"/>
    <w:rsid w:val="003B732B"/>
    <w:rsid w:val="003B749D"/>
    <w:rsid w:val="003B7D5B"/>
    <w:rsid w:val="003B7F90"/>
    <w:rsid w:val="003C02A6"/>
    <w:rsid w:val="003C083A"/>
    <w:rsid w:val="003C1298"/>
    <w:rsid w:val="003C182C"/>
    <w:rsid w:val="003C23B0"/>
    <w:rsid w:val="003C24D0"/>
    <w:rsid w:val="003C2CBA"/>
    <w:rsid w:val="003C36A9"/>
    <w:rsid w:val="003C36EB"/>
    <w:rsid w:val="003C38BB"/>
    <w:rsid w:val="003C4021"/>
    <w:rsid w:val="003C443F"/>
    <w:rsid w:val="003C4E81"/>
    <w:rsid w:val="003C4EF1"/>
    <w:rsid w:val="003C65A3"/>
    <w:rsid w:val="003C66EC"/>
    <w:rsid w:val="003C703E"/>
    <w:rsid w:val="003C7786"/>
    <w:rsid w:val="003C7ECD"/>
    <w:rsid w:val="003D035D"/>
    <w:rsid w:val="003D0829"/>
    <w:rsid w:val="003D0989"/>
    <w:rsid w:val="003D10FF"/>
    <w:rsid w:val="003D249A"/>
    <w:rsid w:val="003D2C89"/>
    <w:rsid w:val="003D348C"/>
    <w:rsid w:val="003D5A8F"/>
    <w:rsid w:val="003D7B3B"/>
    <w:rsid w:val="003E00E5"/>
    <w:rsid w:val="003E0A98"/>
    <w:rsid w:val="003E136F"/>
    <w:rsid w:val="003E1565"/>
    <w:rsid w:val="003E1D24"/>
    <w:rsid w:val="003E272D"/>
    <w:rsid w:val="003E2746"/>
    <w:rsid w:val="003E2FD3"/>
    <w:rsid w:val="003E3BD0"/>
    <w:rsid w:val="003E3E06"/>
    <w:rsid w:val="003E425A"/>
    <w:rsid w:val="003E4303"/>
    <w:rsid w:val="003E5C9E"/>
    <w:rsid w:val="003E60C5"/>
    <w:rsid w:val="003E6247"/>
    <w:rsid w:val="003E6747"/>
    <w:rsid w:val="003E697E"/>
    <w:rsid w:val="003E701E"/>
    <w:rsid w:val="003F0B18"/>
    <w:rsid w:val="003F0CD8"/>
    <w:rsid w:val="003F154E"/>
    <w:rsid w:val="003F1ABE"/>
    <w:rsid w:val="003F1B3A"/>
    <w:rsid w:val="003F1F67"/>
    <w:rsid w:val="003F2804"/>
    <w:rsid w:val="003F2F39"/>
    <w:rsid w:val="003F4CB2"/>
    <w:rsid w:val="003F50F3"/>
    <w:rsid w:val="003F55A5"/>
    <w:rsid w:val="003F5772"/>
    <w:rsid w:val="003F5ACC"/>
    <w:rsid w:val="003F7075"/>
    <w:rsid w:val="003F7587"/>
    <w:rsid w:val="003F7823"/>
    <w:rsid w:val="003F7F63"/>
    <w:rsid w:val="00400625"/>
    <w:rsid w:val="00400C5D"/>
    <w:rsid w:val="00401BB3"/>
    <w:rsid w:val="00403404"/>
    <w:rsid w:val="00404B90"/>
    <w:rsid w:val="004071BF"/>
    <w:rsid w:val="00407682"/>
    <w:rsid w:val="004076DC"/>
    <w:rsid w:val="004105C9"/>
    <w:rsid w:val="00412C35"/>
    <w:rsid w:val="0041441E"/>
    <w:rsid w:val="004149B7"/>
    <w:rsid w:val="0041567D"/>
    <w:rsid w:val="004160AD"/>
    <w:rsid w:val="0041664A"/>
    <w:rsid w:val="0041754B"/>
    <w:rsid w:val="0041757E"/>
    <w:rsid w:val="00417678"/>
    <w:rsid w:val="00417979"/>
    <w:rsid w:val="00417CA3"/>
    <w:rsid w:val="004202A4"/>
    <w:rsid w:val="00420A9C"/>
    <w:rsid w:val="00420BA0"/>
    <w:rsid w:val="00421A1D"/>
    <w:rsid w:val="00422586"/>
    <w:rsid w:val="004246B8"/>
    <w:rsid w:val="0042475E"/>
    <w:rsid w:val="00424FF4"/>
    <w:rsid w:val="004251BB"/>
    <w:rsid w:val="00425226"/>
    <w:rsid w:val="00425910"/>
    <w:rsid w:val="00426109"/>
    <w:rsid w:val="00426236"/>
    <w:rsid w:val="0042675A"/>
    <w:rsid w:val="00426CA6"/>
    <w:rsid w:val="004300AF"/>
    <w:rsid w:val="004303B5"/>
    <w:rsid w:val="004305AE"/>
    <w:rsid w:val="00430886"/>
    <w:rsid w:val="004312FB"/>
    <w:rsid w:val="0043259F"/>
    <w:rsid w:val="00432B2F"/>
    <w:rsid w:val="00434C55"/>
    <w:rsid w:val="00435CCB"/>
    <w:rsid w:val="00435E61"/>
    <w:rsid w:val="00436348"/>
    <w:rsid w:val="00436649"/>
    <w:rsid w:val="0043693A"/>
    <w:rsid w:val="00437189"/>
    <w:rsid w:val="004376CF"/>
    <w:rsid w:val="00437B3B"/>
    <w:rsid w:val="004404E3"/>
    <w:rsid w:val="0044081A"/>
    <w:rsid w:val="004416C7"/>
    <w:rsid w:val="00441C18"/>
    <w:rsid w:val="00441DE6"/>
    <w:rsid w:val="0044252F"/>
    <w:rsid w:val="0044274A"/>
    <w:rsid w:val="00442B1B"/>
    <w:rsid w:val="00442C04"/>
    <w:rsid w:val="00442EDB"/>
    <w:rsid w:val="004442E2"/>
    <w:rsid w:val="004448F8"/>
    <w:rsid w:val="0044536B"/>
    <w:rsid w:val="00445A82"/>
    <w:rsid w:val="00446837"/>
    <w:rsid w:val="0044683E"/>
    <w:rsid w:val="00447297"/>
    <w:rsid w:val="00447A62"/>
    <w:rsid w:val="00447F45"/>
    <w:rsid w:val="004512BB"/>
    <w:rsid w:val="004519A3"/>
    <w:rsid w:val="0045472F"/>
    <w:rsid w:val="00454BD9"/>
    <w:rsid w:val="004557FD"/>
    <w:rsid w:val="00455C04"/>
    <w:rsid w:val="00456036"/>
    <w:rsid w:val="00456F02"/>
    <w:rsid w:val="00457168"/>
    <w:rsid w:val="00457360"/>
    <w:rsid w:val="00457CB6"/>
    <w:rsid w:val="004605F6"/>
    <w:rsid w:val="00460B49"/>
    <w:rsid w:val="0046159D"/>
    <w:rsid w:val="004616F1"/>
    <w:rsid w:val="004618BF"/>
    <w:rsid w:val="0046195A"/>
    <w:rsid w:val="00463CA8"/>
    <w:rsid w:val="00464222"/>
    <w:rsid w:val="004666ED"/>
    <w:rsid w:val="00466926"/>
    <w:rsid w:val="00466BAD"/>
    <w:rsid w:val="00466FAF"/>
    <w:rsid w:val="004677AC"/>
    <w:rsid w:val="00467E14"/>
    <w:rsid w:val="0047161B"/>
    <w:rsid w:val="00472B86"/>
    <w:rsid w:val="0047349B"/>
    <w:rsid w:val="00473A74"/>
    <w:rsid w:val="004767B3"/>
    <w:rsid w:val="004772AB"/>
    <w:rsid w:val="00477B88"/>
    <w:rsid w:val="00480C5E"/>
    <w:rsid w:val="0048114E"/>
    <w:rsid w:val="00481806"/>
    <w:rsid w:val="004823C0"/>
    <w:rsid w:val="00482470"/>
    <w:rsid w:val="0048286A"/>
    <w:rsid w:val="00483963"/>
    <w:rsid w:val="00483F6C"/>
    <w:rsid w:val="00483FBE"/>
    <w:rsid w:val="004841A4"/>
    <w:rsid w:val="004858E3"/>
    <w:rsid w:val="004868FA"/>
    <w:rsid w:val="00487F1E"/>
    <w:rsid w:val="00492079"/>
    <w:rsid w:val="0049296D"/>
    <w:rsid w:val="00492E73"/>
    <w:rsid w:val="00492F3C"/>
    <w:rsid w:val="004931A6"/>
    <w:rsid w:val="004938B3"/>
    <w:rsid w:val="00493974"/>
    <w:rsid w:val="0049421B"/>
    <w:rsid w:val="004944B5"/>
    <w:rsid w:val="00495174"/>
    <w:rsid w:val="004962EA"/>
    <w:rsid w:val="004964D9"/>
    <w:rsid w:val="004968DA"/>
    <w:rsid w:val="00496AA1"/>
    <w:rsid w:val="004A1A46"/>
    <w:rsid w:val="004A2690"/>
    <w:rsid w:val="004A3102"/>
    <w:rsid w:val="004A392F"/>
    <w:rsid w:val="004A3BD3"/>
    <w:rsid w:val="004A4298"/>
    <w:rsid w:val="004A4558"/>
    <w:rsid w:val="004A4797"/>
    <w:rsid w:val="004A4980"/>
    <w:rsid w:val="004A49BF"/>
    <w:rsid w:val="004A4E8A"/>
    <w:rsid w:val="004A61CF"/>
    <w:rsid w:val="004A6B6A"/>
    <w:rsid w:val="004A6C72"/>
    <w:rsid w:val="004A74E5"/>
    <w:rsid w:val="004A7F45"/>
    <w:rsid w:val="004B1397"/>
    <w:rsid w:val="004B13ED"/>
    <w:rsid w:val="004B1A7B"/>
    <w:rsid w:val="004B2989"/>
    <w:rsid w:val="004B2E22"/>
    <w:rsid w:val="004B3412"/>
    <w:rsid w:val="004B45D6"/>
    <w:rsid w:val="004B54BA"/>
    <w:rsid w:val="004B5B99"/>
    <w:rsid w:val="004B5CD2"/>
    <w:rsid w:val="004B5EAD"/>
    <w:rsid w:val="004B679C"/>
    <w:rsid w:val="004B6AC5"/>
    <w:rsid w:val="004B6DC8"/>
    <w:rsid w:val="004B6ED1"/>
    <w:rsid w:val="004B7AD5"/>
    <w:rsid w:val="004C0257"/>
    <w:rsid w:val="004C08F8"/>
    <w:rsid w:val="004C122C"/>
    <w:rsid w:val="004C1765"/>
    <w:rsid w:val="004C2B48"/>
    <w:rsid w:val="004C318C"/>
    <w:rsid w:val="004C323F"/>
    <w:rsid w:val="004C3611"/>
    <w:rsid w:val="004C392C"/>
    <w:rsid w:val="004C3973"/>
    <w:rsid w:val="004C3F46"/>
    <w:rsid w:val="004C53AB"/>
    <w:rsid w:val="004C623C"/>
    <w:rsid w:val="004C63DD"/>
    <w:rsid w:val="004C74A6"/>
    <w:rsid w:val="004C7CA3"/>
    <w:rsid w:val="004D051F"/>
    <w:rsid w:val="004D0C49"/>
    <w:rsid w:val="004D18F4"/>
    <w:rsid w:val="004D1964"/>
    <w:rsid w:val="004D19AE"/>
    <w:rsid w:val="004D250D"/>
    <w:rsid w:val="004D3808"/>
    <w:rsid w:val="004D3834"/>
    <w:rsid w:val="004D38DB"/>
    <w:rsid w:val="004D41CA"/>
    <w:rsid w:val="004D4422"/>
    <w:rsid w:val="004D4FEE"/>
    <w:rsid w:val="004D5DE7"/>
    <w:rsid w:val="004D5EDB"/>
    <w:rsid w:val="004D6E94"/>
    <w:rsid w:val="004D7F24"/>
    <w:rsid w:val="004E009E"/>
    <w:rsid w:val="004E00A5"/>
    <w:rsid w:val="004E0769"/>
    <w:rsid w:val="004E2A63"/>
    <w:rsid w:val="004E3E9B"/>
    <w:rsid w:val="004E42D4"/>
    <w:rsid w:val="004E4FFD"/>
    <w:rsid w:val="004E5761"/>
    <w:rsid w:val="004E5F57"/>
    <w:rsid w:val="004E6599"/>
    <w:rsid w:val="004E6B47"/>
    <w:rsid w:val="004E7267"/>
    <w:rsid w:val="004E7EEF"/>
    <w:rsid w:val="004F0496"/>
    <w:rsid w:val="004F0F6F"/>
    <w:rsid w:val="004F0FDF"/>
    <w:rsid w:val="004F1234"/>
    <w:rsid w:val="004F14C2"/>
    <w:rsid w:val="004F2791"/>
    <w:rsid w:val="004F3195"/>
    <w:rsid w:val="004F533C"/>
    <w:rsid w:val="004F5E29"/>
    <w:rsid w:val="004F72CF"/>
    <w:rsid w:val="005002F7"/>
    <w:rsid w:val="00501092"/>
    <w:rsid w:val="0050179E"/>
    <w:rsid w:val="00501BBA"/>
    <w:rsid w:val="00503D83"/>
    <w:rsid w:val="00505087"/>
    <w:rsid w:val="00505D11"/>
    <w:rsid w:val="00505D34"/>
    <w:rsid w:val="005060B3"/>
    <w:rsid w:val="005064A1"/>
    <w:rsid w:val="005065D8"/>
    <w:rsid w:val="005066A6"/>
    <w:rsid w:val="005072E9"/>
    <w:rsid w:val="0051011D"/>
    <w:rsid w:val="005103A8"/>
    <w:rsid w:val="005113CE"/>
    <w:rsid w:val="00511EB7"/>
    <w:rsid w:val="005121DF"/>
    <w:rsid w:val="00512503"/>
    <w:rsid w:val="00513CEC"/>
    <w:rsid w:val="00513D8F"/>
    <w:rsid w:val="005146FC"/>
    <w:rsid w:val="005149B6"/>
    <w:rsid w:val="0051651E"/>
    <w:rsid w:val="00516580"/>
    <w:rsid w:val="00516DCD"/>
    <w:rsid w:val="00516E42"/>
    <w:rsid w:val="0051703F"/>
    <w:rsid w:val="0051765B"/>
    <w:rsid w:val="00517CC4"/>
    <w:rsid w:val="00521540"/>
    <w:rsid w:val="00521795"/>
    <w:rsid w:val="005229FE"/>
    <w:rsid w:val="00523C01"/>
    <w:rsid w:val="005252EA"/>
    <w:rsid w:val="005264CA"/>
    <w:rsid w:val="0052752C"/>
    <w:rsid w:val="00527AA2"/>
    <w:rsid w:val="00530969"/>
    <w:rsid w:val="005310EB"/>
    <w:rsid w:val="0053269E"/>
    <w:rsid w:val="00533319"/>
    <w:rsid w:val="0053343E"/>
    <w:rsid w:val="00534043"/>
    <w:rsid w:val="00535788"/>
    <w:rsid w:val="00535BD0"/>
    <w:rsid w:val="00535E4F"/>
    <w:rsid w:val="00536BEB"/>
    <w:rsid w:val="00536F7A"/>
    <w:rsid w:val="00537CD1"/>
    <w:rsid w:val="005409D4"/>
    <w:rsid w:val="0054135C"/>
    <w:rsid w:val="00541677"/>
    <w:rsid w:val="00542979"/>
    <w:rsid w:val="00544157"/>
    <w:rsid w:val="0054474B"/>
    <w:rsid w:val="00544757"/>
    <w:rsid w:val="00544E35"/>
    <w:rsid w:val="00544FDF"/>
    <w:rsid w:val="00545877"/>
    <w:rsid w:val="00545E94"/>
    <w:rsid w:val="00546A0B"/>
    <w:rsid w:val="005509B0"/>
    <w:rsid w:val="0055176D"/>
    <w:rsid w:val="00551881"/>
    <w:rsid w:val="00551A39"/>
    <w:rsid w:val="00552DA6"/>
    <w:rsid w:val="005536C0"/>
    <w:rsid w:val="00553778"/>
    <w:rsid w:val="00554006"/>
    <w:rsid w:val="00555A2A"/>
    <w:rsid w:val="00555ADD"/>
    <w:rsid w:val="00555C0B"/>
    <w:rsid w:val="00555EE2"/>
    <w:rsid w:val="005562E5"/>
    <w:rsid w:val="005564BD"/>
    <w:rsid w:val="00556528"/>
    <w:rsid w:val="005567D1"/>
    <w:rsid w:val="005573B9"/>
    <w:rsid w:val="005600DA"/>
    <w:rsid w:val="005601AA"/>
    <w:rsid w:val="005601E8"/>
    <w:rsid w:val="005603DE"/>
    <w:rsid w:val="00560642"/>
    <w:rsid w:val="00560BB3"/>
    <w:rsid w:val="00562B98"/>
    <w:rsid w:val="00562BA3"/>
    <w:rsid w:val="00562EAB"/>
    <w:rsid w:val="00562FCD"/>
    <w:rsid w:val="00566066"/>
    <w:rsid w:val="00566DDF"/>
    <w:rsid w:val="00567932"/>
    <w:rsid w:val="00567BB9"/>
    <w:rsid w:val="00570369"/>
    <w:rsid w:val="00571254"/>
    <w:rsid w:val="00571441"/>
    <w:rsid w:val="00572551"/>
    <w:rsid w:val="005727CA"/>
    <w:rsid w:val="00572E5B"/>
    <w:rsid w:val="005747D0"/>
    <w:rsid w:val="0057518C"/>
    <w:rsid w:val="00576D98"/>
    <w:rsid w:val="00576FFB"/>
    <w:rsid w:val="0057705F"/>
    <w:rsid w:val="00577A10"/>
    <w:rsid w:val="00577E8F"/>
    <w:rsid w:val="00583586"/>
    <w:rsid w:val="00583A48"/>
    <w:rsid w:val="00583AD5"/>
    <w:rsid w:val="005845CE"/>
    <w:rsid w:val="0058575E"/>
    <w:rsid w:val="00585CAB"/>
    <w:rsid w:val="00587133"/>
    <w:rsid w:val="00587A6B"/>
    <w:rsid w:val="005901D0"/>
    <w:rsid w:val="005915AA"/>
    <w:rsid w:val="00591AD9"/>
    <w:rsid w:val="0059217F"/>
    <w:rsid w:val="0059262D"/>
    <w:rsid w:val="00592C50"/>
    <w:rsid w:val="0059343A"/>
    <w:rsid w:val="0059484A"/>
    <w:rsid w:val="00594BEE"/>
    <w:rsid w:val="00595E90"/>
    <w:rsid w:val="00597886"/>
    <w:rsid w:val="00597979"/>
    <w:rsid w:val="005A03A1"/>
    <w:rsid w:val="005A1FB2"/>
    <w:rsid w:val="005A301E"/>
    <w:rsid w:val="005A356A"/>
    <w:rsid w:val="005A3B9D"/>
    <w:rsid w:val="005A3BA8"/>
    <w:rsid w:val="005A47FA"/>
    <w:rsid w:val="005A4D5F"/>
    <w:rsid w:val="005A5518"/>
    <w:rsid w:val="005A5CCC"/>
    <w:rsid w:val="005A5E61"/>
    <w:rsid w:val="005A7712"/>
    <w:rsid w:val="005B0506"/>
    <w:rsid w:val="005B077E"/>
    <w:rsid w:val="005B07D9"/>
    <w:rsid w:val="005B0FDA"/>
    <w:rsid w:val="005B3445"/>
    <w:rsid w:val="005B3C4F"/>
    <w:rsid w:val="005B4336"/>
    <w:rsid w:val="005B45DB"/>
    <w:rsid w:val="005B49A1"/>
    <w:rsid w:val="005B5BC2"/>
    <w:rsid w:val="005B5BEE"/>
    <w:rsid w:val="005B658C"/>
    <w:rsid w:val="005B6F82"/>
    <w:rsid w:val="005C04E3"/>
    <w:rsid w:val="005C0745"/>
    <w:rsid w:val="005C171F"/>
    <w:rsid w:val="005C1B72"/>
    <w:rsid w:val="005C2A86"/>
    <w:rsid w:val="005C2C0E"/>
    <w:rsid w:val="005C2E0C"/>
    <w:rsid w:val="005C392B"/>
    <w:rsid w:val="005C3B02"/>
    <w:rsid w:val="005C3FFD"/>
    <w:rsid w:val="005C4441"/>
    <w:rsid w:val="005C48E3"/>
    <w:rsid w:val="005C4F93"/>
    <w:rsid w:val="005C7322"/>
    <w:rsid w:val="005C7AD8"/>
    <w:rsid w:val="005D0840"/>
    <w:rsid w:val="005D2206"/>
    <w:rsid w:val="005D2785"/>
    <w:rsid w:val="005D2E61"/>
    <w:rsid w:val="005D6519"/>
    <w:rsid w:val="005D6568"/>
    <w:rsid w:val="005D7526"/>
    <w:rsid w:val="005D7582"/>
    <w:rsid w:val="005D7FF3"/>
    <w:rsid w:val="005E00D2"/>
    <w:rsid w:val="005E0286"/>
    <w:rsid w:val="005E2237"/>
    <w:rsid w:val="005E278C"/>
    <w:rsid w:val="005E44A7"/>
    <w:rsid w:val="005E46F4"/>
    <w:rsid w:val="005E4F43"/>
    <w:rsid w:val="005E5AF8"/>
    <w:rsid w:val="005E5BFE"/>
    <w:rsid w:val="005E5DC6"/>
    <w:rsid w:val="005E645B"/>
    <w:rsid w:val="005E66AA"/>
    <w:rsid w:val="005E69A4"/>
    <w:rsid w:val="005F0D4F"/>
    <w:rsid w:val="005F1E08"/>
    <w:rsid w:val="005F2248"/>
    <w:rsid w:val="005F2C41"/>
    <w:rsid w:val="005F342A"/>
    <w:rsid w:val="005F4BC0"/>
    <w:rsid w:val="005F538D"/>
    <w:rsid w:val="005F5573"/>
    <w:rsid w:val="005F5670"/>
    <w:rsid w:val="005F583A"/>
    <w:rsid w:val="005F64A2"/>
    <w:rsid w:val="005F6B1A"/>
    <w:rsid w:val="005F74F1"/>
    <w:rsid w:val="005F7501"/>
    <w:rsid w:val="006003FC"/>
    <w:rsid w:val="00600CE9"/>
    <w:rsid w:val="00601524"/>
    <w:rsid w:val="00603163"/>
    <w:rsid w:val="006043B1"/>
    <w:rsid w:val="00604E2A"/>
    <w:rsid w:val="0060507E"/>
    <w:rsid w:val="006062AF"/>
    <w:rsid w:val="006064E9"/>
    <w:rsid w:val="00610604"/>
    <w:rsid w:val="006110B1"/>
    <w:rsid w:val="00612305"/>
    <w:rsid w:val="00612C17"/>
    <w:rsid w:val="00612F03"/>
    <w:rsid w:val="006131B0"/>
    <w:rsid w:val="006132D5"/>
    <w:rsid w:val="006133A2"/>
    <w:rsid w:val="00613808"/>
    <w:rsid w:val="00613DE2"/>
    <w:rsid w:val="0061432F"/>
    <w:rsid w:val="0061457F"/>
    <w:rsid w:val="006149A4"/>
    <w:rsid w:val="00614FA4"/>
    <w:rsid w:val="00615625"/>
    <w:rsid w:val="006165FC"/>
    <w:rsid w:val="006168D3"/>
    <w:rsid w:val="00617216"/>
    <w:rsid w:val="00617EC2"/>
    <w:rsid w:val="0062058E"/>
    <w:rsid w:val="00620836"/>
    <w:rsid w:val="00621286"/>
    <w:rsid w:val="00621298"/>
    <w:rsid w:val="00621375"/>
    <w:rsid w:val="006223D3"/>
    <w:rsid w:val="006236AC"/>
    <w:rsid w:val="00623AE6"/>
    <w:rsid w:val="00624B91"/>
    <w:rsid w:val="00624EDF"/>
    <w:rsid w:val="006250C6"/>
    <w:rsid w:val="00625E03"/>
    <w:rsid w:val="00625E0C"/>
    <w:rsid w:val="00626026"/>
    <w:rsid w:val="00626968"/>
    <w:rsid w:val="00626F4E"/>
    <w:rsid w:val="00627622"/>
    <w:rsid w:val="006278C9"/>
    <w:rsid w:val="0063068D"/>
    <w:rsid w:val="0063079A"/>
    <w:rsid w:val="00631B48"/>
    <w:rsid w:val="00632EED"/>
    <w:rsid w:val="0063320D"/>
    <w:rsid w:val="0063332E"/>
    <w:rsid w:val="006337A3"/>
    <w:rsid w:val="0063436A"/>
    <w:rsid w:val="00634B0B"/>
    <w:rsid w:val="00634D38"/>
    <w:rsid w:val="00635688"/>
    <w:rsid w:val="006359E6"/>
    <w:rsid w:val="00636CF0"/>
    <w:rsid w:val="006402C7"/>
    <w:rsid w:val="0064046C"/>
    <w:rsid w:val="00641793"/>
    <w:rsid w:val="00641935"/>
    <w:rsid w:val="0064258C"/>
    <w:rsid w:val="00643797"/>
    <w:rsid w:val="00643A6A"/>
    <w:rsid w:val="00643EFD"/>
    <w:rsid w:val="006448FC"/>
    <w:rsid w:val="00644EB1"/>
    <w:rsid w:val="00645C1F"/>
    <w:rsid w:val="00645EAF"/>
    <w:rsid w:val="00646491"/>
    <w:rsid w:val="0064650C"/>
    <w:rsid w:val="00646BCE"/>
    <w:rsid w:val="006519DA"/>
    <w:rsid w:val="00652D02"/>
    <w:rsid w:val="006533A2"/>
    <w:rsid w:val="0065396E"/>
    <w:rsid w:val="006547CC"/>
    <w:rsid w:val="006548F9"/>
    <w:rsid w:val="00654DE1"/>
    <w:rsid w:val="00655962"/>
    <w:rsid w:val="00656818"/>
    <w:rsid w:val="00656BE4"/>
    <w:rsid w:val="006608F1"/>
    <w:rsid w:val="00660CDD"/>
    <w:rsid w:val="00660EAE"/>
    <w:rsid w:val="006613E5"/>
    <w:rsid w:val="00662649"/>
    <w:rsid w:val="0066284F"/>
    <w:rsid w:val="00664362"/>
    <w:rsid w:val="006648E9"/>
    <w:rsid w:val="00664C01"/>
    <w:rsid w:val="00664DBB"/>
    <w:rsid w:val="006663AD"/>
    <w:rsid w:val="0066680B"/>
    <w:rsid w:val="00666CA3"/>
    <w:rsid w:val="00666CB0"/>
    <w:rsid w:val="00670444"/>
    <w:rsid w:val="00671176"/>
    <w:rsid w:val="006712FF"/>
    <w:rsid w:val="006734DD"/>
    <w:rsid w:val="00673825"/>
    <w:rsid w:val="00673D72"/>
    <w:rsid w:val="00675317"/>
    <w:rsid w:val="00675D38"/>
    <w:rsid w:val="00676F7B"/>
    <w:rsid w:val="006804F2"/>
    <w:rsid w:val="0068142E"/>
    <w:rsid w:val="006816E6"/>
    <w:rsid w:val="006826DA"/>
    <w:rsid w:val="0068324E"/>
    <w:rsid w:val="006833B3"/>
    <w:rsid w:val="006843FA"/>
    <w:rsid w:val="00684D27"/>
    <w:rsid w:val="006852F3"/>
    <w:rsid w:val="0068540C"/>
    <w:rsid w:val="0068618D"/>
    <w:rsid w:val="00686770"/>
    <w:rsid w:val="006872F4"/>
    <w:rsid w:val="0068761E"/>
    <w:rsid w:val="00690B31"/>
    <w:rsid w:val="00691360"/>
    <w:rsid w:val="0069156F"/>
    <w:rsid w:val="00691B4F"/>
    <w:rsid w:val="00691F7A"/>
    <w:rsid w:val="00692BDE"/>
    <w:rsid w:val="0069302B"/>
    <w:rsid w:val="00693B4B"/>
    <w:rsid w:val="00693F1E"/>
    <w:rsid w:val="0069468B"/>
    <w:rsid w:val="00694994"/>
    <w:rsid w:val="00694E09"/>
    <w:rsid w:val="00695085"/>
    <w:rsid w:val="006959C7"/>
    <w:rsid w:val="00696228"/>
    <w:rsid w:val="00696709"/>
    <w:rsid w:val="00697EC1"/>
    <w:rsid w:val="006A064D"/>
    <w:rsid w:val="006A0CAD"/>
    <w:rsid w:val="006A13D5"/>
    <w:rsid w:val="006A16AA"/>
    <w:rsid w:val="006A1D8F"/>
    <w:rsid w:val="006A1F0B"/>
    <w:rsid w:val="006A29A1"/>
    <w:rsid w:val="006A2CC8"/>
    <w:rsid w:val="006A2DDE"/>
    <w:rsid w:val="006A46C8"/>
    <w:rsid w:val="006A4D39"/>
    <w:rsid w:val="006A52A0"/>
    <w:rsid w:val="006A5764"/>
    <w:rsid w:val="006A5ADA"/>
    <w:rsid w:val="006A5B3B"/>
    <w:rsid w:val="006A78EA"/>
    <w:rsid w:val="006A7AD2"/>
    <w:rsid w:val="006B12D3"/>
    <w:rsid w:val="006B21F1"/>
    <w:rsid w:val="006B25A0"/>
    <w:rsid w:val="006B29D3"/>
    <w:rsid w:val="006B2B0F"/>
    <w:rsid w:val="006B556E"/>
    <w:rsid w:val="006B5DB8"/>
    <w:rsid w:val="006B71E4"/>
    <w:rsid w:val="006B7347"/>
    <w:rsid w:val="006B7626"/>
    <w:rsid w:val="006B7ADB"/>
    <w:rsid w:val="006B7D01"/>
    <w:rsid w:val="006C0C16"/>
    <w:rsid w:val="006C13EE"/>
    <w:rsid w:val="006C1B95"/>
    <w:rsid w:val="006C1F27"/>
    <w:rsid w:val="006C229C"/>
    <w:rsid w:val="006C2596"/>
    <w:rsid w:val="006C2A10"/>
    <w:rsid w:val="006C3E0E"/>
    <w:rsid w:val="006C4121"/>
    <w:rsid w:val="006C515D"/>
    <w:rsid w:val="006C6460"/>
    <w:rsid w:val="006C77C3"/>
    <w:rsid w:val="006C7A49"/>
    <w:rsid w:val="006D0D91"/>
    <w:rsid w:val="006D0EE3"/>
    <w:rsid w:val="006D1902"/>
    <w:rsid w:val="006D2170"/>
    <w:rsid w:val="006D221F"/>
    <w:rsid w:val="006D4402"/>
    <w:rsid w:val="006D46D3"/>
    <w:rsid w:val="006D5211"/>
    <w:rsid w:val="006D5EA8"/>
    <w:rsid w:val="006D6281"/>
    <w:rsid w:val="006D63EC"/>
    <w:rsid w:val="006D66D5"/>
    <w:rsid w:val="006D6F37"/>
    <w:rsid w:val="006D77FD"/>
    <w:rsid w:val="006E108B"/>
    <w:rsid w:val="006E1127"/>
    <w:rsid w:val="006E1B01"/>
    <w:rsid w:val="006E1F72"/>
    <w:rsid w:val="006E2366"/>
    <w:rsid w:val="006E2490"/>
    <w:rsid w:val="006E251F"/>
    <w:rsid w:val="006E3259"/>
    <w:rsid w:val="006E32E8"/>
    <w:rsid w:val="006E42DC"/>
    <w:rsid w:val="006E4BE0"/>
    <w:rsid w:val="006E50B8"/>
    <w:rsid w:val="006E50C3"/>
    <w:rsid w:val="006E54E3"/>
    <w:rsid w:val="006E59CF"/>
    <w:rsid w:val="006E62C2"/>
    <w:rsid w:val="006E64BD"/>
    <w:rsid w:val="006E681C"/>
    <w:rsid w:val="006E6B8F"/>
    <w:rsid w:val="006E6C04"/>
    <w:rsid w:val="006E6F08"/>
    <w:rsid w:val="006E7259"/>
    <w:rsid w:val="006F0599"/>
    <w:rsid w:val="006F1411"/>
    <w:rsid w:val="006F14BA"/>
    <w:rsid w:val="006F2090"/>
    <w:rsid w:val="006F2E7F"/>
    <w:rsid w:val="006F597A"/>
    <w:rsid w:val="006F5ABC"/>
    <w:rsid w:val="006F60C7"/>
    <w:rsid w:val="006F65C5"/>
    <w:rsid w:val="006F6A4D"/>
    <w:rsid w:val="007005C7"/>
    <w:rsid w:val="0070070D"/>
    <w:rsid w:val="0070077A"/>
    <w:rsid w:val="007008B6"/>
    <w:rsid w:val="00700F91"/>
    <w:rsid w:val="00701419"/>
    <w:rsid w:val="00701694"/>
    <w:rsid w:val="00701BD3"/>
    <w:rsid w:val="0070302A"/>
    <w:rsid w:val="00703C7F"/>
    <w:rsid w:val="00703E73"/>
    <w:rsid w:val="00703ED9"/>
    <w:rsid w:val="00704DBB"/>
    <w:rsid w:val="00704F5B"/>
    <w:rsid w:val="00705584"/>
    <w:rsid w:val="00705600"/>
    <w:rsid w:val="00705AA2"/>
    <w:rsid w:val="007073C8"/>
    <w:rsid w:val="00707504"/>
    <w:rsid w:val="00710418"/>
    <w:rsid w:val="0071112B"/>
    <w:rsid w:val="00711B44"/>
    <w:rsid w:val="00711D45"/>
    <w:rsid w:val="007120B2"/>
    <w:rsid w:val="00712397"/>
    <w:rsid w:val="007128D5"/>
    <w:rsid w:val="007129D2"/>
    <w:rsid w:val="007148CC"/>
    <w:rsid w:val="00714FCA"/>
    <w:rsid w:val="0071618B"/>
    <w:rsid w:val="0071624D"/>
    <w:rsid w:val="00716546"/>
    <w:rsid w:val="00717C1D"/>
    <w:rsid w:val="00717EAF"/>
    <w:rsid w:val="00720585"/>
    <w:rsid w:val="0072059D"/>
    <w:rsid w:val="0072060E"/>
    <w:rsid w:val="007213AB"/>
    <w:rsid w:val="00722236"/>
    <w:rsid w:val="00722872"/>
    <w:rsid w:val="00724952"/>
    <w:rsid w:val="00727215"/>
    <w:rsid w:val="007303CA"/>
    <w:rsid w:val="00730C9A"/>
    <w:rsid w:val="00731E8C"/>
    <w:rsid w:val="00732713"/>
    <w:rsid w:val="007334EC"/>
    <w:rsid w:val="0073458C"/>
    <w:rsid w:val="00734948"/>
    <w:rsid w:val="00735197"/>
    <w:rsid w:val="00735733"/>
    <w:rsid w:val="00735895"/>
    <w:rsid w:val="00735BA2"/>
    <w:rsid w:val="00735CC0"/>
    <w:rsid w:val="00736C61"/>
    <w:rsid w:val="007374DB"/>
    <w:rsid w:val="0074044E"/>
    <w:rsid w:val="00740BA2"/>
    <w:rsid w:val="00740CC1"/>
    <w:rsid w:val="0074128E"/>
    <w:rsid w:val="007413DA"/>
    <w:rsid w:val="0074151C"/>
    <w:rsid w:val="007418D3"/>
    <w:rsid w:val="007423F6"/>
    <w:rsid w:val="00742C4A"/>
    <w:rsid w:val="00743EFA"/>
    <w:rsid w:val="00744302"/>
    <w:rsid w:val="0074494B"/>
    <w:rsid w:val="00745514"/>
    <w:rsid w:val="007459FE"/>
    <w:rsid w:val="00746990"/>
    <w:rsid w:val="00746A36"/>
    <w:rsid w:val="00746BC3"/>
    <w:rsid w:val="00747176"/>
    <w:rsid w:val="0074793F"/>
    <w:rsid w:val="00747CB3"/>
    <w:rsid w:val="00747FA9"/>
    <w:rsid w:val="00751817"/>
    <w:rsid w:val="00751F2D"/>
    <w:rsid w:val="0075301F"/>
    <w:rsid w:val="0075321C"/>
    <w:rsid w:val="0075337B"/>
    <w:rsid w:val="00753A6B"/>
    <w:rsid w:val="00753B45"/>
    <w:rsid w:val="0075418E"/>
    <w:rsid w:val="0075439B"/>
    <w:rsid w:val="00754ED2"/>
    <w:rsid w:val="00755AFE"/>
    <w:rsid w:val="00755DB9"/>
    <w:rsid w:val="007578C5"/>
    <w:rsid w:val="0076133F"/>
    <w:rsid w:val="00761892"/>
    <w:rsid w:val="007624FC"/>
    <w:rsid w:val="007633F5"/>
    <w:rsid w:val="007650F6"/>
    <w:rsid w:val="007654EA"/>
    <w:rsid w:val="00766894"/>
    <w:rsid w:val="007668AD"/>
    <w:rsid w:val="0076791A"/>
    <w:rsid w:val="007727C3"/>
    <w:rsid w:val="007727ED"/>
    <w:rsid w:val="00772F0F"/>
    <w:rsid w:val="00772FB4"/>
    <w:rsid w:val="007742B6"/>
    <w:rsid w:val="00774448"/>
    <w:rsid w:val="007750D8"/>
    <w:rsid w:val="00775410"/>
    <w:rsid w:val="00776299"/>
    <w:rsid w:val="00776A62"/>
    <w:rsid w:val="0077761D"/>
    <w:rsid w:val="00777CEB"/>
    <w:rsid w:val="00777E1C"/>
    <w:rsid w:val="007806ED"/>
    <w:rsid w:val="00780A97"/>
    <w:rsid w:val="00780C2E"/>
    <w:rsid w:val="00781196"/>
    <w:rsid w:val="007811C8"/>
    <w:rsid w:val="0078144E"/>
    <w:rsid w:val="00781598"/>
    <w:rsid w:val="007817ED"/>
    <w:rsid w:val="00783BB2"/>
    <w:rsid w:val="00784638"/>
    <w:rsid w:val="007852DF"/>
    <w:rsid w:val="0078582C"/>
    <w:rsid w:val="007865A1"/>
    <w:rsid w:val="00786F6F"/>
    <w:rsid w:val="0078771D"/>
    <w:rsid w:val="00787AB0"/>
    <w:rsid w:val="00787F3C"/>
    <w:rsid w:val="007904DE"/>
    <w:rsid w:val="007906D2"/>
    <w:rsid w:val="00790806"/>
    <w:rsid w:val="007910C8"/>
    <w:rsid w:val="00791BCB"/>
    <w:rsid w:val="0079239F"/>
    <w:rsid w:val="00792F09"/>
    <w:rsid w:val="00793521"/>
    <w:rsid w:val="00793A4B"/>
    <w:rsid w:val="00795052"/>
    <w:rsid w:val="007951D2"/>
    <w:rsid w:val="007952B4"/>
    <w:rsid w:val="00795D87"/>
    <w:rsid w:val="007963FB"/>
    <w:rsid w:val="00796D84"/>
    <w:rsid w:val="00796FB9"/>
    <w:rsid w:val="00797936"/>
    <w:rsid w:val="007A057F"/>
    <w:rsid w:val="007A072E"/>
    <w:rsid w:val="007A0762"/>
    <w:rsid w:val="007A07E6"/>
    <w:rsid w:val="007A2212"/>
    <w:rsid w:val="007A27E3"/>
    <w:rsid w:val="007A43E1"/>
    <w:rsid w:val="007A481C"/>
    <w:rsid w:val="007A4A86"/>
    <w:rsid w:val="007A563D"/>
    <w:rsid w:val="007A7177"/>
    <w:rsid w:val="007B1B6B"/>
    <w:rsid w:val="007B1B9B"/>
    <w:rsid w:val="007B2C32"/>
    <w:rsid w:val="007B3E29"/>
    <w:rsid w:val="007B447B"/>
    <w:rsid w:val="007B4A0C"/>
    <w:rsid w:val="007B5200"/>
    <w:rsid w:val="007B591C"/>
    <w:rsid w:val="007B5E79"/>
    <w:rsid w:val="007B6F45"/>
    <w:rsid w:val="007B72D0"/>
    <w:rsid w:val="007B735B"/>
    <w:rsid w:val="007B7578"/>
    <w:rsid w:val="007B7C49"/>
    <w:rsid w:val="007C059C"/>
    <w:rsid w:val="007C0C45"/>
    <w:rsid w:val="007C1102"/>
    <w:rsid w:val="007C124A"/>
    <w:rsid w:val="007C1557"/>
    <w:rsid w:val="007C15B0"/>
    <w:rsid w:val="007C1AC5"/>
    <w:rsid w:val="007C1DE3"/>
    <w:rsid w:val="007C1E70"/>
    <w:rsid w:val="007C25FC"/>
    <w:rsid w:val="007C2759"/>
    <w:rsid w:val="007C2E98"/>
    <w:rsid w:val="007C338A"/>
    <w:rsid w:val="007C363D"/>
    <w:rsid w:val="007C3BD0"/>
    <w:rsid w:val="007C3DD4"/>
    <w:rsid w:val="007C4158"/>
    <w:rsid w:val="007C4DC6"/>
    <w:rsid w:val="007C54D5"/>
    <w:rsid w:val="007C66FF"/>
    <w:rsid w:val="007C6BC9"/>
    <w:rsid w:val="007D06AD"/>
    <w:rsid w:val="007D11F0"/>
    <w:rsid w:val="007D1AF5"/>
    <w:rsid w:val="007D23F4"/>
    <w:rsid w:val="007D2AEB"/>
    <w:rsid w:val="007D2BE5"/>
    <w:rsid w:val="007D3574"/>
    <w:rsid w:val="007D3918"/>
    <w:rsid w:val="007D4268"/>
    <w:rsid w:val="007D48BC"/>
    <w:rsid w:val="007D4ACA"/>
    <w:rsid w:val="007D5E59"/>
    <w:rsid w:val="007D7167"/>
    <w:rsid w:val="007D79A2"/>
    <w:rsid w:val="007E0501"/>
    <w:rsid w:val="007E1739"/>
    <w:rsid w:val="007E2686"/>
    <w:rsid w:val="007E26F3"/>
    <w:rsid w:val="007E388B"/>
    <w:rsid w:val="007E43E7"/>
    <w:rsid w:val="007E566C"/>
    <w:rsid w:val="007E5C52"/>
    <w:rsid w:val="007E602C"/>
    <w:rsid w:val="007E7B13"/>
    <w:rsid w:val="007F035F"/>
    <w:rsid w:val="007F0A77"/>
    <w:rsid w:val="007F0E69"/>
    <w:rsid w:val="007F18C0"/>
    <w:rsid w:val="007F2033"/>
    <w:rsid w:val="007F3DBF"/>
    <w:rsid w:val="007F4218"/>
    <w:rsid w:val="007F4BF7"/>
    <w:rsid w:val="007F50AD"/>
    <w:rsid w:val="007F5777"/>
    <w:rsid w:val="007F5882"/>
    <w:rsid w:val="007F6A43"/>
    <w:rsid w:val="007F6AF5"/>
    <w:rsid w:val="007F71F6"/>
    <w:rsid w:val="007F797D"/>
    <w:rsid w:val="007F7B2C"/>
    <w:rsid w:val="007F7C93"/>
    <w:rsid w:val="008005F3"/>
    <w:rsid w:val="008016EB"/>
    <w:rsid w:val="00801E04"/>
    <w:rsid w:val="00803E7F"/>
    <w:rsid w:val="00805316"/>
    <w:rsid w:val="00806B60"/>
    <w:rsid w:val="00806C34"/>
    <w:rsid w:val="00807DCC"/>
    <w:rsid w:val="00810555"/>
    <w:rsid w:val="00811246"/>
    <w:rsid w:val="0081153B"/>
    <w:rsid w:val="00811B0F"/>
    <w:rsid w:val="00812E25"/>
    <w:rsid w:val="00813055"/>
    <w:rsid w:val="008135A8"/>
    <w:rsid w:val="008135F0"/>
    <w:rsid w:val="00813D3C"/>
    <w:rsid w:val="00814420"/>
    <w:rsid w:val="00814A07"/>
    <w:rsid w:val="0081624B"/>
    <w:rsid w:val="008163A0"/>
    <w:rsid w:val="00817158"/>
    <w:rsid w:val="00820DAC"/>
    <w:rsid w:val="00821531"/>
    <w:rsid w:val="0082169B"/>
    <w:rsid w:val="008221C9"/>
    <w:rsid w:val="0082251B"/>
    <w:rsid w:val="00822BE8"/>
    <w:rsid w:val="0082354D"/>
    <w:rsid w:val="00823754"/>
    <w:rsid w:val="00823FF3"/>
    <w:rsid w:val="0082540D"/>
    <w:rsid w:val="008257DD"/>
    <w:rsid w:val="00825992"/>
    <w:rsid w:val="00827973"/>
    <w:rsid w:val="00832010"/>
    <w:rsid w:val="0083277C"/>
    <w:rsid w:val="008329DB"/>
    <w:rsid w:val="00832DE9"/>
    <w:rsid w:val="0083382E"/>
    <w:rsid w:val="00834416"/>
    <w:rsid w:val="00834658"/>
    <w:rsid w:val="00834B34"/>
    <w:rsid w:val="00835F51"/>
    <w:rsid w:val="008362B7"/>
    <w:rsid w:val="00836B20"/>
    <w:rsid w:val="00837052"/>
    <w:rsid w:val="00837CA1"/>
    <w:rsid w:val="0084116E"/>
    <w:rsid w:val="00842C0D"/>
    <w:rsid w:val="0084405D"/>
    <w:rsid w:val="008447C2"/>
    <w:rsid w:val="00844836"/>
    <w:rsid w:val="0084566C"/>
    <w:rsid w:val="00845BFA"/>
    <w:rsid w:val="00846B21"/>
    <w:rsid w:val="00851A52"/>
    <w:rsid w:val="008544C0"/>
    <w:rsid w:val="00854C3E"/>
    <w:rsid w:val="00854D71"/>
    <w:rsid w:val="008552EF"/>
    <w:rsid w:val="00855B2B"/>
    <w:rsid w:val="0085734F"/>
    <w:rsid w:val="00857679"/>
    <w:rsid w:val="0086010F"/>
    <w:rsid w:val="0086094C"/>
    <w:rsid w:val="00861EBC"/>
    <w:rsid w:val="0086268E"/>
    <w:rsid w:val="00862A29"/>
    <w:rsid w:val="00862B21"/>
    <w:rsid w:val="00863422"/>
    <w:rsid w:val="00863FC1"/>
    <w:rsid w:val="00864004"/>
    <w:rsid w:val="0086641D"/>
    <w:rsid w:val="008665F7"/>
    <w:rsid w:val="00867970"/>
    <w:rsid w:val="00870EFE"/>
    <w:rsid w:val="008711EA"/>
    <w:rsid w:val="00871863"/>
    <w:rsid w:val="00871E4F"/>
    <w:rsid w:val="00872697"/>
    <w:rsid w:val="0087287C"/>
    <w:rsid w:val="00873009"/>
    <w:rsid w:val="008734A9"/>
    <w:rsid w:val="008745E6"/>
    <w:rsid w:val="0087614A"/>
    <w:rsid w:val="008765F5"/>
    <w:rsid w:val="00880951"/>
    <w:rsid w:val="008812CB"/>
    <w:rsid w:val="008814ED"/>
    <w:rsid w:val="0088191A"/>
    <w:rsid w:val="00881EAD"/>
    <w:rsid w:val="00882344"/>
    <w:rsid w:val="00882768"/>
    <w:rsid w:val="008830C7"/>
    <w:rsid w:val="008838DE"/>
    <w:rsid w:val="00884167"/>
    <w:rsid w:val="008841F9"/>
    <w:rsid w:val="0088514B"/>
    <w:rsid w:val="00885B8C"/>
    <w:rsid w:val="00886988"/>
    <w:rsid w:val="00886F3A"/>
    <w:rsid w:val="00887312"/>
    <w:rsid w:val="00887A87"/>
    <w:rsid w:val="008904CD"/>
    <w:rsid w:val="00892CB5"/>
    <w:rsid w:val="008930D3"/>
    <w:rsid w:val="00894180"/>
    <w:rsid w:val="008950F7"/>
    <w:rsid w:val="0089512A"/>
    <w:rsid w:val="008956B5"/>
    <w:rsid w:val="00896AB1"/>
    <w:rsid w:val="00897709"/>
    <w:rsid w:val="008978EE"/>
    <w:rsid w:val="00897FBC"/>
    <w:rsid w:val="00897FCB"/>
    <w:rsid w:val="008A00C5"/>
    <w:rsid w:val="008A1088"/>
    <w:rsid w:val="008A11B7"/>
    <w:rsid w:val="008A1C7B"/>
    <w:rsid w:val="008A1E7C"/>
    <w:rsid w:val="008A2350"/>
    <w:rsid w:val="008A27B2"/>
    <w:rsid w:val="008A38EE"/>
    <w:rsid w:val="008A3B64"/>
    <w:rsid w:val="008A3C0C"/>
    <w:rsid w:val="008A48C7"/>
    <w:rsid w:val="008A6023"/>
    <w:rsid w:val="008A676C"/>
    <w:rsid w:val="008A676F"/>
    <w:rsid w:val="008A6866"/>
    <w:rsid w:val="008A6E30"/>
    <w:rsid w:val="008A70B3"/>
    <w:rsid w:val="008B0239"/>
    <w:rsid w:val="008B1D42"/>
    <w:rsid w:val="008B3518"/>
    <w:rsid w:val="008B693C"/>
    <w:rsid w:val="008B7795"/>
    <w:rsid w:val="008C0C01"/>
    <w:rsid w:val="008C1225"/>
    <w:rsid w:val="008C1BB6"/>
    <w:rsid w:val="008C2698"/>
    <w:rsid w:val="008C2765"/>
    <w:rsid w:val="008C3DD0"/>
    <w:rsid w:val="008C3F36"/>
    <w:rsid w:val="008C44F5"/>
    <w:rsid w:val="008C4F91"/>
    <w:rsid w:val="008C6777"/>
    <w:rsid w:val="008C6861"/>
    <w:rsid w:val="008C6BDB"/>
    <w:rsid w:val="008D142B"/>
    <w:rsid w:val="008D1C7D"/>
    <w:rsid w:val="008D290F"/>
    <w:rsid w:val="008D2C83"/>
    <w:rsid w:val="008D5BCC"/>
    <w:rsid w:val="008D617D"/>
    <w:rsid w:val="008D67B4"/>
    <w:rsid w:val="008D6F05"/>
    <w:rsid w:val="008D7CD0"/>
    <w:rsid w:val="008E043B"/>
    <w:rsid w:val="008E1FD8"/>
    <w:rsid w:val="008E1FFA"/>
    <w:rsid w:val="008E29F0"/>
    <w:rsid w:val="008E2E6F"/>
    <w:rsid w:val="008E487A"/>
    <w:rsid w:val="008E4ABD"/>
    <w:rsid w:val="008E543D"/>
    <w:rsid w:val="008E5D0A"/>
    <w:rsid w:val="008E5D10"/>
    <w:rsid w:val="008E5FAF"/>
    <w:rsid w:val="008E6570"/>
    <w:rsid w:val="008E7AAC"/>
    <w:rsid w:val="008E7C24"/>
    <w:rsid w:val="008F1380"/>
    <w:rsid w:val="008F18B4"/>
    <w:rsid w:val="008F21C3"/>
    <w:rsid w:val="008F3189"/>
    <w:rsid w:val="008F4206"/>
    <w:rsid w:val="008F4630"/>
    <w:rsid w:val="008F46CD"/>
    <w:rsid w:val="008F4A26"/>
    <w:rsid w:val="008F5370"/>
    <w:rsid w:val="008F5E13"/>
    <w:rsid w:val="008F5EA4"/>
    <w:rsid w:val="008F6CD0"/>
    <w:rsid w:val="009014B7"/>
    <w:rsid w:val="009020F1"/>
    <w:rsid w:val="0090224B"/>
    <w:rsid w:val="00902903"/>
    <w:rsid w:val="00903139"/>
    <w:rsid w:val="00903D18"/>
    <w:rsid w:val="00903E14"/>
    <w:rsid w:val="00904442"/>
    <w:rsid w:val="00905132"/>
    <w:rsid w:val="009051F5"/>
    <w:rsid w:val="00905EE7"/>
    <w:rsid w:val="0091095F"/>
    <w:rsid w:val="00911718"/>
    <w:rsid w:val="00911D70"/>
    <w:rsid w:val="009126D4"/>
    <w:rsid w:val="0091274E"/>
    <w:rsid w:val="00912D97"/>
    <w:rsid w:val="00914ACB"/>
    <w:rsid w:val="00915711"/>
    <w:rsid w:val="00915EA8"/>
    <w:rsid w:val="009163FD"/>
    <w:rsid w:val="00916CCC"/>
    <w:rsid w:val="00917280"/>
    <w:rsid w:val="0092007E"/>
    <w:rsid w:val="0092032F"/>
    <w:rsid w:val="009208FF"/>
    <w:rsid w:val="00920E4B"/>
    <w:rsid w:val="00920FBF"/>
    <w:rsid w:val="00921B2E"/>
    <w:rsid w:val="00921C48"/>
    <w:rsid w:val="00922E36"/>
    <w:rsid w:val="009231B5"/>
    <w:rsid w:val="00923B0A"/>
    <w:rsid w:val="009243E7"/>
    <w:rsid w:val="00925301"/>
    <w:rsid w:val="009257B0"/>
    <w:rsid w:val="00925A27"/>
    <w:rsid w:val="00925E23"/>
    <w:rsid w:val="00925EA5"/>
    <w:rsid w:val="009261D5"/>
    <w:rsid w:val="009276B8"/>
    <w:rsid w:val="00927CE2"/>
    <w:rsid w:val="00927CEF"/>
    <w:rsid w:val="00930D58"/>
    <w:rsid w:val="009313D1"/>
    <w:rsid w:val="00932B69"/>
    <w:rsid w:val="00932C1E"/>
    <w:rsid w:val="00932FD8"/>
    <w:rsid w:val="00933D6F"/>
    <w:rsid w:val="0093565F"/>
    <w:rsid w:val="0093591C"/>
    <w:rsid w:val="00936D61"/>
    <w:rsid w:val="00937110"/>
    <w:rsid w:val="0094195A"/>
    <w:rsid w:val="009431F5"/>
    <w:rsid w:val="0094486D"/>
    <w:rsid w:val="00945397"/>
    <w:rsid w:val="00945C9B"/>
    <w:rsid w:val="00947412"/>
    <w:rsid w:val="0095133A"/>
    <w:rsid w:val="0095283C"/>
    <w:rsid w:val="00953700"/>
    <w:rsid w:val="009540F2"/>
    <w:rsid w:val="0095549C"/>
    <w:rsid w:val="00956057"/>
    <w:rsid w:val="00956701"/>
    <w:rsid w:val="009569F9"/>
    <w:rsid w:val="00956FC6"/>
    <w:rsid w:val="009605C1"/>
    <w:rsid w:val="00960E9E"/>
    <w:rsid w:val="00961A56"/>
    <w:rsid w:val="009623BC"/>
    <w:rsid w:val="009633AF"/>
    <w:rsid w:val="00963BBE"/>
    <w:rsid w:val="0096558B"/>
    <w:rsid w:val="00965A4A"/>
    <w:rsid w:val="00965F52"/>
    <w:rsid w:val="009660E4"/>
    <w:rsid w:val="009668EF"/>
    <w:rsid w:val="00967070"/>
    <w:rsid w:val="00967800"/>
    <w:rsid w:val="00967B0B"/>
    <w:rsid w:val="00967BAA"/>
    <w:rsid w:val="00967BB8"/>
    <w:rsid w:val="00970760"/>
    <w:rsid w:val="00971119"/>
    <w:rsid w:val="00971364"/>
    <w:rsid w:val="009716AF"/>
    <w:rsid w:val="00971A5C"/>
    <w:rsid w:val="00972036"/>
    <w:rsid w:val="009724A3"/>
    <w:rsid w:val="00973271"/>
    <w:rsid w:val="00973B87"/>
    <w:rsid w:val="00973FDD"/>
    <w:rsid w:val="00974204"/>
    <w:rsid w:val="00974B15"/>
    <w:rsid w:val="009766A2"/>
    <w:rsid w:val="009776E8"/>
    <w:rsid w:val="00977799"/>
    <w:rsid w:val="00977ACA"/>
    <w:rsid w:val="00980415"/>
    <w:rsid w:val="009818F3"/>
    <w:rsid w:val="00981E72"/>
    <w:rsid w:val="00981FE4"/>
    <w:rsid w:val="0098305A"/>
    <w:rsid w:val="0098369F"/>
    <w:rsid w:val="00984754"/>
    <w:rsid w:val="00984E10"/>
    <w:rsid w:val="0098569A"/>
    <w:rsid w:val="00985A7C"/>
    <w:rsid w:val="009860EF"/>
    <w:rsid w:val="00986A45"/>
    <w:rsid w:val="00987C60"/>
    <w:rsid w:val="00990FE2"/>
    <w:rsid w:val="009910A0"/>
    <w:rsid w:val="00991C78"/>
    <w:rsid w:val="00992AC6"/>
    <w:rsid w:val="00993016"/>
    <w:rsid w:val="009931DB"/>
    <w:rsid w:val="00993470"/>
    <w:rsid w:val="00993947"/>
    <w:rsid w:val="009939EA"/>
    <w:rsid w:val="00993C46"/>
    <w:rsid w:val="00993D3E"/>
    <w:rsid w:val="00993D71"/>
    <w:rsid w:val="009942D2"/>
    <w:rsid w:val="0099441D"/>
    <w:rsid w:val="00995920"/>
    <w:rsid w:val="00995B45"/>
    <w:rsid w:val="00995D84"/>
    <w:rsid w:val="009964A1"/>
    <w:rsid w:val="00996C70"/>
    <w:rsid w:val="009A032E"/>
    <w:rsid w:val="009A0801"/>
    <w:rsid w:val="009A0BE7"/>
    <w:rsid w:val="009A0D17"/>
    <w:rsid w:val="009A0DFB"/>
    <w:rsid w:val="009A103F"/>
    <w:rsid w:val="009A196E"/>
    <w:rsid w:val="009A1B89"/>
    <w:rsid w:val="009A21ED"/>
    <w:rsid w:val="009A2FFC"/>
    <w:rsid w:val="009A5CFB"/>
    <w:rsid w:val="009A6734"/>
    <w:rsid w:val="009A7C8F"/>
    <w:rsid w:val="009B14AB"/>
    <w:rsid w:val="009B181D"/>
    <w:rsid w:val="009B1A42"/>
    <w:rsid w:val="009B3413"/>
    <w:rsid w:val="009B3A6C"/>
    <w:rsid w:val="009B4B84"/>
    <w:rsid w:val="009B4EEA"/>
    <w:rsid w:val="009B5004"/>
    <w:rsid w:val="009B6BCA"/>
    <w:rsid w:val="009B744B"/>
    <w:rsid w:val="009B78F9"/>
    <w:rsid w:val="009B7DDE"/>
    <w:rsid w:val="009C1191"/>
    <w:rsid w:val="009C191D"/>
    <w:rsid w:val="009C20DF"/>
    <w:rsid w:val="009C24DE"/>
    <w:rsid w:val="009C2713"/>
    <w:rsid w:val="009C286F"/>
    <w:rsid w:val="009C2BAF"/>
    <w:rsid w:val="009C3357"/>
    <w:rsid w:val="009C3661"/>
    <w:rsid w:val="009C448D"/>
    <w:rsid w:val="009C4945"/>
    <w:rsid w:val="009C5E8F"/>
    <w:rsid w:val="009C6739"/>
    <w:rsid w:val="009C6B81"/>
    <w:rsid w:val="009D0742"/>
    <w:rsid w:val="009D09B0"/>
    <w:rsid w:val="009D0AED"/>
    <w:rsid w:val="009D0F65"/>
    <w:rsid w:val="009D1309"/>
    <w:rsid w:val="009D1342"/>
    <w:rsid w:val="009D16D0"/>
    <w:rsid w:val="009D1FBC"/>
    <w:rsid w:val="009D2279"/>
    <w:rsid w:val="009D250F"/>
    <w:rsid w:val="009D263B"/>
    <w:rsid w:val="009D28B7"/>
    <w:rsid w:val="009D2A3D"/>
    <w:rsid w:val="009D378D"/>
    <w:rsid w:val="009D4670"/>
    <w:rsid w:val="009D4AB4"/>
    <w:rsid w:val="009D5094"/>
    <w:rsid w:val="009D5AFA"/>
    <w:rsid w:val="009D5FEA"/>
    <w:rsid w:val="009D67E3"/>
    <w:rsid w:val="009D7088"/>
    <w:rsid w:val="009D73EA"/>
    <w:rsid w:val="009D7637"/>
    <w:rsid w:val="009E00D7"/>
    <w:rsid w:val="009E13C9"/>
    <w:rsid w:val="009E1575"/>
    <w:rsid w:val="009E1C0F"/>
    <w:rsid w:val="009E20C4"/>
    <w:rsid w:val="009E211E"/>
    <w:rsid w:val="009E21FA"/>
    <w:rsid w:val="009E2654"/>
    <w:rsid w:val="009E399F"/>
    <w:rsid w:val="009E5B3E"/>
    <w:rsid w:val="009E6053"/>
    <w:rsid w:val="009E6810"/>
    <w:rsid w:val="009F1680"/>
    <w:rsid w:val="009F2D08"/>
    <w:rsid w:val="009F2E84"/>
    <w:rsid w:val="009F2F77"/>
    <w:rsid w:val="009F3688"/>
    <w:rsid w:val="009F5D1C"/>
    <w:rsid w:val="009F62D6"/>
    <w:rsid w:val="009F6EDE"/>
    <w:rsid w:val="009F708A"/>
    <w:rsid w:val="009F70EB"/>
    <w:rsid w:val="009F7B47"/>
    <w:rsid w:val="009F7E2C"/>
    <w:rsid w:val="00A00820"/>
    <w:rsid w:val="00A02675"/>
    <w:rsid w:val="00A03931"/>
    <w:rsid w:val="00A0456A"/>
    <w:rsid w:val="00A0543B"/>
    <w:rsid w:val="00A05657"/>
    <w:rsid w:val="00A0570D"/>
    <w:rsid w:val="00A0612F"/>
    <w:rsid w:val="00A07452"/>
    <w:rsid w:val="00A07783"/>
    <w:rsid w:val="00A07A18"/>
    <w:rsid w:val="00A07D89"/>
    <w:rsid w:val="00A07E06"/>
    <w:rsid w:val="00A10197"/>
    <w:rsid w:val="00A105AD"/>
    <w:rsid w:val="00A107B0"/>
    <w:rsid w:val="00A12CDF"/>
    <w:rsid w:val="00A12D28"/>
    <w:rsid w:val="00A131DF"/>
    <w:rsid w:val="00A13C21"/>
    <w:rsid w:val="00A13CB3"/>
    <w:rsid w:val="00A13D3A"/>
    <w:rsid w:val="00A14593"/>
    <w:rsid w:val="00A14730"/>
    <w:rsid w:val="00A14E29"/>
    <w:rsid w:val="00A160F0"/>
    <w:rsid w:val="00A167F8"/>
    <w:rsid w:val="00A17660"/>
    <w:rsid w:val="00A17D88"/>
    <w:rsid w:val="00A20122"/>
    <w:rsid w:val="00A20298"/>
    <w:rsid w:val="00A20743"/>
    <w:rsid w:val="00A21EDB"/>
    <w:rsid w:val="00A244BB"/>
    <w:rsid w:val="00A2607F"/>
    <w:rsid w:val="00A26F76"/>
    <w:rsid w:val="00A27605"/>
    <w:rsid w:val="00A27C1E"/>
    <w:rsid w:val="00A30354"/>
    <w:rsid w:val="00A30376"/>
    <w:rsid w:val="00A307F7"/>
    <w:rsid w:val="00A30E55"/>
    <w:rsid w:val="00A30F19"/>
    <w:rsid w:val="00A31AE2"/>
    <w:rsid w:val="00A322C2"/>
    <w:rsid w:val="00A32696"/>
    <w:rsid w:val="00A32E95"/>
    <w:rsid w:val="00A33702"/>
    <w:rsid w:val="00A34385"/>
    <w:rsid w:val="00A36032"/>
    <w:rsid w:val="00A362E4"/>
    <w:rsid w:val="00A363F1"/>
    <w:rsid w:val="00A3649B"/>
    <w:rsid w:val="00A36DD7"/>
    <w:rsid w:val="00A37D18"/>
    <w:rsid w:val="00A40106"/>
    <w:rsid w:val="00A403BC"/>
    <w:rsid w:val="00A40514"/>
    <w:rsid w:val="00A41B05"/>
    <w:rsid w:val="00A42881"/>
    <w:rsid w:val="00A42C2E"/>
    <w:rsid w:val="00A44F55"/>
    <w:rsid w:val="00A45B83"/>
    <w:rsid w:val="00A4646D"/>
    <w:rsid w:val="00A47979"/>
    <w:rsid w:val="00A47D50"/>
    <w:rsid w:val="00A505F7"/>
    <w:rsid w:val="00A51230"/>
    <w:rsid w:val="00A5297E"/>
    <w:rsid w:val="00A534B5"/>
    <w:rsid w:val="00A5437F"/>
    <w:rsid w:val="00A5494B"/>
    <w:rsid w:val="00A55DAB"/>
    <w:rsid w:val="00A56C12"/>
    <w:rsid w:val="00A60006"/>
    <w:rsid w:val="00A601B8"/>
    <w:rsid w:val="00A60A8D"/>
    <w:rsid w:val="00A61BAB"/>
    <w:rsid w:val="00A629D6"/>
    <w:rsid w:val="00A6361D"/>
    <w:rsid w:val="00A63D71"/>
    <w:rsid w:val="00A64477"/>
    <w:rsid w:val="00A64720"/>
    <w:rsid w:val="00A65A96"/>
    <w:rsid w:val="00A6653B"/>
    <w:rsid w:val="00A6691B"/>
    <w:rsid w:val="00A67711"/>
    <w:rsid w:val="00A678EE"/>
    <w:rsid w:val="00A67A69"/>
    <w:rsid w:val="00A67EB0"/>
    <w:rsid w:val="00A7247B"/>
    <w:rsid w:val="00A7277A"/>
    <w:rsid w:val="00A73CC7"/>
    <w:rsid w:val="00A74A8F"/>
    <w:rsid w:val="00A74AD1"/>
    <w:rsid w:val="00A74BBA"/>
    <w:rsid w:val="00A7523D"/>
    <w:rsid w:val="00A753AA"/>
    <w:rsid w:val="00A75887"/>
    <w:rsid w:val="00A758AD"/>
    <w:rsid w:val="00A758CF"/>
    <w:rsid w:val="00A75C7E"/>
    <w:rsid w:val="00A75CF3"/>
    <w:rsid w:val="00A76DB6"/>
    <w:rsid w:val="00A771FA"/>
    <w:rsid w:val="00A77BCD"/>
    <w:rsid w:val="00A80301"/>
    <w:rsid w:val="00A80D88"/>
    <w:rsid w:val="00A81B56"/>
    <w:rsid w:val="00A81BEE"/>
    <w:rsid w:val="00A82AC5"/>
    <w:rsid w:val="00A83018"/>
    <w:rsid w:val="00A86450"/>
    <w:rsid w:val="00A87593"/>
    <w:rsid w:val="00A90558"/>
    <w:rsid w:val="00A914A8"/>
    <w:rsid w:val="00A916CB"/>
    <w:rsid w:val="00A91F04"/>
    <w:rsid w:val="00A91F75"/>
    <w:rsid w:val="00A92590"/>
    <w:rsid w:val="00A92DDB"/>
    <w:rsid w:val="00A92E85"/>
    <w:rsid w:val="00A93D7B"/>
    <w:rsid w:val="00A94C84"/>
    <w:rsid w:val="00A9641D"/>
    <w:rsid w:val="00A9655F"/>
    <w:rsid w:val="00A96AC1"/>
    <w:rsid w:val="00A96C17"/>
    <w:rsid w:val="00A96FB6"/>
    <w:rsid w:val="00AA03F6"/>
    <w:rsid w:val="00AA0AE0"/>
    <w:rsid w:val="00AA1592"/>
    <w:rsid w:val="00AA1F6C"/>
    <w:rsid w:val="00AA2D6D"/>
    <w:rsid w:val="00AA3591"/>
    <w:rsid w:val="00AA474C"/>
    <w:rsid w:val="00AA4756"/>
    <w:rsid w:val="00AA5214"/>
    <w:rsid w:val="00AA5A3F"/>
    <w:rsid w:val="00AA5BEA"/>
    <w:rsid w:val="00AA7179"/>
    <w:rsid w:val="00AA7407"/>
    <w:rsid w:val="00AA7640"/>
    <w:rsid w:val="00AA77C8"/>
    <w:rsid w:val="00AA79DF"/>
    <w:rsid w:val="00AA7A19"/>
    <w:rsid w:val="00AB04CE"/>
    <w:rsid w:val="00AB08C8"/>
    <w:rsid w:val="00AB0948"/>
    <w:rsid w:val="00AB118A"/>
    <w:rsid w:val="00AB2D18"/>
    <w:rsid w:val="00AB2D61"/>
    <w:rsid w:val="00AB32DA"/>
    <w:rsid w:val="00AB3AD4"/>
    <w:rsid w:val="00AB493A"/>
    <w:rsid w:val="00AB4CAE"/>
    <w:rsid w:val="00AB5362"/>
    <w:rsid w:val="00AB55C2"/>
    <w:rsid w:val="00AB6A5D"/>
    <w:rsid w:val="00AB6A96"/>
    <w:rsid w:val="00AB7BA9"/>
    <w:rsid w:val="00AB7CBF"/>
    <w:rsid w:val="00AC086F"/>
    <w:rsid w:val="00AC0EA9"/>
    <w:rsid w:val="00AC1457"/>
    <w:rsid w:val="00AC187D"/>
    <w:rsid w:val="00AC1BD5"/>
    <w:rsid w:val="00AC2173"/>
    <w:rsid w:val="00AC2E27"/>
    <w:rsid w:val="00AC37A1"/>
    <w:rsid w:val="00AC4222"/>
    <w:rsid w:val="00AC4385"/>
    <w:rsid w:val="00AC4571"/>
    <w:rsid w:val="00AC4C10"/>
    <w:rsid w:val="00AC5B30"/>
    <w:rsid w:val="00AC6701"/>
    <w:rsid w:val="00AC756C"/>
    <w:rsid w:val="00AC7BDB"/>
    <w:rsid w:val="00AD017F"/>
    <w:rsid w:val="00AD02C0"/>
    <w:rsid w:val="00AD0B8B"/>
    <w:rsid w:val="00AD0C06"/>
    <w:rsid w:val="00AD0E8E"/>
    <w:rsid w:val="00AD18E7"/>
    <w:rsid w:val="00AD1A60"/>
    <w:rsid w:val="00AD1E03"/>
    <w:rsid w:val="00AD2B96"/>
    <w:rsid w:val="00AD3291"/>
    <w:rsid w:val="00AD3AA5"/>
    <w:rsid w:val="00AD4B61"/>
    <w:rsid w:val="00AD6A7D"/>
    <w:rsid w:val="00AD7CC7"/>
    <w:rsid w:val="00AE0357"/>
    <w:rsid w:val="00AE0D1E"/>
    <w:rsid w:val="00AE165B"/>
    <w:rsid w:val="00AE2257"/>
    <w:rsid w:val="00AE2390"/>
    <w:rsid w:val="00AE26BE"/>
    <w:rsid w:val="00AE2A54"/>
    <w:rsid w:val="00AE34FC"/>
    <w:rsid w:val="00AE35E5"/>
    <w:rsid w:val="00AE42F0"/>
    <w:rsid w:val="00AE47FB"/>
    <w:rsid w:val="00AE4C73"/>
    <w:rsid w:val="00AE5268"/>
    <w:rsid w:val="00AE5AF2"/>
    <w:rsid w:val="00AE5BAF"/>
    <w:rsid w:val="00AE5E32"/>
    <w:rsid w:val="00AE66F3"/>
    <w:rsid w:val="00AE6F14"/>
    <w:rsid w:val="00AF030B"/>
    <w:rsid w:val="00AF1082"/>
    <w:rsid w:val="00AF12E9"/>
    <w:rsid w:val="00AF1970"/>
    <w:rsid w:val="00AF19E6"/>
    <w:rsid w:val="00AF26A8"/>
    <w:rsid w:val="00AF2C96"/>
    <w:rsid w:val="00AF41D3"/>
    <w:rsid w:val="00AF437C"/>
    <w:rsid w:val="00AF4CA5"/>
    <w:rsid w:val="00AF4D1D"/>
    <w:rsid w:val="00AF615B"/>
    <w:rsid w:val="00B005DF"/>
    <w:rsid w:val="00B00A5D"/>
    <w:rsid w:val="00B00C59"/>
    <w:rsid w:val="00B028E1"/>
    <w:rsid w:val="00B04DCA"/>
    <w:rsid w:val="00B0551E"/>
    <w:rsid w:val="00B07361"/>
    <w:rsid w:val="00B073A4"/>
    <w:rsid w:val="00B07663"/>
    <w:rsid w:val="00B11027"/>
    <w:rsid w:val="00B113BA"/>
    <w:rsid w:val="00B113C5"/>
    <w:rsid w:val="00B134F2"/>
    <w:rsid w:val="00B13A93"/>
    <w:rsid w:val="00B1421B"/>
    <w:rsid w:val="00B15C6A"/>
    <w:rsid w:val="00B178AA"/>
    <w:rsid w:val="00B17AE7"/>
    <w:rsid w:val="00B17B4F"/>
    <w:rsid w:val="00B20799"/>
    <w:rsid w:val="00B21493"/>
    <w:rsid w:val="00B22F65"/>
    <w:rsid w:val="00B23161"/>
    <w:rsid w:val="00B238F6"/>
    <w:rsid w:val="00B24280"/>
    <w:rsid w:val="00B24487"/>
    <w:rsid w:val="00B24D89"/>
    <w:rsid w:val="00B25D43"/>
    <w:rsid w:val="00B27065"/>
    <w:rsid w:val="00B2792C"/>
    <w:rsid w:val="00B27AC5"/>
    <w:rsid w:val="00B30432"/>
    <w:rsid w:val="00B31312"/>
    <w:rsid w:val="00B33147"/>
    <w:rsid w:val="00B3362D"/>
    <w:rsid w:val="00B3443F"/>
    <w:rsid w:val="00B34CA6"/>
    <w:rsid w:val="00B3520F"/>
    <w:rsid w:val="00B35A9E"/>
    <w:rsid w:val="00B366C9"/>
    <w:rsid w:val="00B36EBE"/>
    <w:rsid w:val="00B378FA"/>
    <w:rsid w:val="00B414F5"/>
    <w:rsid w:val="00B41AA7"/>
    <w:rsid w:val="00B421DD"/>
    <w:rsid w:val="00B43862"/>
    <w:rsid w:val="00B442DE"/>
    <w:rsid w:val="00B46165"/>
    <w:rsid w:val="00B461E9"/>
    <w:rsid w:val="00B46868"/>
    <w:rsid w:val="00B46BC0"/>
    <w:rsid w:val="00B477A0"/>
    <w:rsid w:val="00B47C18"/>
    <w:rsid w:val="00B51A05"/>
    <w:rsid w:val="00B53A9F"/>
    <w:rsid w:val="00B544B7"/>
    <w:rsid w:val="00B54869"/>
    <w:rsid w:val="00B5585F"/>
    <w:rsid w:val="00B55A56"/>
    <w:rsid w:val="00B55C4E"/>
    <w:rsid w:val="00B57D2D"/>
    <w:rsid w:val="00B57F38"/>
    <w:rsid w:val="00B6035A"/>
    <w:rsid w:val="00B6386F"/>
    <w:rsid w:val="00B64BC7"/>
    <w:rsid w:val="00B64C1B"/>
    <w:rsid w:val="00B65676"/>
    <w:rsid w:val="00B65F1B"/>
    <w:rsid w:val="00B66506"/>
    <w:rsid w:val="00B66CB7"/>
    <w:rsid w:val="00B70BEC"/>
    <w:rsid w:val="00B712E5"/>
    <w:rsid w:val="00B714F1"/>
    <w:rsid w:val="00B71C79"/>
    <w:rsid w:val="00B71DA5"/>
    <w:rsid w:val="00B720E6"/>
    <w:rsid w:val="00B72897"/>
    <w:rsid w:val="00B72CBC"/>
    <w:rsid w:val="00B73C71"/>
    <w:rsid w:val="00B75BC8"/>
    <w:rsid w:val="00B76344"/>
    <w:rsid w:val="00B76BDF"/>
    <w:rsid w:val="00B77B30"/>
    <w:rsid w:val="00B77E3E"/>
    <w:rsid w:val="00B8117B"/>
    <w:rsid w:val="00B813FD"/>
    <w:rsid w:val="00B81B9F"/>
    <w:rsid w:val="00B81D88"/>
    <w:rsid w:val="00B81E48"/>
    <w:rsid w:val="00B820D7"/>
    <w:rsid w:val="00B8229D"/>
    <w:rsid w:val="00B8389F"/>
    <w:rsid w:val="00B84F0B"/>
    <w:rsid w:val="00B85313"/>
    <w:rsid w:val="00B85AA7"/>
    <w:rsid w:val="00B87895"/>
    <w:rsid w:val="00B90593"/>
    <w:rsid w:val="00B90696"/>
    <w:rsid w:val="00B934AE"/>
    <w:rsid w:val="00B93754"/>
    <w:rsid w:val="00B95290"/>
    <w:rsid w:val="00B96F64"/>
    <w:rsid w:val="00B97BDE"/>
    <w:rsid w:val="00BA054E"/>
    <w:rsid w:val="00BA293D"/>
    <w:rsid w:val="00BA29F9"/>
    <w:rsid w:val="00BA2CB8"/>
    <w:rsid w:val="00BA2F5E"/>
    <w:rsid w:val="00BA39BB"/>
    <w:rsid w:val="00BA4249"/>
    <w:rsid w:val="00BA5C48"/>
    <w:rsid w:val="00BA5C6A"/>
    <w:rsid w:val="00BA642C"/>
    <w:rsid w:val="00BA6825"/>
    <w:rsid w:val="00BA74DB"/>
    <w:rsid w:val="00BA78FB"/>
    <w:rsid w:val="00BA7963"/>
    <w:rsid w:val="00BA7A0F"/>
    <w:rsid w:val="00BA7DDE"/>
    <w:rsid w:val="00BB1069"/>
    <w:rsid w:val="00BB2B4C"/>
    <w:rsid w:val="00BB395B"/>
    <w:rsid w:val="00BB3E66"/>
    <w:rsid w:val="00BB4205"/>
    <w:rsid w:val="00BB4877"/>
    <w:rsid w:val="00BB634D"/>
    <w:rsid w:val="00BB68CA"/>
    <w:rsid w:val="00BB6F6C"/>
    <w:rsid w:val="00BB7230"/>
    <w:rsid w:val="00BB7B68"/>
    <w:rsid w:val="00BC0CC6"/>
    <w:rsid w:val="00BC1008"/>
    <w:rsid w:val="00BC19EC"/>
    <w:rsid w:val="00BC20B3"/>
    <w:rsid w:val="00BC2BDC"/>
    <w:rsid w:val="00BC3977"/>
    <w:rsid w:val="00BC4818"/>
    <w:rsid w:val="00BC4F06"/>
    <w:rsid w:val="00BC52F7"/>
    <w:rsid w:val="00BC6516"/>
    <w:rsid w:val="00BC6827"/>
    <w:rsid w:val="00BC71BC"/>
    <w:rsid w:val="00BC74D9"/>
    <w:rsid w:val="00BC78AA"/>
    <w:rsid w:val="00BC7C15"/>
    <w:rsid w:val="00BD084D"/>
    <w:rsid w:val="00BD1CF7"/>
    <w:rsid w:val="00BD1FB7"/>
    <w:rsid w:val="00BD2524"/>
    <w:rsid w:val="00BD2A5E"/>
    <w:rsid w:val="00BD3034"/>
    <w:rsid w:val="00BD41EE"/>
    <w:rsid w:val="00BD4AC0"/>
    <w:rsid w:val="00BD4EB9"/>
    <w:rsid w:val="00BD52A1"/>
    <w:rsid w:val="00BD5465"/>
    <w:rsid w:val="00BD6A5F"/>
    <w:rsid w:val="00BD76D8"/>
    <w:rsid w:val="00BE024F"/>
    <w:rsid w:val="00BE0D30"/>
    <w:rsid w:val="00BE10FB"/>
    <w:rsid w:val="00BE12D5"/>
    <w:rsid w:val="00BE19F8"/>
    <w:rsid w:val="00BE1FB1"/>
    <w:rsid w:val="00BE21B7"/>
    <w:rsid w:val="00BE2951"/>
    <w:rsid w:val="00BE2E16"/>
    <w:rsid w:val="00BE3186"/>
    <w:rsid w:val="00BE377A"/>
    <w:rsid w:val="00BE3ABF"/>
    <w:rsid w:val="00BE4A67"/>
    <w:rsid w:val="00BE50E4"/>
    <w:rsid w:val="00BE5FD7"/>
    <w:rsid w:val="00BE6044"/>
    <w:rsid w:val="00BE6AEF"/>
    <w:rsid w:val="00BE780A"/>
    <w:rsid w:val="00BF0963"/>
    <w:rsid w:val="00BF12D2"/>
    <w:rsid w:val="00BF16A7"/>
    <w:rsid w:val="00BF18AE"/>
    <w:rsid w:val="00BF1957"/>
    <w:rsid w:val="00BF19C1"/>
    <w:rsid w:val="00BF32B3"/>
    <w:rsid w:val="00BF39EE"/>
    <w:rsid w:val="00BF3B31"/>
    <w:rsid w:val="00BF3C63"/>
    <w:rsid w:val="00BF4AB7"/>
    <w:rsid w:val="00BF4F87"/>
    <w:rsid w:val="00BF51FC"/>
    <w:rsid w:val="00BF59CA"/>
    <w:rsid w:val="00BF5F5D"/>
    <w:rsid w:val="00BF6DD6"/>
    <w:rsid w:val="00BF6E4D"/>
    <w:rsid w:val="00BF700F"/>
    <w:rsid w:val="00BF73C0"/>
    <w:rsid w:val="00BF7EC5"/>
    <w:rsid w:val="00C000C6"/>
    <w:rsid w:val="00C013F3"/>
    <w:rsid w:val="00C01A83"/>
    <w:rsid w:val="00C01FEF"/>
    <w:rsid w:val="00C02C1D"/>
    <w:rsid w:val="00C02E00"/>
    <w:rsid w:val="00C031E0"/>
    <w:rsid w:val="00C03DF5"/>
    <w:rsid w:val="00C04810"/>
    <w:rsid w:val="00C04B0D"/>
    <w:rsid w:val="00C05943"/>
    <w:rsid w:val="00C06AA7"/>
    <w:rsid w:val="00C06B79"/>
    <w:rsid w:val="00C06D0C"/>
    <w:rsid w:val="00C0707D"/>
    <w:rsid w:val="00C0715B"/>
    <w:rsid w:val="00C0785F"/>
    <w:rsid w:val="00C101A5"/>
    <w:rsid w:val="00C1159A"/>
    <w:rsid w:val="00C11BD7"/>
    <w:rsid w:val="00C13078"/>
    <w:rsid w:val="00C1478D"/>
    <w:rsid w:val="00C14D35"/>
    <w:rsid w:val="00C151B9"/>
    <w:rsid w:val="00C1694B"/>
    <w:rsid w:val="00C16B73"/>
    <w:rsid w:val="00C21CFB"/>
    <w:rsid w:val="00C21E00"/>
    <w:rsid w:val="00C226C7"/>
    <w:rsid w:val="00C22DF2"/>
    <w:rsid w:val="00C22E51"/>
    <w:rsid w:val="00C244E0"/>
    <w:rsid w:val="00C2482B"/>
    <w:rsid w:val="00C30A82"/>
    <w:rsid w:val="00C30BF1"/>
    <w:rsid w:val="00C30D99"/>
    <w:rsid w:val="00C3130B"/>
    <w:rsid w:val="00C316AE"/>
    <w:rsid w:val="00C3279A"/>
    <w:rsid w:val="00C32D26"/>
    <w:rsid w:val="00C333F1"/>
    <w:rsid w:val="00C34120"/>
    <w:rsid w:val="00C350C2"/>
    <w:rsid w:val="00C3542E"/>
    <w:rsid w:val="00C366BD"/>
    <w:rsid w:val="00C366BF"/>
    <w:rsid w:val="00C366C2"/>
    <w:rsid w:val="00C36CC2"/>
    <w:rsid w:val="00C374DF"/>
    <w:rsid w:val="00C4042B"/>
    <w:rsid w:val="00C41121"/>
    <w:rsid w:val="00C41660"/>
    <w:rsid w:val="00C41677"/>
    <w:rsid w:val="00C41720"/>
    <w:rsid w:val="00C432C5"/>
    <w:rsid w:val="00C4345C"/>
    <w:rsid w:val="00C43ADE"/>
    <w:rsid w:val="00C44182"/>
    <w:rsid w:val="00C45385"/>
    <w:rsid w:val="00C4612D"/>
    <w:rsid w:val="00C46A1C"/>
    <w:rsid w:val="00C509F8"/>
    <w:rsid w:val="00C50D69"/>
    <w:rsid w:val="00C54EAD"/>
    <w:rsid w:val="00C55F0A"/>
    <w:rsid w:val="00C55FED"/>
    <w:rsid w:val="00C5792B"/>
    <w:rsid w:val="00C57F5E"/>
    <w:rsid w:val="00C60180"/>
    <w:rsid w:val="00C622D7"/>
    <w:rsid w:val="00C64538"/>
    <w:rsid w:val="00C64724"/>
    <w:rsid w:val="00C64A5E"/>
    <w:rsid w:val="00C64BE1"/>
    <w:rsid w:val="00C6612F"/>
    <w:rsid w:val="00C66280"/>
    <w:rsid w:val="00C663A8"/>
    <w:rsid w:val="00C663ED"/>
    <w:rsid w:val="00C66EBC"/>
    <w:rsid w:val="00C67037"/>
    <w:rsid w:val="00C67255"/>
    <w:rsid w:val="00C6749F"/>
    <w:rsid w:val="00C67DB4"/>
    <w:rsid w:val="00C703F0"/>
    <w:rsid w:val="00C70522"/>
    <w:rsid w:val="00C706DE"/>
    <w:rsid w:val="00C71019"/>
    <w:rsid w:val="00C7229B"/>
    <w:rsid w:val="00C72920"/>
    <w:rsid w:val="00C73183"/>
    <w:rsid w:val="00C73434"/>
    <w:rsid w:val="00C734C0"/>
    <w:rsid w:val="00C736EF"/>
    <w:rsid w:val="00C73BA0"/>
    <w:rsid w:val="00C73D0A"/>
    <w:rsid w:val="00C742A1"/>
    <w:rsid w:val="00C7492A"/>
    <w:rsid w:val="00C74AEA"/>
    <w:rsid w:val="00C74BFF"/>
    <w:rsid w:val="00C750FA"/>
    <w:rsid w:val="00C75AE8"/>
    <w:rsid w:val="00C77798"/>
    <w:rsid w:val="00C80131"/>
    <w:rsid w:val="00C8070D"/>
    <w:rsid w:val="00C809AA"/>
    <w:rsid w:val="00C809B5"/>
    <w:rsid w:val="00C80FA0"/>
    <w:rsid w:val="00C820A1"/>
    <w:rsid w:val="00C82A0D"/>
    <w:rsid w:val="00C82C41"/>
    <w:rsid w:val="00C82C50"/>
    <w:rsid w:val="00C843DD"/>
    <w:rsid w:val="00C84FCA"/>
    <w:rsid w:val="00C850A0"/>
    <w:rsid w:val="00C852AE"/>
    <w:rsid w:val="00C85913"/>
    <w:rsid w:val="00C86413"/>
    <w:rsid w:val="00C87185"/>
    <w:rsid w:val="00C87924"/>
    <w:rsid w:val="00C87C49"/>
    <w:rsid w:val="00C91845"/>
    <w:rsid w:val="00C92220"/>
    <w:rsid w:val="00C934FD"/>
    <w:rsid w:val="00C94305"/>
    <w:rsid w:val="00C94AB5"/>
    <w:rsid w:val="00C956A0"/>
    <w:rsid w:val="00C96BF8"/>
    <w:rsid w:val="00C96D7B"/>
    <w:rsid w:val="00CA0796"/>
    <w:rsid w:val="00CA3F40"/>
    <w:rsid w:val="00CA4693"/>
    <w:rsid w:val="00CA5137"/>
    <w:rsid w:val="00CA5962"/>
    <w:rsid w:val="00CA5F5A"/>
    <w:rsid w:val="00CA67FC"/>
    <w:rsid w:val="00CA692F"/>
    <w:rsid w:val="00CA6F96"/>
    <w:rsid w:val="00CA75DC"/>
    <w:rsid w:val="00CB0421"/>
    <w:rsid w:val="00CB0550"/>
    <w:rsid w:val="00CB133E"/>
    <w:rsid w:val="00CB14E4"/>
    <w:rsid w:val="00CB38EC"/>
    <w:rsid w:val="00CB3E28"/>
    <w:rsid w:val="00CB3F81"/>
    <w:rsid w:val="00CB591F"/>
    <w:rsid w:val="00CB65F3"/>
    <w:rsid w:val="00CB678E"/>
    <w:rsid w:val="00CB685E"/>
    <w:rsid w:val="00CC06B1"/>
    <w:rsid w:val="00CC09A5"/>
    <w:rsid w:val="00CC0A29"/>
    <w:rsid w:val="00CC24D8"/>
    <w:rsid w:val="00CC2560"/>
    <w:rsid w:val="00CC3C60"/>
    <w:rsid w:val="00CC426A"/>
    <w:rsid w:val="00CC4BFF"/>
    <w:rsid w:val="00CC5093"/>
    <w:rsid w:val="00CC535B"/>
    <w:rsid w:val="00CC5559"/>
    <w:rsid w:val="00CC5E55"/>
    <w:rsid w:val="00CC680B"/>
    <w:rsid w:val="00CC6FA9"/>
    <w:rsid w:val="00CC758B"/>
    <w:rsid w:val="00CC7843"/>
    <w:rsid w:val="00CC7B20"/>
    <w:rsid w:val="00CD02E9"/>
    <w:rsid w:val="00CD03FF"/>
    <w:rsid w:val="00CD14B3"/>
    <w:rsid w:val="00CD182E"/>
    <w:rsid w:val="00CD1D60"/>
    <w:rsid w:val="00CD422A"/>
    <w:rsid w:val="00CD4929"/>
    <w:rsid w:val="00CD4AC1"/>
    <w:rsid w:val="00CD7C44"/>
    <w:rsid w:val="00CE079E"/>
    <w:rsid w:val="00CE0E58"/>
    <w:rsid w:val="00CE1883"/>
    <w:rsid w:val="00CE1EEE"/>
    <w:rsid w:val="00CE24F5"/>
    <w:rsid w:val="00CE2C2C"/>
    <w:rsid w:val="00CE2F1D"/>
    <w:rsid w:val="00CE33C5"/>
    <w:rsid w:val="00CE406D"/>
    <w:rsid w:val="00CE41A5"/>
    <w:rsid w:val="00CE4418"/>
    <w:rsid w:val="00CE5315"/>
    <w:rsid w:val="00CE6CEE"/>
    <w:rsid w:val="00CE6D49"/>
    <w:rsid w:val="00CE7958"/>
    <w:rsid w:val="00CF062E"/>
    <w:rsid w:val="00CF0879"/>
    <w:rsid w:val="00CF1778"/>
    <w:rsid w:val="00CF1F2B"/>
    <w:rsid w:val="00CF2E34"/>
    <w:rsid w:val="00CF48BD"/>
    <w:rsid w:val="00CF57B4"/>
    <w:rsid w:val="00CF6ADA"/>
    <w:rsid w:val="00CF6E0D"/>
    <w:rsid w:val="00CF6F1A"/>
    <w:rsid w:val="00CF6F35"/>
    <w:rsid w:val="00CF73BA"/>
    <w:rsid w:val="00D00298"/>
    <w:rsid w:val="00D008ED"/>
    <w:rsid w:val="00D015BE"/>
    <w:rsid w:val="00D02723"/>
    <w:rsid w:val="00D02A92"/>
    <w:rsid w:val="00D0352E"/>
    <w:rsid w:val="00D03A68"/>
    <w:rsid w:val="00D03EC2"/>
    <w:rsid w:val="00D040DA"/>
    <w:rsid w:val="00D0455A"/>
    <w:rsid w:val="00D0492B"/>
    <w:rsid w:val="00D0647E"/>
    <w:rsid w:val="00D0734F"/>
    <w:rsid w:val="00D078BE"/>
    <w:rsid w:val="00D100B2"/>
    <w:rsid w:val="00D10FD8"/>
    <w:rsid w:val="00D114D3"/>
    <w:rsid w:val="00D13299"/>
    <w:rsid w:val="00D13347"/>
    <w:rsid w:val="00D1339E"/>
    <w:rsid w:val="00D13A73"/>
    <w:rsid w:val="00D13F8A"/>
    <w:rsid w:val="00D14660"/>
    <w:rsid w:val="00D161B8"/>
    <w:rsid w:val="00D16819"/>
    <w:rsid w:val="00D1741A"/>
    <w:rsid w:val="00D17421"/>
    <w:rsid w:val="00D20294"/>
    <w:rsid w:val="00D21BF2"/>
    <w:rsid w:val="00D222AD"/>
    <w:rsid w:val="00D227D4"/>
    <w:rsid w:val="00D23E81"/>
    <w:rsid w:val="00D2594B"/>
    <w:rsid w:val="00D25C90"/>
    <w:rsid w:val="00D26A2B"/>
    <w:rsid w:val="00D3125F"/>
    <w:rsid w:val="00D3276D"/>
    <w:rsid w:val="00D32D98"/>
    <w:rsid w:val="00D32EE7"/>
    <w:rsid w:val="00D335D0"/>
    <w:rsid w:val="00D33FC5"/>
    <w:rsid w:val="00D35B1C"/>
    <w:rsid w:val="00D35F5E"/>
    <w:rsid w:val="00D36718"/>
    <w:rsid w:val="00D37686"/>
    <w:rsid w:val="00D37988"/>
    <w:rsid w:val="00D406A0"/>
    <w:rsid w:val="00D40CAE"/>
    <w:rsid w:val="00D4214E"/>
    <w:rsid w:val="00D4298B"/>
    <w:rsid w:val="00D4380C"/>
    <w:rsid w:val="00D47533"/>
    <w:rsid w:val="00D476BF"/>
    <w:rsid w:val="00D477C7"/>
    <w:rsid w:val="00D524F2"/>
    <w:rsid w:val="00D529FE"/>
    <w:rsid w:val="00D534CE"/>
    <w:rsid w:val="00D53BC1"/>
    <w:rsid w:val="00D53E55"/>
    <w:rsid w:val="00D53F87"/>
    <w:rsid w:val="00D543EA"/>
    <w:rsid w:val="00D5461D"/>
    <w:rsid w:val="00D5586B"/>
    <w:rsid w:val="00D560B1"/>
    <w:rsid w:val="00D56280"/>
    <w:rsid w:val="00D572CD"/>
    <w:rsid w:val="00D576F8"/>
    <w:rsid w:val="00D57932"/>
    <w:rsid w:val="00D57D2C"/>
    <w:rsid w:val="00D61551"/>
    <w:rsid w:val="00D619D2"/>
    <w:rsid w:val="00D61EAB"/>
    <w:rsid w:val="00D627D3"/>
    <w:rsid w:val="00D638C4"/>
    <w:rsid w:val="00D63C0D"/>
    <w:rsid w:val="00D64C42"/>
    <w:rsid w:val="00D64C6F"/>
    <w:rsid w:val="00D6529A"/>
    <w:rsid w:val="00D6563D"/>
    <w:rsid w:val="00D65F36"/>
    <w:rsid w:val="00D7089C"/>
    <w:rsid w:val="00D70A8D"/>
    <w:rsid w:val="00D711DF"/>
    <w:rsid w:val="00D719DE"/>
    <w:rsid w:val="00D72273"/>
    <w:rsid w:val="00D73118"/>
    <w:rsid w:val="00D752D2"/>
    <w:rsid w:val="00D76F98"/>
    <w:rsid w:val="00D773CD"/>
    <w:rsid w:val="00D774F2"/>
    <w:rsid w:val="00D77FBF"/>
    <w:rsid w:val="00D81862"/>
    <w:rsid w:val="00D82878"/>
    <w:rsid w:val="00D83781"/>
    <w:rsid w:val="00D853D3"/>
    <w:rsid w:val="00D861E0"/>
    <w:rsid w:val="00D87B44"/>
    <w:rsid w:val="00D900D7"/>
    <w:rsid w:val="00D91074"/>
    <w:rsid w:val="00D911A6"/>
    <w:rsid w:val="00D918D5"/>
    <w:rsid w:val="00D91C82"/>
    <w:rsid w:val="00D9355D"/>
    <w:rsid w:val="00D93A84"/>
    <w:rsid w:val="00D93D9F"/>
    <w:rsid w:val="00D93EEE"/>
    <w:rsid w:val="00D940DC"/>
    <w:rsid w:val="00D9497D"/>
    <w:rsid w:val="00D94A42"/>
    <w:rsid w:val="00D94BC7"/>
    <w:rsid w:val="00D963D4"/>
    <w:rsid w:val="00D96F44"/>
    <w:rsid w:val="00D97682"/>
    <w:rsid w:val="00D976E6"/>
    <w:rsid w:val="00D979F5"/>
    <w:rsid w:val="00D97BBC"/>
    <w:rsid w:val="00D97FCF"/>
    <w:rsid w:val="00DA0031"/>
    <w:rsid w:val="00DA04DB"/>
    <w:rsid w:val="00DA186B"/>
    <w:rsid w:val="00DA2298"/>
    <w:rsid w:val="00DA2F94"/>
    <w:rsid w:val="00DA3103"/>
    <w:rsid w:val="00DA38A7"/>
    <w:rsid w:val="00DA43E0"/>
    <w:rsid w:val="00DA4AAC"/>
    <w:rsid w:val="00DA572F"/>
    <w:rsid w:val="00DA58D0"/>
    <w:rsid w:val="00DA5D17"/>
    <w:rsid w:val="00DA621C"/>
    <w:rsid w:val="00DA6782"/>
    <w:rsid w:val="00DA6843"/>
    <w:rsid w:val="00DA6863"/>
    <w:rsid w:val="00DA6AB5"/>
    <w:rsid w:val="00DA798C"/>
    <w:rsid w:val="00DA7A92"/>
    <w:rsid w:val="00DB05D7"/>
    <w:rsid w:val="00DB0B7D"/>
    <w:rsid w:val="00DB3941"/>
    <w:rsid w:val="00DB48B9"/>
    <w:rsid w:val="00DB4FDA"/>
    <w:rsid w:val="00DB50DA"/>
    <w:rsid w:val="00DB5621"/>
    <w:rsid w:val="00DB64A1"/>
    <w:rsid w:val="00DB69E4"/>
    <w:rsid w:val="00DC079B"/>
    <w:rsid w:val="00DC0F1E"/>
    <w:rsid w:val="00DC2067"/>
    <w:rsid w:val="00DC21C7"/>
    <w:rsid w:val="00DC2571"/>
    <w:rsid w:val="00DC2D66"/>
    <w:rsid w:val="00DC30C0"/>
    <w:rsid w:val="00DC348A"/>
    <w:rsid w:val="00DC66FE"/>
    <w:rsid w:val="00DD06AB"/>
    <w:rsid w:val="00DD12A4"/>
    <w:rsid w:val="00DD1A7F"/>
    <w:rsid w:val="00DD215A"/>
    <w:rsid w:val="00DD21FB"/>
    <w:rsid w:val="00DD4628"/>
    <w:rsid w:val="00DD5973"/>
    <w:rsid w:val="00DD6B14"/>
    <w:rsid w:val="00DD702B"/>
    <w:rsid w:val="00DD7381"/>
    <w:rsid w:val="00DE0508"/>
    <w:rsid w:val="00DE0EA9"/>
    <w:rsid w:val="00DE18CC"/>
    <w:rsid w:val="00DE398A"/>
    <w:rsid w:val="00DE3B1C"/>
    <w:rsid w:val="00DE4E39"/>
    <w:rsid w:val="00DE56B6"/>
    <w:rsid w:val="00DE56F7"/>
    <w:rsid w:val="00DE60CC"/>
    <w:rsid w:val="00DE7A5F"/>
    <w:rsid w:val="00DE7AAC"/>
    <w:rsid w:val="00DE7E0F"/>
    <w:rsid w:val="00DF0153"/>
    <w:rsid w:val="00DF18F9"/>
    <w:rsid w:val="00DF24B1"/>
    <w:rsid w:val="00DF2F0E"/>
    <w:rsid w:val="00DF30F7"/>
    <w:rsid w:val="00DF33F7"/>
    <w:rsid w:val="00DF3ED4"/>
    <w:rsid w:val="00DF4181"/>
    <w:rsid w:val="00DF41DF"/>
    <w:rsid w:val="00DF44A0"/>
    <w:rsid w:val="00DF51E0"/>
    <w:rsid w:val="00DF5703"/>
    <w:rsid w:val="00DF5A06"/>
    <w:rsid w:val="00DF5D00"/>
    <w:rsid w:val="00E003A7"/>
    <w:rsid w:val="00E00807"/>
    <w:rsid w:val="00E01508"/>
    <w:rsid w:val="00E01593"/>
    <w:rsid w:val="00E01965"/>
    <w:rsid w:val="00E01BB1"/>
    <w:rsid w:val="00E03A3A"/>
    <w:rsid w:val="00E04641"/>
    <w:rsid w:val="00E046C8"/>
    <w:rsid w:val="00E048A6"/>
    <w:rsid w:val="00E04D59"/>
    <w:rsid w:val="00E05602"/>
    <w:rsid w:val="00E0592E"/>
    <w:rsid w:val="00E05BC6"/>
    <w:rsid w:val="00E06F5F"/>
    <w:rsid w:val="00E0767E"/>
    <w:rsid w:val="00E07A35"/>
    <w:rsid w:val="00E07C92"/>
    <w:rsid w:val="00E11099"/>
    <w:rsid w:val="00E1162D"/>
    <w:rsid w:val="00E11E45"/>
    <w:rsid w:val="00E11F9F"/>
    <w:rsid w:val="00E121E4"/>
    <w:rsid w:val="00E122E4"/>
    <w:rsid w:val="00E12771"/>
    <w:rsid w:val="00E12E69"/>
    <w:rsid w:val="00E139BB"/>
    <w:rsid w:val="00E152B4"/>
    <w:rsid w:val="00E153B9"/>
    <w:rsid w:val="00E154D4"/>
    <w:rsid w:val="00E15B95"/>
    <w:rsid w:val="00E15F32"/>
    <w:rsid w:val="00E160A5"/>
    <w:rsid w:val="00E1689B"/>
    <w:rsid w:val="00E175F4"/>
    <w:rsid w:val="00E21711"/>
    <w:rsid w:val="00E221A8"/>
    <w:rsid w:val="00E22D5A"/>
    <w:rsid w:val="00E2415E"/>
    <w:rsid w:val="00E2562C"/>
    <w:rsid w:val="00E259D7"/>
    <w:rsid w:val="00E2684D"/>
    <w:rsid w:val="00E26B3F"/>
    <w:rsid w:val="00E26CE2"/>
    <w:rsid w:val="00E26F65"/>
    <w:rsid w:val="00E272E3"/>
    <w:rsid w:val="00E273FD"/>
    <w:rsid w:val="00E3079A"/>
    <w:rsid w:val="00E3106F"/>
    <w:rsid w:val="00E311EF"/>
    <w:rsid w:val="00E319E2"/>
    <w:rsid w:val="00E32CB1"/>
    <w:rsid w:val="00E33008"/>
    <w:rsid w:val="00E334E8"/>
    <w:rsid w:val="00E342E8"/>
    <w:rsid w:val="00E34303"/>
    <w:rsid w:val="00E34E5F"/>
    <w:rsid w:val="00E3521B"/>
    <w:rsid w:val="00E35337"/>
    <w:rsid w:val="00E408C7"/>
    <w:rsid w:val="00E40CB6"/>
    <w:rsid w:val="00E40FA1"/>
    <w:rsid w:val="00E4104B"/>
    <w:rsid w:val="00E4152B"/>
    <w:rsid w:val="00E41ECF"/>
    <w:rsid w:val="00E41FC3"/>
    <w:rsid w:val="00E425AB"/>
    <w:rsid w:val="00E433FD"/>
    <w:rsid w:val="00E44AF2"/>
    <w:rsid w:val="00E45037"/>
    <w:rsid w:val="00E4541F"/>
    <w:rsid w:val="00E4601F"/>
    <w:rsid w:val="00E46E3A"/>
    <w:rsid w:val="00E46E69"/>
    <w:rsid w:val="00E46E9A"/>
    <w:rsid w:val="00E50528"/>
    <w:rsid w:val="00E505A3"/>
    <w:rsid w:val="00E5120D"/>
    <w:rsid w:val="00E51CBF"/>
    <w:rsid w:val="00E521A7"/>
    <w:rsid w:val="00E52D06"/>
    <w:rsid w:val="00E53C9E"/>
    <w:rsid w:val="00E53D3F"/>
    <w:rsid w:val="00E540A5"/>
    <w:rsid w:val="00E54570"/>
    <w:rsid w:val="00E54E45"/>
    <w:rsid w:val="00E55E57"/>
    <w:rsid w:val="00E57305"/>
    <w:rsid w:val="00E57FC1"/>
    <w:rsid w:val="00E617EA"/>
    <w:rsid w:val="00E61C33"/>
    <w:rsid w:val="00E61E4F"/>
    <w:rsid w:val="00E63095"/>
    <w:rsid w:val="00E63446"/>
    <w:rsid w:val="00E642BC"/>
    <w:rsid w:val="00E65E04"/>
    <w:rsid w:val="00E65EB4"/>
    <w:rsid w:val="00E67260"/>
    <w:rsid w:val="00E675A5"/>
    <w:rsid w:val="00E67826"/>
    <w:rsid w:val="00E7057D"/>
    <w:rsid w:val="00E71A1E"/>
    <w:rsid w:val="00E720D0"/>
    <w:rsid w:val="00E73159"/>
    <w:rsid w:val="00E7367B"/>
    <w:rsid w:val="00E73C38"/>
    <w:rsid w:val="00E7476E"/>
    <w:rsid w:val="00E751EF"/>
    <w:rsid w:val="00E7639A"/>
    <w:rsid w:val="00E76C9C"/>
    <w:rsid w:val="00E7724C"/>
    <w:rsid w:val="00E80365"/>
    <w:rsid w:val="00E804E1"/>
    <w:rsid w:val="00E815CB"/>
    <w:rsid w:val="00E82DD3"/>
    <w:rsid w:val="00E82F52"/>
    <w:rsid w:val="00E831DC"/>
    <w:rsid w:val="00E83B1E"/>
    <w:rsid w:val="00E849CA"/>
    <w:rsid w:val="00E84A7A"/>
    <w:rsid w:val="00E84C1B"/>
    <w:rsid w:val="00E85649"/>
    <w:rsid w:val="00E86C49"/>
    <w:rsid w:val="00E87310"/>
    <w:rsid w:val="00E87314"/>
    <w:rsid w:val="00E8772C"/>
    <w:rsid w:val="00E90A72"/>
    <w:rsid w:val="00E90C95"/>
    <w:rsid w:val="00E91A5F"/>
    <w:rsid w:val="00E91D9B"/>
    <w:rsid w:val="00E933D8"/>
    <w:rsid w:val="00E93AB8"/>
    <w:rsid w:val="00E945FC"/>
    <w:rsid w:val="00E95F70"/>
    <w:rsid w:val="00E96874"/>
    <w:rsid w:val="00E97445"/>
    <w:rsid w:val="00EA0AA7"/>
    <w:rsid w:val="00EA101F"/>
    <w:rsid w:val="00EA18ED"/>
    <w:rsid w:val="00EA2B55"/>
    <w:rsid w:val="00EA2ECF"/>
    <w:rsid w:val="00EA4549"/>
    <w:rsid w:val="00EA651C"/>
    <w:rsid w:val="00EA79CF"/>
    <w:rsid w:val="00EB0440"/>
    <w:rsid w:val="00EB48A9"/>
    <w:rsid w:val="00EB5269"/>
    <w:rsid w:val="00EB527E"/>
    <w:rsid w:val="00EB5B00"/>
    <w:rsid w:val="00EC0617"/>
    <w:rsid w:val="00EC0C74"/>
    <w:rsid w:val="00EC0FD1"/>
    <w:rsid w:val="00EC1A3F"/>
    <w:rsid w:val="00EC1C9D"/>
    <w:rsid w:val="00EC231B"/>
    <w:rsid w:val="00EC3D42"/>
    <w:rsid w:val="00EC44C6"/>
    <w:rsid w:val="00EC6445"/>
    <w:rsid w:val="00EC6B20"/>
    <w:rsid w:val="00EC73BD"/>
    <w:rsid w:val="00EC7909"/>
    <w:rsid w:val="00ED0226"/>
    <w:rsid w:val="00ED1B42"/>
    <w:rsid w:val="00ED303D"/>
    <w:rsid w:val="00ED363D"/>
    <w:rsid w:val="00ED3CE9"/>
    <w:rsid w:val="00ED5B6E"/>
    <w:rsid w:val="00ED5C79"/>
    <w:rsid w:val="00ED6ED6"/>
    <w:rsid w:val="00ED7988"/>
    <w:rsid w:val="00ED7BB6"/>
    <w:rsid w:val="00EE0029"/>
    <w:rsid w:val="00EE21E1"/>
    <w:rsid w:val="00EE3134"/>
    <w:rsid w:val="00EE3D4E"/>
    <w:rsid w:val="00EE46A1"/>
    <w:rsid w:val="00EE4889"/>
    <w:rsid w:val="00EE528F"/>
    <w:rsid w:val="00EE56BA"/>
    <w:rsid w:val="00EE5CBA"/>
    <w:rsid w:val="00EE6A12"/>
    <w:rsid w:val="00EE6B91"/>
    <w:rsid w:val="00EE78AA"/>
    <w:rsid w:val="00EE7BC6"/>
    <w:rsid w:val="00EE7C6F"/>
    <w:rsid w:val="00EF05F2"/>
    <w:rsid w:val="00EF0BE1"/>
    <w:rsid w:val="00EF0CED"/>
    <w:rsid w:val="00EF1392"/>
    <w:rsid w:val="00EF1D81"/>
    <w:rsid w:val="00EF1DB6"/>
    <w:rsid w:val="00EF1FBA"/>
    <w:rsid w:val="00EF2145"/>
    <w:rsid w:val="00EF31AF"/>
    <w:rsid w:val="00EF38AB"/>
    <w:rsid w:val="00EF48BF"/>
    <w:rsid w:val="00EF498C"/>
    <w:rsid w:val="00EF4A3A"/>
    <w:rsid w:val="00EF4C47"/>
    <w:rsid w:val="00EF4CE0"/>
    <w:rsid w:val="00EF54A5"/>
    <w:rsid w:val="00EF58AB"/>
    <w:rsid w:val="00EF59C7"/>
    <w:rsid w:val="00EF5C77"/>
    <w:rsid w:val="00F001BC"/>
    <w:rsid w:val="00F0090A"/>
    <w:rsid w:val="00F00C0B"/>
    <w:rsid w:val="00F00DE3"/>
    <w:rsid w:val="00F00E73"/>
    <w:rsid w:val="00F01EE3"/>
    <w:rsid w:val="00F02747"/>
    <w:rsid w:val="00F02AEC"/>
    <w:rsid w:val="00F046F6"/>
    <w:rsid w:val="00F058CD"/>
    <w:rsid w:val="00F06712"/>
    <w:rsid w:val="00F06ABD"/>
    <w:rsid w:val="00F071EF"/>
    <w:rsid w:val="00F1161A"/>
    <w:rsid w:val="00F118AC"/>
    <w:rsid w:val="00F12B77"/>
    <w:rsid w:val="00F145FE"/>
    <w:rsid w:val="00F14821"/>
    <w:rsid w:val="00F14AF1"/>
    <w:rsid w:val="00F16380"/>
    <w:rsid w:val="00F16B80"/>
    <w:rsid w:val="00F16BFD"/>
    <w:rsid w:val="00F16F34"/>
    <w:rsid w:val="00F17657"/>
    <w:rsid w:val="00F17D5D"/>
    <w:rsid w:val="00F2000A"/>
    <w:rsid w:val="00F20A77"/>
    <w:rsid w:val="00F20C13"/>
    <w:rsid w:val="00F21662"/>
    <w:rsid w:val="00F2172B"/>
    <w:rsid w:val="00F219B5"/>
    <w:rsid w:val="00F235F1"/>
    <w:rsid w:val="00F25D23"/>
    <w:rsid w:val="00F2631F"/>
    <w:rsid w:val="00F264DF"/>
    <w:rsid w:val="00F2692E"/>
    <w:rsid w:val="00F26A68"/>
    <w:rsid w:val="00F26FE1"/>
    <w:rsid w:val="00F27AD6"/>
    <w:rsid w:val="00F27B11"/>
    <w:rsid w:val="00F30DAC"/>
    <w:rsid w:val="00F30EF8"/>
    <w:rsid w:val="00F3305A"/>
    <w:rsid w:val="00F34EC3"/>
    <w:rsid w:val="00F36196"/>
    <w:rsid w:val="00F3620C"/>
    <w:rsid w:val="00F366E4"/>
    <w:rsid w:val="00F36D7A"/>
    <w:rsid w:val="00F40F77"/>
    <w:rsid w:val="00F43EA1"/>
    <w:rsid w:val="00F4440D"/>
    <w:rsid w:val="00F448EF"/>
    <w:rsid w:val="00F453A2"/>
    <w:rsid w:val="00F4557F"/>
    <w:rsid w:val="00F458BB"/>
    <w:rsid w:val="00F45BEF"/>
    <w:rsid w:val="00F45D30"/>
    <w:rsid w:val="00F45D91"/>
    <w:rsid w:val="00F47DA3"/>
    <w:rsid w:val="00F516DA"/>
    <w:rsid w:val="00F524EF"/>
    <w:rsid w:val="00F52ED6"/>
    <w:rsid w:val="00F548FF"/>
    <w:rsid w:val="00F54F47"/>
    <w:rsid w:val="00F553EF"/>
    <w:rsid w:val="00F558C5"/>
    <w:rsid w:val="00F56D93"/>
    <w:rsid w:val="00F5758A"/>
    <w:rsid w:val="00F603A1"/>
    <w:rsid w:val="00F608A0"/>
    <w:rsid w:val="00F61982"/>
    <w:rsid w:val="00F61E1E"/>
    <w:rsid w:val="00F6422F"/>
    <w:rsid w:val="00F64B26"/>
    <w:rsid w:val="00F64E6F"/>
    <w:rsid w:val="00F6529D"/>
    <w:rsid w:val="00F6671A"/>
    <w:rsid w:val="00F66B0E"/>
    <w:rsid w:val="00F67171"/>
    <w:rsid w:val="00F70532"/>
    <w:rsid w:val="00F71B2C"/>
    <w:rsid w:val="00F72B73"/>
    <w:rsid w:val="00F72FB3"/>
    <w:rsid w:val="00F7388C"/>
    <w:rsid w:val="00F74260"/>
    <w:rsid w:val="00F749C1"/>
    <w:rsid w:val="00F74D8D"/>
    <w:rsid w:val="00F76598"/>
    <w:rsid w:val="00F767F6"/>
    <w:rsid w:val="00F76CE4"/>
    <w:rsid w:val="00F76FD4"/>
    <w:rsid w:val="00F770B1"/>
    <w:rsid w:val="00F77C92"/>
    <w:rsid w:val="00F80A63"/>
    <w:rsid w:val="00F8191C"/>
    <w:rsid w:val="00F8433F"/>
    <w:rsid w:val="00F84CAB"/>
    <w:rsid w:val="00F8513B"/>
    <w:rsid w:val="00F8540F"/>
    <w:rsid w:val="00F862D9"/>
    <w:rsid w:val="00F867EC"/>
    <w:rsid w:val="00F87229"/>
    <w:rsid w:val="00F87333"/>
    <w:rsid w:val="00F87620"/>
    <w:rsid w:val="00F87886"/>
    <w:rsid w:val="00F87C2A"/>
    <w:rsid w:val="00F87C9E"/>
    <w:rsid w:val="00F87CEC"/>
    <w:rsid w:val="00F87F32"/>
    <w:rsid w:val="00F901E2"/>
    <w:rsid w:val="00F9082B"/>
    <w:rsid w:val="00F90B71"/>
    <w:rsid w:val="00F91026"/>
    <w:rsid w:val="00F91D93"/>
    <w:rsid w:val="00F9279E"/>
    <w:rsid w:val="00F9295D"/>
    <w:rsid w:val="00F93871"/>
    <w:rsid w:val="00F93905"/>
    <w:rsid w:val="00F949CF"/>
    <w:rsid w:val="00F962A6"/>
    <w:rsid w:val="00F96AB7"/>
    <w:rsid w:val="00F96E73"/>
    <w:rsid w:val="00F9720D"/>
    <w:rsid w:val="00F97AC9"/>
    <w:rsid w:val="00FA02A4"/>
    <w:rsid w:val="00FA02E0"/>
    <w:rsid w:val="00FA3737"/>
    <w:rsid w:val="00FA3CAE"/>
    <w:rsid w:val="00FA41DC"/>
    <w:rsid w:val="00FA4881"/>
    <w:rsid w:val="00FA49C3"/>
    <w:rsid w:val="00FA5DB1"/>
    <w:rsid w:val="00FA67B3"/>
    <w:rsid w:val="00FA76A9"/>
    <w:rsid w:val="00FA77B7"/>
    <w:rsid w:val="00FA7AE1"/>
    <w:rsid w:val="00FB00F0"/>
    <w:rsid w:val="00FB0A08"/>
    <w:rsid w:val="00FB2A4E"/>
    <w:rsid w:val="00FB2E90"/>
    <w:rsid w:val="00FB2F24"/>
    <w:rsid w:val="00FB3154"/>
    <w:rsid w:val="00FB59A2"/>
    <w:rsid w:val="00FB5AD0"/>
    <w:rsid w:val="00FB6155"/>
    <w:rsid w:val="00FB686F"/>
    <w:rsid w:val="00FB6E2B"/>
    <w:rsid w:val="00FB78C6"/>
    <w:rsid w:val="00FB7BCB"/>
    <w:rsid w:val="00FC07DD"/>
    <w:rsid w:val="00FC0B73"/>
    <w:rsid w:val="00FC2EBD"/>
    <w:rsid w:val="00FC32BC"/>
    <w:rsid w:val="00FC3F6E"/>
    <w:rsid w:val="00FC449E"/>
    <w:rsid w:val="00FC5FD9"/>
    <w:rsid w:val="00FC70FD"/>
    <w:rsid w:val="00FC7EBB"/>
    <w:rsid w:val="00FD04A7"/>
    <w:rsid w:val="00FD1712"/>
    <w:rsid w:val="00FD2052"/>
    <w:rsid w:val="00FD23CA"/>
    <w:rsid w:val="00FD2E43"/>
    <w:rsid w:val="00FD32C4"/>
    <w:rsid w:val="00FD35C6"/>
    <w:rsid w:val="00FD4A3E"/>
    <w:rsid w:val="00FD4AEE"/>
    <w:rsid w:val="00FD55FD"/>
    <w:rsid w:val="00FD5B4D"/>
    <w:rsid w:val="00FD6025"/>
    <w:rsid w:val="00FD6782"/>
    <w:rsid w:val="00FD788D"/>
    <w:rsid w:val="00FE0B4E"/>
    <w:rsid w:val="00FE167A"/>
    <w:rsid w:val="00FE1C1C"/>
    <w:rsid w:val="00FE20B6"/>
    <w:rsid w:val="00FE27E6"/>
    <w:rsid w:val="00FE2813"/>
    <w:rsid w:val="00FE2D1B"/>
    <w:rsid w:val="00FE36C3"/>
    <w:rsid w:val="00FE3781"/>
    <w:rsid w:val="00FE47AB"/>
    <w:rsid w:val="00FE4F96"/>
    <w:rsid w:val="00FE53A6"/>
    <w:rsid w:val="00FE571A"/>
    <w:rsid w:val="00FF02F2"/>
    <w:rsid w:val="00FF041E"/>
    <w:rsid w:val="00FF0557"/>
    <w:rsid w:val="00FF12AF"/>
    <w:rsid w:val="00FF1F54"/>
    <w:rsid w:val="00FF3707"/>
    <w:rsid w:val="00FF49C7"/>
    <w:rsid w:val="00FF4B77"/>
    <w:rsid w:val="00FF52BB"/>
    <w:rsid w:val="00FF53B6"/>
    <w:rsid w:val="00FF6644"/>
    <w:rsid w:val="00FF6CDA"/>
    <w:rsid w:val="00FF7283"/>
    <w:rsid w:val="00FF72CF"/>
    <w:rsid w:val="00FF7431"/>
    <w:rsid w:val="075263ED"/>
    <w:rsid w:val="0CD46041"/>
    <w:rsid w:val="0D4CFCAF"/>
    <w:rsid w:val="1087646E"/>
    <w:rsid w:val="156CFA20"/>
    <w:rsid w:val="1619D330"/>
    <w:rsid w:val="184E3683"/>
    <w:rsid w:val="24D3C2AF"/>
    <w:rsid w:val="27BC4CDF"/>
    <w:rsid w:val="2AFB42B4"/>
    <w:rsid w:val="2C971315"/>
    <w:rsid w:val="2D81EDA8"/>
    <w:rsid w:val="2F06EDC3"/>
    <w:rsid w:val="32E01FC8"/>
    <w:rsid w:val="3448EBFA"/>
    <w:rsid w:val="346A7866"/>
    <w:rsid w:val="3C5C61EE"/>
    <w:rsid w:val="46744AE2"/>
    <w:rsid w:val="4BCA784A"/>
    <w:rsid w:val="4DAC6E8A"/>
    <w:rsid w:val="4E91B832"/>
    <w:rsid w:val="515BA9B4"/>
    <w:rsid w:val="5B4FBDCA"/>
    <w:rsid w:val="5EA66A6C"/>
    <w:rsid w:val="61E76A44"/>
    <w:rsid w:val="65A69B04"/>
    <w:rsid w:val="68440F30"/>
    <w:rsid w:val="6B75242D"/>
    <w:rsid w:val="6CAC647C"/>
    <w:rsid w:val="70489550"/>
    <w:rsid w:val="751C0673"/>
    <w:rsid w:val="7B677088"/>
    <w:rsid w:val="7D069AE8"/>
    <w:rsid w:val="7FABFC9A"/>
    <w:rsid w:val="7FEE6D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FCD1F"/>
  <w15:docId w15:val="{3DCE8398-F54A-4535-9E1D-F824CCCE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027"/>
    <w:pPr>
      <w:spacing w:before="120" w:after="180" w:line="240" w:lineRule="atLeast"/>
    </w:pPr>
    <w:rPr>
      <w:rFonts w:ascii="Arial" w:eastAsia="Cambria" w:hAnsi="Arial" w:cs="Times New Roman"/>
      <w:color w:val="333F48"/>
      <w:sz w:val="21"/>
      <w:szCs w:val="21"/>
      <w:lang w:eastAsia="en-AU"/>
    </w:rPr>
  </w:style>
  <w:style w:type="paragraph" w:styleId="Heading1">
    <w:name w:val="heading 1"/>
    <w:basedOn w:val="Normal"/>
    <w:next w:val="Normal"/>
    <w:link w:val="Heading1Char"/>
    <w:qFormat/>
    <w:rsid w:val="00A875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outlineLvl w:val="1"/>
    </w:pPr>
    <w:rPr>
      <w:rFonts w:eastAsia="Times New Roman"/>
      <w:b/>
      <w:bCs/>
      <w:color w:val="001871"/>
      <w:sz w:val="38"/>
      <w:szCs w:val="38"/>
    </w:rPr>
  </w:style>
  <w:style w:type="paragraph" w:styleId="Heading3">
    <w:name w:val="heading 3"/>
    <w:basedOn w:val="Normal"/>
    <w:next w:val="Normal"/>
    <w:link w:val="Heading3Char"/>
    <w:qFormat/>
    <w:rsid w:val="00F02AEC"/>
    <w:pPr>
      <w:keepNext/>
      <w:keepLines/>
      <w:spacing w:before="480"/>
      <w:outlineLvl w:val="2"/>
    </w:pPr>
    <w:rPr>
      <w:rFonts w:eastAsia="Times New Roman"/>
      <w:b/>
      <w:bCs/>
      <w:color w:val="001871"/>
      <w:sz w:val="32"/>
      <w:szCs w:val="32"/>
    </w:rPr>
  </w:style>
  <w:style w:type="paragraph" w:styleId="Heading4">
    <w:name w:val="heading 4"/>
    <w:basedOn w:val="Normal"/>
    <w:next w:val="Normal"/>
    <w:link w:val="Heading4Char"/>
    <w:qFormat/>
    <w:rsid w:val="00F02AEC"/>
    <w:pPr>
      <w:keepNext/>
      <w:keepLines/>
      <w:spacing w:before="360"/>
      <w:outlineLvl w:val="3"/>
    </w:pPr>
    <w:rPr>
      <w:b/>
      <w:bCs/>
      <w:color w:val="001871"/>
      <w:sz w:val="28"/>
      <w:szCs w:val="26"/>
    </w:rPr>
  </w:style>
  <w:style w:type="paragraph" w:styleId="Heading5">
    <w:name w:val="heading 5"/>
    <w:basedOn w:val="Normal"/>
    <w:next w:val="Normal"/>
    <w:link w:val="Heading5Char"/>
    <w:uiPriority w:val="9"/>
    <w:qFormat/>
    <w:rsid w:val="00F02AEC"/>
    <w:pPr>
      <w:keepNext/>
      <w:keepLines/>
      <w:spacing w:before="240"/>
      <w:outlineLvl w:val="4"/>
    </w:pPr>
    <w:rPr>
      <w:rFonts w:eastAsia="Times New Roman"/>
      <w:b/>
      <w:bCs/>
      <w:i/>
      <w:color w:val="001871"/>
      <w:sz w:val="26"/>
      <w:szCs w:val="26"/>
    </w:rPr>
  </w:style>
  <w:style w:type="paragraph" w:styleId="Heading6">
    <w:name w:val="heading 6"/>
    <w:basedOn w:val="Normal"/>
    <w:next w:val="Normal"/>
    <w:link w:val="Heading6Char"/>
    <w:uiPriority w:val="9"/>
    <w:qFormat/>
    <w:rsid w:val="00F02AEC"/>
    <w:pPr>
      <w:keepNext/>
      <w:keepLines/>
      <w:spacing w:before="240"/>
      <w:outlineLvl w:val="5"/>
    </w:pPr>
    <w:rPr>
      <w:rFonts w:eastAsia="Times New Roman"/>
      <w:b/>
      <w:bCs/>
      <w:i/>
      <w:color w:val="001871"/>
      <w:sz w:val="24"/>
    </w:rPr>
  </w:style>
  <w:style w:type="paragraph" w:styleId="Heading7">
    <w:name w:val="heading 7"/>
    <w:basedOn w:val="Normal"/>
    <w:next w:val="Normal"/>
    <w:link w:val="Heading7Char"/>
    <w:uiPriority w:val="9"/>
    <w:qFormat/>
    <w:rsid w:val="00A87593"/>
    <w:pPr>
      <w:keepNext/>
      <w:adjustRightInd w:val="0"/>
      <w:snapToGrid w:val="0"/>
      <w:spacing w:before="180"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A87593"/>
    <w:pPr>
      <w:keepNext/>
      <w:keepLines/>
      <w:adjustRightInd w:val="0"/>
      <w:snapToGrid w:val="0"/>
      <w:spacing w:before="200" w:after="0"/>
      <w:outlineLvl w:val="7"/>
    </w:pPr>
    <w:rPr>
      <w:rFonts w:asciiTheme="majorHAnsi" w:eastAsiaTheme="majorEastAsia" w:hAnsiTheme="majorHAnsi" w:cstheme="majorHAnsi"/>
      <w:color w:val="404040" w:themeColor="text1" w:themeTint="BF"/>
    </w:rPr>
  </w:style>
  <w:style w:type="paragraph" w:styleId="Heading9">
    <w:name w:val="heading 9"/>
    <w:basedOn w:val="Normal"/>
    <w:next w:val="Normal"/>
    <w:link w:val="Heading9Char"/>
    <w:unhideWhenUsed/>
    <w:qFormat/>
    <w:rsid w:val="00A87593"/>
    <w:pPr>
      <w:keepNext/>
      <w:keepLines/>
      <w:adjustRightInd w:val="0"/>
      <w:snapToGrid w:val="0"/>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0E43C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after="0"/>
    </w:pPr>
    <w:rPr>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qFormat/>
    <w:rsid w:val="00F02AEC"/>
    <w:pPr>
      <w:tabs>
        <w:tab w:val="center" w:pos="4513"/>
        <w:tab w:val="right" w:pos="9026"/>
      </w:tabs>
      <w:spacing w:after="0" w:line="240" w:lineRule="auto"/>
    </w:pPr>
    <w:rPr>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F02AEC"/>
    <w:rPr>
      <w:rFonts w:ascii="Arial" w:hAnsi="Arial"/>
      <w:color w:val="0000FF"/>
      <w:u w:val="single"/>
    </w:rPr>
  </w:style>
  <w:style w:type="paragraph" w:customStyle="1" w:styleId="LegalCopy">
    <w:name w:val="Legal Copy"/>
    <w:basedOn w:val="Footer"/>
    <w:qFormat/>
    <w:rsid w:val="00F02AEC"/>
  </w:style>
  <w:style w:type="paragraph" w:customStyle="1" w:styleId="LegalSubheading">
    <w:name w:val="Legal Subheading"/>
    <w:basedOn w:val="Footer"/>
    <w:qFormat/>
    <w:rsid w:val="00F02AEC"/>
    <w:pPr>
      <w:outlineLvl w:val="1"/>
    </w:pPr>
    <w:rPr>
      <w:b/>
    </w:rPr>
  </w:style>
  <w:style w:type="paragraph" w:styleId="ListBullet">
    <w:name w:val="List Bullet"/>
    <w:basedOn w:val="Normal"/>
    <w:uiPriority w:val="2"/>
    <w:qFormat/>
    <w:rsid w:val="00353E34"/>
    <w:pPr>
      <w:numPr>
        <w:numId w:val="15"/>
      </w:numPr>
    </w:pPr>
    <w:rPr>
      <w:rFonts w:cstheme="minorHAnsi"/>
    </w:rPr>
  </w:style>
  <w:style w:type="paragraph" w:styleId="ListBullet2">
    <w:name w:val="List Bullet 2"/>
    <w:basedOn w:val="Normal"/>
    <w:link w:val="ListBullet2Char"/>
    <w:uiPriority w:val="2"/>
    <w:qFormat/>
    <w:rsid w:val="00E831DC"/>
    <w:pPr>
      <w:numPr>
        <w:ilvl w:val="1"/>
        <w:numId w:val="19"/>
      </w:numPr>
    </w:pPr>
  </w:style>
  <w:style w:type="paragraph" w:styleId="ListBullet3">
    <w:name w:val="List Bullet 3"/>
    <w:basedOn w:val="Normal"/>
    <w:uiPriority w:val="99"/>
    <w:qFormat/>
    <w:rsid w:val="00F02AEC"/>
    <w:pPr>
      <w:numPr>
        <w:numId w:val="2"/>
      </w:numPr>
      <w:ind w:left="1276" w:hanging="425"/>
    </w:pPr>
  </w:style>
  <w:style w:type="numbering" w:customStyle="1" w:styleId="ListBullets">
    <w:name w:val="ListBullets"/>
    <w:uiPriority w:val="99"/>
    <w:locked/>
    <w:rsid w:val="00F02AEC"/>
    <w:pPr>
      <w:numPr>
        <w:numId w:val="18"/>
      </w:numPr>
    </w:pPr>
  </w:style>
  <w:style w:type="paragraph" w:customStyle="1" w:styleId="Numberbullet0">
    <w:name w:val="Number bullet"/>
    <w:basedOn w:val="ListBullet"/>
    <w:uiPriority w:val="3"/>
    <w:qFormat/>
    <w:rsid w:val="00B46BC0"/>
    <w:pPr>
      <w:numPr>
        <w:numId w:val="1"/>
      </w:numPr>
    </w:pPr>
  </w:style>
  <w:style w:type="paragraph" w:customStyle="1" w:styleId="Legislativeletterbullet">
    <w:name w:val="Legislative letter bullet"/>
    <w:basedOn w:val="ListBullet2"/>
    <w:link w:val="LegislativeletterbulletChar"/>
    <w:uiPriority w:val="2"/>
    <w:qFormat/>
    <w:rsid w:val="00466BAD"/>
    <w:pPr>
      <w:numPr>
        <w:ilvl w:val="0"/>
        <w:numId w:val="13"/>
      </w:numPr>
    </w:pPr>
  </w:style>
  <w:style w:type="paragraph" w:customStyle="1" w:styleId="Numberbullet3">
    <w:name w:val="Number bullet 3"/>
    <w:basedOn w:val="Normal"/>
    <w:uiPriority w:val="2"/>
    <w:qFormat/>
    <w:rsid w:val="00F02AEC"/>
    <w:pPr>
      <w:numPr>
        <w:numId w:val="3"/>
      </w:numPr>
      <w:ind w:left="1361" w:hanging="397"/>
    </w:pPr>
  </w:style>
  <w:style w:type="numbering" w:customStyle="1" w:styleId="NumberBullet">
    <w:name w:val="NumberBullet"/>
    <w:uiPriority w:val="99"/>
    <w:locked/>
    <w:rsid w:val="00F02AEC"/>
    <w:pPr>
      <w:numPr>
        <w:numId w:val="1"/>
      </w:numPr>
    </w:pPr>
  </w:style>
  <w:style w:type="paragraph" w:styleId="Subtitle">
    <w:name w:val="Subtitle"/>
    <w:basedOn w:val="Normal"/>
    <w:link w:val="SubtitleChar"/>
    <w:uiPriority w:val="11"/>
    <w:qFormat/>
    <w:rsid w:val="00F02AEC"/>
    <w:pPr>
      <w:numPr>
        <w:ilvl w:val="1"/>
      </w:numPr>
      <w:spacing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3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qFormat/>
    <w:rsid w:val="00F02AEC"/>
    <w:pPr>
      <w:spacing w:after="360"/>
      <w:jc w:val="center"/>
    </w:pPr>
    <w:rPr>
      <w:b/>
      <w:sz w:val="28"/>
    </w:rPr>
  </w:style>
  <w:style w:type="paragraph" w:styleId="Title">
    <w:name w:val="Title"/>
    <w:link w:val="TitleChar"/>
    <w:uiPriority w:val="10"/>
    <w:qFormat/>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after="200"/>
    </w:pPr>
    <w:rPr>
      <w:b/>
      <w:sz w:val="32"/>
    </w:rPr>
  </w:style>
  <w:style w:type="paragraph" w:styleId="TOC2">
    <w:name w:val="toc 2"/>
    <w:basedOn w:val="Normal"/>
    <w:next w:val="Normal"/>
    <w:uiPriority w:val="39"/>
    <w:unhideWhenUsed/>
    <w:rsid w:val="00F02AEC"/>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02AEC"/>
    <w:pPr>
      <w:keepNext/>
      <w:keepLines/>
      <w:tabs>
        <w:tab w:val="right" w:leader="hyphen" w:pos="8505"/>
      </w:tabs>
      <w:spacing w:after="100"/>
      <w:ind w:left="851"/>
    </w:pPr>
    <w:rPr>
      <w:b/>
    </w:rPr>
  </w:style>
  <w:style w:type="paragraph" w:styleId="FootnoteText">
    <w:name w:val="footnote text"/>
    <w:basedOn w:val="Normal"/>
    <w:link w:val="FootnoteTextChar"/>
    <w:uiPriority w:val="99"/>
    <w:rsid w:val="00F02AEC"/>
    <w:pPr>
      <w:keepLines/>
      <w:spacing w:after="0"/>
    </w:pPr>
  </w:style>
  <w:style w:type="character" w:customStyle="1" w:styleId="FootnoteTextChar">
    <w:name w:val="Footnote Text Char"/>
    <w:basedOn w:val="DefaultParagraphFont"/>
    <w:link w:val="FootnoteText"/>
    <w:uiPriority w:val="99"/>
    <w:rsid w:val="00F02AEC"/>
    <w:rPr>
      <w:rFonts w:ascii="Arial" w:eastAsia="Cambria" w:hAnsi="Arial" w:cs="Times New Roman"/>
      <w:color w:val="333F48"/>
      <w:sz w:val="20"/>
      <w:szCs w:val="20"/>
    </w:rPr>
  </w:style>
  <w:style w:type="character" w:styleId="FootnoteReference">
    <w:name w:val="footnote reference"/>
    <w:aliases w:val="(NECG) 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outlineLvl w:val="1"/>
    </w:pPr>
    <w:rPr>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after="240" w:line="180" w:lineRule="atLeast"/>
    </w:pPr>
    <w:rPr>
      <w:sz w:val="18"/>
    </w:rPr>
  </w:style>
  <w:style w:type="paragraph" w:customStyle="1" w:styleId="Tabletitle">
    <w:name w:val="Table title"/>
    <w:basedOn w:val="Normal"/>
    <w:next w:val="Normal"/>
    <w:rsid w:val="00F02AEC"/>
    <w:pPr>
      <w:keepNext/>
    </w:pPr>
    <w:rPr>
      <w:b/>
    </w:rPr>
  </w:style>
  <w:style w:type="paragraph" w:customStyle="1" w:styleId="Address">
    <w:name w:val="Address"/>
    <w:basedOn w:val="Normal"/>
    <w:rsid w:val="00F02AEC"/>
    <w:pPr>
      <w:spacing w:after="0" w:line="240" w:lineRule="auto"/>
    </w:pPr>
  </w:style>
  <w:style w:type="paragraph" w:customStyle="1" w:styleId="ListBullet-dotick">
    <w:name w:val="List Bullet - do (tick)"/>
    <w:basedOn w:val="ListBullet"/>
    <w:autoRedefine/>
    <w:uiPriority w:val="1"/>
    <w:qFormat/>
    <w:rsid w:val="00F02AEC"/>
    <w:pPr>
      <w:numPr>
        <w:numId w:val="4"/>
      </w:numPr>
      <w:tabs>
        <w:tab w:val="left" w:pos="425"/>
      </w:tabs>
    </w:pPr>
  </w:style>
  <w:style w:type="paragraph" w:customStyle="1" w:styleId="ListBullet-donotcross">
    <w:name w:val="List Bullet - do not (cross)"/>
    <w:basedOn w:val="ListBullet"/>
    <w:autoRedefine/>
    <w:uiPriority w:val="1"/>
    <w:qFormat/>
    <w:rsid w:val="003E136F"/>
    <w:pPr>
      <w:numPr>
        <w:numId w:val="5"/>
      </w:numPr>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styleId="FollowedHyperlink">
    <w:name w:val="FollowedHyperlink"/>
    <w:basedOn w:val="DefaultParagraphFont"/>
    <w:uiPriority w:val="99"/>
    <w:unhideWhenUsed/>
    <w:rsid w:val="00E90A72"/>
    <w:rPr>
      <w:color w:val="954F72" w:themeColor="followedHyperlink"/>
      <w:u w:val="single"/>
    </w:rPr>
  </w:style>
  <w:style w:type="character" w:styleId="UnresolvedMention">
    <w:name w:val="Unresolved Mention"/>
    <w:basedOn w:val="DefaultParagraphFont"/>
    <w:uiPriority w:val="99"/>
    <w:semiHidden/>
    <w:unhideWhenUsed/>
    <w:rsid w:val="00E90A72"/>
    <w:rPr>
      <w:color w:val="605E5C"/>
      <w:shd w:val="clear" w:color="auto" w:fill="E1DFDD"/>
    </w:rPr>
  </w:style>
  <w:style w:type="paragraph" w:styleId="ListParagraph">
    <w:name w:val="List Paragraph"/>
    <w:basedOn w:val="Normal"/>
    <w:uiPriority w:val="34"/>
    <w:qFormat/>
    <w:rsid w:val="001308DB"/>
    <w:pPr>
      <w:spacing w:after="160"/>
      <w:ind w:left="720"/>
      <w:contextualSpacing/>
    </w:pPr>
    <w:rPr>
      <w:rFonts w:ascii="Times New Roman" w:hAnsi="Times New Roman"/>
      <w:sz w:val="24"/>
      <w:szCs w:val="24"/>
    </w:rPr>
  </w:style>
  <w:style w:type="character" w:customStyle="1" w:styleId="Heading1Char">
    <w:name w:val="Heading 1 Char"/>
    <w:basedOn w:val="DefaultParagraphFont"/>
    <w:link w:val="Heading1"/>
    <w:rsid w:val="00A87593"/>
    <w:rPr>
      <w:rFonts w:asciiTheme="majorHAnsi" w:eastAsiaTheme="majorEastAsia" w:hAnsiTheme="majorHAnsi" w:cstheme="majorBidi"/>
      <w:color w:val="2F5496" w:themeColor="accent1" w:themeShade="BF"/>
      <w:sz w:val="32"/>
      <w:szCs w:val="32"/>
    </w:rPr>
  </w:style>
  <w:style w:type="character" w:customStyle="1" w:styleId="Heading7Char">
    <w:name w:val="Heading 7 Char"/>
    <w:basedOn w:val="DefaultParagraphFont"/>
    <w:link w:val="Heading7"/>
    <w:uiPriority w:val="9"/>
    <w:rsid w:val="00A87593"/>
    <w:rPr>
      <w:rFonts w:asciiTheme="majorHAnsi" w:eastAsia="Times New Roman" w:hAnsiTheme="majorHAnsi" w:cstheme="majorHAnsi"/>
      <w:bCs/>
      <w:sz w:val="18"/>
      <w:szCs w:val="24"/>
    </w:rPr>
  </w:style>
  <w:style w:type="character" w:customStyle="1" w:styleId="Heading8Char">
    <w:name w:val="Heading 8 Char"/>
    <w:basedOn w:val="DefaultParagraphFont"/>
    <w:link w:val="Heading8"/>
    <w:rsid w:val="00A87593"/>
    <w:rPr>
      <w:rFonts w:asciiTheme="majorHAnsi" w:eastAsiaTheme="majorEastAsia" w:hAnsiTheme="majorHAnsi" w:cstheme="majorHAnsi"/>
      <w:color w:val="404040" w:themeColor="text1" w:themeTint="BF"/>
    </w:rPr>
  </w:style>
  <w:style w:type="character" w:customStyle="1" w:styleId="Heading9Char">
    <w:name w:val="Heading 9 Char"/>
    <w:basedOn w:val="DefaultParagraphFont"/>
    <w:link w:val="Heading9"/>
    <w:rsid w:val="00A87593"/>
    <w:rPr>
      <w:rFonts w:asciiTheme="majorHAnsi" w:eastAsiaTheme="majorEastAsia" w:hAnsiTheme="majorHAnsi" w:cstheme="majorBidi"/>
      <w:i/>
      <w:iCs/>
      <w:color w:val="404040" w:themeColor="text1" w:themeTint="BF"/>
    </w:rPr>
  </w:style>
  <w:style w:type="character" w:styleId="PageNumber">
    <w:name w:val="page number"/>
    <w:basedOn w:val="DefaultParagraphFont"/>
    <w:rsid w:val="00A87593"/>
    <w:rPr>
      <w:rFonts w:ascii="Arial" w:hAnsi="Arial"/>
      <w:sz w:val="16"/>
    </w:rPr>
  </w:style>
  <w:style w:type="paragraph" w:styleId="BalloonText">
    <w:name w:val="Balloon Text"/>
    <w:basedOn w:val="Normal"/>
    <w:link w:val="BalloonTextChar"/>
    <w:uiPriority w:val="99"/>
    <w:unhideWhenUsed/>
    <w:rsid w:val="00A87593"/>
    <w:pPr>
      <w:adjustRightInd w:val="0"/>
      <w:snapToGrid w:val="0"/>
      <w:spacing w:before="180" w:after="0"/>
    </w:pPr>
    <w:rPr>
      <w:rFonts w:ascii="Tahoma" w:hAnsi="Tahoma" w:cs="Tahoma"/>
      <w:sz w:val="16"/>
      <w:szCs w:val="16"/>
    </w:rPr>
  </w:style>
  <w:style w:type="character" w:customStyle="1" w:styleId="BalloonTextChar">
    <w:name w:val="Balloon Text Char"/>
    <w:basedOn w:val="DefaultParagraphFont"/>
    <w:link w:val="BalloonText"/>
    <w:uiPriority w:val="99"/>
    <w:rsid w:val="00A87593"/>
    <w:rPr>
      <w:rFonts w:ascii="Tahoma" w:eastAsia="Cambria" w:hAnsi="Tahoma" w:cs="Tahoma"/>
      <w:sz w:val="16"/>
      <w:szCs w:val="16"/>
    </w:rPr>
  </w:style>
  <w:style w:type="character" w:customStyle="1" w:styleId="ABN">
    <w:name w:val="ABN"/>
    <w:basedOn w:val="DefaultParagraphFont"/>
    <w:uiPriority w:val="1"/>
    <w:qFormat/>
    <w:rsid w:val="00A87593"/>
    <w:rPr>
      <w:color w:val="44546A" w:themeColor="text2"/>
      <w:sz w:val="14"/>
    </w:rPr>
  </w:style>
  <w:style w:type="paragraph" w:customStyle="1" w:styleId="SubmissionID">
    <w:name w:val="Submission ID"/>
    <w:basedOn w:val="Normal"/>
    <w:rsid w:val="00A87593"/>
    <w:pPr>
      <w:adjustRightInd w:val="0"/>
      <w:snapToGrid w:val="0"/>
      <w:spacing w:before="180"/>
    </w:pPr>
    <w:rPr>
      <w:rFonts w:cs="Arial"/>
      <w:b/>
      <w:sz w:val="22"/>
      <w:szCs w:val="22"/>
    </w:rPr>
  </w:style>
  <w:style w:type="paragraph" w:customStyle="1" w:styleId="ExpiryDate">
    <w:name w:val="Expiry Date"/>
    <w:basedOn w:val="Normal"/>
    <w:rsid w:val="00A87593"/>
    <w:pPr>
      <w:adjustRightInd w:val="0"/>
      <w:snapToGrid w:val="0"/>
      <w:spacing w:before="180"/>
      <w:jc w:val="right"/>
    </w:pPr>
    <w:rPr>
      <w:rFonts w:cs="Arial"/>
      <w:b/>
      <w:sz w:val="22"/>
      <w:szCs w:val="22"/>
    </w:rPr>
  </w:style>
  <w:style w:type="character" w:styleId="PlaceholderText">
    <w:name w:val="Placeholder Text"/>
    <w:basedOn w:val="DefaultParagraphFont"/>
    <w:uiPriority w:val="99"/>
    <w:semiHidden/>
    <w:rsid w:val="00A87593"/>
    <w:rPr>
      <w:color w:val="808080"/>
    </w:rPr>
  </w:style>
  <w:style w:type="paragraph" w:customStyle="1" w:styleId="Code">
    <w:name w:val="Code"/>
    <w:basedOn w:val="Footer"/>
    <w:rsid w:val="00A87593"/>
    <w:pPr>
      <w:tabs>
        <w:tab w:val="clear" w:pos="4513"/>
        <w:tab w:val="clear" w:pos="9026"/>
        <w:tab w:val="right" w:pos="9639"/>
      </w:tabs>
      <w:adjustRightInd w:val="0"/>
      <w:snapToGrid w:val="0"/>
      <w:spacing w:before="180" w:after="180" w:line="240" w:lineRule="atLeast"/>
    </w:pPr>
    <w:rPr>
      <w:rFonts w:cstheme="majorHAnsi"/>
      <w:color w:val="auto"/>
      <w:sz w:val="14"/>
      <w:szCs w:val="14"/>
      <w:lang w:val="fr-FR"/>
    </w:rPr>
  </w:style>
  <w:style w:type="paragraph" w:customStyle="1" w:styleId="IDNumber">
    <w:name w:val="IDNumber"/>
    <w:basedOn w:val="Normal"/>
    <w:rsid w:val="00A87593"/>
    <w:pPr>
      <w:adjustRightInd w:val="0"/>
      <w:snapToGrid w:val="0"/>
      <w:spacing w:before="180"/>
    </w:pPr>
    <w:rPr>
      <w:rFonts w:cs="Arial"/>
      <w:b/>
      <w:sz w:val="10"/>
      <w:szCs w:val="22"/>
    </w:rPr>
  </w:style>
  <w:style w:type="paragraph" w:customStyle="1" w:styleId="Reference">
    <w:name w:val="Reference"/>
    <w:basedOn w:val="Normal"/>
    <w:rsid w:val="00A87593"/>
    <w:pPr>
      <w:adjustRightInd w:val="0"/>
      <w:snapToGrid w:val="0"/>
      <w:spacing w:after="0" w:line="180" w:lineRule="atLeast"/>
    </w:pPr>
    <w:rPr>
      <w:rFonts w:cs="Arial"/>
      <w:sz w:val="22"/>
      <w:szCs w:val="22"/>
    </w:rPr>
  </w:style>
  <w:style w:type="table" w:customStyle="1" w:styleId="TableTGA">
    <w:name w:val="Table TGA"/>
    <w:basedOn w:val="TableNormal"/>
    <w:uiPriority w:val="99"/>
    <w:qFormat/>
    <w:rsid w:val="00A87593"/>
    <w:pPr>
      <w:spacing w:after="0" w:line="240" w:lineRule="auto"/>
    </w:pPr>
    <w:rPr>
      <w:rFonts w:asciiTheme="majorHAnsi" w:eastAsia="MS Mincho" w:hAnsiTheme="majorHAnsi" w:cs="Times New Roman"/>
      <w:sz w:val="18"/>
      <w:lang w:eastAsia="en-AU"/>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TableCopy">
    <w:name w:val="Table Copy"/>
    <w:basedOn w:val="Normal"/>
    <w:qFormat/>
    <w:rsid w:val="00A87593"/>
    <w:pPr>
      <w:adjustRightInd w:val="0"/>
      <w:snapToGrid w:val="0"/>
      <w:spacing w:before="180"/>
    </w:pPr>
    <w:rPr>
      <w:rFonts w:cs="Arial"/>
      <w:sz w:val="18"/>
      <w:szCs w:val="22"/>
    </w:rPr>
  </w:style>
  <w:style w:type="paragraph" w:customStyle="1" w:styleId="TableHeadings">
    <w:name w:val="Table Headings"/>
    <w:basedOn w:val="Normal"/>
    <w:qFormat/>
    <w:rsid w:val="00A87593"/>
    <w:pPr>
      <w:adjustRightInd w:val="0"/>
      <w:snapToGrid w:val="0"/>
      <w:spacing w:before="180"/>
    </w:pPr>
    <w:rPr>
      <w:rFonts w:cs="Arial"/>
      <w:b/>
      <w:color w:val="FFFFFF" w:themeColor="background1"/>
      <w:spacing w:val="-4"/>
      <w:sz w:val="22"/>
      <w:szCs w:val="22"/>
    </w:rPr>
  </w:style>
  <w:style w:type="paragraph" w:customStyle="1" w:styleId="Heading1-Title">
    <w:name w:val="Heading 1 - Title"/>
    <w:basedOn w:val="Title"/>
    <w:rsid w:val="00A87593"/>
    <w:pPr>
      <w:spacing w:before="240" w:after="480"/>
      <w:outlineLvl w:val="9"/>
    </w:pPr>
    <w:rPr>
      <w:color w:val="auto"/>
    </w:rPr>
  </w:style>
  <w:style w:type="paragraph" w:customStyle="1" w:styleId="Subtitle0">
    <w:name w:val="Sub title"/>
    <w:basedOn w:val="Title"/>
    <w:qFormat/>
    <w:rsid w:val="00A87593"/>
    <w:pPr>
      <w:spacing w:before="120" w:after="360" w:line="240" w:lineRule="atLeast"/>
      <w:contextualSpacing w:val="0"/>
      <w:outlineLvl w:val="9"/>
    </w:pPr>
    <w:rPr>
      <w:color w:val="A5A5A5" w:themeColor="accent3"/>
      <w:sz w:val="28"/>
    </w:rPr>
  </w:style>
  <w:style w:type="paragraph" w:styleId="ListNumber">
    <w:name w:val="List Number"/>
    <w:basedOn w:val="Normal"/>
    <w:rsid w:val="00A87593"/>
    <w:pPr>
      <w:numPr>
        <w:numId w:val="6"/>
      </w:numPr>
      <w:adjustRightInd w:val="0"/>
      <w:snapToGrid w:val="0"/>
      <w:spacing w:before="180"/>
      <w:ind w:left="425" w:hanging="425"/>
    </w:pPr>
    <w:rPr>
      <w:rFonts w:cs="Arial"/>
      <w:sz w:val="22"/>
      <w:szCs w:val="22"/>
    </w:rPr>
  </w:style>
  <w:style w:type="paragraph" w:styleId="ListNumber2">
    <w:name w:val="List Number 2"/>
    <w:basedOn w:val="Normal"/>
    <w:rsid w:val="00A87593"/>
    <w:pPr>
      <w:numPr>
        <w:numId w:val="7"/>
      </w:numPr>
      <w:adjustRightInd w:val="0"/>
      <w:snapToGrid w:val="0"/>
      <w:spacing w:before="180"/>
      <w:ind w:left="850" w:hanging="425"/>
    </w:pPr>
    <w:rPr>
      <w:rFonts w:cs="Arial"/>
      <w:sz w:val="22"/>
      <w:szCs w:val="22"/>
    </w:rPr>
  </w:style>
  <w:style w:type="paragraph" w:styleId="ListNumber3">
    <w:name w:val="List Number 3"/>
    <w:basedOn w:val="Normal"/>
    <w:rsid w:val="00A87593"/>
    <w:pPr>
      <w:numPr>
        <w:numId w:val="8"/>
      </w:numPr>
      <w:adjustRightInd w:val="0"/>
      <w:snapToGrid w:val="0"/>
      <w:spacing w:before="180"/>
      <w:ind w:left="1259" w:hanging="408"/>
    </w:pPr>
    <w:rPr>
      <w:rFonts w:cs="Arial"/>
      <w:sz w:val="22"/>
      <w:szCs w:val="22"/>
    </w:rPr>
  </w:style>
  <w:style w:type="paragraph" w:customStyle="1" w:styleId="AxisLabel">
    <w:name w:val="Axis Label"/>
    <w:basedOn w:val="Normal"/>
    <w:rsid w:val="00A87593"/>
    <w:pPr>
      <w:adjustRightInd w:val="0"/>
      <w:snapToGrid w:val="0"/>
      <w:spacing w:before="180" w:after="0" w:line="240" w:lineRule="auto"/>
    </w:pPr>
    <w:rPr>
      <w:rFonts w:cs="Arial"/>
      <w:noProof/>
      <w:sz w:val="14"/>
      <w:szCs w:val="22"/>
    </w:rPr>
  </w:style>
  <w:style w:type="paragraph" w:customStyle="1" w:styleId="AxisTitle">
    <w:name w:val="Axis Title"/>
    <w:basedOn w:val="Normal"/>
    <w:rsid w:val="00A87593"/>
    <w:pPr>
      <w:adjustRightInd w:val="0"/>
      <w:snapToGrid w:val="0"/>
      <w:spacing w:before="180" w:after="0" w:line="240" w:lineRule="auto"/>
    </w:pPr>
    <w:rPr>
      <w:rFonts w:cs="Arial"/>
      <w:sz w:val="16"/>
      <w:szCs w:val="22"/>
    </w:rPr>
  </w:style>
  <w:style w:type="paragraph" w:styleId="Caption">
    <w:name w:val="caption"/>
    <w:basedOn w:val="Normal"/>
    <w:next w:val="Normal"/>
    <w:uiPriority w:val="35"/>
    <w:rsid w:val="00A87593"/>
    <w:pPr>
      <w:adjustRightInd w:val="0"/>
      <w:snapToGrid w:val="0"/>
      <w:spacing w:before="240" w:after="0"/>
    </w:pPr>
    <w:rPr>
      <w:rFonts w:cs="Arial"/>
      <w:b/>
      <w:sz w:val="22"/>
      <w:szCs w:val="18"/>
    </w:rPr>
  </w:style>
  <w:style w:type="paragraph" w:customStyle="1" w:styleId="Contents">
    <w:name w:val="Contents"/>
    <w:basedOn w:val="Normal"/>
    <w:rsid w:val="00A87593"/>
    <w:pPr>
      <w:adjustRightInd w:val="0"/>
      <w:snapToGrid w:val="0"/>
      <w:spacing w:after="360"/>
    </w:pPr>
    <w:rPr>
      <w:rFonts w:cs="Arial"/>
      <w:b/>
      <w:sz w:val="64"/>
      <w:szCs w:val="22"/>
    </w:rPr>
  </w:style>
  <w:style w:type="paragraph" w:customStyle="1" w:styleId="FigureCaption">
    <w:name w:val="Figure Caption"/>
    <w:basedOn w:val="Normal"/>
    <w:qFormat/>
    <w:rsid w:val="00A87593"/>
    <w:pPr>
      <w:adjustRightInd w:val="0"/>
      <w:snapToGrid w:val="0"/>
      <w:spacing w:after="0"/>
    </w:pPr>
    <w:rPr>
      <w:rFonts w:cs="Arial"/>
    </w:rPr>
  </w:style>
  <w:style w:type="paragraph" w:customStyle="1" w:styleId="FigureTitle">
    <w:name w:val="Figure Title"/>
    <w:basedOn w:val="Normal"/>
    <w:qFormat/>
    <w:rsid w:val="00A87593"/>
    <w:pPr>
      <w:adjustRightInd w:val="0"/>
      <w:snapToGrid w:val="0"/>
      <w:spacing w:before="180" w:line="220" w:lineRule="atLeast"/>
    </w:pPr>
    <w:rPr>
      <w:rFonts w:cs="Arial"/>
      <w:b/>
      <w:sz w:val="22"/>
      <w:szCs w:val="22"/>
    </w:rPr>
  </w:style>
  <w:style w:type="paragraph" w:customStyle="1" w:styleId="FlowChartWhiteHeading">
    <w:name w:val="Flow Chart White Heading"/>
    <w:basedOn w:val="Normal"/>
    <w:rsid w:val="00A87593"/>
    <w:pPr>
      <w:adjustRightInd w:val="0"/>
      <w:snapToGrid w:val="0"/>
      <w:jc w:val="center"/>
    </w:pPr>
    <w:rPr>
      <w:rFonts w:cs="Arial"/>
      <w:b/>
      <w:color w:val="FFFFFF"/>
      <w:sz w:val="22"/>
      <w:szCs w:val="22"/>
    </w:rPr>
  </w:style>
  <w:style w:type="paragraph" w:customStyle="1" w:styleId="FlowChartBlackHeading">
    <w:name w:val="Flow Chart Black Heading"/>
    <w:basedOn w:val="FlowChartWhiteHeading"/>
    <w:rsid w:val="00A87593"/>
    <w:rPr>
      <w:color w:val="auto"/>
    </w:rPr>
  </w:style>
  <w:style w:type="paragraph" w:customStyle="1" w:styleId="FlowChartWhiteText">
    <w:name w:val="Flow Chart White Text"/>
    <w:basedOn w:val="Normal"/>
    <w:rsid w:val="00A87593"/>
    <w:pPr>
      <w:adjustRightInd w:val="0"/>
      <w:snapToGrid w:val="0"/>
      <w:spacing w:after="0"/>
      <w:jc w:val="center"/>
    </w:pPr>
    <w:rPr>
      <w:rFonts w:cs="Arial"/>
      <w:color w:val="FFFFFF"/>
      <w:sz w:val="22"/>
      <w:szCs w:val="22"/>
    </w:rPr>
  </w:style>
  <w:style w:type="paragraph" w:customStyle="1" w:styleId="FlowchartText">
    <w:name w:val="Flowchart Text"/>
    <w:basedOn w:val="Normal"/>
    <w:rsid w:val="00A87593"/>
    <w:pPr>
      <w:adjustRightInd w:val="0"/>
      <w:snapToGrid w:val="0"/>
      <w:spacing w:after="0"/>
      <w:jc w:val="center"/>
    </w:pPr>
    <w:rPr>
      <w:rFonts w:cs="Arial"/>
      <w:sz w:val="22"/>
      <w:szCs w:val="22"/>
    </w:rPr>
  </w:style>
  <w:style w:type="paragraph" w:customStyle="1" w:styleId="Key">
    <w:name w:val="Key"/>
    <w:basedOn w:val="Normal"/>
    <w:rsid w:val="00A87593"/>
    <w:pPr>
      <w:adjustRightInd w:val="0"/>
      <w:snapToGrid w:val="0"/>
      <w:spacing w:before="180"/>
    </w:pPr>
    <w:rPr>
      <w:rFonts w:cs="Arial"/>
      <w:sz w:val="14"/>
      <w:szCs w:val="22"/>
    </w:rPr>
  </w:style>
  <w:style w:type="table" w:styleId="LightShading-Accent2">
    <w:name w:val="Light Shading Accent 2"/>
    <w:basedOn w:val="TableNormal"/>
    <w:uiPriority w:val="60"/>
    <w:rsid w:val="00A87593"/>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5">
    <w:name w:val="Medium Grid 2 Accent 5"/>
    <w:basedOn w:val="TableNormal"/>
    <w:uiPriority w:val="68"/>
    <w:rsid w:val="00A87593"/>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0">
    <w:name w:val="Non TOC Heading 2"/>
    <w:basedOn w:val="Normal"/>
    <w:rsid w:val="00A87593"/>
    <w:pPr>
      <w:adjustRightInd w:val="0"/>
      <w:snapToGrid w:val="0"/>
      <w:spacing w:before="180"/>
    </w:pPr>
    <w:rPr>
      <w:rFonts w:cs="Arial"/>
      <w:b/>
      <w:sz w:val="32"/>
      <w:szCs w:val="22"/>
    </w:rPr>
  </w:style>
  <w:style w:type="paragraph" w:customStyle="1" w:styleId="Notes">
    <w:name w:val="Notes"/>
    <w:basedOn w:val="Normal"/>
    <w:qFormat/>
    <w:locked/>
    <w:rsid w:val="00A87593"/>
    <w:pPr>
      <w:adjustRightInd w:val="0"/>
      <w:snapToGrid w:val="0"/>
      <w:spacing w:before="180" w:after="0" w:line="240" w:lineRule="auto"/>
    </w:pPr>
    <w:rPr>
      <w:rFonts w:cs="Arial"/>
      <w:sz w:val="16"/>
      <w:szCs w:val="22"/>
    </w:rPr>
  </w:style>
  <w:style w:type="paragraph" w:customStyle="1" w:styleId="Subject">
    <w:name w:val="Subject"/>
    <w:basedOn w:val="Normal"/>
    <w:rsid w:val="00A87593"/>
    <w:pPr>
      <w:adjustRightInd w:val="0"/>
      <w:snapToGrid w:val="0"/>
      <w:spacing w:before="180"/>
    </w:pPr>
    <w:rPr>
      <w:rFonts w:cs="Arial"/>
      <w:b/>
      <w:sz w:val="22"/>
      <w:szCs w:val="22"/>
    </w:rPr>
  </w:style>
  <w:style w:type="paragraph" w:customStyle="1" w:styleId="TableCaption">
    <w:name w:val="Table Caption"/>
    <w:basedOn w:val="FigureCaption"/>
    <w:qFormat/>
    <w:rsid w:val="00A87593"/>
    <w:pPr>
      <w:spacing w:after="240"/>
    </w:pPr>
    <w:rPr>
      <w:sz w:val="17"/>
    </w:rPr>
  </w:style>
  <w:style w:type="table" w:customStyle="1" w:styleId="TableTGAblue">
    <w:name w:val="Table TGA blue"/>
    <w:basedOn w:val="TableNormal"/>
    <w:uiPriority w:val="99"/>
    <w:qFormat/>
    <w:rsid w:val="00A87593"/>
    <w:pPr>
      <w:spacing w:after="0" w:line="240" w:lineRule="auto"/>
    </w:pPr>
    <w:rPr>
      <w:rFonts w:ascii="Cambria" w:eastAsia="Cambria" w:hAnsi="Cambria" w:cs="Times New Roman"/>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Bahnschrift Light Condensed" w:hAnsi="Bahnschrift Light Condensed"/>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87593"/>
    <w:pPr>
      <w:spacing w:before="12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Bahnschrift Light Condensed" w:hAnsi="Bahnschrift Light Condensed"/>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Bahnschrift Light Condensed" w:hAnsi="Bahnschrift Light Condensed"/>
        <w:b/>
        <w:i w:val="0"/>
        <w:color w:val="FFFFFF"/>
        <w:sz w:val="19"/>
      </w:rPr>
    </w:tblStylePr>
  </w:style>
  <w:style w:type="paragraph" w:customStyle="1" w:styleId="TableTitle0">
    <w:name w:val="Table Title"/>
    <w:basedOn w:val="Normal"/>
    <w:qFormat/>
    <w:rsid w:val="00A87593"/>
    <w:pPr>
      <w:adjustRightInd w:val="0"/>
      <w:snapToGrid w:val="0"/>
      <w:spacing w:before="180"/>
    </w:pPr>
    <w:rPr>
      <w:rFonts w:cs="Arial"/>
      <w:b/>
      <w:szCs w:val="22"/>
    </w:rPr>
  </w:style>
  <w:style w:type="paragraph" w:styleId="TOCHeading">
    <w:name w:val="TOC Heading"/>
    <w:basedOn w:val="Heading1"/>
    <w:next w:val="Normal"/>
    <w:uiPriority w:val="39"/>
    <w:unhideWhenUsed/>
    <w:qFormat/>
    <w:rsid w:val="00A87593"/>
    <w:pPr>
      <w:adjustRightInd w:val="0"/>
      <w:snapToGrid w:val="0"/>
      <w:spacing w:line="276" w:lineRule="auto"/>
      <w:outlineLvl w:val="9"/>
    </w:pPr>
    <w:rPr>
      <w:rFonts w:eastAsia="Times New Roman" w:cstheme="minorBidi"/>
      <w:b/>
      <w:color w:val="002035"/>
      <w:sz w:val="28"/>
      <w:szCs w:val="28"/>
      <w:lang w:val="en-US"/>
    </w:rPr>
  </w:style>
  <w:style w:type="paragraph" w:styleId="ListNumber4">
    <w:name w:val="List Number 4"/>
    <w:basedOn w:val="Normal"/>
    <w:rsid w:val="00A87593"/>
    <w:pPr>
      <w:numPr>
        <w:numId w:val="9"/>
      </w:numPr>
      <w:adjustRightInd w:val="0"/>
      <w:snapToGrid w:val="0"/>
      <w:spacing w:before="180"/>
      <w:ind w:left="1208" w:hanging="357"/>
    </w:pPr>
    <w:rPr>
      <w:rFonts w:cs="Arial"/>
      <w:sz w:val="22"/>
      <w:szCs w:val="22"/>
    </w:rPr>
  </w:style>
  <w:style w:type="paragraph" w:styleId="ListNumber5">
    <w:name w:val="List Number 5"/>
    <w:basedOn w:val="Normal"/>
    <w:rsid w:val="00A87593"/>
    <w:pPr>
      <w:numPr>
        <w:numId w:val="10"/>
      </w:numPr>
      <w:adjustRightInd w:val="0"/>
      <w:snapToGrid w:val="0"/>
      <w:spacing w:before="180"/>
      <w:ind w:left="1491" w:hanging="357"/>
    </w:pPr>
    <w:rPr>
      <w:rFonts w:cs="Arial"/>
      <w:sz w:val="22"/>
      <w:szCs w:val="22"/>
    </w:rPr>
  </w:style>
  <w:style w:type="character" w:styleId="CommentReference">
    <w:name w:val="annotation reference"/>
    <w:basedOn w:val="DefaultParagraphFont"/>
    <w:rsid w:val="00A87593"/>
    <w:rPr>
      <w:sz w:val="16"/>
      <w:szCs w:val="16"/>
    </w:rPr>
  </w:style>
  <w:style w:type="paragraph" w:styleId="CommentText">
    <w:name w:val="annotation text"/>
    <w:basedOn w:val="Normal"/>
    <w:link w:val="CommentTextChar"/>
    <w:rsid w:val="00A87593"/>
    <w:pPr>
      <w:adjustRightInd w:val="0"/>
      <w:snapToGrid w:val="0"/>
      <w:spacing w:before="180" w:line="240" w:lineRule="auto"/>
    </w:pPr>
    <w:rPr>
      <w:rFonts w:cs="Arial"/>
    </w:rPr>
  </w:style>
  <w:style w:type="character" w:customStyle="1" w:styleId="CommentTextChar">
    <w:name w:val="Comment Text Char"/>
    <w:basedOn w:val="DefaultParagraphFont"/>
    <w:link w:val="CommentText"/>
    <w:rsid w:val="00A87593"/>
    <w:rPr>
      <w:rFonts w:ascii="Arial" w:eastAsia="Cambria" w:hAnsi="Arial" w:cs="Arial"/>
    </w:rPr>
  </w:style>
  <w:style w:type="paragraph" w:styleId="CommentSubject">
    <w:name w:val="annotation subject"/>
    <w:basedOn w:val="CommentText"/>
    <w:next w:val="CommentText"/>
    <w:link w:val="CommentSubjectChar"/>
    <w:rsid w:val="00A87593"/>
    <w:rPr>
      <w:b/>
      <w:bCs/>
    </w:rPr>
  </w:style>
  <w:style w:type="character" w:customStyle="1" w:styleId="CommentSubjectChar">
    <w:name w:val="Comment Subject Char"/>
    <w:basedOn w:val="CommentTextChar"/>
    <w:link w:val="CommentSubject"/>
    <w:rsid w:val="00A87593"/>
    <w:rPr>
      <w:rFonts w:ascii="Arial" w:eastAsia="Cambria" w:hAnsi="Arial" w:cs="Arial"/>
      <w:b/>
      <w:bCs/>
    </w:rPr>
  </w:style>
  <w:style w:type="numbering" w:customStyle="1" w:styleId="NumberBullet1">
    <w:name w:val="NumberBullet1"/>
    <w:uiPriority w:val="99"/>
    <w:locked/>
    <w:rsid w:val="00A87593"/>
  </w:style>
  <w:style w:type="paragraph" w:styleId="Revision">
    <w:name w:val="Revision"/>
    <w:hidden/>
    <w:uiPriority w:val="99"/>
    <w:semiHidden/>
    <w:rsid w:val="00A87593"/>
    <w:pPr>
      <w:spacing w:after="0" w:line="240" w:lineRule="auto"/>
    </w:pPr>
    <w:rPr>
      <w:rFonts w:ascii="Arial" w:eastAsia="Cambria" w:hAnsi="Arial" w:cs="Arial"/>
      <w:sz w:val="22"/>
      <w:szCs w:val="22"/>
    </w:rPr>
  </w:style>
  <w:style w:type="paragraph" w:customStyle="1" w:styleId="subsection">
    <w:name w:val="subsection"/>
    <w:basedOn w:val="Normal"/>
    <w:rsid w:val="00A87593"/>
    <w:pPr>
      <w:spacing w:before="100" w:beforeAutospacing="1" w:after="100" w:afterAutospacing="1" w:line="240" w:lineRule="auto"/>
    </w:pPr>
    <w:rPr>
      <w:rFonts w:ascii="Times New Roman" w:eastAsia="Times New Roman" w:hAnsi="Times New Roman"/>
      <w:sz w:val="24"/>
      <w:szCs w:val="24"/>
    </w:rPr>
  </w:style>
  <w:style w:type="paragraph" w:customStyle="1" w:styleId="msonormal0">
    <w:name w:val="msonormal"/>
    <w:basedOn w:val="Normal"/>
    <w:rsid w:val="000F4571"/>
    <w:pPr>
      <w:spacing w:before="100" w:beforeAutospacing="1" w:after="100" w:afterAutospacing="1" w:line="240" w:lineRule="auto"/>
    </w:pPr>
    <w:rPr>
      <w:rFonts w:ascii="Times New Roman" w:eastAsia="Times New Roman" w:hAnsi="Times New Roman"/>
      <w:sz w:val="24"/>
      <w:szCs w:val="24"/>
    </w:rPr>
  </w:style>
  <w:style w:type="paragraph" w:customStyle="1" w:styleId="norm">
    <w:name w:val="norm"/>
    <w:basedOn w:val="Normal"/>
    <w:rsid w:val="000F4571"/>
    <w:pPr>
      <w:spacing w:after="0" w:line="240" w:lineRule="auto"/>
      <w:jc w:val="both"/>
    </w:pPr>
    <w:rPr>
      <w:rFonts w:ascii="Times New Roman" w:eastAsia="Times New Roman" w:hAnsi="Times New Roman"/>
      <w:sz w:val="24"/>
      <w:szCs w:val="24"/>
      <w:lang w:val="de-CH" w:eastAsia="de-CH"/>
    </w:rPr>
  </w:style>
  <w:style w:type="paragraph" w:customStyle="1" w:styleId="title-gr-seq-level-2">
    <w:name w:val="title-gr-seq-level-2"/>
    <w:basedOn w:val="Normal"/>
    <w:rsid w:val="000F4571"/>
    <w:pPr>
      <w:spacing w:line="240" w:lineRule="auto"/>
      <w:jc w:val="center"/>
    </w:pPr>
    <w:rPr>
      <w:rFonts w:ascii="Times New Roman" w:eastAsia="Times New Roman" w:hAnsi="Times New Roman"/>
      <w:i/>
      <w:iCs/>
      <w:sz w:val="24"/>
      <w:szCs w:val="24"/>
      <w:lang w:val="de-CH" w:eastAsia="de-CH"/>
    </w:rPr>
  </w:style>
  <w:style w:type="paragraph" w:customStyle="1" w:styleId="title-gr-seq-level-1">
    <w:name w:val="title-gr-seq-level-1"/>
    <w:basedOn w:val="Normal"/>
    <w:rsid w:val="000F4571"/>
    <w:pPr>
      <w:spacing w:line="240" w:lineRule="auto"/>
    </w:pPr>
    <w:rPr>
      <w:rFonts w:ascii="Times New Roman" w:eastAsia="Times New Roman" w:hAnsi="Times New Roman"/>
      <w:b/>
      <w:bCs/>
      <w:sz w:val="24"/>
      <w:szCs w:val="24"/>
      <w:lang w:val="de-CH" w:eastAsia="de-CH"/>
    </w:rPr>
  </w:style>
  <w:style w:type="character" w:customStyle="1" w:styleId="boldface">
    <w:name w:val="boldface"/>
    <w:basedOn w:val="DefaultParagraphFont"/>
    <w:rsid w:val="000F4571"/>
    <w:rPr>
      <w:b/>
      <w:bCs/>
    </w:rPr>
  </w:style>
  <w:style w:type="character" w:customStyle="1" w:styleId="italics">
    <w:name w:val="italics"/>
    <w:basedOn w:val="DefaultParagraphFont"/>
    <w:rsid w:val="000F4571"/>
    <w:rPr>
      <w:i/>
      <w:iCs/>
    </w:rPr>
  </w:style>
  <w:style w:type="character" w:customStyle="1" w:styleId="superscript">
    <w:name w:val="superscript"/>
    <w:basedOn w:val="DefaultParagraphFont"/>
    <w:rsid w:val="000F4571"/>
    <w:rPr>
      <w:sz w:val="17"/>
      <w:szCs w:val="17"/>
      <w:vertAlign w:val="superscript"/>
    </w:rPr>
  </w:style>
  <w:style w:type="table" w:customStyle="1" w:styleId="TableGrid1">
    <w:name w:val="Table Grid1"/>
    <w:basedOn w:val="TableNormal"/>
    <w:next w:val="TableGrid"/>
    <w:uiPriority w:val="59"/>
    <w:rsid w:val="00C366BF"/>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Bullet2">
    <w:name w:val="NumberBullet2"/>
    <w:uiPriority w:val="99"/>
    <w:locked/>
    <w:rsid w:val="00D940DC"/>
  </w:style>
  <w:style w:type="character" w:styleId="Emphasis">
    <w:name w:val="Emphasis"/>
    <w:basedOn w:val="DefaultParagraphFont"/>
    <w:uiPriority w:val="20"/>
    <w:qFormat/>
    <w:rsid w:val="004823C0"/>
    <w:rPr>
      <w:i/>
      <w:iCs/>
    </w:rPr>
  </w:style>
  <w:style w:type="paragraph" w:customStyle="1" w:styleId="Default">
    <w:name w:val="Default"/>
    <w:rsid w:val="00772FB4"/>
    <w:pPr>
      <w:autoSpaceDE w:val="0"/>
      <w:autoSpaceDN w:val="0"/>
      <w:adjustRightInd w:val="0"/>
      <w:spacing w:after="0" w:line="240" w:lineRule="auto"/>
    </w:pPr>
    <w:rPr>
      <w:rFonts w:ascii="Arial" w:eastAsia="Cambria" w:hAnsi="Arial" w:cs="Arial"/>
      <w:color w:val="000000"/>
      <w:sz w:val="24"/>
      <w:szCs w:val="24"/>
      <w:lang w:eastAsia="en-AU"/>
    </w:rPr>
  </w:style>
  <w:style w:type="paragraph" w:styleId="NoSpacing">
    <w:name w:val="No Spacing"/>
    <w:uiPriority w:val="1"/>
    <w:qFormat/>
    <w:rsid w:val="009724A3"/>
    <w:pPr>
      <w:spacing w:after="0" w:line="240" w:lineRule="auto"/>
    </w:pPr>
    <w:rPr>
      <w:rFonts w:ascii="Arial" w:hAnsi="Arial"/>
    </w:rPr>
  </w:style>
  <w:style w:type="paragraph" w:customStyle="1" w:styleId="Legislativenumbers">
    <w:name w:val="Legislative numbers"/>
    <w:basedOn w:val="Legislativeletterbullet"/>
    <w:link w:val="LegislativenumbersChar"/>
    <w:qFormat/>
    <w:rsid w:val="00A105AD"/>
    <w:pPr>
      <w:numPr>
        <w:numId w:val="12"/>
      </w:numPr>
      <w:tabs>
        <w:tab w:val="num" w:pos="360"/>
      </w:tabs>
      <w:spacing w:after="120" w:line="240" w:lineRule="auto"/>
      <w:ind w:left="502"/>
    </w:pPr>
    <w:rPr>
      <w:rFonts w:cs="Arial"/>
    </w:rPr>
  </w:style>
  <w:style w:type="character" w:customStyle="1" w:styleId="ListBullet2Char">
    <w:name w:val="List Bullet 2 Char"/>
    <w:basedOn w:val="DefaultParagraphFont"/>
    <w:link w:val="ListBullet2"/>
    <w:uiPriority w:val="2"/>
    <w:rsid w:val="00E831DC"/>
    <w:rPr>
      <w:rFonts w:ascii="Arial" w:eastAsia="Cambria" w:hAnsi="Arial" w:cs="Times New Roman"/>
      <w:color w:val="333F48"/>
      <w:sz w:val="21"/>
      <w:szCs w:val="21"/>
      <w:lang w:eastAsia="en-AU"/>
    </w:rPr>
  </w:style>
  <w:style w:type="character" w:customStyle="1" w:styleId="LegislativeletterbulletChar">
    <w:name w:val="Legislative letter bullet Char"/>
    <w:basedOn w:val="ListBullet2Char"/>
    <w:link w:val="Legislativeletterbullet"/>
    <w:uiPriority w:val="2"/>
    <w:rsid w:val="00466BAD"/>
    <w:rPr>
      <w:rFonts w:ascii="Arial" w:eastAsia="Cambria" w:hAnsi="Arial" w:cs="Times New Roman"/>
      <w:color w:val="333F48"/>
      <w:sz w:val="21"/>
      <w:szCs w:val="21"/>
      <w:lang w:eastAsia="en-AU"/>
    </w:rPr>
  </w:style>
  <w:style w:type="character" w:customStyle="1" w:styleId="LegislativenumbersChar">
    <w:name w:val="Legislative numbers Char"/>
    <w:basedOn w:val="LegislativeletterbulletChar"/>
    <w:link w:val="Legislativenumbers"/>
    <w:rsid w:val="00A105AD"/>
    <w:rPr>
      <w:rFonts w:ascii="Arial" w:eastAsia="Cambria" w:hAnsi="Arial" w:cs="Arial"/>
      <w:color w:val="333F48"/>
      <w:sz w:val="21"/>
      <w:szCs w:val="21"/>
      <w:lang w:eastAsia="en-AU"/>
    </w:rPr>
  </w:style>
  <w:style w:type="paragraph" w:customStyle="1" w:styleId="Legislativeiiiiii">
    <w:name w:val="Legislative (i)(ii)(iii)"/>
    <w:basedOn w:val="Legislativeletterbullet"/>
    <w:link w:val="LegislativeiiiiiiChar"/>
    <w:qFormat/>
    <w:rsid w:val="00331A8B"/>
    <w:pPr>
      <w:numPr>
        <w:numId w:val="0"/>
      </w:numPr>
      <w:tabs>
        <w:tab w:val="num" w:pos="360"/>
      </w:tabs>
      <w:ind w:left="1174" w:hanging="360"/>
    </w:pPr>
  </w:style>
  <w:style w:type="character" w:customStyle="1" w:styleId="LegislativeiiiiiiChar">
    <w:name w:val="Legislative (i)(ii)(iii) Char"/>
    <w:basedOn w:val="LegislativeletterbulletChar"/>
    <w:link w:val="Legislativeiiiiii"/>
    <w:rsid w:val="00331A8B"/>
    <w:rPr>
      <w:rFonts w:ascii="Arial" w:eastAsia="Cambria" w:hAnsi="Arial" w:cs="Times New Roman"/>
      <w:color w:val="333F48"/>
      <w:sz w:val="21"/>
      <w:szCs w:val="21"/>
      <w:lang w:eastAsia="en-AU"/>
    </w:rPr>
  </w:style>
  <w:style w:type="paragraph" w:customStyle="1" w:styleId="Numberbullet20">
    <w:name w:val="Number bullet 2"/>
    <w:basedOn w:val="ListBullet2"/>
    <w:uiPriority w:val="3"/>
    <w:qFormat/>
    <w:rsid w:val="00AF437C"/>
    <w:pPr>
      <w:numPr>
        <w:numId w:val="0"/>
      </w:numPr>
      <w:spacing w:before="180"/>
      <w:ind w:left="850" w:hanging="425"/>
    </w:pPr>
    <w:rPr>
      <w:rFonts w:ascii="Cambria" w:hAnsi="Cambria" w:cstheme="minorBidi"/>
      <w:color w:val="auto"/>
      <w:sz w:val="22"/>
      <w:szCs w:val="22"/>
      <w:lang w:eastAsia="en-US"/>
    </w:rPr>
  </w:style>
  <w:style w:type="character" w:customStyle="1" w:styleId="cf01">
    <w:name w:val="cf01"/>
    <w:basedOn w:val="DefaultParagraphFont"/>
    <w:rsid w:val="00C750FA"/>
    <w:rPr>
      <w:rFonts w:ascii="Segoe UI" w:hAnsi="Segoe UI" w:cs="Segoe UI" w:hint="default"/>
      <w:color w:val="333F48"/>
      <w:sz w:val="18"/>
      <w:szCs w:val="18"/>
    </w:rPr>
  </w:style>
  <w:style w:type="character" w:customStyle="1" w:styleId="normaltextrun">
    <w:name w:val="normaltextrun"/>
    <w:basedOn w:val="DefaultParagraphFont"/>
    <w:rsid w:val="00AA5214"/>
  </w:style>
  <w:style w:type="character" w:customStyle="1" w:styleId="eop">
    <w:name w:val="eop"/>
    <w:basedOn w:val="DefaultParagraphFont"/>
    <w:rsid w:val="00D32EE7"/>
  </w:style>
  <w:style w:type="paragraph" w:customStyle="1" w:styleId="Definition">
    <w:name w:val="Definition"/>
    <w:aliases w:val="dd"/>
    <w:basedOn w:val="Normal"/>
    <w:rsid w:val="006F6A4D"/>
    <w:pPr>
      <w:spacing w:before="180" w:after="0" w:line="240" w:lineRule="auto"/>
      <w:ind w:left="1134"/>
    </w:pPr>
    <w:rPr>
      <w:rFonts w:ascii="Times New Roman" w:eastAsia="Times New Roman" w:hAnsi="Times New Roman"/>
      <w:color w:val="auto"/>
      <w:sz w:val="22"/>
      <w:szCs w:val="20"/>
    </w:rPr>
  </w:style>
  <w:style w:type="character" w:styleId="IntenseEmphasis">
    <w:name w:val="Intense Emphasis"/>
    <w:basedOn w:val="DefaultParagraphFont"/>
    <w:uiPriority w:val="21"/>
    <w:qFormat/>
    <w:rsid w:val="008D2C83"/>
    <w:rPr>
      <w:i/>
      <w:iCs/>
      <w:color w:val="4472C4" w:themeColor="accent1"/>
    </w:rPr>
  </w:style>
  <w:style w:type="paragraph" w:styleId="NormalWeb">
    <w:name w:val="Normal (Web)"/>
    <w:basedOn w:val="Normal"/>
    <w:uiPriority w:val="99"/>
    <w:unhideWhenUsed/>
    <w:rsid w:val="00B366C9"/>
    <w:pPr>
      <w:spacing w:before="100" w:beforeAutospacing="1" w:after="100" w:afterAutospacing="1" w:line="240" w:lineRule="auto"/>
    </w:pPr>
    <w:rPr>
      <w:rFonts w:ascii="Times New Roman" w:eastAsia="Times New Roman" w:hAnsi="Times New Roman"/>
      <w:color w:val="auto"/>
      <w:sz w:val="24"/>
      <w:szCs w:val="24"/>
    </w:rPr>
  </w:style>
  <w:style w:type="paragraph" w:customStyle="1" w:styleId="legislativeletterbullet0">
    <w:name w:val="legislativeletterbullet"/>
    <w:basedOn w:val="Normal"/>
    <w:rsid w:val="00B366C9"/>
    <w:pPr>
      <w:spacing w:before="100" w:beforeAutospacing="1" w:after="100" w:afterAutospacing="1" w:line="240" w:lineRule="auto"/>
    </w:pPr>
    <w:rPr>
      <w:rFonts w:ascii="Times New Roman" w:eastAsia="Times New Roman" w:hAnsi="Times New Roman"/>
      <w:color w:val="auto"/>
      <w:sz w:val="24"/>
      <w:szCs w:val="24"/>
    </w:rPr>
  </w:style>
  <w:style w:type="character" w:styleId="Strong">
    <w:name w:val="Strong"/>
    <w:basedOn w:val="DefaultParagraphFont"/>
    <w:uiPriority w:val="22"/>
    <w:qFormat/>
    <w:rsid w:val="00B366C9"/>
    <w:rPr>
      <w:b/>
      <w:bCs/>
    </w:rPr>
  </w:style>
  <w:style w:type="character" w:styleId="SubtleEmphasis">
    <w:name w:val="Subtle Emphasis"/>
    <w:basedOn w:val="DefaultParagraphFont"/>
    <w:uiPriority w:val="19"/>
    <w:qFormat/>
    <w:rsid w:val="00DB3941"/>
    <w:rPr>
      <w:i/>
      <w:color w:val="404040" w:themeColor="text1" w:themeTint="BF"/>
    </w:rPr>
  </w:style>
  <w:style w:type="character" w:customStyle="1" w:styleId="ui-provider">
    <w:name w:val="ui-provider"/>
    <w:basedOn w:val="DefaultParagraphFont"/>
    <w:rsid w:val="003674F1"/>
  </w:style>
  <w:style w:type="paragraph" w:customStyle="1" w:styleId="NormalJR">
    <w:name w:val="Normal(JR)"/>
    <w:basedOn w:val="Normal"/>
    <w:autoRedefine/>
    <w:uiPriority w:val="1"/>
    <w:qFormat/>
    <w:rsid w:val="0003040C"/>
    <w:pPr>
      <w:keepNext/>
      <w:spacing w:before="80" w:after="40" w:line="264" w:lineRule="auto"/>
    </w:pPr>
    <w:rPr>
      <w:rFonts w:cs="Arial"/>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5024">
      <w:bodyDiv w:val="1"/>
      <w:marLeft w:val="0"/>
      <w:marRight w:val="0"/>
      <w:marTop w:val="0"/>
      <w:marBottom w:val="0"/>
      <w:divBdr>
        <w:top w:val="none" w:sz="0" w:space="0" w:color="auto"/>
        <w:left w:val="none" w:sz="0" w:space="0" w:color="auto"/>
        <w:bottom w:val="none" w:sz="0" w:space="0" w:color="auto"/>
        <w:right w:val="none" w:sz="0" w:space="0" w:color="auto"/>
      </w:divBdr>
    </w:div>
    <w:div w:id="51395011">
      <w:bodyDiv w:val="1"/>
      <w:marLeft w:val="0"/>
      <w:marRight w:val="0"/>
      <w:marTop w:val="0"/>
      <w:marBottom w:val="0"/>
      <w:divBdr>
        <w:top w:val="none" w:sz="0" w:space="0" w:color="auto"/>
        <w:left w:val="none" w:sz="0" w:space="0" w:color="auto"/>
        <w:bottom w:val="none" w:sz="0" w:space="0" w:color="auto"/>
        <w:right w:val="none" w:sz="0" w:space="0" w:color="auto"/>
      </w:divBdr>
    </w:div>
    <w:div w:id="123425993">
      <w:bodyDiv w:val="1"/>
      <w:marLeft w:val="0"/>
      <w:marRight w:val="0"/>
      <w:marTop w:val="0"/>
      <w:marBottom w:val="0"/>
      <w:divBdr>
        <w:top w:val="none" w:sz="0" w:space="0" w:color="auto"/>
        <w:left w:val="none" w:sz="0" w:space="0" w:color="auto"/>
        <w:bottom w:val="none" w:sz="0" w:space="0" w:color="auto"/>
        <w:right w:val="none" w:sz="0" w:space="0" w:color="auto"/>
      </w:divBdr>
    </w:div>
    <w:div w:id="407964011">
      <w:bodyDiv w:val="1"/>
      <w:marLeft w:val="0"/>
      <w:marRight w:val="0"/>
      <w:marTop w:val="0"/>
      <w:marBottom w:val="0"/>
      <w:divBdr>
        <w:top w:val="none" w:sz="0" w:space="0" w:color="auto"/>
        <w:left w:val="none" w:sz="0" w:space="0" w:color="auto"/>
        <w:bottom w:val="none" w:sz="0" w:space="0" w:color="auto"/>
        <w:right w:val="none" w:sz="0" w:space="0" w:color="auto"/>
      </w:divBdr>
    </w:div>
    <w:div w:id="423695028">
      <w:bodyDiv w:val="1"/>
      <w:marLeft w:val="0"/>
      <w:marRight w:val="0"/>
      <w:marTop w:val="0"/>
      <w:marBottom w:val="0"/>
      <w:divBdr>
        <w:top w:val="none" w:sz="0" w:space="0" w:color="auto"/>
        <w:left w:val="none" w:sz="0" w:space="0" w:color="auto"/>
        <w:bottom w:val="none" w:sz="0" w:space="0" w:color="auto"/>
        <w:right w:val="none" w:sz="0" w:space="0" w:color="auto"/>
      </w:divBdr>
    </w:div>
    <w:div w:id="629047039">
      <w:bodyDiv w:val="1"/>
      <w:marLeft w:val="0"/>
      <w:marRight w:val="0"/>
      <w:marTop w:val="0"/>
      <w:marBottom w:val="0"/>
      <w:divBdr>
        <w:top w:val="none" w:sz="0" w:space="0" w:color="auto"/>
        <w:left w:val="none" w:sz="0" w:space="0" w:color="auto"/>
        <w:bottom w:val="none" w:sz="0" w:space="0" w:color="auto"/>
        <w:right w:val="none" w:sz="0" w:space="0" w:color="auto"/>
      </w:divBdr>
    </w:div>
    <w:div w:id="937251649">
      <w:bodyDiv w:val="1"/>
      <w:marLeft w:val="0"/>
      <w:marRight w:val="0"/>
      <w:marTop w:val="0"/>
      <w:marBottom w:val="0"/>
      <w:divBdr>
        <w:top w:val="none" w:sz="0" w:space="0" w:color="auto"/>
        <w:left w:val="none" w:sz="0" w:space="0" w:color="auto"/>
        <w:bottom w:val="none" w:sz="0" w:space="0" w:color="auto"/>
        <w:right w:val="none" w:sz="0" w:space="0" w:color="auto"/>
      </w:divBdr>
    </w:div>
    <w:div w:id="973370179">
      <w:bodyDiv w:val="1"/>
      <w:marLeft w:val="0"/>
      <w:marRight w:val="0"/>
      <w:marTop w:val="0"/>
      <w:marBottom w:val="0"/>
      <w:divBdr>
        <w:top w:val="none" w:sz="0" w:space="0" w:color="auto"/>
        <w:left w:val="none" w:sz="0" w:space="0" w:color="auto"/>
        <w:bottom w:val="none" w:sz="0" w:space="0" w:color="auto"/>
        <w:right w:val="none" w:sz="0" w:space="0" w:color="auto"/>
      </w:divBdr>
    </w:div>
    <w:div w:id="1262645700">
      <w:bodyDiv w:val="1"/>
      <w:marLeft w:val="0"/>
      <w:marRight w:val="0"/>
      <w:marTop w:val="0"/>
      <w:marBottom w:val="0"/>
      <w:divBdr>
        <w:top w:val="none" w:sz="0" w:space="0" w:color="auto"/>
        <w:left w:val="none" w:sz="0" w:space="0" w:color="auto"/>
        <w:bottom w:val="none" w:sz="0" w:space="0" w:color="auto"/>
        <w:right w:val="none" w:sz="0" w:space="0" w:color="auto"/>
      </w:divBdr>
    </w:div>
    <w:div w:id="1267731568">
      <w:bodyDiv w:val="1"/>
      <w:marLeft w:val="0"/>
      <w:marRight w:val="0"/>
      <w:marTop w:val="0"/>
      <w:marBottom w:val="0"/>
      <w:divBdr>
        <w:top w:val="none" w:sz="0" w:space="0" w:color="auto"/>
        <w:left w:val="none" w:sz="0" w:space="0" w:color="auto"/>
        <w:bottom w:val="none" w:sz="0" w:space="0" w:color="auto"/>
        <w:right w:val="none" w:sz="0" w:space="0" w:color="auto"/>
      </w:divBdr>
      <w:divsChild>
        <w:div w:id="208899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6014623">
      <w:bodyDiv w:val="1"/>
      <w:marLeft w:val="0"/>
      <w:marRight w:val="0"/>
      <w:marTop w:val="0"/>
      <w:marBottom w:val="0"/>
      <w:divBdr>
        <w:top w:val="none" w:sz="0" w:space="0" w:color="auto"/>
        <w:left w:val="none" w:sz="0" w:space="0" w:color="auto"/>
        <w:bottom w:val="none" w:sz="0" w:space="0" w:color="auto"/>
        <w:right w:val="none" w:sz="0" w:space="0" w:color="auto"/>
      </w:divBdr>
    </w:div>
    <w:div w:id="1360281561">
      <w:bodyDiv w:val="1"/>
      <w:marLeft w:val="0"/>
      <w:marRight w:val="0"/>
      <w:marTop w:val="0"/>
      <w:marBottom w:val="0"/>
      <w:divBdr>
        <w:top w:val="none" w:sz="0" w:space="0" w:color="auto"/>
        <w:left w:val="none" w:sz="0" w:space="0" w:color="auto"/>
        <w:bottom w:val="none" w:sz="0" w:space="0" w:color="auto"/>
        <w:right w:val="none" w:sz="0" w:space="0" w:color="auto"/>
      </w:divBdr>
    </w:div>
    <w:div w:id="1417360015">
      <w:bodyDiv w:val="1"/>
      <w:marLeft w:val="0"/>
      <w:marRight w:val="0"/>
      <w:marTop w:val="0"/>
      <w:marBottom w:val="0"/>
      <w:divBdr>
        <w:top w:val="none" w:sz="0" w:space="0" w:color="auto"/>
        <w:left w:val="none" w:sz="0" w:space="0" w:color="auto"/>
        <w:bottom w:val="none" w:sz="0" w:space="0" w:color="auto"/>
        <w:right w:val="none" w:sz="0" w:space="0" w:color="auto"/>
      </w:divBdr>
    </w:div>
    <w:div w:id="1518738229">
      <w:bodyDiv w:val="1"/>
      <w:marLeft w:val="0"/>
      <w:marRight w:val="0"/>
      <w:marTop w:val="0"/>
      <w:marBottom w:val="0"/>
      <w:divBdr>
        <w:top w:val="none" w:sz="0" w:space="0" w:color="auto"/>
        <w:left w:val="none" w:sz="0" w:space="0" w:color="auto"/>
        <w:bottom w:val="none" w:sz="0" w:space="0" w:color="auto"/>
        <w:right w:val="none" w:sz="0" w:space="0" w:color="auto"/>
      </w:divBdr>
    </w:div>
    <w:div w:id="1586300551">
      <w:bodyDiv w:val="1"/>
      <w:marLeft w:val="0"/>
      <w:marRight w:val="0"/>
      <w:marTop w:val="0"/>
      <w:marBottom w:val="0"/>
      <w:divBdr>
        <w:top w:val="none" w:sz="0" w:space="0" w:color="auto"/>
        <w:left w:val="none" w:sz="0" w:space="0" w:color="auto"/>
        <w:bottom w:val="none" w:sz="0" w:space="0" w:color="auto"/>
        <w:right w:val="none" w:sz="0" w:space="0" w:color="auto"/>
      </w:divBdr>
    </w:div>
    <w:div w:id="1587301654">
      <w:bodyDiv w:val="1"/>
      <w:marLeft w:val="0"/>
      <w:marRight w:val="0"/>
      <w:marTop w:val="0"/>
      <w:marBottom w:val="0"/>
      <w:divBdr>
        <w:top w:val="none" w:sz="0" w:space="0" w:color="auto"/>
        <w:left w:val="none" w:sz="0" w:space="0" w:color="auto"/>
        <w:bottom w:val="none" w:sz="0" w:space="0" w:color="auto"/>
        <w:right w:val="none" w:sz="0" w:space="0" w:color="auto"/>
      </w:divBdr>
    </w:div>
    <w:div w:id="1831211724">
      <w:bodyDiv w:val="1"/>
      <w:marLeft w:val="0"/>
      <w:marRight w:val="0"/>
      <w:marTop w:val="0"/>
      <w:marBottom w:val="0"/>
      <w:divBdr>
        <w:top w:val="none" w:sz="0" w:space="0" w:color="auto"/>
        <w:left w:val="none" w:sz="0" w:space="0" w:color="auto"/>
        <w:bottom w:val="none" w:sz="0" w:space="0" w:color="auto"/>
        <w:right w:val="none" w:sz="0" w:space="0" w:color="auto"/>
      </w:divBdr>
    </w:div>
    <w:div w:id="1890190878">
      <w:bodyDiv w:val="1"/>
      <w:marLeft w:val="0"/>
      <w:marRight w:val="0"/>
      <w:marTop w:val="0"/>
      <w:marBottom w:val="0"/>
      <w:divBdr>
        <w:top w:val="none" w:sz="0" w:space="0" w:color="auto"/>
        <w:left w:val="none" w:sz="0" w:space="0" w:color="auto"/>
        <w:bottom w:val="none" w:sz="0" w:space="0" w:color="auto"/>
        <w:right w:val="none" w:sz="0" w:space="0" w:color="auto"/>
      </w:divBdr>
      <w:divsChild>
        <w:div w:id="268128668">
          <w:blockQuote w:val="1"/>
          <w:marLeft w:val="720"/>
          <w:marRight w:val="720"/>
          <w:marTop w:val="240"/>
          <w:marBottom w:val="240"/>
          <w:divBdr>
            <w:top w:val="none" w:sz="0" w:space="0" w:color="auto"/>
            <w:left w:val="none" w:sz="0" w:space="0" w:color="auto"/>
            <w:bottom w:val="none" w:sz="0" w:space="0" w:color="auto"/>
            <w:right w:val="none" w:sz="0" w:space="0" w:color="auto"/>
          </w:divBdr>
        </w:div>
      </w:divsChild>
    </w:div>
    <w:div w:id="2005009892">
      <w:bodyDiv w:val="1"/>
      <w:marLeft w:val="0"/>
      <w:marRight w:val="0"/>
      <w:marTop w:val="0"/>
      <w:marBottom w:val="0"/>
      <w:divBdr>
        <w:top w:val="none" w:sz="0" w:space="0" w:color="auto"/>
        <w:left w:val="none" w:sz="0" w:space="0" w:color="auto"/>
        <w:bottom w:val="none" w:sz="0" w:space="0" w:color="auto"/>
        <w:right w:val="none" w:sz="0" w:space="0" w:color="auto"/>
      </w:divBdr>
      <w:divsChild>
        <w:div w:id="1609849149">
          <w:marLeft w:val="0"/>
          <w:marRight w:val="0"/>
          <w:marTop w:val="0"/>
          <w:marBottom w:val="0"/>
          <w:divBdr>
            <w:top w:val="none" w:sz="0" w:space="0" w:color="auto"/>
            <w:left w:val="none" w:sz="0" w:space="0" w:color="auto"/>
            <w:bottom w:val="none" w:sz="0" w:space="0" w:color="auto"/>
            <w:right w:val="none" w:sz="0" w:space="0" w:color="auto"/>
          </w:divBdr>
        </w:div>
        <w:div w:id="179243475">
          <w:marLeft w:val="0"/>
          <w:marRight w:val="0"/>
          <w:marTop w:val="0"/>
          <w:marBottom w:val="0"/>
          <w:divBdr>
            <w:top w:val="none" w:sz="0" w:space="0" w:color="auto"/>
            <w:left w:val="none" w:sz="0" w:space="0" w:color="auto"/>
            <w:bottom w:val="none" w:sz="0" w:space="0" w:color="auto"/>
            <w:right w:val="none" w:sz="0" w:space="0" w:color="auto"/>
          </w:divBdr>
        </w:div>
        <w:div w:id="27537560">
          <w:marLeft w:val="0"/>
          <w:marRight w:val="0"/>
          <w:marTop w:val="0"/>
          <w:marBottom w:val="0"/>
          <w:divBdr>
            <w:top w:val="none" w:sz="0" w:space="0" w:color="auto"/>
            <w:left w:val="none" w:sz="0" w:space="0" w:color="auto"/>
            <w:bottom w:val="none" w:sz="0" w:space="0" w:color="auto"/>
            <w:right w:val="none" w:sz="0" w:space="0" w:color="auto"/>
          </w:divBdr>
        </w:div>
        <w:div w:id="1622344353">
          <w:marLeft w:val="0"/>
          <w:marRight w:val="0"/>
          <w:marTop w:val="0"/>
          <w:marBottom w:val="0"/>
          <w:divBdr>
            <w:top w:val="none" w:sz="0" w:space="0" w:color="auto"/>
            <w:left w:val="none" w:sz="0" w:space="0" w:color="auto"/>
            <w:bottom w:val="none" w:sz="0" w:space="0" w:color="auto"/>
            <w:right w:val="none" w:sz="0" w:space="0" w:color="auto"/>
          </w:divBdr>
        </w:div>
        <w:div w:id="1709255845">
          <w:marLeft w:val="0"/>
          <w:marRight w:val="0"/>
          <w:marTop w:val="0"/>
          <w:marBottom w:val="0"/>
          <w:divBdr>
            <w:top w:val="none" w:sz="0" w:space="0" w:color="auto"/>
            <w:left w:val="none" w:sz="0" w:space="0" w:color="auto"/>
            <w:bottom w:val="none" w:sz="0" w:space="0" w:color="auto"/>
            <w:right w:val="none" w:sz="0" w:space="0" w:color="auto"/>
          </w:divBdr>
        </w:div>
        <w:div w:id="1143229181">
          <w:marLeft w:val="0"/>
          <w:marRight w:val="0"/>
          <w:marTop w:val="0"/>
          <w:marBottom w:val="0"/>
          <w:divBdr>
            <w:top w:val="none" w:sz="0" w:space="0" w:color="auto"/>
            <w:left w:val="none" w:sz="0" w:space="0" w:color="auto"/>
            <w:bottom w:val="none" w:sz="0" w:space="0" w:color="auto"/>
            <w:right w:val="none" w:sz="0" w:space="0" w:color="auto"/>
          </w:divBdr>
        </w:div>
        <w:div w:id="16365702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gislation.gov.au/Series/C2004A03952"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nfo@tga.gov.au" TargetMode="External"/><Relationship Id="rId7" Type="http://schemas.openxmlformats.org/officeDocument/2006/relationships/endnotes" Target="endnotes.xml"/><Relationship Id="rId12" Type="http://schemas.openxmlformats.org/officeDocument/2006/relationships/hyperlink" Target="https://www.tga.gov.au/resources/consultation/consultation-proposed-changes-medical-device-essential-principles-safety-and-performance"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eur-lex.europa.eu/LexUriServ/LexUriServ.do?uri=OJ:L:2012:072:0028:0031: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a.copyright@tga.gov.a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onsultations.tga.gov.au/login_form"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slation.gov.au/Series/F2002B00237" TargetMode="External"/><Relationship Id="rId22" Type="http://schemas.openxmlformats.org/officeDocument/2006/relationships/hyperlink" Target="https://www.tga.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tga.gov.au/how-we-regulate/manufacturing/manufacture-medical-device/quality-safety-and-performance-requirements-medical-devices/principle-14-clinical-evidence" TargetMode="External"/><Relationship Id="rId2" Type="http://schemas.openxmlformats.org/officeDocument/2006/relationships/hyperlink" Target="https://www.tga.gov.au/news/news/australian-government-response-review-medicines-and-medical-devices-regulation" TargetMode="External"/><Relationship Id="rId1" Type="http://schemas.openxmlformats.org/officeDocument/2006/relationships/hyperlink" Target="https://www.tga.gov.au/sites/default/files/2022-08/action-plan-medical-devices.pdf" TargetMode="External"/><Relationship Id="rId5" Type="http://schemas.openxmlformats.org/officeDocument/2006/relationships/hyperlink" Target="https://www.legislation.gov.au/Series/C2004A00383" TargetMode="External"/><Relationship Id="rId4" Type="http://schemas.openxmlformats.org/officeDocument/2006/relationships/hyperlink" Target="https://www.legislation.gov.au/C2012A00029/lates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7E20F-A868-4FAE-B7CD-CC63E45CD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32</Pages>
  <Words>8497</Words>
  <Characters>45974</Characters>
  <Application>Microsoft Office Word</Application>
  <DocSecurity>0</DocSecurity>
  <Lines>1702</Lines>
  <Paragraphs>626</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
      <vt:lpstr>    &lt;Contents</vt:lpstr>
      <vt:lpstr>    About</vt:lpstr>
      <vt:lpstr>        AUS Essential Principles</vt:lpstr>
      <vt:lpstr>        Approach for the alignment</vt:lpstr>
      <vt:lpstr>    Proposals for alignment</vt:lpstr>
      <vt:lpstr>        Proposal 1: Adopt new AUS Essential Principles</vt:lpstr>
      <vt:lpstr>        Proposal 2: Amend AUS Essential Principles 2 and 4</vt:lpstr>
      <vt:lpstr>    Design and Construction: AUS Essential Principles 7 – 12 and 15</vt:lpstr>
      <vt:lpstr>        Proposal 3: Amend AUS Essential Principle 7 – Chemical, physical and biological </vt:lpstr>
      <vt:lpstr>        Proposal 4: Amend AUS Essential Principle 8 – Infection and microbial contaminat</vt:lpstr>
      <vt:lpstr>        Proposal 5: Amend AUS Essential Principle 9 – Construction and environmental pro</vt:lpstr>
      <vt:lpstr>        Proposal 6: Amend AUS Essential Principle 11 – Protection against radiation</vt:lpstr>
      <vt:lpstr>        Proposal 7: Amend AUS Essential Principle 12 – Medical devices connected to or e</vt:lpstr>
      <vt:lpstr>        Proposal 8: Amend AUS Essential Principle 15 – IVD medical devices only</vt:lpstr>
      <vt:lpstr>    Information supplied by the manufacturer: AUS Essential Principle 13</vt:lpstr>
      <vt:lpstr>        Proposal 9: Amend AUS Essential Principle 13.1 (General labelling)</vt:lpstr>
      <vt:lpstr>        Proposal 10: Amend AUS Essential Principle 13.3 (General labelling) </vt:lpstr>
      <vt:lpstr>        Proposal 11: Amend AUS Essential Principle 13.4(3)1-28, 30-31 – Instructions for</vt:lpstr>
      <vt:lpstr>        Proposal 12: Amend AUS Essential Principle 13.4(3) Item 29 – IFU information for</vt:lpstr>
      <vt:lpstr>        Proposal 13: Amend AUS Essential Principle 13B</vt:lpstr>
      <vt:lpstr>    Requirements of Australian sponsors</vt:lpstr>
      <vt:lpstr>        Proposal 14: Amend AUS Regulation 10.2 – Australian sponsors</vt:lpstr>
      <vt:lpstr>    Definitions</vt:lpstr>
      <vt:lpstr>        Proposal 15: Adopt definitions</vt:lpstr>
      <vt:lpstr>    Open comments</vt:lpstr>
      <vt:lpstr>    Transitional arrangements</vt:lpstr>
      <vt:lpstr>        Proposal 16: Transitional arrangements</vt:lpstr>
      <vt:lpstr>    Open comments</vt:lpstr>
      <vt:lpstr>    Fees and charges</vt:lpstr>
      <vt:lpstr>    Appendix 1: EU GSPRs not adopted</vt:lpstr>
      <vt:lpstr>    Version history</vt:lpstr>
    </vt:vector>
  </TitlesOfParts>
  <Company/>
  <LinksUpToDate>false</LinksUpToDate>
  <CharactersWithSpaces>53845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ATKINSON, Helen</dc:creator>
  <cp:keywords/>
  <dc:description/>
  <cp:lastModifiedBy>BURGESS, Alice</cp:lastModifiedBy>
  <cp:revision>14</cp:revision>
  <dcterms:created xsi:type="dcterms:W3CDTF">2024-08-07T03:38:00Z</dcterms:created>
  <dcterms:modified xsi:type="dcterms:W3CDTF">2024-08-07T06:18:00Z</dcterms:modified>
</cp:coreProperties>
</file>