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D807" w14:textId="77777777" w:rsidR="00041AC8" w:rsidRDefault="00041AC8"/>
    <w:p w14:paraId="2D88601B" w14:textId="77777777" w:rsidR="005F6958" w:rsidRDefault="005F6958"/>
    <w:p w14:paraId="63DBC44C" w14:textId="77777777" w:rsidR="005F6958" w:rsidRDefault="005F6958"/>
    <w:p w14:paraId="0106854F" w14:textId="29BD7AC0" w:rsidR="005F6958" w:rsidRDefault="004E0C92" w:rsidP="005F6958">
      <w:pPr>
        <w:pStyle w:val="Title"/>
      </w:pPr>
      <w:r>
        <w:t>Essential Principles consultation</w:t>
      </w:r>
    </w:p>
    <w:p w14:paraId="7234D82D" w14:textId="02521222" w:rsidR="005F6958" w:rsidRDefault="004E0C92" w:rsidP="005F6958">
      <w:pPr>
        <w:pStyle w:val="Subtitle"/>
        <w:ind w:left="0"/>
      </w:pPr>
      <w:r>
        <w:t>Our response to questions asked during the presentations on 11-12 September 2024</w:t>
      </w:r>
    </w:p>
    <w:p w14:paraId="70562431" w14:textId="77777777" w:rsidR="005F6958" w:rsidRDefault="005F6958"/>
    <w:p w14:paraId="33B75C1F" w14:textId="77777777" w:rsidR="005F6958" w:rsidRDefault="005F6958"/>
    <w:p w14:paraId="1C55CF88" w14:textId="77777777" w:rsidR="005F6958" w:rsidRDefault="005F6958"/>
    <w:p w14:paraId="230745B6" w14:textId="77777777" w:rsidR="005F6958" w:rsidRDefault="005F6958"/>
    <w:p w14:paraId="690A1E86" w14:textId="77777777" w:rsidR="005F6958" w:rsidRDefault="005F6958"/>
    <w:p w14:paraId="4441D87D" w14:textId="77777777" w:rsidR="005F6958" w:rsidRDefault="005F6958"/>
    <w:p w14:paraId="2D1B1D23" w14:textId="5B4D6B24" w:rsidR="005F6958" w:rsidRDefault="005F6958" w:rsidP="005F6958">
      <w:pPr>
        <w:pStyle w:val="Date"/>
      </w:pPr>
      <w:r>
        <w:t xml:space="preserve">Version 1.0, </w:t>
      </w:r>
      <w:r w:rsidR="004E0C92">
        <w:t>October</w:t>
      </w:r>
      <w:r>
        <w:t xml:space="preserve"> </w:t>
      </w:r>
      <w:r w:rsidR="004E0C92">
        <w:t>2024</w:t>
      </w:r>
    </w:p>
    <w:p w14:paraId="04398682" w14:textId="77777777" w:rsidR="005F6958" w:rsidRDefault="005F6958">
      <w:r>
        <w:br w:type="page"/>
      </w:r>
    </w:p>
    <w:p w14:paraId="2DE9E4F2"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0100E8D7" w14:textId="77777777" w:rsidR="0089410A" w:rsidRDefault="00DD3815" w:rsidP="004E2F19">
      <w:pPr>
        <w:pStyle w:val="LegalSubheading"/>
      </w:pPr>
      <w:bookmarkStart w:id="1" w:name="_Toc126664138"/>
      <w:r w:rsidRPr="00DD3815">
        <w:t>© Commonwealth of Australia</w:t>
      </w:r>
      <w:r w:rsidR="00F35094">
        <w:t xml:space="preserve"> 202</w:t>
      </w:r>
      <w:r w:rsidR="008C7621">
        <w:t>4</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1"/>
    </w:p>
    <w:p w14:paraId="1AF13A2D"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3351A16C" w14:textId="77777777" w:rsidR="0089410A" w:rsidRPr="00215D48" w:rsidRDefault="0089410A" w:rsidP="0089410A">
          <w:pPr>
            <w:pStyle w:val="NonTOCheading2"/>
          </w:pPr>
          <w:r w:rsidRPr="00215D48">
            <w:t>Contents</w:t>
          </w:r>
        </w:p>
        <w:p w14:paraId="41CADA7B" w14:textId="285E4512" w:rsidR="00D018FD"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9453292" w:history="1">
            <w:r w:rsidR="00D018FD" w:rsidRPr="00AC539D">
              <w:rPr>
                <w:rStyle w:val="Hyperlink"/>
                <w:noProof/>
              </w:rPr>
              <w:t>Questions asked during the presentation on the Essential Principles consultation</w:t>
            </w:r>
            <w:r w:rsidR="00D018FD">
              <w:rPr>
                <w:noProof/>
                <w:webHidden/>
              </w:rPr>
              <w:tab/>
            </w:r>
            <w:r w:rsidR="00D018FD">
              <w:rPr>
                <w:noProof/>
                <w:webHidden/>
              </w:rPr>
              <w:fldChar w:fldCharType="begin"/>
            </w:r>
            <w:r w:rsidR="00D018FD">
              <w:rPr>
                <w:noProof/>
                <w:webHidden/>
              </w:rPr>
              <w:instrText xml:space="preserve"> PAGEREF _Toc179453292 \h </w:instrText>
            </w:r>
            <w:r w:rsidR="00D018FD">
              <w:rPr>
                <w:noProof/>
                <w:webHidden/>
              </w:rPr>
            </w:r>
            <w:r w:rsidR="00D018FD">
              <w:rPr>
                <w:noProof/>
                <w:webHidden/>
              </w:rPr>
              <w:fldChar w:fldCharType="separate"/>
            </w:r>
            <w:r w:rsidR="00D018FD">
              <w:rPr>
                <w:noProof/>
                <w:webHidden/>
              </w:rPr>
              <w:t>5</w:t>
            </w:r>
            <w:r w:rsidR="00D018FD">
              <w:rPr>
                <w:noProof/>
                <w:webHidden/>
              </w:rPr>
              <w:fldChar w:fldCharType="end"/>
            </w:r>
          </w:hyperlink>
        </w:p>
        <w:p w14:paraId="1E2C7A60" w14:textId="0C2DFC47" w:rsidR="00D018FD" w:rsidRDefault="004E0C9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9453293" w:history="1">
            <w:r w:rsidR="00D018FD" w:rsidRPr="00AC539D">
              <w:rPr>
                <w:rStyle w:val="Hyperlink"/>
                <w:noProof/>
              </w:rPr>
              <w:t>AUS EP checklist</w:t>
            </w:r>
            <w:r w:rsidR="00D018FD">
              <w:rPr>
                <w:noProof/>
                <w:webHidden/>
              </w:rPr>
              <w:tab/>
            </w:r>
            <w:r w:rsidR="00D018FD">
              <w:rPr>
                <w:noProof/>
                <w:webHidden/>
              </w:rPr>
              <w:fldChar w:fldCharType="begin"/>
            </w:r>
            <w:r w:rsidR="00D018FD">
              <w:rPr>
                <w:noProof/>
                <w:webHidden/>
              </w:rPr>
              <w:instrText xml:space="preserve"> PAGEREF _Toc179453293 \h </w:instrText>
            </w:r>
            <w:r w:rsidR="00D018FD">
              <w:rPr>
                <w:noProof/>
                <w:webHidden/>
              </w:rPr>
            </w:r>
            <w:r w:rsidR="00D018FD">
              <w:rPr>
                <w:noProof/>
                <w:webHidden/>
              </w:rPr>
              <w:fldChar w:fldCharType="separate"/>
            </w:r>
            <w:r w:rsidR="00D018FD">
              <w:rPr>
                <w:noProof/>
                <w:webHidden/>
              </w:rPr>
              <w:t>5</w:t>
            </w:r>
            <w:r w:rsidR="00D018FD">
              <w:rPr>
                <w:noProof/>
                <w:webHidden/>
              </w:rPr>
              <w:fldChar w:fldCharType="end"/>
            </w:r>
          </w:hyperlink>
        </w:p>
        <w:p w14:paraId="2B5F789D" w14:textId="4B54AC6F"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294" w:history="1">
            <w:r w:rsidR="00D018FD" w:rsidRPr="00AC539D">
              <w:rPr>
                <w:rStyle w:val="Hyperlink"/>
                <w:noProof/>
              </w:rPr>
              <w:t>Will we update the EP checklist?</w:t>
            </w:r>
            <w:r w:rsidR="00D018FD">
              <w:rPr>
                <w:noProof/>
                <w:webHidden/>
              </w:rPr>
              <w:tab/>
            </w:r>
            <w:r w:rsidR="00D018FD">
              <w:rPr>
                <w:noProof/>
                <w:webHidden/>
              </w:rPr>
              <w:fldChar w:fldCharType="begin"/>
            </w:r>
            <w:r w:rsidR="00D018FD">
              <w:rPr>
                <w:noProof/>
                <w:webHidden/>
              </w:rPr>
              <w:instrText xml:space="preserve"> PAGEREF _Toc179453294 \h </w:instrText>
            </w:r>
            <w:r w:rsidR="00D018FD">
              <w:rPr>
                <w:noProof/>
                <w:webHidden/>
              </w:rPr>
            </w:r>
            <w:r w:rsidR="00D018FD">
              <w:rPr>
                <w:noProof/>
                <w:webHidden/>
              </w:rPr>
              <w:fldChar w:fldCharType="separate"/>
            </w:r>
            <w:r w:rsidR="00D018FD">
              <w:rPr>
                <w:noProof/>
                <w:webHidden/>
              </w:rPr>
              <w:t>5</w:t>
            </w:r>
            <w:r w:rsidR="00D018FD">
              <w:rPr>
                <w:noProof/>
                <w:webHidden/>
              </w:rPr>
              <w:fldChar w:fldCharType="end"/>
            </w:r>
          </w:hyperlink>
        </w:p>
        <w:p w14:paraId="08A2DA4F" w14:textId="2D4FD2EA"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295" w:history="1">
            <w:r w:rsidR="00D018FD" w:rsidRPr="00AC539D">
              <w:rPr>
                <w:rStyle w:val="Hyperlink"/>
                <w:noProof/>
              </w:rPr>
              <w:t>Will we create a document outlining the differences with the EU GSPR checklist?</w:t>
            </w:r>
            <w:r w:rsidR="00D018FD">
              <w:rPr>
                <w:noProof/>
                <w:webHidden/>
              </w:rPr>
              <w:tab/>
            </w:r>
            <w:r w:rsidR="00D018FD">
              <w:rPr>
                <w:noProof/>
                <w:webHidden/>
              </w:rPr>
              <w:fldChar w:fldCharType="begin"/>
            </w:r>
            <w:r w:rsidR="00D018FD">
              <w:rPr>
                <w:noProof/>
                <w:webHidden/>
              </w:rPr>
              <w:instrText xml:space="preserve"> PAGEREF _Toc179453295 \h </w:instrText>
            </w:r>
            <w:r w:rsidR="00D018FD">
              <w:rPr>
                <w:noProof/>
                <w:webHidden/>
              </w:rPr>
            </w:r>
            <w:r w:rsidR="00D018FD">
              <w:rPr>
                <w:noProof/>
                <w:webHidden/>
              </w:rPr>
              <w:fldChar w:fldCharType="separate"/>
            </w:r>
            <w:r w:rsidR="00D018FD">
              <w:rPr>
                <w:noProof/>
                <w:webHidden/>
              </w:rPr>
              <w:t>5</w:t>
            </w:r>
            <w:r w:rsidR="00D018FD">
              <w:rPr>
                <w:noProof/>
                <w:webHidden/>
              </w:rPr>
              <w:fldChar w:fldCharType="end"/>
            </w:r>
          </w:hyperlink>
        </w:p>
        <w:p w14:paraId="6A9DAFCF" w14:textId="45383A82"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296" w:history="1">
            <w:r w:rsidR="00D018FD" w:rsidRPr="00AC539D">
              <w:rPr>
                <w:rStyle w:val="Hyperlink"/>
                <w:rFonts w:ascii="Cambria" w:hAnsi="Cambria"/>
                <w:noProof/>
              </w:rPr>
              <w:t>EP checklist information</w:t>
            </w:r>
            <w:r w:rsidR="00D018FD">
              <w:rPr>
                <w:noProof/>
                <w:webHidden/>
              </w:rPr>
              <w:tab/>
            </w:r>
            <w:r w:rsidR="00D018FD">
              <w:rPr>
                <w:noProof/>
                <w:webHidden/>
              </w:rPr>
              <w:fldChar w:fldCharType="begin"/>
            </w:r>
            <w:r w:rsidR="00D018FD">
              <w:rPr>
                <w:noProof/>
                <w:webHidden/>
              </w:rPr>
              <w:instrText xml:space="preserve"> PAGEREF _Toc179453296 \h </w:instrText>
            </w:r>
            <w:r w:rsidR="00D018FD">
              <w:rPr>
                <w:noProof/>
                <w:webHidden/>
              </w:rPr>
            </w:r>
            <w:r w:rsidR="00D018FD">
              <w:rPr>
                <w:noProof/>
                <w:webHidden/>
              </w:rPr>
              <w:fldChar w:fldCharType="separate"/>
            </w:r>
            <w:r w:rsidR="00D018FD">
              <w:rPr>
                <w:noProof/>
                <w:webHidden/>
              </w:rPr>
              <w:t>5</w:t>
            </w:r>
            <w:r w:rsidR="00D018FD">
              <w:rPr>
                <w:noProof/>
                <w:webHidden/>
              </w:rPr>
              <w:fldChar w:fldCharType="end"/>
            </w:r>
          </w:hyperlink>
        </w:p>
        <w:p w14:paraId="3E6E915C" w14:textId="6542247F" w:rsidR="00D018FD" w:rsidRDefault="004E0C9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9453297" w:history="1">
            <w:r w:rsidR="00D018FD" w:rsidRPr="00AC539D">
              <w:rPr>
                <w:rStyle w:val="Hyperlink"/>
                <w:noProof/>
              </w:rPr>
              <w:t>International alignment</w:t>
            </w:r>
            <w:r w:rsidR="00D018FD">
              <w:rPr>
                <w:noProof/>
                <w:webHidden/>
              </w:rPr>
              <w:tab/>
            </w:r>
            <w:r w:rsidR="00D018FD">
              <w:rPr>
                <w:noProof/>
                <w:webHidden/>
              </w:rPr>
              <w:fldChar w:fldCharType="begin"/>
            </w:r>
            <w:r w:rsidR="00D018FD">
              <w:rPr>
                <w:noProof/>
                <w:webHidden/>
              </w:rPr>
              <w:instrText xml:space="preserve"> PAGEREF _Toc179453297 \h </w:instrText>
            </w:r>
            <w:r w:rsidR="00D018FD">
              <w:rPr>
                <w:noProof/>
                <w:webHidden/>
              </w:rPr>
            </w:r>
            <w:r w:rsidR="00D018FD">
              <w:rPr>
                <w:noProof/>
                <w:webHidden/>
              </w:rPr>
              <w:fldChar w:fldCharType="separate"/>
            </w:r>
            <w:r w:rsidR="00D018FD">
              <w:rPr>
                <w:noProof/>
                <w:webHidden/>
              </w:rPr>
              <w:t>5</w:t>
            </w:r>
            <w:r w:rsidR="00D018FD">
              <w:rPr>
                <w:noProof/>
                <w:webHidden/>
              </w:rPr>
              <w:fldChar w:fldCharType="end"/>
            </w:r>
          </w:hyperlink>
        </w:p>
        <w:p w14:paraId="32CB453F" w14:textId="59624A89"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298" w:history="1">
            <w:r w:rsidR="00D018FD" w:rsidRPr="00AC539D">
              <w:rPr>
                <w:rStyle w:val="Hyperlink"/>
                <w:noProof/>
              </w:rPr>
              <w:t>How will the EP changes effect MDSAP?</w:t>
            </w:r>
            <w:r w:rsidR="00D018FD">
              <w:rPr>
                <w:noProof/>
                <w:webHidden/>
              </w:rPr>
              <w:tab/>
            </w:r>
            <w:r w:rsidR="00D018FD">
              <w:rPr>
                <w:noProof/>
                <w:webHidden/>
              </w:rPr>
              <w:fldChar w:fldCharType="begin"/>
            </w:r>
            <w:r w:rsidR="00D018FD">
              <w:rPr>
                <w:noProof/>
                <w:webHidden/>
              </w:rPr>
              <w:instrText xml:space="preserve"> PAGEREF _Toc179453298 \h </w:instrText>
            </w:r>
            <w:r w:rsidR="00D018FD">
              <w:rPr>
                <w:noProof/>
                <w:webHidden/>
              </w:rPr>
            </w:r>
            <w:r w:rsidR="00D018FD">
              <w:rPr>
                <w:noProof/>
                <w:webHidden/>
              </w:rPr>
              <w:fldChar w:fldCharType="separate"/>
            </w:r>
            <w:r w:rsidR="00D018FD">
              <w:rPr>
                <w:noProof/>
                <w:webHidden/>
              </w:rPr>
              <w:t>5</w:t>
            </w:r>
            <w:r w:rsidR="00D018FD">
              <w:rPr>
                <w:noProof/>
                <w:webHidden/>
              </w:rPr>
              <w:fldChar w:fldCharType="end"/>
            </w:r>
          </w:hyperlink>
        </w:p>
        <w:p w14:paraId="3B2C5F06" w14:textId="21D78D1F"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299" w:history="1">
            <w:r w:rsidR="00D018FD" w:rsidRPr="00AC539D">
              <w:rPr>
                <w:rStyle w:val="Hyperlink"/>
                <w:rFonts w:ascii="Cambria" w:hAnsi="Cambria"/>
                <w:noProof/>
              </w:rPr>
              <w:t>MDSAP information</w:t>
            </w:r>
            <w:r w:rsidR="00D018FD">
              <w:rPr>
                <w:noProof/>
                <w:webHidden/>
              </w:rPr>
              <w:tab/>
            </w:r>
            <w:r w:rsidR="00D018FD">
              <w:rPr>
                <w:noProof/>
                <w:webHidden/>
              </w:rPr>
              <w:fldChar w:fldCharType="begin"/>
            </w:r>
            <w:r w:rsidR="00D018FD">
              <w:rPr>
                <w:noProof/>
                <w:webHidden/>
              </w:rPr>
              <w:instrText xml:space="preserve"> PAGEREF _Toc179453299 \h </w:instrText>
            </w:r>
            <w:r w:rsidR="00D018FD">
              <w:rPr>
                <w:noProof/>
                <w:webHidden/>
              </w:rPr>
            </w:r>
            <w:r w:rsidR="00D018FD">
              <w:rPr>
                <w:noProof/>
                <w:webHidden/>
              </w:rPr>
              <w:fldChar w:fldCharType="separate"/>
            </w:r>
            <w:r w:rsidR="00D018FD">
              <w:rPr>
                <w:noProof/>
                <w:webHidden/>
              </w:rPr>
              <w:t>6</w:t>
            </w:r>
            <w:r w:rsidR="00D018FD">
              <w:rPr>
                <w:noProof/>
                <w:webHidden/>
              </w:rPr>
              <w:fldChar w:fldCharType="end"/>
            </w:r>
          </w:hyperlink>
        </w:p>
        <w:p w14:paraId="30463A8E" w14:textId="75228FFB"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00" w:history="1">
            <w:r w:rsidR="00D018FD" w:rsidRPr="00AC539D">
              <w:rPr>
                <w:rStyle w:val="Hyperlink"/>
                <w:noProof/>
              </w:rPr>
              <w:t>How will these changes effect the EU MRA?</w:t>
            </w:r>
            <w:r w:rsidR="00D018FD">
              <w:rPr>
                <w:noProof/>
                <w:webHidden/>
              </w:rPr>
              <w:tab/>
            </w:r>
            <w:r w:rsidR="00D018FD">
              <w:rPr>
                <w:noProof/>
                <w:webHidden/>
              </w:rPr>
              <w:fldChar w:fldCharType="begin"/>
            </w:r>
            <w:r w:rsidR="00D018FD">
              <w:rPr>
                <w:noProof/>
                <w:webHidden/>
              </w:rPr>
              <w:instrText xml:space="preserve"> PAGEREF _Toc179453300 \h </w:instrText>
            </w:r>
            <w:r w:rsidR="00D018FD">
              <w:rPr>
                <w:noProof/>
                <w:webHidden/>
              </w:rPr>
            </w:r>
            <w:r w:rsidR="00D018FD">
              <w:rPr>
                <w:noProof/>
                <w:webHidden/>
              </w:rPr>
              <w:fldChar w:fldCharType="separate"/>
            </w:r>
            <w:r w:rsidR="00D018FD">
              <w:rPr>
                <w:noProof/>
                <w:webHidden/>
              </w:rPr>
              <w:t>6</w:t>
            </w:r>
            <w:r w:rsidR="00D018FD">
              <w:rPr>
                <w:noProof/>
                <w:webHidden/>
              </w:rPr>
              <w:fldChar w:fldCharType="end"/>
            </w:r>
          </w:hyperlink>
        </w:p>
        <w:p w14:paraId="1141171B" w14:textId="756F7FB9"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01" w:history="1">
            <w:r w:rsidR="00D018FD" w:rsidRPr="00AC539D">
              <w:rPr>
                <w:rStyle w:val="Hyperlink"/>
                <w:noProof/>
              </w:rPr>
              <w:t>How will these changes effect comparable overseas regulatory pathways?</w:t>
            </w:r>
            <w:r w:rsidR="00D018FD">
              <w:rPr>
                <w:noProof/>
                <w:webHidden/>
              </w:rPr>
              <w:tab/>
            </w:r>
            <w:r w:rsidR="00D018FD">
              <w:rPr>
                <w:noProof/>
                <w:webHidden/>
              </w:rPr>
              <w:fldChar w:fldCharType="begin"/>
            </w:r>
            <w:r w:rsidR="00D018FD">
              <w:rPr>
                <w:noProof/>
                <w:webHidden/>
              </w:rPr>
              <w:instrText xml:space="preserve"> PAGEREF _Toc179453301 \h </w:instrText>
            </w:r>
            <w:r w:rsidR="00D018FD">
              <w:rPr>
                <w:noProof/>
                <w:webHidden/>
              </w:rPr>
            </w:r>
            <w:r w:rsidR="00D018FD">
              <w:rPr>
                <w:noProof/>
                <w:webHidden/>
              </w:rPr>
              <w:fldChar w:fldCharType="separate"/>
            </w:r>
            <w:r w:rsidR="00D018FD">
              <w:rPr>
                <w:noProof/>
                <w:webHidden/>
              </w:rPr>
              <w:t>6</w:t>
            </w:r>
            <w:r w:rsidR="00D018FD">
              <w:rPr>
                <w:noProof/>
                <w:webHidden/>
              </w:rPr>
              <w:fldChar w:fldCharType="end"/>
            </w:r>
          </w:hyperlink>
        </w:p>
        <w:p w14:paraId="09201F29" w14:textId="2FAE3A67"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02" w:history="1">
            <w:r w:rsidR="00D018FD" w:rsidRPr="00AC539D">
              <w:rPr>
                <w:rStyle w:val="Hyperlink"/>
                <w:rFonts w:ascii="Cambria" w:hAnsi="Cambria"/>
                <w:noProof/>
              </w:rPr>
              <w:t>Comparable overseas regulator information</w:t>
            </w:r>
            <w:r w:rsidR="00D018FD">
              <w:rPr>
                <w:noProof/>
                <w:webHidden/>
              </w:rPr>
              <w:tab/>
            </w:r>
            <w:r w:rsidR="00D018FD">
              <w:rPr>
                <w:noProof/>
                <w:webHidden/>
              </w:rPr>
              <w:fldChar w:fldCharType="begin"/>
            </w:r>
            <w:r w:rsidR="00D018FD">
              <w:rPr>
                <w:noProof/>
                <w:webHidden/>
              </w:rPr>
              <w:instrText xml:space="preserve"> PAGEREF _Toc179453302 \h </w:instrText>
            </w:r>
            <w:r w:rsidR="00D018FD">
              <w:rPr>
                <w:noProof/>
                <w:webHidden/>
              </w:rPr>
            </w:r>
            <w:r w:rsidR="00D018FD">
              <w:rPr>
                <w:noProof/>
                <w:webHidden/>
              </w:rPr>
              <w:fldChar w:fldCharType="separate"/>
            </w:r>
            <w:r w:rsidR="00D018FD">
              <w:rPr>
                <w:noProof/>
                <w:webHidden/>
              </w:rPr>
              <w:t>7</w:t>
            </w:r>
            <w:r w:rsidR="00D018FD">
              <w:rPr>
                <w:noProof/>
                <w:webHidden/>
              </w:rPr>
              <w:fldChar w:fldCharType="end"/>
            </w:r>
          </w:hyperlink>
        </w:p>
        <w:p w14:paraId="30580BC9" w14:textId="655CFBBE"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03" w:history="1">
            <w:r w:rsidR="00D018FD" w:rsidRPr="00AC539D">
              <w:rPr>
                <w:rStyle w:val="Hyperlink"/>
                <w:noProof/>
              </w:rPr>
              <w:t>How do these changes align with IMDRF principles?</w:t>
            </w:r>
            <w:r w:rsidR="00D018FD">
              <w:rPr>
                <w:noProof/>
                <w:webHidden/>
              </w:rPr>
              <w:tab/>
            </w:r>
            <w:r w:rsidR="00D018FD">
              <w:rPr>
                <w:noProof/>
                <w:webHidden/>
              </w:rPr>
              <w:fldChar w:fldCharType="begin"/>
            </w:r>
            <w:r w:rsidR="00D018FD">
              <w:rPr>
                <w:noProof/>
                <w:webHidden/>
              </w:rPr>
              <w:instrText xml:space="preserve"> PAGEREF _Toc179453303 \h </w:instrText>
            </w:r>
            <w:r w:rsidR="00D018FD">
              <w:rPr>
                <w:noProof/>
                <w:webHidden/>
              </w:rPr>
            </w:r>
            <w:r w:rsidR="00D018FD">
              <w:rPr>
                <w:noProof/>
                <w:webHidden/>
              </w:rPr>
              <w:fldChar w:fldCharType="separate"/>
            </w:r>
            <w:r w:rsidR="00D018FD">
              <w:rPr>
                <w:noProof/>
                <w:webHidden/>
              </w:rPr>
              <w:t>7</w:t>
            </w:r>
            <w:r w:rsidR="00D018FD">
              <w:rPr>
                <w:noProof/>
                <w:webHidden/>
              </w:rPr>
              <w:fldChar w:fldCharType="end"/>
            </w:r>
          </w:hyperlink>
        </w:p>
        <w:p w14:paraId="3CC8F815" w14:textId="259B5F8F" w:rsidR="00D018FD" w:rsidRDefault="004E0C9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9453304" w:history="1">
            <w:r w:rsidR="00D018FD" w:rsidRPr="00AC539D">
              <w:rPr>
                <w:rStyle w:val="Hyperlink"/>
                <w:noProof/>
              </w:rPr>
              <w:t>Effect on manufacturers</w:t>
            </w:r>
            <w:r w:rsidR="00D018FD">
              <w:rPr>
                <w:noProof/>
                <w:webHidden/>
              </w:rPr>
              <w:tab/>
            </w:r>
            <w:r w:rsidR="00D018FD">
              <w:rPr>
                <w:noProof/>
                <w:webHidden/>
              </w:rPr>
              <w:fldChar w:fldCharType="begin"/>
            </w:r>
            <w:r w:rsidR="00D018FD">
              <w:rPr>
                <w:noProof/>
                <w:webHidden/>
              </w:rPr>
              <w:instrText xml:space="preserve"> PAGEREF _Toc179453304 \h </w:instrText>
            </w:r>
            <w:r w:rsidR="00D018FD">
              <w:rPr>
                <w:noProof/>
                <w:webHidden/>
              </w:rPr>
            </w:r>
            <w:r w:rsidR="00D018FD">
              <w:rPr>
                <w:noProof/>
                <w:webHidden/>
              </w:rPr>
              <w:fldChar w:fldCharType="separate"/>
            </w:r>
            <w:r w:rsidR="00D018FD">
              <w:rPr>
                <w:noProof/>
                <w:webHidden/>
              </w:rPr>
              <w:t>7</w:t>
            </w:r>
            <w:r w:rsidR="00D018FD">
              <w:rPr>
                <w:noProof/>
                <w:webHidden/>
              </w:rPr>
              <w:fldChar w:fldCharType="end"/>
            </w:r>
          </w:hyperlink>
        </w:p>
        <w:p w14:paraId="04E22436" w14:textId="3136BA32"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05" w:history="1">
            <w:r w:rsidR="00D018FD" w:rsidRPr="00AC539D">
              <w:rPr>
                <w:rStyle w:val="Hyperlink"/>
                <w:noProof/>
              </w:rPr>
              <w:t>What will be the cost of the changes to manufacturers?</w:t>
            </w:r>
            <w:r w:rsidR="00D018FD">
              <w:rPr>
                <w:noProof/>
                <w:webHidden/>
              </w:rPr>
              <w:tab/>
            </w:r>
            <w:r w:rsidR="00D018FD">
              <w:rPr>
                <w:noProof/>
                <w:webHidden/>
              </w:rPr>
              <w:fldChar w:fldCharType="begin"/>
            </w:r>
            <w:r w:rsidR="00D018FD">
              <w:rPr>
                <w:noProof/>
                <w:webHidden/>
              </w:rPr>
              <w:instrText xml:space="preserve"> PAGEREF _Toc179453305 \h </w:instrText>
            </w:r>
            <w:r w:rsidR="00D018FD">
              <w:rPr>
                <w:noProof/>
                <w:webHidden/>
              </w:rPr>
            </w:r>
            <w:r w:rsidR="00D018FD">
              <w:rPr>
                <w:noProof/>
                <w:webHidden/>
              </w:rPr>
              <w:fldChar w:fldCharType="separate"/>
            </w:r>
            <w:r w:rsidR="00D018FD">
              <w:rPr>
                <w:noProof/>
                <w:webHidden/>
              </w:rPr>
              <w:t>7</w:t>
            </w:r>
            <w:r w:rsidR="00D018FD">
              <w:rPr>
                <w:noProof/>
                <w:webHidden/>
              </w:rPr>
              <w:fldChar w:fldCharType="end"/>
            </w:r>
          </w:hyperlink>
        </w:p>
        <w:p w14:paraId="7293D247" w14:textId="57182547"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06" w:history="1">
            <w:r w:rsidR="00D018FD" w:rsidRPr="00AC539D">
              <w:rPr>
                <w:rStyle w:val="Hyperlink"/>
                <w:noProof/>
              </w:rPr>
              <w:t>What support will there be for manufacturers?</w:t>
            </w:r>
            <w:r w:rsidR="00D018FD">
              <w:rPr>
                <w:noProof/>
                <w:webHidden/>
              </w:rPr>
              <w:tab/>
            </w:r>
            <w:r w:rsidR="00D018FD">
              <w:rPr>
                <w:noProof/>
                <w:webHidden/>
              </w:rPr>
              <w:fldChar w:fldCharType="begin"/>
            </w:r>
            <w:r w:rsidR="00D018FD">
              <w:rPr>
                <w:noProof/>
                <w:webHidden/>
              </w:rPr>
              <w:instrText xml:space="preserve"> PAGEREF _Toc179453306 \h </w:instrText>
            </w:r>
            <w:r w:rsidR="00D018FD">
              <w:rPr>
                <w:noProof/>
                <w:webHidden/>
              </w:rPr>
            </w:r>
            <w:r w:rsidR="00D018FD">
              <w:rPr>
                <w:noProof/>
                <w:webHidden/>
              </w:rPr>
              <w:fldChar w:fldCharType="separate"/>
            </w:r>
            <w:r w:rsidR="00D018FD">
              <w:rPr>
                <w:noProof/>
                <w:webHidden/>
              </w:rPr>
              <w:t>7</w:t>
            </w:r>
            <w:r w:rsidR="00D018FD">
              <w:rPr>
                <w:noProof/>
                <w:webHidden/>
              </w:rPr>
              <w:fldChar w:fldCharType="end"/>
            </w:r>
          </w:hyperlink>
        </w:p>
        <w:p w14:paraId="2BF6E382" w14:textId="5C409A26"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07" w:history="1">
            <w:r w:rsidR="00D018FD" w:rsidRPr="00AC539D">
              <w:rPr>
                <w:rStyle w:val="Hyperlink"/>
                <w:noProof/>
              </w:rPr>
              <w:t>How will changes effect manufacturers with EC certificate that are not ISO 13485 certified?</w:t>
            </w:r>
            <w:r w:rsidR="00D018FD">
              <w:rPr>
                <w:noProof/>
                <w:webHidden/>
              </w:rPr>
              <w:tab/>
            </w:r>
            <w:r w:rsidR="00D018FD">
              <w:rPr>
                <w:noProof/>
                <w:webHidden/>
              </w:rPr>
              <w:fldChar w:fldCharType="begin"/>
            </w:r>
            <w:r w:rsidR="00D018FD">
              <w:rPr>
                <w:noProof/>
                <w:webHidden/>
              </w:rPr>
              <w:instrText xml:space="preserve"> PAGEREF _Toc179453307 \h </w:instrText>
            </w:r>
            <w:r w:rsidR="00D018FD">
              <w:rPr>
                <w:noProof/>
                <w:webHidden/>
              </w:rPr>
            </w:r>
            <w:r w:rsidR="00D018FD">
              <w:rPr>
                <w:noProof/>
                <w:webHidden/>
              </w:rPr>
              <w:fldChar w:fldCharType="separate"/>
            </w:r>
            <w:r w:rsidR="00D018FD">
              <w:rPr>
                <w:noProof/>
                <w:webHidden/>
              </w:rPr>
              <w:t>7</w:t>
            </w:r>
            <w:r w:rsidR="00D018FD">
              <w:rPr>
                <w:noProof/>
                <w:webHidden/>
              </w:rPr>
              <w:fldChar w:fldCharType="end"/>
            </w:r>
          </w:hyperlink>
        </w:p>
        <w:p w14:paraId="3982B37D" w14:textId="647055C8"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08" w:history="1">
            <w:r w:rsidR="00D018FD" w:rsidRPr="00AC539D">
              <w:rPr>
                <w:rStyle w:val="Hyperlink"/>
                <w:rFonts w:ascii="Cambria" w:hAnsi="Cambria"/>
                <w:noProof/>
              </w:rPr>
              <w:t>More information</w:t>
            </w:r>
            <w:r w:rsidR="00D018FD">
              <w:rPr>
                <w:noProof/>
                <w:webHidden/>
              </w:rPr>
              <w:tab/>
            </w:r>
            <w:r w:rsidR="00D018FD">
              <w:rPr>
                <w:noProof/>
                <w:webHidden/>
              </w:rPr>
              <w:fldChar w:fldCharType="begin"/>
            </w:r>
            <w:r w:rsidR="00D018FD">
              <w:rPr>
                <w:noProof/>
                <w:webHidden/>
              </w:rPr>
              <w:instrText xml:space="preserve"> PAGEREF _Toc179453308 \h </w:instrText>
            </w:r>
            <w:r w:rsidR="00D018FD">
              <w:rPr>
                <w:noProof/>
                <w:webHidden/>
              </w:rPr>
            </w:r>
            <w:r w:rsidR="00D018FD">
              <w:rPr>
                <w:noProof/>
                <w:webHidden/>
              </w:rPr>
              <w:fldChar w:fldCharType="separate"/>
            </w:r>
            <w:r w:rsidR="00D018FD">
              <w:rPr>
                <w:noProof/>
                <w:webHidden/>
              </w:rPr>
              <w:t>8</w:t>
            </w:r>
            <w:r w:rsidR="00D018FD">
              <w:rPr>
                <w:noProof/>
                <w:webHidden/>
              </w:rPr>
              <w:fldChar w:fldCharType="end"/>
            </w:r>
          </w:hyperlink>
        </w:p>
        <w:p w14:paraId="662CA444" w14:textId="28736046"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09" w:history="1">
            <w:r w:rsidR="00D018FD" w:rsidRPr="00AC539D">
              <w:rPr>
                <w:rStyle w:val="Hyperlink"/>
                <w:noProof/>
              </w:rPr>
              <w:t>How will changes effect manufacturers of class I devices using the Declaration of conformity (not requiring assessment by the Secretary) procedures?</w:t>
            </w:r>
            <w:r w:rsidR="00D018FD">
              <w:rPr>
                <w:noProof/>
                <w:webHidden/>
              </w:rPr>
              <w:tab/>
            </w:r>
            <w:r w:rsidR="00D018FD">
              <w:rPr>
                <w:noProof/>
                <w:webHidden/>
              </w:rPr>
              <w:fldChar w:fldCharType="begin"/>
            </w:r>
            <w:r w:rsidR="00D018FD">
              <w:rPr>
                <w:noProof/>
                <w:webHidden/>
              </w:rPr>
              <w:instrText xml:space="preserve"> PAGEREF _Toc179453309 \h </w:instrText>
            </w:r>
            <w:r w:rsidR="00D018FD">
              <w:rPr>
                <w:noProof/>
                <w:webHidden/>
              </w:rPr>
            </w:r>
            <w:r w:rsidR="00D018FD">
              <w:rPr>
                <w:noProof/>
                <w:webHidden/>
              </w:rPr>
              <w:fldChar w:fldCharType="separate"/>
            </w:r>
            <w:r w:rsidR="00D018FD">
              <w:rPr>
                <w:noProof/>
                <w:webHidden/>
              </w:rPr>
              <w:t>8</w:t>
            </w:r>
            <w:r w:rsidR="00D018FD">
              <w:rPr>
                <w:noProof/>
                <w:webHidden/>
              </w:rPr>
              <w:fldChar w:fldCharType="end"/>
            </w:r>
          </w:hyperlink>
        </w:p>
        <w:p w14:paraId="59A6A715" w14:textId="4466167F"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10" w:history="1">
            <w:r w:rsidR="00D018FD" w:rsidRPr="00AC539D">
              <w:rPr>
                <w:rStyle w:val="Hyperlink"/>
                <w:rFonts w:ascii="Cambria" w:hAnsi="Cambria"/>
                <w:noProof/>
              </w:rPr>
              <w:t>Manufacturer evidence information</w:t>
            </w:r>
            <w:r w:rsidR="00D018FD">
              <w:rPr>
                <w:noProof/>
                <w:webHidden/>
              </w:rPr>
              <w:tab/>
            </w:r>
            <w:r w:rsidR="00D018FD">
              <w:rPr>
                <w:noProof/>
                <w:webHidden/>
              </w:rPr>
              <w:fldChar w:fldCharType="begin"/>
            </w:r>
            <w:r w:rsidR="00D018FD">
              <w:rPr>
                <w:noProof/>
                <w:webHidden/>
              </w:rPr>
              <w:instrText xml:space="preserve"> PAGEREF _Toc179453310 \h </w:instrText>
            </w:r>
            <w:r w:rsidR="00D018FD">
              <w:rPr>
                <w:noProof/>
                <w:webHidden/>
              </w:rPr>
            </w:r>
            <w:r w:rsidR="00D018FD">
              <w:rPr>
                <w:noProof/>
                <w:webHidden/>
              </w:rPr>
              <w:fldChar w:fldCharType="separate"/>
            </w:r>
            <w:r w:rsidR="00D018FD">
              <w:rPr>
                <w:noProof/>
                <w:webHidden/>
              </w:rPr>
              <w:t>8</w:t>
            </w:r>
            <w:r w:rsidR="00D018FD">
              <w:rPr>
                <w:noProof/>
                <w:webHidden/>
              </w:rPr>
              <w:fldChar w:fldCharType="end"/>
            </w:r>
          </w:hyperlink>
        </w:p>
        <w:p w14:paraId="6964BD6C" w14:textId="73E8573A"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11" w:history="1">
            <w:r w:rsidR="00D018FD" w:rsidRPr="00AC539D">
              <w:rPr>
                <w:rStyle w:val="Hyperlink"/>
                <w:noProof/>
              </w:rPr>
              <w:t>How will these changes effect expired manufacturer evidence in eBS?</w:t>
            </w:r>
            <w:r w:rsidR="00D018FD">
              <w:rPr>
                <w:noProof/>
                <w:webHidden/>
              </w:rPr>
              <w:tab/>
            </w:r>
            <w:r w:rsidR="00D018FD">
              <w:rPr>
                <w:noProof/>
                <w:webHidden/>
              </w:rPr>
              <w:fldChar w:fldCharType="begin"/>
            </w:r>
            <w:r w:rsidR="00D018FD">
              <w:rPr>
                <w:noProof/>
                <w:webHidden/>
              </w:rPr>
              <w:instrText xml:space="preserve"> PAGEREF _Toc179453311 \h </w:instrText>
            </w:r>
            <w:r w:rsidR="00D018FD">
              <w:rPr>
                <w:noProof/>
                <w:webHidden/>
              </w:rPr>
            </w:r>
            <w:r w:rsidR="00D018FD">
              <w:rPr>
                <w:noProof/>
                <w:webHidden/>
              </w:rPr>
              <w:fldChar w:fldCharType="separate"/>
            </w:r>
            <w:r w:rsidR="00D018FD">
              <w:rPr>
                <w:noProof/>
                <w:webHidden/>
              </w:rPr>
              <w:t>9</w:t>
            </w:r>
            <w:r w:rsidR="00D018FD">
              <w:rPr>
                <w:noProof/>
                <w:webHidden/>
              </w:rPr>
              <w:fldChar w:fldCharType="end"/>
            </w:r>
          </w:hyperlink>
        </w:p>
        <w:p w14:paraId="58C3CE8C" w14:textId="4B8A0A18"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12" w:history="1">
            <w:r w:rsidR="00D018FD" w:rsidRPr="00AC539D">
              <w:rPr>
                <w:rStyle w:val="Hyperlink"/>
                <w:rFonts w:ascii="Cambria" w:hAnsi="Cambria"/>
                <w:noProof/>
              </w:rPr>
              <w:t>Information on manufacturer evidence</w:t>
            </w:r>
            <w:r w:rsidR="00D018FD">
              <w:rPr>
                <w:noProof/>
                <w:webHidden/>
              </w:rPr>
              <w:tab/>
            </w:r>
            <w:r w:rsidR="00D018FD">
              <w:rPr>
                <w:noProof/>
                <w:webHidden/>
              </w:rPr>
              <w:fldChar w:fldCharType="begin"/>
            </w:r>
            <w:r w:rsidR="00D018FD">
              <w:rPr>
                <w:noProof/>
                <w:webHidden/>
              </w:rPr>
              <w:instrText xml:space="preserve"> PAGEREF _Toc179453312 \h </w:instrText>
            </w:r>
            <w:r w:rsidR="00D018FD">
              <w:rPr>
                <w:noProof/>
                <w:webHidden/>
              </w:rPr>
            </w:r>
            <w:r w:rsidR="00D018FD">
              <w:rPr>
                <w:noProof/>
                <w:webHidden/>
              </w:rPr>
              <w:fldChar w:fldCharType="separate"/>
            </w:r>
            <w:r w:rsidR="00D018FD">
              <w:rPr>
                <w:noProof/>
                <w:webHidden/>
              </w:rPr>
              <w:t>9</w:t>
            </w:r>
            <w:r w:rsidR="00D018FD">
              <w:rPr>
                <w:noProof/>
                <w:webHidden/>
              </w:rPr>
              <w:fldChar w:fldCharType="end"/>
            </w:r>
          </w:hyperlink>
        </w:p>
        <w:p w14:paraId="6AD7A36E" w14:textId="32DF546F"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13" w:history="1">
            <w:r w:rsidR="00D018FD" w:rsidRPr="00AC539D">
              <w:rPr>
                <w:rStyle w:val="Hyperlink"/>
                <w:noProof/>
              </w:rPr>
              <w:t>Can you give the dental industry a guide to the Essential Principles?</w:t>
            </w:r>
            <w:r w:rsidR="00D018FD">
              <w:rPr>
                <w:noProof/>
                <w:webHidden/>
              </w:rPr>
              <w:tab/>
            </w:r>
            <w:r w:rsidR="00D018FD">
              <w:rPr>
                <w:noProof/>
                <w:webHidden/>
              </w:rPr>
              <w:fldChar w:fldCharType="begin"/>
            </w:r>
            <w:r w:rsidR="00D018FD">
              <w:rPr>
                <w:noProof/>
                <w:webHidden/>
              </w:rPr>
              <w:instrText xml:space="preserve"> PAGEREF _Toc179453313 \h </w:instrText>
            </w:r>
            <w:r w:rsidR="00D018FD">
              <w:rPr>
                <w:noProof/>
                <w:webHidden/>
              </w:rPr>
            </w:r>
            <w:r w:rsidR="00D018FD">
              <w:rPr>
                <w:noProof/>
                <w:webHidden/>
              </w:rPr>
              <w:fldChar w:fldCharType="separate"/>
            </w:r>
            <w:r w:rsidR="00D018FD">
              <w:rPr>
                <w:noProof/>
                <w:webHidden/>
              </w:rPr>
              <w:t>9</w:t>
            </w:r>
            <w:r w:rsidR="00D018FD">
              <w:rPr>
                <w:noProof/>
                <w:webHidden/>
              </w:rPr>
              <w:fldChar w:fldCharType="end"/>
            </w:r>
          </w:hyperlink>
        </w:p>
        <w:p w14:paraId="6DA5933E" w14:textId="0418E437"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14" w:history="1">
            <w:r w:rsidR="00D018FD" w:rsidRPr="00AC539D">
              <w:rPr>
                <w:rStyle w:val="Hyperlink"/>
                <w:rFonts w:ascii="Cambria" w:hAnsi="Cambria"/>
                <w:noProof/>
              </w:rPr>
              <w:t>Dental devices</w:t>
            </w:r>
            <w:r w:rsidR="00D018FD">
              <w:rPr>
                <w:noProof/>
                <w:webHidden/>
              </w:rPr>
              <w:tab/>
            </w:r>
            <w:r w:rsidR="00D018FD">
              <w:rPr>
                <w:noProof/>
                <w:webHidden/>
              </w:rPr>
              <w:fldChar w:fldCharType="begin"/>
            </w:r>
            <w:r w:rsidR="00D018FD">
              <w:rPr>
                <w:noProof/>
                <w:webHidden/>
              </w:rPr>
              <w:instrText xml:space="preserve"> PAGEREF _Toc179453314 \h </w:instrText>
            </w:r>
            <w:r w:rsidR="00D018FD">
              <w:rPr>
                <w:noProof/>
                <w:webHidden/>
              </w:rPr>
            </w:r>
            <w:r w:rsidR="00D018FD">
              <w:rPr>
                <w:noProof/>
                <w:webHidden/>
              </w:rPr>
              <w:fldChar w:fldCharType="separate"/>
            </w:r>
            <w:r w:rsidR="00D018FD">
              <w:rPr>
                <w:noProof/>
                <w:webHidden/>
              </w:rPr>
              <w:t>9</w:t>
            </w:r>
            <w:r w:rsidR="00D018FD">
              <w:rPr>
                <w:noProof/>
                <w:webHidden/>
              </w:rPr>
              <w:fldChar w:fldCharType="end"/>
            </w:r>
          </w:hyperlink>
        </w:p>
        <w:p w14:paraId="040E9B1A" w14:textId="7B6FDF7B"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15" w:history="1">
            <w:r w:rsidR="00D018FD" w:rsidRPr="00AC539D">
              <w:rPr>
                <w:rStyle w:val="Hyperlink"/>
                <w:noProof/>
              </w:rPr>
              <w:t>Will there be supply interruptions because of the proposed changes?</w:t>
            </w:r>
            <w:r w:rsidR="00D018FD">
              <w:rPr>
                <w:noProof/>
                <w:webHidden/>
              </w:rPr>
              <w:tab/>
            </w:r>
            <w:r w:rsidR="00D018FD">
              <w:rPr>
                <w:noProof/>
                <w:webHidden/>
              </w:rPr>
              <w:fldChar w:fldCharType="begin"/>
            </w:r>
            <w:r w:rsidR="00D018FD">
              <w:rPr>
                <w:noProof/>
                <w:webHidden/>
              </w:rPr>
              <w:instrText xml:space="preserve"> PAGEREF _Toc179453315 \h </w:instrText>
            </w:r>
            <w:r w:rsidR="00D018FD">
              <w:rPr>
                <w:noProof/>
                <w:webHidden/>
              </w:rPr>
            </w:r>
            <w:r w:rsidR="00D018FD">
              <w:rPr>
                <w:noProof/>
                <w:webHidden/>
              </w:rPr>
              <w:fldChar w:fldCharType="separate"/>
            </w:r>
            <w:r w:rsidR="00D018FD">
              <w:rPr>
                <w:noProof/>
                <w:webHidden/>
              </w:rPr>
              <w:t>10</w:t>
            </w:r>
            <w:r w:rsidR="00D018FD">
              <w:rPr>
                <w:noProof/>
                <w:webHidden/>
              </w:rPr>
              <w:fldChar w:fldCharType="end"/>
            </w:r>
          </w:hyperlink>
        </w:p>
        <w:p w14:paraId="3F60E560" w14:textId="1750C5CF"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16" w:history="1">
            <w:r w:rsidR="00D018FD" w:rsidRPr="00AC539D">
              <w:rPr>
                <w:rStyle w:val="Hyperlink"/>
                <w:rFonts w:ascii="Cambria" w:hAnsi="Cambria"/>
                <w:noProof/>
              </w:rPr>
              <w:t>Supply of devices in Australia</w:t>
            </w:r>
            <w:r w:rsidR="00D018FD">
              <w:rPr>
                <w:noProof/>
                <w:webHidden/>
              </w:rPr>
              <w:tab/>
            </w:r>
            <w:r w:rsidR="00D018FD">
              <w:rPr>
                <w:noProof/>
                <w:webHidden/>
              </w:rPr>
              <w:fldChar w:fldCharType="begin"/>
            </w:r>
            <w:r w:rsidR="00D018FD">
              <w:rPr>
                <w:noProof/>
                <w:webHidden/>
              </w:rPr>
              <w:instrText xml:space="preserve"> PAGEREF _Toc179453316 \h </w:instrText>
            </w:r>
            <w:r w:rsidR="00D018FD">
              <w:rPr>
                <w:noProof/>
                <w:webHidden/>
              </w:rPr>
            </w:r>
            <w:r w:rsidR="00D018FD">
              <w:rPr>
                <w:noProof/>
                <w:webHidden/>
              </w:rPr>
              <w:fldChar w:fldCharType="separate"/>
            </w:r>
            <w:r w:rsidR="00D018FD">
              <w:rPr>
                <w:noProof/>
                <w:webHidden/>
              </w:rPr>
              <w:t>10</w:t>
            </w:r>
            <w:r w:rsidR="00D018FD">
              <w:rPr>
                <w:noProof/>
                <w:webHidden/>
              </w:rPr>
              <w:fldChar w:fldCharType="end"/>
            </w:r>
          </w:hyperlink>
        </w:p>
        <w:p w14:paraId="034C5ECF" w14:textId="3890537A"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17" w:history="1">
            <w:r w:rsidR="00D018FD" w:rsidRPr="00AC539D">
              <w:rPr>
                <w:rStyle w:val="Hyperlink"/>
                <w:noProof/>
              </w:rPr>
              <w:t>How will you manage compliance when implementing regulatory changes?</w:t>
            </w:r>
            <w:r w:rsidR="00D018FD">
              <w:rPr>
                <w:noProof/>
                <w:webHidden/>
              </w:rPr>
              <w:tab/>
            </w:r>
            <w:r w:rsidR="00D018FD">
              <w:rPr>
                <w:noProof/>
                <w:webHidden/>
              </w:rPr>
              <w:fldChar w:fldCharType="begin"/>
            </w:r>
            <w:r w:rsidR="00D018FD">
              <w:rPr>
                <w:noProof/>
                <w:webHidden/>
              </w:rPr>
              <w:instrText xml:space="preserve"> PAGEREF _Toc179453317 \h </w:instrText>
            </w:r>
            <w:r w:rsidR="00D018FD">
              <w:rPr>
                <w:noProof/>
                <w:webHidden/>
              </w:rPr>
            </w:r>
            <w:r w:rsidR="00D018FD">
              <w:rPr>
                <w:noProof/>
                <w:webHidden/>
              </w:rPr>
              <w:fldChar w:fldCharType="separate"/>
            </w:r>
            <w:r w:rsidR="00D018FD">
              <w:rPr>
                <w:noProof/>
                <w:webHidden/>
              </w:rPr>
              <w:t>10</w:t>
            </w:r>
            <w:r w:rsidR="00D018FD">
              <w:rPr>
                <w:noProof/>
                <w:webHidden/>
              </w:rPr>
              <w:fldChar w:fldCharType="end"/>
            </w:r>
          </w:hyperlink>
        </w:p>
        <w:p w14:paraId="23DDD0E4" w14:textId="6E999929" w:rsidR="00D018FD" w:rsidRDefault="004E0C9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9453318" w:history="1">
            <w:r w:rsidR="00D018FD" w:rsidRPr="00AC539D">
              <w:rPr>
                <w:rStyle w:val="Hyperlink"/>
                <w:noProof/>
              </w:rPr>
              <w:t>Specific EP changes</w:t>
            </w:r>
            <w:r w:rsidR="00D018FD">
              <w:rPr>
                <w:noProof/>
                <w:webHidden/>
              </w:rPr>
              <w:tab/>
            </w:r>
            <w:r w:rsidR="00D018FD">
              <w:rPr>
                <w:noProof/>
                <w:webHidden/>
              </w:rPr>
              <w:fldChar w:fldCharType="begin"/>
            </w:r>
            <w:r w:rsidR="00D018FD">
              <w:rPr>
                <w:noProof/>
                <w:webHidden/>
              </w:rPr>
              <w:instrText xml:space="preserve"> PAGEREF _Toc179453318 \h </w:instrText>
            </w:r>
            <w:r w:rsidR="00D018FD">
              <w:rPr>
                <w:noProof/>
                <w:webHidden/>
              </w:rPr>
            </w:r>
            <w:r w:rsidR="00D018FD">
              <w:rPr>
                <w:noProof/>
                <w:webHidden/>
              </w:rPr>
              <w:fldChar w:fldCharType="separate"/>
            </w:r>
            <w:r w:rsidR="00D018FD">
              <w:rPr>
                <w:noProof/>
                <w:webHidden/>
              </w:rPr>
              <w:t>10</w:t>
            </w:r>
            <w:r w:rsidR="00D018FD">
              <w:rPr>
                <w:noProof/>
                <w:webHidden/>
              </w:rPr>
              <w:fldChar w:fldCharType="end"/>
            </w:r>
          </w:hyperlink>
        </w:p>
        <w:p w14:paraId="0FA37C52" w14:textId="138632AD"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19" w:history="1">
            <w:r w:rsidR="00D018FD" w:rsidRPr="00AC539D">
              <w:rPr>
                <w:rStyle w:val="Hyperlink"/>
                <w:noProof/>
              </w:rPr>
              <w:t>How do the EP consultation proposals effect the different types of devices?</w:t>
            </w:r>
            <w:r w:rsidR="00D018FD">
              <w:rPr>
                <w:noProof/>
                <w:webHidden/>
              </w:rPr>
              <w:tab/>
            </w:r>
            <w:r w:rsidR="00D018FD">
              <w:rPr>
                <w:noProof/>
                <w:webHidden/>
              </w:rPr>
              <w:fldChar w:fldCharType="begin"/>
            </w:r>
            <w:r w:rsidR="00D018FD">
              <w:rPr>
                <w:noProof/>
                <w:webHidden/>
              </w:rPr>
              <w:instrText xml:space="preserve"> PAGEREF _Toc179453319 \h </w:instrText>
            </w:r>
            <w:r w:rsidR="00D018FD">
              <w:rPr>
                <w:noProof/>
                <w:webHidden/>
              </w:rPr>
            </w:r>
            <w:r w:rsidR="00D018FD">
              <w:rPr>
                <w:noProof/>
                <w:webHidden/>
              </w:rPr>
              <w:fldChar w:fldCharType="separate"/>
            </w:r>
            <w:r w:rsidR="00D018FD">
              <w:rPr>
                <w:noProof/>
                <w:webHidden/>
              </w:rPr>
              <w:t>10</w:t>
            </w:r>
            <w:r w:rsidR="00D018FD">
              <w:rPr>
                <w:noProof/>
                <w:webHidden/>
              </w:rPr>
              <w:fldChar w:fldCharType="end"/>
            </w:r>
          </w:hyperlink>
        </w:p>
        <w:p w14:paraId="0DE516D5" w14:textId="2C12F292"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20" w:history="1">
            <w:r w:rsidR="00D018FD" w:rsidRPr="00AC539D">
              <w:rPr>
                <w:rStyle w:val="Hyperlink"/>
                <w:noProof/>
              </w:rPr>
              <w:t>What are the number of proposed new EP and Australian-specific EP?</w:t>
            </w:r>
            <w:r w:rsidR="00D018FD">
              <w:rPr>
                <w:noProof/>
                <w:webHidden/>
              </w:rPr>
              <w:tab/>
            </w:r>
            <w:r w:rsidR="00D018FD">
              <w:rPr>
                <w:noProof/>
                <w:webHidden/>
              </w:rPr>
              <w:fldChar w:fldCharType="begin"/>
            </w:r>
            <w:r w:rsidR="00D018FD">
              <w:rPr>
                <w:noProof/>
                <w:webHidden/>
              </w:rPr>
              <w:instrText xml:space="preserve"> PAGEREF _Toc179453320 \h </w:instrText>
            </w:r>
            <w:r w:rsidR="00D018FD">
              <w:rPr>
                <w:noProof/>
                <w:webHidden/>
              </w:rPr>
            </w:r>
            <w:r w:rsidR="00D018FD">
              <w:rPr>
                <w:noProof/>
                <w:webHidden/>
              </w:rPr>
              <w:fldChar w:fldCharType="separate"/>
            </w:r>
            <w:r w:rsidR="00D018FD">
              <w:rPr>
                <w:noProof/>
                <w:webHidden/>
              </w:rPr>
              <w:t>11</w:t>
            </w:r>
            <w:r w:rsidR="00D018FD">
              <w:rPr>
                <w:noProof/>
                <w:webHidden/>
              </w:rPr>
              <w:fldChar w:fldCharType="end"/>
            </w:r>
          </w:hyperlink>
        </w:p>
        <w:p w14:paraId="28A98FF8" w14:textId="2B471B35"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21" w:history="1">
            <w:r w:rsidR="00D018FD" w:rsidRPr="00AC539D">
              <w:rPr>
                <w:rStyle w:val="Hyperlink"/>
                <w:noProof/>
              </w:rPr>
              <w:t>New EP (not AUS-specific)</w:t>
            </w:r>
            <w:r w:rsidR="00D018FD">
              <w:rPr>
                <w:noProof/>
                <w:webHidden/>
              </w:rPr>
              <w:tab/>
            </w:r>
            <w:r w:rsidR="00D018FD">
              <w:rPr>
                <w:noProof/>
                <w:webHidden/>
              </w:rPr>
              <w:fldChar w:fldCharType="begin"/>
            </w:r>
            <w:r w:rsidR="00D018FD">
              <w:rPr>
                <w:noProof/>
                <w:webHidden/>
              </w:rPr>
              <w:instrText xml:space="preserve"> PAGEREF _Toc179453321 \h </w:instrText>
            </w:r>
            <w:r w:rsidR="00D018FD">
              <w:rPr>
                <w:noProof/>
                <w:webHidden/>
              </w:rPr>
            </w:r>
            <w:r w:rsidR="00D018FD">
              <w:rPr>
                <w:noProof/>
                <w:webHidden/>
              </w:rPr>
              <w:fldChar w:fldCharType="separate"/>
            </w:r>
            <w:r w:rsidR="00D018FD">
              <w:rPr>
                <w:noProof/>
                <w:webHidden/>
              </w:rPr>
              <w:t>11</w:t>
            </w:r>
            <w:r w:rsidR="00D018FD">
              <w:rPr>
                <w:noProof/>
                <w:webHidden/>
              </w:rPr>
              <w:fldChar w:fldCharType="end"/>
            </w:r>
          </w:hyperlink>
        </w:p>
        <w:p w14:paraId="0C04E57A" w14:textId="3E71E389"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22" w:history="1">
            <w:r w:rsidR="00D018FD" w:rsidRPr="00AC539D">
              <w:rPr>
                <w:rStyle w:val="Hyperlink"/>
                <w:noProof/>
              </w:rPr>
              <w:t>AUS-specific proposals</w:t>
            </w:r>
            <w:r w:rsidR="00D018FD">
              <w:rPr>
                <w:noProof/>
                <w:webHidden/>
              </w:rPr>
              <w:tab/>
            </w:r>
            <w:r w:rsidR="00D018FD">
              <w:rPr>
                <w:noProof/>
                <w:webHidden/>
              </w:rPr>
              <w:fldChar w:fldCharType="begin"/>
            </w:r>
            <w:r w:rsidR="00D018FD">
              <w:rPr>
                <w:noProof/>
                <w:webHidden/>
              </w:rPr>
              <w:instrText xml:space="preserve"> PAGEREF _Toc179453322 \h </w:instrText>
            </w:r>
            <w:r w:rsidR="00D018FD">
              <w:rPr>
                <w:noProof/>
                <w:webHidden/>
              </w:rPr>
            </w:r>
            <w:r w:rsidR="00D018FD">
              <w:rPr>
                <w:noProof/>
                <w:webHidden/>
              </w:rPr>
              <w:fldChar w:fldCharType="separate"/>
            </w:r>
            <w:r w:rsidR="00D018FD">
              <w:rPr>
                <w:noProof/>
                <w:webHidden/>
              </w:rPr>
              <w:t>11</w:t>
            </w:r>
            <w:r w:rsidR="00D018FD">
              <w:rPr>
                <w:noProof/>
                <w:webHidden/>
              </w:rPr>
              <w:fldChar w:fldCharType="end"/>
            </w:r>
          </w:hyperlink>
        </w:p>
        <w:p w14:paraId="32E43EA1" w14:textId="11B52F74"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23" w:history="1">
            <w:r w:rsidR="00D018FD" w:rsidRPr="00AC539D">
              <w:rPr>
                <w:rStyle w:val="Hyperlink"/>
                <w:noProof/>
              </w:rPr>
              <w:t>In EP 8, to what does “specific microbial state” refer?</w:t>
            </w:r>
            <w:r w:rsidR="00D018FD">
              <w:rPr>
                <w:noProof/>
                <w:webHidden/>
              </w:rPr>
              <w:tab/>
            </w:r>
            <w:r w:rsidR="00D018FD">
              <w:rPr>
                <w:noProof/>
                <w:webHidden/>
              </w:rPr>
              <w:fldChar w:fldCharType="begin"/>
            </w:r>
            <w:r w:rsidR="00D018FD">
              <w:rPr>
                <w:noProof/>
                <w:webHidden/>
              </w:rPr>
              <w:instrText xml:space="preserve"> PAGEREF _Toc179453323 \h </w:instrText>
            </w:r>
            <w:r w:rsidR="00D018FD">
              <w:rPr>
                <w:noProof/>
                <w:webHidden/>
              </w:rPr>
            </w:r>
            <w:r w:rsidR="00D018FD">
              <w:rPr>
                <w:noProof/>
                <w:webHidden/>
              </w:rPr>
              <w:fldChar w:fldCharType="separate"/>
            </w:r>
            <w:r w:rsidR="00D018FD">
              <w:rPr>
                <w:noProof/>
                <w:webHidden/>
              </w:rPr>
              <w:t>11</w:t>
            </w:r>
            <w:r w:rsidR="00D018FD">
              <w:rPr>
                <w:noProof/>
                <w:webHidden/>
              </w:rPr>
              <w:fldChar w:fldCharType="end"/>
            </w:r>
          </w:hyperlink>
        </w:p>
        <w:p w14:paraId="79438100" w14:textId="15F9B66D"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24" w:history="1">
            <w:r w:rsidR="00D018FD" w:rsidRPr="00AC539D">
              <w:rPr>
                <w:rStyle w:val="Hyperlink"/>
                <w:noProof/>
              </w:rPr>
              <w:t>In EP 9, to what does “environmental properties” refer?</w:t>
            </w:r>
            <w:r w:rsidR="00D018FD">
              <w:rPr>
                <w:noProof/>
                <w:webHidden/>
              </w:rPr>
              <w:tab/>
            </w:r>
            <w:r w:rsidR="00D018FD">
              <w:rPr>
                <w:noProof/>
                <w:webHidden/>
              </w:rPr>
              <w:fldChar w:fldCharType="begin"/>
            </w:r>
            <w:r w:rsidR="00D018FD">
              <w:rPr>
                <w:noProof/>
                <w:webHidden/>
              </w:rPr>
              <w:instrText xml:space="preserve"> PAGEREF _Toc179453324 \h </w:instrText>
            </w:r>
            <w:r w:rsidR="00D018FD">
              <w:rPr>
                <w:noProof/>
                <w:webHidden/>
              </w:rPr>
            </w:r>
            <w:r w:rsidR="00D018FD">
              <w:rPr>
                <w:noProof/>
                <w:webHidden/>
              </w:rPr>
              <w:fldChar w:fldCharType="separate"/>
            </w:r>
            <w:r w:rsidR="00D018FD">
              <w:rPr>
                <w:noProof/>
                <w:webHidden/>
              </w:rPr>
              <w:t>11</w:t>
            </w:r>
            <w:r w:rsidR="00D018FD">
              <w:rPr>
                <w:noProof/>
                <w:webHidden/>
              </w:rPr>
              <w:fldChar w:fldCharType="end"/>
            </w:r>
          </w:hyperlink>
        </w:p>
        <w:p w14:paraId="2DB8C706" w14:textId="117681B3"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25" w:history="1">
            <w:r w:rsidR="00D018FD" w:rsidRPr="00AC539D">
              <w:rPr>
                <w:rStyle w:val="Hyperlink"/>
                <w:rFonts w:ascii="Cambria" w:hAnsi="Cambria"/>
                <w:noProof/>
              </w:rPr>
              <w:t>More information</w:t>
            </w:r>
            <w:r w:rsidR="00D018FD">
              <w:rPr>
                <w:noProof/>
                <w:webHidden/>
              </w:rPr>
              <w:tab/>
            </w:r>
            <w:r w:rsidR="00D018FD">
              <w:rPr>
                <w:noProof/>
                <w:webHidden/>
              </w:rPr>
              <w:fldChar w:fldCharType="begin"/>
            </w:r>
            <w:r w:rsidR="00D018FD">
              <w:rPr>
                <w:noProof/>
                <w:webHidden/>
              </w:rPr>
              <w:instrText xml:space="preserve"> PAGEREF _Toc179453325 \h </w:instrText>
            </w:r>
            <w:r w:rsidR="00D018FD">
              <w:rPr>
                <w:noProof/>
                <w:webHidden/>
              </w:rPr>
            </w:r>
            <w:r w:rsidR="00D018FD">
              <w:rPr>
                <w:noProof/>
                <w:webHidden/>
              </w:rPr>
              <w:fldChar w:fldCharType="separate"/>
            </w:r>
            <w:r w:rsidR="00D018FD">
              <w:rPr>
                <w:noProof/>
                <w:webHidden/>
              </w:rPr>
              <w:t>11</w:t>
            </w:r>
            <w:r w:rsidR="00D018FD">
              <w:rPr>
                <w:noProof/>
                <w:webHidden/>
              </w:rPr>
              <w:fldChar w:fldCharType="end"/>
            </w:r>
          </w:hyperlink>
        </w:p>
        <w:p w14:paraId="24B80BEB" w14:textId="40DEB493"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26" w:history="1">
            <w:r w:rsidR="00D018FD" w:rsidRPr="00AC539D">
              <w:rPr>
                <w:rStyle w:val="Hyperlink"/>
                <w:noProof/>
              </w:rPr>
              <w:t>EP 13 – Information supplied with a device (labelling &amp; IFU)</w:t>
            </w:r>
            <w:r w:rsidR="00D018FD">
              <w:rPr>
                <w:noProof/>
                <w:webHidden/>
              </w:rPr>
              <w:tab/>
            </w:r>
            <w:r w:rsidR="00D018FD">
              <w:rPr>
                <w:noProof/>
                <w:webHidden/>
              </w:rPr>
              <w:fldChar w:fldCharType="begin"/>
            </w:r>
            <w:r w:rsidR="00D018FD">
              <w:rPr>
                <w:noProof/>
                <w:webHidden/>
              </w:rPr>
              <w:instrText xml:space="preserve"> PAGEREF _Toc179453326 \h </w:instrText>
            </w:r>
            <w:r w:rsidR="00D018FD">
              <w:rPr>
                <w:noProof/>
                <w:webHidden/>
              </w:rPr>
            </w:r>
            <w:r w:rsidR="00D018FD">
              <w:rPr>
                <w:noProof/>
                <w:webHidden/>
              </w:rPr>
              <w:fldChar w:fldCharType="separate"/>
            </w:r>
            <w:r w:rsidR="00D018FD">
              <w:rPr>
                <w:noProof/>
                <w:webHidden/>
              </w:rPr>
              <w:t>12</w:t>
            </w:r>
            <w:r w:rsidR="00D018FD">
              <w:rPr>
                <w:noProof/>
                <w:webHidden/>
              </w:rPr>
              <w:fldChar w:fldCharType="end"/>
            </w:r>
          </w:hyperlink>
        </w:p>
        <w:p w14:paraId="43AE0EF0" w14:textId="6443F789"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27" w:history="1">
            <w:r w:rsidR="00D018FD" w:rsidRPr="00AC539D">
              <w:rPr>
                <w:rStyle w:val="Hyperlink"/>
                <w:noProof/>
              </w:rPr>
              <w:t>Why change manufacturer’s address requirements?</w:t>
            </w:r>
            <w:r w:rsidR="00D018FD">
              <w:rPr>
                <w:noProof/>
                <w:webHidden/>
              </w:rPr>
              <w:tab/>
            </w:r>
            <w:r w:rsidR="00D018FD">
              <w:rPr>
                <w:noProof/>
                <w:webHidden/>
              </w:rPr>
              <w:fldChar w:fldCharType="begin"/>
            </w:r>
            <w:r w:rsidR="00D018FD">
              <w:rPr>
                <w:noProof/>
                <w:webHidden/>
              </w:rPr>
              <w:instrText xml:space="preserve"> PAGEREF _Toc179453327 \h </w:instrText>
            </w:r>
            <w:r w:rsidR="00D018FD">
              <w:rPr>
                <w:noProof/>
                <w:webHidden/>
              </w:rPr>
            </w:r>
            <w:r w:rsidR="00D018FD">
              <w:rPr>
                <w:noProof/>
                <w:webHidden/>
              </w:rPr>
              <w:fldChar w:fldCharType="separate"/>
            </w:r>
            <w:r w:rsidR="00D018FD">
              <w:rPr>
                <w:noProof/>
                <w:webHidden/>
              </w:rPr>
              <w:t>12</w:t>
            </w:r>
            <w:r w:rsidR="00D018FD">
              <w:rPr>
                <w:noProof/>
                <w:webHidden/>
              </w:rPr>
              <w:fldChar w:fldCharType="end"/>
            </w:r>
          </w:hyperlink>
        </w:p>
        <w:p w14:paraId="077FDB7E" w14:textId="309B3D3F"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28" w:history="1">
            <w:r w:rsidR="00D018FD" w:rsidRPr="00AC539D">
              <w:rPr>
                <w:rStyle w:val="Hyperlink"/>
                <w:noProof/>
              </w:rPr>
              <w:t>Why change legibility requirements?</w:t>
            </w:r>
            <w:r w:rsidR="00D018FD">
              <w:rPr>
                <w:noProof/>
                <w:webHidden/>
              </w:rPr>
              <w:tab/>
            </w:r>
            <w:r w:rsidR="00D018FD">
              <w:rPr>
                <w:noProof/>
                <w:webHidden/>
              </w:rPr>
              <w:fldChar w:fldCharType="begin"/>
            </w:r>
            <w:r w:rsidR="00D018FD">
              <w:rPr>
                <w:noProof/>
                <w:webHidden/>
              </w:rPr>
              <w:instrText xml:space="preserve"> PAGEREF _Toc179453328 \h </w:instrText>
            </w:r>
            <w:r w:rsidR="00D018FD">
              <w:rPr>
                <w:noProof/>
                <w:webHidden/>
              </w:rPr>
            </w:r>
            <w:r w:rsidR="00D018FD">
              <w:rPr>
                <w:noProof/>
                <w:webHidden/>
              </w:rPr>
              <w:fldChar w:fldCharType="separate"/>
            </w:r>
            <w:r w:rsidR="00D018FD">
              <w:rPr>
                <w:noProof/>
                <w:webHidden/>
              </w:rPr>
              <w:t>12</w:t>
            </w:r>
            <w:r w:rsidR="00D018FD">
              <w:rPr>
                <w:noProof/>
                <w:webHidden/>
              </w:rPr>
              <w:fldChar w:fldCharType="end"/>
            </w:r>
          </w:hyperlink>
        </w:p>
        <w:p w14:paraId="4F141D21" w14:textId="05EE8C3D"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29" w:history="1">
            <w:r w:rsidR="00D018FD" w:rsidRPr="00AC539D">
              <w:rPr>
                <w:rStyle w:val="Hyperlink"/>
                <w:noProof/>
              </w:rPr>
              <w:t>Why change contact details for technical support for IVD devices?</w:t>
            </w:r>
            <w:r w:rsidR="00D018FD">
              <w:rPr>
                <w:noProof/>
                <w:webHidden/>
              </w:rPr>
              <w:tab/>
            </w:r>
            <w:r w:rsidR="00D018FD">
              <w:rPr>
                <w:noProof/>
                <w:webHidden/>
              </w:rPr>
              <w:fldChar w:fldCharType="begin"/>
            </w:r>
            <w:r w:rsidR="00D018FD">
              <w:rPr>
                <w:noProof/>
                <w:webHidden/>
              </w:rPr>
              <w:instrText xml:space="preserve"> PAGEREF _Toc179453329 \h </w:instrText>
            </w:r>
            <w:r w:rsidR="00D018FD">
              <w:rPr>
                <w:noProof/>
                <w:webHidden/>
              </w:rPr>
            </w:r>
            <w:r w:rsidR="00D018FD">
              <w:rPr>
                <w:noProof/>
                <w:webHidden/>
              </w:rPr>
              <w:fldChar w:fldCharType="separate"/>
            </w:r>
            <w:r w:rsidR="00D018FD">
              <w:rPr>
                <w:noProof/>
                <w:webHidden/>
              </w:rPr>
              <w:t>12</w:t>
            </w:r>
            <w:r w:rsidR="00D018FD">
              <w:rPr>
                <w:noProof/>
                <w:webHidden/>
              </w:rPr>
              <w:fldChar w:fldCharType="end"/>
            </w:r>
          </w:hyperlink>
        </w:p>
        <w:p w14:paraId="51AE6935" w14:textId="59B07374"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30" w:history="1">
            <w:r w:rsidR="00D018FD" w:rsidRPr="00AC539D">
              <w:rPr>
                <w:rStyle w:val="Hyperlink"/>
                <w:noProof/>
              </w:rPr>
              <w:t>What are the proposals for EP 13B &amp; SaMD?</w:t>
            </w:r>
            <w:r w:rsidR="00D018FD">
              <w:rPr>
                <w:noProof/>
                <w:webHidden/>
              </w:rPr>
              <w:tab/>
            </w:r>
            <w:r w:rsidR="00D018FD">
              <w:rPr>
                <w:noProof/>
                <w:webHidden/>
              </w:rPr>
              <w:fldChar w:fldCharType="begin"/>
            </w:r>
            <w:r w:rsidR="00D018FD">
              <w:rPr>
                <w:noProof/>
                <w:webHidden/>
              </w:rPr>
              <w:instrText xml:space="preserve"> PAGEREF _Toc179453330 \h </w:instrText>
            </w:r>
            <w:r w:rsidR="00D018FD">
              <w:rPr>
                <w:noProof/>
                <w:webHidden/>
              </w:rPr>
            </w:r>
            <w:r w:rsidR="00D018FD">
              <w:rPr>
                <w:noProof/>
                <w:webHidden/>
              </w:rPr>
              <w:fldChar w:fldCharType="separate"/>
            </w:r>
            <w:r w:rsidR="00D018FD">
              <w:rPr>
                <w:noProof/>
                <w:webHidden/>
              </w:rPr>
              <w:t>12</w:t>
            </w:r>
            <w:r w:rsidR="00D018FD">
              <w:rPr>
                <w:noProof/>
                <w:webHidden/>
              </w:rPr>
              <w:fldChar w:fldCharType="end"/>
            </w:r>
          </w:hyperlink>
        </w:p>
        <w:p w14:paraId="2B06F783" w14:textId="04884EC8"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31" w:history="1">
            <w:r w:rsidR="00D018FD" w:rsidRPr="00AC539D">
              <w:rPr>
                <w:rStyle w:val="Hyperlink"/>
                <w:rFonts w:ascii="Cambria" w:hAnsi="Cambria"/>
                <w:noProof/>
              </w:rPr>
              <w:t>SaMD reforms</w:t>
            </w:r>
            <w:r w:rsidR="00D018FD">
              <w:rPr>
                <w:noProof/>
                <w:webHidden/>
              </w:rPr>
              <w:tab/>
            </w:r>
            <w:r w:rsidR="00D018FD">
              <w:rPr>
                <w:noProof/>
                <w:webHidden/>
              </w:rPr>
              <w:fldChar w:fldCharType="begin"/>
            </w:r>
            <w:r w:rsidR="00D018FD">
              <w:rPr>
                <w:noProof/>
                <w:webHidden/>
              </w:rPr>
              <w:instrText xml:space="preserve"> PAGEREF _Toc179453331 \h </w:instrText>
            </w:r>
            <w:r w:rsidR="00D018FD">
              <w:rPr>
                <w:noProof/>
                <w:webHidden/>
              </w:rPr>
            </w:r>
            <w:r w:rsidR="00D018FD">
              <w:rPr>
                <w:noProof/>
                <w:webHidden/>
              </w:rPr>
              <w:fldChar w:fldCharType="separate"/>
            </w:r>
            <w:r w:rsidR="00D018FD">
              <w:rPr>
                <w:noProof/>
                <w:webHidden/>
              </w:rPr>
              <w:t>13</w:t>
            </w:r>
            <w:r w:rsidR="00D018FD">
              <w:rPr>
                <w:noProof/>
                <w:webHidden/>
              </w:rPr>
              <w:fldChar w:fldCharType="end"/>
            </w:r>
          </w:hyperlink>
        </w:p>
        <w:p w14:paraId="45522D96" w14:textId="3A530B78"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32" w:history="1">
            <w:r w:rsidR="00D018FD" w:rsidRPr="00AC539D">
              <w:rPr>
                <w:rStyle w:val="Hyperlink"/>
                <w:noProof/>
              </w:rPr>
              <w:t>Why is EP 14 out of scope, given sponsors get many s41JA requests based on EP 14?</w:t>
            </w:r>
            <w:r w:rsidR="00D018FD">
              <w:rPr>
                <w:noProof/>
                <w:webHidden/>
              </w:rPr>
              <w:tab/>
            </w:r>
            <w:r w:rsidR="00D018FD">
              <w:rPr>
                <w:noProof/>
                <w:webHidden/>
              </w:rPr>
              <w:fldChar w:fldCharType="begin"/>
            </w:r>
            <w:r w:rsidR="00D018FD">
              <w:rPr>
                <w:noProof/>
                <w:webHidden/>
              </w:rPr>
              <w:instrText xml:space="preserve"> PAGEREF _Toc179453332 \h </w:instrText>
            </w:r>
            <w:r w:rsidR="00D018FD">
              <w:rPr>
                <w:noProof/>
                <w:webHidden/>
              </w:rPr>
            </w:r>
            <w:r w:rsidR="00D018FD">
              <w:rPr>
                <w:noProof/>
                <w:webHidden/>
              </w:rPr>
              <w:fldChar w:fldCharType="separate"/>
            </w:r>
            <w:r w:rsidR="00D018FD">
              <w:rPr>
                <w:noProof/>
                <w:webHidden/>
              </w:rPr>
              <w:t>13</w:t>
            </w:r>
            <w:r w:rsidR="00D018FD">
              <w:rPr>
                <w:noProof/>
                <w:webHidden/>
              </w:rPr>
              <w:fldChar w:fldCharType="end"/>
            </w:r>
          </w:hyperlink>
        </w:p>
        <w:p w14:paraId="7CABBAE4" w14:textId="395E5582"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33" w:history="1">
            <w:r w:rsidR="00D018FD" w:rsidRPr="00AC539D">
              <w:rPr>
                <w:rStyle w:val="Hyperlink"/>
                <w:rFonts w:ascii="Cambria" w:hAnsi="Cambria"/>
                <w:noProof/>
              </w:rPr>
              <w:t>Clinical evidence for medical devices</w:t>
            </w:r>
            <w:r w:rsidR="00D018FD">
              <w:rPr>
                <w:noProof/>
                <w:webHidden/>
              </w:rPr>
              <w:tab/>
            </w:r>
            <w:r w:rsidR="00D018FD">
              <w:rPr>
                <w:noProof/>
                <w:webHidden/>
              </w:rPr>
              <w:fldChar w:fldCharType="begin"/>
            </w:r>
            <w:r w:rsidR="00D018FD">
              <w:rPr>
                <w:noProof/>
                <w:webHidden/>
              </w:rPr>
              <w:instrText xml:space="preserve"> PAGEREF _Toc179453333 \h </w:instrText>
            </w:r>
            <w:r w:rsidR="00D018FD">
              <w:rPr>
                <w:noProof/>
                <w:webHidden/>
              </w:rPr>
            </w:r>
            <w:r w:rsidR="00D018FD">
              <w:rPr>
                <w:noProof/>
                <w:webHidden/>
              </w:rPr>
              <w:fldChar w:fldCharType="separate"/>
            </w:r>
            <w:r w:rsidR="00D018FD">
              <w:rPr>
                <w:noProof/>
                <w:webHidden/>
              </w:rPr>
              <w:t>13</w:t>
            </w:r>
            <w:r w:rsidR="00D018FD">
              <w:rPr>
                <w:noProof/>
                <w:webHidden/>
              </w:rPr>
              <w:fldChar w:fldCharType="end"/>
            </w:r>
          </w:hyperlink>
        </w:p>
        <w:p w14:paraId="632DB024" w14:textId="27C26CC1"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34" w:history="1">
            <w:r w:rsidR="00D018FD" w:rsidRPr="00AC539D">
              <w:rPr>
                <w:rStyle w:val="Hyperlink"/>
                <w:noProof/>
              </w:rPr>
              <w:t>Why propose to make EU IVDR GSPR 19.3: “verify an IVD has performed and warn users of an invalid result”, apply to “all” devices?</w:t>
            </w:r>
            <w:r w:rsidR="00D018FD">
              <w:rPr>
                <w:noProof/>
                <w:webHidden/>
              </w:rPr>
              <w:tab/>
            </w:r>
            <w:r w:rsidR="00D018FD">
              <w:rPr>
                <w:noProof/>
                <w:webHidden/>
              </w:rPr>
              <w:fldChar w:fldCharType="begin"/>
            </w:r>
            <w:r w:rsidR="00D018FD">
              <w:rPr>
                <w:noProof/>
                <w:webHidden/>
              </w:rPr>
              <w:instrText xml:space="preserve"> PAGEREF _Toc179453334 \h </w:instrText>
            </w:r>
            <w:r w:rsidR="00D018FD">
              <w:rPr>
                <w:noProof/>
                <w:webHidden/>
              </w:rPr>
            </w:r>
            <w:r w:rsidR="00D018FD">
              <w:rPr>
                <w:noProof/>
                <w:webHidden/>
              </w:rPr>
              <w:fldChar w:fldCharType="separate"/>
            </w:r>
            <w:r w:rsidR="00D018FD">
              <w:rPr>
                <w:noProof/>
                <w:webHidden/>
              </w:rPr>
              <w:t>13</w:t>
            </w:r>
            <w:r w:rsidR="00D018FD">
              <w:rPr>
                <w:noProof/>
                <w:webHidden/>
              </w:rPr>
              <w:fldChar w:fldCharType="end"/>
            </w:r>
          </w:hyperlink>
        </w:p>
        <w:p w14:paraId="6ACB43E5" w14:textId="46E7D8ED"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35" w:history="1">
            <w:r w:rsidR="00D018FD" w:rsidRPr="00AC539D">
              <w:rPr>
                <w:rStyle w:val="Hyperlink"/>
                <w:noProof/>
              </w:rPr>
              <w:t>Requiring IVDs to comply with the MDR GRSP 22 will mean manufacturers must adopt aspects of the MDR into their QMS to comply. Why add this extra burden to IVD manufacturers when GSPR 19 already exists?</w:t>
            </w:r>
            <w:r w:rsidR="00D018FD">
              <w:rPr>
                <w:noProof/>
                <w:webHidden/>
              </w:rPr>
              <w:tab/>
            </w:r>
            <w:r w:rsidR="00D018FD">
              <w:rPr>
                <w:noProof/>
                <w:webHidden/>
              </w:rPr>
              <w:fldChar w:fldCharType="begin"/>
            </w:r>
            <w:r w:rsidR="00D018FD">
              <w:rPr>
                <w:noProof/>
                <w:webHidden/>
              </w:rPr>
              <w:instrText xml:space="preserve"> PAGEREF _Toc179453335 \h </w:instrText>
            </w:r>
            <w:r w:rsidR="00D018FD">
              <w:rPr>
                <w:noProof/>
                <w:webHidden/>
              </w:rPr>
            </w:r>
            <w:r w:rsidR="00D018FD">
              <w:rPr>
                <w:noProof/>
                <w:webHidden/>
              </w:rPr>
              <w:fldChar w:fldCharType="separate"/>
            </w:r>
            <w:r w:rsidR="00D018FD">
              <w:rPr>
                <w:noProof/>
                <w:webHidden/>
              </w:rPr>
              <w:t>14</w:t>
            </w:r>
            <w:r w:rsidR="00D018FD">
              <w:rPr>
                <w:noProof/>
                <w:webHidden/>
              </w:rPr>
              <w:fldChar w:fldCharType="end"/>
            </w:r>
          </w:hyperlink>
        </w:p>
        <w:p w14:paraId="12F89AD6" w14:textId="40E90EB2" w:rsidR="00D018FD" w:rsidRDefault="004E0C9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9453336" w:history="1">
            <w:r w:rsidR="00D018FD" w:rsidRPr="00AC539D">
              <w:rPr>
                <w:rStyle w:val="Hyperlink"/>
                <w:noProof/>
              </w:rPr>
              <w:t>Assistive technologies, exempt devices, and other therapeutic goods (OTG)</w:t>
            </w:r>
            <w:r w:rsidR="00D018FD">
              <w:rPr>
                <w:noProof/>
                <w:webHidden/>
              </w:rPr>
              <w:tab/>
            </w:r>
            <w:r w:rsidR="00D018FD">
              <w:rPr>
                <w:noProof/>
                <w:webHidden/>
              </w:rPr>
              <w:fldChar w:fldCharType="begin"/>
            </w:r>
            <w:r w:rsidR="00D018FD">
              <w:rPr>
                <w:noProof/>
                <w:webHidden/>
              </w:rPr>
              <w:instrText xml:space="preserve"> PAGEREF _Toc179453336 \h </w:instrText>
            </w:r>
            <w:r w:rsidR="00D018FD">
              <w:rPr>
                <w:noProof/>
                <w:webHidden/>
              </w:rPr>
            </w:r>
            <w:r w:rsidR="00D018FD">
              <w:rPr>
                <w:noProof/>
                <w:webHidden/>
              </w:rPr>
              <w:fldChar w:fldCharType="separate"/>
            </w:r>
            <w:r w:rsidR="00D018FD">
              <w:rPr>
                <w:noProof/>
                <w:webHidden/>
              </w:rPr>
              <w:t>14</w:t>
            </w:r>
            <w:r w:rsidR="00D018FD">
              <w:rPr>
                <w:noProof/>
                <w:webHidden/>
              </w:rPr>
              <w:fldChar w:fldCharType="end"/>
            </w:r>
          </w:hyperlink>
        </w:p>
        <w:p w14:paraId="6658B3EB" w14:textId="71ABB7FB"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37" w:history="1">
            <w:r w:rsidR="00D018FD" w:rsidRPr="00AC539D">
              <w:rPr>
                <w:rStyle w:val="Hyperlink"/>
                <w:noProof/>
              </w:rPr>
              <w:t>Do assistive technologies products need to comply with the EP?</w:t>
            </w:r>
            <w:r w:rsidR="00D018FD">
              <w:rPr>
                <w:noProof/>
                <w:webHidden/>
              </w:rPr>
              <w:tab/>
            </w:r>
            <w:r w:rsidR="00D018FD">
              <w:rPr>
                <w:noProof/>
                <w:webHidden/>
              </w:rPr>
              <w:fldChar w:fldCharType="begin"/>
            </w:r>
            <w:r w:rsidR="00D018FD">
              <w:rPr>
                <w:noProof/>
                <w:webHidden/>
              </w:rPr>
              <w:instrText xml:space="preserve"> PAGEREF _Toc179453337 \h </w:instrText>
            </w:r>
            <w:r w:rsidR="00D018FD">
              <w:rPr>
                <w:noProof/>
                <w:webHidden/>
              </w:rPr>
            </w:r>
            <w:r w:rsidR="00D018FD">
              <w:rPr>
                <w:noProof/>
                <w:webHidden/>
              </w:rPr>
              <w:fldChar w:fldCharType="separate"/>
            </w:r>
            <w:r w:rsidR="00D018FD">
              <w:rPr>
                <w:noProof/>
                <w:webHidden/>
              </w:rPr>
              <w:t>14</w:t>
            </w:r>
            <w:r w:rsidR="00D018FD">
              <w:rPr>
                <w:noProof/>
                <w:webHidden/>
              </w:rPr>
              <w:fldChar w:fldCharType="end"/>
            </w:r>
          </w:hyperlink>
        </w:p>
        <w:p w14:paraId="73FB36B4" w14:textId="2D019491"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38" w:history="1">
            <w:r w:rsidR="00D018FD" w:rsidRPr="00AC539D">
              <w:rPr>
                <w:rStyle w:val="Hyperlink"/>
                <w:rFonts w:ascii="Cambria" w:hAnsi="Cambria"/>
                <w:noProof/>
              </w:rPr>
              <w:t>Assistive technology regulatory reforms</w:t>
            </w:r>
            <w:r w:rsidR="00D018FD">
              <w:rPr>
                <w:noProof/>
                <w:webHidden/>
              </w:rPr>
              <w:tab/>
            </w:r>
            <w:r w:rsidR="00D018FD">
              <w:rPr>
                <w:noProof/>
                <w:webHidden/>
              </w:rPr>
              <w:fldChar w:fldCharType="begin"/>
            </w:r>
            <w:r w:rsidR="00D018FD">
              <w:rPr>
                <w:noProof/>
                <w:webHidden/>
              </w:rPr>
              <w:instrText xml:space="preserve"> PAGEREF _Toc179453338 \h </w:instrText>
            </w:r>
            <w:r w:rsidR="00D018FD">
              <w:rPr>
                <w:noProof/>
                <w:webHidden/>
              </w:rPr>
            </w:r>
            <w:r w:rsidR="00D018FD">
              <w:rPr>
                <w:noProof/>
                <w:webHidden/>
              </w:rPr>
              <w:fldChar w:fldCharType="separate"/>
            </w:r>
            <w:r w:rsidR="00D018FD">
              <w:rPr>
                <w:noProof/>
                <w:webHidden/>
              </w:rPr>
              <w:t>14</w:t>
            </w:r>
            <w:r w:rsidR="00D018FD">
              <w:rPr>
                <w:noProof/>
                <w:webHidden/>
              </w:rPr>
              <w:fldChar w:fldCharType="end"/>
            </w:r>
          </w:hyperlink>
        </w:p>
        <w:p w14:paraId="076E8CA8" w14:textId="040C02F1"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39" w:history="1">
            <w:r w:rsidR="00D018FD" w:rsidRPr="00AC539D">
              <w:rPr>
                <w:rStyle w:val="Hyperlink"/>
                <w:noProof/>
              </w:rPr>
              <w:t>Do exempt devices need to comply with EP changes?</w:t>
            </w:r>
            <w:r w:rsidR="00D018FD">
              <w:rPr>
                <w:noProof/>
                <w:webHidden/>
              </w:rPr>
              <w:tab/>
            </w:r>
            <w:r w:rsidR="00D018FD">
              <w:rPr>
                <w:noProof/>
                <w:webHidden/>
              </w:rPr>
              <w:fldChar w:fldCharType="begin"/>
            </w:r>
            <w:r w:rsidR="00D018FD">
              <w:rPr>
                <w:noProof/>
                <w:webHidden/>
              </w:rPr>
              <w:instrText xml:space="preserve"> PAGEREF _Toc179453339 \h </w:instrText>
            </w:r>
            <w:r w:rsidR="00D018FD">
              <w:rPr>
                <w:noProof/>
                <w:webHidden/>
              </w:rPr>
            </w:r>
            <w:r w:rsidR="00D018FD">
              <w:rPr>
                <w:noProof/>
                <w:webHidden/>
              </w:rPr>
              <w:fldChar w:fldCharType="separate"/>
            </w:r>
            <w:r w:rsidR="00D018FD">
              <w:rPr>
                <w:noProof/>
                <w:webHidden/>
              </w:rPr>
              <w:t>14</w:t>
            </w:r>
            <w:r w:rsidR="00D018FD">
              <w:rPr>
                <w:noProof/>
                <w:webHidden/>
              </w:rPr>
              <w:fldChar w:fldCharType="end"/>
            </w:r>
          </w:hyperlink>
        </w:p>
        <w:p w14:paraId="3716C6D9" w14:textId="2F4B7DB1"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40" w:history="1">
            <w:r w:rsidR="00D018FD" w:rsidRPr="00AC539D">
              <w:rPr>
                <w:rStyle w:val="Hyperlink"/>
                <w:noProof/>
              </w:rPr>
              <w:t>What are the requirements for orthoses?</w:t>
            </w:r>
            <w:r w:rsidR="00D018FD">
              <w:rPr>
                <w:noProof/>
                <w:webHidden/>
              </w:rPr>
              <w:tab/>
            </w:r>
            <w:r w:rsidR="00D018FD">
              <w:rPr>
                <w:noProof/>
                <w:webHidden/>
              </w:rPr>
              <w:fldChar w:fldCharType="begin"/>
            </w:r>
            <w:r w:rsidR="00D018FD">
              <w:rPr>
                <w:noProof/>
                <w:webHidden/>
              </w:rPr>
              <w:instrText xml:space="preserve"> PAGEREF _Toc179453340 \h </w:instrText>
            </w:r>
            <w:r w:rsidR="00D018FD">
              <w:rPr>
                <w:noProof/>
                <w:webHidden/>
              </w:rPr>
            </w:r>
            <w:r w:rsidR="00D018FD">
              <w:rPr>
                <w:noProof/>
                <w:webHidden/>
              </w:rPr>
              <w:fldChar w:fldCharType="separate"/>
            </w:r>
            <w:r w:rsidR="00D018FD">
              <w:rPr>
                <w:noProof/>
                <w:webHidden/>
              </w:rPr>
              <w:t>15</w:t>
            </w:r>
            <w:r w:rsidR="00D018FD">
              <w:rPr>
                <w:noProof/>
                <w:webHidden/>
              </w:rPr>
              <w:fldChar w:fldCharType="end"/>
            </w:r>
          </w:hyperlink>
        </w:p>
        <w:p w14:paraId="7FD7470C" w14:textId="74E574C6"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41" w:history="1">
            <w:r w:rsidR="00D018FD" w:rsidRPr="00AC539D">
              <w:rPr>
                <w:rStyle w:val="Hyperlink"/>
                <w:rFonts w:ascii="Cambria" w:hAnsi="Cambria"/>
                <w:noProof/>
              </w:rPr>
              <w:t>More information</w:t>
            </w:r>
            <w:r w:rsidR="00D018FD">
              <w:rPr>
                <w:noProof/>
                <w:webHidden/>
              </w:rPr>
              <w:tab/>
            </w:r>
            <w:r w:rsidR="00D018FD">
              <w:rPr>
                <w:noProof/>
                <w:webHidden/>
              </w:rPr>
              <w:fldChar w:fldCharType="begin"/>
            </w:r>
            <w:r w:rsidR="00D018FD">
              <w:rPr>
                <w:noProof/>
                <w:webHidden/>
              </w:rPr>
              <w:instrText xml:space="preserve"> PAGEREF _Toc179453341 \h </w:instrText>
            </w:r>
            <w:r w:rsidR="00D018FD">
              <w:rPr>
                <w:noProof/>
                <w:webHidden/>
              </w:rPr>
            </w:r>
            <w:r w:rsidR="00D018FD">
              <w:rPr>
                <w:noProof/>
                <w:webHidden/>
              </w:rPr>
              <w:fldChar w:fldCharType="separate"/>
            </w:r>
            <w:r w:rsidR="00D018FD">
              <w:rPr>
                <w:noProof/>
                <w:webHidden/>
              </w:rPr>
              <w:t>15</w:t>
            </w:r>
            <w:r w:rsidR="00D018FD">
              <w:rPr>
                <w:noProof/>
                <w:webHidden/>
              </w:rPr>
              <w:fldChar w:fldCharType="end"/>
            </w:r>
          </w:hyperlink>
        </w:p>
        <w:p w14:paraId="00CD9DDC" w14:textId="3517866F"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42" w:history="1">
            <w:r w:rsidR="00D018FD" w:rsidRPr="00AC539D">
              <w:rPr>
                <w:rStyle w:val="Hyperlink"/>
                <w:noProof/>
              </w:rPr>
              <w:t>Do OTG need to comply with the EP?</w:t>
            </w:r>
            <w:r w:rsidR="00D018FD">
              <w:rPr>
                <w:noProof/>
                <w:webHidden/>
              </w:rPr>
              <w:tab/>
            </w:r>
            <w:r w:rsidR="00D018FD">
              <w:rPr>
                <w:noProof/>
                <w:webHidden/>
              </w:rPr>
              <w:fldChar w:fldCharType="begin"/>
            </w:r>
            <w:r w:rsidR="00D018FD">
              <w:rPr>
                <w:noProof/>
                <w:webHidden/>
              </w:rPr>
              <w:instrText xml:space="preserve"> PAGEREF _Toc179453342 \h </w:instrText>
            </w:r>
            <w:r w:rsidR="00D018FD">
              <w:rPr>
                <w:noProof/>
                <w:webHidden/>
              </w:rPr>
            </w:r>
            <w:r w:rsidR="00D018FD">
              <w:rPr>
                <w:noProof/>
                <w:webHidden/>
              </w:rPr>
              <w:fldChar w:fldCharType="separate"/>
            </w:r>
            <w:r w:rsidR="00D018FD">
              <w:rPr>
                <w:noProof/>
                <w:webHidden/>
              </w:rPr>
              <w:t>15</w:t>
            </w:r>
            <w:r w:rsidR="00D018FD">
              <w:rPr>
                <w:noProof/>
                <w:webHidden/>
              </w:rPr>
              <w:fldChar w:fldCharType="end"/>
            </w:r>
          </w:hyperlink>
        </w:p>
        <w:p w14:paraId="6B2DB632" w14:textId="51F945D0" w:rsidR="00D018FD" w:rsidRDefault="004E0C92">
          <w:pPr>
            <w:pStyle w:val="TOC3"/>
            <w:rPr>
              <w:rFonts w:asciiTheme="minorHAnsi" w:eastAsiaTheme="minorEastAsia" w:hAnsiTheme="minorHAnsi" w:cstheme="minorBidi"/>
              <w:noProof/>
              <w:color w:val="auto"/>
              <w:kern w:val="2"/>
              <w:szCs w:val="22"/>
              <w:lang w:eastAsia="en-AU"/>
              <w14:ligatures w14:val="standardContextual"/>
            </w:rPr>
          </w:pPr>
          <w:hyperlink w:anchor="_Toc179453343" w:history="1">
            <w:r w:rsidR="00D018FD" w:rsidRPr="00AC539D">
              <w:rPr>
                <w:rStyle w:val="Hyperlink"/>
                <w:rFonts w:ascii="Cambria" w:hAnsi="Cambria"/>
                <w:noProof/>
              </w:rPr>
              <w:t>Regulation of Other therapeutic goods (OTG)</w:t>
            </w:r>
            <w:r w:rsidR="00D018FD">
              <w:rPr>
                <w:noProof/>
                <w:webHidden/>
              </w:rPr>
              <w:tab/>
            </w:r>
            <w:r w:rsidR="00D018FD">
              <w:rPr>
                <w:noProof/>
                <w:webHidden/>
              </w:rPr>
              <w:fldChar w:fldCharType="begin"/>
            </w:r>
            <w:r w:rsidR="00D018FD">
              <w:rPr>
                <w:noProof/>
                <w:webHidden/>
              </w:rPr>
              <w:instrText xml:space="preserve"> PAGEREF _Toc179453343 \h </w:instrText>
            </w:r>
            <w:r w:rsidR="00D018FD">
              <w:rPr>
                <w:noProof/>
                <w:webHidden/>
              </w:rPr>
            </w:r>
            <w:r w:rsidR="00D018FD">
              <w:rPr>
                <w:noProof/>
                <w:webHidden/>
              </w:rPr>
              <w:fldChar w:fldCharType="separate"/>
            </w:r>
            <w:r w:rsidR="00D018FD">
              <w:rPr>
                <w:noProof/>
                <w:webHidden/>
              </w:rPr>
              <w:t>15</w:t>
            </w:r>
            <w:r w:rsidR="00D018FD">
              <w:rPr>
                <w:noProof/>
                <w:webHidden/>
              </w:rPr>
              <w:fldChar w:fldCharType="end"/>
            </w:r>
          </w:hyperlink>
        </w:p>
        <w:p w14:paraId="53B37B9F" w14:textId="4D3CAD8C" w:rsidR="00D018FD" w:rsidRDefault="004E0C9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9453344" w:history="1">
            <w:r w:rsidR="00D018FD" w:rsidRPr="00AC539D">
              <w:rPr>
                <w:rStyle w:val="Hyperlink"/>
                <w:noProof/>
              </w:rPr>
              <w:t>Transition periods and purpose of consultation</w:t>
            </w:r>
            <w:r w:rsidR="00D018FD">
              <w:rPr>
                <w:noProof/>
                <w:webHidden/>
              </w:rPr>
              <w:tab/>
            </w:r>
            <w:r w:rsidR="00D018FD">
              <w:rPr>
                <w:noProof/>
                <w:webHidden/>
              </w:rPr>
              <w:fldChar w:fldCharType="begin"/>
            </w:r>
            <w:r w:rsidR="00D018FD">
              <w:rPr>
                <w:noProof/>
                <w:webHidden/>
              </w:rPr>
              <w:instrText xml:space="preserve"> PAGEREF _Toc179453344 \h </w:instrText>
            </w:r>
            <w:r w:rsidR="00D018FD">
              <w:rPr>
                <w:noProof/>
                <w:webHidden/>
              </w:rPr>
            </w:r>
            <w:r w:rsidR="00D018FD">
              <w:rPr>
                <w:noProof/>
                <w:webHidden/>
              </w:rPr>
              <w:fldChar w:fldCharType="separate"/>
            </w:r>
            <w:r w:rsidR="00D018FD">
              <w:rPr>
                <w:noProof/>
                <w:webHidden/>
              </w:rPr>
              <w:t>15</w:t>
            </w:r>
            <w:r w:rsidR="00D018FD">
              <w:rPr>
                <w:noProof/>
                <w:webHidden/>
              </w:rPr>
              <w:fldChar w:fldCharType="end"/>
            </w:r>
          </w:hyperlink>
        </w:p>
        <w:p w14:paraId="279A77E0" w14:textId="5E04AA5B"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45" w:history="1">
            <w:r w:rsidR="00D018FD" w:rsidRPr="00AC539D">
              <w:rPr>
                <w:rStyle w:val="Hyperlink"/>
                <w:noProof/>
              </w:rPr>
              <w:t>How will we apply the transition period?</w:t>
            </w:r>
            <w:r w:rsidR="00D018FD">
              <w:rPr>
                <w:noProof/>
                <w:webHidden/>
              </w:rPr>
              <w:tab/>
            </w:r>
            <w:r w:rsidR="00D018FD">
              <w:rPr>
                <w:noProof/>
                <w:webHidden/>
              </w:rPr>
              <w:fldChar w:fldCharType="begin"/>
            </w:r>
            <w:r w:rsidR="00D018FD">
              <w:rPr>
                <w:noProof/>
                <w:webHidden/>
              </w:rPr>
              <w:instrText xml:space="preserve"> PAGEREF _Toc179453345 \h </w:instrText>
            </w:r>
            <w:r w:rsidR="00D018FD">
              <w:rPr>
                <w:noProof/>
                <w:webHidden/>
              </w:rPr>
            </w:r>
            <w:r w:rsidR="00D018FD">
              <w:rPr>
                <w:noProof/>
                <w:webHidden/>
              </w:rPr>
              <w:fldChar w:fldCharType="separate"/>
            </w:r>
            <w:r w:rsidR="00D018FD">
              <w:rPr>
                <w:noProof/>
                <w:webHidden/>
              </w:rPr>
              <w:t>15</w:t>
            </w:r>
            <w:r w:rsidR="00D018FD">
              <w:rPr>
                <w:noProof/>
                <w:webHidden/>
              </w:rPr>
              <w:fldChar w:fldCharType="end"/>
            </w:r>
          </w:hyperlink>
        </w:p>
        <w:p w14:paraId="6BF5A28A" w14:textId="6A7DF2FD" w:rsidR="00D018FD" w:rsidRDefault="004E0C92">
          <w:pPr>
            <w:pStyle w:val="TOC2"/>
            <w:rPr>
              <w:rFonts w:asciiTheme="minorHAnsi" w:eastAsiaTheme="minorEastAsia" w:hAnsiTheme="minorHAnsi" w:cstheme="minorBidi"/>
              <w:noProof/>
              <w:color w:val="auto"/>
              <w:kern w:val="2"/>
              <w:sz w:val="22"/>
              <w:szCs w:val="22"/>
              <w:lang w:eastAsia="en-AU"/>
              <w14:ligatures w14:val="standardContextual"/>
            </w:rPr>
          </w:pPr>
          <w:hyperlink w:anchor="_Toc179453346" w:history="1">
            <w:r w:rsidR="00D018FD" w:rsidRPr="00AC539D">
              <w:rPr>
                <w:rStyle w:val="Hyperlink"/>
                <w:noProof/>
              </w:rPr>
              <w:t>Why are we proposing changes to the EP?</w:t>
            </w:r>
            <w:r w:rsidR="00D018FD">
              <w:rPr>
                <w:noProof/>
                <w:webHidden/>
              </w:rPr>
              <w:tab/>
            </w:r>
            <w:r w:rsidR="00D018FD">
              <w:rPr>
                <w:noProof/>
                <w:webHidden/>
              </w:rPr>
              <w:fldChar w:fldCharType="begin"/>
            </w:r>
            <w:r w:rsidR="00D018FD">
              <w:rPr>
                <w:noProof/>
                <w:webHidden/>
              </w:rPr>
              <w:instrText xml:space="preserve"> PAGEREF _Toc179453346 \h </w:instrText>
            </w:r>
            <w:r w:rsidR="00D018FD">
              <w:rPr>
                <w:noProof/>
                <w:webHidden/>
              </w:rPr>
            </w:r>
            <w:r w:rsidR="00D018FD">
              <w:rPr>
                <w:noProof/>
                <w:webHidden/>
              </w:rPr>
              <w:fldChar w:fldCharType="separate"/>
            </w:r>
            <w:r w:rsidR="00D018FD">
              <w:rPr>
                <w:noProof/>
                <w:webHidden/>
              </w:rPr>
              <w:t>16</w:t>
            </w:r>
            <w:r w:rsidR="00D018FD">
              <w:rPr>
                <w:noProof/>
                <w:webHidden/>
              </w:rPr>
              <w:fldChar w:fldCharType="end"/>
            </w:r>
          </w:hyperlink>
        </w:p>
        <w:p w14:paraId="06A4771C" w14:textId="496983FD" w:rsidR="0089410A" w:rsidRDefault="0089410A" w:rsidP="0089410A">
          <w:r w:rsidRPr="00215D48">
            <w:fldChar w:fldCharType="end"/>
          </w:r>
        </w:p>
      </w:sdtContent>
    </w:sdt>
    <w:p w14:paraId="6E7A284A" w14:textId="77777777" w:rsidR="0089410A" w:rsidRDefault="0089410A"/>
    <w:p w14:paraId="5F6884C9" w14:textId="77777777" w:rsidR="00DD3815" w:rsidRDefault="00DD3815" w:rsidP="00DD3815">
      <w:pPr>
        <w:pStyle w:val="LegalSubheading"/>
        <w:rPr>
          <w:b/>
          <w:bCs/>
        </w:rPr>
      </w:pPr>
    </w:p>
    <w:p w14:paraId="47BAEE0F" w14:textId="77777777" w:rsidR="0089410A" w:rsidRDefault="0089410A">
      <w:pPr>
        <w:rPr>
          <w:rFonts w:eastAsia="Cambria" w:cs="Times New Roman"/>
          <w:bCs/>
          <w:color w:val="333F4A"/>
          <w:sz w:val="17"/>
        </w:rPr>
      </w:pPr>
      <w:r>
        <w:rPr>
          <w:b/>
          <w:bCs/>
        </w:rPr>
        <w:br w:type="page"/>
      </w:r>
    </w:p>
    <w:p w14:paraId="2AD774A9" w14:textId="77777777" w:rsidR="00D018FD" w:rsidRDefault="00D018FD" w:rsidP="00D018FD">
      <w:pPr>
        <w:pStyle w:val="Heading2"/>
      </w:pPr>
      <w:bookmarkStart w:id="2" w:name="_Toc179386498"/>
      <w:bookmarkStart w:id="3" w:name="_Toc179453292"/>
      <w:r>
        <w:lastRenderedPageBreak/>
        <w:t>Questions asked during the presentation on the Essential Principles consultation</w:t>
      </w:r>
      <w:bookmarkEnd w:id="2"/>
      <w:bookmarkEnd w:id="3"/>
    </w:p>
    <w:p w14:paraId="26A352CF" w14:textId="77777777" w:rsidR="00D018FD" w:rsidRPr="008A5C12" w:rsidRDefault="00D018FD" w:rsidP="00D018FD">
      <w:r>
        <w:t xml:space="preserve">On 11 &amp; 12 September 2024 we provided an opportunity for stakeholders to ask questions on our  </w:t>
      </w:r>
      <w:hyperlink r:id="rId8" w:history="1">
        <w:r w:rsidRPr="004214A7">
          <w:rPr>
            <w:rStyle w:val="Hyperlink"/>
          </w:rPr>
          <w:t>public consultation</w:t>
        </w:r>
      </w:hyperlink>
      <w:r>
        <w:t xml:space="preserve">.  You can view the </w:t>
      </w:r>
      <w:hyperlink r:id="rId9" w:history="1">
        <w:r w:rsidRPr="00CF3189">
          <w:rPr>
            <w:rStyle w:val="Hyperlink"/>
          </w:rPr>
          <w:t>presentation slides</w:t>
        </w:r>
      </w:hyperlink>
      <w:r>
        <w:t>. We were unable to answer all the questions asked.  We have collated our responses into topics and summarised some questions to cover points raised.</w:t>
      </w:r>
    </w:p>
    <w:p w14:paraId="62AC99C0" w14:textId="77777777" w:rsidR="00D018FD" w:rsidRPr="00403D77" w:rsidRDefault="00D018FD" w:rsidP="00D018FD">
      <w:pPr>
        <w:pStyle w:val="Heading2"/>
      </w:pPr>
      <w:bookmarkStart w:id="4" w:name="_Toc179386499"/>
      <w:bookmarkStart w:id="5" w:name="_Toc179453293"/>
      <w:r>
        <w:t>AUS EP checklist</w:t>
      </w:r>
      <w:bookmarkEnd w:id="4"/>
      <w:bookmarkEnd w:id="5"/>
      <w:r>
        <w:t xml:space="preserve"> </w:t>
      </w:r>
    </w:p>
    <w:p w14:paraId="129350B1" w14:textId="77777777" w:rsidR="00D018FD" w:rsidRDefault="00D018FD" w:rsidP="00D018FD">
      <w:pPr>
        <w:pStyle w:val="Heading3"/>
      </w:pPr>
      <w:bookmarkStart w:id="6" w:name="_Toc179386500"/>
      <w:bookmarkStart w:id="7" w:name="_Toc179453294"/>
      <w:r>
        <w:t>Will we update the EP checklist?</w:t>
      </w:r>
      <w:bookmarkEnd w:id="6"/>
      <w:bookmarkEnd w:id="7"/>
    </w:p>
    <w:p w14:paraId="388B4608" w14:textId="77777777" w:rsidR="00D018FD" w:rsidRDefault="00D018FD" w:rsidP="00D018FD">
      <w:r>
        <w:t>We will update the EP checklist to reflect any approved changes to the Essential Principles.</w:t>
      </w:r>
    </w:p>
    <w:p w14:paraId="520A6F6E" w14:textId="77777777" w:rsidR="00D018FD" w:rsidRDefault="00D018FD" w:rsidP="00D018FD">
      <w:r>
        <w:t>We will make an amended EP checklist available well before we adopt any changes.</w:t>
      </w:r>
    </w:p>
    <w:p w14:paraId="7561B695" w14:textId="77777777" w:rsidR="00D018FD" w:rsidRPr="003C71B4" w:rsidRDefault="00D018FD" w:rsidP="00D018FD">
      <w:pPr>
        <w:rPr>
          <w:rFonts w:asciiTheme="minorHAnsi" w:hAnsiTheme="minorHAnsi" w:cs="Segoe UI"/>
          <w:color w:val="313131"/>
          <w:shd w:val="clear" w:color="auto" w:fill="FFFFFF"/>
        </w:rPr>
      </w:pPr>
      <w:r>
        <w:rPr>
          <w:rFonts w:asciiTheme="minorHAnsi" w:hAnsiTheme="minorHAnsi" w:cs="Segoe UI"/>
          <w:color w:val="313131"/>
          <w:shd w:val="clear" w:color="auto" w:fill="FFFFFF"/>
        </w:rPr>
        <w:t>Information will be available on our website.</w:t>
      </w:r>
    </w:p>
    <w:p w14:paraId="40A67A59" w14:textId="77777777" w:rsidR="00D018FD" w:rsidRDefault="00D018FD" w:rsidP="00D018FD">
      <w:r>
        <w:t>We are yet to consider the f</w:t>
      </w:r>
      <w:r w:rsidRPr="00D04DEF">
        <w:t>ormat of an amended or transitional EP checklist</w:t>
      </w:r>
      <w:r>
        <w:t>.</w:t>
      </w:r>
    </w:p>
    <w:p w14:paraId="4DB08ADD" w14:textId="77777777" w:rsidR="00D018FD" w:rsidRPr="00D04DEF" w:rsidRDefault="00D018FD" w:rsidP="00D018FD">
      <w:r>
        <w:t>Your feedback on the structure of an amended EP checklist is welcome.</w:t>
      </w:r>
    </w:p>
    <w:p w14:paraId="08CC14A8" w14:textId="77777777" w:rsidR="00D018FD" w:rsidRDefault="00D018FD" w:rsidP="00D018FD">
      <w:pPr>
        <w:pStyle w:val="Heading3"/>
      </w:pPr>
      <w:bookmarkStart w:id="8" w:name="_Toc179386501"/>
      <w:bookmarkStart w:id="9" w:name="_Toc179453295"/>
      <w:r>
        <w:t>Will we create a document outlining the differences with the EU GSPR checklist?</w:t>
      </w:r>
      <w:bookmarkEnd w:id="8"/>
      <w:bookmarkEnd w:id="9"/>
    </w:p>
    <w:p w14:paraId="184138BE" w14:textId="77777777" w:rsidR="00D018FD" w:rsidRPr="00D04DEF" w:rsidRDefault="00D018FD" w:rsidP="00D018FD">
      <w:r>
        <w:t>We welcome suggestions on how we can support manufacturers to simplify regulatory compliance.</w:t>
      </w:r>
      <w:bookmarkStart w:id="10" w:name="_Your_suggestions_for"/>
      <w:bookmarkEnd w:id="10"/>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56B0CA18" w14:textId="77777777" w:rsidTr="00DD36C5">
        <w:tc>
          <w:tcPr>
            <w:tcW w:w="1276" w:type="dxa"/>
            <w:vAlign w:val="center"/>
          </w:tcPr>
          <w:p w14:paraId="192A7DFC" w14:textId="77777777" w:rsidR="00D018FD" w:rsidRPr="009401F6" w:rsidRDefault="00D018FD" w:rsidP="00DD36C5">
            <w:r w:rsidRPr="009401F6">
              <w:rPr>
                <w:noProof/>
                <w:lang w:eastAsia="en-AU"/>
              </w:rPr>
              <w:drawing>
                <wp:inline distT="0" distB="0" distL="0" distR="0" wp14:anchorId="44315024" wp14:editId="32DC47BA">
                  <wp:extent cx="487681" cy="487681"/>
                  <wp:effectExtent l="19050" t="0" r="7619" b="0"/>
                  <wp:docPr id="204512777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E2FDF6D" w14:textId="77777777" w:rsidR="00D018FD" w:rsidRPr="00431772" w:rsidRDefault="00D018FD" w:rsidP="00DD36C5">
            <w:pPr>
              <w:pStyle w:val="Heading4"/>
              <w:spacing w:before="0" w:after="0"/>
              <w:rPr>
                <w:rStyle w:val="Hyperlink"/>
                <w:rFonts w:ascii="Cambria" w:hAnsi="Cambria"/>
                <w:color w:val="auto"/>
              </w:rPr>
            </w:pPr>
            <w:bookmarkStart w:id="11" w:name="_Toc179453296"/>
            <w:r w:rsidRPr="009904CD">
              <w:rPr>
                <w:rStyle w:val="Hyperlink"/>
                <w:rFonts w:ascii="Cambria" w:hAnsi="Cambria"/>
                <w:color w:val="auto"/>
              </w:rPr>
              <w:t>EP checklist information</w:t>
            </w:r>
            <w:bookmarkEnd w:id="11"/>
          </w:p>
          <w:p w14:paraId="5D9B18E2" w14:textId="77777777" w:rsidR="00D018FD" w:rsidRPr="00D92931" w:rsidRDefault="004E0C92" w:rsidP="00D018FD">
            <w:pPr>
              <w:pStyle w:val="ListBullet"/>
              <w:numPr>
                <w:ilvl w:val="0"/>
                <w:numId w:val="2"/>
              </w:numPr>
              <w:spacing w:before="180"/>
              <w:rPr>
                <w:rFonts w:asciiTheme="minorHAnsi" w:hAnsiTheme="minorHAnsi"/>
              </w:rPr>
            </w:pPr>
            <w:hyperlink r:id="rId11" w:history="1">
              <w:r w:rsidR="00D018FD" w:rsidRPr="00D92931">
                <w:rPr>
                  <w:rStyle w:val="Hyperlink"/>
                  <w:rFonts w:asciiTheme="minorHAnsi" w:hAnsiTheme="minorHAnsi"/>
                </w:rPr>
                <w:t>Essential Principles checklist</w:t>
              </w:r>
            </w:hyperlink>
          </w:p>
          <w:p w14:paraId="22169076" w14:textId="77777777" w:rsidR="00D018FD" w:rsidRPr="00930DA4" w:rsidRDefault="004E0C92" w:rsidP="00D018FD">
            <w:pPr>
              <w:pStyle w:val="ListBullet"/>
              <w:numPr>
                <w:ilvl w:val="0"/>
                <w:numId w:val="2"/>
              </w:numPr>
              <w:spacing w:before="180"/>
              <w:rPr>
                <w:color w:val="0000FF"/>
                <w:u w:val="single"/>
              </w:rPr>
            </w:pPr>
            <w:hyperlink r:id="rId12" w:history="1">
              <w:r w:rsidR="00D018FD" w:rsidRPr="00D92931">
                <w:rPr>
                  <w:rStyle w:val="Hyperlink"/>
                </w:rPr>
                <w:t>Demonstrating compliance with the Essential Principles</w:t>
              </w:r>
            </w:hyperlink>
            <w:r w:rsidR="00D018FD" w:rsidRPr="00D92931">
              <w:rPr>
                <w:rStyle w:val="Hyperlink"/>
              </w:rPr>
              <w:t xml:space="preserve">. </w:t>
            </w:r>
          </w:p>
        </w:tc>
      </w:tr>
    </w:tbl>
    <w:p w14:paraId="5745E2A5" w14:textId="77777777" w:rsidR="00D018FD" w:rsidRDefault="00D018FD" w:rsidP="00D018FD">
      <w:pPr>
        <w:pStyle w:val="Heading2"/>
      </w:pPr>
      <w:bookmarkStart w:id="12" w:name="_Toc179386502"/>
      <w:bookmarkStart w:id="13" w:name="_Toc179453297"/>
      <w:r>
        <w:t>International alignment</w:t>
      </w:r>
      <w:bookmarkEnd w:id="12"/>
      <w:bookmarkEnd w:id="13"/>
      <w:r>
        <w:t xml:space="preserve"> </w:t>
      </w:r>
    </w:p>
    <w:p w14:paraId="2F14AB4F" w14:textId="77777777" w:rsidR="00D018FD" w:rsidRDefault="00D018FD" w:rsidP="00D018FD">
      <w:pPr>
        <w:pStyle w:val="Heading3"/>
      </w:pPr>
      <w:bookmarkStart w:id="14" w:name="_Toc179386503"/>
      <w:bookmarkStart w:id="15" w:name="_Toc179453298"/>
      <w:r>
        <w:t>How will the EP changes effect MDSAP?</w:t>
      </w:r>
      <w:bookmarkEnd w:id="14"/>
      <w:bookmarkEnd w:id="15"/>
    </w:p>
    <w:p w14:paraId="46FCC799" w14:textId="77777777" w:rsidR="00D018FD" w:rsidRDefault="00D018FD" w:rsidP="00D018FD">
      <w:pPr>
        <w:pStyle w:val="ListBullet"/>
        <w:numPr>
          <w:ilvl w:val="0"/>
          <w:numId w:val="0"/>
        </w:numPr>
      </w:pPr>
      <w:r>
        <w:t xml:space="preserve">ISO 13485 forms the basis of the MDSAP audits which focus on a manufacturer’s quality management system (QMS). </w:t>
      </w:r>
    </w:p>
    <w:p w14:paraId="6A820083" w14:textId="77777777" w:rsidR="00D018FD" w:rsidRDefault="00D018FD" w:rsidP="00D018FD">
      <w:pPr>
        <w:pStyle w:val="ListBullet"/>
        <w:numPr>
          <w:ilvl w:val="0"/>
          <w:numId w:val="0"/>
        </w:numPr>
      </w:pPr>
      <w:r>
        <w:t>Product specific requirements, as described in the Essential Principles are not part of the MDSAP audit but covered under each country’s product assessment.</w:t>
      </w:r>
    </w:p>
    <w:p w14:paraId="185A89D1" w14:textId="77777777" w:rsidR="00D018FD" w:rsidRDefault="00D018FD" w:rsidP="00D018FD">
      <w:pPr>
        <w:pStyle w:val="ListBullet"/>
        <w:numPr>
          <w:ilvl w:val="0"/>
          <w:numId w:val="0"/>
        </w:numPr>
      </w:pPr>
      <w:r>
        <w:t xml:space="preserve">Auditing Organisations include a summary of each MDSAP member’s performance requirements in their training material. They also revise training material when changes occur.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7CEFAE8E" w14:textId="77777777" w:rsidTr="00DD36C5">
        <w:tc>
          <w:tcPr>
            <w:tcW w:w="1276" w:type="dxa"/>
            <w:vAlign w:val="center"/>
          </w:tcPr>
          <w:p w14:paraId="6465E3CD" w14:textId="77777777" w:rsidR="00D018FD" w:rsidRPr="009401F6" w:rsidRDefault="00D018FD" w:rsidP="00DD36C5">
            <w:r w:rsidRPr="009401F6">
              <w:rPr>
                <w:noProof/>
                <w:lang w:eastAsia="en-AU"/>
              </w:rPr>
              <w:lastRenderedPageBreak/>
              <w:drawing>
                <wp:inline distT="0" distB="0" distL="0" distR="0" wp14:anchorId="47B86B75" wp14:editId="08FF4CE3">
                  <wp:extent cx="487681" cy="487681"/>
                  <wp:effectExtent l="19050" t="0" r="7619" b="0"/>
                  <wp:docPr id="112830730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3E11740" w14:textId="77777777" w:rsidR="00D018FD" w:rsidRPr="00431772" w:rsidRDefault="00D018FD" w:rsidP="00DD36C5">
            <w:pPr>
              <w:pStyle w:val="Heading4"/>
              <w:spacing w:before="0" w:after="0"/>
              <w:rPr>
                <w:rStyle w:val="Hyperlink"/>
                <w:rFonts w:ascii="Cambria" w:hAnsi="Cambria"/>
                <w:color w:val="auto"/>
              </w:rPr>
            </w:pPr>
            <w:bookmarkStart w:id="16" w:name="_Toc179453299"/>
            <w:r>
              <w:rPr>
                <w:rStyle w:val="Hyperlink"/>
                <w:rFonts w:ascii="Cambria" w:hAnsi="Cambria"/>
                <w:color w:val="auto"/>
              </w:rPr>
              <w:t>MDSAP</w:t>
            </w:r>
            <w:r w:rsidRPr="00D92931">
              <w:rPr>
                <w:rStyle w:val="Hyperlink"/>
                <w:rFonts w:ascii="Cambria" w:hAnsi="Cambria"/>
                <w:color w:val="auto"/>
              </w:rPr>
              <w:t xml:space="preserve"> </w:t>
            </w:r>
            <w:r>
              <w:rPr>
                <w:rStyle w:val="Hyperlink"/>
                <w:rFonts w:ascii="Cambria" w:hAnsi="Cambria"/>
                <w:color w:val="auto"/>
              </w:rPr>
              <w:t>information</w:t>
            </w:r>
            <w:bookmarkEnd w:id="16"/>
          </w:p>
          <w:p w14:paraId="5D45BBAE" w14:textId="77777777" w:rsidR="00D018FD" w:rsidRDefault="004E0C92" w:rsidP="00D018FD">
            <w:pPr>
              <w:pStyle w:val="ListBullet"/>
              <w:numPr>
                <w:ilvl w:val="0"/>
                <w:numId w:val="2"/>
              </w:numPr>
              <w:spacing w:before="180"/>
            </w:pPr>
            <w:hyperlink r:id="rId13" w:history="1">
              <w:r w:rsidR="00D018FD" w:rsidRPr="00BC1624">
                <w:rPr>
                  <w:rStyle w:val="Hyperlink"/>
                </w:rPr>
                <w:t>Medical device single audit program</w:t>
              </w:r>
            </w:hyperlink>
            <w:r w:rsidR="00D018FD">
              <w:t xml:space="preserve"> (our website)</w:t>
            </w:r>
          </w:p>
          <w:p w14:paraId="573DDC59" w14:textId="77777777" w:rsidR="00D018FD" w:rsidRDefault="00D018FD" w:rsidP="00D018FD">
            <w:pPr>
              <w:pStyle w:val="ListBullet"/>
              <w:numPr>
                <w:ilvl w:val="0"/>
                <w:numId w:val="2"/>
              </w:numPr>
              <w:spacing w:before="180"/>
            </w:pPr>
            <w:r>
              <w:t xml:space="preserve">Our </w:t>
            </w:r>
            <w:hyperlink r:id="rId14" w:history="1">
              <w:r>
                <w:rPr>
                  <w:rStyle w:val="Hyperlink"/>
                </w:rPr>
                <w:t>f</w:t>
              </w:r>
              <w:r w:rsidRPr="00BC1624">
                <w:rPr>
                  <w:rStyle w:val="Hyperlink"/>
                </w:rPr>
                <w:t>requently asked questions</w:t>
              </w:r>
            </w:hyperlink>
            <w:r>
              <w:t xml:space="preserve"> for the MDSAP</w:t>
            </w:r>
          </w:p>
          <w:p w14:paraId="7B3B2FE0" w14:textId="77777777" w:rsidR="00D018FD" w:rsidRDefault="00D018FD" w:rsidP="00D018FD">
            <w:pPr>
              <w:pStyle w:val="ListBullet"/>
              <w:numPr>
                <w:ilvl w:val="0"/>
                <w:numId w:val="2"/>
              </w:numPr>
              <w:spacing w:before="180"/>
            </w:pPr>
            <w:r>
              <w:t xml:space="preserve">Guidance on using </w:t>
            </w:r>
            <w:hyperlink r:id="rId15" w:history="1">
              <w:r w:rsidRPr="000F289A">
                <w:rPr>
                  <w:rStyle w:val="Hyperlink"/>
                </w:rPr>
                <w:t>comparable oversea regulators/assessment bodies</w:t>
              </w:r>
            </w:hyperlink>
          </w:p>
          <w:p w14:paraId="28A893A5" w14:textId="77777777" w:rsidR="00D018FD" w:rsidRDefault="004E0C92" w:rsidP="00D018FD">
            <w:pPr>
              <w:pStyle w:val="ListBullet"/>
              <w:numPr>
                <w:ilvl w:val="0"/>
                <w:numId w:val="2"/>
              </w:numPr>
              <w:spacing w:before="180"/>
            </w:pPr>
            <w:hyperlink r:id="rId16" w:history="1">
              <w:r w:rsidR="00D018FD" w:rsidRPr="000E5571">
                <w:rPr>
                  <w:rStyle w:val="Hyperlink"/>
                </w:rPr>
                <w:t>Medical device single audit program</w:t>
              </w:r>
            </w:hyperlink>
            <w:r w:rsidR="00D018FD">
              <w:t xml:space="preserve"> (FDA website)</w:t>
            </w:r>
          </w:p>
          <w:p w14:paraId="6634F0BD" w14:textId="77777777" w:rsidR="00D018FD" w:rsidRDefault="004E0C92" w:rsidP="00D018FD">
            <w:pPr>
              <w:pStyle w:val="ListBullet"/>
              <w:numPr>
                <w:ilvl w:val="0"/>
                <w:numId w:val="2"/>
              </w:numPr>
              <w:spacing w:before="180"/>
            </w:pPr>
            <w:hyperlink r:id="rId17" w:history="1">
              <w:r w:rsidR="00D018FD" w:rsidRPr="00873B50">
                <w:rPr>
                  <w:rStyle w:val="Hyperlink"/>
                </w:rPr>
                <w:t>MDSAP certificate requirements</w:t>
              </w:r>
            </w:hyperlink>
            <w:r w:rsidR="00D018FD">
              <w:t xml:space="preserve"> (FDA website)</w:t>
            </w:r>
          </w:p>
          <w:p w14:paraId="18046DA9" w14:textId="77777777" w:rsidR="00D018FD" w:rsidRPr="00BC1624" w:rsidRDefault="00D018FD" w:rsidP="00DD36C5">
            <w:pPr>
              <w:pStyle w:val="ListBullet"/>
              <w:numPr>
                <w:ilvl w:val="0"/>
                <w:numId w:val="0"/>
              </w:numPr>
            </w:pPr>
            <w:r>
              <w:t xml:space="preserve">For feedback or questions on MDSAP, please </w:t>
            </w:r>
            <w:r w:rsidRPr="002A5FD4">
              <w:t xml:space="preserve">email us at </w:t>
            </w:r>
            <w:hyperlink r:id="rId18" w:history="1">
              <w:r w:rsidRPr="00CE07B3">
                <w:rPr>
                  <w:rStyle w:val="Hyperlink"/>
                </w:rPr>
                <w:t>MDSAP@tga.gov.au</w:t>
              </w:r>
            </w:hyperlink>
            <w:r>
              <w:t xml:space="preserve">. </w:t>
            </w:r>
          </w:p>
        </w:tc>
      </w:tr>
    </w:tbl>
    <w:p w14:paraId="12086657" w14:textId="77777777" w:rsidR="00D018FD" w:rsidRDefault="00D018FD" w:rsidP="00D018FD">
      <w:pPr>
        <w:pStyle w:val="Heading3"/>
      </w:pPr>
      <w:bookmarkStart w:id="17" w:name="_Toc179386504"/>
      <w:bookmarkStart w:id="18" w:name="_Toc179453300"/>
      <w:r>
        <w:t>How will these changes effect the EU MRA?</w:t>
      </w:r>
      <w:bookmarkEnd w:id="17"/>
      <w:bookmarkEnd w:id="18"/>
    </w:p>
    <w:p w14:paraId="674AC8AE" w14:textId="77777777" w:rsidR="00D018FD" w:rsidRDefault="00D018FD" w:rsidP="00D018FD">
      <w:r>
        <w:t xml:space="preserve">The proposed changes to the Essential Principles will not change the mutual recognition agreement with the European Commission (EU MRA). The Essential Principles and the GSPR are not a part of the EU MRA. The EU MRA is at present under negotiation.  </w:t>
      </w:r>
    </w:p>
    <w:p w14:paraId="3B01BA71" w14:textId="77777777" w:rsidR="00D018FD" w:rsidRDefault="00D018FD" w:rsidP="00D018FD">
      <w:r>
        <w:t>The European Commission did not appoint us to assess medical devices under the EU MDR and EU IVDR. Our role as a notified body under the EU MRA ended on 26th September 2024. None of the EU notified bodies issue Australian MRA certificates to manufacturers. However, we can now issue certificates to Australian manufacturers under the UK MRA.</w:t>
      </w:r>
    </w:p>
    <w:p w14:paraId="4C5A44DC" w14:textId="77777777" w:rsidR="00D018FD" w:rsidRDefault="00D018FD" w:rsidP="00D018FD">
      <w:r>
        <w:t xml:space="preserve">More information is available on our </w:t>
      </w:r>
      <w:hyperlink r:id="rId19" w:history="1">
        <w:r w:rsidRPr="00451D10">
          <w:rPr>
            <w:rStyle w:val="Hyperlink"/>
          </w:rPr>
          <w:t>MRA</w:t>
        </w:r>
      </w:hyperlink>
      <w:r>
        <w:t xml:space="preserve"> webpage.</w:t>
      </w:r>
    </w:p>
    <w:p w14:paraId="3E109486" w14:textId="77777777" w:rsidR="00D018FD" w:rsidRDefault="00D018FD" w:rsidP="00D018FD">
      <w:pPr>
        <w:pStyle w:val="Heading3"/>
      </w:pPr>
      <w:bookmarkStart w:id="19" w:name="_Toc179386505"/>
      <w:bookmarkStart w:id="20" w:name="_Toc179453301"/>
      <w:r>
        <w:t>How will these changes effect comparable overseas regulatory pathways?</w:t>
      </w:r>
      <w:bookmarkEnd w:id="19"/>
      <w:bookmarkEnd w:id="20"/>
    </w:p>
    <w:p w14:paraId="1D1EA209" w14:textId="77777777" w:rsidR="00D018FD" w:rsidRDefault="00D018FD" w:rsidP="00D018FD">
      <w:r>
        <w:t xml:space="preserve">Under our framework, we recognise the following comparable overseas regulators: </w:t>
      </w:r>
    </w:p>
    <w:p w14:paraId="3B3B0671" w14:textId="77777777" w:rsidR="00D018FD" w:rsidRPr="00B23229" w:rsidRDefault="00D018FD" w:rsidP="00D018FD">
      <w:pPr>
        <w:pStyle w:val="ListBullet"/>
        <w:numPr>
          <w:ilvl w:val="0"/>
          <w:numId w:val="2"/>
        </w:numPr>
        <w:spacing w:before="180"/>
      </w:pPr>
      <w:r w:rsidRPr="00B23229">
        <w:t>Notified bodies appointed by the medical device regulators of European member states, under the medical device regulatory frameworks of the European Union</w:t>
      </w:r>
    </w:p>
    <w:p w14:paraId="6272E85A" w14:textId="77777777" w:rsidR="00D018FD" w:rsidRPr="00B23229" w:rsidRDefault="00D018FD" w:rsidP="00D018FD">
      <w:pPr>
        <w:pStyle w:val="ListBullet"/>
        <w:numPr>
          <w:ilvl w:val="0"/>
          <w:numId w:val="2"/>
        </w:numPr>
        <w:spacing w:before="180"/>
      </w:pPr>
      <w:r w:rsidRPr="00B23229">
        <w:t>the Food and Drug Administration of the United States</w:t>
      </w:r>
    </w:p>
    <w:p w14:paraId="6D48B396" w14:textId="77777777" w:rsidR="00D018FD" w:rsidRPr="00B23229" w:rsidRDefault="00D018FD" w:rsidP="00D018FD">
      <w:pPr>
        <w:pStyle w:val="ListBullet"/>
        <w:numPr>
          <w:ilvl w:val="0"/>
          <w:numId w:val="2"/>
        </w:numPr>
        <w:spacing w:before="180"/>
      </w:pPr>
      <w:r w:rsidRPr="00B23229">
        <w:t>Health Canada</w:t>
      </w:r>
    </w:p>
    <w:p w14:paraId="191E7B1A" w14:textId="77777777" w:rsidR="00D018FD" w:rsidRPr="00B23229" w:rsidRDefault="00D018FD" w:rsidP="00D018FD">
      <w:pPr>
        <w:pStyle w:val="ListBullet"/>
        <w:numPr>
          <w:ilvl w:val="0"/>
          <w:numId w:val="2"/>
        </w:numPr>
        <w:spacing w:before="180"/>
      </w:pPr>
      <w:r w:rsidRPr="00B23229">
        <w:t xml:space="preserve">Medical Device Single Audit Program (MDSAP) </w:t>
      </w:r>
      <w:r>
        <w:t>a</w:t>
      </w:r>
      <w:r w:rsidRPr="00B23229">
        <w:t xml:space="preserve">uditing </w:t>
      </w:r>
      <w:r>
        <w:t>o</w:t>
      </w:r>
      <w:r w:rsidRPr="00B23229">
        <w:t>rganisation</w:t>
      </w:r>
      <w:r>
        <w:t>s</w:t>
      </w:r>
    </w:p>
    <w:p w14:paraId="416566CB" w14:textId="77777777" w:rsidR="00D018FD" w:rsidRPr="00B23229" w:rsidRDefault="00D018FD" w:rsidP="00D018FD">
      <w:pPr>
        <w:pStyle w:val="ListBullet"/>
        <w:numPr>
          <w:ilvl w:val="0"/>
          <w:numId w:val="2"/>
        </w:numPr>
        <w:spacing w:before="180"/>
      </w:pPr>
      <w:r w:rsidRPr="00B23229">
        <w:t>the Ministry of Health, Labour and Welfare and Pharmaceutical and Medical Devices Agency of Japan.</w:t>
      </w:r>
    </w:p>
    <w:p w14:paraId="6A25451F" w14:textId="77777777" w:rsidR="00D018FD" w:rsidRPr="00B23229" w:rsidRDefault="00D018FD" w:rsidP="00D018FD">
      <w:pPr>
        <w:pStyle w:val="ListBullet"/>
        <w:numPr>
          <w:ilvl w:val="0"/>
          <w:numId w:val="2"/>
        </w:numPr>
        <w:spacing w:before="180"/>
      </w:pPr>
      <w:r w:rsidRPr="00B23229">
        <w:t>Singapore's Health Sciences Authority (HSA)</w:t>
      </w:r>
    </w:p>
    <w:p w14:paraId="32D9AC20" w14:textId="77777777" w:rsidR="00D018FD" w:rsidRDefault="00D018FD" w:rsidP="00D018FD">
      <w:pPr>
        <w:pStyle w:val="ListBullet"/>
        <w:numPr>
          <w:ilvl w:val="0"/>
          <w:numId w:val="0"/>
        </w:numPr>
      </w:pPr>
      <w:r>
        <w:t>Regardless of the conformity assessment procedure used, all manufacturers would need to ensure that:</w:t>
      </w:r>
    </w:p>
    <w:p w14:paraId="63AD16BF" w14:textId="77777777" w:rsidR="00D018FD" w:rsidRDefault="00D018FD" w:rsidP="00D018FD">
      <w:pPr>
        <w:pStyle w:val="ListBullet"/>
        <w:numPr>
          <w:ilvl w:val="0"/>
          <w:numId w:val="2"/>
        </w:numPr>
        <w:spacing w:before="180"/>
      </w:pPr>
      <w:r>
        <w:t xml:space="preserve">their devices comply with all applicable Essential Principles, and </w:t>
      </w:r>
    </w:p>
    <w:p w14:paraId="024E9666" w14:textId="77777777" w:rsidR="00D018FD" w:rsidRDefault="00D018FD" w:rsidP="00D018FD">
      <w:pPr>
        <w:pStyle w:val="ListBullet"/>
        <w:numPr>
          <w:ilvl w:val="0"/>
          <w:numId w:val="2"/>
        </w:numPr>
        <w:spacing w:before="180"/>
      </w:pPr>
      <w:r>
        <w:t xml:space="preserve">that they have sufficient evidence to show they comply by the end of any agreed </w:t>
      </w:r>
      <w:r w:rsidRPr="00EE4DA7">
        <w:t>transition timeframe.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14862176" w14:textId="77777777" w:rsidTr="00DD36C5">
        <w:tc>
          <w:tcPr>
            <w:tcW w:w="1276" w:type="dxa"/>
            <w:vAlign w:val="center"/>
          </w:tcPr>
          <w:p w14:paraId="1BEC87F2" w14:textId="77777777" w:rsidR="00D018FD" w:rsidRPr="009401F6" w:rsidRDefault="00D018FD" w:rsidP="00DD36C5">
            <w:r w:rsidRPr="009401F6">
              <w:rPr>
                <w:noProof/>
                <w:lang w:eastAsia="en-AU"/>
              </w:rPr>
              <w:lastRenderedPageBreak/>
              <w:drawing>
                <wp:inline distT="0" distB="0" distL="0" distR="0" wp14:anchorId="45354AB9" wp14:editId="28808622">
                  <wp:extent cx="487681" cy="487681"/>
                  <wp:effectExtent l="19050" t="0" r="7619" b="0"/>
                  <wp:docPr id="22026816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C280DEE" w14:textId="77777777" w:rsidR="00D018FD" w:rsidRPr="009904CD" w:rsidRDefault="00D018FD" w:rsidP="00DD36C5">
            <w:pPr>
              <w:pStyle w:val="Heading4"/>
              <w:spacing w:before="0" w:after="0"/>
              <w:rPr>
                <w:rStyle w:val="Hyperlink"/>
                <w:rFonts w:ascii="Cambria" w:hAnsi="Cambria"/>
                <w:b/>
                <w:bCs w:val="0"/>
                <w:color w:val="auto"/>
                <w:sz w:val="22"/>
                <w:szCs w:val="22"/>
              </w:rPr>
            </w:pPr>
            <w:bookmarkStart w:id="21" w:name="_Comparable_overseas_regulator"/>
            <w:bookmarkStart w:id="22" w:name="_Toc179453302"/>
            <w:bookmarkEnd w:id="21"/>
            <w:r w:rsidRPr="009904CD">
              <w:rPr>
                <w:rStyle w:val="Hyperlink"/>
                <w:rFonts w:ascii="Cambria" w:hAnsi="Cambria"/>
                <w:color w:val="auto"/>
              </w:rPr>
              <w:t>Comparable overseas regulator information</w:t>
            </w:r>
            <w:bookmarkEnd w:id="22"/>
          </w:p>
          <w:p w14:paraId="07AB4B17" w14:textId="77777777" w:rsidR="00D018FD" w:rsidRDefault="00D018FD" w:rsidP="00DD36C5">
            <w:r>
              <w:t>The following links inform you of how we use market authorisation evidence from comparable overseas regulators for medical devices:</w:t>
            </w:r>
          </w:p>
          <w:p w14:paraId="516C6CD9" w14:textId="77777777" w:rsidR="00D018FD" w:rsidRPr="007D1C62" w:rsidRDefault="004E0C92" w:rsidP="00D018FD">
            <w:pPr>
              <w:pStyle w:val="ListBullet"/>
              <w:numPr>
                <w:ilvl w:val="0"/>
                <w:numId w:val="2"/>
              </w:numPr>
              <w:spacing w:before="180"/>
              <w:rPr>
                <w:rStyle w:val="Hyperlink"/>
                <w:color w:val="auto"/>
              </w:rPr>
            </w:pPr>
            <w:hyperlink r:id="rId20" w:history="1">
              <w:r w:rsidR="00D018FD" w:rsidRPr="00AB44AF">
                <w:rPr>
                  <w:rStyle w:val="Hyperlink"/>
                </w:rPr>
                <w:t>Comparable overseas regulators for medical device applications</w:t>
              </w:r>
            </w:hyperlink>
          </w:p>
          <w:p w14:paraId="4798A336" w14:textId="77777777" w:rsidR="00D018FD" w:rsidRDefault="004E0C92" w:rsidP="00D018FD">
            <w:pPr>
              <w:pStyle w:val="ListBullet"/>
              <w:numPr>
                <w:ilvl w:val="0"/>
                <w:numId w:val="2"/>
              </w:numPr>
              <w:spacing w:before="180"/>
            </w:pPr>
            <w:hyperlink r:id="rId21" w:history="1">
              <w:r w:rsidR="00D018FD" w:rsidRPr="00F965EC">
                <w:rPr>
                  <w:rStyle w:val="Hyperlink"/>
                </w:rPr>
                <w:t>Overseas regulatory evidence options for a medical device application</w:t>
              </w:r>
            </w:hyperlink>
          </w:p>
          <w:p w14:paraId="45BA3B6A" w14:textId="77777777" w:rsidR="00D018FD" w:rsidRPr="00BC1624" w:rsidRDefault="004E0C92" w:rsidP="00D018FD">
            <w:pPr>
              <w:pStyle w:val="ListBullet"/>
              <w:numPr>
                <w:ilvl w:val="0"/>
                <w:numId w:val="2"/>
              </w:numPr>
              <w:spacing w:before="180"/>
            </w:pPr>
            <w:hyperlink r:id="rId22" w:history="1">
              <w:r w:rsidR="00D018FD" w:rsidRPr="00114B22">
                <w:rPr>
                  <w:rStyle w:val="Hyperlink"/>
                </w:rPr>
                <w:t>Q&amp;A on using comparable overseas regulators evidence</w:t>
              </w:r>
            </w:hyperlink>
          </w:p>
        </w:tc>
      </w:tr>
    </w:tbl>
    <w:p w14:paraId="78BE5812" w14:textId="77777777" w:rsidR="00D018FD" w:rsidRDefault="00D018FD" w:rsidP="00D018FD">
      <w:pPr>
        <w:pStyle w:val="Heading3"/>
      </w:pPr>
      <w:bookmarkStart w:id="23" w:name="_Toc179386506"/>
      <w:bookmarkStart w:id="24" w:name="_Toc179453303"/>
      <w:r>
        <w:t>How do these changes align with IMDRF principles?</w:t>
      </w:r>
      <w:bookmarkEnd w:id="23"/>
      <w:bookmarkEnd w:id="24"/>
    </w:p>
    <w:p w14:paraId="3945B130" w14:textId="77777777" w:rsidR="00D018FD" w:rsidRDefault="00D018FD" w:rsidP="00D018FD">
      <w:r>
        <w:t xml:space="preserve">Our Essential Principles, both existing and proposed changes, are consistent with the </w:t>
      </w:r>
      <w:hyperlink r:id="rId23" w:history="1">
        <w:r w:rsidRPr="00FE72C2">
          <w:rPr>
            <w:rStyle w:val="Hyperlink"/>
          </w:rPr>
          <w:t>International Medical Device Regulators Forum</w:t>
        </w:r>
      </w:hyperlink>
      <w:r>
        <w:t xml:space="preserve"> (</w:t>
      </w:r>
      <w:r w:rsidRPr="00FE72C2">
        <w:t>IMDRF)</w:t>
      </w:r>
      <w:r>
        <w:t xml:space="preserve"> principles. </w:t>
      </w:r>
      <w:r w:rsidRPr="00FE72C2">
        <w:t xml:space="preserve">We are a founding member of the </w:t>
      </w:r>
      <w:r>
        <w:t>IMDRF</w:t>
      </w:r>
      <w:r w:rsidRPr="00FE72C2">
        <w:t xml:space="preserve"> </w:t>
      </w:r>
      <w:r>
        <w:t>and continue to align our regulatory requirements through multiple IMDRF working groups.</w:t>
      </w:r>
    </w:p>
    <w:p w14:paraId="41AB41A6" w14:textId="77777777" w:rsidR="00D018FD" w:rsidRDefault="00D018FD" w:rsidP="00D018FD">
      <w:pPr>
        <w:pStyle w:val="Heading2"/>
      </w:pPr>
      <w:bookmarkStart w:id="25" w:name="_Toc179386507"/>
      <w:bookmarkStart w:id="26" w:name="_Toc179453304"/>
      <w:r w:rsidRPr="00E40E81">
        <w:t>Effect on manufacturers</w:t>
      </w:r>
      <w:bookmarkEnd w:id="25"/>
      <w:bookmarkEnd w:id="26"/>
    </w:p>
    <w:p w14:paraId="62025485" w14:textId="77777777" w:rsidR="00D018FD" w:rsidRDefault="00D018FD" w:rsidP="00D018FD">
      <w:pPr>
        <w:pStyle w:val="Heading3"/>
      </w:pPr>
      <w:bookmarkStart w:id="27" w:name="_Toc179386508"/>
      <w:bookmarkStart w:id="28" w:name="_Toc179453305"/>
      <w:r>
        <w:t>What will be the cost of the changes to manufacturers?</w:t>
      </w:r>
      <w:bookmarkEnd w:id="27"/>
      <w:bookmarkEnd w:id="28"/>
    </w:p>
    <w:p w14:paraId="0E715CA5" w14:textId="77777777" w:rsidR="00D018FD" w:rsidRDefault="00D018FD" w:rsidP="00D018FD">
      <w:r>
        <w:t xml:space="preserve">A high portion of devices supplied in Australia already use European manufacturer evidence to support inclusion of their devices in the Register. We welcome feedback on the proposed changes from </w:t>
      </w:r>
      <w:r w:rsidRPr="00BC3F6B">
        <w:t xml:space="preserve">manufacturers </w:t>
      </w:r>
      <w:r>
        <w:t xml:space="preserve">who </w:t>
      </w:r>
      <w:r w:rsidRPr="00BC3F6B">
        <w:t xml:space="preserve">do not </w:t>
      </w:r>
      <w:r>
        <w:t>use</w:t>
      </w:r>
      <w:r w:rsidRPr="00BC3F6B">
        <w:t xml:space="preserve"> EU </w:t>
      </w:r>
      <w:r>
        <w:t xml:space="preserve">manufacturer </w:t>
      </w:r>
      <w:r w:rsidRPr="00BC3F6B">
        <w:t xml:space="preserve">evidence to support </w:t>
      </w:r>
      <w:r>
        <w:t xml:space="preserve">ARTG </w:t>
      </w:r>
      <w:r w:rsidRPr="00BC3F6B">
        <w:t>inclusion</w:t>
      </w:r>
      <w:r>
        <w:t xml:space="preserve">. This input will guide our decision whether we need to conduct a full regulatory impact assessment. </w:t>
      </w:r>
    </w:p>
    <w:p w14:paraId="2DFBCFC1" w14:textId="77777777" w:rsidR="00D018FD" w:rsidRDefault="00D018FD" w:rsidP="00D018FD">
      <w:r>
        <w:t>We do not foresee increasing application fees and annual charges because of the proposed changes to the Essential Principles.</w:t>
      </w:r>
    </w:p>
    <w:p w14:paraId="305DE03A" w14:textId="77777777" w:rsidR="00D018FD" w:rsidRDefault="00D018FD" w:rsidP="00D018FD">
      <w:pPr>
        <w:pStyle w:val="Heading3"/>
      </w:pPr>
      <w:bookmarkStart w:id="29" w:name="_Toc179386509"/>
      <w:bookmarkStart w:id="30" w:name="_Toc179453306"/>
      <w:r>
        <w:t>What support will there be for manufacturers?</w:t>
      </w:r>
      <w:bookmarkEnd w:id="29"/>
      <w:bookmarkEnd w:id="30"/>
    </w:p>
    <w:p w14:paraId="1C6FE4FE" w14:textId="77777777" w:rsidR="00D018FD" w:rsidRDefault="00D018FD" w:rsidP="00D018FD">
      <w:r>
        <w:t xml:space="preserve">Where possible, we will support manufacturers and sponsors to meet any amended requirements through:  </w:t>
      </w:r>
    </w:p>
    <w:p w14:paraId="0BB0A889" w14:textId="77777777" w:rsidR="00D018FD" w:rsidRDefault="00D018FD" w:rsidP="00D018FD">
      <w:pPr>
        <w:pStyle w:val="ListBullet"/>
        <w:numPr>
          <w:ilvl w:val="0"/>
          <w:numId w:val="2"/>
        </w:numPr>
        <w:spacing w:before="180"/>
      </w:pPr>
      <w:r w:rsidRPr="003E61DE">
        <w:rPr>
          <w:b/>
          <w:bCs/>
        </w:rPr>
        <w:t xml:space="preserve">Transition </w:t>
      </w:r>
      <w:r>
        <w:rPr>
          <w:b/>
          <w:bCs/>
        </w:rPr>
        <w:t>periods</w:t>
      </w:r>
      <w:r>
        <w:t xml:space="preserve"> to allow manufacturers time to comply with any new requirements applicable to their devices.</w:t>
      </w:r>
    </w:p>
    <w:p w14:paraId="133E5575" w14:textId="77777777" w:rsidR="00D018FD" w:rsidRDefault="00D018FD" w:rsidP="00D018FD">
      <w:pPr>
        <w:pStyle w:val="ListBullet"/>
        <w:numPr>
          <w:ilvl w:val="0"/>
          <w:numId w:val="2"/>
        </w:numPr>
        <w:spacing w:before="180"/>
      </w:pPr>
      <w:r w:rsidRPr="003E61DE">
        <w:rPr>
          <w:b/>
          <w:bCs/>
        </w:rPr>
        <w:t xml:space="preserve">Guidance </w:t>
      </w:r>
      <w:r>
        <w:rPr>
          <w:b/>
          <w:bCs/>
        </w:rPr>
        <w:t>and education</w:t>
      </w:r>
      <w:r>
        <w:t xml:space="preserve"> to clarify expectations through enquiry lines, published information and webinars or workshops. </w:t>
      </w:r>
    </w:p>
    <w:p w14:paraId="59611A22" w14:textId="77777777" w:rsidR="00D018FD" w:rsidRDefault="00D018FD" w:rsidP="00D018FD">
      <w:pPr>
        <w:pStyle w:val="ListBullet"/>
        <w:numPr>
          <w:ilvl w:val="0"/>
          <w:numId w:val="2"/>
        </w:numPr>
        <w:spacing w:before="180"/>
      </w:pPr>
      <w:r w:rsidRPr="003E61DE">
        <w:rPr>
          <w:b/>
          <w:bCs/>
        </w:rPr>
        <w:t>Compliance tools</w:t>
      </w:r>
      <w:r>
        <w:t xml:space="preserve"> such as EP checklist and comparison documents to reduce regulatory burden, where possible.</w:t>
      </w:r>
    </w:p>
    <w:p w14:paraId="7D345FC4" w14:textId="77777777" w:rsidR="00D018FD" w:rsidRPr="009552E9" w:rsidRDefault="00D018FD" w:rsidP="00D018FD">
      <w:pPr>
        <w:pStyle w:val="ListBullet"/>
        <w:numPr>
          <w:ilvl w:val="0"/>
          <w:numId w:val="0"/>
        </w:numPr>
      </w:pPr>
      <w:r>
        <w:t>Please give input on the type of support that would best support you in transitioning to the proposed changes.</w:t>
      </w:r>
    </w:p>
    <w:p w14:paraId="5D4AE51A" w14:textId="77777777" w:rsidR="00D018FD" w:rsidRPr="00A57806" w:rsidRDefault="00D018FD" w:rsidP="00D018FD">
      <w:pPr>
        <w:pStyle w:val="Heading3"/>
      </w:pPr>
      <w:bookmarkStart w:id="31" w:name="_How_will_changes"/>
      <w:bookmarkStart w:id="32" w:name="_Toc179386510"/>
      <w:bookmarkStart w:id="33" w:name="_Toc179453307"/>
      <w:bookmarkEnd w:id="31"/>
      <w:r w:rsidRPr="00A57806">
        <w:t>How will changes effect manufacturers with EC certificate that are not ISO 13485 certified?</w:t>
      </w:r>
      <w:bookmarkEnd w:id="32"/>
      <w:bookmarkEnd w:id="33"/>
    </w:p>
    <w:p w14:paraId="1D43FCE0" w14:textId="77777777" w:rsidR="00D018FD" w:rsidRDefault="00D018FD" w:rsidP="00D018FD">
      <w:r w:rsidRPr="002A6DD7">
        <w:t xml:space="preserve">The </w:t>
      </w:r>
      <w:r>
        <w:t xml:space="preserve">proposed </w:t>
      </w:r>
      <w:r w:rsidRPr="002A6DD7">
        <w:t xml:space="preserve">changes will not affect manufacturers with EC certificates that are recognised under the </w:t>
      </w:r>
      <w:r w:rsidRPr="002A6DD7">
        <w:rPr>
          <w:i/>
          <w:iCs/>
        </w:rPr>
        <w:t xml:space="preserve">Therapeutic Goods (Medical Devices—Information that Must Accompany Application for Inclusion) </w:t>
      </w:r>
      <w:r w:rsidRPr="002A6DD7">
        <w:rPr>
          <w:i/>
          <w:iCs/>
        </w:rPr>
        <w:lastRenderedPageBreak/>
        <w:t>Determination 2018</w:t>
      </w:r>
      <w:r w:rsidRPr="000743E5">
        <w:t>.</w:t>
      </w:r>
      <w:r>
        <w:t xml:space="preserve"> We do not mandate ISO 13485 certification. We recognise ISO 13485 certificates issued under the MDSAP and in limited other cases, such as for:</w:t>
      </w:r>
    </w:p>
    <w:p w14:paraId="5448DC77" w14:textId="77777777" w:rsidR="00D018FD" w:rsidRDefault="00D018FD" w:rsidP="00D018FD">
      <w:pPr>
        <w:pStyle w:val="ListBullet"/>
        <w:numPr>
          <w:ilvl w:val="0"/>
          <w:numId w:val="2"/>
        </w:numPr>
        <w:spacing w:before="180"/>
      </w:pPr>
      <w:r>
        <w:t xml:space="preserve">IVDs transitioning under the EU IVDR </w:t>
      </w:r>
    </w:p>
    <w:p w14:paraId="0A3E98D3" w14:textId="77777777" w:rsidR="00D018FD" w:rsidRDefault="00D018FD" w:rsidP="00D018FD">
      <w:pPr>
        <w:pStyle w:val="ListBullet"/>
        <w:numPr>
          <w:ilvl w:val="0"/>
          <w:numId w:val="2"/>
        </w:numPr>
        <w:spacing w:before="180"/>
      </w:pPr>
      <w:r>
        <w:t>unapproved vaping devices.</w:t>
      </w:r>
      <w:r w:rsidRPr="00A57806">
        <w:t xml:space="preserve"> </w:t>
      </w:r>
    </w:p>
    <w:p w14:paraId="1E799718" w14:textId="77777777" w:rsidR="00D018FD" w:rsidRPr="00A57806" w:rsidRDefault="00D018FD" w:rsidP="00D018FD">
      <w:r>
        <w:t xml:space="preserve">The ISO 13485 </w:t>
      </w:r>
      <w:r w:rsidRPr="00BA0C83">
        <w:t xml:space="preserve">is a standard that manufacturers can use to develop or ensure compliance with </w:t>
      </w:r>
      <w:r>
        <w:t>our conformity assessment procedures</w:t>
      </w:r>
      <w:r w:rsidRPr="00BA0C83">
        <w:t xml:space="preserve">. The manufacturer can then apply for </w:t>
      </w:r>
      <w:r>
        <w:t>an</w:t>
      </w:r>
      <w:r w:rsidRPr="00BA0C83">
        <w:t xml:space="preserve"> appropriate </w:t>
      </w:r>
      <w:r>
        <w:t>quality management system /</w:t>
      </w:r>
      <w:r w:rsidRPr="00BA0C83">
        <w:t xml:space="preserve"> product assessment certification to seek inclusion in the ARTG</w:t>
      </w:r>
      <w:r>
        <w:t>. This can be</w:t>
      </w:r>
      <w:r w:rsidRPr="00BA0C83">
        <w:t xml:space="preserve"> through obtaining a TGA </w:t>
      </w:r>
      <w:r>
        <w:t>conformity assessment</w:t>
      </w:r>
      <w:r w:rsidRPr="00BA0C83">
        <w:t xml:space="preserve"> certificate, or through a </w:t>
      </w:r>
      <w:r>
        <w:t>comparable overseas regulator pathway</w:t>
      </w:r>
      <w:r w:rsidRPr="00BA0C83">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5EB7C2A2" w14:textId="77777777" w:rsidTr="00DD36C5">
        <w:tc>
          <w:tcPr>
            <w:tcW w:w="1276" w:type="dxa"/>
            <w:vAlign w:val="center"/>
          </w:tcPr>
          <w:p w14:paraId="39A62F4A" w14:textId="77777777" w:rsidR="00D018FD" w:rsidRPr="00A57806" w:rsidRDefault="00D018FD" w:rsidP="00DD36C5">
            <w:r w:rsidRPr="00A57806">
              <w:rPr>
                <w:noProof/>
                <w:lang w:eastAsia="en-AU"/>
              </w:rPr>
              <w:drawing>
                <wp:inline distT="0" distB="0" distL="0" distR="0" wp14:anchorId="65A6818B" wp14:editId="3FC49E5E">
                  <wp:extent cx="487681" cy="487681"/>
                  <wp:effectExtent l="19050" t="0" r="7619" b="0"/>
                  <wp:docPr id="85226896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770ECDF" w14:textId="77777777" w:rsidR="00D018FD" w:rsidRPr="00431772" w:rsidRDefault="00D018FD" w:rsidP="00DD36C5">
            <w:pPr>
              <w:pStyle w:val="Heading4"/>
              <w:spacing w:before="0" w:after="0"/>
              <w:rPr>
                <w:rStyle w:val="Hyperlink"/>
                <w:rFonts w:ascii="Cambria" w:hAnsi="Cambria"/>
                <w:color w:val="auto"/>
              </w:rPr>
            </w:pPr>
            <w:bookmarkStart w:id="34" w:name="_Toc179453308"/>
            <w:r>
              <w:rPr>
                <w:rStyle w:val="Hyperlink"/>
                <w:rFonts w:ascii="Cambria" w:hAnsi="Cambria"/>
                <w:color w:val="auto"/>
              </w:rPr>
              <w:t>More</w:t>
            </w:r>
            <w:r w:rsidRPr="00A57806">
              <w:rPr>
                <w:rStyle w:val="Hyperlink"/>
                <w:rFonts w:ascii="Cambria" w:hAnsi="Cambria"/>
                <w:color w:val="auto"/>
              </w:rPr>
              <w:t xml:space="preserve"> information</w:t>
            </w:r>
            <w:bookmarkEnd w:id="34"/>
          </w:p>
          <w:p w14:paraId="023BE954" w14:textId="77777777" w:rsidR="00D018FD" w:rsidRDefault="004E0C92" w:rsidP="00D018FD">
            <w:pPr>
              <w:pStyle w:val="ListBullet"/>
              <w:numPr>
                <w:ilvl w:val="0"/>
                <w:numId w:val="2"/>
              </w:numPr>
              <w:spacing w:before="180"/>
            </w:pPr>
            <w:hyperlink r:id="rId24" w:history="1">
              <w:r w:rsidR="00D018FD" w:rsidRPr="00492BC1">
                <w:rPr>
                  <w:rStyle w:val="Hyperlink"/>
                </w:rPr>
                <w:t>Quality management and medical devices</w:t>
              </w:r>
            </w:hyperlink>
          </w:p>
          <w:p w14:paraId="4F72E57A" w14:textId="77777777" w:rsidR="00D018FD" w:rsidRDefault="004E0C92" w:rsidP="00D018FD">
            <w:pPr>
              <w:pStyle w:val="ListBullet"/>
              <w:numPr>
                <w:ilvl w:val="0"/>
                <w:numId w:val="2"/>
              </w:numPr>
              <w:spacing w:before="180"/>
            </w:pPr>
            <w:hyperlink r:id="rId25" w:history="1">
              <w:r w:rsidR="00D018FD" w:rsidRPr="00492BC1">
                <w:rPr>
                  <w:rStyle w:val="Hyperlink"/>
                </w:rPr>
                <w:t>Learn about quality management systems</w:t>
              </w:r>
            </w:hyperlink>
          </w:p>
          <w:p w14:paraId="05DA4860" w14:textId="77777777" w:rsidR="00D018FD" w:rsidRPr="00B40177" w:rsidRDefault="004E0C92" w:rsidP="00D018FD">
            <w:pPr>
              <w:pStyle w:val="ListBullet"/>
              <w:numPr>
                <w:ilvl w:val="0"/>
                <w:numId w:val="2"/>
              </w:numPr>
              <w:spacing w:before="180"/>
              <w:rPr>
                <w:rStyle w:val="Hyperlink"/>
                <w:color w:val="auto"/>
              </w:rPr>
            </w:pPr>
            <w:hyperlink r:id="rId26" w:history="1">
              <w:r w:rsidR="00D018FD" w:rsidRPr="00492BC1">
                <w:rPr>
                  <w:rStyle w:val="Hyperlink"/>
                </w:rPr>
                <w:t>Guidance on Therapeutic Goods (Conformity Assessment Standard for Quality Management Systems) Order 2019</w:t>
              </w:r>
            </w:hyperlink>
          </w:p>
          <w:p w14:paraId="22174732" w14:textId="77777777" w:rsidR="00D018FD" w:rsidRPr="00F965EC" w:rsidRDefault="00D018FD" w:rsidP="00D018FD">
            <w:pPr>
              <w:pStyle w:val="ListBullet"/>
              <w:numPr>
                <w:ilvl w:val="0"/>
                <w:numId w:val="2"/>
              </w:numPr>
              <w:spacing w:before="180"/>
            </w:pPr>
            <w:r w:rsidRPr="00A4608F">
              <w:t>The guidance document </w:t>
            </w:r>
            <w:hyperlink r:id="rId27" w:tooltip="Use of market authorisation evidence from comparable overseas regulators / assessment bodies for medical devices (including IVDs)" w:history="1">
              <w:r w:rsidRPr="00A4608F">
                <w:rPr>
                  <w:rStyle w:val="Hyperlink"/>
                </w:rPr>
                <w:t>Use of market authorisation evidence from comparable overseas regulators / assessment bodies for medical devices (including IVDs)</w:t>
              </w:r>
            </w:hyperlink>
            <w:r w:rsidRPr="00A4608F">
              <w:t> provides an overview of suitable regulatory evidence options.</w:t>
            </w:r>
          </w:p>
          <w:p w14:paraId="7213051B" w14:textId="77777777" w:rsidR="00D018FD" w:rsidRPr="00A57806" w:rsidRDefault="004E0C92" w:rsidP="00D018FD">
            <w:pPr>
              <w:pStyle w:val="ListBullet"/>
              <w:numPr>
                <w:ilvl w:val="0"/>
                <w:numId w:val="2"/>
              </w:numPr>
              <w:spacing w:before="180"/>
            </w:pPr>
            <w:hyperlink r:id="rId28" w:history="1">
              <w:r w:rsidR="00D018FD" w:rsidRPr="00C07E0F">
                <w:rPr>
                  <w:rStyle w:val="Hyperlink"/>
                  <w:i/>
                  <w:iCs/>
                </w:rPr>
                <w:t>Therapeutic Goods (Medical Devices—Information that Must Accompany Application for Inclusion) Determination 2018</w:t>
              </w:r>
            </w:hyperlink>
          </w:p>
        </w:tc>
      </w:tr>
    </w:tbl>
    <w:p w14:paraId="4AB2BB5C" w14:textId="77777777" w:rsidR="00D018FD" w:rsidRDefault="00D018FD" w:rsidP="00D018FD">
      <w:pPr>
        <w:pStyle w:val="Heading3"/>
      </w:pPr>
      <w:bookmarkStart w:id="35" w:name="_Toc179386511"/>
      <w:bookmarkStart w:id="36" w:name="_Toc179453309"/>
      <w:r w:rsidRPr="00431772">
        <w:t>How will changes effect manufacturers of class I devices using the Declaration of conformity (not requiring assessment by the Secretary) procedures?</w:t>
      </w:r>
      <w:bookmarkEnd w:id="35"/>
      <w:bookmarkEnd w:id="36"/>
      <w:r>
        <w:rPr>
          <w:rStyle w:val="cf01"/>
        </w:rPr>
        <w:t xml:space="preserve">  </w:t>
      </w:r>
    </w:p>
    <w:p w14:paraId="45CA9196" w14:textId="77777777" w:rsidR="00D018FD" w:rsidRDefault="00D018FD" w:rsidP="00D018FD">
      <w:pPr>
        <w:pStyle w:val="ListBullet"/>
        <w:numPr>
          <w:ilvl w:val="0"/>
          <w:numId w:val="0"/>
        </w:numPr>
      </w:pPr>
      <w:r>
        <w:t>Regardless of the conformity assessment procedure used, all manufacturers would need to ensure that:</w:t>
      </w:r>
    </w:p>
    <w:p w14:paraId="0740072E" w14:textId="77777777" w:rsidR="00D018FD" w:rsidRDefault="00D018FD" w:rsidP="00D018FD">
      <w:pPr>
        <w:pStyle w:val="ListBullet"/>
        <w:numPr>
          <w:ilvl w:val="0"/>
          <w:numId w:val="2"/>
        </w:numPr>
        <w:spacing w:before="180"/>
      </w:pPr>
      <w:r>
        <w:t xml:space="preserve">their devices comply with all applicable Essential Principles, and </w:t>
      </w:r>
    </w:p>
    <w:p w14:paraId="3E602177" w14:textId="77777777" w:rsidR="00D018FD" w:rsidRDefault="00D018FD" w:rsidP="00D018FD">
      <w:pPr>
        <w:pStyle w:val="ListBullet"/>
        <w:numPr>
          <w:ilvl w:val="0"/>
          <w:numId w:val="2"/>
        </w:numPr>
        <w:spacing w:before="180"/>
      </w:pPr>
      <w:r>
        <w:t xml:space="preserve">that they have sufficient evidence to show they comply by the end of any agreed </w:t>
      </w:r>
      <w:r w:rsidRPr="00636237">
        <w:t>transition timeframe.</w:t>
      </w:r>
    </w:p>
    <w:p w14:paraId="08F09D16" w14:textId="77777777" w:rsidR="00D018FD" w:rsidRDefault="00D018FD" w:rsidP="00D018FD">
      <w:r>
        <w:t>The Essential Principles do not depend on the class of a device. Manufacturers must decide which Essential Principles apply to their device based on the intended purpose they assign to the device.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58E03461" w14:textId="77777777" w:rsidTr="00DD36C5">
        <w:tc>
          <w:tcPr>
            <w:tcW w:w="1276" w:type="dxa"/>
            <w:vAlign w:val="center"/>
          </w:tcPr>
          <w:p w14:paraId="11C71A14" w14:textId="77777777" w:rsidR="00D018FD" w:rsidRPr="009401F6" w:rsidRDefault="00D018FD" w:rsidP="00DD36C5">
            <w:r w:rsidRPr="009401F6">
              <w:rPr>
                <w:noProof/>
                <w:lang w:eastAsia="en-AU"/>
              </w:rPr>
              <w:drawing>
                <wp:inline distT="0" distB="0" distL="0" distR="0" wp14:anchorId="74FC5310" wp14:editId="0F0B81A1">
                  <wp:extent cx="487681" cy="487681"/>
                  <wp:effectExtent l="19050" t="0" r="7619" b="0"/>
                  <wp:docPr id="14717458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E4036E0" w14:textId="77777777" w:rsidR="00D018FD" w:rsidRDefault="00D018FD" w:rsidP="00DD36C5">
            <w:pPr>
              <w:pStyle w:val="Heading4"/>
              <w:spacing w:before="0" w:after="0"/>
              <w:rPr>
                <w:rStyle w:val="Hyperlink"/>
                <w:rFonts w:ascii="Cambria" w:hAnsi="Cambria"/>
                <w:b/>
                <w:bCs w:val="0"/>
                <w:color w:val="auto"/>
                <w:sz w:val="22"/>
                <w:szCs w:val="22"/>
              </w:rPr>
            </w:pPr>
            <w:bookmarkStart w:id="37" w:name="_Toc179453310"/>
            <w:r>
              <w:rPr>
                <w:rStyle w:val="Hyperlink"/>
                <w:rFonts w:ascii="Cambria" w:hAnsi="Cambria"/>
                <w:color w:val="auto"/>
              </w:rPr>
              <w:t>Manufacturer evidence information</w:t>
            </w:r>
            <w:bookmarkEnd w:id="37"/>
          </w:p>
          <w:p w14:paraId="2085FF67" w14:textId="77777777" w:rsidR="00D018FD" w:rsidRDefault="004E0C92" w:rsidP="00D018FD">
            <w:pPr>
              <w:pStyle w:val="ListBullet"/>
              <w:numPr>
                <w:ilvl w:val="0"/>
                <w:numId w:val="2"/>
              </w:numPr>
              <w:spacing w:before="180"/>
            </w:pPr>
            <w:hyperlink r:id="rId29" w:history="1">
              <w:r w:rsidR="00D018FD">
                <w:rPr>
                  <w:rStyle w:val="Hyperlink"/>
                </w:rPr>
                <w:t>D</w:t>
              </w:r>
              <w:r w:rsidR="00D018FD" w:rsidRPr="008E3020">
                <w:rPr>
                  <w:rStyle w:val="Hyperlink"/>
                </w:rPr>
                <w:t>emonstrating compliance with the Essential Principles</w:t>
              </w:r>
            </w:hyperlink>
            <w:r w:rsidR="00D018FD">
              <w:t>.</w:t>
            </w:r>
          </w:p>
          <w:p w14:paraId="4FA3C598" w14:textId="77777777" w:rsidR="00D018FD" w:rsidRPr="00BC1624" w:rsidRDefault="00D018FD" w:rsidP="00DD36C5">
            <w:pPr>
              <w:pStyle w:val="NormalJR"/>
            </w:pPr>
            <w:r>
              <w:t xml:space="preserve">For extra information contact 1800 141 144 or </w:t>
            </w:r>
            <w:hyperlink r:id="rId30" w:history="1">
              <w:r w:rsidRPr="0095444C">
                <w:rPr>
                  <w:rStyle w:val="Hyperlink"/>
                </w:rPr>
                <w:t>devices@tga.gov.au</w:t>
              </w:r>
            </w:hyperlink>
            <w:r>
              <w:t xml:space="preserve">. </w:t>
            </w:r>
          </w:p>
        </w:tc>
      </w:tr>
    </w:tbl>
    <w:p w14:paraId="2C46571D" w14:textId="77777777" w:rsidR="00D018FD" w:rsidRDefault="00D018FD" w:rsidP="00D018FD">
      <w:pPr>
        <w:pStyle w:val="Heading3"/>
      </w:pPr>
      <w:bookmarkStart w:id="38" w:name="_How_will_these"/>
      <w:bookmarkStart w:id="39" w:name="_Hlk179308842"/>
      <w:bookmarkStart w:id="40" w:name="_Toc179386512"/>
      <w:bookmarkStart w:id="41" w:name="_Toc179453311"/>
      <w:bookmarkStart w:id="42" w:name="_Hlk179308571"/>
      <w:bookmarkEnd w:id="38"/>
      <w:r>
        <w:lastRenderedPageBreak/>
        <w:t>How will these changes effect expired manufacturer evidence in eBS</w:t>
      </w:r>
      <w:bookmarkEnd w:id="39"/>
      <w:r>
        <w:t>?</w:t>
      </w:r>
      <w:bookmarkEnd w:id="40"/>
      <w:bookmarkEnd w:id="41"/>
    </w:p>
    <w:bookmarkEnd w:id="42"/>
    <w:p w14:paraId="2188C044" w14:textId="77777777" w:rsidR="00D018FD" w:rsidRDefault="00D018FD" w:rsidP="00D018FD">
      <w:pPr>
        <w:keepNext/>
      </w:pPr>
      <w:r>
        <w:t>The proposed changes will not affect expired manufacturer evidence (ME). The requirements of manufacturers and sponsors remains unchanged if their ME expires.</w:t>
      </w:r>
      <w:r w:rsidDel="00CE4C6D">
        <w:t xml:space="preserve"> </w:t>
      </w:r>
      <w:r>
        <w:t>Sponsors must comply with the standard conditions of inclusion, of always having available:</w:t>
      </w:r>
    </w:p>
    <w:p w14:paraId="1644A42F" w14:textId="77777777" w:rsidR="00D018FD" w:rsidRPr="00244260" w:rsidRDefault="00D018FD" w:rsidP="00D018FD">
      <w:pPr>
        <w:pStyle w:val="ListBullet"/>
        <w:keepNext/>
        <w:numPr>
          <w:ilvl w:val="0"/>
          <w:numId w:val="2"/>
        </w:numPr>
        <w:spacing w:before="180"/>
      </w:pPr>
      <w:r>
        <w:t>sufficient information to show the manufacturer has applied the conformity assessment procedures to the kind of medical device.</w:t>
      </w:r>
    </w:p>
    <w:p w14:paraId="625B4A62" w14:textId="77777777" w:rsidR="00D018FD" w:rsidRDefault="00D018FD" w:rsidP="00D018FD">
      <w:pPr>
        <w:keepNext/>
      </w:pPr>
      <w:r>
        <w:t xml:space="preserve">Sponsor’s must </w:t>
      </w:r>
      <w:r>
        <w:rPr>
          <w:b/>
          <w:bCs/>
        </w:rPr>
        <w:t>tell</w:t>
      </w:r>
      <w:r w:rsidRPr="00405307">
        <w:rPr>
          <w:b/>
          <w:bCs/>
        </w:rPr>
        <w:t xml:space="preserve"> </w:t>
      </w:r>
      <w:r>
        <w:rPr>
          <w:b/>
          <w:bCs/>
        </w:rPr>
        <w:t>us</w:t>
      </w:r>
      <w:r w:rsidRPr="00405307">
        <w:rPr>
          <w:b/>
          <w:bCs/>
        </w:rPr>
        <w:t xml:space="preserve"> within 60</w:t>
      </w:r>
      <w:r>
        <w:t xml:space="preserve"> </w:t>
      </w:r>
      <w:r w:rsidRPr="00405307">
        <w:rPr>
          <w:b/>
          <w:bCs/>
        </w:rPr>
        <w:t>days</w:t>
      </w:r>
      <w:r>
        <w:t xml:space="preserve"> of becoming aware that the ME has either:</w:t>
      </w:r>
    </w:p>
    <w:p w14:paraId="63416AFD" w14:textId="77777777" w:rsidR="00D018FD" w:rsidRDefault="00D018FD" w:rsidP="00D018FD">
      <w:pPr>
        <w:pStyle w:val="ListBullet"/>
        <w:keepNext/>
        <w:numPr>
          <w:ilvl w:val="0"/>
          <w:numId w:val="2"/>
        </w:numPr>
        <w:spacing w:before="180"/>
      </w:pPr>
      <w:r>
        <w:t>lapsed</w:t>
      </w:r>
    </w:p>
    <w:p w14:paraId="5FB2607F" w14:textId="77777777" w:rsidR="00D018FD" w:rsidRDefault="00D018FD" w:rsidP="00D018FD">
      <w:pPr>
        <w:pStyle w:val="ListBullet"/>
        <w:keepNext/>
        <w:numPr>
          <w:ilvl w:val="0"/>
          <w:numId w:val="2"/>
        </w:numPr>
        <w:spacing w:before="180"/>
      </w:pPr>
      <w:r>
        <w:t>been revoked, suspended or cancelled.</w:t>
      </w:r>
    </w:p>
    <w:p w14:paraId="592CDA40" w14:textId="77777777" w:rsidR="00D018FD" w:rsidRDefault="00D018FD" w:rsidP="00D018FD">
      <w:r>
        <w:t xml:space="preserve">Sponsors can tell us </w:t>
      </w:r>
      <w:r w:rsidRPr="00AF1977">
        <w:t>us</w:t>
      </w:r>
      <w:r>
        <w:t xml:space="preserve">ing the form for </w:t>
      </w:r>
      <w:hyperlink r:id="rId31" w:history="1">
        <w:r>
          <w:rPr>
            <w:rStyle w:val="Hyperlink"/>
          </w:rPr>
          <w:t>l</w:t>
        </w:r>
        <w:r w:rsidRPr="004238E2">
          <w:rPr>
            <w:rStyle w:val="Hyperlink"/>
          </w:rPr>
          <w:t>apses in medical device conformity assessment certification</w:t>
        </w:r>
      </w:hyperlink>
      <w:r>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0154D7BF" w14:textId="77777777" w:rsidTr="00DD36C5">
        <w:tc>
          <w:tcPr>
            <w:tcW w:w="1276" w:type="dxa"/>
            <w:vAlign w:val="center"/>
          </w:tcPr>
          <w:p w14:paraId="28BDBB98" w14:textId="77777777" w:rsidR="00D018FD" w:rsidRPr="009401F6" w:rsidRDefault="00D018FD" w:rsidP="00DD36C5">
            <w:r w:rsidRPr="009401F6">
              <w:rPr>
                <w:noProof/>
                <w:lang w:eastAsia="en-AU"/>
              </w:rPr>
              <w:drawing>
                <wp:inline distT="0" distB="0" distL="0" distR="0" wp14:anchorId="4778B7DB" wp14:editId="7D323980">
                  <wp:extent cx="487681" cy="487681"/>
                  <wp:effectExtent l="19050" t="0" r="7619" b="0"/>
                  <wp:docPr id="52934222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1D270BE" w14:textId="77777777" w:rsidR="00D018FD" w:rsidRDefault="00D018FD" w:rsidP="00DD36C5">
            <w:pPr>
              <w:pStyle w:val="Heading4"/>
              <w:spacing w:before="0" w:after="0"/>
              <w:rPr>
                <w:rStyle w:val="Hyperlink"/>
                <w:rFonts w:ascii="Cambria" w:hAnsi="Cambria"/>
                <w:b/>
                <w:bCs w:val="0"/>
                <w:color w:val="auto"/>
                <w:sz w:val="22"/>
                <w:szCs w:val="22"/>
              </w:rPr>
            </w:pPr>
            <w:bookmarkStart w:id="43" w:name="_Manufacturer_evidence_information"/>
            <w:bookmarkStart w:id="44" w:name="_Information_on_manufacturers’"/>
            <w:bookmarkStart w:id="45" w:name="_Toc179453312"/>
            <w:bookmarkEnd w:id="43"/>
            <w:bookmarkEnd w:id="44"/>
            <w:r>
              <w:rPr>
                <w:rStyle w:val="Hyperlink"/>
                <w:rFonts w:ascii="Cambria" w:hAnsi="Cambria"/>
                <w:color w:val="auto"/>
              </w:rPr>
              <w:t>Information on manufacturer evidence</w:t>
            </w:r>
            <w:bookmarkEnd w:id="45"/>
          </w:p>
          <w:p w14:paraId="513BD72E" w14:textId="77777777" w:rsidR="00D018FD" w:rsidRDefault="004E0C92" w:rsidP="00D018FD">
            <w:pPr>
              <w:pStyle w:val="ListBullet"/>
              <w:numPr>
                <w:ilvl w:val="0"/>
                <w:numId w:val="2"/>
              </w:numPr>
              <w:spacing w:before="180"/>
            </w:pPr>
            <w:hyperlink r:id="rId32" w:history="1">
              <w:r w:rsidR="00D018FD" w:rsidRPr="00E14D5C">
                <w:rPr>
                  <w:rStyle w:val="Hyperlink"/>
                </w:rPr>
                <w:t>Completing a notification form for lapses in medical device conformity assessment certification</w:t>
              </w:r>
            </w:hyperlink>
            <w:r w:rsidR="00D018FD" w:rsidRPr="00E14D5C" w:rsidDel="00E14D5C">
              <w:t xml:space="preserve"> </w:t>
            </w:r>
          </w:p>
          <w:p w14:paraId="7FBAD55A" w14:textId="77777777" w:rsidR="00D018FD" w:rsidRPr="003F769C" w:rsidRDefault="004E0C92" w:rsidP="00D018FD">
            <w:pPr>
              <w:pStyle w:val="ListBullet"/>
              <w:numPr>
                <w:ilvl w:val="0"/>
                <w:numId w:val="2"/>
              </w:numPr>
              <w:spacing w:before="180"/>
              <w:rPr>
                <w:rStyle w:val="Hyperlink"/>
                <w:color w:val="auto"/>
              </w:rPr>
            </w:pPr>
            <w:hyperlink r:id="rId33" w:history="1">
              <w:r w:rsidR="00D018FD" w:rsidRPr="00CE4C6D">
                <w:rPr>
                  <w:rStyle w:val="Hyperlink"/>
                </w:rPr>
                <w:t>Conformity assessment, Essential Principles and consent to supply</w:t>
              </w:r>
            </w:hyperlink>
          </w:p>
          <w:p w14:paraId="3D97CF23" w14:textId="77777777" w:rsidR="00D018FD" w:rsidRDefault="004E0C92" w:rsidP="00D018FD">
            <w:pPr>
              <w:pStyle w:val="ListBullet"/>
              <w:numPr>
                <w:ilvl w:val="0"/>
                <w:numId w:val="2"/>
              </w:numPr>
              <w:spacing w:before="180"/>
            </w:pPr>
            <w:hyperlink r:id="rId34" w:history="1">
              <w:r w:rsidR="00D018FD">
                <w:rPr>
                  <w:rStyle w:val="Hyperlink"/>
                </w:rPr>
                <w:t>Transition to new manufacturer evidence for IVD medical devices</w:t>
              </w:r>
            </w:hyperlink>
            <w:r w:rsidR="00D018FD">
              <w:rPr>
                <w:rStyle w:val="Hyperlink"/>
              </w:rPr>
              <w:t xml:space="preserve"> (pdf)</w:t>
            </w:r>
            <w:hyperlink r:id="rId35" w:history="1"/>
          </w:p>
          <w:p w14:paraId="03F24BDC" w14:textId="77777777" w:rsidR="00D018FD" w:rsidRPr="00BC1624" w:rsidRDefault="00D018FD" w:rsidP="00DD36C5">
            <w:pPr>
              <w:pStyle w:val="NormalJR"/>
            </w:pPr>
            <w:r>
              <w:t xml:space="preserve">For more information contact 1800 141 144 or </w:t>
            </w:r>
            <w:hyperlink r:id="rId36" w:history="1">
              <w:r w:rsidRPr="0095444C">
                <w:rPr>
                  <w:rStyle w:val="Hyperlink"/>
                </w:rPr>
                <w:t>devices@tga.gov.au</w:t>
              </w:r>
            </w:hyperlink>
            <w:r>
              <w:t xml:space="preserve">. </w:t>
            </w:r>
          </w:p>
        </w:tc>
      </w:tr>
    </w:tbl>
    <w:p w14:paraId="2EE55CEE" w14:textId="77777777" w:rsidR="00D018FD" w:rsidRDefault="00D018FD" w:rsidP="00D018FD">
      <w:pPr>
        <w:pStyle w:val="Heading3"/>
      </w:pPr>
      <w:bookmarkStart w:id="46" w:name="_Toc179386513"/>
      <w:bookmarkStart w:id="47" w:name="_Toc179453313"/>
      <w:r>
        <w:t>Can you give the dental industry a guide to the Essential Principles?</w:t>
      </w:r>
      <w:bookmarkEnd w:id="46"/>
      <w:bookmarkEnd w:id="47"/>
    </w:p>
    <w:p w14:paraId="302AE630" w14:textId="77777777" w:rsidR="00D018FD" w:rsidRDefault="00D018FD" w:rsidP="00D018FD">
      <w:r>
        <w:t>We will amend our guidance following any approved changes to the Essential Principles. W</w:t>
      </w:r>
      <w:r w:rsidRPr="00AE3ABD">
        <w:t>e will consider if certain industry sectors, such as the dental industry, would benefit from targeted guidance.</w:t>
      </w:r>
    </w:p>
    <w:p w14:paraId="78CD889A" w14:textId="77777777" w:rsidR="00D018FD" w:rsidRDefault="00D018FD" w:rsidP="00D018FD">
      <w:r>
        <w:t xml:space="preserve">Your need to include dental products and equipment in the Register when it meets the definition of a medical device. Such devices must comply with all applicable Essential Principles, unless exempt, authorised, or approved.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6194E7E0" w14:textId="77777777" w:rsidTr="00DD36C5">
        <w:tc>
          <w:tcPr>
            <w:tcW w:w="1276" w:type="dxa"/>
            <w:vAlign w:val="center"/>
          </w:tcPr>
          <w:p w14:paraId="7FFE773C" w14:textId="77777777" w:rsidR="00D018FD" w:rsidRPr="009401F6" w:rsidRDefault="00D018FD" w:rsidP="00DD36C5">
            <w:r w:rsidRPr="009401F6">
              <w:rPr>
                <w:noProof/>
                <w:lang w:eastAsia="en-AU"/>
              </w:rPr>
              <w:drawing>
                <wp:inline distT="0" distB="0" distL="0" distR="0" wp14:anchorId="0AD4E7C1" wp14:editId="24CB7B28">
                  <wp:extent cx="487681" cy="487681"/>
                  <wp:effectExtent l="19050" t="0" r="7619" b="0"/>
                  <wp:docPr id="19057574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03147FC" w14:textId="77777777" w:rsidR="00D018FD" w:rsidRDefault="00D018FD" w:rsidP="00DD36C5">
            <w:pPr>
              <w:pStyle w:val="Heading4"/>
              <w:spacing w:before="0" w:after="0"/>
              <w:rPr>
                <w:rStyle w:val="Hyperlink"/>
                <w:rFonts w:ascii="Cambria" w:hAnsi="Cambria"/>
                <w:b/>
                <w:bCs w:val="0"/>
                <w:color w:val="auto"/>
                <w:sz w:val="22"/>
                <w:szCs w:val="22"/>
              </w:rPr>
            </w:pPr>
            <w:bookmarkStart w:id="48" w:name="_Toc179453314"/>
            <w:r>
              <w:rPr>
                <w:rStyle w:val="Hyperlink"/>
                <w:rFonts w:ascii="Cambria" w:hAnsi="Cambria"/>
                <w:color w:val="auto"/>
              </w:rPr>
              <w:t>Dental devices</w:t>
            </w:r>
            <w:bookmarkEnd w:id="48"/>
          </w:p>
          <w:p w14:paraId="5DA36CE1" w14:textId="77777777" w:rsidR="00D018FD" w:rsidRPr="00BC1624" w:rsidRDefault="004E0C92" w:rsidP="00D018FD">
            <w:pPr>
              <w:pStyle w:val="ListBullet"/>
              <w:numPr>
                <w:ilvl w:val="0"/>
                <w:numId w:val="2"/>
              </w:numPr>
              <w:spacing w:before="180"/>
            </w:pPr>
            <w:hyperlink r:id="rId37" w:history="1">
              <w:r w:rsidR="00D018FD" w:rsidRPr="00FD6B0A">
                <w:rPr>
                  <w:rStyle w:val="Hyperlink"/>
                </w:rPr>
                <w:t>Guidance for dental practitioners</w:t>
              </w:r>
            </w:hyperlink>
          </w:p>
        </w:tc>
      </w:tr>
    </w:tbl>
    <w:p w14:paraId="28906B0C" w14:textId="77777777" w:rsidR="00D018FD" w:rsidRDefault="00D018FD" w:rsidP="00D018FD">
      <w:pPr>
        <w:pStyle w:val="Heading3"/>
      </w:pPr>
      <w:bookmarkStart w:id="49" w:name="_Toc179386514"/>
      <w:bookmarkStart w:id="50" w:name="_Toc179453315"/>
      <w:r>
        <w:lastRenderedPageBreak/>
        <w:t>Will there be supply interruptions because of the proposed changes?</w:t>
      </w:r>
      <w:bookmarkEnd w:id="49"/>
      <w:bookmarkEnd w:id="50"/>
    </w:p>
    <w:p w14:paraId="476769B3" w14:textId="77777777" w:rsidR="00D018FD" w:rsidRDefault="00D018FD" w:rsidP="00D018FD">
      <w:pPr>
        <w:keepNext/>
      </w:pPr>
      <w:r>
        <w:t>We do not expect that the proposed changes to the Essential Principles would lead to any supply disruptions. However, we welcome your feedback if you have concerns that the proposed changes may interrupt the supply of your device.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25E8018B" w14:textId="77777777" w:rsidTr="00DD36C5">
        <w:tc>
          <w:tcPr>
            <w:tcW w:w="1276" w:type="dxa"/>
            <w:vAlign w:val="center"/>
          </w:tcPr>
          <w:p w14:paraId="654ED6A9" w14:textId="77777777" w:rsidR="00D018FD" w:rsidRPr="009401F6" w:rsidRDefault="00D018FD" w:rsidP="00DD36C5">
            <w:r w:rsidRPr="009401F6">
              <w:rPr>
                <w:noProof/>
                <w:lang w:eastAsia="en-AU"/>
              </w:rPr>
              <w:drawing>
                <wp:inline distT="0" distB="0" distL="0" distR="0" wp14:anchorId="2D406F2B" wp14:editId="1BF5A2F5">
                  <wp:extent cx="487681" cy="487681"/>
                  <wp:effectExtent l="19050" t="0" r="7619" b="0"/>
                  <wp:docPr id="202494656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C8DFB0C" w14:textId="77777777" w:rsidR="00D018FD" w:rsidRDefault="00D018FD" w:rsidP="00DD36C5">
            <w:pPr>
              <w:pStyle w:val="Heading4"/>
              <w:spacing w:before="0" w:after="0"/>
              <w:rPr>
                <w:rStyle w:val="Hyperlink"/>
                <w:rFonts w:ascii="Cambria" w:hAnsi="Cambria"/>
                <w:b/>
                <w:bCs w:val="0"/>
                <w:color w:val="auto"/>
                <w:sz w:val="22"/>
                <w:szCs w:val="22"/>
              </w:rPr>
            </w:pPr>
            <w:bookmarkStart w:id="51" w:name="_Toc179453316"/>
            <w:r>
              <w:rPr>
                <w:rStyle w:val="Hyperlink"/>
                <w:rFonts w:ascii="Cambria" w:hAnsi="Cambria"/>
                <w:color w:val="auto"/>
              </w:rPr>
              <w:t>Supply of devices in Australia</w:t>
            </w:r>
            <w:bookmarkEnd w:id="51"/>
          </w:p>
          <w:p w14:paraId="0DE4B32F" w14:textId="77777777" w:rsidR="00D018FD" w:rsidRDefault="00D018FD" w:rsidP="00D018FD">
            <w:pPr>
              <w:pStyle w:val="ListBullet"/>
              <w:numPr>
                <w:ilvl w:val="0"/>
                <w:numId w:val="2"/>
              </w:numPr>
              <w:spacing w:before="180"/>
            </w:pPr>
            <w:r>
              <w:t xml:space="preserve">EU MDR transition: </w:t>
            </w:r>
            <w:hyperlink r:id="rId38" w:history="1">
              <w:r w:rsidRPr="008E6C15">
                <w:rPr>
                  <w:rStyle w:val="Hyperlink"/>
                </w:rPr>
                <w:t>Overview and management under the Australian regulatory framework</w:t>
              </w:r>
            </w:hyperlink>
          </w:p>
          <w:p w14:paraId="19BAD1EA" w14:textId="77777777" w:rsidR="00D018FD" w:rsidRDefault="004E0C92" w:rsidP="00D018FD">
            <w:pPr>
              <w:pStyle w:val="ListBullet"/>
              <w:numPr>
                <w:ilvl w:val="0"/>
                <w:numId w:val="2"/>
              </w:numPr>
              <w:spacing w:before="180"/>
            </w:pPr>
            <w:hyperlink r:id="rId39" w:history="1">
              <w:r w:rsidR="00D018FD" w:rsidRPr="008E6C15">
                <w:rPr>
                  <w:rStyle w:val="Hyperlink"/>
                </w:rPr>
                <w:t>Steps to supply for device manufacturers</w:t>
              </w:r>
            </w:hyperlink>
          </w:p>
          <w:p w14:paraId="2F13CE8F" w14:textId="77777777" w:rsidR="00D018FD" w:rsidRPr="00BC1624" w:rsidRDefault="004E0C92" w:rsidP="00D018FD">
            <w:pPr>
              <w:pStyle w:val="ListBullet"/>
              <w:numPr>
                <w:ilvl w:val="0"/>
                <w:numId w:val="2"/>
              </w:numPr>
              <w:spacing w:before="180"/>
            </w:pPr>
            <w:hyperlink r:id="rId40" w:history="1">
              <w:r w:rsidR="00D018FD" w:rsidRPr="00B2689B">
                <w:rPr>
                  <w:rStyle w:val="Hyperlink"/>
                </w:rPr>
                <w:t>Steps to supply for device sponsors</w:t>
              </w:r>
            </w:hyperlink>
          </w:p>
        </w:tc>
      </w:tr>
    </w:tbl>
    <w:p w14:paraId="508FF0CF" w14:textId="77777777" w:rsidR="00D018FD" w:rsidRDefault="00D018FD" w:rsidP="00D018FD">
      <w:pPr>
        <w:pStyle w:val="Heading3"/>
      </w:pPr>
      <w:bookmarkStart w:id="52" w:name="_Toc179386515"/>
      <w:bookmarkStart w:id="53" w:name="_Toc179453317"/>
      <w:r>
        <w:t>How will you manage compliance when implementing regulatory changes?</w:t>
      </w:r>
      <w:bookmarkEnd w:id="52"/>
      <w:bookmarkEnd w:id="53"/>
    </w:p>
    <w:p w14:paraId="3D1621B2" w14:textId="77777777" w:rsidR="00D018FD" w:rsidRDefault="00D018FD" w:rsidP="00D018FD">
      <w:r>
        <w:t xml:space="preserve">We do not have plans to initiate a notification scheme for manufacturers to confirm compliance to any amended Essential Principles. </w:t>
      </w:r>
    </w:p>
    <w:p w14:paraId="1517841B" w14:textId="77777777" w:rsidR="00D018FD" w:rsidRDefault="00D018FD" w:rsidP="00D018FD">
      <w:r>
        <w:t xml:space="preserve">We expect you to comply with any amended Essential Principles after the end of any transition period. Sponsors must be able to give evidence of compliance when requested. For example, when we conduct post market reviews or investigations following adverse events. </w:t>
      </w:r>
    </w:p>
    <w:p w14:paraId="4233BC80" w14:textId="77777777" w:rsidR="00D018FD" w:rsidRDefault="00D018FD" w:rsidP="00D018FD">
      <w:pPr>
        <w:pStyle w:val="Heading2"/>
      </w:pPr>
      <w:bookmarkStart w:id="54" w:name="_Toc179386516"/>
      <w:bookmarkStart w:id="55" w:name="_Toc179453318"/>
      <w:r>
        <w:t>Specific EP changes</w:t>
      </w:r>
      <w:bookmarkEnd w:id="54"/>
      <w:bookmarkEnd w:id="55"/>
    </w:p>
    <w:p w14:paraId="55D35949" w14:textId="77777777" w:rsidR="00D018FD" w:rsidRDefault="00D018FD" w:rsidP="00D018FD">
      <w:pPr>
        <w:pStyle w:val="Heading3"/>
      </w:pPr>
      <w:bookmarkStart w:id="56" w:name="_Applying_EP_consultation"/>
      <w:bookmarkStart w:id="57" w:name="_How_do_the"/>
      <w:bookmarkStart w:id="58" w:name="_Toc179386517"/>
      <w:bookmarkStart w:id="59" w:name="_Toc179453319"/>
      <w:bookmarkEnd w:id="56"/>
      <w:bookmarkEnd w:id="57"/>
      <w:r>
        <w:t>How do the EP consultation proposals effect the different types of devices?</w:t>
      </w:r>
      <w:bookmarkEnd w:id="58"/>
      <w:bookmarkEnd w:id="59"/>
    </w:p>
    <w:p w14:paraId="281516BE" w14:textId="77777777" w:rsidR="00D018FD" w:rsidRDefault="00D018FD" w:rsidP="00D018FD">
      <w:r>
        <w:t xml:space="preserve">The effect of the proposed changes will depend on how the Essential Principles apply to the intended purpose of each device. The Essential Principles </w:t>
      </w:r>
      <w:r w:rsidRPr="0001674A">
        <w:t>appl</w:t>
      </w:r>
      <w:r>
        <w:t>y</w:t>
      </w:r>
      <w:r w:rsidRPr="0001674A">
        <w:t xml:space="preserve"> to all medical devices, regardless of classification. </w:t>
      </w:r>
      <w:r>
        <w:t xml:space="preserve">All manufacturers must comply with the </w:t>
      </w:r>
      <w:r w:rsidRPr="00B2689B">
        <w:rPr>
          <w:b/>
          <w:bCs/>
        </w:rPr>
        <w:t>applicable</w:t>
      </w:r>
      <w:r>
        <w:t xml:space="preserve"> Essential Principles based on the intended purpose assigned to the device by the manufacturer.</w:t>
      </w:r>
    </w:p>
    <w:p w14:paraId="4C164CF7" w14:textId="77777777" w:rsidR="00D018FD" w:rsidRDefault="00D018FD" w:rsidP="00D018FD">
      <w:r>
        <w:t>In the consultation we have used the terms below to help sponsors and manufacturers find proposals that may be applicable to their devices. We describe the intent of the terms below:</w:t>
      </w:r>
    </w:p>
    <w:p w14:paraId="0E9386AF" w14:textId="77777777" w:rsidR="00D018FD" w:rsidRDefault="00D018FD" w:rsidP="00D018FD">
      <w:pPr>
        <w:pStyle w:val="ListBullet"/>
        <w:numPr>
          <w:ilvl w:val="0"/>
          <w:numId w:val="2"/>
        </w:numPr>
        <w:spacing w:before="180"/>
      </w:pPr>
      <w:r w:rsidRPr="007D5D5D">
        <w:rPr>
          <w:b/>
          <w:bCs/>
        </w:rPr>
        <w:t xml:space="preserve">All devices: </w:t>
      </w:r>
      <w:r w:rsidRPr="000D0FDB">
        <w:t>for</w:t>
      </w:r>
      <w:r>
        <w:t xml:space="preserve"> proposals that </w:t>
      </w:r>
      <w:r w:rsidRPr="00B2689B">
        <w:rPr>
          <w:b/>
          <w:bCs/>
        </w:rPr>
        <w:t>may</w:t>
      </w:r>
      <w:r>
        <w:t xml:space="preserve"> be applicable to </w:t>
      </w:r>
      <w:r w:rsidRPr="00B2689B">
        <w:rPr>
          <w:b/>
          <w:bCs/>
        </w:rPr>
        <w:t>both</w:t>
      </w:r>
      <w:r>
        <w:t xml:space="preserve"> IVD devices and non-IVD devices.</w:t>
      </w:r>
    </w:p>
    <w:p w14:paraId="4CA2B114" w14:textId="77777777" w:rsidR="00D018FD" w:rsidRDefault="00D018FD" w:rsidP="00D018FD">
      <w:pPr>
        <w:pStyle w:val="ListBullet"/>
        <w:numPr>
          <w:ilvl w:val="0"/>
          <w:numId w:val="2"/>
        </w:numPr>
        <w:spacing w:before="180"/>
      </w:pPr>
      <w:r w:rsidRPr="007D5D5D">
        <w:rPr>
          <w:b/>
          <w:bCs/>
        </w:rPr>
        <w:t>All IVD devices:</w:t>
      </w:r>
      <w:r>
        <w:t xml:space="preserve"> </w:t>
      </w:r>
      <w:r w:rsidRPr="000D0FDB">
        <w:t>for</w:t>
      </w:r>
      <w:r>
        <w:t xml:space="preserve"> proposals that </w:t>
      </w:r>
      <w:r w:rsidRPr="00B2689B">
        <w:rPr>
          <w:b/>
          <w:bCs/>
        </w:rPr>
        <w:t>may</w:t>
      </w:r>
      <w:r>
        <w:t xml:space="preserve"> be applicable to </w:t>
      </w:r>
      <w:r w:rsidRPr="00B2689B">
        <w:rPr>
          <w:b/>
          <w:bCs/>
        </w:rPr>
        <w:t>IVD devices only</w:t>
      </w:r>
      <w:r w:rsidRPr="002A5597">
        <w:t xml:space="preserve">, </w:t>
      </w:r>
      <w:r>
        <w:t>so</w:t>
      </w:r>
      <w:r>
        <w:rPr>
          <w:b/>
          <w:bCs/>
        </w:rPr>
        <w:t xml:space="preserve"> </w:t>
      </w:r>
      <w:r>
        <w:t>not applicable to non-IVD devices.</w:t>
      </w:r>
    </w:p>
    <w:p w14:paraId="18702D60" w14:textId="77777777" w:rsidR="00D018FD" w:rsidRDefault="00D018FD" w:rsidP="00D018FD">
      <w:pPr>
        <w:pStyle w:val="ListBullet"/>
        <w:numPr>
          <w:ilvl w:val="0"/>
          <w:numId w:val="2"/>
        </w:numPr>
        <w:spacing w:before="180"/>
      </w:pPr>
      <w:r w:rsidRPr="007D5D5D">
        <w:rPr>
          <w:b/>
          <w:bCs/>
        </w:rPr>
        <w:t>All non-IVD devices:</w:t>
      </w:r>
      <w:r>
        <w:t xml:space="preserve"> </w:t>
      </w:r>
      <w:r w:rsidRPr="000D0FDB">
        <w:t>for</w:t>
      </w:r>
      <w:r>
        <w:t xml:space="preserve"> proposals that </w:t>
      </w:r>
      <w:r w:rsidRPr="00B2689B">
        <w:rPr>
          <w:b/>
          <w:bCs/>
        </w:rPr>
        <w:t>may</w:t>
      </w:r>
      <w:r>
        <w:t xml:space="preserve"> be applicable to </w:t>
      </w:r>
      <w:r w:rsidRPr="00B2689B">
        <w:rPr>
          <w:b/>
          <w:bCs/>
        </w:rPr>
        <w:t>non-IVD devices only</w:t>
      </w:r>
      <w:r>
        <w:t>, so not applicable to IVD devices.</w:t>
      </w:r>
    </w:p>
    <w:p w14:paraId="22897EF0" w14:textId="77777777" w:rsidR="00D018FD" w:rsidRDefault="00D018FD" w:rsidP="00D018FD">
      <w:pPr>
        <w:pStyle w:val="Heading3"/>
      </w:pPr>
      <w:bookmarkStart w:id="60" w:name="_Toc179386518"/>
      <w:bookmarkStart w:id="61" w:name="_Toc179453320"/>
      <w:r>
        <w:lastRenderedPageBreak/>
        <w:t>What are the number of proposed new EP and Australian-specific EP?</w:t>
      </w:r>
      <w:bookmarkEnd w:id="60"/>
      <w:bookmarkEnd w:id="61"/>
    </w:p>
    <w:p w14:paraId="0FD78678" w14:textId="77777777" w:rsidR="00D018FD" w:rsidRDefault="00D018FD" w:rsidP="00D018FD">
      <w:pPr>
        <w:pStyle w:val="Heading4"/>
      </w:pPr>
      <w:bookmarkStart w:id="62" w:name="_Toc179453321"/>
      <w:r>
        <w:t>New EP (not AUS-specific)</w:t>
      </w:r>
      <w:bookmarkEnd w:id="62"/>
    </w:p>
    <w:p w14:paraId="5A4E75CB" w14:textId="77777777" w:rsidR="00D018FD" w:rsidRDefault="00D018FD" w:rsidP="00D018FD">
      <w:r>
        <w:t>There are around 100 new EP clauses:</w:t>
      </w:r>
    </w:p>
    <w:p w14:paraId="0F09E289" w14:textId="77777777" w:rsidR="00D018FD" w:rsidRDefault="00D018FD" w:rsidP="00D018FD">
      <w:pPr>
        <w:pStyle w:val="ListBullet"/>
        <w:numPr>
          <w:ilvl w:val="0"/>
          <w:numId w:val="2"/>
        </w:numPr>
        <w:spacing w:before="180"/>
      </w:pPr>
      <w:r>
        <w:t>Approximately 50 (excluding EP 13)</w:t>
      </w:r>
    </w:p>
    <w:p w14:paraId="094469EE" w14:textId="77777777" w:rsidR="00D018FD" w:rsidRDefault="00D018FD" w:rsidP="00D018FD">
      <w:pPr>
        <w:pStyle w:val="ListBullet"/>
        <w:numPr>
          <w:ilvl w:val="0"/>
          <w:numId w:val="2"/>
        </w:numPr>
        <w:spacing w:before="180"/>
      </w:pPr>
      <w:r>
        <w:t xml:space="preserve">Approximately 50 (EP 13) </w:t>
      </w:r>
    </w:p>
    <w:p w14:paraId="20A07FDE" w14:textId="77777777" w:rsidR="00D018FD" w:rsidRDefault="00D018FD" w:rsidP="00D018FD">
      <w:r>
        <w:t>The total number of individual sub-clauses in the Essential Principles (excluding EP 13) is approximately 162.</w:t>
      </w:r>
    </w:p>
    <w:p w14:paraId="48562829" w14:textId="77777777" w:rsidR="00D018FD" w:rsidRDefault="00D018FD" w:rsidP="00D018FD">
      <w:r>
        <w:t xml:space="preserve">EP 13 has the highest number of </w:t>
      </w:r>
      <w:r w:rsidRPr="000302CC">
        <w:rPr>
          <w:b/>
          <w:bCs/>
        </w:rPr>
        <w:t>new</w:t>
      </w:r>
      <w:r>
        <w:t xml:space="preserve"> clauses proposed but also contains the approximately 125 individual sub-clauses.</w:t>
      </w:r>
    </w:p>
    <w:p w14:paraId="2C4F95CC" w14:textId="77777777" w:rsidR="00D018FD" w:rsidRDefault="00D018FD" w:rsidP="00D018FD">
      <w:pPr>
        <w:pStyle w:val="Heading4"/>
      </w:pPr>
      <w:bookmarkStart w:id="63" w:name="_Toc179453322"/>
      <w:r>
        <w:t>AUS-specific proposals</w:t>
      </w:r>
      <w:bookmarkEnd w:id="63"/>
    </w:p>
    <w:p w14:paraId="043271FA" w14:textId="77777777" w:rsidR="00D018FD" w:rsidRDefault="00D018FD" w:rsidP="00D018FD">
      <w:pPr>
        <w:keepNext/>
      </w:pPr>
      <w:r>
        <w:t xml:space="preserve">There are nine AUS-specific proposals in the consultation: </w:t>
      </w:r>
    </w:p>
    <w:p w14:paraId="1E4B4682" w14:textId="77777777" w:rsidR="00D018FD" w:rsidRDefault="00D018FD" w:rsidP="00D018FD">
      <w:pPr>
        <w:pStyle w:val="ListParagraph"/>
        <w:numPr>
          <w:ilvl w:val="0"/>
          <w:numId w:val="18"/>
        </w:numPr>
        <w:spacing w:before="180"/>
      </w:pPr>
      <w:r>
        <w:t>3 are new proposals (EP 13.1 and EP 15)</w:t>
      </w:r>
    </w:p>
    <w:p w14:paraId="48DCB607" w14:textId="77777777" w:rsidR="00D018FD" w:rsidRDefault="00D018FD" w:rsidP="00D018FD">
      <w:pPr>
        <w:pStyle w:val="ListParagraph"/>
        <w:numPr>
          <w:ilvl w:val="0"/>
          <w:numId w:val="18"/>
        </w:numPr>
        <w:spacing w:before="180"/>
      </w:pPr>
      <w:r>
        <w:t>6 clarify existing requirements (EP 11)</w:t>
      </w:r>
    </w:p>
    <w:p w14:paraId="56400B59" w14:textId="77777777" w:rsidR="00D018FD" w:rsidRDefault="00D018FD" w:rsidP="00D018FD">
      <w:pPr>
        <w:pStyle w:val="Heading3"/>
      </w:pPr>
      <w:bookmarkStart w:id="64" w:name="_Toc179386519"/>
      <w:bookmarkStart w:id="65" w:name="_Toc179453323"/>
      <w:r>
        <w:t>In EP 8, to what does “specific microbial state” refer?</w:t>
      </w:r>
      <w:bookmarkEnd w:id="64"/>
      <w:bookmarkEnd w:id="65"/>
      <w:r>
        <w:t xml:space="preserve"> </w:t>
      </w:r>
    </w:p>
    <w:p w14:paraId="7200493E" w14:textId="77777777" w:rsidR="00D018FD" w:rsidRDefault="00D018FD" w:rsidP="00D018FD">
      <w:r>
        <w:t>The</w:t>
      </w:r>
      <w:r w:rsidRPr="00CF7D0C">
        <w:t xml:space="preserve"> term “specific microbial state” </w:t>
      </w:r>
      <w:r>
        <w:t>could refer to a state:</w:t>
      </w:r>
    </w:p>
    <w:p w14:paraId="1006CFA7" w14:textId="77777777" w:rsidR="00D018FD" w:rsidRDefault="00D018FD" w:rsidP="00D018FD">
      <w:pPr>
        <w:pStyle w:val="ListBullet"/>
        <w:numPr>
          <w:ilvl w:val="0"/>
          <w:numId w:val="2"/>
        </w:numPr>
        <w:spacing w:before="180"/>
      </w:pPr>
      <w:r>
        <w:t xml:space="preserve">in which a device is designed to have a </w:t>
      </w:r>
      <w:r w:rsidRPr="00CF7D0C">
        <w:rPr>
          <w:b/>
          <w:bCs/>
        </w:rPr>
        <w:t xml:space="preserve">specific </w:t>
      </w:r>
      <w:r>
        <w:rPr>
          <w:b/>
          <w:bCs/>
        </w:rPr>
        <w:t>limit</w:t>
      </w:r>
      <w:r w:rsidRPr="00CF7D0C">
        <w:rPr>
          <w:b/>
          <w:bCs/>
        </w:rPr>
        <w:t xml:space="preserve"> of microbial contamination</w:t>
      </w:r>
      <w:r>
        <w:rPr>
          <w:b/>
          <w:bCs/>
        </w:rPr>
        <w:t xml:space="preserve">. </w:t>
      </w:r>
      <w:r>
        <w:t xml:space="preserve"> Specifications could be used to control and monitor the contamination to ensure safe and effective performance of a device </w:t>
      </w:r>
    </w:p>
    <w:p w14:paraId="70590485" w14:textId="77777777" w:rsidR="00D018FD" w:rsidRDefault="00D018FD" w:rsidP="00D018FD">
      <w:pPr>
        <w:pStyle w:val="ListBullet"/>
        <w:numPr>
          <w:ilvl w:val="0"/>
          <w:numId w:val="2"/>
        </w:numPr>
        <w:spacing w:before="180"/>
      </w:pPr>
      <w:r>
        <w:t xml:space="preserve">other than sterility, such as devices with a </w:t>
      </w:r>
      <w:r w:rsidRPr="00CF7D0C">
        <w:rPr>
          <w:b/>
          <w:bCs/>
        </w:rPr>
        <w:t>specified level of cleanliness</w:t>
      </w:r>
      <w:r>
        <w:t>, as disinfected, or with no particular microorganisms.</w:t>
      </w:r>
    </w:p>
    <w:p w14:paraId="220F4DC4" w14:textId="77777777" w:rsidR="00D018FD" w:rsidRPr="00974E9C" w:rsidRDefault="00D018FD" w:rsidP="00D018FD">
      <w:pPr>
        <w:pStyle w:val="NormalJR"/>
      </w:pPr>
      <w:r>
        <w:t>As with all EP, t</w:t>
      </w:r>
      <w:r w:rsidRPr="00974E9C">
        <w:t xml:space="preserve">he applicability would </w:t>
      </w:r>
      <w:r>
        <w:t>depend</w:t>
      </w:r>
      <w:r w:rsidRPr="00974E9C">
        <w:t xml:space="preserve"> on the intended purpose of the device or IVD device</w:t>
      </w:r>
      <w:r>
        <w:t xml:space="preserve">, as </w:t>
      </w:r>
      <w:r w:rsidRPr="00974E9C">
        <w:t>assigned by the manufacturer.</w:t>
      </w:r>
    </w:p>
    <w:p w14:paraId="40271DF6" w14:textId="77777777" w:rsidR="00D018FD" w:rsidRDefault="00D018FD" w:rsidP="00D018FD">
      <w:pPr>
        <w:pStyle w:val="Heading3"/>
      </w:pPr>
      <w:bookmarkStart w:id="66" w:name="_Toc179386520"/>
      <w:bookmarkStart w:id="67" w:name="_Toc179453324"/>
      <w:r>
        <w:t>In EP 9, to what does “environmental properties” refer?</w:t>
      </w:r>
      <w:bookmarkEnd w:id="66"/>
      <w:bookmarkEnd w:id="67"/>
    </w:p>
    <w:p w14:paraId="37B54454" w14:textId="77777777" w:rsidR="00D018FD" w:rsidRPr="00431772" w:rsidRDefault="00D018FD" w:rsidP="00D018FD">
      <w:pPr>
        <w:keepNext/>
        <w:rPr>
          <w:rFonts w:cs="Arial"/>
          <w:iCs/>
          <w:szCs w:val="21"/>
          <w:lang w:eastAsia="en-AU"/>
        </w:rPr>
      </w:pPr>
      <w:r>
        <w:t xml:space="preserve">The heading of EP 9 is “Construction and environmental properties”. This </w:t>
      </w:r>
      <w:r w:rsidRPr="00431772">
        <w:t>refer</w:t>
      </w:r>
      <w:r>
        <w:t>s</w:t>
      </w:r>
      <w:r w:rsidRPr="00431772">
        <w:t xml:space="preserve"> to the ability of a medical device to function safely and effectively under </w:t>
      </w:r>
      <w:r>
        <w:t>different</w:t>
      </w:r>
      <w:r w:rsidRPr="00431772">
        <w:t xml:space="preserve"> environmental conditions</w:t>
      </w:r>
      <w:r>
        <w:t>. The manufacturer reduce the risks to do with how, where, and with what, the devise is intended to be used. See also</w:t>
      </w:r>
      <w:r w:rsidRPr="00431772">
        <w:t xml:space="preserve"> EU MDR GSPR 14 and EU IVDR GSPR 13.  </w:t>
      </w:r>
    </w:p>
    <w:p w14:paraId="400B1BD0" w14:textId="77777777" w:rsidR="00D018FD" w:rsidRPr="00431772" w:rsidRDefault="00D018FD" w:rsidP="00D018FD">
      <w:pPr>
        <w:keepNext/>
        <w:rPr>
          <w:rFonts w:cs="Arial"/>
          <w:iCs/>
          <w:szCs w:val="21"/>
          <w:lang w:eastAsia="en-AU"/>
        </w:rPr>
      </w:pPr>
      <w:r w:rsidRPr="00431772">
        <w:t>These requirements help ensure that medical devices remain safe and effective throughout their lifecycle, even when exposed to different environmental conditions.</w:t>
      </w:r>
    </w:p>
    <w:p w14:paraId="0536D77A" w14:textId="77777777" w:rsidR="00D018FD" w:rsidRDefault="00D018FD" w:rsidP="00D018FD">
      <w:pPr>
        <w:pStyle w:val="NormalWeb"/>
        <w:spacing w:before="180" w:beforeAutospacing="0" w:after="0" w:afterAutospacing="0"/>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127CF387" w14:textId="77777777" w:rsidTr="00DD36C5">
        <w:tc>
          <w:tcPr>
            <w:tcW w:w="1276" w:type="dxa"/>
            <w:vAlign w:val="center"/>
          </w:tcPr>
          <w:p w14:paraId="23F51FCA" w14:textId="77777777" w:rsidR="00D018FD" w:rsidRPr="009401F6" w:rsidRDefault="00D018FD" w:rsidP="00DD36C5">
            <w:r w:rsidRPr="009401F6">
              <w:rPr>
                <w:noProof/>
                <w:lang w:eastAsia="en-AU"/>
              </w:rPr>
              <w:drawing>
                <wp:inline distT="0" distB="0" distL="0" distR="0" wp14:anchorId="39795EC8" wp14:editId="0035E6F7">
                  <wp:extent cx="487681" cy="487681"/>
                  <wp:effectExtent l="19050" t="0" r="7619" b="0"/>
                  <wp:docPr id="143311858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DD15244" w14:textId="77777777" w:rsidR="00D018FD" w:rsidRDefault="00D018FD" w:rsidP="00DD36C5">
            <w:pPr>
              <w:pStyle w:val="Heading4"/>
              <w:spacing w:before="0" w:after="0"/>
              <w:rPr>
                <w:rStyle w:val="Hyperlink"/>
                <w:rFonts w:ascii="Cambria" w:hAnsi="Cambria"/>
                <w:b/>
                <w:bCs w:val="0"/>
                <w:color w:val="auto"/>
                <w:sz w:val="22"/>
                <w:szCs w:val="22"/>
              </w:rPr>
            </w:pPr>
            <w:bookmarkStart w:id="68" w:name="_Toc179453325"/>
            <w:r>
              <w:rPr>
                <w:rStyle w:val="Hyperlink"/>
                <w:rFonts w:ascii="Cambria" w:hAnsi="Cambria"/>
                <w:color w:val="auto"/>
              </w:rPr>
              <w:t>More information</w:t>
            </w:r>
            <w:bookmarkEnd w:id="68"/>
          </w:p>
          <w:p w14:paraId="324DB1ED" w14:textId="77777777" w:rsidR="00D018FD" w:rsidRPr="00431CB0" w:rsidRDefault="004E0C92" w:rsidP="00D018FD">
            <w:pPr>
              <w:pStyle w:val="ListBullet"/>
              <w:numPr>
                <w:ilvl w:val="0"/>
                <w:numId w:val="2"/>
              </w:numPr>
              <w:spacing w:before="180"/>
              <w:rPr>
                <w:rStyle w:val="Hyperlink"/>
                <w:rFonts w:ascii="inherit" w:hAnsi="inherit"/>
              </w:rPr>
            </w:pPr>
            <w:hyperlink r:id="rId41" w:anchor="principle-9-construction-and-environmental-properties" w:history="1">
              <w:r w:rsidR="00D018FD">
                <w:rPr>
                  <w:rStyle w:val="Hyperlink"/>
                  <w:rFonts w:ascii="inherit" w:hAnsi="inherit"/>
                </w:rPr>
                <w:t>Essential P</w:t>
              </w:r>
              <w:r w:rsidR="00D018FD" w:rsidRPr="00431CB0">
                <w:rPr>
                  <w:rStyle w:val="Hyperlink"/>
                  <w:rFonts w:ascii="inherit" w:hAnsi="inherit"/>
                </w:rPr>
                <w:t>rinciple 9: Construction and environmental properties</w:t>
              </w:r>
            </w:hyperlink>
          </w:p>
          <w:p w14:paraId="69AFA5EA" w14:textId="77777777" w:rsidR="00D018FD" w:rsidRPr="00BC1624" w:rsidRDefault="004E0C92" w:rsidP="00D018FD">
            <w:pPr>
              <w:pStyle w:val="ListBullet"/>
              <w:numPr>
                <w:ilvl w:val="0"/>
                <w:numId w:val="2"/>
              </w:numPr>
              <w:spacing w:before="180"/>
            </w:pPr>
            <w:hyperlink r:id="rId42" w:tgtFrame="_blank" w:history="1">
              <w:r w:rsidR="00D018FD">
                <w:rPr>
                  <w:rStyle w:val="Hyperlink"/>
                  <w:rFonts w:ascii="inherit" w:hAnsi="inherit"/>
                </w:rPr>
                <w:t>TGA Quality, Safety, and Performance Requirements</w:t>
              </w:r>
            </w:hyperlink>
          </w:p>
        </w:tc>
      </w:tr>
    </w:tbl>
    <w:p w14:paraId="5E973CA3" w14:textId="77777777" w:rsidR="00D018FD" w:rsidRDefault="00D018FD" w:rsidP="00D018FD">
      <w:pPr>
        <w:pStyle w:val="Heading3"/>
      </w:pPr>
      <w:bookmarkStart w:id="69" w:name="_Toc179386521"/>
      <w:bookmarkStart w:id="70" w:name="_Toc179453326"/>
      <w:r>
        <w:lastRenderedPageBreak/>
        <w:t>EP 13 – Information supplied with a device (labelling &amp; IFU)</w:t>
      </w:r>
      <w:bookmarkEnd w:id="69"/>
      <w:bookmarkEnd w:id="70"/>
    </w:p>
    <w:p w14:paraId="6AFE14B3" w14:textId="77777777" w:rsidR="00D018FD" w:rsidRDefault="00D018FD" w:rsidP="00D018FD">
      <w:pPr>
        <w:pStyle w:val="Heading4"/>
      </w:pPr>
      <w:bookmarkStart w:id="71" w:name="_Toc179453327"/>
      <w:r>
        <w:t>Why change manufacturer’s address requirements?</w:t>
      </w:r>
      <w:bookmarkEnd w:id="71"/>
    </w:p>
    <w:p w14:paraId="306D0EEA" w14:textId="77777777" w:rsidR="00D018FD" w:rsidRDefault="00D018FD" w:rsidP="00D018FD">
      <w:r>
        <w:t xml:space="preserve">We are not changing the address requirements for manufacturers. This proposal clarifies that in EP 13, a manufacturer’s address is to be a physical place of business, and not a PO Box. </w:t>
      </w:r>
    </w:p>
    <w:p w14:paraId="62E1F275" w14:textId="77777777" w:rsidR="00D018FD" w:rsidRDefault="00D018FD" w:rsidP="00D018FD">
      <w:r>
        <w:t>Some manufacturers have multiple manufacturing sites. When you use a PO Box, we cannot confirm the site of manufacture or if we have approved the site for a particular type of device.</w:t>
      </w:r>
    </w:p>
    <w:p w14:paraId="111F6F56" w14:textId="77777777" w:rsidR="00D018FD" w:rsidRDefault="00D018FD" w:rsidP="00D018FD">
      <w:pPr>
        <w:pStyle w:val="Heading4"/>
      </w:pPr>
      <w:bookmarkStart w:id="72" w:name="_Toc179453328"/>
      <w:r>
        <w:t>Why change legibility requirements?</w:t>
      </w:r>
      <w:bookmarkEnd w:id="72"/>
    </w:p>
    <w:p w14:paraId="7DFF013E" w14:textId="77777777" w:rsidR="00D018FD" w:rsidRDefault="00D018FD" w:rsidP="00D018FD">
      <w:pPr>
        <w:rPr>
          <w:b/>
          <w:bCs/>
          <w:i/>
        </w:rPr>
      </w:pPr>
      <w:r>
        <w:t>The proposed changes to legibility requirements clarify the regulatory expectation, as there is no legislated definition of legibility. This makes it difficult for manufacturers to apply and difficult to regulate. Proposal 9(c) describes legibility in Essential Principle 13.1(5). The EU GSPRs state the label is to be “legible”, without specifying what that means.</w:t>
      </w:r>
    </w:p>
    <w:p w14:paraId="3ADFA0E8" w14:textId="77777777" w:rsidR="00D018FD" w:rsidRDefault="00D018FD" w:rsidP="00D018FD">
      <w:r>
        <w:t xml:space="preserve">We already require a minimum of 1 mm. This does not always lead to information being legible. Therefore, we consider it more appropriate to refer to </w:t>
      </w:r>
      <w:r w:rsidRPr="00356B00">
        <w:t>a FONT TYPE and SIZE, or equivalen</w:t>
      </w:r>
      <w:r>
        <w:t xml:space="preserve">t. </w:t>
      </w:r>
    </w:p>
    <w:p w14:paraId="302CC803" w14:textId="77777777" w:rsidR="00D018FD" w:rsidRDefault="00D018FD" w:rsidP="00D018FD">
      <w:r>
        <w:t>We want to hear your views on the effect of this proposal, instead of the minimum requirement of 1 mm.</w:t>
      </w:r>
    </w:p>
    <w:p w14:paraId="4101EBDD" w14:textId="77777777" w:rsidR="00D018FD" w:rsidRDefault="00D018FD" w:rsidP="00D018FD">
      <w:pPr>
        <w:pStyle w:val="Heading4"/>
      </w:pPr>
      <w:bookmarkStart w:id="73" w:name="_Toc179453329"/>
      <w:r>
        <w:t>Why change contact details for technical support for IVD devices?</w:t>
      </w:r>
      <w:bookmarkEnd w:id="73"/>
    </w:p>
    <w:p w14:paraId="01C24FC9" w14:textId="77777777" w:rsidR="00D018FD" w:rsidRDefault="00D018FD" w:rsidP="00D018FD">
      <w:r>
        <w:t xml:space="preserve">The proposed change for IVD manufacturers to give contact details for technical support is to align with the equivalent EU IVDR clauses: </w:t>
      </w:r>
    </w:p>
    <w:p w14:paraId="167B84F9" w14:textId="77777777" w:rsidR="00D018FD" w:rsidRDefault="00D018FD" w:rsidP="00D018FD">
      <w:pPr>
        <w:pStyle w:val="ListBullet"/>
        <w:numPr>
          <w:ilvl w:val="0"/>
          <w:numId w:val="2"/>
        </w:numPr>
        <w:spacing w:before="180"/>
      </w:pPr>
      <w:r>
        <w:t>GSPR 20.2: that for IVD devices for self-testing, you must provide information with the device that includes “contact details for further advice and assistance”.</w:t>
      </w:r>
    </w:p>
    <w:p w14:paraId="1BA90BB8" w14:textId="77777777" w:rsidR="00D018FD" w:rsidRDefault="00D018FD" w:rsidP="00D018FD">
      <w:pPr>
        <w:pStyle w:val="ListBullet"/>
        <w:numPr>
          <w:ilvl w:val="0"/>
          <w:numId w:val="2"/>
        </w:numPr>
        <w:spacing w:before="180"/>
      </w:pPr>
      <w:r>
        <w:t>GSPR 20.4.1(ad): requires you to include in the instructions for use, “</w:t>
      </w:r>
      <w:r w:rsidRPr="006209DD">
        <w:t>a telephone number and/or fax number and/or website address to obtain technical assistance</w:t>
      </w:r>
      <w:r>
        <w:t>”.</w:t>
      </w:r>
    </w:p>
    <w:p w14:paraId="3F33525B" w14:textId="77777777" w:rsidR="00D018FD" w:rsidRDefault="00D018FD" w:rsidP="00D018FD">
      <w:r>
        <w:t xml:space="preserve">To align with the EU IVDR, this information would be mandatory for devices intended for self-testing. It would also apply to other IVD devices, depending on the intended purpose of the device. </w:t>
      </w:r>
    </w:p>
    <w:p w14:paraId="2EEB55F6" w14:textId="77777777" w:rsidR="00D018FD" w:rsidRDefault="00D018FD" w:rsidP="00D018FD">
      <w:r>
        <w:t>There is no equivalent in the EU MDR GSPR. Therefore, the proposal to include contact details for technical support, is specific to IVD devices.</w:t>
      </w:r>
    </w:p>
    <w:p w14:paraId="154D7D3C" w14:textId="77777777" w:rsidR="00D018FD" w:rsidRDefault="00D018FD" w:rsidP="00D018FD">
      <w:pPr>
        <w:pStyle w:val="Heading3"/>
      </w:pPr>
      <w:bookmarkStart w:id="74" w:name="_Toc179386522"/>
      <w:bookmarkStart w:id="75" w:name="_Toc179453330"/>
      <w:r>
        <w:t>What are the proposals for EP 13B &amp; SaMD?</w:t>
      </w:r>
      <w:bookmarkEnd w:id="74"/>
      <w:bookmarkEnd w:id="75"/>
    </w:p>
    <w:p w14:paraId="58CA297B" w14:textId="77777777" w:rsidR="00D018FD" w:rsidRDefault="00D018FD" w:rsidP="00D018FD">
      <w:pPr>
        <w:keepNext/>
      </w:pPr>
      <w:r>
        <w:t xml:space="preserve">The proposal for EP 13 aims to clarify the requirements for software as a medical device (SaMD). This consultation does not introduce any new requirements for SaMD. </w:t>
      </w:r>
    </w:p>
    <w:p w14:paraId="5EA646D9" w14:textId="77777777" w:rsidR="00D018FD" w:rsidRDefault="00D018FD" w:rsidP="00D018FD">
      <w:pPr>
        <w:keepNext/>
      </w:pPr>
      <w:r>
        <w:t xml:space="preserve">Although the European Regulations do not have an equivalent requirement, there are other international regulators that do, including the IMDRF. It is also relevant to our </w:t>
      </w:r>
      <w:hyperlink r:id="rId43" w:history="1">
        <w:r w:rsidRPr="009002FF">
          <w:rPr>
            <w:rStyle w:val="Hyperlink"/>
          </w:rPr>
          <w:t>AI review</w:t>
        </w:r>
      </w:hyperlink>
      <w:r>
        <w:t xml:space="preserve">. </w:t>
      </w:r>
    </w:p>
    <w:p w14:paraId="2BF8D3A4" w14:textId="77777777" w:rsidR="00D018FD" w:rsidRDefault="00D018FD" w:rsidP="00D018FD">
      <w:pPr>
        <w:keepNext/>
      </w:pPr>
      <w:r>
        <w:t xml:space="preserve">Visibility of version changes to software in medical devices is needed, particularly when extra functionality can be easily deployed to connected devices. There are many existing devices being upgraded to include AI without any external indicators of the extra functionality.  Some developers do </w:t>
      </w:r>
      <w:r>
        <w:lastRenderedPageBreak/>
        <w:t>not recognise that upgrading an existing device to include AI is a functional change. Uncontrolled software changes could increase safety risks.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6333DD5D" w14:textId="77777777" w:rsidTr="00DD36C5">
        <w:tc>
          <w:tcPr>
            <w:tcW w:w="1276" w:type="dxa"/>
            <w:vAlign w:val="center"/>
          </w:tcPr>
          <w:p w14:paraId="03DC0822" w14:textId="77777777" w:rsidR="00D018FD" w:rsidRPr="009401F6" w:rsidRDefault="00D018FD" w:rsidP="00DD36C5">
            <w:r w:rsidRPr="009401F6">
              <w:rPr>
                <w:noProof/>
                <w:lang w:eastAsia="en-AU"/>
              </w:rPr>
              <w:drawing>
                <wp:inline distT="0" distB="0" distL="0" distR="0" wp14:anchorId="2EEA5012" wp14:editId="6E0EA12C">
                  <wp:extent cx="487681" cy="487681"/>
                  <wp:effectExtent l="19050" t="0" r="7619" b="0"/>
                  <wp:docPr id="195959056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B30B3C1" w14:textId="77777777" w:rsidR="00D018FD" w:rsidRDefault="00D018FD" w:rsidP="00DD36C5">
            <w:pPr>
              <w:pStyle w:val="Heading4"/>
              <w:spacing w:before="0" w:after="0"/>
              <w:rPr>
                <w:rStyle w:val="Hyperlink"/>
                <w:rFonts w:ascii="Cambria" w:hAnsi="Cambria"/>
                <w:b/>
                <w:bCs w:val="0"/>
                <w:color w:val="auto"/>
                <w:sz w:val="22"/>
                <w:szCs w:val="22"/>
              </w:rPr>
            </w:pPr>
            <w:bookmarkStart w:id="76" w:name="_Toc179453331"/>
            <w:r>
              <w:rPr>
                <w:rStyle w:val="Hyperlink"/>
                <w:rFonts w:ascii="Cambria" w:hAnsi="Cambria"/>
                <w:color w:val="auto"/>
              </w:rPr>
              <w:t>SaMD reforms</w:t>
            </w:r>
            <w:bookmarkEnd w:id="76"/>
          </w:p>
          <w:p w14:paraId="066CBDD2" w14:textId="77777777" w:rsidR="00D018FD" w:rsidRDefault="00D018FD" w:rsidP="00DD36C5">
            <w:r>
              <w:t>We will consult on continuing reforms to our regulatory framework for software as a medical device.</w:t>
            </w:r>
          </w:p>
          <w:p w14:paraId="14BAD870" w14:textId="77777777" w:rsidR="00D018FD" w:rsidRDefault="00D018FD" w:rsidP="00D018FD">
            <w:pPr>
              <w:pStyle w:val="ListBullet"/>
              <w:numPr>
                <w:ilvl w:val="0"/>
                <w:numId w:val="2"/>
              </w:numPr>
              <w:spacing w:before="180"/>
            </w:pPr>
            <w:r w:rsidRPr="008F38E1">
              <w:t xml:space="preserve">Consultation: </w:t>
            </w:r>
            <w:hyperlink r:id="rId44" w:history="1">
              <w:r w:rsidRPr="008F38E1">
                <w:rPr>
                  <w:rStyle w:val="Hyperlink"/>
                </w:rPr>
                <w:t>Clarifying and strengthening the regulation of Artificial Intelligence (AI)</w:t>
              </w:r>
            </w:hyperlink>
            <w:r>
              <w:t xml:space="preserve"> (open 12 September 2024 – 13 October 2024)</w:t>
            </w:r>
          </w:p>
          <w:p w14:paraId="5F0E0E89" w14:textId="77777777" w:rsidR="00D018FD" w:rsidRDefault="004E0C92" w:rsidP="00D018FD">
            <w:pPr>
              <w:pStyle w:val="ListBullet"/>
              <w:numPr>
                <w:ilvl w:val="0"/>
                <w:numId w:val="2"/>
              </w:numPr>
              <w:spacing w:before="180"/>
            </w:pPr>
            <w:hyperlink r:id="rId45" w:history="1">
              <w:r w:rsidR="00D018FD">
                <w:rPr>
                  <w:rStyle w:val="Hyperlink"/>
                </w:rPr>
                <w:t>Understanding r</w:t>
              </w:r>
              <w:r w:rsidR="00D018FD" w:rsidRPr="008F38E1">
                <w:rPr>
                  <w:rStyle w:val="Hyperlink"/>
                </w:rPr>
                <w:t>egulation of software based medical devices</w:t>
              </w:r>
            </w:hyperlink>
            <w:r w:rsidR="00D018FD">
              <w:t xml:space="preserve"> (2024)</w:t>
            </w:r>
          </w:p>
          <w:p w14:paraId="39509368" w14:textId="77777777" w:rsidR="00D018FD" w:rsidRPr="00BC1624" w:rsidRDefault="00D018FD" w:rsidP="00DD36C5">
            <w:r>
              <w:t xml:space="preserve">We have people dedicated to software and other challenges with regulating digital medical devices. Contact </w:t>
            </w:r>
            <w:hyperlink r:id="rId46" w:history="1">
              <w:r w:rsidRPr="0095444C">
                <w:rPr>
                  <w:rStyle w:val="Hyperlink"/>
                </w:rPr>
                <w:t>digital.devices@tga.gov.au</w:t>
              </w:r>
            </w:hyperlink>
            <w:r>
              <w:t xml:space="preserve">. </w:t>
            </w:r>
          </w:p>
        </w:tc>
      </w:tr>
    </w:tbl>
    <w:p w14:paraId="57C017CB" w14:textId="77777777" w:rsidR="00D018FD" w:rsidRDefault="00D018FD" w:rsidP="00D018FD">
      <w:pPr>
        <w:pStyle w:val="Heading3"/>
      </w:pPr>
      <w:bookmarkStart w:id="77" w:name="_Toc179386523"/>
      <w:bookmarkStart w:id="78" w:name="_Toc179453332"/>
      <w:r>
        <w:t>W</w:t>
      </w:r>
      <w:r w:rsidRPr="005E3739">
        <w:t xml:space="preserve">hy </w:t>
      </w:r>
      <w:r>
        <w:t>is EP 14</w:t>
      </w:r>
      <w:r w:rsidRPr="005E3739">
        <w:t xml:space="preserve"> out of scope</w:t>
      </w:r>
      <w:r>
        <w:t>,</w:t>
      </w:r>
      <w:r w:rsidRPr="005E3739">
        <w:t xml:space="preserve"> </w:t>
      </w:r>
      <w:r>
        <w:t>g</w:t>
      </w:r>
      <w:r w:rsidRPr="005E3739">
        <w:t xml:space="preserve">iven sponsors get </w:t>
      </w:r>
      <w:r>
        <w:t>many</w:t>
      </w:r>
      <w:r w:rsidRPr="005E3739">
        <w:t xml:space="preserve"> s41JA request</w:t>
      </w:r>
      <w:r>
        <w:t>s</w:t>
      </w:r>
      <w:r w:rsidRPr="005E3739">
        <w:t xml:space="preserve"> based on EP 14</w:t>
      </w:r>
      <w:r>
        <w:t>?</w:t>
      </w:r>
      <w:bookmarkEnd w:id="77"/>
      <w:bookmarkEnd w:id="78"/>
    </w:p>
    <w:p w14:paraId="7F5DACDF" w14:textId="77777777" w:rsidR="00D018FD" w:rsidRPr="00721200" w:rsidRDefault="00D018FD" w:rsidP="00D018FD">
      <w:r>
        <w:t xml:space="preserve">We did not include EP 14 in the consultation as the EU Regulations do not have an equivalent EU GSPR. In Europe, the requirements for clinical evidence are instead outline in other Articles and Annexes. Given the difference in legislative structure, we have chosen to keep Essential Principle 14 and do not consider this to be an extra Australian-specific requirement. </w:t>
      </w:r>
    </w:p>
    <w:p w14:paraId="47BDD6F4" w14:textId="77777777" w:rsidR="00D018FD" w:rsidRDefault="00D018FD" w:rsidP="00D018FD">
      <w:r>
        <w:t>Clinical evidence is of paramount importance as it's what demonstrates if a device works or not and what the risks of its use are. We rely on and accept evidence from several comparable overseas regulators, which have varying standards on clinical evidence.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0AEF3ED6" w14:textId="77777777" w:rsidTr="00DD36C5">
        <w:tc>
          <w:tcPr>
            <w:tcW w:w="1276" w:type="dxa"/>
            <w:vAlign w:val="center"/>
          </w:tcPr>
          <w:p w14:paraId="58EC36DD" w14:textId="77777777" w:rsidR="00D018FD" w:rsidRPr="009401F6" w:rsidRDefault="00D018FD" w:rsidP="00DD36C5">
            <w:r w:rsidRPr="009401F6">
              <w:rPr>
                <w:noProof/>
                <w:lang w:eastAsia="en-AU"/>
              </w:rPr>
              <w:drawing>
                <wp:inline distT="0" distB="0" distL="0" distR="0" wp14:anchorId="424A0D05" wp14:editId="2DE2525B">
                  <wp:extent cx="487681" cy="487681"/>
                  <wp:effectExtent l="19050" t="0" r="7619" b="0"/>
                  <wp:docPr id="140307786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901AF86" w14:textId="77777777" w:rsidR="00D018FD" w:rsidRDefault="00D018FD" w:rsidP="00DD36C5">
            <w:pPr>
              <w:pStyle w:val="Heading4"/>
              <w:spacing w:before="0" w:after="0"/>
              <w:rPr>
                <w:rStyle w:val="Hyperlink"/>
                <w:rFonts w:ascii="Cambria" w:hAnsi="Cambria"/>
                <w:b/>
                <w:bCs w:val="0"/>
                <w:color w:val="auto"/>
                <w:sz w:val="22"/>
                <w:szCs w:val="22"/>
              </w:rPr>
            </w:pPr>
            <w:bookmarkStart w:id="79" w:name="_Toc179453333"/>
            <w:r>
              <w:rPr>
                <w:rStyle w:val="Hyperlink"/>
                <w:rFonts w:ascii="Cambria" w:hAnsi="Cambria"/>
                <w:color w:val="auto"/>
              </w:rPr>
              <w:t>Clinical evidence for medical devices</w:t>
            </w:r>
            <w:bookmarkEnd w:id="79"/>
          </w:p>
          <w:p w14:paraId="50B78F74" w14:textId="77777777" w:rsidR="00D018FD" w:rsidRDefault="004E0C92" w:rsidP="00D018FD">
            <w:pPr>
              <w:pStyle w:val="ListBullet"/>
              <w:numPr>
                <w:ilvl w:val="0"/>
                <w:numId w:val="2"/>
              </w:numPr>
              <w:spacing w:before="180"/>
            </w:pPr>
            <w:hyperlink r:id="rId47" w:anchor="principle-14-clinical-evidence" w:history="1">
              <w:r w:rsidR="00D018FD" w:rsidRPr="00AE7842">
                <w:rPr>
                  <w:rStyle w:val="Hyperlink"/>
                </w:rPr>
                <w:t>Principle 14: Clinical evidence</w:t>
              </w:r>
            </w:hyperlink>
          </w:p>
          <w:p w14:paraId="2D074503" w14:textId="77777777" w:rsidR="00D018FD" w:rsidRPr="00BC1624" w:rsidRDefault="004E0C92" w:rsidP="00D018FD">
            <w:pPr>
              <w:pStyle w:val="ListBullet"/>
              <w:numPr>
                <w:ilvl w:val="0"/>
                <w:numId w:val="2"/>
              </w:numPr>
              <w:spacing w:before="180"/>
            </w:pPr>
            <w:hyperlink r:id="rId48" w:history="1">
              <w:r w:rsidR="00D018FD" w:rsidRPr="00AE7842">
                <w:rPr>
                  <w:rStyle w:val="Hyperlink"/>
                </w:rPr>
                <w:t>Clinical evidence guidelines</w:t>
              </w:r>
            </w:hyperlink>
            <w:r w:rsidR="00D018FD">
              <w:t xml:space="preserve"> </w:t>
            </w:r>
          </w:p>
        </w:tc>
      </w:tr>
    </w:tbl>
    <w:p w14:paraId="174A5ACE" w14:textId="77777777" w:rsidR="00D018FD" w:rsidRDefault="00D018FD" w:rsidP="00D018FD">
      <w:pPr>
        <w:pStyle w:val="Heading3"/>
      </w:pPr>
      <w:bookmarkStart w:id="80" w:name="_Toc179386524"/>
      <w:bookmarkStart w:id="81" w:name="_Toc179453334"/>
      <w:r>
        <w:t>Why propose to make</w:t>
      </w:r>
      <w:r w:rsidRPr="00493A6A">
        <w:t> </w:t>
      </w:r>
      <w:r>
        <w:t>EU IVDR GSPR 19.3: “</w:t>
      </w:r>
      <w:r w:rsidRPr="00493A6A">
        <w:t>verify an IVD has performed and warn</w:t>
      </w:r>
      <w:r>
        <w:t xml:space="preserve"> users</w:t>
      </w:r>
      <w:r w:rsidRPr="00493A6A">
        <w:t xml:space="preserve"> </w:t>
      </w:r>
      <w:r>
        <w:t>of</w:t>
      </w:r>
      <w:r w:rsidRPr="00493A6A">
        <w:t xml:space="preserve"> a</w:t>
      </w:r>
      <w:r>
        <w:t>n</w:t>
      </w:r>
      <w:r w:rsidRPr="00493A6A">
        <w:t xml:space="preserve"> </w:t>
      </w:r>
      <w:r>
        <w:t>in</w:t>
      </w:r>
      <w:r w:rsidRPr="00493A6A">
        <w:t>valid result</w:t>
      </w:r>
      <w:r>
        <w:t>”, apply to “all” devices?</w:t>
      </w:r>
      <w:bookmarkEnd w:id="80"/>
      <w:bookmarkEnd w:id="81"/>
      <w:r>
        <w:t xml:space="preserve"> </w:t>
      </w:r>
    </w:p>
    <w:p w14:paraId="1A8A5A1E" w14:textId="77777777" w:rsidR="00D018FD" w:rsidRDefault="00D018FD" w:rsidP="00D018FD">
      <w:r>
        <w:t xml:space="preserve">All IVD devices that produce a result to end users must include a system to tell a user of an invalid result. This is a basic safety criterion under General Essential principle 2. We listed this as applying to “all” IVD devices. This was to clarify that it not only applies to IVD devices used for self-testing and near patient testing, but </w:t>
      </w:r>
      <w:r w:rsidRPr="00983F22">
        <w:rPr>
          <w:b/>
          <w:bCs/>
        </w:rPr>
        <w:t>also for laboratory use</w:t>
      </w:r>
      <w:r>
        <w:t>.</w:t>
      </w:r>
    </w:p>
    <w:p w14:paraId="48AFFD1A" w14:textId="77777777" w:rsidR="00D018FD" w:rsidRDefault="00D018FD" w:rsidP="00D018FD">
      <w:r>
        <w:t xml:space="preserve">You raised concerns that this clause would not apply to “all” devices, such as a specimen vial. For an IVD device that does not produce a test result, this Essential Principle would not apply. Please also refer back to the information provided under </w:t>
      </w:r>
      <w:hyperlink w:anchor="_How_do_the" w:history="1">
        <w:r w:rsidRPr="00617080">
          <w:rPr>
            <w:rStyle w:val="Hyperlink"/>
          </w:rPr>
          <w:t>How do the EP consultation proposals effect the different types of devices</w:t>
        </w:r>
      </w:hyperlink>
      <w:r>
        <w:t>?</w:t>
      </w:r>
    </w:p>
    <w:p w14:paraId="228D9DDF" w14:textId="77777777" w:rsidR="00D018FD" w:rsidRDefault="00D018FD" w:rsidP="00D018FD">
      <w:pPr>
        <w:pStyle w:val="Heading3"/>
      </w:pPr>
      <w:bookmarkStart w:id="82" w:name="_Toc179386525"/>
      <w:bookmarkStart w:id="83" w:name="_Toc179453335"/>
      <w:r>
        <w:lastRenderedPageBreak/>
        <w:t>Requiring IVDs to comply w</w:t>
      </w:r>
      <w:r w:rsidRPr="007C395A">
        <w:t xml:space="preserve">ith the </w:t>
      </w:r>
      <w:r w:rsidRPr="00431772">
        <w:rPr>
          <w:u w:val="single"/>
        </w:rPr>
        <w:t>MDR</w:t>
      </w:r>
      <w:r w:rsidRPr="007C395A">
        <w:t xml:space="preserve"> GRSP 22 will </w:t>
      </w:r>
      <w:r>
        <w:t>mean</w:t>
      </w:r>
      <w:r w:rsidRPr="007C395A">
        <w:t xml:space="preserve"> manufacturer</w:t>
      </w:r>
      <w:r>
        <w:t>s</w:t>
      </w:r>
      <w:r w:rsidRPr="007C395A">
        <w:t xml:space="preserve"> </w:t>
      </w:r>
      <w:r>
        <w:t>must</w:t>
      </w:r>
      <w:r w:rsidRPr="007C395A">
        <w:t xml:space="preserve"> </w:t>
      </w:r>
      <w:r>
        <w:t>adopt</w:t>
      </w:r>
      <w:r w:rsidRPr="007C395A">
        <w:t xml:space="preserve"> aspects of </w:t>
      </w:r>
      <w:r>
        <w:t xml:space="preserve">the </w:t>
      </w:r>
      <w:r w:rsidRPr="007C395A">
        <w:t xml:space="preserve">MDR into their QMS to </w:t>
      </w:r>
      <w:r>
        <w:t xml:space="preserve">comply. Why </w:t>
      </w:r>
      <w:r w:rsidRPr="007C395A">
        <w:t xml:space="preserve">add this </w:t>
      </w:r>
      <w:r>
        <w:t>extra</w:t>
      </w:r>
      <w:r w:rsidRPr="007C395A">
        <w:t xml:space="preserve"> burden to IVD manufacturers when GSPR 19 already exists</w:t>
      </w:r>
      <w:r>
        <w:t>?</w:t>
      </w:r>
      <w:bookmarkEnd w:id="82"/>
      <w:bookmarkEnd w:id="83"/>
      <w:r w:rsidRPr="007C395A">
        <w:t xml:space="preserve"> </w:t>
      </w:r>
    </w:p>
    <w:p w14:paraId="2DEE3C2B" w14:textId="77777777" w:rsidR="00D018FD" w:rsidRDefault="00D018FD" w:rsidP="00D018FD">
      <w:r>
        <w:t xml:space="preserve">We are not adding an extra burden for IVD manufacturers to include an EU MDR clause into their quality management system. As noted in the consultation, the MDR GSPR 22 (laypersons) and IVDR GSPR 19 (self-testing) are similar. IVDR GSPR 19 has some extra IVD-specific requirements. We would consider an IVD manufacturer compliant with the EU IVDR GSPR 19 to also be compliant with the equivalent MDR GSPR 22. </w:t>
      </w:r>
    </w:p>
    <w:p w14:paraId="27871464" w14:textId="77777777" w:rsidR="00D018FD" w:rsidRDefault="00D018FD" w:rsidP="00D018FD">
      <w:r>
        <w:t xml:space="preserve">Given the overlap between IVDR GSPR 19 and MDR GSPR 22, we </w:t>
      </w:r>
      <w:r w:rsidRPr="0063465E">
        <w:rPr>
          <w:b/>
          <w:bCs/>
        </w:rPr>
        <w:t>may</w:t>
      </w:r>
      <w:r>
        <w:t xml:space="preserve"> reduce duplication by combining these clauses in our Essential Principles. We may list the extra IVD-specific requirements to apply to such devices.  We are yet to develop the legislative structure and wording.</w:t>
      </w:r>
    </w:p>
    <w:p w14:paraId="042600D8" w14:textId="77777777" w:rsidR="00D018FD" w:rsidRDefault="00D018FD" w:rsidP="00D018FD">
      <w:pPr>
        <w:pStyle w:val="Heading2"/>
      </w:pPr>
      <w:bookmarkStart w:id="84" w:name="_Toc179386526"/>
      <w:bookmarkStart w:id="85" w:name="_Toc179453336"/>
      <w:r>
        <w:t>Assistive technologies, exempt devices, and other therapeutic goods (OTG)</w:t>
      </w:r>
      <w:bookmarkEnd w:id="84"/>
      <w:bookmarkEnd w:id="85"/>
    </w:p>
    <w:p w14:paraId="40FB2101" w14:textId="77777777" w:rsidR="00D018FD" w:rsidRDefault="00D018FD" w:rsidP="00D018FD">
      <w:pPr>
        <w:pStyle w:val="Heading3"/>
      </w:pPr>
      <w:bookmarkStart w:id="86" w:name="_Toc179386527"/>
      <w:bookmarkStart w:id="87" w:name="_Toc179453337"/>
      <w:r>
        <w:t>Do assistive technologies products need to comply with the EP?</w:t>
      </w:r>
      <w:bookmarkEnd w:id="86"/>
      <w:bookmarkEnd w:id="87"/>
    </w:p>
    <w:p w14:paraId="7D2E0897" w14:textId="77777777" w:rsidR="00D018FD" w:rsidRDefault="00D018FD" w:rsidP="00D018FD">
      <w:r>
        <w:t>Where we regulate assistive technologies as medical devices, they are to comply with the relevant the Essential Principles. This is consistent with the EU Regulations for medical devices.</w:t>
      </w:r>
    </w:p>
    <w:p w14:paraId="6A0C71E7" w14:textId="77777777" w:rsidR="00D018FD" w:rsidRDefault="00D018FD" w:rsidP="00D018FD">
      <w:r>
        <w:t>We are reviewing the regulatory framework for assistive technology.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578FA812" w14:textId="77777777" w:rsidTr="00DD36C5">
        <w:tc>
          <w:tcPr>
            <w:tcW w:w="1276" w:type="dxa"/>
            <w:vAlign w:val="center"/>
          </w:tcPr>
          <w:p w14:paraId="7A7A9E3B" w14:textId="77777777" w:rsidR="00D018FD" w:rsidRPr="009401F6" w:rsidRDefault="00D018FD" w:rsidP="00DD36C5">
            <w:r w:rsidRPr="009401F6">
              <w:rPr>
                <w:noProof/>
                <w:lang w:eastAsia="en-AU"/>
              </w:rPr>
              <w:drawing>
                <wp:inline distT="0" distB="0" distL="0" distR="0" wp14:anchorId="5E7E4938" wp14:editId="2DCBD338">
                  <wp:extent cx="487681" cy="487681"/>
                  <wp:effectExtent l="19050" t="0" r="7619" b="0"/>
                  <wp:docPr id="146486459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D152C2D" w14:textId="77777777" w:rsidR="00D018FD" w:rsidRDefault="00D018FD" w:rsidP="00DD36C5">
            <w:pPr>
              <w:pStyle w:val="Heading4"/>
              <w:spacing w:before="0" w:after="0"/>
              <w:rPr>
                <w:rStyle w:val="Hyperlink"/>
                <w:rFonts w:ascii="Cambria" w:hAnsi="Cambria"/>
                <w:b/>
                <w:bCs w:val="0"/>
                <w:color w:val="auto"/>
                <w:sz w:val="22"/>
                <w:szCs w:val="22"/>
              </w:rPr>
            </w:pPr>
            <w:bookmarkStart w:id="88" w:name="_Toc179453338"/>
            <w:r>
              <w:rPr>
                <w:rStyle w:val="Hyperlink"/>
                <w:rFonts w:ascii="Cambria" w:hAnsi="Cambria"/>
                <w:color w:val="auto"/>
              </w:rPr>
              <w:t>Assistive technology regulatory reforms</w:t>
            </w:r>
            <w:bookmarkEnd w:id="88"/>
          </w:p>
          <w:p w14:paraId="404CA62B" w14:textId="77777777" w:rsidR="00D018FD" w:rsidRPr="00BC1624" w:rsidRDefault="00D018FD" w:rsidP="00D018FD">
            <w:pPr>
              <w:pStyle w:val="ListBullet"/>
              <w:numPr>
                <w:ilvl w:val="0"/>
                <w:numId w:val="2"/>
              </w:numPr>
              <w:spacing w:before="180"/>
            </w:pPr>
            <w:r>
              <w:t xml:space="preserve"> </w:t>
            </w:r>
            <w:r w:rsidRPr="00EC63E5">
              <w:t xml:space="preserve">Consultation: </w:t>
            </w:r>
            <w:hyperlink r:id="rId49" w:history="1">
              <w:r w:rsidRPr="00EC63E5">
                <w:rPr>
                  <w:rStyle w:val="Hyperlink"/>
                </w:rPr>
                <w:t>Future regulation of assistive technologies</w:t>
              </w:r>
            </w:hyperlink>
            <w:r>
              <w:t xml:space="preserve"> (22 July 2024 to 13 October 2024)</w:t>
            </w:r>
          </w:p>
        </w:tc>
      </w:tr>
    </w:tbl>
    <w:p w14:paraId="3D2F9C52" w14:textId="77777777" w:rsidR="00D018FD" w:rsidRDefault="00D018FD" w:rsidP="00D018FD">
      <w:pPr>
        <w:pStyle w:val="Heading3"/>
      </w:pPr>
      <w:bookmarkStart w:id="89" w:name="_Do_exempt_devices"/>
      <w:bookmarkStart w:id="90" w:name="_Toc179386528"/>
      <w:bookmarkStart w:id="91" w:name="_Toc179453339"/>
      <w:bookmarkEnd w:id="89"/>
      <w:r>
        <w:t>Do exempt devices need to comply with EP changes?</w:t>
      </w:r>
      <w:bookmarkEnd w:id="90"/>
      <w:bookmarkEnd w:id="91"/>
    </w:p>
    <w:p w14:paraId="668CD133" w14:textId="77777777" w:rsidR="00D018FD" w:rsidRDefault="00D018FD" w:rsidP="00D018FD">
      <w:pPr>
        <w:rPr>
          <w:rStyle w:val="Hyperlink"/>
        </w:rPr>
      </w:pPr>
      <w:r>
        <w:t xml:space="preserve">Exempt devices must comply with the applicable </w:t>
      </w:r>
      <w:hyperlink r:id="rId50" w:tgtFrame="_blank" w:history="1">
        <w:r>
          <w:rPr>
            <w:rStyle w:val="Hyperlink"/>
          </w:rPr>
          <w:t>Essential Principles</w:t>
        </w:r>
      </w:hyperlink>
      <w:r>
        <w:rPr>
          <w:rStyle w:val="Hyperlink"/>
        </w:rPr>
        <w:t>.</w:t>
      </w:r>
    </w:p>
    <w:p w14:paraId="43428272" w14:textId="77777777" w:rsidR="00D018FD" w:rsidRPr="001B7FF8" w:rsidRDefault="00D018FD" w:rsidP="00D018FD">
      <w:r w:rsidRPr="00391B1B">
        <w:t xml:space="preserve">You also need to meet other </w:t>
      </w:r>
      <w:hyperlink r:id="rId51" w:history="1">
        <w:r w:rsidRPr="00391B1B">
          <w:rPr>
            <w:rStyle w:val="Hyperlink"/>
          </w:rPr>
          <w:t>regulatory obligations for exempt medical devices</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5B9EE236" w14:textId="77777777" w:rsidTr="00DD36C5">
        <w:tc>
          <w:tcPr>
            <w:tcW w:w="1276" w:type="dxa"/>
            <w:vAlign w:val="center"/>
          </w:tcPr>
          <w:p w14:paraId="69931EFC" w14:textId="77777777" w:rsidR="00D018FD" w:rsidRPr="009401F6" w:rsidRDefault="00D018FD" w:rsidP="00DD36C5">
            <w:r w:rsidRPr="009401F6">
              <w:rPr>
                <w:noProof/>
                <w:lang w:eastAsia="en-AU"/>
              </w:rPr>
              <w:drawing>
                <wp:inline distT="0" distB="0" distL="0" distR="0" wp14:anchorId="7F72D811" wp14:editId="73D80460">
                  <wp:extent cx="487681" cy="487681"/>
                  <wp:effectExtent l="19050" t="0" r="7619" b="0"/>
                  <wp:docPr id="10073467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C18A601" w14:textId="77777777" w:rsidR="00D018FD" w:rsidRDefault="00D018FD" w:rsidP="00DD36C5">
            <w:pPr>
              <w:pStyle w:val="Heading5"/>
              <w:rPr>
                <w:rStyle w:val="Hyperlink"/>
                <w:b/>
                <w:bCs w:val="0"/>
                <w:color w:val="auto"/>
                <w:sz w:val="22"/>
                <w:szCs w:val="22"/>
              </w:rPr>
            </w:pPr>
            <w:r>
              <w:rPr>
                <w:rStyle w:val="Hyperlink"/>
                <w:color w:val="auto"/>
              </w:rPr>
              <w:t>More information</w:t>
            </w:r>
          </w:p>
          <w:p w14:paraId="68A542E3" w14:textId="77777777" w:rsidR="00D018FD" w:rsidRPr="009A63C9" w:rsidRDefault="00D018FD" w:rsidP="00D018FD">
            <w:pPr>
              <w:pStyle w:val="ListBullet"/>
              <w:numPr>
                <w:ilvl w:val="0"/>
                <w:numId w:val="2"/>
              </w:numPr>
              <w:spacing w:before="180"/>
            </w:pPr>
            <w:r w:rsidRPr="00691F6D">
              <w:rPr>
                <w:rFonts w:asciiTheme="minorHAnsi" w:hAnsiTheme="minorHAnsi"/>
                <w:color w:val="111111"/>
              </w:rPr>
              <w:t xml:space="preserve">For a </w:t>
            </w:r>
            <w:r>
              <w:rPr>
                <w:rFonts w:asciiTheme="minorHAnsi" w:hAnsiTheme="minorHAnsi"/>
                <w:color w:val="111111"/>
              </w:rPr>
              <w:t>complete</w:t>
            </w:r>
            <w:r w:rsidRPr="00691F6D">
              <w:rPr>
                <w:rFonts w:asciiTheme="minorHAnsi" w:hAnsiTheme="minorHAnsi"/>
                <w:color w:val="111111"/>
              </w:rPr>
              <w:t xml:space="preserve"> list of exempt medical devices, you can refer to Schedule 4</w:t>
            </w:r>
            <w:r>
              <w:rPr>
                <w:rFonts w:asciiTheme="minorHAnsi" w:hAnsiTheme="minorHAnsi"/>
                <w:color w:val="111111"/>
              </w:rPr>
              <w:t xml:space="preserve"> of </w:t>
            </w:r>
            <w:r w:rsidRPr="00691F6D">
              <w:rPr>
                <w:rFonts w:asciiTheme="minorHAnsi" w:hAnsiTheme="minorHAnsi"/>
                <w:color w:val="111111"/>
              </w:rPr>
              <w:t xml:space="preserve">the </w:t>
            </w:r>
            <w:hyperlink r:id="rId52" w:history="1">
              <w:r w:rsidRPr="009A63C9">
                <w:rPr>
                  <w:rStyle w:val="Hyperlink"/>
                  <w:rFonts w:asciiTheme="minorHAnsi" w:hAnsiTheme="minorHAnsi"/>
                </w:rPr>
                <w:t>Therapeutic Goods (Medical Devices) Regulations 2002</w:t>
              </w:r>
            </w:hyperlink>
            <w:r>
              <w:rPr>
                <w:rStyle w:val="Hyperlink"/>
                <w:rFonts w:asciiTheme="minorHAnsi" w:hAnsiTheme="minorHAnsi"/>
              </w:rPr>
              <w:t>.</w:t>
            </w:r>
          </w:p>
          <w:p w14:paraId="2703E618" w14:textId="77777777" w:rsidR="00D018FD" w:rsidRPr="00BC1624" w:rsidRDefault="004E0C92" w:rsidP="00D018FD">
            <w:pPr>
              <w:pStyle w:val="ListBullet"/>
              <w:numPr>
                <w:ilvl w:val="0"/>
                <w:numId w:val="2"/>
              </w:numPr>
              <w:spacing w:before="180"/>
            </w:pPr>
            <w:hyperlink r:id="rId53" w:history="1">
              <w:r w:rsidR="00D018FD" w:rsidRPr="00EC63E5">
                <w:rPr>
                  <w:rStyle w:val="Hyperlink"/>
                </w:rPr>
                <w:t>Should your product be on the ARTG</w:t>
              </w:r>
            </w:hyperlink>
            <w:r w:rsidR="00D018FD">
              <w:rPr>
                <w:rStyle w:val="Hyperlink"/>
              </w:rPr>
              <w:t>?</w:t>
            </w:r>
          </w:p>
        </w:tc>
      </w:tr>
    </w:tbl>
    <w:p w14:paraId="795913FF" w14:textId="77777777" w:rsidR="00D018FD" w:rsidRDefault="00D018FD" w:rsidP="00D018FD">
      <w:pPr>
        <w:pStyle w:val="Heading3"/>
      </w:pPr>
      <w:bookmarkStart w:id="92" w:name="_Toc179386529"/>
      <w:bookmarkStart w:id="93" w:name="_Toc179453340"/>
      <w:r>
        <w:lastRenderedPageBreak/>
        <w:t>What are the requirements for orthoses?</w:t>
      </w:r>
      <w:bookmarkEnd w:id="92"/>
      <w:bookmarkEnd w:id="93"/>
      <w:r>
        <w:t xml:space="preserve"> </w:t>
      </w:r>
    </w:p>
    <w:p w14:paraId="69610A6E" w14:textId="77777777" w:rsidR="00D018FD" w:rsidRDefault="00D018FD" w:rsidP="00D018FD">
      <w:pPr>
        <w:rPr>
          <w:color w:val="000000"/>
        </w:rPr>
      </w:pPr>
      <w:r>
        <w:rPr>
          <w:color w:val="000000"/>
        </w:rPr>
        <w:t xml:space="preserve">Orthoses devices need to comply with the regulatory requirements for medical devices unless they meet the criteria for exemption.  Under Item 1.3B in Schedule 4 of the </w:t>
      </w:r>
      <w:hyperlink r:id="rId54" w:history="1">
        <w:r w:rsidRPr="00391B1B">
          <w:rPr>
            <w:rStyle w:val="Hyperlink"/>
          </w:rPr>
          <w:t>T</w:t>
        </w:r>
        <w:r w:rsidRPr="00431772">
          <w:rPr>
            <w:rStyle w:val="Hyperlink"/>
          </w:rPr>
          <w:t>herapeutic Goods (Medical Devices) Regulations 2002</w:t>
        </w:r>
      </w:hyperlink>
      <w:r w:rsidRPr="00431772">
        <w:t xml:space="preserve">, </w:t>
      </w:r>
      <w:r>
        <w:rPr>
          <w:color w:val="000000"/>
        </w:rPr>
        <w:t xml:space="preserve">externally applied orthopaedic devices </w:t>
      </w:r>
      <w:r w:rsidRPr="00431772">
        <w:rPr>
          <w:color w:val="000000"/>
        </w:rPr>
        <w:t>are</w:t>
      </w:r>
      <w:r>
        <w:rPr>
          <w:b/>
          <w:bCs/>
          <w:color w:val="000000"/>
        </w:rPr>
        <w:t xml:space="preserve"> </w:t>
      </w:r>
      <w:r>
        <w:rPr>
          <w:color w:val="000000"/>
        </w:rPr>
        <w:t xml:space="preserve">exempt from ARTG inclusion if: </w:t>
      </w:r>
    </w:p>
    <w:p w14:paraId="4ADA1446" w14:textId="77777777" w:rsidR="00D018FD" w:rsidRDefault="00D018FD" w:rsidP="00D018FD">
      <w:pPr>
        <w:pStyle w:val="ListBullet"/>
        <w:numPr>
          <w:ilvl w:val="0"/>
          <w:numId w:val="2"/>
        </w:numPr>
        <w:spacing w:before="180"/>
      </w:pPr>
      <w:r>
        <w:t xml:space="preserve">they are </w:t>
      </w:r>
      <w:r w:rsidRPr="00431772">
        <w:rPr>
          <w:b/>
          <w:bCs/>
        </w:rPr>
        <w:t>manufactured</w:t>
      </w:r>
      <w:r>
        <w:t xml:space="preserve"> </w:t>
      </w:r>
      <w:r>
        <w:rPr>
          <w:b/>
          <w:bCs/>
        </w:rPr>
        <w:t>in Australia</w:t>
      </w:r>
      <w:r>
        <w:t xml:space="preserve"> by a relevant Australian health professional, or to the instructions provided by a relevant Australian health professional, </w:t>
      </w:r>
      <w:r>
        <w:rPr>
          <w:b/>
          <w:bCs/>
        </w:rPr>
        <w:t>and</w:t>
      </w:r>
    </w:p>
    <w:p w14:paraId="2B489401" w14:textId="77777777" w:rsidR="00D018FD" w:rsidRDefault="00D018FD" w:rsidP="00D018FD">
      <w:pPr>
        <w:pStyle w:val="ListBullet"/>
        <w:numPr>
          <w:ilvl w:val="0"/>
          <w:numId w:val="2"/>
        </w:numPr>
        <w:spacing w:before="180"/>
      </w:pPr>
      <w:r>
        <w:rPr>
          <w:b/>
          <w:bCs/>
        </w:rPr>
        <w:t>all</w:t>
      </w:r>
      <w:r>
        <w:t xml:space="preserve"> materials or </w:t>
      </w:r>
      <w:r w:rsidRPr="00515FBE">
        <w:t>other articles</w:t>
      </w:r>
      <w:r>
        <w:t xml:space="preserve"> used to manufacture the device have been included in the ARTG.</w:t>
      </w:r>
    </w:p>
    <w:p w14:paraId="1A62A449" w14:textId="77777777" w:rsidR="00D018FD" w:rsidRDefault="00D018FD" w:rsidP="00D018FD">
      <w:r>
        <w:t>We have listed ma</w:t>
      </w:r>
      <w:r w:rsidRPr="00515FBE">
        <w:t xml:space="preserve">terials and other articles used </w:t>
      </w:r>
      <w:r>
        <w:t xml:space="preserve">to </w:t>
      </w:r>
      <w:r w:rsidRPr="00515FBE">
        <w:t xml:space="preserve">manufacture externally applied </w:t>
      </w:r>
      <w:r>
        <w:t>o</w:t>
      </w:r>
      <w:r w:rsidRPr="00C87CEB">
        <w:t>rthopaedic devices (such as orthoses) a</w:t>
      </w:r>
      <w:r>
        <w:t>s</w:t>
      </w:r>
      <w:r w:rsidRPr="00C87CEB">
        <w:t xml:space="preserve"> </w:t>
      </w:r>
      <w:r w:rsidRPr="00431772">
        <w:rPr>
          <w:b/>
          <w:bCs/>
        </w:rPr>
        <w:t>specified articles</w:t>
      </w:r>
      <w:r>
        <w:rPr>
          <w:b/>
          <w:bCs/>
        </w:rPr>
        <w:t xml:space="preserve">. </w:t>
      </w:r>
      <w:r w:rsidRPr="00770BBA">
        <w:t>We regulate specified articles</w:t>
      </w:r>
      <w:r>
        <w:rPr>
          <w:b/>
          <w:bCs/>
        </w:rPr>
        <w:t xml:space="preserve"> </w:t>
      </w:r>
      <w:r>
        <w:t>as medical devices. You must include these devices in the ARTG and meet the EP before you can be import or supply them in Australia.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680E7300" w14:textId="77777777" w:rsidTr="00DD36C5">
        <w:tc>
          <w:tcPr>
            <w:tcW w:w="1276" w:type="dxa"/>
            <w:vAlign w:val="center"/>
          </w:tcPr>
          <w:p w14:paraId="554547A8" w14:textId="77777777" w:rsidR="00D018FD" w:rsidRPr="009401F6" w:rsidRDefault="00D018FD" w:rsidP="00DD36C5">
            <w:r w:rsidRPr="009401F6">
              <w:rPr>
                <w:noProof/>
                <w:lang w:eastAsia="en-AU"/>
              </w:rPr>
              <w:drawing>
                <wp:inline distT="0" distB="0" distL="0" distR="0" wp14:anchorId="412CCEFC" wp14:editId="6F0D79FA">
                  <wp:extent cx="487681" cy="487681"/>
                  <wp:effectExtent l="19050" t="0" r="7619" b="0"/>
                  <wp:docPr id="26460884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DDAC847" w14:textId="77777777" w:rsidR="00D018FD" w:rsidRDefault="00D018FD" w:rsidP="00DD36C5">
            <w:pPr>
              <w:pStyle w:val="Heading4"/>
              <w:spacing w:before="0" w:after="0"/>
              <w:rPr>
                <w:rStyle w:val="Hyperlink"/>
                <w:rFonts w:ascii="Cambria" w:hAnsi="Cambria"/>
                <w:b/>
                <w:bCs w:val="0"/>
                <w:color w:val="auto"/>
                <w:sz w:val="22"/>
                <w:szCs w:val="22"/>
              </w:rPr>
            </w:pPr>
            <w:bookmarkStart w:id="94" w:name="_Toc179453341"/>
            <w:r>
              <w:rPr>
                <w:rStyle w:val="Hyperlink"/>
                <w:rFonts w:ascii="Cambria" w:hAnsi="Cambria"/>
                <w:color w:val="auto"/>
              </w:rPr>
              <w:t>More information</w:t>
            </w:r>
            <w:bookmarkEnd w:id="94"/>
          </w:p>
          <w:p w14:paraId="2D423A3D" w14:textId="77777777" w:rsidR="00D018FD" w:rsidRDefault="004E0C92" w:rsidP="00D018FD">
            <w:pPr>
              <w:pStyle w:val="ListBullet"/>
              <w:numPr>
                <w:ilvl w:val="0"/>
                <w:numId w:val="2"/>
              </w:numPr>
              <w:spacing w:before="180"/>
            </w:pPr>
            <w:hyperlink r:id="rId55" w:history="1">
              <w:r w:rsidR="00D018FD" w:rsidRPr="00EC5F54">
                <w:rPr>
                  <w:rStyle w:val="Hyperlink"/>
                </w:rPr>
                <w:t>Therapeutic Goods (Medical Devices—Specified Articles) Instrument 2020</w:t>
              </w:r>
            </w:hyperlink>
            <w:r w:rsidR="00D018FD">
              <w:t>.</w:t>
            </w:r>
          </w:p>
          <w:p w14:paraId="60C105F5" w14:textId="77777777" w:rsidR="00D018FD" w:rsidRPr="00BC1624" w:rsidRDefault="004E0C92" w:rsidP="00D018FD">
            <w:pPr>
              <w:pStyle w:val="ListBullet"/>
              <w:numPr>
                <w:ilvl w:val="0"/>
                <w:numId w:val="2"/>
              </w:numPr>
              <w:spacing w:before="180"/>
            </w:pPr>
            <w:hyperlink w:anchor="_Do_exempt_devices" w:history="1">
              <w:r w:rsidR="00D018FD">
                <w:rPr>
                  <w:rStyle w:val="Hyperlink"/>
                </w:rPr>
                <w:t>D</w:t>
              </w:r>
              <w:r w:rsidR="00D018FD" w:rsidRPr="00E665D2">
                <w:rPr>
                  <w:rStyle w:val="Hyperlink"/>
                </w:rPr>
                <w:t>o exempt devices need to comply with EP changes?</w:t>
              </w:r>
            </w:hyperlink>
          </w:p>
        </w:tc>
      </w:tr>
    </w:tbl>
    <w:p w14:paraId="0D5EAF87" w14:textId="77777777" w:rsidR="00D018FD" w:rsidRDefault="00D018FD" w:rsidP="00D018FD">
      <w:pPr>
        <w:pStyle w:val="Heading3"/>
      </w:pPr>
      <w:bookmarkStart w:id="95" w:name="_Toc179386530"/>
      <w:bookmarkStart w:id="96" w:name="_Toc179453342"/>
      <w:r>
        <w:t>Do OTG need to comply with the EP?</w:t>
      </w:r>
      <w:bookmarkEnd w:id="95"/>
      <w:bookmarkEnd w:id="96"/>
    </w:p>
    <w:p w14:paraId="0480906F" w14:textId="77777777" w:rsidR="00D018FD" w:rsidRDefault="00D018FD" w:rsidP="00D018FD">
      <w:pPr>
        <w:keepNext/>
      </w:pPr>
      <w:r>
        <w:t>We do not regulate other therapeutic goods (OTG) as medical devices and so these products do not need to comply with the EP. Only therapeutic goods defined as a medical device must comply with the Essential Principles.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18FD" w:rsidRPr="009401F6" w14:paraId="1381F9B7" w14:textId="77777777" w:rsidTr="00DD36C5">
        <w:tc>
          <w:tcPr>
            <w:tcW w:w="1276" w:type="dxa"/>
            <w:vAlign w:val="center"/>
          </w:tcPr>
          <w:p w14:paraId="5331A340" w14:textId="77777777" w:rsidR="00D018FD" w:rsidRPr="009401F6" w:rsidRDefault="00D018FD" w:rsidP="00DD36C5">
            <w:r w:rsidRPr="009401F6">
              <w:rPr>
                <w:noProof/>
                <w:lang w:eastAsia="en-AU"/>
              </w:rPr>
              <w:drawing>
                <wp:inline distT="0" distB="0" distL="0" distR="0" wp14:anchorId="730D6341" wp14:editId="63A5A321">
                  <wp:extent cx="487681" cy="487681"/>
                  <wp:effectExtent l="19050" t="0" r="7619" b="0"/>
                  <wp:docPr id="74481746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250BF8B" w14:textId="77777777" w:rsidR="00D018FD" w:rsidRDefault="00D018FD" w:rsidP="00DD36C5">
            <w:pPr>
              <w:pStyle w:val="Heading4"/>
              <w:spacing w:before="0" w:after="0"/>
              <w:rPr>
                <w:rStyle w:val="Hyperlink"/>
                <w:rFonts w:ascii="Cambria" w:hAnsi="Cambria"/>
                <w:b/>
                <w:bCs w:val="0"/>
                <w:color w:val="auto"/>
                <w:sz w:val="22"/>
                <w:szCs w:val="22"/>
              </w:rPr>
            </w:pPr>
            <w:bookmarkStart w:id="97" w:name="_Toc179453343"/>
            <w:r>
              <w:rPr>
                <w:rStyle w:val="Hyperlink"/>
                <w:rFonts w:ascii="Cambria" w:hAnsi="Cambria"/>
                <w:color w:val="auto"/>
              </w:rPr>
              <w:t>Regulation of Other therapeutic goods (OTG)</w:t>
            </w:r>
            <w:bookmarkEnd w:id="97"/>
          </w:p>
          <w:p w14:paraId="5ED1038C" w14:textId="77777777" w:rsidR="00D018FD" w:rsidRPr="00BC1624" w:rsidRDefault="004E0C92" w:rsidP="00D018FD">
            <w:pPr>
              <w:pStyle w:val="ListBullet"/>
              <w:numPr>
                <w:ilvl w:val="0"/>
                <w:numId w:val="2"/>
              </w:numPr>
              <w:spacing w:before="180"/>
            </w:pPr>
            <w:hyperlink r:id="rId56" w:history="1">
              <w:r w:rsidR="00D018FD">
                <w:rPr>
                  <w:rStyle w:val="Hyperlink"/>
                </w:rPr>
                <w:t>D</w:t>
              </w:r>
              <w:r w:rsidR="00D018FD" w:rsidRPr="00691F6D">
                <w:rPr>
                  <w:rStyle w:val="Hyperlink"/>
                </w:rPr>
                <w:t>isinfectants, sterilants and sanitary products</w:t>
              </w:r>
            </w:hyperlink>
          </w:p>
        </w:tc>
      </w:tr>
    </w:tbl>
    <w:p w14:paraId="7C558B83" w14:textId="77777777" w:rsidR="00D018FD" w:rsidRDefault="00D018FD" w:rsidP="00D018FD">
      <w:pPr>
        <w:pStyle w:val="Heading2"/>
      </w:pPr>
      <w:bookmarkStart w:id="98" w:name="_Transition_period_1"/>
      <w:bookmarkStart w:id="99" w:name="_Toc179386531"/>
      <w:bookmarkStart w:id="100" w:name="_Toc179453344"/>
      <w:bookmarkEnd w:id="98"/>
      <w:r>
        <w:t>Transition periods and purpose of consultation</w:t>
      </w:r>
      <w:bookmarkEnd w:id="99"/>
      <w:bookmarkEnd w:id="100"/>
    </w:p>
    <w:p w14:paraId="78D61CF8" w14:textId="77777777" w:rsidR="00D018FD" w:rsidRDefault="00D018FD" w:rsidP="00D018FD">
      <w:pPr>
        <w:pStyle w:val="Heading3"/>
      </w:pPr>
      <w:bookmarkStart w:id="101" w:name="_Toc179386532"/>
      <w:bookmarkStart w:id="102" w:name="_Toc179453345"/>
      <w:r>
        <w:t>How will we apply the transition period?</w:t>
      </w:r>
      <w:bookmarkEnd w:id="101"/>
      <w:bookmarkEnd w:id="102"/>
    </w:p>
    <w:p w14:paraId="49224403" w14:textId="77777777" w:rsidR="00D018FD" w:rsidRPr="00C21725" w:rsidRDefault="00D018FD" w:rsidP="00D018FD">
      <w:r>
        <w:t>We have not yet finalised the details on the transition arrangements. We will give clarity on how the transition arrangements will work well ahead of any changes.</w:t>
      </w:r>
    </w:p>
    <w:p w14:paraId="429812E9" w14:textId="77777777" w:rsidR="00D018FD" w:rsidRDefault="00D018FD" w:rsidP="00D018FD">
      <w:pPr>
        <w:pStyle w:val="ListBullet"/>
        <w:numPr>
          <w:ilvl w:val="0"/>
          <w:numId w:val="0"/>
        </w:numPr>
      </w:pPr>
      <w:r>
        <w:t>Sponsors will not need to reapply for d</w:t>
      </w:r>
      <w:r w:rsidRPr="00ED1B29">
        <w:t>evice</w:t>
      </w:r>
      <w:r>
        <w:t>s</w:t>
      </w:r>
      <w:r w:rsidRPr="00ED1B29">
        <w:t xml:space="preserve"> included in the </w:t>
      </w:r>
      <w:r>
        <w:t>ARTG</w:t>
      </w:r>
      <w:r w:rsidRPr="00ED1B29">
        <w:t xml:space="preserve"> </w:t>
      </w:r>
      <w:r>
        <w:t>before</w:t>
      </w:r>
      <w:r w:rsidRPr="00ED1B29">
        <w:t xml:space="preserve"> the transition period end</w:t>
      </w:r>
      <w:r>
        <w:t>s. We are not planning on requiring sponsors to tell us of their compliance to any amended Essential Principles.</w:t>
      </w:r>
      <w:r w:rsidRPr="00ED1B29">
        <w:t xml:space="preserve"> </w:t>
      </w:r>
      <w:r>
        <w:t>H</w:t>
      </w:r>
      <w:r w:rsidRPr="00ED1B29">
        <w:t>owever</w:t>
      </w:r>
      <w:r>
        <w:t>,</w:t>
      </w:r>
      <w:r w:rsidRPr="00ED1B29">
        <w:t xml:space="preserve"> manufacturers must hold evidence to </w:t>
      </w:r>
      <w:r>
        <w:t>show</w:t>
      </w:r>
      <w:r w:rsidRPr="00ED1B29">
        <w:t xml:space="preserve"> </w:t>
      </w:r>
      <w:r>
        <w:t xml:space="preserve">such </w:t>
      </w:r>
      <w:r w:rsidRPr="00ED1B29">
        <w:t xml:space="preserve">compliance. </w:t>
      </w:r>
      <w:r>
        <w:t>Sponsors must be able to get this the manufacturer evidence when requested, in the legislated timeframes. We may ask for e</w:t>
      </w:r>
      <w:r w:rsidRPr="00ED1B29">
        <w:t>vidence of compliance</w:t>
      </w:r>
      <w:r>
        <w:t>,</w:t>
      </w:r>
      <w:r w:rsidRPr="00ED1B29">
        <w:t xml:space="preserve"> for example</w:t>
      </w:r>
      <w:r>
        <w:t>,</w:t>
      </w:r>
      <w:r w:rsidRPr="00ED1B29">
        <w:t xml:space="preserve"> during a post-market review or </w:t>
      </w:r>
      <w:r>
        <w:t>during an</w:t>
      </w:r>
      <w:r w:rsidRPr="00ED1B29">
        <w:t xml:space="preserve"> adverse event </w:t>
      </w:r>
      <w:r>
        <w:t xml:space="preserve">investigation </w:t>
      </w:r>
      <w:r w:rsidRPr="00ED1B29">
        <w:t xml:space="preserve">etc. </w:t>
      </w:r>
    </w:p>
    <w:p w14:paraId="5F1A5D18" w14:textId="77777777" w:rsidR="00D018FD" w:rsidRDefault="00D018FD" w:rsidP="00D018FD">
      <w:pPr>
        <w:pStyle w:val="ListBullet"/>
        <w:numPr>
          <w:ilvl w:val="0"/>
          <w:numId w:val="0"/>
        </w:numPr>
      </w:pPr>
      <w:r>
        <w:t>Where manufacturer evidence has lapsed, sponsors must tell us within 60 days. R</w:t>
      </w:r>
      <w:r w:rsidRPr="00294866">
        <w:t xml:space="preserve">efer </w:t>
      </w:r>
      <w:r>
        <w:t>also t</w:t>
      </w:r>
      <w:r w:rsidRPr="00294866">
        <w:t>o</w:t>
      </w:r>
      <w:hyperlink w:anchor="_How_will_these" w:history="1">
        <w:r w:rsidRPr="00DA3114">
          <w:t xml:space="preserve"> </w:t>
        </w:r>
        <w:r>
          <w:rPr>
            <w:rStyle w:val="Hyperlink"/>
          </w:rPr>
          <w:t>h</w:t>
        </w:r>
        <w:r w:rsidRPr="00DA3114">
          <w:rPr>
            <w:rStyle w:val="Hyperlink"/>
          </w:rPr>
          <w:t>ow will these changes impact expired manufacturer evidence in eBS</w:t>
        </w:r>
        <w:r w:rsidRPr="00AC6E79">
          <w:rPr>
            <w:rStyle w:val="Hyperlink"/>
          </w:rPr>
          <w:t>?</w:t>
        </w:r>
      </w:hyperlink>
    </w:p>
    <w:p w14:paraId="11724381" w14:textId="77777777" w:rsidR="00D018FD" w:rsidRDefault="00D018FD" w:rsidP="00D018FD">
      <w:r w:rsidRPr="00431772">
        <w:t>We are keen to hear from you on how the proposed transitional timeframes would affect you. We aim to work with industry to mitigate, as much as possible</w:t>
      </w:r>
      <w:r>
        <w:t>, disruptions to</w:t>
      </w:r>
      <w:r w:rsidRPr="00431772">
        <w:t xml:space="preserve"> supply of devices because of the </w:t>
      </w:r>
      <w:r w:rsidRPr="00431772">
        <w:lastRenderedPageBreak/>
        <w:t xml:space="preserve">proposed changes. At this stage we cannot </w:t>
      </w:r>
      <w:r>
        <w:t>give</w:t>
      </w:r>
      <w:r w:rsidRPr="00431772">
        <w:t xml:space="preserve"> a date for the proposed </w:t>
      </w:r>
      <w:r>
        <w:t>changes</w:t>
      </w:r>
      <w:r w:rsidRPr="00431772">
        <w:t xml:space="preserve"> to take effect. Once </w:t>
      </w:r>
      <w:r>
        <w:t>the government approves any</w:t>
      </w:r>
      <w:r w:rsidRPr="00431772">
        <w:t xml:space="preserve"> changes</w:t>
      </w:r>
      <w:r>
        <w:t>, the amended legislation will outline</w:t>
      </w:r>
      <w:r w:rsidRPr="00431772">
        <w:t xml:space="preserve"> the details of the Essential Principles, and </w:t>
      </w:r>
      <w:r>
        <w:t>the transition arrangements.</w:t>
      </w:r>
      <w:r w:rsidRPr="00431772">
        <w:t xml:space="preserve"> </w:t>
      </w:r>
    </w:p>
    <w:p w14:paraId="679460E9" w14:textId="77777777" w:rsidR="00D018FD" w:rsidRDefault="00D018FD" w:rsidP="00D018FD">
      <w:pPr>
        <w:pStyle w:val="Heading3"/>
      </w:pPr>
      <w:bookmarkStart w:id="103" w:name="_Transition_period"/>
      <w:bookmarkStart w:id="104" w:name="_Toc179386533"/>
      <w:bookmarkStart w:id="105" w:name="_Toc179453346"/>
      <w:bookmarkEnd w:id="103"/>
      <w:r>
        <w:t>Why are we proposing changes to the EP?</w:t>
      </w:r>
      <w:bookmarkEnd w:id="104"/>
      <w:bookmarkEnd w:id="105"/>
    </w:p>
    <w:p w14:paraId="4256BB90" w14:textId="77777777" w:rsidR="00D018FD" w:rsidRPr="0022201D" w:rsidRDefault="00D018FD" w:rsidP="00D018FD">
      <w:r>
        <w:t>The proposed changes to align with the EU regulatory framework for medical devices and in vitro diagnostic devices was an Australian Government decision.  I</w:t>
      </w:r>
      <w:r w:rsidRPr="0022201D">
        <w:t>n 2015, the review of medicines and medical devices regulation</w:t>
      </w:r>
      <w:r>
        <w:t xml:space="preserve"> (MMDR)</w:t>
      </w:r>
      <w:r w:rsidRPr="0022201D">
        <w:t xml:space="preserve"> report was released. This </w:t>
      </w:r>
      <w:r>
        <w:t>report</w:t>
      </w:r>
      <w:r w:rsidRPr="0022201D">
        <w:t xml:space="preserve"> highlighted that the Australian and European regulatory frameworks for medical devices were </w:t>
      </w:r>
      <w:r w:rsidRPr="0022201D">
        <w:rPr>
          <w:b/>
          <w:bCs/>
        </w:rPr>
        <w:t>historically closely aligned</w:t>
      </w:r>
      <w:r w:rsidRPr="0022201D">
        <w:t>, and noted minor differences between the:</w:t>
      </w:r>
    </w:p>
    <w:p w14:paraId="146652E4" w14:textId="77777777" w:rsidR="00D018FD" w:rsidRPr="0022201D" w:rsidRDefault="00D018FD" w:rsidP="00D018FD">
      <w:pPr>
        <w:pStyle w:val="ListBullet"/>
        <w:numPr>
          <w:ilvl w:val="0"/>
          <w:numId w:val="2"/>
        </w:numPr>
        <w:spacing w:before="180"/>
      </w:pPr>
      <w:r w:rsidRPr="0022201D">
        <w:t xml:space="preserve">classification systems and </w:t>
      </w:r>
    </w:p>
    <w:p w14:paraId="3486A48F" w14:textId="77777777" w:rsidR="00D018FD" w:rsidRDefault="00D018FD" w:rsidP="00D018FD">
      <w:pPr>
        <w:pStyle w:val="ListBullet"/>
        <w:numPr>
          <w:ilvl w:val="0"/>
          <w:numId w:val="2"/>
        </w:numPr>
        <w:spacing w:before="180"/>
      </w:pPr>
      <w:r w:rsidRPr="006B3737">
        <w:t xml:space="preserve">Australian Essential Principles and the equivalent European </w:t>
      </w:r>
      <w:r>
        <w:t>r</w:t>
      </w:r>
      <w:r w:rsidRPr="006B3737">
        <w:t>equirements</w:t>
      </w:r>
      <w:r>
        <w:t>.</w:t>
      </w:r>
    </w:p>
    <w:p w14:paraId="2C63D07A" w14:textId="77777777" w:rsidR="00D018FD" w:rsidRPr="00B57711" w:rsidRDefault="00D018FD" w:rsidP="00D018FD">
      <w:r>
        <w:t xml:space="preserve">The Commonwealth accepted the MMDR recommendation that </w:t>
      </w:r>
      <w:r w:rsidRPr="00B57711">
        <w:t>we were to align wherever possible, with the European Union regulations</w:t>
      </w:r>
      <w:r w:rsidRPr="00B57711">
        <w:rPr>
          <w:b/>
          <w:bCs/>
        </w:rPr>
        <w:t>,</w:t>
      </w:r>
      <w:r w:rsidRPr="00B57711">
        <w:t xml:space="preserve"> for the: </w:t>
      </w:r>
    </w:p>
    <w:p w14:paraId="0C419996" w14:textId="77777777" w:rsidR="00D018FD" w:rsidRPr="00B57711" w:rsidRDefault="00D018FD" w:rsidP="00D018FD">
      <w:pPr>
        <w:pStyle w:val="ListBullet"/>
        <w:numPr>
          <w:ilvl w:val="0"/>
          <w:numId w:val="2"/>
        </w:numPr>
        <w:spacing w:before="180"/>
      </w:pPr>
      <w:r w:rsidRPr="00B57711">
        <w:t>Essential Principles</w:t>
      </w:r>
    </w:p>
    <w:p w14:paraId="4BADCAFC" w14:textId="77777777" w:rsidR="00D018FD" w:rsidRPr="00B57711" w:rsidRDefault="00D018FD" w:rsidP="00D018FD">
      <w:pPr>
        <w:pStyle w:val="ListBullet"/>
        <w:numPr>
          <w:ilvl w:val="0"/>
          <w:numId w:val="2"/>
        </w:numPr>
        <w:spacing w:before="180"/>
      </w:pPr>
      <w:r w:rsidRPr="00B57711">
        <w:t>Classification of medical devices</w:t>
      </w:r>
    </w:p>
    <w:p w14:paraId="655107ED" w14:textId="77777777" w:rsidR="00D018FD" w:rsidRPr="00B57711" w:rsidRDefault="00D018FD" w:rsidP="00D018FD">
      <w:pPr>
        <w:pStyle w:val="ListBullet"/>
        <w:numPr>
          <w:ilvl w:val="0"/>
          <w:numId w:val="2"/>
        </w:numPr>
        <w:spacing w:before="180"/>
      </w:pPr>
      <w:r>
        <w:t>Adoption of</w:t>
      </w:r>
      <w:r w:rsidRPr="00B57711">
        <w:t xml:space="preserve"> a risk-based approach to variations to medical devices</w:t>
      </w:r>
    </w:p>
    <w:p w14:paraId="70A9FBE4" w14:textId="77777777" w:rsidR="00D018FD" w:rsidRDefault="00D018FD" w:rsidP="00D018FD">
      <w:r>
        <w:t>Should we seek to apply specific requirements, we must give a clear rationale for doing so.</w:t>
      </w:r>
    </w:p>
    <w:p w14:paraId="4628D8ED" w14:textId="77777777"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57BCB397"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16C647" w14:textId="77777777" w:rsidR="0089410A" w:rsidRPr="00215D48" w:rsidRDefault="0089410A" w:rsidP="00F807B2">
            <w:bookmarkStart w:id="106" w:name="ColumnTitle_4"/>
            <w:r w:rsidRPr="00215D48">
              <w:t>Version</w:t>
            </w:r>
          </w:p>
        </w:tc>
        <w:tc>
          <w:tcPr>
            <w:tcW w:w="3242" w:type="dxa"/>
          </w:tcPr>
          <w:p w14:paraId="0CC164E4"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2484329"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9456EE9"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06"/>
      <w:tr w:rsidR="0089410A" w:rsidRPr="00215D48" w14:paraId="55D8E82B"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D42849D" w14:textId="77777777" w:rsidR="0089410A" w:rsidRPr="00215D48" w:rsidRDefault="0089410A" w:rsidP="00F807B2">
            <w:r w:rsidRPr="00215D48">
              <w:t>V1.0</w:t>
            </w:r>
          </w:p>
        </w:tc>
        <w:tc>
          <w:tcPr>
            <w:tcW w:w="3242" w:type="dxa"/>
          </w:tcPr>
          <w:p w14:paraId="7BE6764A" w14:textId="77777777" w:rsidR="0089410A" w:rsidRPr="00215D48" w:rsidRDefault="0089410A" w:rsidP="00F807B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5354ED71" w14:textId="6FF6AB72" w:rsidR="0089410A" w:rsidRPr="00215D48" w:rsidRDefault="00D018FD" w:rsidP="00F807B2">
            <w:pPr>
              <w:cnfStyle w:val="000000000000" w:firstRow="0" w:lastRow="0" w:firstColumn="0" w:lastColumn="0" w:oddVBand="0" w:evenVBand="0" w:oddHBand="0" w:evenHBand="0" w:firstRowFirstColumn="0" w:firstRowLastColumn="0" w:lastRowFirstColumn="0" w:lastRowLastColumn="0"/>
            </w:pPr>
            <w:r>
              <w:t>Medical device Reforms Taskforce</w:t>
            </w:r>
          </w:p>
        </w:tc>
        <w:tc>
          <w:tcPr>
            <w:tcW w:w="1808" w:type="dxa"/>
          </w:tcPr>
          <w:p w14:paraId="7C25EBED" w14:textId="3B553637" w:rsidR="0089410A" w:rsidRPr="00215D48" w:rsidRDefault="00D018FD" w:rsidP="00F807B2">
            <w:pPr>
              <w:cnfStyle w:val="000000000000" w:firstRow="0" w:lastRow="0" w:firstColumn="0" w:lastColumn="0" w:oddVBand="0" w:evenVBand="0" w:oddHBand="0" w:evenHBand="0" w:firstRowFirstColumn="0" w:firstRowLastColumn="0" w:lastRowFirstColumn="0" w:lastRowLastColumn="0"/>
            </w:pPr>
            <w:r>
              <w:t>October 2024</w:t>
            </w:r>
          </w:p>
        </w:tc>
      </w:tr>
    </w:tbl>
    <w:p w14:paraId="7D4FAA3C" w14:textId="77777777" w:rsidR="0089410A" w:rsidRDefault="0089410A" w:rsidP="00DD3815">
      <w:pPr>
        <w:pStyle w:val="LegalSubheading"/>
        <w:rPr>
          <w:b/>
          <w:bCs/>
        </w:rPr>
      </w:pPr>
    </w:p>
    <w:p w14:paraId="7442C039" w14:textId="77777777" w:rsidR="00B528AB" w:rsidRDefault="00B528AB" w:rsidP="00DD3815">
      <w:pPr>
        <w:pStyle w:val="LegalSubheading"/>
        <w:rPr>
          <w:b/>
          <w:bCs/>
        </w:rPr>
        <w:sectPr w:rsidR="00B528AB" w:rsidSect="00537B47">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titlePg/>
          <w:docGrid w:linePitch="360"/>
        </w:sectPr>
      </w:pPr>
    </w:p>
    <w:p w14:paraId="3FD5316F" w14:textId="77777777" w:rsidR="00B528AB" w:rsidRPr="00DD3815" w:rsidRDefault="00B528AB" w:rsidP="00DD3815">
      <w:pPr>
        <w:pStyle w:val="LegalSubheading"/>
        <w:rPr>
          <w:b/>
          <w:bCs/>
        </w:rPr>
      </w:pPr>
    </w:p>
    <w:sectPr w:rsidR="00B528AB" w:rsidRPr="00DD3815" w:rsidSect="00537B47">
      <w:headerReference w:type="first" r:id="rId63"/>
      <w:footerReference w:type="first" r:id="rId6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B235" w14:textId="77777777" w:rsidR="00D018FD" w:rsidRDefault="00D018FD" w:rsidP="00537B47">
      <w:pPr>
        <w:spacing w:after="0" w:line="240" w:lineRule="auto"/>
      </w:pPr>
      <w:r>
        <w:separator/>
      </w:r>
    </w:p>
  </w:endnote>
  <w:endnote w:type="continuationSeparator" w:id="0">
    <w:p w14:paraId="44AA13DA" w14:textId="77777777" w:rsidR="00D018FD" w:rsidRDefault="00D018FD"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2CE8" w14:textId="77777777" w:rsidR="00D018FD" w:rsidRDefault="00D01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8D32" w14:textId="77777777"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3D128219" wp14:editId="0A15DACB">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11522"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DD3815" w:rsidRPr="00DD3815">
      <w:t xml:space="preserve">Document title </w:t>
    </w:r>
  </w:p>
  <w:p w14:paraId="4CC893B3" w14:textId="77777777" w:rsidR="00DD3815" w:rsidRPr="00DD3815" w:rsidRDefault="00DD3815" w:rsidP="00DD3815">
    <w:pPr>
      <w:pStyle w:val="Footer"/>
    </w:pPr>
    <w:r w:rsidRPr="00DD3815">
      <w:t>V1.0 Month Year</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6185"/>
      <w:showingPlcHdr/>
      <w:picture/>
    </w:sdtPr>
    <w:sdtEndPr/>
    <w:sdtContent>
      <w:p w14:paraId="29A860CD"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34CEFAAB" wp14:editId="03733184">
              <wp:simplePos x="0" y="0"/>
              <wp:positionH relativeFrom="column">
                <wp:posOffset>-918210</wp:posOffset>
              </wp:positionH>
              <wp:positionV relativeFrom="paragraph">
                <wp:posOffset>-4500880</wp:posOffset>
              </wp:positionV>
              <wp:extent cx="7567200" cy="507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01D97B48" w14:textId="77777777" w:rsidTr="00574690">
      <w:trPr>
        <w:trHeight w:hRule="exact" w:val="565"/>
        <w:jc w:val="center"/>
      </w:trPr>
      <w:tc>
        <w:tcPr>
          <w:tcW w:w="9145" w:type="dxa"/>
        </w:tcPr>
        <w:p w14:paraId="67F01EC6" w14:textId="77777777" w:rsidR="00B528AB" w:rsidRPr="00215D48" w:rsidRDefault="00B528AB" w:rsidP="00B528AB">
          <w:pPr>
            <w:pStyle w:val="TGASignoff"/>
          </w:pPr>
          <w:r w:rsidRPr="00215D48">
            <w:t>Therapeutic Goods Administration</w:t>
          </w:r>
        </w:p>
      </w:tc>
    </w:tr>
    <w:tr w:rsidR="00B528AB" w:rsidRPr="00215D48" w14:paraId="4FD22B35" w14:textId="77777777" w:rsidTr="00574690">
      <w:trPr>
        <w:trHeight w:val="963"/>
        <w:jc w:val="center"/>
      </w:trPr>
      <w:tc>
        <w:tcPr>
          <w:tcW w:w="9145" w:type="dxa"/>
          <w:tcMar>
            <w:top w:w="28" w:type="dxa"/>
          </w:tcMar>
        </w:tcPr>
        <w:p w14:paraId="0F5B3B79" w14:textId="77777777" w:rsidR="00B528AB" w:rsidRPr="00215D48" w:rsidRDefault="00B528AB" w:rsidP="00B528AB">
          <w:pPr>
            <w:pStyle w:val="Address"/>
            <w:jc w:val="center"/>
          </w:pPr>
          <w:r w:rsidRPr="00215D48">
            <w:t>PO Box 100 Woden ACT 2606 Australia</w:t>
          </w:r>
        </w:p>
        <w:p w14:paraId="3A053AEB"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75B22F6C"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75460C93" w14:textId="77777777" w:rsidTr="00574690">
      <w:trPr>
        <w:trHeight w:val="251"/>
        <w:jc w:val="center"/>
      </w:trPr>
      <w:tc>
        <w:tcPr>
          <w:tcW w:w="9145" w:type="dxa"/>
          <w:tcMar>
            <w:top w:w="28" w:type="dxa"/>
          </w:tcMar>
        </w:tcPr>
        <w:p w14:paraId="4CD07C86" w14:textId="0B2465AD" w:rsidR="00B528AB" w:rsidRPr="00215D48" w:rsidRDefault="00B528AB" w:rsidP="00B528AB">
          <w:pPr>
            <w:pStyle w:val="Address"/>
            <w:jc w:val="center"/>
          </w:pPr>
          <w:r w:rsidRPr="00215D48">
            <w:t>Reference</w:t>
          </w:r>
          <w:r w:rsidR="00D018FD">
            <w:t xml:space="preserve">: </w:t>
          </w:r>
          <w:r w:rsidR="00D018FD" w:rsidRPr="00D018FD">
            <w:t>D24-4049631</w:t>
          </w:r>
        </w:p>
      </w:tc>
    </w:tr>
  </w:tbl>
  <w:p w14:paraId="1B5D52D3"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9F40" w14:textId="77777777" w:rsidR="00D018FD" w:rsidRDefault="00D018FD" w:rsidP="00537B47">
      <w:pPr>
        <w:spacing w:after="0" w:line="240" w:lineRule="auto"/>
      </w:pPr>
      <w:r>
        <w:separator/>
      </w:r>
    </w:p>
  </w:footnote>
  <w:footnote w:type="continuationSeparator" w:id="0">
    <w:p w14:paraId="679039D2" w14:textId="77777777" w:rsidR="00D018FD" w:rsidRDefault="00D018FD"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26E5" w14:textId="77777777" w:rsidR="00D018FD" w:rsidRDefault="00D01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49F8" w14:textId="77777777" w:rsidR="005F6958" w:rsidRDefault="00DD3815" w:rsidP="00DD3815">
    <w:pPr>
      <w:pStyle w:val="Header"/>
      <w:tabs>
        <w:tab w:val="left" w:pos="8115"/>
      </w:tabs>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07B8" w14:textId="77777777" w:rsidR="00537B47" w:rsidRDefault="005F6958" w:rsidP="005F6958">
    <w:r>
      <w:rPr>
        <w:noProof/>
      </w:rPr>
      <w:drawing>
        <wp:anchor distT="0" distB="0" distL="114300" distR="114300" simplePos="0" relativeHeight="251659264" behindDoc="1" locked="0" layoutInCell="1" allowOverlap="1" wp14:anchorId="03774BD5" wp14:editId="12A4D2B2">
          <wp:simplePos x="0" y="0"/>
          <wp:positionH relativeFrom="column">
            <wp:posOffset>-228600</wp:posOffset>
          </wp:positionH>
          <wp:positionV relativeFrom="paragraph">
            <wp:posOffset>72390</wp:posOffset>
          </wp:positionV>
          <wp:extent cx="2245311" cy="52197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8339F80" wp14:editId="4F7ACB1D">
          <wp:simplePos x="0" y="0"/>
          <wp:positionH relativeFrom="page">
            <wp:align>right</wp:align>
          </wp:positionH>
          <wp:positionV relativeFrom="paragraph">
            <wp:posOffset>3122930</wp:posOffset>
          </wp:positionV>
          <wp:extent cx="7553325" cy="4260356"/>
          <wp:effectExtent l="0" t="0" r="0" b="6985"/>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06E8"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9E67F8"/>
    <w:multiLevelType w:val="multilevel"/>
    <w:tmpl w:val="AC1A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2F9052B"/>
    <w:multiLevelType w:val="hybridMultilevel"/>
    <w:tmpl w:val="0994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9E63C3E"/>
    <w:multiLevelType w:val="hybridMultilevel"/>
    <w:tmpl w:val="97040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B40BCA"/>
    <w:multiLevelType w:val="hybridMultilevel"/>
    <w:tmpl w:val="675CA578"/>
    <w:lvl w:ilvl="0" w:tplc="9E5CAE1C">
      <w:start w:val="1"/>
      <w:numFmt w:val="decimal"/>
      <w:pStyle w:val="Legislativenumbers"/>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B95C3E"/>
    <w:multiLevelType w:val="hybridMultilevel"/>
    <w:tmpl w:val="F580D700"/>
    <w:lvl w:ilvl="0" w:tplc="DC56849C">
      <w:start w:val="1"/>
      <w:numFmt w:val="lowerLetter"/>
      <w:pStyle w:val="Legislativeletterbullet"/>
      <w:lvlText w:val="(%1)"/>
      <w:lvlJc w:val="left"/>
      <w:pPr>
        <w:ind w:left="502" w:hanging="360"/>
      </w:pPr>
      <w:rPr>
        <w:rFonts w:hint="default"/>
        <w:b w:val="0"/>
        <w:bCs w:val="0"/>
        <w:color w:val="auto"/>
      </w:rPr>
    </w:lvl>
    <w:lvl w:ilvl="1" w:tplc="0C090019">
      <w:start w:val="1"/>
      <w:numFmt w:val="lowerLetter"/>
      <w:lvlText w:val="%2."/>
      <w:lvlJc w:val="left"/>
      <w:pPr>
        <w:ind w:left="1865" w:hanging="360"/>
      </w:pPr>
    </w:lvl>
    <w:lvl w:ilvl="2" w:tplc="0C09001B">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16cid:durableId="2109737033">
    <w:abstractNumId w:val="2"/>
  </w:num>
  <w:num w:numId="2" w16cid:durableId="1244874731">
    <w:abstractNumId w:val="8"/>
  </w:num>
  <w:num w:numId="3" w16cid:durableId="1834369178">
    <w:abstractNumId w:val="5"/>
  </w:num>
  <w:num w:numId="4" w16cid:durableId="729621980">
    <w:abstractNumId w:val="4"/>
  </w:num>
  <w:num w:numId="5" w16cid:durableId="467238759">
    <w:abstractNumId w:val="11"/>
  </w:num>
  <w:num w:numId="6" w16cid:durableId="1237932114">
    <w:abstractNumId w:val="12"/>
  </w:num>
  <w:num w:numId="7" w16cid:durableId="1799059278">
    <w:abstractNumId w:val="1"/>
  </w:num>
  <w:num w:numId="8" w16cid:durableId="1712530828">
    <w:abstractNumId w:val="8"/>
  </w:num>
  <w:num w:numId="9" w16cid:durableId="1529752905">
    <w:abstractNumId w:val="0"/>
  </w:num>
  <w:num w:numId="10" w16cid:durableId="1693191331">
    <w:abstractNumId w:val="7"/>
  </w:num>
  <w:num w:numId="11" w16cid:durableId="1110271873">
    <w:abstractNumId w:val="8"/>
  </w:num>
  <w:num w:numId="12" w16cid:durableId="991257336">
    <w:abstractNumId w:val="5"/>
  </w:num>
  <w:num w:numId="13" w16cid:durableId="1860776656">
    <w:abstractNumId w:val="13"/>
  </w:num>
  <w:num w:numId="14" w16cid:durableId="52388051">
    <w:abstractNumId w:val="5"/>
  </w:num>
  <w:num w:numId="15" w16cid:durableId="678315269">
    <w:abstractNumId w:val="10"/>
  </w:num>
  <w:num w:numId="16" w16cid:durableId="690225687">
    <w:abstractNumId w:val="14"/>
    <w:lvlOverride w:ilvl="0">
      <w:startOverride w:val="1"/>
    </w:lvlOverride>
  </w:num>
  <w:num w:numId="17" w16cid:durableId="1994287811">
    <w:abstractNumId w:val="6"/>
  </w:num>
  <w:num w:numId="18" w16cid:durableId="71896732">
    <w:abstractNumId w:val="9"/>
  </w:num>
  <w:num w:numId="19" w16cid:durableId="532036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FD"/>
    <w:rsid w:val="00041AC8"/>
    <w:rsid w:val="0016606E"/>
    <w:rsid w:val="001A6E57"/>
    <w:rsid w:val="0020324F"/>
    <w:rsid w:val="002A0D54"/>
    <w:rsid w:val="00444E0E"/>
    <w:rsid w:val="004E0C92"/>
    <w:rsid w:val="004E2F19"/>
    <w:rsid w:val="00537B47"/>
    <w:rsid w:val="00574AB1"/>
    <w:rsid w:val="0058575E"/>
    <w:rsid w:val="005F6958"/>
    <w:rsid w:val="006B19D8"/>
    <w:rsid w:val="007633FE"/>
    <w:rsid w:val="007F0A77"/>
    <w:rsid w:val="007F5F27"/>
    <w:rsid w:val="00820CF4"/>
    <w:rsid w:val="00830C91"/>
    <w:rsid w:val="0089410A"/>
    <w:rsid w:val="008B078A"/>
    <w:rsid w:val="008C7621"/>
    <w:rsid w:val="008C7764"/>
    <w:rsid w:val="008E6696"/>
    <w:rsid w:val="008E728F"/>
    <w:rsid w:val="00977F26"/>
    <w:rsid w:val="009A4C15"/>
    <w:rsid w:val="00B528AB"/>
    <w:rsid w:val="00B55641"/>
    <w:rsid w:val="00BA389C"/>
    <w:rsid w:val="00BC4008"/>
    <w:rsid w:val="00C12A2D"/>
    <w:rsid w:val="00CC3276"/>
    <w:rsid w:val="00D018FD"/>
    <w:rsid w:val="00D13F8A"/>
    <w:rsid w:val="00D82083"/>
    <w:rsid w:val="00D918D5"/>
    <w:rsid w:val="00DD3815"/>
    <w:rsid w:val="00E17F93"/>
    <w:rsid w:val="00E905BC"/>
    <w:rsid w:val="00EB1567"/>
    <w:rsid w:val="00F35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5347"/>
  <w15:chartTrackingRefBased/>
  <w15:docId w15:val="{D3193DF6-F816-47FA-A5D3-ECD48E4A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D018FD"/>
    <w:pPr>
      <w:keepNext/>
      <w:keepLines/>
      <w:spacing w:before="240" w:after="60" w:line="180" w:lineRule="atLeast"/>
      <w:outlineLvl w:val="6"/>
    </w:pPr>
    <w:rPr>
      <w:rFonts w:ascii="Cambria" w:eastAsia="Times New Roman" w:hAnsi="Cambria"/>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aliases w:val="(NECG) Footnote Reference"/>
    <w:basedOn w:val="DefaultParagraphFont"/>
    <w:uiPriority w:val="99"/>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2"/>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2"/>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character" w:customStyle="1" w:styleId="Heading7Char">
    <w:name w:val="Heading 7 Char"/>
    <w:basedOn w:val="DefaultParagraphFont"/>
    <w:link w:val="Heading7"/>
    <w:uiPriority w:val="9"/>
    <w:rsid w:val="00D018FD"/>
    <w:rPr>
      <w:rFonts w:ascii="Cambria" w:eastAsia="Times New Roman" w:hAnsi="Cambria"/>
      <w:bCs/>
      <w:i/>
      <w:sz w:val="22"/>
      <w:szCs w:val="22"/>
    </w:rPr>
  </w:style>
  <w:style w:type="paragraph" w:styleId="BalloonText">
    <w:name w:val="Balloon Text"/>
    <w:basedOn w:val="Normal"/>
    <w:link w:val="BalloonTextChar"/>
    <w:uiPriority w:val="99"/>
    <w:semiHidden/>
    <w:unhideWhenUsed/>
    <w:rsid w:val="00D018FD"/>
    <w:pPr>
      <w:spacing w:before="180" w:after="18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D018FD"/>
    <w:rPr>
      <w:rFonts w:ascii="Tahoma" w:eastAsia="Cambria" w:hAnsi="Tahoma" w:cs="Tahoma"/>
      <w:sz w:val="16"/>
      <w:szCs w:val="16"/>
    </w:rPr>
  </w:style>
  <w:style w:type="paragraph" w:customStyle="1" w:styleId="Figuredescription">
    <w:name w:val="Figure description"/>
    <w:basedOn w:val="Normal"/>
    <w:next w:val="Normal"/>
    <w:rsid w:val="00D018FD"/>
    <w:pPr>
      <w:spacing w:before="180" w:after="240" w:line="180" w:lineRule="atLeast"/>
    </w:pPr>
    <w:rPr>
      <w:rFonts w:ascii="Cambria" w:eastAsia="Cambria" w:hAnsi="Cambria"/>
      <w:sz w:val="18"/>
      <w:szCs w:val="22"/>
    </w:rPr>
  </w:style>
  <w:style w:type="paragraph" w:customStyle="1" w:styleId="Figuretitle">
    <w:name w:val="Figure title"/>
    <w:basedOn w:val="Normal"/>
    <w:next w:val="Normal"/>
    <w:rsid w:val="00D018FD"/>
    <w:pPr>
      <w:spacing w:before="180" w:after="180" w:line="240" w:lineRule="atLeast"/>
      <w:outlineLvl w:val="4"/>
    </w:pPr>
    <w:rPr>
      <w:rFonts w:ascii="Cambria" w:eastAsia="Cambria" w:hAnsi="Cambria"/>
      <w:b/>
      <w:sz w:val="22"/>
      <w:szCs w:val="22"/>
    </w:rPr>
  </w:style>
  <w:style w:type="character" w:styleId="FollowedHyperlink">
    <w:name w:val="FollowedHyperlink"/>
    <w:basedOn w:val="DefaultParagraphFont"/>
    <w:semiHidden/>
    <w:unhideWhenUsed/>
    <w:rsid w:val="00D018FD"/>
    <w:rPr>
      <w:color w:val="800080"/>
      <w:u w:val="single"/>
    </w:rPr>
  </w:style>
  <w:style w:type="table" w:styleId="LightShading-Accent2">
    <w:name w:val="Light Shading Accent 2"/>
    <w:basedOn w:val="TableNormal"/>
    <w:uiPriority w:val="60"/>
    <w:rsid w:val="00D018FD"/>
    <w:pPr>
      <w:spacing w:after="200" w:line="0" w:lineRule="auto"/>
    </w:pPr>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D018FD"/>
    <w:pPr>
      <w:spacing w:after="200" w:line="0" w:lineRule="auto"/>
    </w:pPr>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tes">
    <w:name w:val="Notes"/>
    <w:basedOn w:val="Normal"/>
    <w:semiHidden/>
    <w:locked/>
    <w:rsid w:val="00D018FD"/>
    <w:pPr>
      <w:spacing w:before="180" w:after="180" w:line="240" w:lineRule="auto"/>
    </w:pPr>
    <w:rPr>
      <w:rFonts w:eastAsia="Cambria"/>
      <w:sz w:val="16"/>
      <w:szCs w:val="22"/>
    </w:rPr>
  </w:style>
  <w:style w:type="paragraph" w:customStyle="1" w:styleId="Reference">
    <w:name w:val="Reference"/>
    <w:basedOn w:val="Normal"/>
    <w:rsid w:val="00D018FD"/>
    <w:pPr>
      <w:spacing w:before="40" w:after="180" w:line="240" w:lineRule="atLeast"/>
      <w:ind w:left="170" w:hanging="170"/>
    </w:pPr>
    <w:rPr>
      <w:rFonts w:ascii="Cambria" w:eastAsia="Cambria" w:hAnsi="Cambria"/>
      <w:sz w:val="19"/>
      <w:szCs w:val="22"/>
    </w:rPr>
  </w:style>
  <w:style w:type="table" w:customStyle="1" w:styleId="TableTGAblue">
    <w:name w:val="Table TGA blue"/>
    <w:basedOn w:val="TableNormal"/>
    <w:uiPriority w:val="99"/>
    <w:qFormat/>
    <w:rsid w:val="00D018FD"/>
    <w:pPr>
      <w:spacing w:after="200" w:line="0" w:lineRule="auto"/>
    </w:pPr>
    <w:rPr>
      <w:rFonts w:ascii="Cambria" w:eastAsia="Cambria" w:hAnsi="Cambria"/>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D018FD"/>
    <w:pPr>
      <w:spacing w:after="200" w:line="0" w:lineRule="auto"/>
    </w:pPr>
    <w:rPr>
      <w:rFonts w:ascii="Cambria" w:eastAsia="Cambria" w:hAnsi="Cambria"/>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Subject">
    <w:name w:val="Subject"/>
    <w:basedOn w:val="Normal"/>
    <w:rsid w:val="00D018FD"/>
    <w:pPr>
      <w:spacing w:before="180" w:after="180" w:line="240" w:lineRule="atLeast"/>
    </w:pPr>
    <w:rPr>
      <w:rFonts w:ascii="Cambria" w:eastAsia="Cambria" w:hAnsi="Cambria"/>
      <w:b/>
      <w:sz w:val="22"/>
      <w:szCs w:val="22"/>
    </w:rPr>
  </w:style>
  <w:style w:type="paragraph" w:styleId="Caption">
    <w:name w:val="caption"/>
    <w:basedOn w:val="Tabletitle"/>
    <w:next w:val="Normal"/>
    <w:uiPriority w:val="35"/>
    <w:semiHidden/>
    <w:rsid w:val="00D018FD"/>
    <w:pPr>
      <w:spacing w:before="180"/>
      <w:outlineLvl w:val="4"/>
    </w:pPr>
    <w:rPr>
      <w:rFonts w:ascii="Cambria" w:hAnsi="Cambria" w:cstheme="minorBidi"/>
      <w:color w:val="auto"/>
      <w:sz w:val="22"/>
      <w:szCs w:val="22"/>
    </w:rPr>
  </w:style>
  <w:style w:type="paragraph" w:customStyle="1" w:styleId="FlowChartWhiteText">
    <w:name w:val="Flow Chart White Text"/>
    <w:basedOn w:val="Normal"/>
    <w:semiHidden/>
    <w:unhideWhenUsed/>
    <w:rsid w:val="00D018FD"/>
    <w:pPr>
      <w:spacing w:before="180" w:after="180" w:line="240" w:lineRule="atLeast"/>
      <w:jc w:val="center"/>
    </w:pPr>
    <w:rPr>
      <w:rFonts w:eastAsia="Cambria"/>
      <w:color w:val="FFFFFF"/>
      <w:sz w:val="22"/>
      <w:szCs w:val="22"/>
    </w:rPr>
  </w:style>
  <w:style w:type="paragraph" w:customStyle="1" w:styleId="FlowchartText">
    <w:name w:val="Flowchart Text"/>
    <w:basedOn w:val="Normal"/>
    <w:semiHidden/>
    <w:unhideWhenUsed/>
    <w:rsid w:val="00D018FD"/>
    <w:pPr>
      <w:spacing w:before="180" w:after="180" w:line="240" w:lineRule="atLeast"/>
      <w:jc w:val="center"/>
    </w:pPr>
    <w:rPr>
      <w:rFonts w:eastAsia="Cambria"/>
      <w:sz w:val="22"/>
      <w:szCs w:val="22"/>
    </w:rPr>
  </w:style>
  <w:style w:type="paragraph" w:customStyle="1" w:styleId="Quotation">
    <w:name w:val="Quotation"/>
    <w:basedOn w:val="Normal"/>
    <w:next w:val="Normal"/>
    <w:uiPriority w:val="4"/>
    <w:qFormat/>
    <w:rsid w:val="00D018FD"/>
    <w:pPr>
      <w:spacing w:before="180" w:after="180" w:line="240" w:lineRule="atLeast"/>
      <w:ind w:left="425"/>
    </w:pPr>
    <w:rPr>
      <w:rFonts w:ascii="Cambria" w:eastAsia="Cambria" w:hAnsi="Cambria"/>
      <w:szCs w:val="22"/>
    </w:rPr>
  </w:style>
  <w:style w:type="paragraph" w:styleId="TOC4">
    <w:name w:val="toc 4"/>
    <w:basedOn w:val="Normal"/>
    <w:next w:val="Normal"/>
    <w:autoRedefine/>
    <w:uiPriority w:val="39"/>
    <w:unhideWhenUsed/>
    <w:rsid w:val="00D018FD"/>
    <w:pPr>
      <w:keepLines/>
      <w:tabs>
        <w:tab w:val="right" w:leader="underscore" w:pos="9072"/>
      </w:tabs>
      <w:spacing w:before="180" w:after="100" w:line="240" w:lineRule="atLeast"/>
      <w:ind w:left="1276"/>
    </w:pPr>
    <w:rPr>
      <w:rFonts w:ascii="Cambria" w:eastAsia="Cambria" w:hAnsi="Cambria"/>
      <w:sz w:val="22"/>
      <w:szCs w:val="22"/>
    </w:rPr>
  </w:style>
  <w:style w:type="paragraph" w:styleId="TOC5">
    <w:name w:val="toc 5"/>
    <w:basedOn w:val="Normal"/>
    <w:next w:val="Normal"/>
    <w:autoRedefine/>
    <w:uiPriority w:val="39"/>
    <w:unhideWhenUsed/>
    <w:rsid w:val="00D018FD"/>
    <w:pPr>
      <w:keepLines/>
      <w:tabs>
        <w:tab w:val="left" w:leader="underscore" w:pos="9072"/>
      </w:tabs>
      <w:spacing w:before="180" w:after="100" w:line="240" w:lineRule="atLeast"/>
      <w:ind w:left="1701"/>
    </w:pPr>
    <w:rPr>
      <w:rFonts w:ascii="Cambria" w:eastAsia="Cambria" w:hAnsi="Cambria"/>
      <w:noProof/>
      <w:sz w:val="22"/>
      <w:szCs w:val="22"/>
    </w:rPr>
  </w:style>
  <w:style w:type="paragraph" w:styleId="TOC6">
    <w:name w:val="toc 6"/>
    <w:basedOn w:val="Normal"/>
    <w:next w:val="Normal"/>
    <w:autoRedefine/>
    <w:uiPriority w:val="39"/>
    <w:semiHidden/>
    <w:unhideWhenUsed/>
    <w:rsid w:val="00D018FD"/>
    <w:pPr>
      <w:tabs>
        <w:tab w:val="right" w:pos="8505"/>
      </w:tabs>
      <w:spacing w:before="180" w:after="100" w:line="240" w:lineRule="atLeast"/>
      <w:ind w:left="2126"/>
    </w:pPr>
    <w:rPr>
      <w:rFonts w:ascii="Cambria" w:eastAsia="Cambria" w:hAnsi="Cambria"/>
      <w:sz w:val="22"/>
      <w:szCs w:val="22"/>
    </w:rPr>
  </w:style>
  <w:style w:type="paragraph" w:styleId="TOC7">
    <w:name w:val="toc 7"/>
    <w:basedOn w:val="Normal"/>
    <w:next w:val="Normal"/>
    <w:autoRedefine/>
    <w:uiPriority w:val="39"/>
    <w:semiHidden/>
    <w:unhideWhenUsed/>
    <w:rsid w:val="00D018FD"/>
    <w:pPr>
      <w:spacing w:before="180" w:after="100" w:line="240" w:lineRule="atLeast"/>
      <w:ind w:left="2211"/>
    </w:pPr>
    <w:rPr>
      <w:rFonts w:ascii="Cambria" w:eastAsia="Cambria" w:hAnsi="Cambria"/>
      <w:sz w:val="22"/>
      <w:szCs w:val="22"/>
    </w:rPr>
  </w:style>
  <w:style w:type="paragraph" w:styleId="EndnoteText">
    <w:name w:val="endnote text"/>
    <w:basedOn w:val="FootnoteText"/>
    <w:link w:val="EndnoteTextChar"/>
    <w:semiHidden/>
    <w:unhideWhenUsed/>
    <w:rsid w:val="00D018FD"/>
    <w:pPr>
      <w:spacing w:before="180" w:after="180"/>
    </w:pPr>
    <w:rPr>
      <w:rFonts w:ascii="Cambria" w:hAnsi="Cambria" w:cstheme="minorBidi"/>
      <w:color w:val="auto"/>
      <w:sz w:val="20"/>
      <w:szCs w:val="22"/>
    </w:rPr>
  </w:style>
  <w:style w:type="character" w:customStyle="1" w:styleId="EndnoteTextChar">
    <w:name w:val="Endnote Text Char"/>
    <w:basedOn w:val="DefaultParagraphFont"/>
    <w:link w:val="EndnoteText"/>
    <w:semiHidden/>
    <w:rsid w:val="00D018FD"/>
    <w:rPr>
      <w:rFonts w:ascii="Cambria" w:eastAsia="Cambria" w:hAnsi="Cambria"/>
      <w:szCs w:val="22"/>
    </w:rPr>
  </w:style>
  <w:style w:type="character" w:styleId="EndnoteReference">
    <w:name w:val="endnote reference"/>
    <w:basedOn w:val="DefaultParagraphFont"/>
    <w:uiPriority w:val="99"/>
    <w:semiHidden/>
    <w:unhideWhenUsed/>
    <w:rsid w:val="00D018FD"/>
    <w:rPr>
      <w:vertAlign w:val="superscript"/>
    </w:rPr>
  </w:style>
  <w:style w:type="paragraph" w:styleId="TableofFigures">
    <w:name w:val="table of figures"/>
    <w:basedOn w:val="Normal"/>
    <w:next w:val="Normal"/>
    <w:uiPriority w:val="99"/>
    <w:semiHidden/>
    <w:unhideWhenUsed/>
    <w:rsid w:val="00D018FD"/>
    <w:pPr>
      <w:spacing w:before="180" w:after="180" w:line="240" w:lineRule="atLeast"/>
    </w:pPr>
    <w:rPr>
      <w:rFonts w:ascii="Cambria" w:eastAsia="Cambria" w:hAnsi="Cambria"/>
      <w:sz w:val="22"/>
      <w:szCs w:val="22"/>
    </w:rPr>
  </w:style>
  <w:style w:type="character" w:styleId="UnresolvedMention">
    <w:name w:val="Unresolved Mention"/>
    <w:basedOn w:val="DefaultParagraphFont"/>
    <w:uiPriority w:val="99"/>
    <w:semiHidden/>
    <w:unhideWhenUsed/>
    <w:rsid w:val="00D018FD"/>
    <w:rPr>
      <w:color w:val="605E5C"/>
      <w:shd w:val="clear" w:color="auto" w:fill="E1DFDD"/>
    </w:rPr>
  </w:style>
  <w:style w:type="paragraph" w:styleId="NormalWeb">
    <w:name w:val="Normal (Web)"/>
    <w:basedOn w:val="Normal"/>
    <w:uiPriority w:val="99"/>
    <w:unhideWhenUsed/>
    <w:rsid w:val="00D018F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018FD"/>
    <w:rPr>
      <w:sz w:val="16"/>
      <w:szCs w:val="16"/>
    </w:rPr>
  </w:style>
  <w:style w:type="paragraph" w:styleId="CommentText">
    <w:name w:val="annotation text"/>
    <w:basedOn w:val="Normal"/>
    <w:link w:val="CommentTextChar"/>
    <w:uiPriority w:val="99"/>
    <w:unhideWhenUsed/>
    <w:rsid w:val="00D018FD"/>
    <w:pPr>
      <w:spacing w:before="180" w:after="180" w:line="240" w:lineRule="auto"/>
    </w:pPr>
    <w:rPr>
      <w:rFonts w:ascii="Cambria" w:eastAsia="Cambria" w:hAnsi="Cambria"/>
    </w:rPr>
  </w:style>
  <w:style w:type="character" w:customStyle="1" w:styleId="CommentTextChar">
    <w:name w:val="Comment Text Char"/>
    <w:basedOn w:val="DefaultParagraphFont"/>
    <w:link w:val="CommentText"/>
    <w:uiPriority w:val="99"/>
    <w:rsid w:val="00D018FD"/>
    <w:rPr>
      <w:rFonts w:ascii="Cambria" w:eastAsia="Cambria" w:hAnsi="Cambria"/>
    </w:rPr>
  </w:style>
  <w:style w:type="paragraph" w:styleId="CommentSubject">
    <w:name w:val="annotation subject"/>
    <w:basedOn w:val="CommentText"/>
    <w:next w:val="CommentText"/>
    <w:link w:val="CommentSubjectChar"/>
    <w:uiPriority w:val="99"/>
    <w:semiHidden/>
    <w:unhideWhenUsed/>
    <w:rsid w:val="00D018FD"/>
    <w:rPr>
      <w:b/>
      <w:bCs/>
    </w:rPr>
  </w:style>
  <w:style w:type="character" w:customStyle="1" w:styleId="CommentSubjectChar">
    <w:name w:val="Comment Subject Char"/>
    <w:basedOn w:val="CommentTextChar"/>
    <w:link w:val="CommentSubject"/>
    <w:uiPriority w:val="99"/>
    <w:semiHidden/>
    <w:rsid w:val="00D018FD"/>
    <w:rPr>
      <w:rFonts w:ascii="Cambria" w:eastAsia="Cambria" w:hAnsi="Cambria"/>
      <w:b/>
      <w:bCs/>
    </w:rPr>
  </w:style>
  <w:style w:type="character" w:styleId="Strong">
    <w:name w:val="Strong"/>
    <w:basedOn w:val="DefaultParagraphFont"/>
    <w:uiPriority w:val="22"/>
    <w:qFormat/>
    <w:rsid w:val="00D018FD"/>
    <w:rPr>
      <w:b/>
      <w:bCs/>
    </w:rPr>
  </w:style>
  <w:style w:type="paragraph" w:customStyle="1" w:styleId="Legislativeletterbullet">
    <w:name w:val="Legislative letter bullet"/>
    <w:basedOn w:val="ListBullet2"/>
    <w:link w:val="LegislativeletterbulletChar"/>
    <w:uiPriority w:val="2"/>
    <w:qFormat/>
    <w:rsid w:val="00D018FD"/>
    <w:pPr>
      <w:numPr>
        <w:ilvl w:val="0"/>
        <w:numId w:val="16"/>
      </w:numPr>
    </w:pPr>
    <w:rPr>
      <w:rFonts w:asciiTheme="minorHAnsi" w:hAnsiTheme="minorHAnsi" w:cstheme="minorHAnsi"/>
      <w:sz w:val="21"/>
      <w:szCs w:val="21"/>
      <w:lang w:eastAsia="en-AU"/>
    </w:rPr>
  </w:style>
  <w:style w:type="paragraph" w:customStyle="1" w:styleId="TableTitle0">
    <w:name w:val="Table Title"/>
    <w:basedOn w:val="Normal"/>
    <w:qFormat/>
    <w:rsid w:val="00D018FD"/>
    <w:pPr>
      <w:adjustRightInd w:val="0"/>
      <w:snapToGrid w:val="0"/>
      <w:spacing w:before="180" w:after="180" w:line="240" w:lineRule="atLeast"/>
    </w:pPr>
    <w:rPr>
      <w:rFonts w:asciiTheme="minorHAnsi" w:eastAsia="Cambria" w:hAnsiTheme="minorHAnsi" w:cs="Arial"/>
      <w:b/>
      <w:color w:val="333F48"/>
      <w:sz w:val="21"/>
      <w:szCs w:val="22"/>
      <w:lang w:eastAsia="en-AU"/>
    </w:rPr>
  </w:style>
  <w:style w:type="table" w:customStyle="1" w:styleId="TableGrid1">
    <w:name w:val="Table Grid1"/>
    <w:basedOn w:val="TableNormal"/>
    <w:next w:val="TableGrid"/>
    <w:uiPriority w:val="59"/>
    <w:rsid w:val="00D018FD"/>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islativenumbers">
    <w:name w:val="Legislative numbers"/>
    <w:basedOn w:val="Legislativeletterbullet"/>
    <w:link w:val="LegislativenumbersChar"/>
    <w:qFormat/>
    <w:rsid w:val="00D018FD"/>
    <w:pPr>
      <w:numPr>
        <w:numId w:val="15"/>
      </w:numPr>
      <w:spacing w:after="120" w:line="240" w:lineRule="auto"/>
    </w:pPr>
    <w:rPr>
      <w:rFonts w:cs="Arial"/>
    </w:rPr>
  </w:style>
  <w:style w:type="character" w:customStyle="1" w:styleId="LegislativeletterbulletChar">
    <w:name w:val="Legislative letter bullet Char"/>
    <w:basedOn w:val="DefaultParagraphFont"/>
    <w:link w:val="Legislativeletterbullet"/>
    <w:uiPriority w:val="2"/>
    <w:rsid w:val="00D018FD"/>
    <w:rPr>
      <w:rFonts w:asciiTheme="minorHAnsi" w:eastAsia="Cambria" w:hAnsiTheme="minorHAnsi" w:cstheme="minorHAnsi"/>
      <w:color w:val="333F48"/>
      <w:sz w:val="21"/>
      <w:szCs w:val="21"/>
      <w:lang w:eastAsia="en-AU"/>
    </w:rPr>
  </w:style>
  <w:style w:type="character" w:customStyle="1" w:styleId="LegislativenumbersChar">
    <w:name w:val="Legislative numbers Char"/>
    <w:basedOn w:val="LegislativeletterbulletChar"/>
    <w:link w:val="Legislativenumbers"/>
    <w:rsid w:val="00D018FD"/>
    <w:rPr>
      <w:rFonts w:asciiTheme="minorHAnsi" w:eastAsia="Cambria" w:hAnsiTheme="minorHAnsi" w:cs="Arial"/>
      <w:color w:val="333F48"/>
      <w:sz w:val="21"/>
      <w:szCs w:val="21"/>
      <w:lang w:eastAsia="en-AU"/>
    </w:rPr>
  </w:style>
  <w:style w:type="paragraph" w:customStyle="1" w:styleId="NormalJR">
    <w:name w:val="Normal(JR)"/>
    <w:basedOn w:val="Normal"/>
    <w:autoRedefine/>
    <w:uiPriority w:val="1"/>
    <w:qFormat/>
    <w:rsid w:val="00D018FD"/>
    <w:pPr>
      <w:keepNext/>
      <w:spacing w:before="80" w:after="40" w:line="264" w:lineRule="auto"/>
    </w:pPr>
    <w:rPr>
      <w:rFonts w:ascii="Cambria" w:eastAsia="Cambria" w:hAnsi="Cambria" w:cs="Arial"/>
      <w:bCs/>
      <w:iCs/>
      <w:sz w:val="22"/>
      <w:szCs w:val="21"/>
      <w:lang w:eastAsia="en-AU"/>
    </w:rPr>
  </w:style>
  <w:style w:type="numbering" w:customStyle="1" w:styleId="ListBullets49">
    <w:name w:val="ListBullets49"/>
    <w:uiPriority w:val="99"/>
    <w:locked/>
    <w:rsid w:val="00D018FD"/>
  </w:style>
  <w:style w:type="character" w:styleId="SubtleEmphasis">
    <w:name w:val="Subtle Emphasis"/>
    <w:basedOn w:val="DefaultParagraphFont"/>
    <w:uiPriority w:val="19"/>
    <w:qFormat/>
    <w:rsid w:val="00D018FD"/>
    <w:rPr>
      <w:i/>
      <w:color w:val="0070B5" w:themeColor="text1" w:themeTint="BF"/>
    </w:rPr>
  </w:style>
  <w:style w:type="paragraph" w:customStyle="1" w:styleId="iLegislativeNumberbullet3">
    <w:name w:val="(i) Legislative (Number bullet 3)"/>
    <w:basedOn w:val="Normal"/>
    <w:uiPriority w:val="3"/>
    <w:qFormat/>
    <w:rsid w:val="00D018FD"/>
    <w:pPr>
      <w:spacing w:before="120" w:after="180" w:line="240" w:lineRule="atLeast"/>
      <w:ind w:left="720" w:hanging="122"/>
    </w:pPr>
    <w:rPr>
      <w:rFonts w:asciiTheme="minorHAnsi" w:eastAsia="Cambria" w:hAnsiTheme="minorHAnsi" w:cs="Times New Roman"/>
      <w:color w:val="333F48"/>
      <w:sz w:val="21"/>
      <w:szCs w:val="21"/>
      <w:lang w:eastAsia="en-AU"/>
    </w:rPr>
  </w:style>
  <w:style w:type="paragraph" w:customStyle="1" w:styleId="RedNormal">
    <w:name w:val="Red Normal"/>
    <w:basedOn w:val="Normal"/>
    <w:link w:val="RedNormalChar"/>
    <w:qFormat/>
    <w:rsid w:val="00D018FD"/>
    <w:pPr>
      <w:spacing w:before="120" w:after="0" w:line="240" w:lineRule="auto"/>
    </w:pPr>
    <w:rPr>
      <w:rFonts w:asciiTheme="minorHAnsi" w:eastAsia="Cambria" w:hAnsiTheme="minorHAnsi" w:cstheme="minorHAnsi"/>
      <w:color w:val="C00000"/>
      <w:sz w:val="21"/>
      <w:szCs w:val="21"/>
      <w:lang w:eastAsia="en-AU"/>
    </w:rPr>
  </w:style>
  <w:style w:type="character" w:customStyle="1" w:styleId="RedNormalChar">
    <w:name w:val="Red Normal Char"/>
    <w:basedOn w:val="DefaultParagraphFont"/>
    <w:link w:val="RedNormal"/>
    <w:rsid w:val="00D018FD"/>
    <w:rPr>
      <w:rFonts w:asciiTheme="minorHAnsi" w:eastAsia="Cambria" w:hAnsiTheme="minorHAnsi" w:cstheme="minorHAnsi"/>
      <w:color w:val="C00000"/>
      <w:sz w:val="21"/>
      <w:szCs w:val="21"/>
      <w:lang w:eastAsia="en-AU"/>
    </w:rPr>
  </w:style>
  <w:style w:type="paragraph" w:customStyle="1" w:styleId="learn-more">
    <w:name w:val="learn-more"/>
    <w:basedOn w:val="Normal"/>
    <w:rsid w:val="00D018F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adge">
    <w:name w:val="badge"/>
    <w:basedOn w:val="DefaultParagraphFont"/>
    <w:rsid w:val="00D018FD"/>
  </w:style>
  <w:style w:type="character" w:customStyle="1" w:styleId="text-container">
    <w:name w:val="text-container"/>
    <w:basedOn w:val="DefaultParagraphFont"/>
    <w:rsid w:val="00D018FD"/>
  </w:style>
  <w:style w:type="paragraph" w:styleId="Revision">
    <w:name w:val="Revision"/>
    <w:hidden/>
    <w:uiPriority w:val="99"/>
    <w:semiHidden/>
    <w:rsid w:val="00D018FD"/>
    <w:pPr>
      <w:spacing w:after="0" w:line="240" w:lineRule="auto"/>
    </w:pPr>
    <w:rPr>
      <w:rFonts w:ascii="Cambria" w:eastAsia="Cambria" w:hAnsi="Cambria"/>
      <w:sz w:val="22"/>
      <w:szCs w:val="22"/>
    </w:rPr>
  </w:style>
  <w:style w:type="character" w:customStyle="1" w:styleId="cf01">
    <w:name w:val="cf01"/>
    <w:basedOn w:val="DefaultParagraphFont"/>
    <w:rsid w:val="00D018FD"/>
    <w:rPr>
      <w:rFonts w:ascii="Segoe UI" w:hAnsi="Segoe UI" w:cs="Segoe UI" w:hint="default"/>
      <w:sz w:val="18"/>
      <w:szCs w:val="18"/>
    </w:rPr>
  </w:style>
  <w:style w:type="character" w:customStyle="1" w:styleId="hyperlinkChar">
    <w:name w:val="hyperlink Char"/>
    <w:basedOn w:val="DefaultParagraphFont"/>
    <w:link w:val="Hyperlink1"/>
    <w:locked/>
    <w:rsid w:val="00D018FD"/>
    <w:rPr>
      <w:rFonts w:ascii="Calibri" w:hAnsi="Calibri" w:cs="Calibri"/>
      <w:color w:val="4472C4"/>
      <w:u w:val="single"/>
      <w14:ligatures w14:val="standardContextual"/>
    </w:rPr>
  </w:style>
  <w:style w:type="paragraph" w:customStyle="1" w:styleId="Hyperlink1">
    <w:name w:val="Hyperlink1"/>
    <w:basedOn w:val="Normal"/>
    <w:link w:val="hyperlinkChar"/>
    <w:rsid w:val="00D018FD"/>
    <w:pPr>
      <w:spacing w:after="0" w:line="240" w:lineRule="auto"/>
    </w:pPr>
    <w:rPr>
      <w:rFonts w:ascii="Calibri" w:hAnsi="Calibri" w:cs="Calibri"/>
      <w:color w:val="4472C4"/>
      <w:u w:val="single"/>
      <w14:ligatures w14:val="standardContextual"/>
    </w:rPr>
  </w:style>
  <w:style w:type="character" w:styleId="Emphasis">
    <w:name w:val="Emphasis"/>
    <w:basedOn w:val="DefaultParagraphFont"/>
    <w:uiPriority w:val="20"/>
    <w:qFormat/>
    <w:rsid w:val="00D018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how-we-regulate/manufacturing/manufacture-medical-device/medical-device-single-audit-program-mdsap" TargetMode="External"/><Relationship Id="rId18" Type="http://schemas.openxmlformats.org/officeDocument/2006/relationships/hyperlink" Target="mailto:MDSAP@tga.gov.au" TargetMode="External"/><Relationship Id="rId26" Type="http://schemas.openxmlformats.org/officeDocument/2006/relationships/hyperlink" Target="https://www.tga.gov.au/guidance-therapeutic-goods-conformity-assessment-standard-quality-management-systems-order-2019" TargetMode="External"/><Relationship Id="rId39" Type="http://schemas.openxmlformats.org/officeDocument/2006/relationships/hyperlink" Target="https://www.tga.gov.au/how-we-regulate/supply-therapeutic-good/supply-medical-device/steps-supply-device-manufacturers" TargetMode="External"/><Relationship Id="rId21" Type="http://schemas.openxmlformats.org/officeDocument/2006/relationships/hyperlink" Target="https://www.tga.gov.au/how-we-regulate/manufacturing/manufacture-medical-device/obtain-and-maintain-regulatory-evidence/overseas-regulatory-evidence-options-medical-device-application" TargetMode="External"/><Relationship Id="rId34" Type="http://schemas.openxmlformats.org/officeDocument/2006/relationships/hyperlink" Target="https://www.tga.gov.au/sites/default/files/2023-06/transition-to-new-manufacturer-evidence-for-ivd-medical-devices.pdf" TargetMode="External"/><Relationship Id="rId42" Type="http://schemas.openxmlformats.org/officeDocument/2006/relationships/hyperlink" Target="https://www.tga.gov.au/how-we-regulate/manufacturing/manufacture-medical-device/quality-safety-and-performance-requirements-medical-devices" TargetMode="External"/><Relationship Id="rId47" Type="http://schemas.openxmlformats.org/officeDocument/2006/relationships/hyperlink" Target="https://www.tga.gov.au/resources/guidance/complying-essential-principles-safety-and-performance-medical-devices" TargetMode="External"/><Relationship Id="rId50" Type="http://schemas.openxmlformats.org/officeDocument/2006/relationships/hyperlink" Target="https://www.tga.gov.au/how-we-regulate/manufacturing/manufacture-medical-device/meet-safety-performance-and-quality-requirements-medical-device-manufacturers" TargetMode="External"/><Relationship Id="rId55" Type="http://schemas.openxmlformats.org/officeDocument/2006/relationships/hyperlink" Target="https://www.legislation.gov.au/Series/F2020L00463" TargetMode="External"/><Relationship Id="rId63" Type="http://schemas.openxmlformats.org/officeDocument/2006/relationships/header" Target="header4.xml"/><Relationship Id="rId7" Type="http://schemas.openxmlformats.org/officeDocument/2006/relationships/hyperlink" Target="mailto:tga.copyright@tga.gov.au" TargetMode="External"/><Relationship Id="rId2" Type="http://schemas.openxmlformats.org/officeDocument/2006/relationships/styles" Target="styles.xml"/><Relationship Id="rId16" Type="http://schemas.openxmlformats.org/officeDocument/2006/relationships/hyperlink" Target="https://www.fda.gov/medical-devices/cdrh-international-affairs/medical-device-single-audit-program-mdsap" TargetMode="External"/><Relationship Id="rId20" Type="http://schemas.openxmlformats.org/officeDocument/2006/relationships/hyperlink" Target="https://www.tga.gov.au/resources/resource/guidance/comparable-overseas-regulators-medical-device-applications" TargetMode="External"/><Relationship Id="rId29" Type="http://schemas.openxmlformats.org/officeDocument/2006/relationships/hyperlink" Target="https://www.tga.gov.au/how-we-regulate/manufacturing/manufacture-medical-device/meet-safety-performance-and-quality-requirements-medical-device-manufacturers/demonstrating-compliance-essential-principles" TargetMode="External"/><Relationship Id="rId41" Type="http://schemas.openxmlformats.org/officeDocument/2006/relationships/hyperlink" Target="https://www.tga.gov.au/resources/guidance/complying-essential-principles-safety-and-performance-medical-devices" TargetMode="External"/><Relationship Id="rId54" Type="http://schemas.openxmlformats.org/officeDocument/2006/relationships/hyperlink" Target="https://www.legislation.gov.au/F2002B00237/latest/text"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ga.gov.au/resources/resource/checklists/essential-principles-checklist" TargetMode="External"/><Relationship Id="rId24" Type="http://schemas.openxmlformats.org/officeDocument/2006/relationships/hyperlink" Target="https://www.tga.gov.au/how-we-regulate/manufacturing/manufacture-medical-device/quality-management-and-medical-devices" TargetMode="External"/><Relationship Id="rId32" Type="http://schemas.openxmlformats.org/officeDocument/2006/relationships/hyperlink" Target="https://www.tga.gov.au/resources/resource/reference-material/completing-notification-form-lapses-medical-device-conformity-assessment-certification" TargetMode="External"/><Relationship Id="rId37" Type="http://schemas.openxmlformats.org/officeDocument/2006/relationships/hyperlink" Target="https://www.tga.gov.au/resources/resource/guidance/guidance-dental-practitioners" TargetMode="External"/><Relationship Id="rId40" Type="http://schemas.openxmlformats.org/officeDocument/2006/relationships/hyperlink" Target="https://www.tga.gov.au/how-we-regulate/supply-therapeutic-good/supply-medical-device/steps-supply-device-sponsors" TargetMode="External"/><Relationship Id="rId45" Type="http://schemas.openxmlformats.org/officeDocument/2006/relationships/hyperlink" Target="https://www.tga.gov.au/how-we-regulate/manufacturing/medical-devices/manufacturer-guidance-specific-types-medical-devices/regulation-software-based-medical-devices" TargetMode="External"/><Relationship Id="rId53" Type="http://schemas.openxmlformats.org/officeDocument/2006/relationships/hyperlink" Target="https://www.tga.gov.au/resources/resource/guidance/should-your-product-be-artg" TargetMode="External"/><Relationship Id="rId58" Type="http://schemas.openxmlformats.org/officeDocument/2006/relationships/header" Target="header2.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ga.gov.au/node/285179" TargetMode="External"/><Relationship Id="rId23" Type="http://schemas.openxmlformats.org/officeDocument/2006/relationships/hyperlink" Target="http://www.imdrf.org/" TargetMode="External"/><Relationship Id="rId28" Type="http://schemas.openxmlformats.org/officeDocument/2006/relationships/hyperlink" Target="http://www.legislation.gov.au/Series/F2018L01410" TargetMode="External"/><Relationship Id="rId36" Type="http://schemas.openxmlformats.org/officeDocument/2006/relationships/hyperlink" Target="mailto:devices@tga.gov.au" TargetMode="External"/><Relationship Id="rId49" Type="http://schemas.openxmlformats.org/officeDocument/2006/relationships/hyperlink" Target="https://www.tga.gov.au/resources/consultation/consultation-future-regulation-assistive-technologies"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tga.gov.au/how-we-regulate/supply-therapeutic-good/supply-medical-device/medical-devices-reforms/medical-devices-reforms-mutual-recognition-agreements-mra" TargetMode="External"/><Relationship Id="rId31" Type="http://schemas.openxmlformats.org/officeDocument/2006/relationships/hyperlink" Target="https://consultations.tga.gov.au/tga/notification-form-lapses-in-conformity-assessment/" TargetMode="External"/><Relationship Id="rId44" Type="http://schemas.openxmlformats.org/officeDocument/2006/relationships/hyperlink" Target="https://www.tga.gov.au/resources/consultation/consultation-clarifying-and-strengthening-regulation-artificial-intelligence-ai" TargetMode="External"/><Relationship Id="rId52" Type="http://schemas.openxmlformats.org/officeDocument/2006/relationships/hyperlink" Target="https://www.legislation.gov.au/F2002B00237/latest/text" TargetMode="External"/><Relationship Id="rId60" Type="http://schemas.openxmlformats.org/officeDocument/2006/relationships/footer" Target="foot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ga.gov.au/presentations/presentation-medical-devices-essential-principles-safety-and-performance-part-2-proposed-alignment-european-regulations" TargetMode="External"/><Relationship Id="rId14" Type="http://schemas.openxmlformats.org/officeDocument/2006/relationships/hyperlink" Target="https://www.tga.gov.au/how-we-regulate/manufacturing/manufacture-medical-device/medical-device-single-audit-program-mdsap/frequently-asked-questions-medical-device-single-audit-program-mdsap" TargetMode="External"/><Relationship Id="rId22" Type="http://schemas.openxmlformats.org/officeDocument/2006/relationships/hyperlink" Target="https://www.tga.gov.au/resources/resource/guidance/qa-use-market-authorisation-evidence-comparable-overseas-regulatory-bodies-medical-devices" TargetMode="External"/><Relationship Id="rId27" Type="http://schemas.openxmlformats.org/officeDocument/2006/relationships/hyperlink" Target="https://www.tga.gov.au/resources/publication/publications/use-market-authorisation-evidence-comparable-overseas-regulators-assessment-bodies-medical-devices-including-ivds" TargetMode="External"/><Relationship Id="rId30" Type="http://schemas.openxmlformats.org/officeDocument/2006/relationships/hyperlink" Target="mailto:devices@tga.gov.au" TargetMode="External"/><Relationship Id="rId35" Type="http://schemas.openxmlformats.org/officeDocument/2006/relationships/hyperlink" Target="https://www.tga.gov.au/how-we-regulate/manufacturing/medical-devices/conformity-assessment/conformity-assessment-bodies/tga-conformity-assessment-certification/tgas-approach-delays-medical-device-conformity-assessment-recertification" TargetMode="External"/><Relationship Id="rId43" Type="http://schemas.openxmlformats.org/officeDocument/2006/relationships/hyperlink" Target="https://www.tga.gov.au/resources/consultation/clarifying-and-strengthening-regulation-artificial-intelligence-ai" TargetMode="External"/><Relationship Id="rId48" Type="http://schemas.openxmlformats.org/officeDocument/2006/relationships/hyperlink" Target="https://www.tga.gov.au/resources/resource/reference-material/clinical-evidence-guidelines" TargetMode="External"/><Relationship Id="rId56" Type="http://schemas.openxmlformats.org/officeDocument/2006/relationships/hyperlink" Target="https://www.tga.gov.au/resources/resource/guidance/disinfectants-sterilants-and-sanitary-products" TargetMode="External"/><Relationship Id="rId64" Type="http://schemas.openxmlformats.org/officeDocument/2006/relationships/footer" Target="footer4.xml"/><Relationship Id="rId8" Type="http://schemas.openxmlformats.org/officeDocument/2006/relationships/hyperlink" Target="https://www.tga.gov.au/resources/consultation/consultation-medical-devices-essential-principles-safety-and-performance" TargetMode="External"/><Relationship Id="rId51" Type="http://schemas.openxmlformats.org/officeDocument/2006/relationships/hyperlink" Target="https://www.tga.gov.au/resources/resource/guidance/regulatory-obligation-exempt-medical-devices" TargetMode="External"/><Relationship Id="rId3" Type="http://schemas.openxmlformats.org/officeDocument/2006/relationships/settings" Target="settings.xml"/><Relationship Id="rId12" Type="http://schemas.openxmlformats.org/officeDocument/2006/relationships/hyperlink" Target="https://www.tga.gov.au/how-we-regulate/manufacturing/manufacture-medical-device/meet-safety-performance-and-quality-requirements-medical-device-manufacturers/demonstrating-compliance-essential-principles" TargetMode="External"/><Relationship Id="rId17" Type="http://schemas.openxmlformats.org/officeDocument/2006/relationships/hyperlink" Target="https://www.fda.gov/medical-devices/medical-device-single-audit-program-mdsap/mdsap-au-p0026-certificate-document-requirements" TargetMode="External"/><Relationship Id="rId25" Type="http://schemas.openxmlformats.org/officeDocument/2006/relationships/hyperlink" Target="https://www.tga.gov.au/how-we-regulate/manufacturing/manufacture-medical-device/quality-management-and-medical-devices/learn-about-quality-management-systems" TargetMode="External"/><Relationship Id="rId33" Type="http://schemas.openxmlformats.org/officeDocument/2006/relationships/hyperlink" Target="https://www.tga.gov.au/how-we-regulate/supply-therapeutic-good/supply-medical-device/eu-mdr-transition/conformity-assessment-essential-principles-and-consent-supply" TargetMode="External"/><Relationship Id="rId38" Type="http://schemas.openxmlformats.org/officeDocument/2006/relationships/hyperlink" Target="https://www.tga.gov.au/how-we-regulate/supply-therapeutic-good/supply-medical-device/eu-mdr-transition" TargetMode="External"/><Relationship Id="rId46" Type="http://schemas.openxmlformats.org/officeDocument/2006/relationships/hyperlink" Target="mailto:digital.devices@tga.gov.au" TargetMode="External"/><Relationship Id="rId5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6</TotalTime>
  <Pages>18</Pages>
  <Words>5620</Words>
  <Characters>32036</Characters>
  <Application>Microsoft Office Word</Application>
  <DocSecurity>0</DocSecurity>
  <Lines>266</Lines>
  <Paragraphs>75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Document title</vt:lpstr>
      <vt:lpstr>    Copyright</vt:lpstr>
      <vt:lpstr>    © Commonwealth of Australia 2023 This work is copyright. You may reproduce the w</vt:lpstr>
      <vt:lpstr>    </vt:lpstr>
      <vt:lpstr>    &lt;Contents</vt:lpstr>
      <vt:lpstr>    </vt:lpstr>
      <vt:lpstr>    Section Title (Heading 2)</vt:lpstr>
      <vt:lpstr>        Heading 3</vt:lpstr>
      <vt:lpstr>        Heading 3</vt:lpstr>
      <vt:lpstr>    Example of legislation</vt:lpstr>
      <vt:lpstr>    Version history</vt:lpstr>
      <vt:lpstr>    </vt:lpstr>
      <vt:lpstr>    </vt:lpstr>
      <vt:lpstr>    </vt:lpstr>
    </vt:vector>
  </TitlesOfParts>
  <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Jennie</dc:creator>
  <cp:keywords/>
  <dc:description/>
  <cp:lastModifiedBy>ROBINSON, Jennie</cp:lastModifiedBy>
  <cp:revision>2</cp:revision>
  <dcterms:created xsi:type="dcterms:W3CDTF">2024-10-10T00:45:00Z</dcterms:created>
  <dcterms:modified xsi:type="dcterms:W3CDTF">2024-10-10T00:54:00Z</dcterms:modified>
</cp:coreProperties>
</file>