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9C9F2" w14:textId="77777777" w:rsidR="00715914" w:rsidRPr="009A5E24" w:rsidRDefault="00DA186E" w:rsidP="00715914">
      <w:pPr>
        <w:rPr>
          <w:sz w:val="28"/>
        </w:rPr>
      </w:pPr>
      <w:bookmarkStart w:id="0" w:name="_GoBack"/>
      <w:bookmarkEnd w:id="0"/>
      <w:r w:rsidRPr="009A5E24">
        <w:rPr>
          <w:noProof/>
          <w:lang w:eastAsia="en-AU"/>
        </w:rPr>
        <w:drawing>
          <wp:inline distT="0" distB="0" distL="0" distR="0" wp14:anchorId="18500D19" wp14:editId="5213332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FC52CDD" w14:textId="77777777" w:rsidR="00715914" w:rsidRPr="009A5E24" w:rsidRDefault="00715914" w:rsidP="00715914">
      <w:pPr>
        <w:rPr>
          <w:sz w:val="19"/>
        </w:rPr>
      </w:pPr>
    </w:p>
    <w:p w14:paraId="4A57267A" w14:textId="7E212B30" w:rsidR="00554826" w:rsidRPr="009A5E24" w:rsidRDefault="00FE39B8" w:rsidP="00554826">
      <w:pPr>
        <w:pStyle w:val="ShortT"/>
      </w:pPr>
      <w:r w:rsidRPr="009A5E24">
        <w:t xml:space="preserve">Therapeutic Goods </w:t>
      </w:r>
      <w:r w:rsidR="00554826" w:rsidRPr="009A5E24">
        <w:t>(</w:t>
      </w:r>
      <w:r w:rsidRPr="009A5E24">
        <w:t>Standard for H</w:t>
      </w:r>
      <w:r w:rsidR="007A3253" w:rsidRPr="009A5E24">
        <w:t xml:space="preserve">uman Cell and Tissue </w:t>
      </w:r>
      <w:r w:rsidRPr="009A5E24">
        <w:t xml:space="preserve">Products—Donor </w:t>
      </w:r>
      <w:r w:rsidR="00D06496">
        <w:t>Screening</w:t>
      </w:r>
      <w:r w:rsidR="008E0B13" w:rsidRPr="009A5E24">
        <w:t xml:space="preserve"> </w:t>
      </w:r>
      <w:r w:rsidRPr="009A5E24">
        <w:t>Requirements</w:t>
      </w:r>
      <w:r w:rsidR="00554826" w:rsidRPr="009A5E24">
        <w:t xml:space="preserve">) </w:t>
      </w:r>
      <w:r w:rsidRPr="009A5E24">
        <w:t>(TGO 108) Order 2021</w:t>
      </w:r>
    </w:p>
    <w:p w14:paraId="0C6BEA78" w14:textId="77777777" w:rsidR="00554826" w:rsidRPr="009A5E24" w:rsidRDefault="00554826" w:rsidP="00554826">
      <w:pPr>
        <w:pStyle w:val="SignCoverPageStart"/>
        <w:spacing w:before="240"/>
        <w:ind w:right="91"/>
        <w:rPr>
          <w:szCs w:val="22"/>
        </w:rPr>
      </w:pPr>
      <w:r w:rsidRPr="009A5E24">
        <w:rPr>
          <w:szCs w:val="22"/>
        </w:rPr>
        <w:t xml:space="preserve">I, </w:t>
      </w:r>
      <w:r w:rsidR="00FE39B8" w:rsidRPr="009A5E24">
        <w:rPr>
          <w:szCs w:val="22"/>
        </w:rPr>
        <w:t>[name]</w:t>
      </w:r>
      <w:r w:rsidRPr="009A5E24">
        <w:rPr>
          <w:szCs w:val="22"/>
        </w:rPr>
        <w:t xml:space="preserve">, </w:t>
      </w:r>
      <w:r w:rsidR="00FE39B8" w:rsidRPr="009A5E24">
        <w:rPr>
          <w:szCs w:val="22"/>
        </w:rPr>
        <w:t>as delegate of the Minister for Health and Aged Care</w:t>
      </w:r>
      <w:r w:rsidRPr="009A5E24">
        <w:rPr>
          <w:szCs w:val="22"/>
        </w:rPr>
        <w:t>, make the following</w:t>
      </w:r>
      <w:r w:rsidR="00FE39B8" w:rsidRPr="009A5E24">
        <w:rPr>
          <w:szCs w:val="22"/>
        </w:rPr>
        <w:t xml:space="preserve"> order</w:t>
      </w:r>
      <w:r w:rsidRPr="009A5E24">
        <w:rPr>
          <w:szCs w:val="22"/>
        </w:rPr>
        <w:t>.</w:t>
      </w:r>
    </w:p>
    <w:p w14:paraId="230EB066" w14:textId="77777777" w:rsidR="00554826" w:rsidRPr="009A5E24" w:rsidRDefault="00554826" w:rsidP="00554826">
      <w:pPr>
        <w:keepNext/>
        <w:spacing w:before="300" w:line="240" w:lineRule="atLeast"/>
        <w:ind w:right="397"/>
        <w:jc w:val="both"/>
        <w:rPr>
          <w:szCs w:val="22"/>
        </w:rPr>
      </w:pPr>
      <w:r w:rsidRPr="009A5E24">
        <w:rPr>
          <w:szCs w:val="22"/>
        </w:rPr>
        <w:t>Dated</w:t>
      </w:r>
      <w:r w:rsidR="00FE39B8" w:rsidRPr="009A5E24">
        <w:rPr>
          <w:szCs w:val="22"/>
        </w:rPr>
        <w:t xml:space="preserve"> [day] [month] 2021</w:t>
      </w:r>
    </w:p>
    <w:p w14:paraId="0591F261" w14:textId="5FE2A63A" w:rsidR="00554826" w:rsidRPr="009A5E24" w:rsidRDefault="009E6137" w:rsidP="00554826">
      <w:pPr>
        <w:keepNext/>
        <w:tabs>
          <w:tab w:val="left" w:pos="3402"/>
        </w:tabs>
        <w:spacing w:before="1440" w:line="300" w:lineRule="atLeast"/>
        <w:ind w:right="397"/>
        <w:rPr>
          <w:b/>
          <w:szCs w:val="22"/>
        </w:rPr>
      </w:pPr>
      <w:r>
        <w:rPr>
          <w:szCs w:val="22"/>
        </w:rPr>
        <w:t>[N</w:t>
      </w:r>
      <w:r w:rsidR="00FE39B8" w:rsidRPr="009A5E24">
        <w:rPr>
          <w:szCs w:val="22"/>
        </w:rPr>
        <w:t>ame</w:t>
      </w:r>
      <w:r w:rsidR="00D06496">
        <w:rPr>
          <w:szCs w:val="22"/>
        </w:rPr>
        <w:t xml:space="preserve"> of delegate</w:t>
      </w:r>
      <w:r w:rsidR="00FE39B8" w:rsidRPr="009A5E24">
        <w:rPr>
          <w:szCs w:val="22"/>
        </w:rPr>
        <w:t>]</w:t>
      </w:r>
      <w:r w:rsidR="00554826" w:rsidRPr="009A5E24">
        <w:rPr>
          <w:szCs w:val="22"/>
        </w:rPr>
        <w:t xml:space="preserve"> </w:t>
      </w:r>
      <w:r w:rsidR="00554826" w:rsidRPr="009E6137">
        <w:rPr>
          <w:b/>
          <w:szCs w:val="22"/>
          <w:highlight w:val="lightGray"/>
        </w:rPr>
        <w:t>DRAFT ONLY—NOT FOR SIGNATURE</w:t>
      </w:r>
    </w:p>
    <w:p w14:paraId="48298A12" w14:textId="77777777" w:rsidR="00554826" w:rsidRPr="009A5E24" w:rsidRDefault="00FE39B8" w:rsidP="00554826">
      <w:pPr>
        <w:pStyle w:val="SignCoverPageEnd"/>
        <w:ind w:right="91"/>
        <w:rPr>
          <w:sz w:val="22"/>
        </w:rPr>
      </w:pPr>
      <w:r w:rsidRPr="009A5E24">
        <w:rPr>
          <w:sz w:val="22"/>
        </w:rPr>
        <w:t>Department of Health</w:t>
      </w:r>
    </w:p>
    <w:p w14:paraId="7CA2C082" w14:textId="77777777" w:rsidR="00554826" w:rsidRPr="009A5E24" w:rsidRDefault="00554826" w:rsidP="00554826"/>
    <w:p w14:paraId="0AC0319E" w14:textId="77777777" w:rsidR="00F6696E" w:rsidRPr="009A5E24" w:rsidRDefault="00F6696E" w:rsidP="00F6696E"/>
    <w:p w14:paraId="0A3C2D94" w14:textId="77777777" w:rsidR="00F6696E" w:rsidRPr="009A5E24" w:rsidRDefault="00F6696E" w:rsidP="00F6696E">
      <w:pPr>
        <w:sectPr w:rsidR="00F6696E" w:rsidRPr="009A5E24" w:rsidSect="00F6696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2234" w:right="1797" w:bottom="1440" w:left="1797" w:header="720" w:footer="989" w:gutter="0"/>
          <w:pgNumType w:start="1"/>
          <w:cols w:space="708"/>
          <w:titlePg/>
          <w:docGrid w:linePitch="360"/>
        </w:sectPr>
      </w:pPr>
    </w:p>
    <w:p w14:paraId="41AD3C90" w14:textId="77777777" w:rsidR="007500C8" w:rsidRPr="009A5E24" w:rsidRDefault="00715914" w:rsidP="00715914">
      <w:pPr>
        <w:outlineLvl w:val="0"/>
        <w:rPr>
          <w:sz w:val="36"/>
        </w:rPr>
      </w:pPr>
      <w:r w:rsidRPr="009A5E24">
        <w:rPr>
          <w:sz w:val="36"/>
        </w:rPr>
        <w:lastRenderedPageBreak/>
        <w:t>Contents</w:t>
      </w:r>
    </w:p>
    <w:p w14:paraId="1204F59C" w14:textId="1AB99091" w:rsidR="009E6137" w:rsidRDefault="00B418CB">
      <w:pPr>
        <w:pStyle w:val="TOC2"/>
        <w:rPr>
          <w:rFonts w:asciiTheme="minorHAnsi" w:eastAsiaTheme="minorEastAsia" w:hAnsiTheme="minorHAnsi" w:cstheme="minorBidi"/>
          <w:b w:val="0"/>
          <w:noProof/>
          <w:kern w:val="0"/>
          <w:sz w:val="22"/>
          <w:szCs w:val="22"/>
        </w:rPr>
      </w:pPr>
      <w:r w:rsidRPr="009A5E24">
        <w:fldChar w:fldCharType="begin"/>
      </w:r>
      <w:r w:rsidRPr="009A5E24">
        <w:instrText xml:space="preserve"> TOC \o "1-9" </w:instrText>
      </w:r>
      <w:r w:rsidRPr="009A5E24">
        <w:fldChar w:fldCharType="separate"/>
      </w:r>
      <w:r w:rsidR="009E6137">
        <w:rPr>
          <w:noProof/>
        </w:rPr>
        <w:t>Part 1—Preliminary</w:t>
      </w:r>
      <w:r w:rsidR="009E6137">
        <w:rPr>
          <w:noProof/>
        </w:rPr>
        <w:tab/>
      </w:r>
      <w:r w:rsidR="009E6137">
        <w:rPr>
          <w:noProof/>
        </w:rPr>
        <w:fldChar w:fldCharType="begin"/>
      </w:r>
      <w:r w:rsidR="009E6137">
        <w:rPr>
          <w:noProof/>
        </w:rPr>
        <w:instrText xml:space="preserve"> PAGEREF _Toc70077672 \h </w:instrText>
      </w:r>
      <w:r w:rsidR="009E6137">
        <w:rPr>
          <w:noProof/>
        </w:rPr>
      </w:r>
      <w:r w:rsidR="009E6137">
        <w:rPr>
          <w:noProof/>
        </w:rPr>
        <w:fldChar w:fldCharType="separate"/>
      </w:r>
      <w:r w:rsidR="009E6137">
        <w:rPr>
          <w:noProof/>
        </w:rPr>
        <w:t>1</w:t>
      </w:r>
      <w:r w:rsidR="009E6137">
        <w:rPr>
          <w:noProof/>
        </w:rPr>
        <w:fldChar w:fldCharType="end"/>
      </w:r>
    </w:p>
    <w:p w14:paraId="634F17EB" w14:textId="112DB00B" w:rsidR="009E6137" w:rsidRDefault="009E6137">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_Toc70077673 \h </w:instrText>
      </w:r>
      <w:r>
        <w:rPr>
          <w:noProof/>
        </w:rPr>
      </w:r>
      <w:r>
        <w:rPr>
          <w:noProof/>
        </w:rPr>
        <w:fldChar w:fldCharType="separate"/>
      </w:r>
      <w:r>
        <w:rPr>
          <w:noProof/>
        </w:rPr>
        <w:t>1</w:t>
      </w:r>
      <w:r>
        <w:rPr>
          <w:noProof/>
        </w:rPr>
        <w:fldChar w:fldCharType="end"/>
      </w:r>
    </w:p>
    <w:p w14:paraId="6C557FB0" w14:textId="6300CECA" w:rsidR="009E6137" w:rsidRDefault="009E613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_Toc70077674 \h </w:instrText>
      </w:r>
      <w:r>
        <w:rPr>
          <w:noProof/>
        </w:rPr>
      </w:r>
      <w:r>
        <w:rPr>
          <w:noProof/>
        </w:rPr>
        <w:fldChar w:fldCharType="separate"/>
      </w:r>
      <w:r>
        <w:rPr>
          <w:noProof/>
        </w:rPr>
        <w:t>1</w:t>
      </w:r>
      <w:r>
        <w:rPr>
          <w:noProof/>
        </w:rPr>
        <w:fldChar w:fldCharType="end"/>
      </w:r>
    </w:p>
    <w:p w14:paraId="271083AB" w14:textId="2373AA6F" w:rsidR="009E6137" w:rsidRDefault="009E613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_Toc70077675 \h </w:instrText>
      </w:r>
      <w:r>
        <w:rPr>
          <w:noProof/>
        </w:rPr>
      </w:r>
      <w:r>
        <w:rPr>
          <w:noProof/>
        </w:rPr>
        <w:fldChar w:fldCharType="separate"/>
      </w:r>
      <w:r>
        <w:rPr>
          <w:noProof/>
        </w:rPr>
        <w:t>1</w:t>
      </w:r>
      <w:r>
        <w:rPr>
          <w:noProof/>
        </w:rPr>
        <w:fldChar w:fldCharType="end"/>
      </w:r>
    </w:p>
    <w:p w14:paraId="3F97ECFF" w14:textId="08EE2AC6" w:rsidR="009E6137" w:rsidRDefault="009E6137">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_Toc70077676 \h </w:instrText>
      </w:r>
      <w:r>
        <w:rPr>
          <w:noProof/>
        </w:rPr>
      </w:r>
      <w:r>
        <w:rPr>
          <w:noProof/>
        </w:rPr>
        <w:fldChar w:fldCharType="separate"/>
      </w:r>
      <w:r>
        <w:rPr>
          <w:noProof/>
        </w:rPr>
        <w:t>1</w:t>
      </w:r>
      <w:r>
        <w:rPr>
          <w:noProof/>
        </w:rPr>
        <w:fldChar w:fldCharType="end"/>
      </w:r>
    </w:p>
    <w:p w14:paraId="426BBD1E" w14:textId="0E77DB2C" w:rsidR="009E6137" w:rsidRDefault="009E6137">
      <w:pPr>
        <w:pStyle w:val="TOC5"/>
        <w:rPr>
          <w:rFonts w:asciiTheme="minorHAnsi" w:eastAsiaTheme="minorEastAsia" w:hAnsiTheme="minorHAnsi" w:cstheme="minorBidi"/>
          <w:noProof/>
          <w:kern w:val="0"/>
          <w:sz w:val="22"/>
          <w:szCs w:val="22"/>
        </w:rPr>
      </w:pPr>
      <w:r>
        <w:rPr>
          <w:noProof/>
        </w:rPr>
        <w:t>5  Standard</w:t>
      </w:r>
      <w:r>
        <w:rPr>
          <w:noProof/>
        </w:rPr>
        <w:tab/>
      </w:r>
      <w:r>
        <w:rPr>
          <w:noProof/>
        </w:rPr>
        <w:fldChar w:fldCharType="begin"/>
      </w:r>
      <w:r>
        <w:rPr>
          <w:noProof/>
        </w:rPr>
        <w:instrText xml:space="preserve"> PAGEREF _Toc70077677 \h </w:instrText>
      </w:r>
      <w:r>
        <w:rPr>
          <w:noProof/>
        </w:rPr>
      </w:r>
      <w:r>
        <w:rPr>
          <w:noProof/>
        </w:rPr>
        <w:fldChar w:fldCharType="separate"/>
      </w:r>
      <w:r>
        <w:rPr>
          <w:noProof/>
        </w:rPr>
        <w:t>3</w:t>
      </w:r>
      <w:r>
        <w:rPr>
          <w:noProof/>
        </w:rPr>
        <w:fldChar w:fldCharType="end"/>
      </w:r>
    </w:p>
    <w:p w14:paraId="3A42F081" w14:textId="3447AA79" w:rsidR="009E6137" w:rsidRDefault="009E6137">
      <w:pPr>
        <w:pStyle w:val="TOC5"/>
        <w:rPr>
          <w:rFonts w:asciiTheme="minorHAnsi" w:eastAsiaTheme="minorEastAsia" w:hAnsiTheme="minorHAnsi" w:cstheme="minorBidi"/>
          <w:noProof/>
          <w:kern w:val="0"/>
          <w:sz w:val="22"/>
          <w:szCs w:val="22"/>
        </w:rPr>
      </w:pPr>
      <w:r>
        <w:rPr>
          <w:noProof/>
        </w:rPr>
        <w:t>6  Application</w:t>
      </w:r>
      <w:r>
        <w:rPr>
          <w:noProof/>
        </w:rPr>
        <w:tab/>
      </w:r>
      <w:r>
        <w:rPr>
          <w:noProof/>
        </w:rPr>
        <w:fldChar w:fldCharType="begin"/>
      </w:r>
      <w:r>
        <w:rPr>
          <w:noProof/>
        </w:rPr>
        <w:instrText xml:space="preserve"> PAGEREF _Toc70077678 \h </w:instrText>
      </w:r>
      <w:r>
        <w:rPr>
          <w:noProof/>
        </w:rPr>
      </w:r>
      <w:r>
        <w:rPr>
          <w:noProof/>
        </w:rPr>
        <w:fldChar w:fldCharType="separate"/>
      </w:r>
      <w:r>
        <w:rPr>
          <w:noProof/>
        </w:rPr>
        <w:t>3</w:t>
      </w:r>
      <w:r>
        <w:rPr>
          <w:noProof/>
        </w:rPr>
        <w:fldChar w:fldCharType="end"/>
      </w:r>
    </w:p>
    <w:p w14:paraId="35115F14" w14:textId="3DEE15AD" w:rsidR="009E6137" w:rsidRDefault="009E6137">
      <w:pPr>
        <w:pStyle w:val="TOC5"/>
        <w:rPr>
          <w:rFonts w:asciiTheme="minorHAnsi" w:eastAsiaTheme="minorEastAsia" w:hAnsiTheme="minorHAnsi" w:cstheme="minorBidi"/>
          <w:noProof/>
          <w:kern w:val="0"/>
          <w:sz w:val="22"/>
          <w:szCs w:val="22"/>
        </w:rPr>
      </w:pPr>
      <w:r>
        <w:rPr>
          <w:noProof/>
        </w:rPr>
        <w:t>7  Repeals</w:t>
      </w:r>
      <w:r>
        <w:rPr>
          <w:noProof/>
        </w:rPr>
        <w:tab/>
      </w:r>
      <w:r>
        <w:rPr>
          <w:noProof/>
        </w:rPr>
        <w:fldChar w:fldCharType="begin"/>
      </w:r>
      <w:r>
        <w:rPr>
          <w:noProof/>
        </w:rPr>
        <w:instrText xml:space="preserve"> PAGEREF _Toc70077679 \h </w:instrText>
      </w:r>
      <w:r>
        <w:rPr>
          <w:noProof/>
        </w:rPr>
      </w:r>
      <w:r>
        <w:rPr>
          <w:noProof/>
        </w:rPr>
        <w:fldChar w:fldCharType="separate"/>
      </w:r>
      <w:r>
        <w:rPr>
          <w:noProof/>
        </w:rPr>
        <w:t>4</w:t>
      </w:r>
      <w:r>
        <w:rPr>
          <w:noProof/>
        </w:rPr>
        <w:fldChar w:fldCharType="end"/>
      </w:r>
    </w:p>
    <w:p w14:paraId="7679506A" w14:textId="2D7BA738" w:rsidR="009E6137" w:rsidRDefault="009E6137">
      <w:pPr>
        <w:pStyle w:val="TOC2"/>
        <w:rPr>
          <w:rFonts w:asciiTheme="minorHAnsi" w:eastAsiaTheme="minorEastAsia" w:hAnsiTheme="minorHAnsi" w:cstheme="minorBidi"/>
          <w:b w:val="0"/>
          <w:noProof/>
          <w:kern w:val="0"/>
          <w:sz w:val="22"/>
          <w:szCs w:val="22"/>
        </w:rPr>
      </w:pPr>
      <w:r>
        <w:rPr>
          <w:noProof/>
        </w:rPr>
        <w:t>Part 2—Requirements</w:t>
      </w:r>
      <w:r>
        <w:rPr>
          <w:noProof/>
        </w:rPr>
        <w:tab/>
      </w:r>
      <w:r>
        <w:rPr>
          <w:noProof/>
        </w:rPr>
        <w:fldChar w:fldCharType="begin"/>
      </w:r>
      <w:r>
        <w:rPr>
          <w:noProof/>
        </w:rPr>
        <w:instrText xml:space="preserve"> PAGEREF _Toc70077680 \h </w:instrText>
      </w:r>
      <w:r>
        <w:rPr>
          <w:noProof/>
        </w:rPr>
      </w:r>
      <w:r>
        <w:rPr>
          <w:noProof/>
        </w:rPr>
        <w:fldChar w:fldCharType="separate"/>
      </w:r>
      <w:r>
        <w:rPr>
          <w:noProof/>
        </w:rPr>
        <w:t>4</w:t>
      </w:r>
      <w:r>
        <w:rPr>
          <w:noProof/>
        </w:rPr>
        <w:fldChar w:fldCharType="end"/>
      </w:r>
    </w:p>
    <w:p w14:paraId="270EDDA8" w14:textId="767DFE95" w:rsidR="009E6137" w:rsidRDefault="009E6137">
      <w:pPr>
        <w:pStyle w:val="TOC5"/>
        <w:rPr>
          <w:rFonts w:asciiTheme="minorHAnsi" w:eastAsiaTheme="minorEastAsia" w:hAnsiTheme="minorHAnsi" w:cstheme="minorBidi"/>
          <w:noProof/>
          <w:kern w:val="0"/>
          <w:sz w:val="22"/>
          <w:szCs w:val="22"/>
        </w:rPr>
      </w:pPr>
      <w:r>
        <w:rPr>
          <w:noProof/>
        </w:rPr>
        <w:t>8  General requirements</w:t>
      </w:r>
      <w:r>
        <w:rPr>
          <w:noProof/>
        </w:rPr>
        <w:tab/>
      </w:r>
      <w:r>
        <w:rPr>
          <w:noProof/>
        </w:rPr>
        <w:fldChar w:fldCharType="begin"/>
      </w:r>
      <w:r>
        <w:rPr>
          <w:noProof/>
        </w:rPr>
        <w:instrText xml:space="preserve"> PAGEREF _Toc70077681 \h </w:instrText>
      </w:r>
      <w:r>
        <w:rPr>
          <w:noProof/>
        </w:rPr>
      </w:r>
      <w:r>
        <w:rPr>
          <w:noProof/>
        </w:rPr>
        <w:fldChar w:fldCharType="separate"/>
      </w:r>
      <w:r>
        <w:rPr>
          <w:noProof/>
        </w:rPr>
        <w:t>4</w:t>
      </w:r>
      <w:r>
        <w:rPr>
          <w:noProof/>
        </w:rPr>
        <w:fldChar w:fldCharType="end"/>
      </w:r>
    </w:p>
    <w:p w14:paraId="005A4649" w14:textId="59B6210F" w:rsidR="009E6137" w:rsidRDefault="009E6137">
      <w:pPr>
        <w:pStyle w:val="TOC5"/>
        <w:rPr>
          <w:rFonts w:asciiTheme="minorHAnsi" w:eastAsiaTheme="minorEastAsia" w:hAnsiTheme="minorHAnsi" w:cstheme="minorBidi"/>
          <w:noProof/>
          <w:kern w:val="0"/>
          <w:sz w:val="22"/>
          <w:szCs w:val="22"/>
        </w:rPr>
      </w:pPr>
      <w:r>
        <w:rPr>
          <w:noProof/>
        </w:rPr>
        <w:t>9  Medical and social history of donors</w:t>
      </w:r>
      <w:r>
        <w:rPr>
          <w:noProof/>
        </w:rPr>
        <w:tab/>
      </w:r>
      <w:r>
        <w:rPr>
          <w:noProof/>
        </w:rPr>
        <w:fldChar w:fldCharType="begin"/>
      </w:r>
      <w:r>
        <w:rPr>
          <w:noProof/>
        </w:rPr>
        <w:instrText xml:space="preserve"> PAGEREF _Toc70077682 \h </w:instrText>
      </w:r>
      <w:r>
        <w:rPr>
          <w:noProof/>
        </w:rPr>
      </w:r>
      <w:r>
        <w:rPr>
          <w:noProof/>
        </w:rPr>
        <w:fldChar w:fldCharType="separate"/>
      </w:r>
      <w:r>
        <w:rPr>
          <w:noProof/>
        </w:rPr>
        <w:t>5</w:t>
      </w:r>
      <w:r>
        <w:rPr>
          <w:noProof/>
        </w:rPr>
        <w:fldChar w:fldCharType="end"/>
      </w:r>
    </w:p>
    <w:p w14:paraId="2247003D" w14:textId="59C06231" w:rsidR="009E6137" w:rsidRDefault="009E6137">
      <w:pPr>
        <w:pStyle w:val="TOC5"/>
        <w:rPr>
          <w:rFonts w:asciiTheme="minorHAnsi" w:eastAsiaTheme="minorEastAsia" w:hAnsiTheme="minorHAnsi" w:cstheme="minorBidi"/>
          <w:noProof/>
          <w:kern w:val="0"/>
          <w:sz w:val="22"/>
          <w:szCs w:val="22"/>
        </w:rPr>
      </w:pPr>
      <w:r>
        <w:rPr>
          <w:noProof/>
        </w:rPr>
        <w:t>10  Blood samples—taking and testing</w:t>
      </w:r>
      <w:r>
        <w:rPr>
          <w:noProof/>
        </w:rPr>
        <w:tab/>
      </w:r>
      <w:r>
        <w:rPr>
          <w:noProof/>
        </w:rPr>
        <w:fldChar w:fldCharType="begin"/>
      </w:r>
      <w:r>
        <w:rPr>
          <w:noProof/>
        </w:rPr>
        <w:instrText xml:space="preserve"> PAGEREF _Toc70077683 \h </w:instrText>
      </w:r>
      <w:r>
        <w:rPr>
          <w:noProof/>
        </w:rPr>
      </w:r>
      <w:r>
        <w:rPr>
          <w:noProof/>
        </w:rPr>
        <w:fldChar w:fldCharType="separate"/>
      </w:r>
      <w:r>
        <w:rPr>
          <w:noProof/>
        </w:rPr>
        <w:t>7</w:t>
      </w:r>
      <w:r>
        <w:rPr>
          <w:noProof/>
        </w:rPr>
        <w:fldChar w:fldCharType="end"/>
      </w:r>
    </w:p>
    <w:p w14:paraId="18E0F3F7" w14:textId="3370AFB0" w:rsidR="009E6137" w:rsidRDefault="009E6137">
      <w:pPr>
        <w:pStyle w:val="TOC5"/>
        <w:rPr>
          <w:rFonts w:asciiTheme="minorHAnsi" w:eastAsiaTheme="minorEastAsia" w:hAnsiTheme="minorHAnsi" w:cstheme="minorBidi"/>
          <w:noProof/>
          <w:kern w:val="0"/>
          <w:sz w:val="22"/>
          <w:szCs w:val="22"/>
        </w:rPr>
      </w:pPr>
      <w:r>
        <w:rPr>
          <w:noProof/>
        </w:rPr>
        <w:t>11  Physical assessment</w:t>
      </w:r>
      <w:r>
        <w:rPr>
          <w:noProof/>
        </w:rPr>
        <w:tab/>
      </w:r>
      <w:r>
        <w:rPr>
          <w:noProof/>
        </w:rPr>
        <w:fldChar w:fldCharType="begin"/>
      </w:r>
      <w:r>
        <w:rPr>
          <w:noProof/>
        </w:rPr>
        <w:instrText xml:space="preserve"> PAGEREF _Toc70077684 \h </w:instrText>
      </w:r>
      <w:r>
        <w:rPr>
          <w:noProof/>
        </w:rPr>
      </w:r>
      <w:r>
        <w:rPr>
          <w:noProof/>
        </w:rPr>
        <w:fldChar w:fldCharType="separate"/>
      </w:r>
      <w:r>
        <w:rPr>
          <w:noProof/>
        </w:rPr>
        <w:t>10</w:t>
      </w:r>
      <w:r>
        <w:rPr>
          <w:noProof/>
        </w:rPr>
        <w:fldChar w:fldCharType="end"/>
      </w:r>
    </w:p>
    <w:p w14:paraId="08FBF764" w14:textId="452CFA4F" w:rsidR="009E6137" w:rsidRDefault="009E6137">
      <w:pPr>
        <w:pStyle w:val="TOC6"/>
        <w:rPr>
          <w:rFonts w:asciiTheme="minorHAnsi" w:eastAsiaTheme="minorEastAsia" w:hAnsiTheme="minorHAnsi" w:cstheme="minorBidi"/>
          <w:b w:val="0"/>
          <w:noProof/>
          <w:kern w:val="0"/>
          <w:sz w:val="22"/>
          <w:szCs w:val="22"/>
        </w:rPr>
      </w:pPr>
      <w:r>
        <w:rPr>
          <w:noProof/>
        </w:rPr>
        <w:t>Schedule 1—Ineligibility criteria for donor selection</w:t>
      </w:r>
      <w:r>
        <w:rPr>
          <w:noProof/>
        </w:rPr>
        <w:tab/>
      </w:r>
      <w:r>
        <w:rPr>
          <w:noProof/>
        </w:rPr>
        <w:fldChar w:fldCharType="begin"/>
      </w:r>
      <w:r>
        <w:rPr>
          <w:noProof/>
        </w:rPr>
        <w:instrText xml:space="preserve"> PAGEREF _Toc70077685 \h </w:instrText>
      </w:r>
      <w:r>
        <w:rPr>
          <w:noProof/>
        </w:rPr>
      </w:r>
      <w:r>
        <w:rPr>
          <w:noProof/>
        </w:rPr>
        <w:fldChar w:fldCharType="separate"/>
      </w:r>
      <w:r>
        <w:rPr>
          <w:noProof/>
        </w:rPr>
        <w:t>11</w:t>
      </w:r>
      <w:r>
        <w:rPr>
          <w:noProof/>
        </w:rPr>
        <w:fldChar w:fldCharType="end"/>
      </w:r>
    </w:p>
    <w:p w14:paraId="454E74B2" w14:textId="60D6DCFF" w:rsidR="009E6137" w:rsidRDefault="009E6137">
      <w:pPr>
        <w:pStyle w:val="TOC6"/>
        <w:rPr>
          <w:rFonts w:asciiTheme="minorHAnsi" w:eastAsiaTheme="minorEastAsia" w:hAnsiTheme="minorHAnsi" w:cstheme="minorBidi"/>
          <w:b w:val="0"/>
          <w:noProof/>
          <w:kern w:val="0"/>
          <w:sz w:val="22"/>
          <w:szCs w:val="22"/>
        </w:rPr>
      </w:pPr>
      <w:r>
        <w:rPr>
          <w:noProof/>
        </w:rPr>
        <w:t>Schedule 2—Repeals</w:t>
      </w:r>
      <w:r>
        <w:rPr>
          <w:noProof/>
        </w:rPr>
        <w:tab/>
      </w:r>
      <w:r>
        <w:rPr>
          <w:noProof/>
        </w:rPr>
        <w:fldChar w:fldCharType="begin"/>
      </w:r>
      <w:r>
        <w:rPr>
          <w:noProof/>
        </w:rPr>
        <w:instrText xml:space="preserve"> PAGEREF _Toc70077686 \h </w:instrText>
      </w:r>
      <w:r>
        <w:rPr>
          <w:noProof/>
        </w:rPr>
      </w:r>
      <w:r>
        <w:rPr>
          <w:noProof/>
        </w:rPr>
        <w:fldChar w:fldCharType="separate"/>
      </w:r>
      <w:r>
        <w:rPr>
          <w:noProof/>
        </w:rPr>
        <w:t>16</w:t>
      </w:r>
      <w:r>
        <w:rPr>
          <w:noProof/>
        </w:rPr>
        <w:fldChar w:fldCharType="end"/>
      </w:r>
    </w:p>
    <w:p w14:paraId="6DDFA16F" w14:textId="75B6C486" w:rsidR="009E6137" w:rsidRDefault="009E6137">
      <w:pPr>
        <w:pStyle w:val="TOC9"/>
        <w:rPr>
          <w:rFonts w:asciiTheme="minorHAnsi" w:eastAsiaTheme="minorEastAsia" w:hAnsiTheme="minorHAnsi" w:cstheme="minorBidi"/>
          <w:i w:val="0"/>
          <w:noProof/>
          <w:kern w:val="0"/>
          <w:sz w:val="22"/>
          <w:szCs w:val="22"/>
        </w:rPr>
      </w:pPr>
      <w:r w:rsidRPr="007629C6">
        <w:rPr>
          <w:iCs/>
          <w:noProof/>
        </w:rPr>
        <w:t>Therapeutic Goods Order No. 88</w:t>
      </w:r>
      <w:r>
        <w:rPr>
          <w:noProof/>
        </w:rPr>
        <w:t xml:space="preserve"> </w:t>
      </w:r>
      <w:r w:rsidRPr="007629C6">
        <w:rPr>
          <w:iCs/>
          <w:noProof/>
        </w:rPr>
        <w:t>Standards for donor selection, testing, and minimising infectious disease transmission via therapeutic goods that are human blood and blood components, human tissues and human cellular therapy products</w:t>
      </w:r>
      <w:r>
        <w:rPr>
          <w:noProof/>
        </w:rPr>
        <w:tab/>
      </w:r>
      <w:r>
        <w:rPr>
          <w:noProof/>
        </w:rPr>
        <w:fldChar w:fldCharType="begin"/>
      </w:r>
      <w:r>
        <w:rPr>
          <w:noProof/>
        </w:rPr>
        <w:instrText xml:space="preserve"> PAGEREF _Toc70077687 \h </w:instrText>
      </w:r>
      <w:r>
        <w:rPr>
          <w:noProof/>
        </w:rPr>
      </w:r>
      <w:r>
        <w:rPr>
          <w:noProof/>
        </w:rPr>
        <w:fldChar w:fldCharType="separate"/>
      </w:r>
      <w:r>
        <w:rPr>
          <w:noProof/>
        </w:rPr>
        <w:t>16</w:t>
      </w:r>
      <w:r>
        <w:rPr>
          <w:noProof/>
        </w:rPr>
        <w:fldChar w:fldCharType="end"/>
      </w:r>
    </w:p>
    <w:p w14:paraId="3C8FAC50" w14:textId="0C9A2EE0" w:rsidR="00F6696E" w:rsidRPr="009A5E24" w:rsidRDefault="00B418CB" w:rsidP="00F6696E">
      <w:pPr>
        <w:outlineLvl w:val="0"/>
      </w:pPr>
      <w:r w:rsidRPr="009A5E24">
        <w:fldChar w:fldCharType="end"/>
      </w:r>
    </w:p>
    <w:p w14:paraId="6ED23C7F" w14:textId="77777777" w:rsidR="00F6696E" w:rsidRPr="009A5E24" w:rsidRDefault="00F6696E" w:rsidP="00F6696E">
      <w:pPr>
        <w:outlineLvl w:val="0"/>
        <w:rPr>
          <w:sz w:val="20"/>
        </w:rPr>
      </w:pPr>
    </w:p>
    <w:p w14:paraId="1267C043" w14:textId="77777777" w:rsidR="00F6696E" w:rsidRPr="009A5E24" w:rsidRDefault="00F6696E" w:rsidP="00F6696E">
      <w:pPr>
        <w:sectPr w:rsidR="00F6696E" w:rsidRPr="009A5E24" w:rsidSect="00B84BBE">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31478203" w14:textId="77777777" w:rsidR="0008225F" w:rsidRPr="009A5E24" w:rsidRDefault="0008225F" w:rsidP="0008225F">
      <w:pPr>
        <w:pStyle w:val="ActHead2"/>
      </w:pPr>
      <w:bookmarkStart w:id="1" w:name="_Toc57970841"/>
      <w:bookmarkStart w:id="2" w:name="_Toc62743392"/>
      <w:bookmarkStart w:id="3" w:name="_Toc70077672"/>
      <w:r w:rsidRPr="009A5E24">
        <w:rPr>
          <w:rStyle w:val="CharPartNo"/>
        </w:rPr>
        <w:lastRenderedPageBreak/>
        <w:t>Part 1—Preliminary</w:t>
      </w:r>
      <w:bookmarkEnd w:id="1"/>
      <w:bookmarkEnd w:id="2"/>
      <w:bookmarkEnd w:id="3"/>
    </w:p>
    <w:p w14:paraId="1F53855C" w14:textId="77777777" w:rsidR="00554826" w:rsidRPr="009A5E24" w:rsidRDefault="00554826" w:rsidP="00554826">
      <w:pPr>
        <w:pStyle w:val="ActHead5"/>
      </w:pPr>
      <w:bookmarkStart w:id="4" w:name="_Toc70077673"/>
      <w:r w:rsidRPr="009A5E24">
        <w:t>1  Name</w:t>
      </w:r>
      <w:bookmarkEnd w:id="4"/>
    </w:p>
    <w:p w14:paraId="622FCCD9" w14:textId="6951374C" w:rsidR="00554826" w:rsidRPr="009A5E24" w:rsidRDefault="00554826" w:rsidP="00554826">
      <w:pPr>
        <w:pStyle w:val="subsection"/>
      </w:pPr>
      <w:r w:rsidRPr="009A5E24">
        <w:tab/>
      </w:r>
      <w:r w:rsidR="00C57FA6" w:rsidRPr="009A5E24">
        <w:t>(1)</w:t>
      </w:r>
      <w:r w:rsidRPr="009A5E24">
        <w:tab/>
        <w:t xml:space="preserve">This instrument is the </w:t>
      </w:r>
      <w:bookmarkStart w:id="5" w:name="BKCheck15B_3"/>
      <w:bookmarkEnd w:id="5"/>
      <w:r w:rsidR="00FE39B8" w:rsidRPr="009A5E24">
        <w:rPr>
          <w:i/>
        </w:rPr>
        <w:t>Therapeutic Goods (Standard for H</w:t>
      </w:r>
      <w:r w:rsidR="007A3253" w:rsidRPr="009A5E24">
        <w:rPr>
          <w:i/>
        </w:rPr>
        <w:t>uman Cell and Tissue</w:t>
      </w:r>
      <w:r w:rsidR="00FE39B8" w:rsidRPr="009A5E24">
        <w:rPr>
          <w:i/>
        </w:rPr>
        <w:t xml:space="preserve"> Products—Donor </w:t>
      </w:r>
      <w:r w:rsidR="00D06496">
        <w:rPr>
          <w:i/>
        </w:rPr>
        <w:t>Screening</w:t>
      </w:r>
      <w:r w:rsidR="008E0B13" w:rsidRPr="009A5E24">
        <w:rPr>
          <w:i/>
        </w:rPr>
        <w:t xml:space="preserve"> </w:t>
      </w:r>
      <w:r w:rsidR="00FE39B8" w:rsidRPr="009A5E24">
        <w:rPr>
          <w:i/>
        </w:rPr>
        <w:t>Requirements) (TGO 108) Order 2021</w:t>
      </w:r>
      <w:r w:rsidRPr="009A5E24">
        <w:t>.</w:t>
      </w:r>
    </w:p>
    <w:p w14:paraId="5ED28409" w14:textId="77777777" w:rsidR="00C57FA6" w:rsidRPr="009A5E24" w:rsidRDefault="00C57FA6" w:rsidP="00554826">
      <w:pPr>
        <w:pStyle w:val="subsection"/>
      </w:pPr>
      <w:r w:rsidRPr="009A5E24">
        <w:tab/>
        <w:t>(2)</w:t>
      </w:r>
      <w:r w:rsidRPr="009A5E24">
        <w:tab/>
        <w:t>This instrument may also be cited as TGO 108.</w:t>
      </w:r>
    </w:p>
    <w:p w14:paraId="4D2039FD" w14:textId="77777777" w:rsidR="00554826" w:rsidRPr="009A5E24" w:rsidRDefault="00554826" w:rsidP="00554826">
      <w:pPr>
        <w:pStyle w:val="ActHead5"/>
      </w:pPr>
      <w:bookmarkStart w:id="6" w:name="_Toc70077674"/>
      <w:r w:rsidRPr="009A5E24">
        <w:t>2  Commencement</w:t>
      </w:r>
      <w:bookmarkEnd w:id="6"/>
    </w:p>
    <w:p w14:paraId="685D8E40" w14:textId="77777777" w:rsidR="003767E2" w:rsidRPr="009A5E24" w:rsidRDefault="003767E2" w:rsidP="003767E2">
      <w:pPr>
        <w:pStyle w:val="subsection"/>
      </w:pPr>
      <w:r w:rsidRPr="009A5E24">
        <w:tab/>
        <w:t>(1)</w:t>
      </w:r>
      <w:r w:rsidRPr="009A5E24">
        <w:tab/>
        <w:t>Each provision of this instrument specified in column 1 of the table commences, or is taken to have commenced, in accordance with column 2 of the table. Any other statement in column 2 has effect according to its terms.</w:t>
      </w:r>
    </w:p>
    <w:p w14:paraId="68272A4E" w14:textId="77777777" w:rsidR="003767E2" w:rsidRPr="009A5E2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9A5E24" w14:paraId="1F24818C" w14:textId="77777777" w:rsidTr="00B84BBE">
        <w:trPr>
          <w:tblHeader/>
        </w:trPr>
        <w:tc>
          <w:tcPr>
            <w:tcW w:w="8364" w:type="dxa"/>
            <w:gridSpan w:val="3"/>
            <w:tcBorders>
              <w:top w:val="single" w:sz="12" w:space="0" w:color="auto"/>
              <w:bottom w:val="single" w:sz="6" w:space="0" w:color="auto"/>
            </w:tcBorders>
            <w:shd w:val="clear" w:color="auto" w:fill="auto"/>
            <w:hideMark/>
          </w:tcPr>
          <w:p w14:paraId="418ED23F" w14:textId="77777777" w:rsidR="003767E2" w:rsidRPr="009A5E24" w:rsidRDefault="003767E2" w:rsidP="00B84BBE">
            <w:pPr>
              <w:pStyle w:val="TableHeading"/>
            </w:pPr>
            <w:r w:rsidRPr="009A5E24">
              <w:t>Commencement information</w:t>
            </w:r>
          </w:p>
        </w:tc>
      </w:tr>
      <w:tr w:rsidR="003767E2" w:rsidRPr="009A5E24" w14:paraId="08713217" w14:textId="77777777" w:rsidTr="00B84BBE">
        <w:trPr>
          <w:tblHeader/>
        </w:trPr>
        <w:tc>
          <w:tcPr>
            <w:tcW w:w="2127" w:type="dxa"/>
            <w:tcBorders>
              <w:top w:val="single" w:sz="6" w:space="0" w:color="auto"/>
              <w:bottom w:val="single" w:sz="6" w:space="0" w:color="auto"/>
            </w:tcBorders>
            <w:shd w:val="clear" w:color="auto" w:fill="auto"/>
            <w:hideMark/>
          </w:tcPr>
          <w:p w14:paraId="568A9659" w14:textId="77777777" w:rsidR="003767E2" w:rsidRPr="009A5E24" w:rsidRDefault="003767E2" w:rsidP="00B84BBE">
            <w:pPr>
              <w:pStyle w:val="TableHeading"/>
            </w:pPr>
            <w:r w:rsidRPr="009A5E24">
              <w:t>Column 1</w:t>
            </w:r>
          </w:p>
        </w:tc>
        <w:tc>
          <w:tcPr>
            <w:tcW w:w="4394" w:type="dxa"/>
            <w:tcBorders>
              <w:top w:val="single" w:sz="6" w:space="0" w:color="auto"/>
              <w:bottom w:val="single" w:sz="6" w:space="0" w:color="auto"/>
            </w:tcBorders>
            <w:shd w:val="clear" w:color="auto" w:fill="auto"/>
            <w:hideMark/>
          </w:tcPr>
          <w:p w14:paraId="1DB6C0E8" w14:textId="77777777" w:rsidR="003767E2" w:rsidRPr="009A5E24" w:rsidRDefault="003767E2" w:rsidP="00B84BBE">
            <w:pPr>
              <w:pStyle w:val="TableHeading"/>
            </w:pPr>
            <w:r w:rsidRPr="009A5E24">
              <w:t>Column 2</w:t>
            </w:r>
          </w:p>
        </w:tc>
        <w:tc>
          <w:tcPr>
            <w:tcW w:w="1843" w:type="dxa"/>
            <w:tcBorders>
              <w:top w:val="single" w:sz="6" w:space="0" w:color="auto"/>
              <w:bottom w:val="single" w:sz="6" w:space="0" w:color="auto"/>
            </w:tcBorders>
            <w:shd w:val="clear" w:color="auto" w:fill="auto"/>
            <w:hideMark/>
          </w:tcPr>
          <w:p w14:paraId="07133F54" w14:textId="77777777" w:rsidR="003767E2" w:rsidRPr="009A5E24" w:rsidRDefault="003767E2" w:rsidP="00B84BBE">
            <w:pPr>
              <w:pStyle w:val="TableHeading"/>
            </w:pPr>
            <w:r w:rsidRPr="009A5E24">
              <w:t>Column 3</w:t>
            </w:r>
          </w:p>
        </w:tc>
      </w:tr>
      <w:tr w:rsidR="003767E2" w:rsidRPr="009A5E24" w14:paraId="3F505107" w14:textId="77777777" w:rsidTr="00B84BBE">
        <w:trPr>
          <w:tblHeader/>
        </w:trPr>
        <w:tc>
          <w:tcPr>
            <w:tcW w:w="2127" w:type="dxa"/>
            <w:tcBorders>
              <w:top w:val="single" w:sz="6" w:space="0" w:color="auto"/>
              <w:bottom w:val="single" w:sz="12" w:space="0" w:color="auto"/>
            </w:tcBorders>
            <w:shd w:val="clear" w:color="auto" w:fill="auto"/>
            <w:hideMark/>
          </w:tcPr>
          <w:p w14:paraId="799B5526" w14:textId="77777777" w:rsidR="003767E2" w:rsidRPr="009A5E24" w:rsidRDefault="003767E2" w:rsidP="00B84BBE">
            <w:pPr>
              <w:pStyle w:val="TableHeading"/>
            </w:pPr>
            <w:r w:rsidRPr="009A5E24">
              <w:t>Provisions</w:t>
            </w:r>
          </w:p>
        </w:tc>
        <w:tc>
          <w:tcPr>
            <w:tcW w:w="4394" w:type="dxa"/>
            <w:tcBorders>
              <w:top w:val="single" w:sz="6" w:space="0" w:color="auto"/>
              <w:bottom w:val="single" w:sz="12" w:space="0" w:color="auto"/>
            </w:tcBorders>
            <w:shd w:val="clear" w:color="auto" w:fill="auto"/>
            <w:hideMark/>
          </w:tcPr>
          <w:p w14:paraId="571E86DE" w14:textId="77777777" w:rsidR="003767E2" w:rsidRPr="009A5E24" w:rsidRDefault="003767E2" w:rsidP="00B84BBE">
            <w:pPr>
              <w:pStyle w:val="TableHeading"/>
            </w:pPr>
            <w:r w:rsidRPr="009A5E24">
              <w:t>Commencement</w:t>
            </w:r>
          </w:p>
        </w:tc>
        <w:tc>
          <w:tcPr>
            <w:tcW w:w="1843" w:type="dxa"/>
            <w:tcBorders>
              <w:top w:val="single" w:sz="6" w:space="0" w:color="auto"/>
              <w:bottom w:val="single" w:sz="12" w:space="0" w:color="auto"/>
            </w:tcBorders>
            <w:shd w:val="clear" w:color="auto" w:fill="auto"/>
            <w:hideMark/>
          </w:tcPr>
          <w:p w14:paraId="4928DA6D" w14:textId="77777777" w:rsidR="003767E2" w:rsidRPr="009A5E24" w:rsidRDefault="003767E2" w:rsidP="00B84BBE">
            <w:pPr>
              <w:pStyle w:val="TableHeading"/>
            </w:pPr>
            <w:r w:rsidRPr="009A5E24">
              <w:t>Date/Details</w:t>
            </w:r>
          </w:p>
        </w:tc>
      </w:tr>
      <w:tr w:rsidR="003767E2" w:rsidRPr="009A5E24" w14:paraId="628FAD66" w14:textId="77777777" w:rsidTr="00B84BBE">
        <w:tc>
          <w:tcPr>
            <w:tcW w:w="2127" w:type="dxa"/>
            <w:tcBorders>
              <w:top w:val="single" w:sz="12" w:space="0" w:color="auto"/>
              <w:bottom w:val="single" w:sz="12" w:space="0" w:color="auto"/>
            </w:tcBorders>
            <w:shd w:val="clear" w:color="auto" w:fill="auto"/>
            <w:hideMark/>
          </w:tcPr>
          <w:p w14:paraId="074153AF" w14:textId="77777777" w:rsidR="003767E2" w:rsidRPr="009A5E24" w:rsidRDefault="003767E2" w:rsidP="00FE39B8">
            <w:pPr>
              <w:pStyle w:val="Tabletext"/>
              <w:rPr>
                <w:i/>
              </w:rPr>
            </w:pPr>
            <w:r w:rsidRPr="009A5E24">
              <w:t xml:space="preserve">1.  </w:t>
            </w:r>
            <w:r w:rsidR="00FE39B8" w:rsidRPr="009A5E24">
              <w:t>The whole of this instrument</w:t>
            </w:r>
          </w:p>
        </w:tc>
        <w:tc>
          <w:tcPr>
            <w:tcW w:w="4394" w:type="dxa"/>
            <w:tcBorders>
              <w:top w:val="single" w:sz="12" w:space="0" w:color="auto"/>
              <w:bottom w:val="single" w:sz="12" w:space="0" w:color="auto"/>
            </w:tcBorders>
            <w:shd w:val="clear" w:color="auto" w:fill="auto"/>
            <w:hideMark/>
          </w:tcPr>
          <w:p w14:paraId="703427C1" w14:textId="77777777" w:rsidR="003767E2" w:rsidRPr="009A5E24" w:rsidRDefault="00FE39B8" w:rsidP="00FE39B8">
            <w:pPr>
              <w:pStyle w:val="Tabletext"/>
            </w:pPr>
            <w:r w:rsidRPr="009A5E24">
              <w:t>30 September 2021</w:t>
            </w:r>
            <w:r w:rsidR="003767E2" w:rsidRPr="009A5E24">
              <w:t>.</w:t>
            </w:r>
          </w:p>
        </w:tc>
        <w:tc>
          <w:tcPr>
            <w:tcW w:w="1843" w:type="dxa"/>
            <w:tcBorders>
              <w:top w:val="single" w:sz="12" w:space="0" w:color="auto"/>
              <w:bottom w:val="single" w:sz="12" w:space="0" w:color="auto"/>
            </w:tcBorders>
            <w:shd w:val="clear" w:color="auto" w:fill="auto"/>
          </w:tcPr>
          <w:p w14:paraId="1BE60662" w14:textId="77777777" w:rsidR="003767E2" w:rsidRPr="009A5E24" w:rsidRDefault="00FE39B8" w:rsidP="00B84BBE">
            <w:pPr>
              <w:pStyle w:val="Tabletext"/>
            </w:pPr>
            <w:r w:rsidRPr="009A5E24">
              <w:t>30 September 2021</w:t>
            </w:r>
          </w:p>
        </w:tc>
      </w:tr>
    </w:tbl>
    <w:p w14:paraId="3CFC0D0E" w14:textId="77777777" w:rsidR="003767E2" w:rsidRPr="009A5E24" w:rsidRDefault="003767E2" w:rsidP="003767E2">
      <w:pPr>
        <w:pStyle w:val="notetext"/>
      </w:pPr>
      <w:r w:rsidRPr="009A5E24">
        <w:rPr>
          <w:snapToGrid w:val="0"/>
          <w:lang w:eastAsia="en-US"/>
        </w:rPr>
        <w:t>Note:</w:t>
      </w:r>
      <w:r w:rsidRPr="009A5E24">
        <w:rPr>
          <w:snapToGrid w:val="0"/>
          <w:lang w:eastAsia="en-US"/>
        </w:rPr>
        <w:tab/>
        <w:t>This table relates only to the provisions of this instrument</w:t>
      </w:r>
      <w:r w:rsidRPr="009A5E24">
        <w:t xml:space="preserve"> </w:t>
      </w:r>
      <w:r w:rsidRPr="009A5E24">
        <w:rPr>
          <w:snapToGrid w:val="0"/>
          <w:lang w:eastAsia="en-US"/>
        </w:rPr>
        <w:t>as originally made. It will not be amended to deal with any later amendments of this instrument.</w:t>
      </w:r>
    </w:p>
    <w:p w14:paraId="2C8D9440" w14:textId="77777777" w:rsidR="003767E2" w:rsidRPr="009A5E24" w:rsidRDefault="003767E2" w:rsidP="003767E2">
      <w:pPr>
        <w:pStyle w:val="subsection"/>
      </w:pPr>
      <w:r w:rsidRPr="009A5E24">
        <w:tab/>
        <w:t>(2)</w:t>
      </w:r>
      <w:r w:rsidRPr="009A5E24">
        <w:tab/>
        <w:t>Any information in column 3 of the table is not part of this instrument. Information may be inserted in this column, or information in it may be edited, in any published version of this instrument.</w:t>
      </w:r>
    </w:p>
    <w:p w14:paraId="4E7D1DA3" w14:textId="77777777" w:rsidR="00554826" w:rsidRPr="009A5E24" w:rsidRDefault="00554826" w:rsidP="00554826">
      <w:pPr>
        <w:pStyle w:val="ActHead5"/>
      </w:pPr>
      <w:bookmarkStart w:id="7" w:name="_Toc70077675"/>
      <w:r w:rsidRPr="009A5E24">
        <w:t>3  Authority</w:t>
      </w:r>
      <w:bookmarkEnd w:id="7"/>
    </w:p>
    <w:p w14:paraId="30E6CD82" w14:textId="77777777" w:rsidR="00554826" w:rsidRPr="009A5E24" w:rsidRDefault="00554826" w:rsidP="00554826">
      <w:pPr>
        <w:pStyle w:val="subsection"/>
      </w:pPr>
      <w:r w:rsidRPr="009A5E24">
        <w:tab/>
      </w:r>
      <w:r w:rsidRPr="009A5E24">
        <w:tab/>
        <w:t xml:space="preserve">This instrument is made under </w:t>
      </w:r>
      <w:r w:rsidR="00FE39B8" w:rsidRPr="009A5E24">
        <w:t xml:space="preserve">section 10 of the </w:t>
      </w:r>
      <w:r w:rsidR="00FE39B8" w:rsidRPr="009A5E24">
        <w:rPr>
          <w:i/>
        </w:rPr>
        <w:t>Therapeutic Goods Act 1989</w:t>
      </w:r>
      <w:r w:rsidR="00FE39B8" w:rsidRPr="009A5E24">
        <w:t>.</w:t>
      </w:r>
    </w:p>
    <w:p w14:paraId="2166BF28" w14:textId="77777777" w:rsidR="00554826" w:rsidRPr="009A5E24" w:rsidRDefault="00554826" w:rsidP="00554826">
      <w:pPr>
        <w:pStyle w:val="ActHead5"/>
      </w:pPr>
      <w:bookmarkStart w:id="8" w:name="_Toc70077676"/>
      <w:r w:rsidRPr="009A5E24">
        <w:t>4  Definitions</w:t>
      </w:r>
      <w:bookmarkEnd w:id="8"/>
    </w:p>
    <w:p w14:paraId="7DC02D94" w14:textId="77777777" w:rsidR="00554826" w:rsidRPr="009A5E24" w:rsidRDefault="00554826" w:rsidP="00554826">
      <w:pPr>
        <w:pStyle w:val="notetext"/>
      </w:pPr>
      <w:r w:rsidRPr="009A5E24">
        <w:t>Note:</w:t>
      </w:r>
      <w:r w:rsidRPr="009A5E24">
        <w:tab/>
        <w:t xml:space="preserve">A number of expressions used in this instrument are defined in </w:t>
      </w:r>
      <w:r w:rsidR="0004136E" w:rsidRPr="009A5E24">
        <w:t>subsection 3(1)</w:t>
      </w:r>
      <w:r w:rsidRPr="009A5E24">
        <w:t xml:space="preserve"> of the Act, including the following:</w:t>
      </w:r>
    </w:p>
    <w:p w14:paraId="50A194FB" w14:textId="77777777" w:rsidR="00554826" w:rsidRPr="009A5E24" w:rsidRDefault="00554826" w:rsidP="00554826">
      <w:pPr>
        <w:pStyle w:val="notepara"/>
      </w:pPr>
      <w:r w:rsidRPr="009A5E24">
        <w:t>(a)</w:t>
      </w:r>
      <w:r w:rsidRPr="009A5E24">
        <w:tab/>
      </w:r>
      <w:r w:rsidR="0004136E" w:rsidRPr="009A5E24">
        <w:t>manufacture</w:t>
      </w:r>
      <w:r w:rsidRPr="009A5E24">
        <w:t>;</w:t>
      </w:r>
    </w:p>
    <w:p w14:paraId="61DD31BB" w14:textId="77777777" w:rsidR="00444BF2" w:rsidRPr="009A5E24" w:rsidRDefault="00444BF2" w:rsidP="00554826">
      <w:pPr>
        <w:pStyle w:val="notepara"/>
      </w:pPr>
      <w:r w:rsidRPr="009A5E24">
        <w:t>(b)</w:t>
      </w:r>
      <w:r w:rsidRPr="009A5E24">
        <w:tab/>
        <w:t>Register;</w:t>
      </w:r>
    </w:p>
    <w:p w14:paraId="7DC9B6E2" w14:textId="77777777" w:rsidR="00444BF2" w:rsidRPr="009A5E24" w:rsidRDefault="00444BF2" w:rsidP="00554826">
      <w:pPr>
        <w:pStyle w:val="notepara"/>
      </w:pPr>
      <w:r w:rsidRPr="009A5E24">
        <w:t>(c)</w:t>
      </w:r>
      <w:r w:rsidRPr="009A5E24">
        <w:tab/>
        <w:t>standard;</w:t>
      </w:r>
    </w:p>
    <w:p w14:paraId="3E7A0825" w14:textId="77777777" w:rsidR="00444BF2" w:rsidRPr="009A5E24" w:rsidRDefault="00444BF2" w:rsidP="00554826">
      <w:pPr>
        <w:pStyle w:val="notepara"/>
      </w:pPr>
      <w:r w:rsidRPr="009A5E24">
        <w:t>(d</w:t>
      </w:r>
      <w:r w:rsidR="00554826" w:rsidRPr="009A5E24">
        <w:t>)</w:t>
      </w:r>
      <w:r w:rsidR="00554826" w:rsidRPr="009A5E24">
        <w:tab/>
      </w:r>
      <w:r w:rsidRPr="009A5E24">
        <w:t>supply;</w:t>
      </w:r>
    </w:p>
    <w:p w14:paraId="6A9739A6" w14:textId="77777777" w:rsidR="00554826" w:rsidRPr="009A5E24" w:rsidRDefault="00444BF2" w:rsidP="00554826">
      <w:pPr>
        <w:pStyle w:val="notepara"/>
      </w:pPr>
      <w:r w:rsidRPr="009A5E24">
        <w:t>(e)</w:t>
      </w:r>
      <w:r w:rsidRPr="009A5E24">
        <w:tab/>
      </w:r>
      <w:r w:rsidR="0004136E" w:rsidRPr="009A5E24">
        <w:t>therapeutic goods</w:t>
      </w:r>
      <w:r w:rsidR="00554826" w:rsidRPr="009A5E24">
        <w:t>.</w:t>
      </w:r>
    </w:p>
    <w:p w14:paraId="468B76B6" w14:textId="77777777" w:rsidR="00554826" w:rsidRPr="009A5E24" w:rsidRDefault="00554826" w:rsidP="00554826">
      <w:pPr>
        <w:pStyle w:val="subsection"/>
      </w:pPr>
      <w:r w:rsidRPr="009A5E24">
        <w:tab/>
      </w:r>
      <w:r w:rsidRPr="009A5E24">
        <w:tab/>
        <w:t>In this instrument:</w:t>
      </w:r>
    </w:p>
    <w:p w14:paraId="6F56030C" w14:textId="77777777" w:rsidR="00554826" w:rsidRPr="009A5E24" w:rsidRDefault="00554826" w:rsidP="00554826">
      <w:pPr>
        <w:pStyle w:val="Definition"/>
      </w:pPr>
      <w:r w:rsidRPr="009A5E24">
        <w:rPr>
          <w:b/>
          <w:i/>
        </w:rPr>
        <w:t>Act</w:t>
      </w:r>
      <w:r w:rsidRPr="009A5E24">
        <w:t xml:space="preserve"> means the </w:t>
      </w:r>
      <w:r w:rsidR="002873C6" w:rsidRPr="009A5E24">
        <w:rPr>
          <w:i/>
        </w:rPr>
        <w:t>Therapeutic Goods Act 1989</w:t>
      </w:r>
      <w:r w:rsidRPr="009A5E24">
        <w:t>.</w:t>
      </w:r>
    </w:p>
    <w:p w14:paraId="51BFE8E1" w14:textId="77777777" w:rsidR="00995169" w:rsidRPr="009A5E24" w:rsidRDefault="00995169" w:rsidP="0004136E">
      <w:pPr>
        <w:pStyle w:val="Definition"/>
      </w:pPr>
      <w:r w:rsidRPr="009A5E24">
        <w:rPr>
          <w:b/>
          <w:bCs/>
          <w:i/>
          <w:iCs/>
        </w:rPr>
        <w:t>allogeneic use</w:t>
      </w:r>
      <w:r w:rsidRPr="009A5E24">
        <w:t xml:space="preserve">, in relation to </w:t>
      </w:r>
      <w:r w:rsidR="0084173E" w:rsidRPr="009A5E24">
        <w:t>a</w:t>
      </w:r>
      <w:r w:rsidR="00EF33F8" w:rsidRPr="009A5E24">
        <w:t>n</w:t>
      </w:r>
      <w:r w:rsidR="0084173E" w:rsidRPr="009A5E24">
        <w:t xml:space="preserve"> </w:t>
      </w:r>
      <w:r w:rsidR="009D2238" w:rsidRPr="009A5E24">
        <w:t xml:space="preserve">HCT </w:t>
      </w:r>
      <w:r w:rsidRPr="009A5E24">
        <w:t xml:space="preserve">product, means administration to, or application in the treatment of, a person other than the person from whom the </w:t>
      </w:r>
      <w:r w:rsidR="0084173E" w:rsidRPr="009A5E24">
        <w:t>HCT</w:t>
      </w:r>
      <w:r w:rsidRPr="009A5E24">
        <w:t xml:space="preserve"> materials used in the manufacture of the product were collected.</w:t>
      </w:r>
    </w:p>
    <w:p w14:paraId="4A55F3F4" w14:textId="76DBBBF7" w:rsidR="00276BE7" w:rsidRPr="009A5E24" w:rsidRDefault="00276BE7" w:rsidP="00276BE7">
      <w:pPr>
        <w:pStyle w:val="Definition"/>
        <w:rPr>
          <w:bCs/>
          <w:iCs/>
        </w:rPr>
      </w:pPr>
      <w:r w:rsidRPr="009A5E24">
        <w:rPr>
          <w:b/>
          <w:bCs/>
          <w:i/>
          <w:iCs/>
        </w:rPr>
        <w:t>asystole</w:t>
      </w:r>
      <w:r w:rsidRPr="009A5E24">
        <w:rPr>
          <w:bCs/>
          <w:iCs/>
        </w:rPr>
        <w:t>, in relation to a donor</w:t>
      </w:r>
      <w:r w:rsidR="00A77E34" w:rsidRPr="009A5E24">
        <w:rPr>
          <w:bCs/>
          <w:iCs/>
        </w:rPr>
        <w:t xml:space="preserve"> of HCT materials</w:t>
      </w:r>
      <w:r w:rsidRPr="009A5E24">
        <w:rPr>
          <w:bCs/>
          <w:iCs/>
        </w:rPr>
        <w:t xml:space="preserve">, means the reference time for cardiac </w:t>
      </w:r>
      <w:r w:rsidR="00530C03" w:rsidRPr="009A5E24">
        <w:rPr>
          <w:bCs/>
          <w:iCs/>
        </w:rPr>
        <w:t>death</w:t>
      </w:r>
      <w:r w:rsidRPr="009A5E24">
        <w:rPr>
          <w:bCs/>
          <w:iCs/>
        </w:rPr>
        <w:t xml:space="preserve">, </w:t>
      </w:r>
      <w:r w:rsidR="002E3EC3" w:rsidRPr="009A5E24">
        <w:rPr>
          <w:bCs/>
          <w:iCs/>
        </w:rPr>
        <w:t>being</w:t>
      </w:r>
      <w:r w:rsidRPr="009A5E24">
        <w:rPr>
          <w:bCs/>
          <w:iCs/>
        </w:rPr>
        <w:t>:</w:t>
      </w:r>
    </w:p>
    <w:p w14:paraId="5E7CA6EA" w14:textId="77777777" w:rsidR="00276BE7" w:rsidRPr="009A5E24" w:rsidRDefault="00276BE7" w:rsidP="00276BE7">
      <w:pPr>
        <w:pStyle w:val="paragraph"/>
        <w:rPr>
          <w:bCs/>
          <w:iCs/>
        </w:rPr>
      </w:pPr>
      <w:r w:rsidRPr="009A5E24">
        <w:rPr>
          <w:bCs/>
          <w:iCs/>
        </w:rPr>
        <w:tab/>
        <w:t>(a)</w:t>
      </w:r>
      <w:r w:rsidRPr="009A5E24">
        <w:rPr>
          <w:bCs/>
          <w:iCs/>
        </w:rPr>
        <w:tab/>
        <w:t>the documented pronounced time of death; or</w:t>
      </w:r>
    </w:p>
    <w:p w14:paraId="6F1C3F96" w14:textId="77777777" w:rsidR="00276BE7" w:rsidRPr="009A5E24" w:rsidRDefault="00276BE7" w:rsidP="00276BE7">
      <w:pPr>
        <w:pStyle w:val="paragraph"/>
        <w:rPr>
          <w:bCs/>
          <w:iCs/>
        </w:rPr>
      </w:pPr>
      <w:r w:rsidRPr="009A5E24">
        <w:rPr>
          <w:bCs/>
          <w:iCs/>
        </w:rPr>
        <w:tab/>
        <w:t>(b)</w:t>
      </w:r>
      <w:r w:rsidRPr="009A5E24">
        <w:rPr>
          <w:bCs/>
          <w:iCs/>
        </w:rPr>
        <w:tab/>
        <w:t>if death is not witnessed—the last time the donor was known to be alive; or</w:t>
      </w:r>
    </w:p>
    <w:p w14:paraId="29C062DE" w14:textId="240595B8" w:rsidR="00276BE7" w:rsidRPr="009A5E24" w:rsidRDefault="00276BE7" w:rsidP="00276BE7">
      <w:pPr>
        <w:pStyle w:val="paragraph"/>
        <w:rPr>
          <w:bCs/>
          <w:iCs/>
        </w:rPr>
      </w:pPr>
      <w:r w:rsidRPr="009A5E24">
        <w:rPr>
          <w:bCs/>
          <w:iCs/>
        </w:rPr>
        <w:tab/>
        <w:t>(c)</w:t>
      </w:r>
      <w:r w:rsidRPr="009A5E24">
        <w:rPr>
          <w:bCs/>
          <w:iCs/>
        </w:rPr>
        <w:tab/>
        <w:t xml:space="preserve">if the </w:t>
      </w:r>
      <w:r w:rsidR="00A621E7" w:rsidRPr="009A5E24">
        <w:rPr>
          <w:bCs/>
          <w:iCs/>
        </w:rPr>
        <w:t xml:space="preserve">donor of the HCT materials </w:t>
      </w:r>
      <w:r w:rsidR="005F0A93" w:rsidRPr="009A5E24">
        <w:rPr>
          <w:bCs/>
          <w:iCs/>
        </w:rPr>
        <w:t xml:space="preserve">is also a </w:t>
      </w:r>
      <w:r w:rsidRPr="009A5E24">
        <w:rPr>
          <w:bCs/>
          <w:iCs/>
        </w:rPr>
        <w:t>solid organ donor—the cross clamp time.</w:t>
      </w:r>
    </w:p>
    <w:p w14:paraId="549D9E69" w14:textId="77777777" w:rsidR="008340CC" w:rsidRPr="009A5E24" w:rsidRDefault="000A21CE" w:rsidP="0004136E">
      <w:pPr>
        <w:pStyle w:val="Definition"/>
      </w:pPr>
      <w:r w:rsidRPr="009A5E24">
        <w:rPr>
          <w:b/>
          <w:bCs/>
          <w:i/>
          <w:iCs/>
        </w:rPr>
        <w:t>autologous</w:t>
      </w:r>
      <w:r w:rsidRPr="009A5E24">
        <w:rPr>
          <w:b/>
          <w:i/>
        </w:rPr>
        <w:t xml:space="preserve"> use</w:t>
      </w:r>
      <w:r w:rsidRPr="009A5E24">
        <w:t xml:space="preserve">, in relation to </w:t>
      </w:r>
      <w:r w:rsidR="00C657BC" w:rsidRPr="009A5E24">
        <w:t>a</w:t>
      </w:r>
      <w:r w:rsidR="00EF33F8" w:rsidRPr="009A5E24">
        <w:t>n</w:t>
      </w:r>
      <w:r w:rsidR="00C657BC" w:rsidRPr="009A5E24">
        <w:t xml:space="preserve"> HCT</w:t>
      </w:r>
      <w:r w:rsidRPr="009A5E24">
        <w:t xml:space="preserve"> product, means administration to, or application in the treatment of, the person from whom the </w:t>
      </w:r>
      <w:r w:rsidR="00C657BC" w:rsidRPr="009A5E24">
        <w:t>HCT materials</w:t>
      </w:r>
      <w:r w:rsidRPr="009A5E24">
        <w:t xml:space="preserve"> used in the manufacture of the product were collected.</w:t>
      </w:r>
    </w:p>
    <w:p w14:paraId="3DD31216" w14:textId="77777777" w:rsidR="00C71346" w:rsidRPr="009A5E24" w:rsidRDefault="00C71346" w:rsidP="00C71346">
      <w:pPr>
        <w:pStyle w:val="Definition"/>
      </w:pPr>
      <w:r w:rsidRPr="009A5E24">
        <w:rPr>
          <w:b/>
          <w:i/>
        </w:rPr>
        <w:t>blood</w:t>
      </w:r>
      <w:r w:rsidRPr="009A5E24">
        <w:t xml:space="preserve"> means whole blood collected from a single human donor and that is:</w:t>
      </w:r>
    </w:p>
    <w:p w14:paraId="6569BE11" w14:textId="77777777" w:rsidR="00C71346" w:rsidRPr="009A5E24" w:rsidRDefault="00C71346" w:rsidP="00C71346">
      <w:pPr>
        <w:pStyle w:val="paragraph"/>
      </w:pPr>
      <w:r w:rsidRPr="009A5E24">
        <w:tab/>
        <w:t>(a)</w:t>
      </w:r>
      <w:r w:rsidRPr="009A5E24">
        <w:tab/>
        <w:t>used for infectious disease testing; or</w:t>
      </w:r>
    </w:p>
    <w:p w14:paraId="24AD777B" w14:textId="77777777" w:rsidR="00C71346" w:rsidRPr="009A5E24" w:rsidRDefault="00C71346" w:rsidP="00C71346">
      <w:pPr>
        <w:pStyle w:val="paragraph"/>
      </w:pPr>
      <w:r w:rsidRPr="009A5E24">
        <w:tab/>
        <w:t>(b)</w:t>
      </w:r>
      <w:r w:rsidRPr="009A5E24">
        <w:tab/>
        <w:t>processed either for transfusion or further manufacturing.</w:t>
      </w:r>
    </w:p>
    <w:p w14:paraId="2DCD7357" w14:textId="77777777" w:rsidR="00C71346" w:rsidRPr="009A5E24" w:rsidRDefault="00C71346" w:rsidP="00C71346">
      <w:pPr>
        <w:pStyle w:val="Definition"/>
        <w:rPr>
          <w:szCs w:val="22"/>
        </w:rPr>
      </w:pPr>
      <w:r w:rsidRPr="009A5E24">
        <w:rPr>
          <w:b/>
          <w:i/>
          <w:szCs w:val="22"/>
        </w:rPr>
        <w:t>blood components</w:t>
      </w:r>
      <w:r w:rsidRPr="009A5E24">
        <w:rPr>
          <w:szCs w:val="22"/>
        </w:rPr>
        <w:t xml:space="preserve"> means any of the following therapeutic components of blood that can be prepared by centrifugation, filtration or freezing using conventional methodologies in blood establishment:</w:t>
      </w:r>
    </w:p>
    <w:p w14:paraId="3DCE9949" w14:textId="77777777" w:rsidR="00C71346" w:rsidRPr="009A5E24" w:rsidRDefault="00C71346" w:rsidP="00C71346">
      <w:pPr>
        <w:pStyle w:val="paragraph"/>
      </w:pPr>
      <w:r w:rsidRPr="009A5E24">
        <w:tab/>
        <w:t>(a)</w:t>
      </w:r>
      <w:r w:rsidRPr="009A5E24">
        <w:tab/>
        <w:t>plasma;</w:t>
      </w:r>
    </w:p>
    <w:p w14:paraId="39DB66B4" w14:textId="77777777" w:rsidR="00C71346" w:rsidRPr="009A5E24" w:rsidRDefault="00C71346" w:rsidP="00C71346">
      <w:pPr>
        <w:pStyle w:val="paragraph"/>
      </w:pPr>
      <w:r w:rsidRPr="009A5E24">
        <w:tab/>
        <w:t>(b)</w:t>
      </w:r>
      <w:r w:rsidRPr="009A5E24">
        <w:tab/>
        <w:t>platelets;</w:t>
      </w:r>
    </w:p>
    <w:p w14:paraId="30FFD16C" w14:textId="77777777" w:rsidR="00C71346" w:rsidRPr="009A5E24" w:rsidRDefault="00C71346" w:rsidP="00C71346">
      <w:pPr>
        <w:pStyle w:val="paragraph"/>
      </w:pPr>
      <w:r w:rsidRPr="009A5E24">
        <w:tab/>
        <w:t>(c)</w:t>
      </w:r>
      <w:r w:rsidRPr="009A5E24">
        <w:tab/>
        <w:t>red cells;</w:t>
      </w:r>
    </w:p>
    <w:p w14:paraId="6111E164" w14:textId="77777777" w:rsidR="00C71346" w:rsidRPr="009A5E24" w:rsidRDefault="00C71346" w:rsidP="00C71346">
      <w:pPr>
        <w:pStyle w:val="paragraph"/>
      </w:pPr>
      <w:r w:rsidRPr="009A5E24">
        <w:tab/>
        <w:t>(d)</w:t>
      </w:r>
      <w:r w:rsidRPr="009A5E24">
        <w:tab/>
        <w:t>white cells;</w:t>
      </w:r>
    </w:p>
    <w:p w14:paraId="0600AC46" w14:textId="77777777" w:rsidR="00C71346" w:rsidRPr="009A5E24" w:rsidRDefault="00C71346" w:rsidP="00C71346">
      <w:pPr>
        <w:pStyle w:val="subsection2"/>
      </w:pPr>
      <w:r w:rsidRPr="009A5E24">
        <w:t>but does not include haematopoietic progenitor cells.</w:t>
      </w:r>
    </w:p>
    <w:p w14:paraId="62DD9EF8" w14:textId="77777777" w:rsidR="00276BE7" w:rsidRPr="009A5E24" w:rsidRDefault="00276BE7" w:rsidP="00276BE7">
      <w:pPr>
        <w:pStyle w:val="Definition"/>
      </w:pPr>
      <w:r w:rsidRPr="009A5E24">
        <w:rPr>
          <w:b/>
          <w:i/>
        </w:rPr>
        <w:t>directed allogeneic use</w:t>
      </w:r>
      <w:r w:rsidR="002F2BFF" w:rsidRPr="009A5E24">
        <w:t xml:space="preserve">, in relation to </w:t>
      </w:r>
      <w:r w:rsidR="00FB5919" w:rsidRPr="009A5E24">
        <w:t>a</w:t>
      </w:r>
      <w:r w:rsidR="00EF33F8" w:rsidRPr="009A5E24">
        <w:t>n</w:t>
      </w:r>
      <w:r w:rsidR="00FB5919" w:rsidRPr="009A5E24">
        <w:t xml:space="preserve"> </w:t>
      </w:r>
      <w:r w:rsidR="0084173E" w:rsidRPr="009A5E24">
        <w:t>HCT</w:t>
      </w:r>
      <w:r w:rsidR="00FB5919" w:rsidRPr="009A5E24">
        <w:t xml:space="preserve"> product</w:t>
      </w:r>
      <w:r w:rsidR="002F2BFF" w:rsidRPr="009A5E24">
        <w:t>,</w:t>
      </w:r>
      <w:r w:rsidRPr="009A5E24">
        <w:t xml:space="preserve"> means allogeneic </w:t>
      </w:r>
      <w:r w:rsidR="006C463F" w:rsidRPr="009A5E24">
        <w:t>use for</w:t>
      </w:r>
      <w:r w:rsidRPr="009A5E24">
        <w:t xml:space="preserve"> which </w:t>
      </w:r>
      <w:r w:rsidR="005A0F53" w:rsidRPr="009A5E24">
        <w:t>all</w:t>
      </w:r>
      <w:r w:rsidRPr="009A5E24">
        <w:t xml:space="preserve"> of the following paragraphs apply:</w:t>
      </w:r>
    </w:p>
    <w:p w14:paraId="6B286A01" w14:textId="77777777" w:rsidR="00276BE7" w:rsidRPr="009A5E24" w:rsidRDefault="00276BE7" w:rsidP="00276BE7">
      <w:pPr>
        <w:pStyle w:val="paragraph"/>
      </w:pPr>
      <w:r w:rsidRPr="009A5E24">
        <w:tab/>
        <w:t>(a)</w:t>
      </w:r>
      <w:r w:rsidRPr="009A5E24">
        <w:tab/>
        <w:t xml:space="preserve">the </w:t>
      </w:r>
      <w:r w:rsidR="0084173E" w:rsidRPr="009A5E24">
        <w:t>HCT</w:t>
      </w:r>
      <w:r w:rsidRPr="009A5E24">
        <w:t xml:space="preserve"> materials used in the manufacture of </w:t>
      </w:r>
      <w:r w:rsidR="002F2BFF" w:rsidRPr="009A5E24">
        <w:t>the</w:t>
      </w:r>
      <w:r w:rsidRPr="009A5E24">
        <w:t xml:space="preserve"> product are collected by</w:t>
      </w:r>
      <w:r w:rsidR="009A30B1" w:rsidRPr="009A5E24">
        <w:t>, or under the professional supervision or direction of,</w:t>
      </w:r>
      <w:r w:rsidR="00520DFE" w:rsidRPr="009A5E24">
        <w:t xml:space="preserve"> </w:t>
      </w:r>
      <w:r w:rsidRPr="009A5E24">
        <w:t>a medical or dental practitioner; and</w:t>
      </w:r>
    </w:p>
    <w:p w14:paraId="0877A75F" w14:textId="42EC64FD" w:rsidR="00276BE7" w:rsidRPr="009A5E24" w:rsidRDefault="00276BE7" w:rsidP="00064A73">
      <w:pPr>
        <w:pStyle w:val="paragraph"/>
      </w:pPr>
      <w:r w:rsidRPr="009A5E24">
        <w:tab/>
        <w:t>(b)</w:t>
      </w:r>
      <w:r w:rsidRPr="009A5E24">
        <w:tab/>
        <w:t xml:space="preserve">the product is </w:t>
      </w:r>
      <w:r w:rsidR="006C463F" w:rsidRPr="009A5E24">
        <w:t xml:space="preserve">manufactured </w:t>
      </w:r>
      <w:r w:rsidRPr="009A5E24">
        <w:t xml:space="preserve">for </w:t>
      </w:r>
      <w:r w:rsidR="005C628A" w:rsidRPr="009A5E24">
        <w:t>administration</w:t>
      </w:r>
      <w:r w:rsidR="00F41A2B" w:rsidRPr="009A5E24">
        <w:t xml:space="preserve"> to,</w:t>
      </w:r>
      <w:r w:rsidR="005C628A" w:rsidRPr="009A5E24">
        <w:t xml:space="preserve"> or</w:t>
      </w:r>
      <w:r w:rsidRPr="009A5E24">
        <w:t xml:space="preserve"> application</w:t>
      </w:r>
      <w:r w:rsidR="00F41A2B" w:rsidRPr="009A5E24">
        <w:t xml:space="preserve"> in the treatment of,</w:t>
      </w:r>
      <w:r w:rsidRPr="009A5E24">
        <w:t xml:space="preserve"> a </w:t>
      </w:r>
      <w:r w:rsidR="0084173E" w:rsidRPr="009A5E24">
        <w:t xml:space="preserve">designated </w:t>
      </w:r>
      <w:r w:rsidR="002236CA" w:rsidRPr="009A5E24">
        <w:t>patient</w:t>
      </w:r>
      <w:r w:rsidRPr="009A5E24">
        <w:t xml:space="preserve"> </w:t>
      </w:r>
      <w:r w:rsidR="0084173E" w:rsidRPr="009A5E24">
        <w:t>who</w:t>
      </w:r>
      <w:r w:rsidR="00064A73" w:rsidRPr="009A5E24">
        <w:t xml:space="preserve"> </w:t>
      </w:r>
      <w:r w:rsidR="0084173E" w:rsidRPr="009A5E24">
        <w:t>has a pre-existing condition</w:t>
      </w:r>
      <w:r w:rsidR="006C463F" w:rsidRPr="009A5E24">
        <w:t xml:space="preserve"> by, or under the professional supervision or direction of, a medical or dental practitioner</w:t>
      </w:r>
      <w:r w:rsidR="009A30B1" w:rsidRPr="009A5E24">
        <w:t>; and</w:t>
      </w:r>
    </w:p>
    <w:p w14:paraId="715C967D" w14:textId="77777777" w:rsidR="009A30B1" w:rsidRPr="009A5E24" w:rsidRDefault="007E5AA2" w:rsidP="007E5AA2">
      <w:pPr>
        <w:pStyle w:val="paragraph"/>
      </w:pPr>
      <w:r w:rsidRPr="009A5E24">
        <w:tab/>
      </w:r>
      <w:r w:rsidR="006C463F" w:rsidRPr="009A5E24">
        <w:t>(c</w:t>
      </w:r>
      <w:r w:rsidRPr="009A5E24">
        <w:t>)</w:t>
      </w:r>
      <w:r w:rsidRPr="009A5E24">
        <w:tab/>
        <w:t xml:space="preserve">the medical or dental practitioners </w:t>
      </w:r>
      <w:r w:rsidR="00064A73" w:rsidRPr="009A5E24">
        <w:t>mentioned in paragraphs (a)</w:t>
      </w:r>
      <w:r w:rsidRPr="009A5E24">
        <w:t xml:space="preserve"> and (</w:t>
      </w:r>
      <w:r w:rsidR="006C463F" w:rsidRPr="009A5E24">
        <w:t>b</w:t>
      </w:r>
      <w:r w:rsidRPr="009A5E24">
        <w:t>) are registered in a State or internal Territory.</w:t>
      </w:r>
    </w:p>
    <w:p w14:paraId="08063558" w14:textId="77777777" w:rsidR="0004136E" w:rsidRPr="009A5E24" w:rsidRDefault="0004136E" w:rsidP="0004136E">
      <w:pPr>
        <w:pStyle w:val="Definition"/>
      </w:pPr>
      <w:r w:rsidRPr="009A5E24">
        <w:rPr>
          <w:b/>
          <w:i/>
        </w:rPr>
        <w:t>faecal microbiota transplant product</w:t>
      </w:r>
      <w:r w:rsidRPr="009A5E24">
        <w:rPr>
          <w:i/>
        </w:rPr>
        <w:t xml:space="preserve"> </w:t>
      </w:r>
      <w:r w:rsidRPr="009A5E24">
        <w:t>has the same meaning as in the Regulations.</w:t>
      </w:r>
    </w:p>
    <w:p w14:paraId="7139353A" w14:textId="77777777" w:rsidR="00A63003" w:rsidRPr="009A5E24" w:rsidRDefault="00A63003" w:rsidP="00A63003">
      <w:pPr>
        <w:pStyle w:val="Definition"/>
      </w:pPr>
      <w:r w:rsidRPr="009A5E24">
        <w:rPr>
          <w:b/>
          <w:i/>
        </w:rPr>
        <w:t>haematopoietic progenitor cells</w:t>
      </w:r>
      <w:r w:rsidRPr="009A5E24">
        <w:t xml:space="preserve"> means primitive pluripotent haematopoietic cells capable of self-renewal as well as maturation into any of the haematopoietic lineages, including committed and lineage-restricted progenitor cells.</w:t>
      </w:r>
    </w:p>
    <w:p w14:paraId="3ABBDE1E" w14:textId="77777777" w:rsidR="009757B8" w:rsidRPr="009A5E24" w:rsidRDefault="009757B8" w:rsidP="009757B8">
      <w:pPr>
        <w:pStyle w:val="Definition"/>
      </w:pPr>
      <w:r w:rsidRPr="009A5E24">
        <w:rPr>
          <w:b/>
          <w:i/>
        </w:rPr>
        <w:t>HBsAg</w:t>
      </w:r>
      <w:r w:rsidRPr="009A5E24">
        <w:t xml:space="preserve"> means hepatitis B surface antigen.</w:t>
      </w:r>
    </w:p>
    <w:p w14:paraId="5444FC0A" w14:textId="77777777" w:rsidR="009757B8" w:rsidRPr="009A5E24" w:rsidRDefault="009757B8" w:rsidP="009757B8">
      <w:pPr>
        <w:pStyle w:val="Definition"/>
      </w:pPr>
      <w:r w:rsidRPr="009A5E24">
        <w:rPr>
          <w:b/>
          <w:i/>
        </w:rPr>
        <w:t>HBV</w:t>
      </w:r>
      <w:r w:rsidRPr="009A5E24">
        <w:t xml:space="preserve"> means hepatitis B virus.</w:t>
      </w:r>
    </w:p>
    <w:p w14:paraId="7585EEFC" w14:textId="77777777" w:rsidR="00BF70D9" w:rsidRPr="009A5E24" w:rsidRDefault="009D2238" w:rsidP="00546068">
      <w:pPr>
        <w:pStyle w:val="Definition"/>
      </w:pPr>
      <w:r w:rsidRPr="009A5E24">
        <w:rPr>
          <w:b/>
          <w:i/>
        </w:rPr>
        <w:t>HCT materials</w:t>
      </w:r>
      <w:r w:rsidRPr="009A5E24">
        <w:t xml:space="preserve"> means</w:t>
      </w:r>
      <w:r w:rsidR="00BF70D9" w:rsidRPr="009A5E24">
        <w:t xml:space="preserve"> one or more of the following</w:t>
      </w:r>
      <w:r w:rsidR="005776E7" w:rsidRPr="009A5E24">
        <w:t xml:space="preserve"> that are collected from a donor for use in the manufacture of an HCT product</w:t>
      </w:r>
      <w:r w:rsidR="00BF70D9" w:rsidRPr="009A5E24">
        <w:t>:</w:t>
      </w:r>
    </w:p>
    <w:p w14:paraId="2E2E3435" w14:textId="77777777" w:rsidR="00BF70D9" w:rsidRPr="009A5E24" w:rsidRDefault="00BF70D9" w:rsidP="00913382">
      <w:pPr>
        <w:pStyle w:val="paragraph"/>
      </w:pPr>
      <w:r w:rsidRPr="009A5E24">
        <w:tab/>
        <w:t>(a)</w:t>
      </w:r>
      <w:r w:rsidRPr="009A5E24">
        <w:tab/>
      </w:r>
      <w:r w:rsidR="009D2238" w:rsidRPr="009A5E24">
        <w:t>human cells</w:t>
      </w:r>
      <w:r w:rsidR="008E0B13" w:rsidRPr="009A5E24">
        <w:t xml:space="preserve"> (</w:t>
      </w:r>
      <w:r w:rsidRPr="009A5E24">
        <w:t>including haematopoietic progenitor cells</w:t>
      </w:r>
      <w:r w:rsidR="008E0B13" w:rsidRPr="009A5E24">
        <w:t>)</w:t>
      </w:r>
      <w:r w:rsidRPr="009A5E24">
        <w:t>;</w:t>
      </w:r>
    </w:p>
    <w:p w14:paraId="3D959611" w14:textId="77777777" w:rsidR="00BF70D9" w:rsidRPr="009A5E24" w:rsidRDefault="00BF70D9" w:rsidP="00913382">
      <w:pPr>
        <w:pStyle w:val="paragraph"/>
      </w:pPr>
      <w:r w:rsidRPr="009A5E24">
        <w:tab/>
        <w:t>(b)</w:t>
      </w:r>
      <w:r w:rsidRPr="009A5E24">
        <w:tab/>
      </w:r>
      <w:r w:rsidR="009D2238" w:rsidRPr="009A5E24">
        <w:t>human tissues</w:t>
      </w:r>
      <w:r w:rsidRPr="009A5E24">
        <w:t>;</w:t>
      </w:r>
    </w:p>
    <w:p w14:paraId="2EAAE896" w14:textId="77777777" w:rsidR="00BF70D9" w:rsidRPr="009A5E24" w:rsidRDefault="00BF70D9" w:rsidP="00913382">
      <w:pPr>
        <w:pStyle w:val="paragraph"/>
      </w:pPr>
      <w:r w:rsidRPr="009A5E24">
        <w:tab/>
        <w:t>(c)</w:t>
      </w:r>
      <w:r w:rsidRPr="009A5E24">
        <w:tab/>
        <w:t>blood;</w:t>
      </w:r>
    </w:p>
    <w:p w14:paraId="6DA9973C" w14:textId="77777777" w:rsidR="009D2238" w:rsidRPr="009A5E24" w:rsidRDefault="00BF70D9" w:rsidP="00913382">
      <w:pPr>
        <w:pStyle w:val="paragraph"/>
      </w:pPr>
      <w:r w:rsidRPr="009A5E24">
        <w:tab/>
      </w:r>
      <w:r w:rsidR="008E0B13" w:rsidRPr="009A5E24">
        <w:t>(d)</w:t>
      </w:r>
      <w:r w:rsidR="008E0B13" w:rsidRPr="009A5E24">
        <w:tab/>
        <w:t>blood components (</w:t>
      </w:r>
      <w:r w:rsidRPr="009A5E24">
        <w:t>including plasma</w:t>
      </w:r>
      <w:r w:rsidR="008E0B13" w:rsidRPr="009A5E24">
        <w:t>)</w:t>
      </w:r>
      <w:r w:rsidR="004C7EA1" w:rsidRPr="009A5E24">
        <w:t>.</w:t>
      </w:r>
    </w:p>
    <w:p w14:paraId="1E1BC359" w14:textId="77777777" w:rsidR="004F7892" w:rsidRPr="009A5E24" w:rsidRDefault="004F7892" w:rsidP="00546068">
      <w:pPr>
        <w:pStyle w:val="Definition"/>
      </w:pPr>
      <w:r w:rsidRPr="009A5E24">
        <w:rPr>
          <w:b/>
          <w:i/>
        </w:rPr>
        <w:t>HCT products</w:t>
      </w:r>
      <w:r w:rsidRPr="009A5E24">
        <w:t xml:space="preserve"> means therapeutic goods that comprise, contain or are derived from HCT materials.</w:t>
      </w:r>
    </w:p>
    <w:p w14:paraId="2A21EC33" w14:textId="77777777" w:rsidR="00546068" w:rsidRPr="009A5E24" w:rsidRDefault="00546068" w:rsidP="00546068">
      <w:pPr>
        <w:pStyle w:val="Definition"/>
      </w:pPr>
      <w:r w:rsidRPr="009A5E24">
        <w:rPr>
          <w:b/>
          <w:i/>
        </w:rPr>
        <w:t>HCV</w:t>
      </w:r>
      <w:r w:rsidR="007A5C28" w:rsidRPr="009A5E24">
        <w:t xml:space="preserve"> means h</w:t>
      </w:r>
      <w:r w:rsidRPr="009A5E24">
        <w:t>epatitis C virus.</w:t>
      </w:r>
    </w:p>
    <w:p w14:paraId="726F2336" w14:textId="77777777" w:rsidR="00546068" w:rsidRPr="009A5E24" w:rsidRDefault="00546068" w:rsidP="00546068">
      <w:pPr>
        <w:pStyle w:val="Definition"/>
        <w:rPr>
          <w:b/>
          <w:i/>
        </w:rPr>
      </w:pPr>
      <w:r w:rsidRPr="009A5E24">
        <w:rPr>
          <w:b/>
          <w:i/>
        </w:rPr>
        <w:t>HIV-1</w:t>
      </w:r>
      <w:r w:rsidR="007A5C28" w:rsidRPr="009A5E24">
        <w:t xml:space="preserve"> means human immunodeficiency v</w:t>
      </w:r>
      <w:r w:rsidRPr="009A5E24">
        <w:t>irus type 1.</w:t>
      </w:r>
    </w:p>
    <w:p w14:paraId="2CA6C1C9" w14:textId="77777777" w:rsidR="00546068" w:rsidRPr="009A5E24" w:rsidRDefault="00546068" w:rsidP="00546068">
      <w:pPr>
        <w:pStyle w:val="Definition"/>
        <w:rPr>
          <w:b/>
          <w:i/>
        </w:rPr>
      </w:pPr>
      <w:r w:rsidRPr="009A5E24">
        <w:rPr>
          <w:b/>
          <w:i/>
        </w:rPr>
        <w:t>HIV-2</w:t>
      </w:r>
      <w:r w:rsidR="007A5C28" w:rsidRPr="009A5E24">
        <w:t xml:space="preserve"> means human immunodeficiency v</w:t>
      </w:r>
      <w:r w:rsidRPr="009A5E24">
        <w:t>irus type 2.</w:t>
      </w:r>
    </w:p>
    <w:p w14:paraId="1464F68B" w14:textId="77777777" w:rsidR="00546068" w:rsidRPr="009A5E24" w:rsidRDefault="00832CDF" w:rsidP="00546068">
      <w:pPr>
        <w:pStyle w:val="Definition"/>
      </w:pPr>
      <w:r w:rsidRPr="009A5E24">
        <w:rPr>
          <w:b/>
          <w:i/>
        </w:rPr>
        <w:t>HPC(</w:t>
      </w:r>
      <w:r w:rsidR="00546068" w:rsidRPr="009A5E24">
        <w:rPr>
          <w:b/>
          <w:i/>
        </w:rPr>
        <w:t>C</w:t>
      </w:r>
      <w:r w:rsidR="006C630E" w:rsidRPr="009A5E24">
        <w:rPr>
          <w:b/>
          <w:i/>
        </w:rPr>
        <w:t>B</w:t>
      </w:r>
      <w:r w:rsidR="004F7892" w:rsidRPr="009A5E24">
        <w:rPr>
          <w:b/>
          <w:i/>
        </w:rPr>
        <w:t>)</w:t>
      </w:r>
      <w:r w:rsidR="00546068" w:rsidRPr="009A5E24">
        <w:t xml:space="preserve"> means </w:t>
      </w:r>
      <w:r w:rsidR="004F7892" w:rsidRPr="009A5E24">
        <w:t xml:space="preserve">haematopoietic progenitor cells obtained from </w:t>
      </w:r>
      <w:r w:rsidR="00546068" w:rsidRPr="009A5E24">
        <w:t>cord</w:t>
      </w:r>
      <w:r w:rsidR="004F7892" w:rsidRPr="009A5E24">
        <w:t xml:space="preserve"> blood</w:t>
      </w:r>
      <w:r w:rsidR="00546068" w:rsidRPr="009A5E24">
        <w:t>.</w:t>
      </w:r>
    </w:p>
    <w:p w14:paraId="0052E0A8" w14:textId="77777777" w:rsidR="00546068" w:rsidRPr="009A5E24" w:rsidRDefault="00546068" w:rsidP="00546068">
      <w:pPr>
        <w:pStyle w:val="Definition"/>
      </w:pPr>
      <w:r w:rsidRPr="009A5E24">
        <w:rPr>
          <w:b/>
          <w:i/>
        </w:rPr>
        <w:t>HTLV-1</w:t>
      </w:r>
      <w:r w:rsidR="00066690" w:rsidRPr="009A5E24">
        <w:t xml:space="preserve"> means human T-lymphotropic v</w:t>
      </w:r>
      <w:r w:rsidR="00832CDF" w:rsidRPr="009A5E24">
        <w:t>irus</w:t>
      </w:r>
      <w:r w:rsidRPr="009A5E24">
        <w:t xml:space="preserve"> type 1.</w:t>
      </w:r>
    </w:p>
    <w:p w14:paraId="06813C51" w14:textId="77777777" w:rsidR="00546068" w:rsidRPr="009A5E24" w:rsidRDefault="00546068" w:rsidP="00546068">
      <w:pPr>
        <w:pStyle w:val="Definition"/>
      </w:pPr>
      <w:r w:rsidRPr="009A5E24">
        <w:rPr>
          <w:b/>
          <w:i/>
        </w:rPr>
        <w:t>HTLV-2</w:t>
      </w:r>
      <w:r w:rsidR="00066690" w:rsidRPr="009A5E24">
        <w:t xml:space="preserve"> means human T-lymphotropic v</w:t>
      </w:r>
      <w:r w:rsidR="00832CDF" w:rsidRPr="009A5E24">
        <w:t>irus</w:t>
      </w:r>
      <w:r w:rsidRPr="009A5E24">
        <w:t xml:space="preserve"> type 2.</w:t>
      </w:r>
    </w:p>
    <w:p w14:paraId="01B8CBE8" w14:textId="3AA34C8F" w:rsidR="00751594" w:rsidRPr="00751594" w:rsidRDefault="00751594" w:rsidP="00546068">
      <w:pPr>
        <w:pStyle w:val="Definition"/>
      </w:pPr>
      <w:r>
        <w:rPr>
          <w:b/>
          <w:i/>
        </w:rPr>
        <w:t>human musculoskeletal tissue</w:t>
      </w:r>
      <w:r>
        <w:t xml:space="preserve"> includes bone, cartilage, fascia lata, ligament, muscle, and tendon.</w:t>
      </w:r>
    </w:p>
    <w:p w14:paraId="26F39425" w14:textId="20F5688E" w:rsidR="009757B8" w:rsidRPr="009A5E24" w:rsidRDefault="009757B8" w:rsidP="00546068">
      <w:pPr>
        <w:pStyle w:val="Definition"/>
      </w:pPr>
      <w:r w:rsidRPr="009A5E24">
        <w:rPr>
          <w:b/>
          <w:i/>
        </w:rPr>
        <w:t>in-house IVD medical device</w:t>
      </w:r>
      <w:r w:rsidRPr="009A5E24">
        <w:t xml:space="preserve"> has the same meaning as in the MD Regulations.</w:t>
      </w:r>
    </w:p>
    <w:p w14:paraId="69871170" w14:textId="77777777" w:rsidR="009757B8" w:rsidRPr="009A5E24" w:rsidRDefault="009757B8" w:rsidP="00546068">
      <w:pPr>
        <w:pStyle w:val="Definition"/>
      </w:pPr>
      <w:r w:rsidRPr="009A5E24">
        <w:rPr>
          <w:b/>
          <w:i/>
        </w:rPr>
        <w:t>IVD medical device</w:t>
      </w:r>
      <w:r w:rsidRPr="009A5E24">
        <w:t xml:space="preserve"> has the same meaning as in the MD Regulations.</w:t>
      </w:r>
    </w:p>
    <w:p w14:paraId="7DB4DFF8" w14:textId="77777777" w:rsidR="009757B8" w:rsidRPr="009A5E24" w:rsidRDefault="009757B8" w:rsidP="00546068">
      <w:pPr>
        <w:pStyle w:val="Definition"/>
      </w:pPr>
      <w:r w:rsidRPr="009A5E24">
        <w:rPr>
          <w:b/>
          <w:i/>
        </w:rPr>
        <w:t>MD Regulations</w:t>
      </w:r>
      <w:r w:rsidRPr="009A5E24">
        <w:t xml:space="preserve"> means the </w:t>
      </w:r>
      <w:r w:rsidRPr="009A5E24">
        <w:rPr>
          <w:i/>
        </w:rPr>
        <w:t>Therapeutic Goods (Medical Devices) Regulations 2002</w:t>
      </w:r>
      <w:r w:rsidRPr="009A5E24">
        <w:t>.</w:t>
      </w:r>
    </w:p>
    <w:p w14:paraId="1F01335E" w14:textId="77777777" w:rsidR="00546068" w:rsidRPr="009A5E24" w:rsidRDefault="00546068" w:rsidP="00546068">
      <w:pPr>
        <w:pStyle w:val="Definition"/>
        <w:rPr>
          <w:b/>
          <w:i/>
        </w:rPr>
      </w:pPr>
      <w:r w:rsidRPr="009A5E24">
        <w:rPr>
          <w:b/>
          <w:i/>
        </w:rPr>
        <w:t>NAT</w:t>
      </w:r>
      <w:r w:rsidRPr="009A5E24">
        <w:t xml:space="preserve"> means nucleic acid amplification testing.</w:t>
      </w:r>
    </w:p>
    <w:p w14:paraId="0C1C63CF" w14:textId="77777777" w:rsidR="0004136E" w:rsidRPr="009A5E24" w:rsidRDefault="0004136E" w:rsidP="0004136E">
      <w:pPr>
        <w:pStyle w:val="Definition"/>
      </w:pPr>
      <w:r w:rsidRPr="009A5E24">
        <w:rPr>
          <w:b/>
          <w:i/>
        </w:rPr>
        <w:t>Regulations</w:t>
      </w:r>
      <w:r w:rsidRPr="009A5E24">
        <w:t xml:space="preserve"> means the </w:t>
      </w:r>
      <w:r w:rsidRPr="009A5E24">
        <w:rPr>
          <w:i/>
        </w:rPr>
        <w:t>Therapeutic Goods Regulations 1990</w:t>
      </w:r>
      <w:r w:rsidRPr="009A5E24">
        <w:t>.</w:t>
      </w:r>
    </w:p>
    <w:p w14:paraId="382DBAB1" w14:textId="77777777" w:rsidR="009757B8" w:rsidRPr="009A5E24" w:rsidRDefault="009757B8" w:rsidP="0004136E">
      <w:pPr>
        <w:pStyle w:val="Definition"/>
      </w:pPr>
      <w:r w:rsidRPr="009A5E24">
        <w:rPr>
          <w:b/>
          <w:i/>
        </w:rPr>
        <w:t>Therapeutic Goods Administration</w:t>
      </w:r>
      <w:r w:rsidRPr="009A5E24">
        <w:t xml:space="preserve"> has the same meaning as in the Regulations.</w:t>
      </w:r>
    </w:p>
    <w:p w14:paraId="4D5FDE82" w14:textId="77777777" w:rsidR="002873C6" w:rsidRPr="009A5E24" w:rsidRDefault="002873C6" w:rsidP="002873C6">
      <w:pPr>
        <w:pStyle w:val="ActHead5"/>
      </w:pPr>
      <w:bookmarkStart w:id="9" w:name="_Toc70077677"/>
      <w:bookmarkStart w:id="10" w:name="_Toc454781205"/>
      <w:r w:rsidRPr="009A5E24">
        <w:t>5  Standard</w:t>
      </w:r>
      <w:bookmarkEnd w:id="9"/>
    </w:p>
    <w:p w14:paraId="71E802A1" w14:textId="2EC17543" w:rsidR="002873C6" w:rsidRPr="009A5E24" w:rsidRDefault="002873C6" w:rsidP="002873C6">
      <w:pPr>
        <w:pStyle w:val="subsection"/>
      </w:pPr>
      <w:r w:rsidRPr="009A5E24">
        <w:tab/>
      </w:r>
      <w:r w:rsidRPr="009A5E24">
        <w:tab/>
        <w:t xml:space="preserve">The matters specified in this instrument constitute a standard for </w:t>
      </w:r>
      <w:r w:rsidR="009757B8" w:rsidRPr="009A5E24">
        <w:t>HCT products</w:t>
      </w:r>
      <w:r w:rsidR="008E0B13" w:rsidRPr="009A5E24">
        <w:t xml:space="preserve"> in relation to donor </w:t>
      </w:r>
      <w:r w:rsidR="009E6137">
        <w:t>screening</w:t>
      </w:r>
      <w:r w:rsidR="00995169" w:rsidRPr="009A5E24">
        <w:t>.</w:t>
      </w:r>
    </w:p>
    <w:p w14:paraId="6CB9DFC9" w14:textId="77777777" w:rsidR="002873C6" w:rsidRPr="009A5E24" w:rsidRDefault="002873C6" w:rsidP="002873C6">
      <w:pPr>
        <w:pStyle w:val="ActHead5"/>
      </w:pPr>
      <w:bookmarkStart w:id="11" w:name="_Toc70077678"/>
      <w:r w:rsidRPr="009A5E24">
        <w:t>6  Application</w:t>
      </w:r>
      <w:bookmarkEnd w:id="11"/>
    </w:p>
    <w:p w14:paraId="53FBEF5B" w14:textId="451EFAD6" w:rsidR="007414CE" w:rsidRPr="009A5E24" w:rsidRDefault="007414CE" w:rsidP="007414CE">
      <w:pPr>
        <w:pStyle w:val="subsection"/>
      </w:pPr>
      <w:r w:rsidRPr="009A5E24">
        <w:tab/>
      </w:r>
      <w:r w:rsidRPr="009A5E24">
        <w:tab/>
      </w:r>
      <w:r w:rsidR="00BE1BF4" w:rsidRPr="009A5E24">
        <w:t>T</w:t>
      </w:r>
      <w:r w:rsidRPr="009A5E24">
        <w:t>his instrument applies to</w:t>
      </w:r>
      <w:r w:rsidR="00FC0696" w:rsidRPr="009A5E24">
        <w:t xml:space="preserve"> </w:t>
      </w:r>
      <w:r w:rsidR="009A323C" w:rsidRPr="009A5E24">
        <w:t>HCT</w:t>
      </w:r>
      <w:r w:rsidR="00FC0696" w:rsidRPr="009A5E24">
        <w:t xml:space="preserve"> products</w:t>
      </w:r>
      <w:r w:rsidR="00BE1BF4" w:rsidRPr="009A5E24">
        <w:t>, other than</w:t>
      </w:r>
      <w:r w:rsidR="00FC0696" w:rsidRPr="009A5E24">
        <w:t>:</w:t>
      </w:r>
    </w:p>
    <w:p w14:paraId="031A609C" w14:textId="592A8469" w:rsidR="007414CE" w:rsidRPr="009A5E24" w:rsidRDefault="007414CE" w:rsidP="007414CE">
      <w:pPr>
        <w:pStyle w:val="paragraph"/>
      </w:pPr>
      <w:r w:rsidRPr="009A5E24">
        <w:tab/>
        <w:t>(a)</w:t>
      </w:r>
      <w:r w:rsidRPr="009A5E24">
        <w:tab/>
      </w:r>
      <w:r w:rsidR="002236CA" w:rsidRPr="009A5E24">
        <w:t xml:space="preserve">a </w:t>
      </w:r>
      <w:r w:rsidR="0004136E" w:rsidRPr="009A5E24">
        <w:t xml:space="preserve">faecal </w:t>
      </w:r>
      <w:r w:rsidR="002236CA" w:rsidRPr="009A5E24">
        <w:t>microbiota transplant product</w:t>
      </w:r>
      <w:r w:rsidR="00272F91" w:rsidRPr="009A5E24">
        <w:t>;</w:t>
      </w:r>
      <w:r w:rsidR="00663A10" w:rsidRPr="009A5E24">
        <w:t xml:space="preserve"> or</w:t>
      </w:r>
    </w:p>
    <w:p w14:paraId="25F8FF64" w14:textId="480481B6" w:rsidR="008809B5" w:rsidRPr="009A5E24" w:rsidRDefault="003C463C" w:rsidP="002B226B">
      <w:pPr>
        <w:pStyle w:val="paragraph"/>
      </w:pPr>
      <w:r w:rsidRPr="009A5E24">
        <w:tab/>
        <w:t>(b)</w:t>
      </w:r>
      <w:r w:rsidRPr="009A5E24">
        <w:tab/>
      </w:r>
      <w:r w:rsidR="002236CA" w:rsidRPr="009A5E24">
        <w:t xml:space="preserve">a </w:t>
      </w:r>
      <w:r w:rsidR="00272F91" w:rsidRPr="009A5E24">
        <w:t xml:space="preserve">sample of </w:t>
      </w:r>
      <w:r w:rsidR="00576F7E" w:rsidRPr="009A5E24">
        <w:t>human cells or human tissues</w:t>
      </w:r>
      <w:r w:rsidR="008809B5" w:rsidRPr="009A5E24">
        <w:t>:</w:t>
      </w:r>
    </w:p>
    <w:p w14:paraId="5C6A5414" w14:textId="77777777" w:rsidR="008809B5" w:rsidRPr="009A5E24" w:rsidRDefault="008809B5" w:rsidP="008809B5">
      <w:pPr>
        <w:pStyle w:val="paragraphsub"/>
      </w:pPr>
      <w:r w:rsidRPr="009A5E24">
        <w:tab/>
        <w:t>(i)</w:t>
      </w:r>
      <w:r w:rsidRPr="009A5E24">
        <w:tab/>
      </w:r>
      <w:r w:rsidR="00A52A27" w:rsidRPr="009A5E24">
        <w:t xml:space="preserve">biopsied </w:t>
      </w:r>
      <w:r w:rsidR="00D73D89" w:rsidRPr="009A5E24">
        <w:t>for</w:t>
      </w:r>
      <w:r w:rsidR="002B226B" w:rsidRPr="009A5E24">
        <w:t xml:space="preserve"> in vitro diagnostic examination</w:t>
      </w:r>
      <w:r w:rsidRPr="009A5E24">
        <w:t>;</w:t>
      </w:r>
      <w:r w:rsidR="002B226B" w:rsidRPr="009A5E24">
        <w:t xml:space="preserve"> </w:t>
      </w:r>
      <w:r w:rsidRPr="009A5E24">
        <w:t>and</w:t>
      </w:r>
    </w:p>
    <w:p w14:paraId="76286F4F" w14:textId="77777777" w:rsidR="003C463C" w:rsidRPr="009A5E24" w:rsidRDefault="008809B5" w:rsidP="00B84BBE">
      <w:pPr>
        <w:pStyle w:val="paragraphsub"/>
      </w:pPr>
      <w:r w:rsidRPr="009A5E24">
        <w:tab/>
        <w:t>(ii)</w:t>
      </w:r>
      <w:r w:rsidRPr="009A5E24">
        <w:tab/>
        <w:t>not for further manufacture,</w:t>
      </w:r>
      <w:r w:rsidR="00B84BBE" w:rsidRPr="009A5E24">
        <w:t xml:space="preserve"> or reintroduction or transplant</w:t>
      </w:r>
      <w:r w:rsidRPr="009A5E24">
        <w:t xml:space="preserve"> </w:t>
      </w:r>
      <w:r w:rsidR="00B84BBE" w:rsidRPr="009A5E24">
        <w:t>to a person;</w:t>
      </w:r>
      <w:r w:rsidR="00663A10" w:rsidRPr="009A5E24">
        <w:t xml:space="preserve"> or</w:t>
      </w:r>
    </w:p>
    <w:p w14:paraId="0843270F" w14:textId="77777777" w:rsidR="00FC0696" w:rsidRPr="009A5E24" w:rsidRDefault="0004136E" w:rsidP="00FC0696">
      <w:pPr>
        <w:pStyle w:val="paragraph"/>
      </w:pPr>
      <w:r w:rsidRPr="009A5E24">
        <w:tab/>
      </w:r>
      <w:r w:rsidR="003C463C" w:rsidRPr="009A5E24">
        <w:t>(c</w:t>
      </w:r>
      <w:r w:rsidRPr="009A5E24">
        <w:t>)</w:t>
      </w:r>
      <w:r w:rsidRPr="009A5E24">
        <w:tab/>
      </w:r>
      <w:r w:rsidR="00CF01F4" w:rsidRPr="009A5E24">
        <w:t>a</w:t>
      </w:r>
      <w:r w:rsidR="00EF33F8" w:rsidRPr="009A5E24">
        <w:t>n</w:t>
      </w:r>
      <w:r w:rsidR="00CF01F4" w:rsidRPr="009A5E24">
        <w:t xml:space="preserve"> </w:t>
      </w:r>
      <w:r w:rsidR="009A323C" w:rsidRPr="009A5E24">
        <w:t>HCT</w:t>
      </w:r>
      <w:r w:rsidR="00272F91" w:rsidRPr="009A5E24">
        <w:t xml:space="preserve"> </w:t>
      </w:r>
      <w:r w:rsidR="00CF01F4" w:rsidRPr="009A5E24">
        <w:t>product</w:t>
      </w:r>
      <w:r w:rsidR="00FC0696" w:rsidRPr="009A5E24">
        <w:t xml:space="preserve"> </w:t>
      </w:r>
      <w:r w:rsidR="006C463F" w:rsidRPr="009A5E24">
        <w:t>for</w:t>
      </w:r>
      <w:r w:rsidR="00FC0696" w:rsidRPr="009A5E24">
        <w:t xml:space="preserve"> which </w:t>
      </w:r>
      <w:r w:rsidR="003F519D" w:rsidRPr="009A5E24">
        <w:t xml:space="preserve">all </w:t>
      </w:r>
      <w:r w:rsidR="00272F91" w:rsidRPr="009A5E24">
        <w:t>of the</w:t>
      </w:r>
      <w:r w:rsidR="005A3443" w:rsidRPr="009A5E24">
        <w:t xml:space="preserve"> following </w:t>
      </w:r>
      <w:r w:rsidR="003F519D" w:rsidRPr="009A5E24">
        <w:t xml:space="preserve">subparagraphs </w:t>
      </w:r>
      <w:r w:rsidR="005A3443" w:rsidRPr="009A5E24">
        <w:t>apply:</w:t>
      </w:r>
    </w:p>
    <w:p w14:paraId="133E1995" w14:textId="77777777" w:rsidR="007E5AA2" w:rsidRPr="009A5E24" w:rsidRDefault="00FC0696" w:rsidP="00FC0696">
      <w:pPr>
        <w:pStyle w:val="paragraphsub"/>
      </w:pPr>
      <w:r w:rsidRPr="009A5E24">
        <w:tab/>
        <w:t>(i)</w:t>
      </w:r>
      <w:r w:rsidRPr="009A5E24">
        <w:tab/>
      </w:r>
      <w:r w:rsidR="003F519D" w:rsidRPr="009A5E24">
        <w:t xml:space="preserve">the </w:t>
      </w:r>
      <w:r w:rsidR="00CF01F4" w:rsidRPr="009A5E24">
        <w:t>product is</w:t>
      </w:r>
      <w:r w:rsidR="003F519D" w:rsidRPr="009A5E24">
        <w:t xml:space="preserve"> </w:t>
      </w:r>
      <w:r w:rsidR="006C463F" w:rsidRPr="009A5E24">
        <w:t xml:space="preserve">manufactured </w:t>
      </w:r>
      <w:r w:rsidR="003F519D" w:rsidRPr="009A5E24">
        <w:t>for autologous use only</w:t>
      </w:r>
      <w:r w:rsidR="007E5AA2" w:rsidRPr="009A5E24">
        <w:t>; and</w:t>
      </w:r>
    </w:p>
    <w:p w14:paraId="50682645" w14:textId="77777777" w:rsidR="007E5AA2" w:rsidRPr="009A5E24" w:rsidRDefault="007E5AA2" w:rsidP="00FC0696">
      <w:pPr>
        <w:pStyle w:val="paragraphsub"/>
      </w:pPr>
      <w:r w:rsidRPr="009A5E24">
        <w:tab/>
        <w:t>(ii)</w:t>
      </w:r>
      <w:r w:rsidRPr="009A5E24">
        <w:tab/>
        <w:t>the HCT materials used in the manufacture of the product are collected by, or under the professional supervision or direction of, a medical or dental practitioner; and</w:t>
      </w:r>
    </w:p>
    <w:p w14:paraId="4691074C" w14:textId="77777777" w:rsidR="00064A73" w:rsidRPr="009A5E24" w:rsidRDefault="007E5AA2" w:rsidP="00FC0696">
      <w:pPr>
        <w:pStyle w:val="paragraphsub"/>
      </w:pPr>
      <w:r w:rsidRPr="009A5E24">
        <w:tab/>
        <w:t>(iii)</w:t>
      </w:r>
      <w:r w:rsidRPr="009A5E24">
        <w:tab/>
        <w:t xml:space="preserve">the product is </w:t>
      </w:r>
      <w:r w:rsidR="006C463F" w:rsidRPr="009A5E24">
        <w:t xml:space="preserve">manufactured </w:t>
      </w:r>
      <w:r w:rsidRPr="009A5E24">
        <w:t xml:space="preserve">for administration to, or application in the treatment of, </w:t>
      </w:r>
      <w:r w:rsidR="00064A73" w:rsidRPr="009A5E24">
        <w:t>a</w:t>
      </w:r>
      <w:r w:rsidRPr="009A5E24">
        <w:t xml:space="preserve"> patient</w:t>
      </w:r>
      <w:r w:rsidR="00064A73" w:rsidRPr="009A5E24">
        <w:t xml:space="preserve"> by, or under the professional supervision or direction of, a medical or dental practitioner; and</w:t>
      </w:r>
    </w:p>
    <w:p w14:paraId="44D1CD78" w14:textId="77777777" w:rsidR="007E5AA2" w:rsidRPr="009A5E24" w:rsidRDefault="00064A73" w:rsidP="00064A73">
      <w:pPr>
        <w:pStyle w:val="paragraphsub"/>
      </w:pPr>
      <w:r w:rsidRPr="009A5E24">
        <w:tab/>
        <w:t>(iv)</w:t>
      </w:r>
      <w:r w:rsidRPr="009A5E24">
        <w:tab/>
      </w:r>
      <w:r w:rsidR="00CF01F4" w:rsidRPr="009A5E24">
        <w:t xml:space="preserve">the practitioners </w:t>
      </w:r>
      <w:r w:rsidRPr="009A5E24">
        <w:t>mentioned in subparagraphs (ii)</w:t>
      </w:r>
      <w:r w:rsidR="00CF01F4" w:rsidRPr="009A5E24">
        <w:t xml:space="preserve"> and (iii) are registered in a State or internal Territory</w:t>
      </w:r>
      <w:r w:rsidR="00FC0696" w:rsidRPr="009A5E24">
        <w:t>.</w:t>
      </w:r>
    </w:p>
    <w:p w14:paraId="3FC44CC9" w14:textId="77777777" w:rsidR="00554826" w:rsidRPr="009A5E24" w:rsidRDefault="003B6C01" w:rsidP="00554826">
      <w:pPr>
        <w:pStyle w:val="ActHead5"/>
      </w:pPr>
      <w:bookmarkStart w:id="12" w:name="_Toc70077679"/>
      <w:r w:rsidRPr="009A5E24">
        <w:t>7</w:t>
      </w:r>
      <w:r w:rsidR="00554826" w:rsidRPr="009A5E24">
        <w:t xml:space="preserve">  </w:t>
      </w:r>
      <w:bookmarkEnd w:id="10"/>
      <w:r w:rsidR="00FE39B8" w:rsidRPr="009A5E24">
        <w:t>Repeals</w:t>
      </w:r>
      <w:bookmarkEnd w:id="12"/>
    </w:p>
    <w:p w14:paraId="68C28CD7" w14:textId="77777777" w:rsidR="0004136E" w:rsidRPr="009A5E24" w:rsidRDefault="00554826" w:rsidP="00276BE7">
      <w:pPr>
        <w:pStyle w:val="subsection"/>
      </w:pPr>
      <w:r w:rsidRPr="009A5E24">
        <w:tab/>
      </w:r>
      <w:r w:rsidRPr="009A5E24">
        <w:tab/>
        <w:t xml:space="preserve">Each instrument that is specified in Schedule </w:t>
      </w:r>
      <w:r w:rsidR="003B6C01" w:rsidRPr="009A5E24">
        <w:t>2</w:t>
      </w:r>
      <w:r w:rsidR="002873C6" w:rsidRPr="009A5E24">
        <w:t xml:space="preserve"> </w:t>
      </w:r>
      <w:r w:rsidRPr="009A5E24">
        <w:t>is repealed as set ou</w:t>
      </w:r>
      <w:r w:rsidR="002873C6" w:rsidRPr="009A5E24">
        <w:t>t in the applicable items in that</w:t>
      </w:r>
      <w:r w:rsidRPr="009A5E24">
        <w:t xml:space="preserve"> Schedule.</w:t>
      </w:r>
    </w:p>
    <w:p w14:paraId="0AA1FB6F" w14:textId="77777777" w:rsidR="0008225F" w:rsidRPr="009A5E24" w:rsidRDefault="0008225F" w:rsidP="0008225F">
      <w:pPr>
        <w:pStyle w:val="ActHead2"/>
      </w:pPr>
      <w:bookmarkStart w:id="13" w:name="_Toc70077680"/>
      <w:r w:rsidRPr="009A5E24">
        <w:rPr>
          <w:rStyle w:val="CharPartNo"/>
        </w:rPr>
        <w:t>Part 2—Requirements</w:t>
      </w:r>
      <w:bookmarkEnd w:id="13"/>
    </w:p>
    <w:p w14:paraId="03379750" w14:textId="77777777" w:rsidR="009A323C" w:rsidRPr="009A5E24" w:rsidRDefault="003E0262" w:rsidP="00014293">
      <w:pPr>
        <w:pStyle w:val="ActHead5"/>
      </w:pPr>
      <w:bookmarkStart w:id="14" w:name="_Toc70077681"/>
      <w:r w:rsidRPr="009A5E24">
        <w:t>8</w:t>
      </w:r>
      <w:r w:rsidR="009A323C" w:rsidRPr="009A5E24">
        <w:t xml:space="preserve">  General requirements</w:t>
      </w:r>
      <w:bookmarkEnd w:id="14"/>
    </w:p>
    <w:p w14:paraId="06B47E34" w14:textId="77777777" w:rsidR="009F4373" w:rsidRPr="009A5E24" w:rsidRDefault="009F4373" w:rsidP="009F4373">
      <w:pPr>
        <w:pStyle w:val="subsection"/>
        <w:rPr>
          <w:szCs w:val="22"/>
        </w:rPr>
      </w:pPr>
      <w:r w:rsidRPr="009A5E24">
        <w:rPr>
          <w:szCs w:val="22"/>
        </w:rPr>
        <w:tab/>
        <w:t>(1)</w:t>
      </w:r>
      <w:r w:rsidRPr="009A5E24">
        <w:rPr>
          <w:szCs w:val="22"/>
        </w:rPr>
        <w:tab/>
      </w:r>
      <w:r w:rsidR="00576F7E" w:rsidRPr="009A5E24">
        <w:rPr>
          <w:szCs w:val="22"/>
        </w:rPr>
        <w:t xml:space="preserve">An </w:t>
      </w:r>
      <w:r w:rsidRPr="009A5E24">
        <w:rPr>
          <w:szCs w:val="22"/>
        </w:rPr>
        <w:t>HCT product must be manufactured in accordance with procedures that mitigate the risk of infectious disease transmission.</w:t>
      </w:r>
    </w:p>
    <w:p w14:paraId="555A55D3" w14:textId="0AD387F2" w:rsidR="005C628A" w:rsidRPr="009A5E24" w:rsidRDefault="00B8494E" w:rsidP="00B4594B">
      <w:pPr>
        <w:pStyle w:val="subsection"/>
      </w:pPr>
      <w:r w:rsidRPr="009A5E24">
        <w:rPr>
          <w:szCs w:val="22"/>
        </w:rPr>
        <w:tab/>
        <w:t>(2)</w:t>
      </w:r>
      <w:r w:rsidRPr="009A5E24">
        <w:rPr>
          <w:szCs w:val="22"/>
        </w:rPr>
        <w:tab/>
        <w:t>A</w:t>
      </w:r>
      <w:r w:rsidR="00EF33F8" w:rsidRPr="009A5E24">
        <w:rPr>
          <w:szCs w:val="22"/>
        </w:rPr>
        <w:t>n</w:t>
      </w:r>
      <w:r w:rsidRPr="009A5E24">
        <w:rPr>
          <w:szCs w:val="22"/>
        </w:rPr>
        <w:t xml:space="preserve"> HCT product must not be released for supply</w:t>
      </w:r>
      <w:r w:rsidR="0080385C" w:rsidRPr="009A5E24">
        <w:rPr>
          <w:szCs w:val="22"/>
        </w:rPr>
        <w:t>,</w:t>
      </w:r>
      <w:r w:rsidRPr="009A5E24">
        <w:rPr>
          <w:szCs w:val="22"/>
        </w:rPr>
        <w:t xml:space="preserve"> unless</w:t>
      </w:r>
      <w:r w:rsidR="00B4594B" w:rsidRPr="009A5E24">
        <w:rPr>
          <w:szCs w:val="22"/>
        </w:rPr>
        <w:t xml:space="preserve"> the applicab</w:t>
      </w:r>
      <w:r w:rsidR="007C7E84" w:rsidRPr="009A5E24">
        <w:rPr>
          <w:szCs w:val="22"/>
        </w:rPr>
        <w:t xml:space="preserve">le screening </w:t>
      </w:r>
      <w:r w:rsidRPr="009A5E24">
        <w:rPr>
          <w:szCs w:val="22"/>
        </w:rPr>
        <w:t>procedures</w:t>
      </w:r>
      <w:r w:rsidR="00B4594B" w:rsidRPr="009A5E24">
        <w:rPr>
          <w:szCs w:val="22"/>
        </w:rPr>
        <w:t xml:space="preserve"> </w:t>
      </w:r>
      <w:r w:rsidR="00576F7E" w:rsidRPr="009A5E24">
        <w:rPr>
          <w:szCs w:val="22"/>
        </w:rPr>
        <w:t xml:space="preserve">and requirements </w:t>
      </w:r>
      <w:r w:rsidR="00B4594B" w:rsidRPr="009A5E24">
        <w:rPr>
          <w:szCs w:val="22"/>
        </w:rPr>
        <w:t xml:space="preserve">specified </w:t>
      </w:r>
      <w:r w:rsidR="001A0001" w:rsidRPr="009A5E24">
        <w:rPr>
          <w:szCs w:val="22"/>
        </w:rPr>
        <w:t>in</w:t>
      </w:r>
      <w:r w:rsidR="00B4594B" w:rsidRPr="009A5E24">
        <w:rPr>
          <w:szCs w:val="22"/>
        </w:rPr>
        <w:t xml:space="preserve"> this instrument are </w:t>
      </w:r>
      <w:r w:rsidR="00576F7E" w:rsidRPr="009A5E24">
        <w:rPr>
          <w:szCs w:val="22"/>
        </w:rPr>
        <w:t>satisfied</w:t>
      </w:r>
      <w:r w:rsidR="00B4594B" w:rsidRPr="009A5E24">
        <w:rPr>
          <w:szCs w:val="22"/>
        </w:rPr>
        <w:t>.</w:t>
      </w:r>
    </w:p>
    <w:p w14:paraId="059B74AF" w14:textId="77777777" w:rsidR="00CD0017" w:rsidRPr="009A5E24" w:rsidRDefault="0018380F" w:rsidP="00CD0017">
      <w:pPr>
        <w:pStyle w:val="subsection"/>
        <w:rPr>
          <w:szCs w:val="22"/>
        </w:rPr>
      </w:pPr>
      <w:r w:rsidRPr="009A5E24">
        <w:rPr>
          <w:szCs w:val="22"/>
        </w:rPr>
        <w:tab/>
        <w:t>(3</w:t>
      </w:r>
      <w:r w:rsidR="00CD0017" w:rsidRPr="009A5E24">
        <w:rPr>
          <w:szCs w:val="22"/>
        </w:rPr>
        <w:t>)</w:t>
      </w:r>
      <w:r w:rsidR="00CD0017" w:rsidRPr="009A5E24">
        <w:rPr>
          <w:szCs w:val="22"/>
        </w:rPr>
        <w:tab/>
        <w:t xml:space="preserve">Acceptance criteria based on microbial specifications must be applied to HCT materials used in the manufacture of </w:t>
      </w:r>
      <w:r w:rsidR="00576F7E" w:rsidRPr="009A5E24">
        <w:rPr>
          <w:szCs w:val="22"/>
        </w:rPr>
        <w:t xml:space="preserve">an </w:t>
      </w:r>
      <w:r w:rsidR="00CD0017" w:rsidRPr="009A5E24">
        <w:rPr>
          <w:szCs w:val="22"/>
        </w:rPr>
        <w:t>HCT product.</w:t>
      </w:r>
    </w:p>
    <w:p w14:paraId="37D81D7D" w14:textId="77777777" w:rsidR="00CD0017" w:rsidRPr="009A5E24" w:rsidRDefault="00CD0017" w:rsidP="00CD0017">
      <w:pPr>
        <w:pStyle w:val="SubsectionHead"/>
        <w:ind w:left="750"/>
      </w:pPr>
      <w:r w:rsidRPr="009A5E24">
        <w:t>General requirements relating to testing</w:t>
      </w:r>
      <w:r w:rsidR="0018380F" w:rsidRPr="009A5E24">
        <w:t xml:space="preserve"> of blood samples</w:t>
      </w:r>
    </w:p>
    <w:p w14:paraId="78F01BEC" w14:textId="77777777" w:rsidR="0018380F" w:rsidRPr="009A5E24" w:rsidRDefault="0018380F" w:rsidP="0018380F">
      <w:pPr>
        <w:pStyle w:val="subsection"/>
        <w:rPr>
          <w:szCs w:val="22"/>
        </w:rPr>
      </w:pPr>
      <w:r w:rsidRPr="009A5E24">
        <w:rPr>
          <w:szCs w:val="22"/>
        </w:rPr>
        <w:tab/>
        <w:t>(4)</w:t>
      </w:r>
      <w:r w:rsidRPr="009A5E24">
        <w:rPr>
          <w:szCs w:val="22"/>
        </w:rPr>
        <w:tab/>
        <w:t>Blood samples of a donor of HCT materials must be tested:</w:t>
      </w:r>
    </w:p>
    <w:p w14:paraId="2E6C32EF" w14:textId="77777777" w:rsidR="0018380F" w:rsidRPr="009A5E24" w:rsidRDefault="0018380F" w:rsidP="0018380F">
      <w:pPr>
        <w:pStyle w:val="paragraph"/>
        <w:rPr>
          <w:szCs w:val="22"/>
        </w:rPr>
      </w:pPr>
      <w:r w:rsidRPr="009A5E24">
        <w:rPr>
          <w:szCs w:val="22"/>
        </w:rPr>
        <w:tab/>
        <w:t>(a)</w:t>
      </w:r>
      <w:r w:rsidRPr="009A5E24">
        <w:rPr>
          <w:szCs w:val="22"/>
        </w:rPr>
        <w:tab/>
        <w:t xml:space="preserve">as soon as practicable after the blood sample is taken; </w:t>
      </w:r>
      <w:r w:rsidR="00AC32B0" w:rsidRPr="009A5E24">
        <w:rPr>
          <w:szCs w:val="22"/>
        </w:rPr>
        <w:t>or</w:t>
      </w:r>
    </w:p>
    <w:p w14:paraId="07EABA98" w14:textId="51185AB5" w:rsidR="00C7276C" w:rsidRPr="009A5E24" w:rsidRDefault="0018380F" w:rsidP="0018380F">
      <w:pPr>
        <w:pStyle w:val="paragraph"/>
        <w:rPr>
          <w:szCs w:val="22"/>
        </w:rPr>
      </w:pPr>
      <w:r w:rsidRPr="009A5E24">
        <w:rPr>
          <w:szCs w:val="22"/>
        </w:rPr>
        <w:tab/>
        <w:t>(b)</w:t>
      </w:r>
      <w:r w:rsidRPr="009A5E24">
        <w:rPr>
          <w:szCs w:val="22"/>
        </w:rPr>
        <w:tab/>
        <w:t xml:space="preserve">in accordance with the </w:t>
      </w:r>
      <w:r w:rsidR="00AC32B0" w:rsidRPr="009A5E24">
        <w:rPr>
          <w:szCs w:val="22"/>
        </w:rPr>
        <w:t xml:space="preserve">timeframe </w:t>
      </w:r>
      <w:r w:rsidRPr="009A5E24">
        <w:rPr>
          <w:szCs w:val="22"/>
        </w:rPr>
        <w:t>specified by the manufacturer of the IVD medical device or the in-house IVD medical device that is used for testing</w:t>
      </w:r>
      <w:r w:rsidR="00BE1BF4" w:rsidRPr="009A5E24">
        <w:rPr>
          <w:szCs w:val="22"/>
        </w:rPr>
        <w:t xml:space="preserve"> the sample</w:t>
      </w:r>
      <w:r w:rsidR="00C7276C" w:rsidRPr="009A5E24">
        <w:rPr>
          <w:szCs w:val="22"/>
        </w:rPr>
        <w:t>; or</w:t>
      </w:r>
    </w:p>
    <w:p w14:paraId="5304FC6F" w14:textId="77777777" w:rsidR="0018380F" w:rsidRPr="009A5E24" w:rsidRDefault="00C7276C" w:rsidP="0018380F">
      <w:pPr>
        <w:pStyle w:val="paragraph"/>
        <w:rPr>
          <w:szCs w:val="22"/>
        </w:rPr>
      </w:pPr>
      <w:r w:rsidRPr="009A5E24">
        <w:rPr>
          <w:szCs w:val="22"/>
        </w:rPr>
        <w:tab/>
        <w:t>(c)</w:t>
      </w:r>
      <w:r w:rsidRPr="009A5E24">
        <w:rPr>
          <w:szCs w:val="22"/>
        </w:rPr>
        <w:tab/>
        <w:t>where testing is conducted outside of Australia—within a timeframe that is validated by the testing laboratory</w:t>
      </w:r>
      <w:r w:rsidR="00EE4B44" w:rsidRPr="009A5E24">
        <w:rPr>
          <w:szCs w:val="22"/>
        </w:rPr>
        <w:t>.</w:t>
      </w:r>
    </w:p>
    <w:p w14:paraId="01551667" w14:textId="77777777" w:rsidR="0018380F" w:rsidRPr="009A5E24" w:rsidRDefault="0018380F" w:rsidP="0018380F">
      <w:pPr>
        <w:pStyle w:val="subsection"/>
        <w:rPr>
          <w:szCs w:val="22"/>
        </w:rPr>
      </w:pPr>
      <w:r w:rsidRPr="009A5E24">
        <w:rPr>
          <w:szCs w:val="22"/>
        </w:rPr>
        <w:tab/>
        <w:t>(5)</w:t>
      </w:r>
      <w:r w:rsidRPr="009A5E24">
        <w:rPr>
          <w:szCs w:val="22"/>
        </w:rPr>
        <w:tab/>
        <w:t>Blood samples must be tested using IVD medical devices or in-house IVD medical devices that:</w:t>
      </w:r>
    </w:p>
    <w:p w14:paraId="38492C5C" w14:textId="77777777" w:rsidR="0018380F" w:rsidRPr="009A5E24" w:rsidRDefault="0018380F" w:rsidP="0018380F">
      <w:pPr>
        <w:pStyle w:val="paragraph"/>
        <w:rPr>
          <w:szCs w:val="22"/>
        </w:rPr>
      </w:pPr>
      <w:r w:rsidRPr="009A5E24">
        <w:rPr>
          <w:szCs w:val="22"/>
        </w:rPr>
        <w:tab/>
        <w:t>(a)</w:t>
      </w:r>
      <w:r w:rsidRPr="009A5E24">
        <w:rPr>
          <w:szCs w:val="22"/>
        </w:rPr>
        <w:tab/>
        <w:t>use the most appropriate methodology available that is validated for testing th</w:t>
      </w:r>
      <w:r w:rsidR="00C83F2C" w:rsidRPr="009A5E24">
        <w:rPr>
          <w:szCs w:val="22"/>
        </w:rPr>
        <w:t>e samples</w:t>
      </w:r>
      <w:r w:rsidRPr="009A5E24">
        <w:rPr>
          <w:szCs w:val="22"/>
        </w:rPr>
        <w:t xml:space="preserve"> </w:t>
      </w:r>
      <w:r w:rsidR="00C83F2C" w:rsidRPr="009A5E24">
        <w:rPr>
          <w:szCs w:val="22"/>
        </w:rPr>
        <w:t>(</w:t>
      </w:r>
      <w:r w:rsidRPr="009A5E24">
        <w:rPr>
          <w:szCs w:val="22"/>
        </w:rPr>
        <w:t>including cadaveric samples</w:t>
      </w:r>
      <w:r w:rsidR="00C83F2C" w:rsidRPr="009A5E24">
        <w:rPr>
          <w:szCs w:val="22"/>
        </w:rPr>
        <w:t>)</w:t>
      </w:r>
      <w:r w:rsidRPr="009A5E24">
        <w:rPr>
          <w:szCs w:val="22"/>
        </w:rPr>
        <w:t>; and</w:t>
      </w:r>
    </w:p>
    <w:p w14:paraId="6A378F13" w14:textId="77777777" w:rsidR="0018380F" w:rsidRPr="009A5E24" w:rsidRDefault="0018380F" w:rsidP="0018380F">
      <w:pPr>
        <w:pStyle w:val="paragraph"/>
        <w:rPr>
          <w:szCs w:val="22"/>
        </w:rPr>
      </w:pPr>
      <w:r w:rsidRPr="009A5E24">
        <w:rPr>
          <w:szCs w:val="22"/>
        </w:rPr>
        <w:tab/>
        <w:t>(b)</w:t>
      </w:r>
      <w:r w:rsidRPr="009A5E24">
        <w:rPr>
          <w:szCs w:val="22"/>
        </w:rPr>
        <w:tab/>
        <w:t>where testing is conducted in Australia—are either included in the Register or exempt from the requirement to be included in the Register, or are the subject of an approval or authority under the Act; and</w:t>
      </w:r>
    </w:p>
    <w:p w14:paraId="7078C668" w14:textId="5972CCB1" w:rsidR="0018380F" w:rsidRPr="009A5E24" w:rsidRDefault="0018380F" w:rsidP="0018380F">
      <w:pPr>
        <w:pStyle w:val="paragraph"/>
        <w:rPr>
          <w:szCs w:val="22"/>
        </w:rPr>
      </w:pPr>
      <w:r w:rsidRPr="009A5E24">
        <w:rPr>
          <w:szCs w:val="22"/>
        </w:rPr>
        <w:tab/>
        <w:t>(c)</w:t>
      </w:r>
      <w:r w:rsidRPr="009A5E24">
        <w:rPr>
          <w:szCs w:val="22"/>
        </w:rPr>
        <w:tab/>
        <w:t>where testing is conducted outside of Australia</w:t>
      </w:r>
      <w:r w:rsidR="00BE1BF4" w:rsidRPr="009A5E24">
        <w:rPr>
          <w:szCs w:val="22"/>
        </w:rPr>
        <w:t>—are</w:t>
      </w:r>
      <w:r w:rsidRPr="009A5E24">
        <w:rPr>
          <w:szCs w:val="22"/>
        </w:rPr>
        <w:t>:</w:t>
      </w:r>
    </w:p>
    <w:p w14:paraId="6460834F" w14:textId="16D2B912" w:rsidR="0018380F" w:rsidRPr="009A5E24" w:rsidRDefault="0018380F" w:rsidP="0018380F">
      <w:pPr>
        <w:pStyle w:val="paragraphsub"/>
        <w:rPr>
          <w:szCs w:val="22"/>
        </w:rPr>
      </w:pPr>
      <w:r w:rsidRPr="009A5E24">
        <w:rPr>
          <w:szCs w:val="22"/>
        </w:rPr>
        <w:tab/>
        <w:t>(i)</w:t>
      </w:r>
      <w:r w:rsidRPr="009A5E24">
        <w:rPr>
          <w:szCs w:val="22"/>
        </w:rPr>
        <w:tab/>
        <w:t>approved by a relevant regulatory authority in the country in which the testing is conducted; and</w:t>
      </w:r>
    </w:p>
    <w:p w14:paraId="659A4D88" w14:textId="27C4F041" w:rsidR="0018380F" w:rsidRPr="009A5E24" w:rsidRDefault="0018380F" w:rsidP="0018380F">
      <w:pPr>
        <w:pStyle w:val="paragraphsub"/>
        <w:rPr>
          <w:szCs w:val="22"/>
        </w:rPr>
      </w:pPr>
      <w:r w:rsidRPr="009A5E24">
        <w:rPr>
          <w:szCs w:val="22"/>
        </w:rPr>
        <w:tab/>
        <w:t>(ii)</w:t>
      </w:r>
      <w:r w:rsidRPr="009A5E24">
        <w:rPr>
          <w:szCs w:val="22"/>
        </w:rPr>
        <w:tab/>
        <w:t>used in a facility that has been approved for such testing by a relevant regulatory authority in the country in which the testing is conducted; and</w:t>
      </w:r>
    </w:p>
    <w:p w14:paraId="6B9D4075" w14:textId="2D16C69F" w:rsidR="0018380F" w:rsidRPr="009A5E24" w:rsidRDefault="0018380F" w:rsidP="0018380F">
      <w:pPr>
        <w:pStyle w:val="paragraphsub"/>
        <w:rPr>
          <w:szCs w:val="22"/>
        </w:rPr>
      </w:pPr>
      <w:r w:rsidRPr="009A5E24">
        <w:rPr>
          <w:szCs w:val="22"/>
        </w:rPr>
        <w:tab/>
        <w:t>(iii)</w:t>
      </w:r>
      <w:r w:rsidRPr="009A5E24">
        <w:rPr>
          <w:szCs w:val="22"/>
        </w:rPr>
        <w:tab/>
        <w:t>considered acceptable by the Therapeutic Goods Administration.</w:t>
      </w:r>
    </w:p>
    <w:p w14:paraId="0ABEB17B" w14:textId="77777777" w:rsidR="0018380F" w:rsidRPr="009A5E24" w:rsidRDefault="0018380F" w:rsidP="0018380F">
      <w:pPr>
        <w:pStyle w:val="subsection"/>
        <w:rPr>
          <w:szCs w:val="22"/>
        </w:rPr>
      </w:pPr>
      <w:r w:rsidRPr="009A5E24">
        <w:rPr>
          <w:szCs w:val="22"/>
        </w:rPr>
        <w:tab/>
        <w:t>(6)</w:t>
      </w:r>
      <w:r w:rsidRPr="009A5E24">
        <w:rPr>
          <w:szCs w:val="22"/>
        </w:rPr>
        <w:tab/>
        <w:t xml:space="preserve">Where </w:t>
      </w:r>
      <w:r w:rsidR="00BB30AB" w:rsidRPr="009A5E24">
        <w:rPr>
          <w:szCs w:val="22"/>
        </w:rPr>
        <w:t xml:space="preserve">the </w:t>
      </w:r>
      <w:r w:rsidRPr="009A5E24">
        <w:rPr>
          <w:szCs w:val="22"/>
        </w:rPr>
        <w:t xml:space="preserve">testing of </w:t>
      </w:r>
      <w:r w:rsidR="00BB30AB" w:rsidRPr="009A5E24">
        <w:rPr>
          <w:szCs w:val="22"/>
        </w:rPr>
        <w:t xml:space="preserve">a </w:t>
      </w:r>
      <w:r w:rsidRPr="009A5E24">
        <w:rPr>
          <w:szCs w:val="22"/>
        </w:rPr>
        <w:t xml:space="preserve">blood sample is conducted by a laboratory that is not under the direct control of the manufacturer of the </w:t>
      </w:r>
      <w:r w:rsidR="00BB30AB" w:rsidRPr="009A5E24">
        <w:rPr>
          <w:szCs w:val="22"/>
        </w:rPr>
        <w:t xml:space="preserve">relevant </w:t>
      </w:r>
      <w:r w:rsidRPr="009A5E24">
        <w:rPr>
          <w:szCs w:val="22"/>
        </w:rPr>
        <w:t>HCT product:</w:t>
      </w:r>
    </w:p>
    <w:p w14:paraId="50AB8197" w14:textId="77777777" w:rsidR="0018380F" w:rsidRPr="009A5E24" w:rsidRDefault="0018380F" w:rsidP="0018380F">
      <w:pPr>
        <w:pStyle w:val="paragraph"/>
        <w:rPr>
          <w:szCs w:val="22"/>
        </w:rPr>
      </w:pPr>
      <w:r w:rsidRPr="009A5E24">
        <w:rPr>
          <w:szCs w:val="22"/>
        </w:rPr>
        <w:tab/>
        <w:t>(a)</w:t>
      </w:r>
      <w:r w:rsidRPr="009A5E24">
        <w:rPr>
          <w:szCs w:val="22"/>
        </w:rPr>
        <w:tab/>
        <w:t>the testing must be conducted under a contract between the manufacturer and the laboratory; and</w:t>
      </w:r>
    </w:p>
    <w:p w14:paraId="5E9769C0" w14:textId="603D2679" w:rsidR="0018380F" w:rsidRPr="009A5E24" w:rsidRDefault="0018380F" w:rsidP="0018380F">
      <w:pPr>
        <w:pStyle w:val="paragraph"/>
        <w:rPr>
          <w:szCs w:val="22"/>
        </w:rPr>
      </w:pPr>
      <w:r w:rsidRPr="009A5E24">
        <w:rPr>
          <w:szCs w:val="22"/>
        </w:rPr>
        <w:tab/>
        <w:t>(b)</w:t>
      </w:r>
      <w:r w:rsidRPr="009A5E24">
        <w:rPr>
          <w:szCs w:val="22"/>
        </w:rPr>
        <w:tab/>
        <w:t xml:space="preserve">the contract mentioned in paragraph (a) must clearly set out the responsibilities of the manufacturer and the laboratory, and include arrangements to ensure </w:t>
      </w:r>
      <w:r w:rsidR="00BB30AB" w:rsidRPr="009A5E24">
        <w:rPr>
          <w:szCs w:val="22"/>
        </w:rPr>
        <w:t xml:space="preserve">that </w:t>
      </w:r>
      <w:r w:rsidRPr="009A5E24">
        <w:rPr>
          <w:szCs w:val="22"/>
        </w:rPr>
        <w:t>information relating to matters in this section and any other relevant details relating t</w:t>
      </w:r>
      <w:r w:rsidR="00B64E94" w:rsidRPr="009A5E24">
        <w:rPr>
          <w:szCs w:val="22"/>
        </w:rPr>
        <w:t>o the IVD medical devices or in</w:t>
      </w:r>
      <w:r w:rsidR="00B64E94" w:rsidRPr="009A5E24">
        <w:rPr>
          <w:szCs w:val="22"/>
        </w:rPr>
        <w:noBreakHyphen/>
      </w:r>
      <w:r w:rsidRPr="009A5E24">
        <w:rPr>
          <w:szCs w:val="22"/>
        </w:rPr>
        <w:t>house IVD medical devices used for such testing can be obtained from the laboratory.</w:t>
      </w:r>
    </w:p>
    <w:p w14:paraId="71C0DA2A" w14:textId="6AE60057" w:rsidR="0018380F" w:rsidRPr="009A5E24" w:rsidRDefault="0018380F" w:rsidP="0018380F">
      <w:pPr>
        <w:pStyle w:val="subsection"/>
        <w:rPr>
          <w:szCs w:val="22"/>
        </w:rPr>
      </w:pPr>
      <w:r w:rsidRPr="009A5E24">
        <w:rPr>
          <w:szCs w:val="22"/>
        </w:rPr>
        <w:tab/>
        <w:t>(7)</w:t>
      </w:r>
      <w:r w:rsidRPr="009A5E24">
        <w:rPr>
          <w:szCs w:val="22"/>
        </w:rPr>
        <w:tab/>
        <w:t xml:space="preserve">The testing of blood samples must take into account </w:t>
      </w:r>
      <w:r w:rsidR="00BB30AB" w:rsidRPr="009A5E24">
        <w:rPr>
          <w:szCs w:val="22"/>
        </w:rPr>
        <w:t xml:space="preserve">all </w:t>
      </w:r>
      <w:r w:rsidRPr="009A5E24">
        <w:rPr>
          <w:szCs w:val="22"/>
        </w:rPr>
        <w:t>factors that may cause plasma dilution.</w:t>
      </w:r>
    </w:p>
    <w:p w14:paraId="0E7E8149" w14:textId="1E4CA253" w:rsidR="0018380F" w:rsidRPr="009A5E24" w:rsidRDefault="0018380F" w:rsidP="0018380F">
      <w:pPr>
        <w:pStyle w:val="subsection"/>
        <w:rPr>
          <w:szCs w:val="22"/>
        </w:rPr>
      </w:pPr>
      <w:r w:rsidRPr="009A5E24">
        <w:rPr>
          <w:szCs w:val="22"/>
        </w:rPr>
        <w:tab/>
        <w:t>(8)</w:t>
      </w:r>
      <w:r w:rsidRPr="009A5E24">
        <w:rPr>
          <w:szCs w:val="22"/>
        </w:rPr>
        <w:tab/>
        <w:t xml:space="preserve">Where plasma dilution </w:t>
      </w:r>
      <w:r w:rsidR="00B64E94" w:rsidRPr="009A5E24">
        <w:rPr>
          <w:szCs w:val="22"/>
        </w:rPr>
        <w:t xml:space="preserve">is suspected </w:t>
      </w:r>
      <w:r w:rsidR="007C7E84" w:rsidRPr="009A5E24">
        <w:rPr>
          <w:szCs w:val="22"/>
        </w:rPr>
        <w:t xml:space="preserve">at a level sufficient to alter the test results </w:t>
      </w:r>
      <w:r w:rsidRPr="009A5E24">
        <w:rPr>
          <w:szCs w:val="22"/>
        </w:rPr>
        <w:t>in relation to a blood sample</w:t>
      </w:r>
      <w:r w:rsidR="00262F2C" w:rsidRPr="009A5E24">
        <w:rPr>
          <w:szCs w:val="22"/>
        </w:rPr>
        <w:t>,</w:t>
      </w:r>
      <w:r w:rsidRPr="009A5E24">
        <w:rPr>
          <w:szCs w:val="22"/>
        </w:rPr>
        <w:t xml:space="preserve"> and a pre-infusion sample is unavailable for testing, then:</w:t>
      </w:r>
    </w:p>
    <w:p w14:paraId="26328318" w14:textId="77777777" w:rsidR="0018380F" w:rsidRPr="009A5E24" w:rsidRDefault="0018380F" w:rsidP="0018380F">
      <w:pPr>
        <w:pStyle w:val="paragraph"/>
        <w:rPr>
          <w:szCs w:val="22"/>
        </w:rPr>
      </w:pPr>
      <w:r w:rsidRPr="009A5E24">
        <w:rPr>
          <w:szCs w:val="22"/>
        </w:rPr>
        <w:tab/>
        <w:t>(a)</w:t>
      </w:r>
      <w:r w:rsidRPr="009A5E24">
        <w:rPr>
          <w:szCs w:val="22"/>
        </w:rPr>
        <w:tab/>
        <w:t xml:space="preserve">an algorithm must be applied to assess the </w:t>
      </w:r>
      <w:r w:rsidR="004C7EA1" w:rsidRPr="009A5E24">
        <w:rPr>
          <w:szCs w:val="22"/>
        </w:rPr>
        <w:t xml:space="preserve">extent </w:t>
      </w:r>
      <w:r w:rsidRPr="009A5E24">
        <w:rPr>
          <w:szCs w:val="22"/>
        </w:rPr>
        <w:t>of plasma dilution; and</w:t>
      </w:r>
    </w:p>
    <w:p w14:paraId="7ADC04AF" w14:textId="3897D874" w:rsidR="0018380F" w:rsidRPr="009A5E24" w:rsidRDefault="0018380F" w:rsidP="0018380F">
      <w:pPr>
        <w:pStyle w:val="paragraph"/>
        <w:rPr>
          <w:szCs w:val="22"/>
        </w:rPr>
      </w:pPr>
      <w:r w:rsidRPr="009A5E24">
        <w:rPr>
          <w:szCs w:val="22"/>
        </w:rPr>
        <w:tab/>
        <w:t>(b)</w:t>
      </w:r>
      <w:r w:rsidRPr="009A5E24">
        <w:rPr>
          <w:szCs w:val="22"/>
        </w:rPr>
        <w:tab/>
        <w:t xml:space="preserve">the </w:t>
      </w:r>
      <w:r w:rsidR="004C7EA1" w:rsidRPr="009A5E24">
        <w:rPr>
          <w:szCs w:val="22"/>
        </w:rPr>
        <w:t xml:space="preserve">extent </w:t>
      </w:r>
      <w:r w:rsidRPr="009A5E24">
        <w:rPr>
          <w:szCs w:val="22"/>
        </w:rPr>
        <w:t>of plasma dilution must be less than 50 per cent</w:t>
      </w:r>
      <w:r w:rsidR="00BE1BF4" w:rsidRPr="009A5E24">
        <w:rPr>
          <w:szCs w:val="22"/>
        </w:rPr>
        <w:t>,</w:t>
      </w:r>
      <w:r w:rsidRPr="009A5E24">
        <w:rPr>
          <w:szCs w:val="22"/>
        </w:rPr>
        <w:t xml:space="preserve"> unless use of samples with more than 50 per cent plasma dilution is validated by the manufacturer of the IVD medical device</w:t>
      </w:r>
      <w:r w:rsidR="00BE1BF4" w:rsidRPr="009A5E24">
        <w:rPr>
          <w:szCs w:val="22"/>
        </w:rPr>
        <w:t>s</w:t>
      </w:r>
      <w:r w:rsidRPr="009A5E24">
        <w:rPr>
          <w:szCs w:val="22"/>
        </w:rPr>
        <w:t xml:space="preserve"> or in-house IVD medical device</w:t>
      </w:r>
      <w:r w:rsidR="00BE1BF4" w:rsidRPr="009A5E24">
        <w:rPr>
          <w:szCs w:val="22"/>
        </w:rPr>
        <w:t>s</w:t>
      </w:r>
      <w:r w:rsidRPr="009A5E24">
        <w:rPr>
          <w:szCs w:val="22"/>
        </w:rPr>
        <w:t xml:space="preserve"> used </w:t>
      </w:r>
      <w:r w:rsidR="00262F2C" w:rsidRPr="009A5E24">
        <w:rPr>
          <w:szCs w:val="22"/>
        </w:rPr>
        <w:t>for</w:t>
      </w:r>
      <w:r w:rsidRPr="009A5E24">
        <w:rPr>
          <w:szCs w:val="22"/>
        </w:rPr>
        <w:t xml:space="preserve"> testing</w:t>
      </w:r>
      <w:r w:rsidR="00262F2C" w:rsidRPr="009A5E24">
        <w:rPr>
          <w:szCs w:val="22"/>
        </w:rPr>
        <w:t xml:space="preserve"> the sample</w:t>
      </w:r>
      <w:r w:rsidRPr="009A5E24">
        <w:rPr>
          <w:szCs w:val="22"/>
        </w:rPr>
        <w:t>.</w:t>
      </w:r>
    </w:p>
    <w:p w14:paraId="65ACAD06" w14:textId="77777777" w:rsidR="0018380F" w:rsidRPr="009A5E24" w:rsidRDefault="0018380F" w:rsidP="0018380F">
      <w:pPr>
        <w:pStyle w:val="subsection"/>
        <w:rPr>
          <w:szCs w:val="22"/>
        </w:rPr>
      </w:pPr>
      <w:r w:rsidRPr="009A5E24">
        <w:rPr>
          <w:szCs w:val="22"/>
        </w:rPr>
        <w:tab/>
        <w:t>(9)</w:t>
      </w:r>
      <w:r w:rsidRPr="009A5E24">
        <w:rPr>
          <w:szCs w:val="22"/>
        </w:rPr>
        <w:tab/>
        <w:t>Records must be maintained in relation to the following:</w:t>
      </w:r>
    </w:p>
    <w:p w14:paraId="2C76BE56" w14:textId="03618B74" w:rsidR="0018380F" w:rsidRPr="009A5E24" w:rsidRDefault="0018380F" w:rsidP="0018380F">
      <w:pPr>
        <w:pStyle w:val="paragraph"/>
        <w:rPr>
          <w:szCs w:val="22"/>
        </w:rPr>
      </w:pPr>
      <w:r w:rsidRPr="009A5E24">
        <w:rPr>
          <w:szCs w:val="22"/>
        </w:rPr>
        <w:tab/>
        <w:t>(a)</w:t>
      </w:r>
      <w:r w:rsidRPr="009A5E24">
        <w:rPr>
          <w:szCs w:val="22"/>
        </w:rPr>
        <w:tab/>
        <w:t xml:space="preserve">the tests performed </w:t>
      </w:r>
      <w:r w:rsidR="00262F2C" w:rsidRPr="009A5E24">
        <w:rPr>
          <w:szCs w:val="22"/>
        </w:rPr>
        <w:t xml:space="preserve">in relation to blood samples and </w:t>
      </w:r>
      <w:r w:rsidRPr="009A5E24">
        <w:rPr>
          <w:szCs w:val="22"/>
        </w:rPr>
        <w:t>the results of those tests; and</w:t>
      </w:r>
    </w:p>
    <w:p w14:paraId="6270A615" w14:textId="1B9E6581" w:rsidR="0018380F" w:rsidRPr="009A5E24" w:rsidRDefault="0018380F" w:rsidP="0018380F">
      <w:pPr>
        <w:pStyle w:val="paragraph"/>
        <w:rPr>
          <w:szCs w:val="22"/>
        </w:rPr>
      </w:pPr>
      <w:r w:rsidRPr="009A5E24">
        <w:rPr>
          <w:szCs w:val="22"/>
        </w:rPr>
        <w:tab/>
        <w:t>(b)</w:t>
      </w:r>
      <w:r w:rsidRPr="009A5E24">
        <w:rPr>
          <w:szCs w:val="22"/>
        </w:rPr>
        <w:tab/>
        <w:t>the IVD medical device or in-house IVD medical device used for testing</w:t>
      </w:r>
      <w:r w:rsidR="00262F2C" w:rsidRPr="009A5E24">
        <w:rPr>
          <w:szCs w:val="22"/>
        </w:rPr>
        <w:t xml:space="preserve"> the samples</w:t>
      </w:r>
      <w:r w:rsidRPr="009A5E24">
        <w:rPr>
          <w:szCs w:val="22"/>
        </w:rPr>
        <w:t>; and</w:t>
      </w:r>
    </w:p>
    <w:p w14:paraId="16A0605A" w14:textId="77777777" w:rsidR="0018380F" w:rsidRPr="009A5E24" w:rsidRDefault="0018380F" w:rsidP="0018380F">
      <w:pPr>
        <w:pStyle w:val="paragraph"/>
        <w:rPr>
          <w:szCs w:val="22"/>
        </w:rPr>
      </w:pPr>
      <w:r w:rsidRPr="009A5E24">
        <w:rPr>
          <w:szCs w:val="22"/>
        </w:rPr>
        <w:tab/>
        <w:t>(</w:t>
      </w:r>
      <w:r w:rsidR="004C7EA1" w:rsidRPr="009A5E24">
        <w:rPr>
          <w:szCs w:val="22"/>
        </w:rPr>
        <w:t>c</w:t>
      </w:r>
      <w:r w:rsidRPr="009A5E24">
        <w:rPr>
          <w:szCs w:val="22"/>
        </w:rPr>
        <w:t>)</w:t>
      </w:r>
      <w:r w:rsidRPr="009A5E24">
        <w:rPr>
          <w:szCs w:val="22"/>
        </w:rPr>
        <w:tab/>
        <w:t>any test modifications; and</w:t>
      </w:r>
    </w:p>
    <w:p w14:paraId="219D25AD" w14:textId="77777777" w:rsidR="0018380F" w:rsidRPr="009A5E24" w:rsidRDefault="0018380F" w:rsidP="0018380F">
      <w:pPr>
        <w:pStyle w:val="paragraph"/>
        <w:rPr>
          <w:szCs w:val="22"/>
        </w:rPr>
      </w:pPr>
      <w:r w:rsidRPr="009A5E24">
        <w:rPr>
          <w:szCs w:val="22"/>
        </w:rPr>
        <w:tab/>
        <w:t>(d)</w:t>
      </w:r>
      <w:r w:rsidRPr="009A5E24">
        <w:rPr>
          <w:szCs w:val="22"/>
        </w:rPr>
        <w:tab/>
        <w:t>any evaluations of, or anomalies in, test results.</w:t>
      </w:r>
    </w:p>
    <w:p w14:paraId="24BB348B" w14:textId="09E80B06" w:rsidR="0018380F" w:rsidRPr="009A5E24" w:rsidRDefault="0018380F" w:rsidP="0018380F">
      <w:pPr>
        <w:pStyle w:val="subsection"/>
        <w:rPr>
          <w:szCs w:val="22"/>
        </w:rPr>
      </w:pPr>
      <w:r w:rsidRPr="009A5E24">
        <w:rPr>
          <w:szCs w:val="22"/>
        </w:rPr>
        <w:tab/>
        <w:t>(10)</w:t>
      </w:r>
      <w:r w:rsidRPr="009A5E24">
        <w:rPr>
          <w:szCs w:val="22"/>
        </w:rPr>
        <w:tab/>
        <w:t>Procedures must be implemented for notifying a donor</w:t>
      </w:r>
      <w:r w:rsidR="004C7EA1" w:rsidRPr="009A5E24">
        <w:rPr>
          <w:szCs w:val="22"/>
        </w:rPr>
        <w:t xml:space="preserve"> of HCT materials</w:t>
      </w:r>
      <w:r w:rsidRPr="009A5E24">
        <w:rPr>
          <w:szCs w:val="22"/>
        </w:rPr>
        <w:t xml:space="preserve">, </w:t>
      </w:r>
      <w:r w:rsidR="00262F2C" w:rsidRPr="009A5E24">
        <w:rPr>
          <w:szCs w:val="22"/>
        </w:rPr>
        <w:t>a </w:t>
      </w:r>
      <w:r w:rsidR="00867D29" w:rsidRPr="009A5E24">
        <w:rPr>
          <w:szCs w:val="22"/>
        </w:rPr>
        <w:t xml:space="preserve">relevant </w:t>
      </w:r>
      <w:r w:rsidRPr="009A5E24">
        <w:rPr>
          <w:szCs w:val="22"/>
        </w:rPr>
        <w:t xml:space="preserve">health practitioner, </w:t>
      </w:r>
      <w:r w:rsidR="00262F2C" w:rsidRPr="009A5E24">
        <w:rPr>
          <w:szCs w:val="22"/>
        </w:rPr>
        <w:t xml:space="preserve">a </w:t>
      </w:r>
      <w:r w:rsidR="00867D29" w:rsidRPr="009A5E24">
        <w:rPr>
          <w:szCs w:val="22"/>
        </w:rPr>
        <w:t xml:space="preserve">relevant </w:t>
      </w:r>
      <w:r w:rsidRPr="009A5E24">
        <w:rPr>
          <w:szCs w:val="22"/>
        </w:rPr>
        <w:t xml:space="preserve">hospital </w:t>
      </w:r>
      <w:r w:rsidR="00867D29" w:rsidRPr="009A5E24">
        <w:rPr>
          <w:szCs w:val="22"/>
        </w:rPr>
        <w:t>and</w:t>
      </w:r>
      <w:r w:rsidRPr="009A5E24">
        <w:rPr>
          <w:szCs w:val="22"/>
        </w:rPr>
        <w:t xml:space="preserve"> </w:t>
      </w:r>
      <w:r w:rsidR="00262F2C" w:rsidRPr="009A5E24">
        <w:rPr>
          <w:szCs w:val="22"/>
        </w:rPr>
        <w:t xml:space="preserve">any </w:t>
      </w:r>
      <w:r w:rsidRPr="009A5E24">
        <w:rPr>
          <w:szCs w:val="22"/>
        </w:rPr>
        <w:t xml:space="preserve">other </w:t>
      </w:r>
      <w:r w:rsidR="00867D29" w:rsidRPr="009A5E24">
        <w:rPr>
          <w:szCs w:val="22"/>
        </w:rPr>
        <w:t xml:space="preserve">relevant </w:t>
      </w:r>
      <w:r w:rsidRPr="009A5E24">
        <w:rPr>
          <w:szCs w:val="22"/>
        </w:rPr>
        <w:t xml:space="preserve">organisation, of a test result in relation to the donor </w:t>
      </w:r>
      <w:r w:rsidR="00262F2C" w:rsidRPr="009A5E24">
        <w:rPr>
          <w:szCs w:val="22"/>
        </w:rPr>
        <w:t>that is indicative of a disease </w:t>
      </w:r>
      <w:r w:rsidRPr="009A5E24">
        <w:rPr>
          <w:szCs w:val="22"/>
        </w:rPr>
        <w:t>or carrier state.</w:t>
      </w:r>
    </w:p>
    <w:p w14:paraId="3CDB720B" w14:textId="77777777" w:rsidR="00B7327D" w:rsidRPr="009A5E24" w:rsidRDefault="003E0262" w:rsidP="00B7327D">
      <w:pPr>
        <w:pStyle w:val="ActHead5"/>
      </w:pPr>
      <w:bookmarkStart w:id="15" w:name="_Toc62743401"/>
      <w:bookmarkStart w:id="16" w:name="_Toc70077682"/>
      <w:r w:rsidRPr="009A5E24">
        <w:t>9</w:t>
      </w:r>
      <w:r w:rsidR="00B7327D" w:rsidRPr="009A5E24">
        <w:t xml:space="preserve">  </w:t>
      </w:r>
      <w:r w:rsidR="00640424" w:rsidRPr="009A5E24">
        <w:t>M</w:t>
      </w:r>
      <w:r w:rsidR="00B7327D" w:rsidRPr="009A5E24">
        <w:t>edical and social history of donors</w:t>
      </w:r>
      <w:bookmarkEnd w:id="15"/>
      <w:bookmarkEnd w:id="16"/>
    </w:p>
    <w:p w14:paraId="49B2D6A7" w14:textId="77777777" w:rsidR="00671B61" w:rsidRPr="009A5E24" w:rsidRDefault="00E90B01" w:rsidP="00671B61">
      <w:pPr>
        <w:pStyle w:val="SubsectionHead"/>
        <w:ind w:left="750"/>
      </w:pPr>
      <w:r w:rsidRPr="009A5E24">
        <w:t>L</w:t>
      </w:r>
      <w:r w:rsidR="00671B61" w:rsidRPr="009A5E24">
        <w:t>iving donors</w:t>
      </w:r>
    </w:p>
    <w:p w14:paraId="6CE1A985" w14:textId="77777777" w:rsidR="00640424" w:rsidRPr="009A5E24" w:rsidRDefault="00640424" w:rsidP="00640424">
      <w:pPr>
        <w:pStyle w:val="subsection"/>
        <w:rPr>
          <w:szCs w:val="22"/>
        </w:rPr>
      </w:pPr>
      <w:r w:rsidRPr="009A5E24">
        <w:rPr>
          <w:szCs w:val="22"/>
        </w:rPr>
        <w:tab/>
      </w:r>
      <w:r w:rsidR="00B7327D" w:rsidRPr="009A5E24">
        <w:rPr>
          <w:szCs w:val="22"/>
        </w:rPr>
        <w:t>(1)</w:t>
      </w:r>
      <w:r w:rsidR="00B7327D" w:rsidRPr="009A5E24">
        <w:rPr>
          <w:szCs w:val="22"/>
        </w:rPr>
        <w:tab/>
      </w:r>
      <w:r w:rsidR="00C44C5B" w:rsidRPr="009A5E24">
        <w:rPr>
          <w:szCs w:val="22"/>
        </w:rPr>
        <w:t>A</w:t>
      </w:r>
      <w:r w:rsidRPr="009A5E24">
        <w:rPr>
          <w:szCs w:val="22"/>
        </w:rPr>
        <w:t xml:space="preserve"> medical and social history in relation to a </w:t>
      </w:r>
      <w:r w:rsidR="00671B61" w:rsidRPr="009A5E24">
        <w:rPr>
          <w:szCs w:val="22"/>
        </w:rPr>
        <w:t xml:space="preserve">living </w:t>
      </w:r>
      <w:r w:rsidRPr="009A5E24">
        <w:rPr>
          <w:szCs w:val="22"/>
        </w:rPr>
        <w:t>donor</w:t>
      </w:r>
      <w:r w:rsidR="004C7EA1" w:rsidRPr="009A5E24">
        <w:rPr>
          <w:szCs w:val="22"/>
        </w:rPr>
        <w:t xml:space="preserve"> of HCT materials</w:t>
      </w:r>
      <w:r w:rsidRPr="009A5E24">
        <w:rPr>
          <w:szCs w:val="22"/>
        </w:rPr>
        <w:t>, covering the ineligibility criteria for donor selection specified in Schedule 1 and any other relevant matters, must be obtained by interview.</w:t>
      </w:r>
    </w:p>
    <w:p w14:paraId="28313FE4" w14:textId="77777777" w:rsidR="00640424" w:rsidRPr="009A5E24" w:rsidRDefault="00640424" w:rsidP="00640424">
      <w:pPr>
        <w:pStyle w:val="subsection"/>
        <w:rPr>
          <w:szCs w:val="22"/>
        </w:rPr>
      </w:pPr>
      <w:r w:rsidRPr="009A5E24">
        <w:rPr>
          <w:szCs w:val="22"/>
        </w:rPr>
        <w:tab/>
        <w:t>(2)</w:t>
      </w:r>
      <w:r w:rsidRPr="009A5E24">
        <w:rPr>
          <w:szCs w:val="22"/>
        </w:rPr>
        <w:tab/>
        <w:t>The interview must</w:t>
      </w:r>
      <w:r w:rsidR="00690F8B" w:rsidRPr="009A5E24">
        <w:rPr>
          <w:szCs w:val="22"/>
        </w:rPr>
        <w:t xml:space="preserve"> be:</w:t>
      </w:r>
    </w:p>
    <w:p w14:paraId="046CC8F3" w14:textId="77777777" w:rsidR="004334D6" w:rsidRPr="009A5E24" w:rsidRDefault="00690F8B" w:rsidP="00690F8B">
      <w:pPr>
        <w:pStyle w:val="paragraph"/>
        <w:rPr>
          <w:szCs w:val="22"/>
        </w:rPr>
      </w:pPr>
      <w:r w:rsidRPr="009A5E24">
        <w:rPr>
          <w:szCs w:val="22"/>
        </w:rPr>
        <w:tab/>
        <w:t>(a)</w:t>
      </w:r>
      <w:r w:rsidRPr="009A5E24">
        <w:rPr>
          <w:szCs w:val="22"/>
        </w:rPr>
        <w:tab/>
        <w:t>conducted by an interviewer who is</w:t>
      </w:r>
      <w:r w:rsidR="004334D6" w:rsidRPr="009A5E24">
        <w:rPr>
          <w:szCs w:val="22"/>
        </w:rPr>
        <w:t>:</w:t>
      </w:r>
    </w:p>
    <w:p w14:paraId="5C65D1D1" w14:textId="77777777" w:rsidR="004334D6" w:rsidRPr="009A5E24" w:rsidRDefault="004334D6" w:rsidP="004334D6">
      <w:pPr>
        <w:pStyle w:val="paragraphsub"/>
        <w:rPr>
          <w:szCs w:val="22"/>
        </w:rPr>
      </w:pPr>
      <w:r w:rsidRPr="009A5E24">
        <w:rPr>
          <w:szCs w:val="22"/>
        </w:rPr>
        <w:tab/>
        <w:t>(i)</w:t>
      </w:r>
      <w:r w:rsidRPr="009A5E24">
        <w:rPr>
          <w:szCs w:val="22"/>
        </w:rPr>
        <w:tab/>
      </w:r>
      <w:r w:rsidR="00690F8B" w:rsidRPr="009A5E24">
        <w:rPr>
          <w:szCs w:val="22"/>
        </w:rPr>
        <w:t>appropriately qualified</w:t>
      </w:r>
      <w:r w:rsidR="00823FE4" w:rsidRPr="009A5E24">
        <w:rPr>
          <w:szCs w:val="22"/>
        </w:rPr>
        <w:t xml:space="preserve"> and trained</w:t>
      </w:r>
      <w:r w:rsidRPr="009A5E24">
        <w:rPr>
          <w:szCs w:val="22"/>
        </w:rPr>
        <w:t>;</w:t>
      </w:r>
      <w:r w:rsidR="00690F8B" w:rsidRPr="009A5E24">
        <w:rPr>
          <w:szCs w:val="22"/>
        </w:rPr>
        <w:t xml:space="preserve"> and</w:t>
      </w:r>
    </w:p>
    <w:p w14:paraId="492F19F7" w14:textId="594909CD" w:rsidR="00690F8B" w:rsidRPr="009A5E24" w:rsidRDefault="004334D6" w:rsidP="004334D6">
      <w:pPr>
        <w:pStyle w:val="paragraphsub"/>
        <w:rPr>
          <w:szCs w:val="22"/>
        </w:rPr>
      </w:pPr>
      <w:r w:rsidRPr="009A5E24">
        <w:rPr>
          <w:szCs w:val="22"/>
        </w:rPr>
        <w:tab/>
        <w:t>(ii)</w:t>
      </w:r>
      <w:r w:rsidRPr="009A5E24">
        <w:rPr>
          <w:szCs w:val="22"/>
        </w:rPr>
        <w:tab/>
        <w:t>an emp</w:t>
      </w:r>
      <w:r w:rsidR="00262F2C" w:rsidRPr="009A5E24">
        <w:rPr>
          <w:szCs w:val="22"/>
        </w:rPr>
        <w:t>loyee of, or under a contract</w:t>
      </w:r>
      <w:r w:rsidRPr="009A5E24">
        <w:rPr>
          <w:szCs w:val="22"/>
        </w:rPr>
        <w:t xml:space="preserve"> with, a person engaged in the collection of HCT materials or </w:t>
      </w:r>
      <w:r w:rsidR="00206918" w:rsidRPr="009A5E24">
        <w:rPr>
          <w:szCs w:val="22"/>
        </w:rPr>
        <w:t xml:space="preserve">the </w:t>
      </w:r>
      <w:r w:rsidRPr="009A5E24">
        <w:rPr>
          <w:szCs w:val="22"/>
        </w:rPr>
        <w:t xml:space="preserve">manufacture of </w:t>
      </w:r>
      <w:r w:rsidR="00B054BD" w:rsidRPr="009A5E24">
        <w:rPr>
          <w:szCs w:val="22"/>
        </w:rPr>
        <w:t xml:space="preserve">the </w:t>
      </w:r>
      <w:r w:rsidRPr="009A5E24">
        <w:rPr>
          <w:szCs w:val="22"/>
        </w:rPr>
        <w:t>HCT product</w:t>
      </w:r>
      <w:r w:rsidR="00690F8B" w:rsidRPr="009A5E24">
        <w:rPr>
          <w:szCs w:val="22"/>
        </w:rPr>
        <w:t>; and</w:t>
      </w:r>
    </w:p>
    <w:p w14:paraId="2F03E6CF" w14:textId="77777777" w:rsidR="00690F8B" w:rsidRPr="009A5E24" w:rsidRDefault="00690F8B" w:rsidP="00690F8B">
      <w:pPr>
        <w:pStyle w:val="paragraph"/>
        <w:rPr>
          <w:szCs w:val="22"/>
        </w:rPr>
      </w:pPr>
      <w:r w:rsidRPr="009A5E24">
        <w:rPr>
          <w:szCs w:val="22"/>
        </w:rPr>
        <w:tab/>
        <w:t>(b)</w:t>
      </w:r>
      <w:r w:rsidRPr="009A5E24">
        <w:rPr>
          <w:szCs w:val="22"/>
        </w:rPr>
        <w:tab/>
      </w:r>
      <w:r w:rsidR="004334D6" w:rsidRPr="009A5E24">
        <w:rPr>
          <w:szCs w:val="22"/>
        </w:rPr>
        <w:t>held face-to-face (to the extent that it is possible in the circumstances)</w:t>
      </w:r>
      <w:r w:rsidR="00206918" w:rsidRPr="009A5E24">
        <w:rPr>
          <w:szCs w:val="22"/>
        </w:rPr>
        <w:t xml:space="preserve"> with the donor or the donor’s guardian or next of kin; and</w:t>
      </w:r>
    </w:p>
    <w:p w14:paraId="43BA5104" w14:textId="2D856E76" w:rsidR="00206918" w:rsidRPr="009A5E24" w:rsidRDefault="00206918" w:rsidP="009E6A30">
      <w:pPr>
        <w:pStyle w:val="paragraph"/>
      </w:pPr>
      <w:r w:rsidRPr="009A5E24">
        <w:rPr>
          <w:szCs w:val="22"/>
        </w:rPr>
        <w:tab/>
        <w:t>(c)</w:t>
      </w:r>
      <w:r w:rsidRPr="009A5E24">
        <w:rPr>
          <w:szCs w:val="22"/>
        </w:rPr>
        <w:tab/>
        <w:t>conducted</w:t>
      </w:r>
      <w:r w:rsidR="001A0001" w:rsidRPr="009A5E24">
        <w:rPr>
          <w:szCs w:val="22"/>
        </w:rPr>
        <w:t xml:space="preserve"> </w:t>
      </w:r>
      <w:r w:rsidR="006A5A3B" w:rsidRPr="009A5E24">
        <w:t xml:space="preserve">within </w:t>
      </w:r>
      <w:r w:rsidR="00E57393" w:rsidRPr="009A5E24">
        <w:t>30 days before</w:t>
      </w:r>
      <w:r w:rsidRPr="009A5E24">
        <w:t xml:space="preserve"> or 30 days after the collection of </w:t>
      </w:r>
      <w:r w:rsidR="00B054BD" w:rsidRPr="009A5E24">
        <w:t xml:space="preserve">the </w:t>
      </w:r>
      <w:r w:rsidRPr="009A5E24">
        <w:t>HCT materials, and</w:t>
      </w:r>
    </w:p>
    <w:p w14:paraId="5DC2DAAC" w14:textId="77777777" w:rsidR="00206918" w:rsidRPr="009A5E24" w:rsidRDefault="00206918" w:rsidP="00206918">
      <w:pPr>
        <w:pStyle w:val="paragraph"/>
        <w:rPr>
          <w:szCs w:val="22"/>
        </w:rPr>
      </w:pPr>
      <w:r w:rsidRPr="009A5E24">
        <w:rPr>
          <w:szCs w:val="22"/>
        </w:rPr>
        <w:tab/>
        <w:t>(d)</w:t>
      </w:r>
      <w:r w:rsidRPr="009A5E24">
        <w:rPr>
          <w:szCs w:val="22"/>
        </w:rPr>
        <w:tab/>
        <w:t>documented.</w:t>
      </w:r>
    </w:p>
    <w:p w14:paraId="174BD89F" w14:textId="77777777" w:rsidR="00B7327D" w:rsidRPr="009A5E24" w:rsidRDefault="00E90B01" w:rsidP="00521F52">
      <w:pPr>
        <w:pStyle w:val="SubsectionHead"/>
        <w:ind w:left="750"/>
      </w:pPr>
      <w:r w:rsidRPr="009A5E24">
        <w:t>D</w:t>
      </w:r>
      <w:r w:rsidR="00671B61" w:rsidRPr="009A5E24">
        <w:t>eceased donors</w:t>
      </w:r>
    </w:p>
    <w:p w14:paraId="53C200F6" w14:textId="0DBA9BC9" w:rsidR="00521F52" w:rsidRPr="009A5E24" w:rsidRDefault="00076142" w:rsidP="00076142">
      <w:pPr>
        <w:pStyle w:val="subsection"/>
        <w:rPr>
          <w:szCs w:val="22"/>
        </w:rPr>
      </w:pPr>
      <w:r w:rsidRPr="009A5E24">
        <w:rPr>
          <w:szCs w:val="22"/>
        </w:rPr>
        <w:tab/>
      </w:r>
      <w:r w:rsidR="00B7327D" w:rsidRPr="009A5E24">
        <w:rPr>
          <w:szCs w:val="22"/>
        </w:rPr>
        <w:t>(</w:t>
      </w:r>
      <w:r w:rsidR="00325DA3" w:rsidRPr="009A5E24">
        <w:rPr>
          <w:szCs w:val="22"/>
        </w:rPr>
        <w:t>3</w:t>
      </w:r>
      <w:r w:rsidR="00B7327D" w:rsidRPr="009A5E24">
        <w:rPr>
          <w:szCs w:val="22"/>
        </w:rPr>
        <w:t>)</w:t>
      </w:r>
      <w:r w:rsidR="00B7327D" w:rsidRPr="009A5E24">
        <w:rPr>
          <w:szCs w:val="22"/>
        </w:rPr>
        <w:tab/>
      </w:r>
      <w:r w:rsidR="00C44C5B" w:rsidRPr="009A5E24">
        <w:rPr>
          <w:szCs w:val="22"/>
        </w:rPr>
        <w:t>A</w:t>
      </w:r>
      <w:r w:rsidR="00521F52" w:rsidRPr="009A5E24">
        <w:rPr>
          <w:szCs w:val="22"/>
        </w:rPr>
        <w:t xml:space="preserve"> medical and social history in relation to a deceased donor</w:t>
      </w:r>
      <w:r w:rsidR="00B054BD" w:rsidRPr="009A5E24">
        <w:rPr>
          <w:szCs w:val="22"/>
        </w:rPr>
        <w:t xml:space="preserve"> of HCT materials</w:t>
      </w:r>
      <w:r w:rsidR="00521F52" w:rsidRPr="009A5E24">
        <w:rPr>
          <w:szCs w:val="22"/>
        </w:rPr>
        <w:t>, covering the ineligibility criteria for donor selection specified in Schedule 1 and any other relevant matters, must be obtained</w:t>
      </w:r>
      <w:r w:rsidR="00325DA3" w:rsidRPr="009A5E24">
        <w:rPr>
          <w:szCs w:val="22"/>
        </w:rPr>
        <w:t xml:space="preserve"> </w:t>
      </w:r>
      <w:r w:rsidR="006B2717">
        <w:rPr>
          <w:szCs w:val="22"/>
        </w:rPr>
        <w:t>and documented within 7 days before or 7 days after the collection of the HCT materials, by</w:t>
      </w:r>
      <w:r w:rsidR="00521F52" w:rsidRPr="009A5E24">
        <w:rPr>
          <w:szCs w:val="22"/>
        </w:rPr>
        <w:t>:</w:t>
      </w:r>
    </w:p>
    <w:p w14:paraId="54ABB5DB" w14:textId="1A552DEE" w:rsidR="00BC7B5D" w:rsidRPr="009A5E24" w:rsidRDefault="00521F52" w:rsidP="00076142">
      <w:pPr>
        <w:pStyle w:val="paragraph"/>
        <w:rPr>
          <w:szCs w:val="22"/>
        </w:rPr>
      </w:pPr>
      <w:r w:rsidRPr="009A5E24">
        <w:rPr>
          <w:szCs w:val="22"/>
        </w:rPr>
        <w:tab/>
        <w:t>(a)</w:t>
      </w:r>
      <w:r w:rsidRPr="009A5E24">
        <w:rPr>
          <w:szCs w:val="22"/>
        </w:rPr>
        <w:tab/>
      </w:r>
      <w:r w:rsidR="006B2717">
        <w:rPr>
          <w:szCs w:val="22"/>
        </w:rPr>
        <w:t>both</w:t>
      </w:r>
      <w:r w:rsidR="00BC7B5D" w:rsidRPr="009A5E24">
        <w:rPr>
          <w:szCs w:val="22"/>
        </w:rPr>
        <w:t>:</w:t>
      </w:r>
    </w:p>
    <w:p w14:paraId="5A6C8041" w14:textId="313BEEC5" w:rsidR="00BC7B5D" w:rsidRPr="009A5E24" w:rsidRDefault="00BC7B5D" w:rsidP="00BC7B5D">
      <w:pPr>
        <w:pStyle w:val="paragraphsub"/>
      </w:pPr>
      <w:r w:rsidRPr="009A5E24">
        <w:rPr>
          <w:szCs w:val="22"/>
        </w:rPr>
        <w:tab/>
        <w:t>(i)</w:t>
      </w:r>
      <w:r w:rsidRPr="009A5E24">
        <w:rPr>
          <w:szCs w:val="22"/>
        </w:rPr>
        <w:tab/>
      </w:r>
      <w:r w:rsidR="00076142" w:rsidRPr="009A5E24">
        <w:rPr>
          <w:szCs w:val="22"/>
        </w:rPr>
        <w:t xml:space="preserve">an </w:t>
      </w:r>
      <w:r w:rsidR="00325DA3" w:rsidRPr="009A5E24">
        <w:rPr>
          <w:szCs w:val="22"/>
        </w:rPr>
        <w:t xml:space="preserve">interview with a person who is </w:t>
      </w:r>
      <w:r w:rsidR="00262F2C" w:rsidRPr="009A5E24">
        <w:t>sufficiently informed</w:t>
      </w:r>
      <w:r w:rsidR="00325DA3" w:rsidRPr="009A5E24">
        <w:t xml:space="preserve"> </w:t>
      </w:r>
      <w:r w:rsidR="0080385C" w:rsidRPr="009A5E24">
        <w:t>about</w:t>
      </w:r>
      <w:r w:rsidR="00325DA3" w:rsidRPr="009A5E24">
        <w:t xml:space="preserve"> the donor’s medical and social history</w:t>
      </w:r>
      <w:r w:rsidRPr="009A5E24">
        <w:t>;</w:t>
      </w:r>
      <w:r w:rsidR="00076142" w:rsidRPr="009A5E24">
        <w:t xml:space="preserve"> and</w:t>
      </w:r>
    </w:p>
    <w:p w14:paraId="0F811475" w14:textId="77777777" w:rsidR="00325DA3" w:rsidRPr="009A5E24" w:rsidRDefault="00BC7B5D" w:rsidP="00BC7B5D">
      <w:pPr>
        <w:pStyle w:val="paragraphsub"/>
      </w:pPr>
      <w:r w:rsidRPr="009A5E24">
        <w:tab/>
        <w:t>(ii)</w:t>
      </w:r>
      <w:r w:rsidRPr="009A5E24">
        <w:tab/>
      </w:r>
      <w:r w:rsidR="00076142" w:rsidRPr="009A5E24">
        <w:t xml:space="preserve">an </w:t>
      </w:r>
      <w:r w:rsidR="00325DA3" w:rsidRPr="009A5E24">
        <w:t>examination</w:t>
      </w:r>
      <w:r w:rsidR="00076142" w:rsidRPr="009A5E24">
        <w:t xml:space="preserve"> of</w:t>
      </w:r>
      <w:r w:rsidR="00325DA3" w:rsidRPr="009A5E24">
        <w:t xml:space="preserve"> </w:t>
      </w:r>
      <w:r w:rsidR="00C83F2C" w:rsidRPr="009A5E24">
        <w:t>relevant documentation in relation to the</w:t>
      </w:r>
      <w:r w:rsidR="00076142" w:rsidRPr="009A5E24">
        <w:t xml:space="preserve"> donor</w:t>
      </w:r>
      <w:r w:rsidR="00325DA3" w:rsidRPr="009A5E24">
        <w:t>;</w:t>
      </w:r>
      <w:r w:rsidR="00076142" w:rsidRPr="009A5E24">
        <w:t xml:space="preserve"> or</w:t>
      </w:r>
    </w:p>
    <w:p w14:paraId="65FA93FC" w14:textId="3533BC7F" w:rsidR="00076142" w:rsidRPr="009A5E24" w:rsidRDefault="00076142" w:rsidP="00076142">
      <w:pPr>
        <w:pStyle w:val="paragraph"/>
      </w:pPr>
      <w:r w:rsidRPr="009A5E24">
        <w:tab/>
        <w:t>(b)</w:t>
      </w:r>
      <w:r w:rsidRPr="009A5E24">
        <w:tab/>
        <w:t xml:space="preserve">where the interview mentioned in </w:t>
      </w:r>
      <w:r w:rsidR="00BC7B5D" w:rsidRPr="009A5E24">
        <w:t>sub</w:t>
      </w:r>
      <w:r w:rsidRPr="009A5E24">
        <w:t xml:space="preserve">paragraph </w:t>
      </w:r>
      <w:r w:rsidR="00BC7B5D" w:rsidRPr="009A5E24">
        <w:t>(</w:t>
      </w:r>
      <w:r w:rsidRPr="009A5E24">
        <w:t>3</w:t>
      </w:r>
      <w:r w:rsidR="00BC7B5D" w:rsidRPr="009A5E24">
        <w:t>)</w:t>
      </w:r>
      <w:r w:rsidRPr="009A5E24">
        <w:t>(a)</w:t>
      </w:r>
      <w:r w:rsidR="00BC7B5D" w:rsidRPr="009A5E24">
        <w:t>(i)</w:t>
      </w:r>
      <w:r w:rsidRPr="009A5E24">
        <w:t xml:space="preserve"> is not possible—an examination of the donor documentation to ensure there is sufficient evidence to determine the acceptability of the donor’s medical and social history.</w:t>
      </w:r>
    </w:p>
    <w:p w14:paraId="590C0F53" w14:textId="2973588A" w:rsidR="00076142" w:rsidRPr="009A5E24" w:rsidRDefault="00076142" w:rsidP="006C630E">
      <w:pPr>
        <w:pStyle w:val="notetext"/>
      </w:pPr>
      <w:r w:rsidRPr="009A5E24">
        <w:t>Example:</w:t>
      </w:r>
      <w:r w:rsidRPr="009A5E24">
        <w:tab/>
        <w:t xml:space="preserve">A person who is </w:t>
      </w:r>
      <w:r w:rsidR="00262F2C" w:rsidRPr="009A5E24">
        <w:t xml:space="preserve">sufficiently informed </w:t>
      </w:r>
      <w:r w:rsidR="0080385C" w:rsidRPr="009A5E24">
        <w:t>about</w:t>
      </w:r>
      <w:r w:rsidRPr="009A5E24">
        <w:t xml:space="preserve"> </w:t>
      </w:r>
      <w:r w:rsidR="006C630E" w:rsidRPr="009A5E24">
        <w:t>a deceased donor’s</w:t>
      </w:r>
      <w:r w:rsidRPr="009A5E24">
        <w:t xml:space="preserve"> medical and social history </w:t>
      </w:r>
      <w:r w:rsidR="006C630E" w:rsidRPr="009A5E24">
        <w:t xml:space="preserve">may include the donor’s treating physician, next of kin or </w:t>
      </w:r>
      <w:r w:rsidR="00B054BD" w:rsidRPr="009A5E24">
        <w:t xml:space="preserve">closest </w:t>
      </w:r>
      <w:r w:rsidR="006C630E" w:rsidRPr="009A5E24">
        <w:t xml:space="preserve">available relative, a member of the donor’s household, or a person with a relationship </w:t>
      </w:r>
      <w:r w:rsidR="00BC7B5D" w:rsidRPr="009A5E24">
        <w:t>with</w:t>
      </w:r>
      <w:r w:rsidR="006C630E" w:rsidRPr="009A5E24">
        <w:t xml:space="preserve"> the donor, such as a carer, friend or partner.</w:t>
      </w:r>
    </w:p>
    <w:p w14:paraId="3EB4C8C1" w14:textId="77777777" w:rsidR="00E90B01" w:rsidRPr="009A5E24" w:rsidRDefault="00EE4B44" w:rsidP="00E90B01">
      <w:pPr>
        <w:pStyle w:val="SubsectionHead"/>
        <w:ind w:left="750"/>
      </w:pPr>
      <w:r w:rsidRPr="009A5E24">
        <w:t>D</w:t>
      </w:r>
      <w:r w:rsidR="00E90B01" w:rsidRPr="009A5E24">
        <w:t>onors of HCT materials used exclusively for plasma fractionation</w:t>
      </w:r>
    </w:p>
    <w:p w14:paraId="388679A4" w14:textId="508C7644" w:rsidR="00E90B01" w:rsidRPr="009A5E24" w:rsidRDefault="00E90B01" w:rsidP="009E6A30">
      <w:pPr>
        <w:pStyle w:val="subsection"/>
      </w:pPr>
      <w:r w:rsidRPr="009A5E24">
        <w:tab/>
        <w:t>(4)</w:t>
      </w:r>
      <w:r w:rsidRPr="009A5E24">
        <w:tab/>
      </w:r>
      <w:r w:rsidR="002A34C9" w:rsidRPr="009A5E24">
        <w:t xml:space="preserve">The periods of ineligibility specified in column 3 of </w:t>
      </w:r>
      <w:r w:rsidR="00EF43D1" w:rsidRPr="009A5E24">
        <w:t>items 2</w:t>
      </w:r>
      <w:r w:rsidR="006A4789" w:rsidRPr="009A5E24">
        <w:t xml:space="preserve">, </w:t>
      </w:r>
      <w:r w:rsidR="00EF43D1" w:rsidRPr="009A5E24">
        <w:t>4, 13, 16</w:t>
      </w:r>
      <w:r w:rsidR="006A4789" w:rsidRPr="009A5E24">
        <w:t xml:space="preserve"> to </w:t>
      </w:r>
      <w:r w:rsidR="009E6A30" w:rsidRPr="009A5E24">
        <w:t>19</w:t>
      </w:r>
      <w:r w:rsidR="009D1A5B" w:rsidRPr="009A5E24">
        <w:t>, and</w:t>
      </w:r>
      <w:r w:rsidR="00530C03" w:rsidRPr="009A5E24">
        <w:t xml:space="preserve"> 23 to 26 </w:t>
      </w:r>
      <w:r w:rsidR="00EF43D1" w:rsidRPr="009A5E24">
        <w:t xml:space="preserve">of the </w:t>
      </w:r>
      <w:r w:rsidR="002A34C9" w:rsidRPr="009A5E24">
        <w:t>table in Schedule 1 do not apply in relation to a donor of HCT materials that are exclusively for plasma fractionation</w:t>
      </w:r>
      <w:r w:rsidR="00EF43D1" w:rsidRPr="009A5E24">
        <w:t>.</w:t>
      </w:r>
    </w:p>
    <w:p w14:paraId="19F56724" w14:textId="77777777" w:rsidR="00A77E34" w:rsidRPr="009A5E24" w:rsidRDefault="00EE4B44" w:rsidP="00A77E34">
      <w:pPr>
        <w:pStyle w:val="SubsectionHead"/>
        <w:ind w:left="750"/>
      </w:pPr>
      <w:r w:rsidRPr="009A5E24">
        <w:t>D</w:t>
      </w:r>
      <w:r w:rsidR="00A77E34" w:rsidRPr="009A5E24">
        <w:t>onors of HCT materials that are human ocular tissue only</w:t>
      </w:r>
    </w:p>
    <w:p w14:paraId="76828C64" w14:textId="77777777" w:rsidR="00B23E43" w:rsidRPr="009A5E24" w:rsidRDefault="00A77E34" w:rsidP="009E6A30">
      <w:pPr>
        <w:pStyle w:val="subsection"/>
      </w:pPr>
      <w:r w:rsidRPr="009A5E24">
        <w:tab/>
        <w:t>(5)</w:t>
      </w:r>
      <w:r w:rsidRPr="009A5E24">
        <w:tab/>
      </w:r>
      <w:r w:rsidR="00F358E1" w:rsidRPr="009A5E24">
        <w:t>The period</w:t>
      </w:r>
      <w:r w:rsidR="00EF43D1" w:rsidRPr="009A5E24">
        <w:t>s</w:t>
      </w:r>
      <w:r w:rsidR="00F358E1" w:rsidRPr="009A5E24">
        <w:t xml:space="preserve"> of ineligibility specified in column 3 </w:t>
      </w:r>
      <w:r w:rsidR="00397DE4" w:rsidRPr="009A5E24">
        <w:t>of</w:t>
      </w:r>
      <w:r w:rsidR="009E6A30" w:rsidRPr="009A5E24">
        <w:t xml:space="preserve"> items 16</w:t>
      </w:r>
      <w:r w:rsidR="006A4789" w:rsidRPr="009A5E24">
        <w:t xml:space="preserve"> to </w:t>
      </w:r>
      <w:r w:rsidR="009E6A30" w:rsidRPr="009A5E24">
        <w:t>19</w:t>
      </w:r>
      <w:r w:rsidR="00397DE4" w:rsidRPr="009A5E24">
        <w:t xml:space="preserve"> of the table in Schedule 1 do not apply in relation to a donor of HCT materials that are human ocular tissue only.</w:t>
      </w:r>
    </w:p>
    <w:p w14:paraId="0950E100" w14:textId="77777777" w:rsidR="0079763A" w:rsidRPr="009A5E24" w:rsidRDefault="0079763A" w:rsidP="0079763A">
      <w:pPr>
        <w:pStyle w:val="SubsectionHead"/>
        <w:ind w:left="750"/>
      </w:pPr>
      <w:r w:rsidRPr="009A5E24">
        <w:t>Change in circumstances of donor</w:t>
      </w:r>
    </w:p>
    <w:p w14:paraId="7ED47C76" w14:textId="77777777" w:rsidR="0079763A" w:rsidRPr="009A5E24" w:rsidRDefault="00A77E34" w:rsidP="009E6A30">
      <w:pPr>
        <w:pStyle w:val="subsection"/>
      </w:pPr>
      <w:r w:rsidRPr="009A5E24">
        <w:tab/>
        <w:t>(6</w:t>
      </w:r>
      <w:r w:rsidR="0079763A" w:rsidRPr="009A5E24">
        <w:t>)</w:t>
      </w:r>
      <w:r w:rsidR="0079763A" w:rsidRPr="009A5E24">
        <w:tab/>
        <w:t xml:space="preserve">Where the circumstances of a donor </w:t>
      </w:r>
      <w:r w:rsidR="006A4789" w:rsidRPr="009A5E24">
        <w:t xml:space="preserve">of HCT materials used in the manufacture of an HCT product </w:t>
      </w:r>
      <w:r w:rsidR="0079763A" w:rsidRPr="009A5E24">
        <w:t xml:space="preserve">change in relation to the ineligibility criteria for donor selection specified in Schedule 1, the relevant aspects of the medical and social history of the donor must be reviewed </w:t>
      </w:r>
      <w:r w:rsidR="00C44C5B" w:rsidRPr="009A5E24">
        <w:t>by the manufacturer of the HCT product</w:t>
      </w:r>
      <w:r w:rsidR="006A4789" w:rsidRPr="009A5E24">
        <w:t xml:space="preserve"> </w:t>
      </w:r>
      <w:r w:rsidR="0079763A" w:rsidRPr="009A5E24">
        <w:t>with respect to those changes</w:t>
      </w:r>
      <w:r w:rsidR="00B054BD" w:rsidRPr="009A5E24">
        <w:t>,</w:t>
      </w:r>
      <w:r w:rsidR="0079763A" w:rsidRPr="009A5E24">
        <w:t xml:space="preserve"> before</w:t>
      </w:r>
      <w:r w:rsidR="006A4789" w:rsidRPr="009A5E24">
        <w:t xml:space="preserve"> the </w:t>
      </w:r>
      <w:r w:rsidR="0079763A" w:rsidRPr="009A5E24">
        <w:t xml:space="preserve">HCT product </w:t>
      </w:r>
      <w:r w:rsidR="006A4789" w:rsidRPr="009A5E24">
        <w:t>is</w:t>
      </w:r>
      <w:r w:rsidR="0079763A" w:rsidRPr="009A5E24">
        <w:t xml:space="preserve"> released for supply.</w:t>
      </w:r>
    </w:p>
    <w:p w14:paraId="38B7B54D" w14:textId="77777777" w:rsidR="000629D6" w:rsidRPr="009A5E24" w:rsidRDefault="0079763A" w:rsidP="000629D6">
      <w:pPr>
        <w:pStyle w:val="SubsectionHead"/>
        <w:ind w:left="750"/>
      </w:pPr>
      <w:r w:rsidRPr="009A5E24">
        <w:t>Screening requirements</w:t>
      </w:r>
    </w:p>
    <w:p w14:paraId="7AB31D51" w14:textId="19755DB5" w:rsidR="00803E10" w:rsidRPr="009A5E24" w:rsidRDefault="00A77E34" w:rsidP="00803E10">
      <w:pPr>
        <w:pStyle w:val="subsection"/>
      </w:pPr>
      <w:r w:rsidRPr="009A5E24">
        <w:tab/>
        <w:t>(7</w:t>
      </w:r>
      <w:r w:rsidR="00076142" w:rsidRPr="009A5E24">
        <w:t>)</w:t>
      </w:r>
      <w:r w:rsidR="00076142" w:rsidRPr="009A5E24">
        <w:tab/>
      </w:r>
      <w:r w:rsidR="001A0001" w:rsidRPr="009A5E24">
        <w:t>An HCT product must not be released for supply</w:t>
      </w:r>
      <w:r w:rsidR="0080385C" w:rsidRPr="009A5E24">
        <w:t>,</w:t>
      </w:r>
      <w:r w:rsidR="001A0001" w:rsidRPr="009A5E24">
        <w:t xml:space="preserve"> unless t</w:t>
      </w:r>
      <w:r w:rsidR="000629D6" w:rsidRPr="009A5E24">
        <w:t xml:space="preserve">he medical and social history </w:t>
      </w:r>
      <w:r w:rsidR="0079763A" w:rsidRPr="009A5E24">
        <w:t xml:space="preserve">of a donor </w:t>
      </w:r>
      <w:r w:rsidR="001A0001" w:rsidRPr="009A5E24">
        <w:t>is</w:t>
      </w:r>
      <w:r w:rsidR="00C97F21" w:rsidRPr="009A5E24">
        <w:t xml:space="preserve"> </w:t>
      </w:r>
      <w:r w:rsidR="000629D6" w:rsidRPr="009A5E24">
        <w:t xml:space="preserve">reviewed and </w:t>
      </w:r>
      <w:r w:rsidR="00C97F21" w:rsidRPr="009A5E24">
        <w:t>evaluated</w:t>
      </w:r>
      <w:r w:rsidR="001A0001" w:rsidRPr="009A5E24">
        <w:t xml:space="preserve"> in accordance with this section</w:t>
      </w:r>
      <w:r w:rsidR="00C97F21" w:rsidRPr="009A5E24">
        <w:t>.</w:t>
      </w:r>
    </w:p>
    <w:p w14:paraId="44789E2B" w14:textId="77777777" w:rsidR="006F5443" w:rsidRPr="009A5E24" w:rsidRDefault="00803E10" w:rsidP="006F5443">
      <w:pPr>
        <w:pStyle w:val="subsection"/>
      </w:pPr>
      <w:r w:rsidRPr="009A5E24">
        <w:tab/>
      </w:r>
      <w:r w:rsidR="00A77E34" w:rsidRPr="009A5E24">
        <w:t>(8</w:t>
      </w:r>
      <w:r w:rsidR="0079763A" w:rsidRPr="009A5E24">
        <w:t>)</w:t>
      </w:r>
      <w:r w:rsidR="0079763A" w:rsidRPr="009A5E24">
        <w:tab/>
        <w:t>W</w:t>
      </w:r>
      <w:r w:rsidR="000629D6" w:rsidRPr="009A5E24">
        <w:t xml:space="preserve">here </w:t>
      </w:r>
      <w:r w:rsidR="00C97F21" w:rsidRPr="009A5E24">
        <w:t xml:space="preserve">a </w:t>
      </w:r>
      <w:r w:rsidR="000629D6" w:rsidRPr="009A5E24">
        <w:t>donor meets any of the</w:t>
      </w:r>
      <w:r w:rsidR="00C97F21" w:rsidRPr="009A5E24">
        <w:t xml:space="preserve"> </w:t>
      </w:r>
      <w:r w:rsidR="00FA3644" w:rsidRPr="009A5E24">
        <w:t xml:space="preserve">medical and social history </w:t>
      </w:r>
      <w:r w:rsidR="000629D6" w:rsidRPr="009A5E24">
        <w:t>criteria</w:t>
      </w:r>
      <w:r w:rsidR="00CB448C" w:rsidRPr="009A5E24">
        <w:t xml:space="preserve"> </w:t>
      </w:r>
      <w:r w:rsidR="00C97F21" w:rsidRPr="009A5E24">
        <w:t xml:space="preserve">specified </w:t>
      </w:r>
      <w:r w:rsidR="000629D6" w:rsidRPr="009A5E24">
        <w:t xml:space="preserve">in column 2 of </w:t>
      </w:r>
      <w:r w:rsidR="00070F8D" w:rsidRPr="009A5E24">
        <w:t xml:space="preserve">an item of the table in </w:t>
      </w:r>
      <w:r w:rsidR="000629D6" w:rsidRPr="009A5E24">
        <w:t>Sc</w:t>
      </w:r>
      <w:r w:rsidR="00C97F21" w:rsidRPr="009A5E24">
        <w:t>hedule </w:t>
      </w:r>
      <w:r w:rsidR="000629D6" w:rsidRPr="009A5E24">
        <w:t>1</w:t>
      </w:r>
      <w:r w:rsidR="00C97F21" w:rsidRPr="009A5E24">
        <w:t>, the donor must be subject</w:t>
      </w:r>
      <w:r w:rsidR="00C83FE1" w:rsidRPr="009A5E24">
        <w:t>ed</w:t>
      </w:r>
      <w:r w:rsidR="00C97F21" w:rsidRPr="009A5E24">
        <w:t xml:space="preserve"> to the period of ineligibility specified in column 3 of that item in relation to the collection of HCT materials </w:t>
      </w:r>
      <w:r w:rsidR="00BC7B5D" w:rsidRPr="009A5E24">
        <w:t xml:space="preserve">from the donor </w:t>
      </w:r>
      <w:r w:rsidR="00C97F21" w:rsidRPr="009A5E24">
        <w:t>for use in the manufacture of HCT products.</w:t>
      </w:r>
    </w:p>
    <w:p w14:paraId="6258A745" w14:textId="77777777" w:rsidR="00EB439A" w:rsidRPr="009A5E24" w:rsidRDefault="00B6321F" w:rsidP="000F7C7F">
      <w:pPr>
        <w:pStyle w:val="SubsectionHead"/>
        <w:ind w:left="750"/>
      </w:pPr>
      <w:r w:rsidRPr="009A5E24">
        <w:t>S</w:t>
      </w:r>
      <w:r w:rsidR="00EB439A" w:rsidRPr="009A5E24">
        <w:t>creening in relation to donors less than 18 months old</w:t>
      </w:r>
    </w:p>
    <w:p w14:paraId="7E15DF20" w14:textId="77777777" w:rsidR="006F5443" w:rsidRPr="009A5E24" w:rsidRDefault="006F5443" w:rsidP="006F5443">
      <w:pPr>
        <w:pStyle w:val="subsection"/>
      </w:pPr>
      <w:r w:rsidRPr="009A5E24">
        <w:tab/>
        <w:t>(9)</w:t>
      </w:r>
      <w:r w:rsidRPr="009A5E24">
        <w:tab/>
        <w:t xml:space="preserve">If the donor is less than 18 months old, a medical and social history in relation to the donor’s birth mother, covering the ineligibility criteria for donor selection specified in column 2 of items </w:t>
      </w:r>
      <w:r w:rsidR="006A4789" w:rsidRPr="009A5E24">
        <w:t xml:space="preserve">1 to 7, 11 to 13, 17 and </w:t>
      </w:r>
      <w:r w:rsidR="009E6A30" w:rsidRPr="009A5E24">
        <w:t>20</w:t>
      </w:r>
      <w:r w:rsidR="006A4789" w:rsidRPr="009A5E24">
        <w:t xml:space="preserve"> </w:t>
      </w:r>
      <w:r w:rsidRPr="009A5E24">
        <w:t>of the table in Schedule 1 must be obtained.</w:t>
      </w:r>
    </w:p>
    <w:p w14:paraId="281DBF65" w14:textId="32EC185E" w:rsidR="006F5443" w:rsidRPr="009A5E24" w:rsidRDefault="000F7C7F" w:rsidP="000F7C7F">
      <w:pPr>
        <w:pStyle w:val="subsection"/>
      </w:pPr>
      <w:r w:rsidRPr="009A5E24">
        <w:tab/>
        <w:t>(10)</w:t>
      </w:r>
      <w:r w:rsidRPr="009A5E24">
        <w:tab/>
        <w:t xml:space="preserve">Where the donor’s birth mother meets the medical and social history criteria specified in column 2 of item </w:t>
      </w:r>
      <w:r w:rsidR="006A4789" w:rsidRPr="009A5E24">
        <w:t xml:space="preserve">1 to 7, 11 to 13, 17 or </w:t>
      </w:r>
      <w:r w:rsidR="009E6A30" w:rsidRPr="009A5E24">
        <w:t>20</w:t>
      </w:r>
      <w:r w:rsidRPr="009A5E24">
        <w:t xml:space="preserve"> of the table in Schedule 1, then the donor must be subjected to the period of ineligibility specified i</w:t>
      </w:r>
      <w:r w:rsidR="00611576" w:rsidRPr="009A5E24">
        <w:t>n column 3 of that item</w:t>
      </w:r>
      <w:r w:rsidRPr="009A5E24">
        <w:t>, in relation to the collection of HCT materials from the donor.</w:t>
      </w:r>
    </w:p>
    <w:p w14:paraId="18444768" w14:textId="77777777" w:rsidR="00EB439A" w:rsidRPr="009A5E24" w:rsidRDefault="00B6321F" w:rsidP="00EB439A">
      <w:pPr>
        <w:pStyle w:val="SubsectionHead"/>
        <w:ind w:left="750"/>
      </w:pPr>
      <w:r w:rsidRPr="009A5E24">
        <w:t>S</w:t>
      </w:r>
      <w:r w:rsidR="00EB439A" w:rsidRPr="009A5E24">
        <w:t>creening in relation to donors who have consumed breast milk</w:t>
      </w:r>
    </w:p>
    <w:p w14:paraId="0E741FB9" w14:textId="77777777" w:rsidR="000F7C7F" w:rsidRPr="009A5E24" w:rsidRDefault="000F7C7F" w:rsidP="000F7C7F">
      <w:pPr>
        <w:pStyle w:val="subsection"/>
      </w:pPr>
      <w:r w:rsidRPr="009A5E24">
        <w:tab/>
        <w:t>(11)</w:t>
      </w:r>
      <w:r w:rsidRPr="009A5E24">
        <w:tab/>
        <w:t xml:space="preserve">If </w:t>
      </w:r>
      <w:r w:rsidR="00EB439A" w:rsidRPr="009A5E24">
        <w:t xml:space="preserve">the donor has consumed breast milk from a person (the </w:t>
      </w:r>
      <w:r w:rsidR="00EB439A" w:rsidRPr="009A5E24">
        <w:rPr>
          <w:b/>
          <w:i/>
        </w:rPr>
        <w:t>relevant person</w:t>
      </w:r>
      <w:r w:rsidR="00EB439A" w:rsidRPr="009A5E24">
        <w:t>)</w:t>
      </w:r>
      <w:r w:rsidRPr="009A5E24">
        <w:t xml:space="preserve"> within the previous six months, a medical and social history in relation to the relevant person, covering the ineligibility criteria for donor selection specified in column 2 of the items</w:t>
      </w:r>
      <w:r w:rsidR="006A4789" w:rsidRPr="009A5E24">
        <w:t xml:space="preserve"> 1 to 7, 11 to 13, 17 and </w:t>
      </w:r>
      <w:r w:rsidR="009E6A30" w:rsidRPr="009A5E24">
        <w:t>20</w:t>
      </w:r>
      <w:r w:rsidRPr="009A5E24">
        <w:t xml:space="preserve"> of the table in Schedule 1 must be obtained.</w:t>
      </w:r>
    </w:p>
    <w:p w14:paraId="17F1C5DD" w14:textId="4894539C" w:rsidR="00EB439A" w:rsidRPr="009A5E24" w:rsidRDefault="000F7C7F" w:rsidP="000F7C7F">
      <w:pPr>
        <w:pStyle w:val="subsection"/>
      </w:pPr>
      <w:r w:rsidRPr="009A5E24">
        <w:tab/>
        <w:t>(12)</w:t>
      </w:r>
      <w:r w:rsidRPr="009A5E24">
        <w:tab/>
        <w:t xml:space="preserve">Where the relevant person </w:t>
      </w:r>
      <w:r w:rsidR="00EB439A" w:rsidRPr="009A5E24">
        <w:t xml:space="preserve">meets the medical and social history criteria specified in column 2 of item </w:t>
      </w:r>
      <w:r w:rsidR="006A4789" w:rsidRPr="009A5E24">
        <w:t xml:space="preserve">1 to 7, 11 to 13, 17 or </w:t>
      </w:r>
      <w:r w:rsidR="009E6A30" w:rsidRPr="009A5E24">
        <w:t>20</w:t>
      </w:r>
      <w:r w:rsidR="006A4789" w:rsidRPr="009A5E24">
        <w:t xml:space="preserve"> </w:t>
      </w:r>
      <w:r w:rsidR="00EB439A" w:rsidRPr="009A5E24">
        <w:t>of the table in Schedule </w:t>
      </w:r>
      <w:r w:rsidRPr="009A5E24">
        <w:t xml:space="preserve">1, then </w:t>
      </w:r>
      <w:r w:rsidR="00EB439A" w:rsidRPr="009A5E24">
        <w:t>the donor must be subject</w:t>
      </w:r>
      <w:r w:rsidR="00C83FE1" w:rsidRPr="009A5E24">
        <w:t>ed</w:t>
      </w:r>
      <w:r w:rsidR="00EB439A" w:rsidRPr="009A5E24">
        <w:t xml:space="preserve"> to the period of ineligibility specified i</w:t>
      </w:r>
      <w:r w:rsidR="00611576" w:rsidRPr="009A5E24">
        <w:t>n column 3 of that item</w:t>
      </w:r>
      <w:r w:rsidR="00EB439A" w:rsidRPr="009A5E24">
        <w:t>, in relation to the collection of HCT materials from the donor</w:t>
      </w:r>
      <w:r w:rsidR="00A77E34" w:rsidRPr="009A5E24">
        <w:t>.</w:t>
      </w:r>
    </w:p>
    <w:p w14:paraId="314077F8" w14:textId="77777777" w:rsidR="006F5443" w:rsidRPr="009A5E24" w:rsidRDefault="006F5443" w:rsidP="006F5443">
      <w:pPr>
        <w:pStyle w:val="SubsectionHead"/>
        <w:ind w:left="750"/>
      </w:pPr>
      <w:r w:rsidRPr="009A5E24">
        <w:t>HCT products that are</w:t>
      </w:r>
      <w:r w:rsidR="006C463F" w:rsidRPr="009A5E24">
        <w:t xml:space="preserve"> manufactured</w:t>
      </w:r>
      <w:r w:rsidRPr="009A5E24">
        <w:t xml:space="preserve"> for directed allogeneic use</w:t>
      </w:r>
    </w:p>
    <w:p w14:paraId="11471FEA" w14:textId="5601EDFB" w:rsidR="00121D82" w:rsidRPr="009A5E24" w:rsidRDefault="000F7C7F" w:rsidP="000F7C7F">
      <w:pPr>
        <w:pStyle w:val="subsection"/>
      </w:pPr>
      <w:r w:rsidRPr="009A5E24">
        <w:tab/>
        <w:t>(13</w:t>
      </w:r>
      <w:r w:rsidR="006F5443" w:rsidRPr="009A5E24">
        <w:t>)</w:t>
      </w:r>
      <w:r w:rsidR="006F5443" w:rsidRPr="009A5E24">
        <w:tab/>
        <w:t>S</w:t>
      </w:r>
      <w:r w:rsidRPr="009A5E24">
        <w:t xml:space="preserve">ubsections (8), </w:t>
      </w:r>
      <w:r w:rsidR="006F5443" w:rsidRPr="009A5E24">
        <w:t xml:space="preserve">(10) </w:t>
      </w:r>
      <w:r w:rsidRPr="009A5E24">
        <w:t xml:space="preserve">and (12) </w:t>
      </w:r>
      <w:r w:rsidR="006F5443" w:rsidRPr="009A5E24">
        <w:t xml:space="preserve">do not apply </w:t>
      </w:r>
      <w:r w:rsidR="0063360B" w:rsidRPr="009A5E24">
        <w:t xml:space="preserve">in relation </w:t>
      </w:r>
      <w:r w:rsidR="006F5443" w:rsidRPr="009A5E24">
        <w:t xml:space="preserve">to HCT products that are </w:t>
      </w:r>
      <w:r w:rsidR="006C463F" w:rsidRPr="009A5E24">
        <w:t xml:space="preserve">manufactured </w:t>
      </w:r>
      <w:r w:rsidR="004E7020" w:rsidRPr="009A5E24">
        <w:t xml:space="preserve">for directed allogeneic use where the medical or dental practitioner who is responsible for the administration </w:t>
      </w:r>
      <w:r w:rsidR="007375B0" w:rsidRPr="009A5E24">
        <w:t>to</w:t>
      </w:r>
      <w:r w:rsidR="004E7020" w:rsidRPr="009A5E24">
        <w:t xml:space="preserve">, or application in the treatment of, the designated </w:t>
      </w:r>
      <w:r w:rsidR="00B62D73" w:rsidRPr="009A5E24">
        <w:t>patient</w:t>
      </w:r>
      <w:r w:rsidR="004E7020" w:rsidRPr="009A5E24">
        <w:t xml:space="preserve"> is </w:t>
      </w:r>
      <w:r w:rsidR="006D6ED2" w:rsidRPr="009A5E24">
        <w:t>provided the complete medical and social history of the donor of the HCT materials, including (where applicable) the medical and social history of the donor’s birth mother or the relevant person</w:t>
      </w:r>
      <w:r w:rsidR="004E7020" w:rsidRPr="009A5E24">
        <w:t>.</w:t>
      </w:r>
    </w:p>
    <w:p w14:paraId="70A01E09" w14:textId="77777777" w:rsidR="00840839" w:rsidRPr="009A5E24" w:rsidRDefault="00DE41B2" w:rsidP="00211CBB">
      <w:pPr>
        <w:pStyle w:val="ActHead5"/>
      </w:pPr>
      <w:bookmarkStart w:id="17" w:name="_Toc70077683"/>
      <w:r w:rsidRPr="009A5E24">
        <w:t>10</w:t>
      </w:r>
      <w:r w:rsidR="00211CBB" w:rsidRPr="009A5E24">
        <w:t xml:space="preserve">  Blood sample</w:t>
      </w:r>
      <w:r w:rsidR="00C34FD5" w:rsidRPr="009A5E24">
        <w:t>s</w:t>
      </w:r>
      <w:r w:rsidR="007E4875" w:rsidRPr="009A5E24">
        <w:t>—taking</w:t>
      </w:r>
      <w:r w:rsidR="00A80303" w:rsidRPr="009A5E24">
        <w:t xml:space="preserve"> and testing</w:t>
      </w:r>
      <w:bookmarkEnd w:id="17"/>
    </w:p>
    <w:p w14:paraId="49AD2ACB" w14:textId="77777777" w:rsidR="007F41B9" w:rsidRPr="009A5E24" w:rsidRDefault="00211CBB" w:rsidP="00854F98">
      <w:pPr>
        <w:pStyle w:val="subsection"/>
        <w:rPr>
          <w:szCs w:val="22"/>
        </w:rPr>
      </w:pPr>
      <w:r w:rsidRPr="009A5E24">
        <w:rPr>
          <w:szCs w:val="22"/>
        </w:rPr>
        <w:tab/>
        <w:t>(1)</w:t>
      </w:r>
      <w:r w:rsidRPr="009A5E24">
        <w:rPr>
          <w:szCs w:val="22"/>
        </w:rPr>
        <w:tab/>
      </w:r>
      <w:r w:rsidR="00F032A4" w:rsidRPr="009A5E24">
        <w:rPr>
          <w:szCs w:val="22"/>
        </w:rPr>
        <w:t xml:space="preserve">Blood samples </w:t>
      </w:r>
      <w:r w:rsidR="00854F98" w:rsidRPr="009A5E24">
        <w:rPr>
          <w:szCs w:val="22"/>
        </w:rPr>
        <w:t>must</w:t>
      </w:r>
      <w:r w:rsidR="007F41B9" w:rsidRPr="009A5E24">
        <w:rPr>
          <w:szCs w:val="22"/>
        </w:rPr>
        <w:t xml:space="preserve"> be:</w:t>
      </w:r>
    </w:p>
    <w:p w14:paraId="134F7A67" w14:textId="77777777" w:rsidR="007F41B9" w:rsidRPr="009A5E24" w:rsidRDefault="007F41B9" w:rsidP="007F41B9">
      <w:pPr>
        <w:pStyle w:val="paragraph"/>
        <w:rPr>
          <w:szCs w:val="22"/>
        </w:rPr>
      </w:pPr>
      <w:r w:rsidRPr="009A5E24">
        <w:rPr>
          <w:szCs w:val="22"/>
        </w:rPr>
        <w:tab/>
        <w:t>(a)</w:t>
      </w:r>
      <w:r w:rsidRPr="009A5E24">
        <w:rPr>
          <w:szCs w:val="22"/>
        </w:rPr>
        <w:tab/>
      </w:r>
      <w:r w:rsidR="00854F98" w:rsidRPr="009A5E24">
        <w:rPr>
          <w:szCs w:val="22"/>
        </w:rPr>
        <w:t>taken from a donor of H</w:t>
      </w:r>
      <w:r w:rsidRPr="009A5E24">
        <w:rPr>
          <w:szCs w:val="22"/>
        </w:rPr>
        <w:t>CT materials; and</w:t>
      </w:r>
    </w:p>
    <w:p w14:paraId="6B176DEC" w14:textId="77777777" w:rsidR="007F41B9" w:rsidRPr="009A5E24" w:rsidRDefault="007F41B9" w:rsidP="007F41B9">
      <w:pPr>
        <w:pStyle w:val="paragraph"/>
        <w:rPr>
          <w:szCs w:val="22"/>
        </w:rPr>
      </w:pPr>
      <w:r w:rsidRPr="009A5E24">
        <w:rPr>
          <w:szCs w:val="22"/>
        </w:rPr>
        <w:tab/>
        <w:t>(b)</w:t>
      </w:r>
      <w:r w:rsidRPr="009A5E24">
        <w:rPr>
          <w:szCs w:val="22"/>
        </w:rPr>
        <w:tab/>
        <w:t>tested</w:t>
      </w:r>
      <w:r w:rsidR="009A37D1" w:rsidRPr="009A5E24">
        <w:rPr>
          <w:szCs w:val="22"/>
        </w:rPr>
        <w:t xml:space="preserve"> for the purpose</w:t>
      </w:r>
      <w:r w:rsidRPr="009A5E24">
        <w:rPr>
          <w:szCs w:val="22"/>
        </w:rPr>
        <w:t xml:space="preserve"> of </w:t>
      </w:r>
      <w:r w:rsidR="009A37D1" w:rsidRPr="009A5E24">
        <w:rPr>
          <w:szCs w:val="22"/>
        </w:rPr>
        <w:t>donor screening</w:t>
      </w:r>
      <w:r w:rsidRPr="009A5E24">
        <w:rPr>
          <w:szCs w:val="22"/>
        </w:rPr>
        <w:t>.</w:t>
      </w:r>
    </w:p>
    <w:p w14:paraId="7CE0F2E3" w14:textId="77777777" w:rsidR="00854F98" w:rsidRPr="009A5E24" w:rsidRDefault="007F41B9" w:rsidP="007F41B9">
      <w:pPr>
        <w:pStyle w:val="subsection"/>
        <w:rPr>
          <w:szCs w:val="22"/>
        </w:rPr>
      </w:pPr>
      <w:r w:rsidRPr="009A5E24">
        <w:rPr>
          <w:szCs w:val="22"/>
        </w:rPr>
        <w:tab/>
        <w:t>(2)</w:t>
      </w:r>
      <w:r w:rsidRPr="009A5E24">
        <w:rPr>
          <w:szCs w:val="22"/>
        </w:rPr>
        <w:tab/>
        <w:t>Blood samples must be taken using aseptic procedures.</w:t>
      </w:r>
    </w:p>
    <w:p w14:paraId="5CD2EDEB" w14:textId="77777777" w:rsidR="00E57393" w:rsidRPr="009A5E24" w:rsidRDefault="007F41B9" w:rsidP="00E57393">
      <w:pPr>
        <w:pStyle w:val="SubsectionHead"/>
        <w:ind w:left="750"/>
      </w:pPr>
      <w:r w:rsidRPr="009A5E24">
        <w:t>B</w:t>
      </w:r>
      <w:r w:rsidR="00EA0587" w:rsidRPr="009A5E24">
        <w:t>lood samples—</w:t>
      </w:r>
      <w:r w:rsidR="00E57393" w:rsidRPr="009A5E24">
        <w:t>living donors</w:t>
      </w:r>
      <w:r w:rsidRPr="009A5E24">
        <w:t xml:space="preserve"> of HCT materials</w:t>
      </w:r>
      <w:r w:rsidR="00780A67" w:rsidRPr="009A5E24">
        <w:t xml:space="preserve"> other than materials used exclusively for plasma fractionation</w:t>
      </w:r>
    </w:p>
    <w:p w14:paraId="22FE292A" w14:textId="77777777" w:rsidR="00C34FD5" w:rsidRPr="009A5E24" w:rsidRDefault="007F41B9" w:rsidP="00A314A6">
      <w:pPr>
        <w:pStyle w:val="subsection"/>
        <w:rPr>
          <w:szCs w:val="22"/>
        </w:rPr>
      </w:pPr>
      <w:r w:rsidRPr="009A5E24">
        <w:rPr>
          <w:szCs w:val="22"/>
        </w:rPr>
        <w:tab/>
        <w:t>(3</w:t>
      </w:r>
      <w:r w:rsidR="00C34FD5" w:rsidRPr="009A5E24">
        <w:rPr>
          <w:szCs w:val="22"/>
        </w:rPr>
        <w:t>)</w:t>
      </w:r>
      <w:r w:rsidR="00C34FD5" w:rsidRPr="009A5E24">
        <w:rPr>
          <w:szCs w:val="22"/>
        </w:rPr>
        <w:tab/>
        <w:t>Subject to subsection</w:t>
      </w:r>
      <w:r w:rsidR="00C14E42" w:rsidRPr="009A5E24">
        <w:rPr>
          <w:szCs w:val="22"/>
        </w:rPr>
        <w:t>s</w:t>
      </w:r>
      <w:r w:rsidR="009A37D1" w:rsidRPr="009A5E24">
        <w:rPr>
          <w:szCs w:val="22"/>
        </w:rPr>
        <w:t xml:space="preserve"> (4</w:t>
      </w:r>
      <w:r w:rsidR="00C34FD5" w:rsidRPr="009A5E24">
        <w:rPr>
          <w:szCs w:val="22"/>
        </w:rPr>
        <w:t>)</w:t>
      </w:r>
      <w:r w:rsidR="009A37D1" w:rsidRPr="009A5E24">
        <w:rPr>
          <w:szCs w:val="22"/>
        </w:rPr>
        <w:t xml:space="preserve"> and (5</w:t>
      </w:r>
      <w:r w:rsidR="00575095" w:rsidRPr="009A5E24">
        <w:rPr>
          <w:szCs w:val="22"/>
        </w:rPr>
        <w:t>)</w:t>
      </w:r>
      <w:r w:rsidR="00C34FD5" w:rsidRPr="009A5E24">
        <w:rPr>
          <w:szCs w:val="22"/>
        </w:rPr>
        <w:t xml:space="preserve">, blood samples </w:t>
      </w:r>
      <w:r w:rsidRPr="009A5E24">
        <w:rPr>
          <w:szCs w:val="22"/>
        </w:rPr>
        <w:t xml:space="preserve">of a living donor of HCT materials </w:t>
      </w:r>
      <w:r w:rsidR="00C34FD5" w:rsidRPr="009A5E24">
        <w:rPr>
          <w:szCs w:val="22"/>
        </w:rPr>
        <w:t>must:</w:t>
      </w:r>
    </w:p>
    <w:p w14:paraId="0B7DED1A" w14:textId="77777777" w:rsidR="00C34FD5" w:rsidRPr="009A5E24" w:rsidRDefault="00C34FD5" w:rsidP="00C34FD5">
      <w:pPr>
        <w:pStyle w:val="paragraph"/>
        <w:rPr>
          <w:szCs w:val="22"/>
        </w:rPr>
      </w:pPr>
      <w:r w:rsidRPr="009A5E24">
        <w:rPr>
          <w:szCs w:val="22"/>
        </w:rPr>
        <w:tab/>
        <w:t>(a)</w:t>
      </w:r>
      <w:r w:rsidRPr="009A5E24">
        <w:rPr>
          <w:szCs w:val="22"/>
        </w:rPr>
        <w:tab/>
      </w:r>
      <w:r w:rsidR="00323295" w:rsidRPr="009A5E24">
        <w:rPr>
          <w:szCs w:val="22"/>
        </w:rPr>
        <w:t xml:space="preserve">be </w:t>
      </w:r>
      <w:r w:rsidRPr="009A5E24">
        <w:rPr>
          <w:szCs w:val="22"/>
        </w:rPr>
        <w:t xml:space="preserve">taken </w:t>
      </w:r>
      <w:r w:rsidR="006A5A3B" w:rsidRPr="009A5E24">
        <w:rPr>
          <w:szCs w:val="22"/>
        </w:rPr>
        <w:t>within</w:t>
      </w:r>
      <w:r w:rsidRPr="009A5E24">
        <w:rPr>
          <w:szCs w:val="22"/>
        </w:rPr>
        <w:t xml:space="preserve"> 7 days before, or 7 days after, the collection of the HCT materials from the donor; and</w:t>
      </w:r>
    </w:p>
    <w:p w14:paraId="78FDC4CD" w14:textId="06FBE12F" w:rsidR="007C4869" w:rsidRPr="009A5E24" w:rsidRDefault="00C34FD5" w:rsidP="007C4869">
      <w:pPr>
        <w:pStyle w:val="paragraph"/>
        <w:rPr>
          <w:szCs w:val="22"/>
        </w:rPr>
      </w:pPr>
      <w:r w:rsidRPr="009A5E24">
        <w:rPr>
          <w:szCs w:val="22"/>
        </w:rPr>
        <w:tab/>
        <w:t>(b)</w:t>
      </w:r>
      <w:r w:rsidRPr="009A5E24">
        <w:rPr>
          <w:szCs w:val="22"/>
        </w:rPr>
        <w:tab/>
        <w:t xml:space="preserve">undergo both </w:t>
      </w:r>
      <w:r w:rsidR="00530C03" w:rsidRPr="009A5E24">
        <w:rPr>
          <w:szCs w:val="22"/>
        </w:rPr>
        <w:t xml:space="preserve">NAT and </w:t>
      </w:r>
      <w:r w:rsidRPr="009A5E24">
        <w:rPr>
          <w:szCs w:val="22"/>
        </w:rPr>
        <w:t xml:space="preserve">serology testing in accordance subsection </w:t>
      </w:r>
      <w:r w:rsidR="00A80303" w:rsidRPr="009A5E24">
        <w:rPr>
          <w:szCs w:val="22"/>
        </w:rPr>
        <w:t>(7)</w:t>
      </w:r>
      <w:r w:rsidRPr="009A5E24">
        <w:rPr>
          <w:szCs w:val="22"/>
        </w:rPr>
        <w:t>.</w:t>
      </w:r>
    </w:p>
    <w:p w14:paraId="3A73DBD1" w14:textId="77777777" w:rsidR="00C34FD5" w:rsidRPr="009A5E24" w:rsidRDefault="009A37D1" w:rsidP="00C34FD5">
      <w:pPr>
        <w:pStyle w:val="subsection"/>
        <w:rPr>
          <w:szCs w:val="22"/>
        </w:rPr>
      </w:pPr>
      <w:r w:rsidRPr="009A5E24">
        <w:rPr>
          <w:szCs w:val="22"/>
        </w:rPr>
        <w:tab/>
        <w:t>(4</w:t>
      </w:r>
      <w:r w:rsidR="00C34FD5" w:rsidRPr="009A5E24">
        <w:rPr>
          <w:szCs w:val="22"/>
        </w:rPr>
        <w:t>)</w:t>
      </w:r>
      <w:r w:rsidR="00C34FD5" w:rsidRPr="009A5E24">
        <w:rPr>
          <w:szCs w:val="22"/>
        </w:rPr>
        <w:tab/>
        <w:t xml:space="preserve">Where </w:t>
      </w:r>
      <w:r w:rsidR="00780A67" w:rsidRPr="009A5E24">
        <w:rPr>
          <w:szCs w:val="22"/>
        </w:rPr>
        <w:t>a</w:t>
      </w:r>
      <w:r w:rsidR="0063360B" w:rsidRPr="009A5E24">
        <w:rPr>
          <w:szCs w:val="22"/>
        </w:rPr>
        <w:t>n</w:t>
      </w:r>
      <w:r w:rsidR="00780A67" w:rsidRPr="009A5E24">
        <w:rPr>
          <w:szCs w:val="22"/>
        </w:rPr>
        <w:t xml:space="preserve"> </w:t>
      </w:r>
      <w:r w:rsidR="00C34FD5" w:rsidRPr="009A5E24">
        <w:rPr>
          <w:szCs w:val="22"/>
        </w:rPr>
        <w:t xml:space="preserve">HCT product </w:t>
      </w:r>
      <w:r w:rsidR="00780A67" w:rsidRPr="009A5E24">
        <w:rPr>
          <w:szCs w:val="22"/>
        </w:rPr>
        <w:t xml:space="preserve">is </w:t>
      </w:r>
      <w:r w:rsidR="00C34FD5" w:rsidRPr="009A5E24">
        <w:rPr>
          <w:szCs w:val="22"/>
        </w:rPr>
        <w:t>able to be stored for more than 180 days without compromising the quality, safety or efficacy of the product, blood samples</w:t>
      </w:r>
      <w:r w:rsidR="007F41B9" w:rsidRPr="009A5E24">
        <w:rPr>
          <w:szCs w:val="22"/>
        </w:rPr>
        <w:t xml:space="preserve"> of </w:t>
      </w:r>
      <w:r w:rsidRPr="009A5E24">
        <w:rPr>
          <w:szCs w:val="22"/>
        </w:rPr>
        <w:t xml:space="preserve">a living donor of the HCT materials </w:t>
      </w:r>
      <w:r w:rsidR="00780A67" w:rsidRPr="009A5E24">
        <w:rPr>
          <w:szCs w:val="22"/>
        </w:rPr>
        <w:t xml:space="preserve">used in the manufacture of the product </w:t>
      </w:r>
      <w:r w:rsidR="00C34FD5" w:rsidRPr="009A5E24">
        <w:rPr>
          <w:szCs w:val="22"/>
        </w:rPr>
        <w:t>may instead:</w:t>
      </w:r>
    </w:p>
    <w:p w14:paraId="09C4B7C5" w14:textId="77777777" w:rsidR="00C34FD5" w:rsidRPr="009A5E24" w:rsidRDefault="00C34FD5" w:rsidP="00C34FD5">
      <w:pPr>
        <w:pStyle w:val="paragraph"/>
        <w:rPr>
          <w:szCs w:val="22"/>
        </w:rPr>
      </w:pPr>
      <w:r w:rsidRPr="009A5E24">
        <w:rPr>
          <w:szCs w:val="22"/>
        </w:rPr>
        <w:tab/>
        <w:t>(a)</w:t>
      </w:r>
      <w:r w:rsidRPr="009A5E24">
        <w:rPr>
          <w:szCs w:val="22"/>
        </w:rPr>
        <w:tab/>
        <w:t>be taken:</w:t>
      </w:r>
    </w:p>
    <w:p w14:paraId="5ACAC80C" w14:textId="77777777" w:rsidR="00C34FD5" w:rsidRPr="009A5E24" w:rsidRDefault="00C34FD5" w:rsidP="00C34FD5">
      <w:pPr>
        <w:pStyle w:val="paragraphsub"/>
        <w:rPr>
          <w:szCs w:val="22"/>
        </w:rPr>
      </w:pPr>
      <w:r w:rsidRPr="009A5E24">
        <w:rPr>
          <w:szCs w:val="22"/>
        </w:rPr>
        <w:tab/>
        <w:t>(i)</w:t>
      </w:r>
      <w:r w:rsidRPr="009A5E24">
        <w:rPr>
          <w:szCs w:val="22"/>
        </w:rPr>
        <w:tab/>
      </w:r>
      <w:r w:rsidR="006A5A3B" w:rsidRPr="009A5E24">
        <w:rPr>
          <w:szCs w:val="22"/>
        </w:rPr>
        <w:t>within</w:t>
      </w:r>
      <w:r w:rsidRPr="009A5E24">
        <w:rPr>
          <w:szCs w:val="22"/>
        </w:rPr>
        <w:t xml:space="preserve"> 7 days before, or 7 days after, the collection of the HCT materials from the donor; and</w:t>
      </w:r>
    </w:p>
    <w:p w14:paraId="30695924" w14:textId="77777777" w:rsidR="00C34FD5" w:rsidRPr="009A5E24" w:rsidRDefault="00C34FD5" w:rsidP="00C34FD5">
      <w:pPr>
        <w:pStyle w:val="paragraphsub"/>
        <w:rPr>
          <w:szCs w:val="22"/>
        </w:rPr>
      </w:pPr>
      <w:r w:rsidRPr="009A5E24">
        <w:rPr>
          <w:szCs w:val="22"/>
        </w:rPr>
        <w:tab/>
        <w:t>(ii)</w:t>
      </w:r>
      <w:r w:rsidRPr="009A5E24">
        <w:rPr>
          <w:szCs w:val="22"/>
        </w:rPr>
        <w:tab/>
        <w:t>at least 180 days after the collection of the HCT materials from the donor; and</w:t>
      </w:r>
    </w:p>
    <w:p w14:paraId="548D7951" w14:textId="77777777" w:rsidR="00A314A6" w:rsidRPr="009A5E24" w:rsidRDefault="00C34FD5" w:rsidP="006A5A3B">
      <w:pPr>
        <w:pStyle w:val="paragraph"/>
        <w:rPr>
          <w:szCs w:val="22"/>
        </w:rPr>
      </w:pPr>
      <w:r w:rsidRPr="009A5E24">
        <w:rPr>
          <w:szCs w:val="22"/>
        </w:rPr>
        <w:tab/>
        <w:t>(b)</w:t>
      </w:r>
      <w:r w:rsidRPr="009A5E24">
        <w:rPr>
          <w:szCs w:val="22"/>
        </w:rPr>
        <w:tab/>
        <w:t>undergo serology testing in accordance with subsection</w:t>
      </w:r>
      <w:r w:rsidR="00323295" w:rsidRPr="009A5E24">
        <w:rPr>
          <w:szCs w:val="22"/>
        </w:rPr>
        <w:t>s</w:t>
      </w:r>
      <w:r w:rsidRPr="009A5E24">
        <w:rPr>
          <w:szCs w:val="22"/>
        </w:rPr>
        <w:t xml:space="preserve"> </w:t>
      </w:r>
      <w:r w:rsidR="00A80303" w:rsidRPr="009A5E24">
        <w:rPr>
          <w:szCs w:val="22"/>
        </w:rPr>
        <w:t>(8) and (9)</w:t>
      </w:r>
      <w:r w:rsidRPr="009A5E24">
        <w:rPr>
          <w:szCs w:val="22"/>
        </w:rPr>
        <w:t>.</w:t>
      </w:r>
    </w:p>
    <w:p w14:paraId="5273FDF4" w14:textId="77777777" w:rsidR="00CE5508" w:rsidRPr="009A5E24" w:rsidRDefault="007F41B9" w:rsidP="00CE5508">
      <w:pPr>
        <w:pStyle w:val="SubsectionHead"/>
        <w:ind w:left="750"/>
      </w:pPr>
      <w:r w:rsidRPr="009A5E24">
        <w:t>Blood samples</w:t>
      </w:r>
      <w:r w:rsidR="00EA0587" w:rsidRPr="009A5E24">
        <w:t>—</w:t>
      </w:r>
      <w:r w:rsidR="00CE5508" w:rsidRPr="009A5E24">
        <w:t>living donors</w:t>
      </w:r>
      <w:r w:rsidRPr="009A5E24">
        <w:t xml:space="preserve"> of </w:t>
      </w:r>
      <w:r w:rsidR="00575095" w:rsidRPr="009A5E24">
        <w:t>HCT materials used exclusively for plasma fractionation</w:t>
      </w:r>
    </w:p>
    <w:p w14:paraId="46E25833" w14:textId="77777777" w:rsidR="00CE5508" w:rsidRPr="009A5E24" w:rsidRDefault="00C14E42" w:rsidP="00CE5508">
      <w:pPr>
        <w:pStyle w:val="subsection"/>
      </w:pPr>
      <w:r w:rsidRPr="009A5E24">
        <w:tab/>
      </w:r>
      <w:r w:rsidR="009A37D1" w:rsidRPr="009A5E24">
        <w:t>(5</w:t>
      </w:r>
      <w:r w:rsidRPr="009A5E24">
        <w:t>)</w:t>
      </w:r>
      <w:r w:rsidRPr="009A5E24">
        <w:tab/>
        <w:t xml:space="preserve">Blood samples </w:t>
      </w:r>
      <w:r w:rsidR="009A37D1" w:rsidRPr="009A5E24">
        <w:t xml:space="preserve">of a living donor of HCT materials that are used exclusively for plasma fractionation </w:t>
      </w:r>
      <w:r w:rsidRPr="009A5E24">
        <w:t>must</w:t>
      </w:r>
      <w:r w:rsidR="00575095" w:rsidRPr="009A5E24">
        <w:t>:</w:t>
      </w:r>
    </w:p>
    <w:p w14:paraId="745E7F34" w14:textId="77777777" w:rsidR="00575095" w:rsidRPr="009A5E24" w:rsidRDefault="00575095" w:rsidP="00575095">
      <w:pPr>
        <w:pStyle w:val="paragraph"/>
        <w:rPr>
          <w:szCs w:val="22"/>
        </w:rPr>
      </w:pPr>
      <w:r w:rsidRPr="009A5E24">
        <w:rPr>
          <w:szCs w:val="22"/>
        </w:rPr>
        <w:tab/>
        <w:t>(a)</w:t>
      </w:r>
      <w:r w:rsidRPr="009A5E24">
        <w:rPr>
          <w:szCs w:val="22"/>
        </w:rPr>
        <w:tab/>
        <w:t>be taken within 7 days before, or 7 days after, the collection of the HCT materials from the donor; and</w:t>
      </w:r>
    </w:p>
    <w:p w14:paraId="6842F68F" w14:textId="58249066" w:rsidR="00575095" w:rsidRPr="009A5E24" w:rsidRDefault="00575095" w:rsidP="00575095">
      <w:pPr>
        <w:pStyle w:val="paragraph"/>
        <w:rPr>
          <w:szCs w:val="22"/>
        </w:rPr>
      </w:pPr>
      <w:r w:rsidRPr="009A5E24">
        <w:rPr>
          <w:szCs w:val="22"/>
        </w:rPr>
        <w:tab/>
        <w:t>(b)</w:t>
      </w:r>
      <w:r w:rsidRPr="009A5E24">
        <w:rPr>
          <w:szCs w:val="22"/>
        </w:rPr>
        <w:tab/>
        <w:t xml:space="preserve">undergo both </w:t>
      </w:r>
      <w:r w:rsidR="00530C03" w:rsidRPr="009A5E24">
        <w:rPr>
          <w:szCs w:val="22"/>
        </w:rPr>
        <w:t xml:space="preserve">NAT and </w:t>
      </w:r>
      <w:r w:rsidRPr="009A5E24">
        <w:rPr>
          <w:szCs w:val="22"/>
        </w:rPr>
        <w:t xml:space="preserve">serology testing in accordance subsection </w:t>
      </w:r>
      <w:r w:rsidR="00A80303" w:rsidRPr="009A5E24">
        <w:rPr>
          <w:szCs w:val="22"/>
        </w:rPr>
        <w:t>(10)</w:t>
      </w:r>
      <w:r w:rsidRPr="009A5E24">
        <w:rPr>
          <w:szCs w:val="22"/>
        </w:rPr>
        <w:t>.</w:t>
      </w:r>
    </w:p>
    <w:p w14:paraId="6BF9B1C6" w14:textId="77777777" w:rsidR="003D7B1E" w:rsidRPr="009A5E24" w:rsidRDefault="007F41B9" w:rsidP="003D7B1E">
      <w:pPr>
        <w:pStyle w:val="SubsectionHead"/>
        <w:ind w:left="750"/>
      </w:pPr>
      <w:r w:rsidRPr="009A5E24">
        <w:t>B</w:t>
      </w:r>
      <w:r w:rsidR="00EA0587" w:rsidRPr="009A5E24">
        <w:t>lood samples—</w:t>
      </w:r>
      <w:r w:rsidR="003D7B1E" w:rsidRPr="009A5E24">
        <w:t>deceased donors</w:t>
      </w:r>
      <w:r w:rsidRPr="009A5E24">
        <w:t xml:space="preserve"> of HCT materials</w:t>
      </w:r>
    </w:p>
    <w:p w14:paraId="6525F35C" w14:textId="77777777" w:rsidR="006A5A3B" w:rsidRPr="009A5E24" w:rsidRDefault="009A37D1" w:rsidP="00211CBB">
      <w:pPr>
        <w:pStyle w:val="subsection"/>
        <w:rPr>
          <w:szCs w:val="22"/>
        </w:rPr>
      </w:pPr>
      <w:r w:rsidRPr="009A5E24">
        <w:rPr>
          <w:szCs w:val="22"/>
        </w:rPr>
        <w:tab/>
        <w:t>(6</w:t>
      </w:r>
      <w:r w:rsidR="003D7B1E" w:rsidRPr="009A5E24">
        <w:rPr>
          <w:szCs w:val="22"/>
        </w:rPr>
        <w:t>)</w:t>
      </w:r>
      <w:r w:rsidR="003D7B1E" w:rsidRPr="009A5E24">
        <w:rPr>
          <w:szCs w:val="22"/>
        </w:rPr>
        <w:tab/>
        <w:t xml:space="preserve">Blood samples </w:t>
      </w:r>
      <w:r w:rsidRPr="009A5E24">
        <w:rPr>
          <w:szCs w:val="22"/>
        </w:rPr>
        <w:t xml:space="preserve">of a deceased donor of HCT materials </w:t>
      </w:r>
      <w:r w:rsidR="003D7B1E" w:rsidRPr="009A5E24">
        <w:rPr>
          <w:szCs w:val="22"/>
        </w:rPr>
        <w:t>must</w:t>
      </w:r>
      <w:r w:rsidR="006A5A3B" w:rsidRPr="009A5E24">
        <w:rPr>
          <w:szCs w:val="22"/>
        </w:rPr>
        <w:t>:</w:t>
      </w:r>
    </w:p>
    <w:p w14:paraId="7BF60921" w14:textId="77777777" w:rsidR="008E3B8C" w:rsidRPr="009A5E24" w:rsidRDefault="006A5A3B" w:rsidP="006A5A3B">
      <w:pPr>
        <w:pStyle w:val="paragraph"/>
        <w:rPr>
          <w:szCs w:val="22"/>
        </w:rPr>
      </w:pPr>
      <w:r w:rsidRPr="009A5E24">
        <w:rPr>
          <w:szCs w:val="22"/>
        </w:rPr>
        <w:tab/>
        <w:t>(a)</w:t>
      </w:r>
      <w:r w:rsidRPr="009A5E24">
        <w:rPr>
          <w:szCs w:val="22"/>
        </w:rPr>
        <w:tab/>
      </w:r>
      <w:r w:rsidR="00323295" w:rsidRPr="009A5E24">
        <w:rPr>
          <w:szCs w:val="22"/>
        </w:rPr>
        <w:t xml:space="preserve">be </w:t>
      </w:r>
      <w:r w:rsidR="003D7B1E" w:rsidRPr="009A5E24">
        <w:rPr>
          <w:szCs w:val="22"/>
        </w:rPr>
        <w:t>taken</w:t>
      </w:r>
      <w:r w:rsidR="008E3B8C" w:rsidRPr="009A5E24">
        <w:rPr>
          <w:szCs w:val="22"/>
        </w:rPr>
        <w:t>:</w:t>
      </w:r>
    </w:p>
    <w:p w14:paraId="28C928BB" w14:textId="765DEC12" w:rsidR="008E3B8C" w:rsidRPr="009A5E24" w:rsidRDefault="008E3B8C" w:rsidP="006A5A3B">
      <w:pPr>
        <w:pStyle w:val="paragraphsub"/>
        <w:rPr>
          <w:szCs w:val="22"/>
        </w:rPr>
      </w:pPr>
      <w:r w:rsidRPr="009A5E24">
        <w:rPr>
          <w:szCs w:val="22"/>
        </w:rPr>
        <w:tab/>
        <w:t>(</w:t>
      </w:r>
      <w:r w:rsidR="006A5A3B" w:rsidRPr="009A5E24">
        <w:rPr>
          <w:szCs w:val="22"/>
        </w:rPr>
        <w:t>i</w:t>
      </w:r>
      <w:r w:rsidRPr="009A5E24">
        <w:rPr>
          <w:szCs w:val="22"/>
        </w:rPr>
        <w:t>)</w:t>
      </w:r>
      <w:r w:rsidRPr="009A5E24">
        <w:rPr>
          <w:szCs w:val="22"/>
        </w:rPr>
        <w:tab/>
      </w:r>
      <w:r w:rsidR="00767B4E" w:rsidRPr="009A5E24">
        <w:rPr>
          <w:szCs w:val="22"/>
        </w:rPr>
        <w:t>in accordance with subsection 8(4)</w:t>
      </w:r>
      <w:r w:rsidRPr="009A5E24">
        <w:rPr>
          <w:szCs w:val="22"/>
        </w:rPr>
        <w:t>; or</w:t>
      </w:r>
    </w:p>
    <w:p w14:paraId="482C5D95" w14:textId="77777777" w:rsidR="008E3B8C" w:rsidRPr="009A5E24" w:rsidRDefault="008E3B8C" w:rsidP="006A5A3B">
      <w:pPr>
        <w:pStyle w:val="paragraphsub"/>
        <w:rPr>
          <w:szCs w:val="22"/>
        </w:rPr>
      </w:pPr>
      <w:r w:rsidRPr="009A5E24">
        <w:rPr>
          <w:szCs w:val="22"/>
        </w:rPr>
        <w:tab/>
        <w:t>(</w:t>
      </w:r>
      <w:r w:rsidR="006A5A3B" w:rsidRPr="009A5E24">
        <w:rPr>
          <w:szCs w:val="22"/>
        </w:rPr>
        <w:t>ii</w:t>
      </w:r>
      <w:r w:rsidRPr="009A5E24">
        <w:rPr>
          <w:szCs w:val="22"/>
        </w:rPr>
        <w:t>)</w:t>
      </w:r>
      <w:r w:rsidRPr="009A5E24">
        <w:rPr>
          <w:szCs w:val="22"/>
        </w:rPr>
        <w:tab/>
      </w:r>
      <w:r w:rsidR="006A5A3B" w:rsidRPr="009A5E24">
        <w:rPr>
          <w:szCs w:val="22"/>
        </w:rPr>
        <w:t>within</w:t>
      </w:r>
      <w:r w:rsidRPr="009A5E24">
        <w:rPr>
          <w:szCs w:val="22"/>
        </w:rPr>
        <w:t xml:space="preserve"> 7 days before the collection </w:t>
      </w:r>
      <w:r w:rsidR="006A5A3B" w:rsidRPr="009A5E24">
        <w:rPr>
          <w:szCs w:val="22"/>
        </w:rPr>
        <w:t>of the HCT materials; and</w:t>
      </w:r>
    </w:p>
    <w:p w14:paraId="690EFA30" w14:textId="634D97BF" w:rsidR="006A5A3B" w:rsidRPr="009A5E24" w:rsidRDefault="006A5A3B" w:rsidP="006A5A3B">
      <w:pPr>
        <w:pStyle w:val="paragraph"/>
        <w:rPr>
          <w:szCs w:val="22"/>
        </w:rPr>
      </w:pPr>
      <w:r w:rsidRPr="009A5E24">
        <w:rPr>
          <w:szCs w:val="22"/>
        </w:rPr>
        <w:tab/>
        <w:t>(b)</w:t>
      </w:r>
      <w:r w:rsidRPr="009A5E24">
        <w:rPr>
          <w:szCs w:val="22"/>
        </w:rPr>
        <w:tab/>
        <w:t xml:space="preserve">undergo </w:t>
      </w:r>
      <w:r w:rsidR="00530C03" w:rsidRPr="009A5E24">
        <w:rPr>
          <w:szCs w:val="22"/>
        </w:rPr>
        <w:t xml:space="preserve">NAT and </w:t>
      </w:r>
      <w:r w:rsidRPr="009A5E24">
        <w:rPr>
          <w:szCs w:val="22"/>
        </w:rPr>
        <w:t xml:space="preserve">serology testing in accordance with subsection </w:t>
      </w:r>
      <w:r w:rsidR="00314BEA" w:rsidRPr="009A5E24">
        <w:rPr>
          <w:szCs w:val="22"/>
        </w:rPr>
        <w:t>(7)</w:t>
      </w:r>
      <w:r w:rsidRPr="009A5E24">
        <w:rPr>
          <w:szCs w:val="22"/>
        </w:rPr>
        <w:t>.</w:t>
      </w:r>
    </w:p>
    <w:p w14:paraId="7EA0F433" w14:textId="77777777" w:rsidR="009A37D1" w:rsidRPr="009A5E24" w:rsidRDefault="009A37D1" w:rsidP="009A37D1">
      <w:pPr>
        <w:pStyle w:val="SubsectionHead"/>
        <w:ind w:left="750"/>
      </w:pPr>
      <w:r w:rsidRPr="009A5E24">
        <w:t>Testing—living and deceased donors of HCT materials</w:t>
      </w:r>
    </w:p>
    <w:p w14:paraId="7FC556E3" w14:textId="77777777" w:rsidR="006A5A3B" w:rsidRPr="009A5E24" w:rsidRDefault="00EA0587" w:rsidP="00AA3FBB">
      <w:pPr>
        <w:pStyle w:val="subsection"/>
        <w:rPr>
          <w:szCs w:val="22"/>
        </w:rPr>
      </w:pPr>
      <w:r w:rsidRPr="009A5E24">
        <w:rPr>
          <w:szCs w:val="22"/>
        </w:rPr>
        <w:tab/>
        <w:t>(7</w:t>
      </w:r>
      <w:r w:rsidR="00AA3FBB" w:rsidRPr="009A5E24">
        <w:rPr>
          <w:szCs w:val="22"/>
        </w:rPr>
        <w:t>)</w:t>
      </w:r>
      <w:r w:rsidR="00AA3FBB" w:rsidRPr="009A5E24">
        <w:rPr>
          <w:szCs w:val="22"/>
        </w:rPr>
        <w:tab/>
        <w:t>T</w:t>
      </w:r>
      <w:r w:rsidR="00323295" w:rsidRPr="009A5E24">
        <w:rPr>
          <w:szCs w:val="22"/>
        </w:rPr>
        <w:t>he following testing</w:t>
      </w:r>
      <w:r w:rsidR="00AA3FBB" w:rsidRPr="009A5E24">
        <w:rPr>
          <w:szCs w:val="22"/>
        </w:rPr>
        <w:t xml:space="preserve"> must be conducted in relation to blood samples taken i</w:t>
      </w:r>
      <w:r w:rsidR="009A37D1" w:rsidRPr="009A5E24">
        <w:rPr>
          <w:szCs w:val="22"/>
        </w:rPr>
        <w:t xml:space="preserve">n accordance with </w:t>
      </w:r>
      <w:r w:rsidRPr="009A5E24">
        <w:rPr>
          <w:szCs w:val="22"/>
        </w:rPr>
        <w:t>paragraphs</w:t>
      </w:r>
      <w:r w:rsidR="009A37D1" w:rsidRPr="009A5E24">
        <w:rPr>
          <w:szCs w:val="22"/>
        </w:rPr>
        <w:t xml:space="preserve"> (3)</w:t>
      </w:r>
      <w:r w:rsidRPr="009A5E24">
        <w:rPr>
          <w:szCs w:val="22"/>
        </w:rPr>
        <w:t>(a)</w:t>
      </w:r>
      <w:r w:rsidR="009A37D1" w:rsidRPr="009A5E24">
        <w:rPr>
          <w:szCs w:val="22"/>
        </w:rPr>
        <w:t xml:space="preserve"> </w:t>
      </w:r>
      <w:r w:rsidRPr="009A5E24">
        <w:rPr>
          <w:szCs w:val="22"/>
        </w:rPr>
        <w:t>or</w:t>
      </w:r>
      <w:r w:rsidR="009A37D1" w:rsidRPr="009A5E24">
        <w:rPr>
          <w:szCs w:val="22"/>
        </w:rPr>
        <w:t xml:space="preserve"> (6</w:t>
      </w:r>
      <w:r w:rsidR="00AA3FBB" w:rsidRPr="009A5E24">
        <w:rPr>
          <w:szCs w:val="22"/>
        </w:rPr>
        <w:t>)</w:t>
      </w:r>
      <w:r w:rsidRPr="009A5E24">
        <w:rPr>
          <w:szCs w:val="22"/>
        </w:rPr>
        <w:t>(a)</w:t>
      </w:r>
      <w:r w:rsidR="00AA3FBB" w:rsidRPr="009A5E24">
        <w:rPr>
          <w:szCs w:val="22"/>
        </w:rPr>
        <w:t>:</w:t>
      </w:r>
    </w:p>
    <w:p w14:paraId="50A3472A" w14:textId="77777777" w:rsidR="00AA3FBB" w:rsidRPr="009A5E24" w:rsidRDefault="00AA3FBB" w:rsidP="00AA3FBB">
      <w:pPr>
        <w:pStyle w:val="paragraph"/>
        <w:rPr>
          <w:szCs w:val="22"/>
        </w:rPr>
      </w:pPr>
      <w:r w:rsidRPr="009A5E24">
        <w:rPr>
          <w:szCs w:val="22"/>
        </w:rPr>
        <w:tab/>
        <w:t>(a)</w:t>
      </w:r>
      <w:r w:rsidRPr="009A5E24">
        <w:rPr>
          <w:szCs w:val="22"/>
        </w:rPr>
        <w:tab/>
        <w:t xml:space="preserve">serology testing for HIV-1, HIV-2, HCV, HBsAg, HTLV-1, HTLV-2, </w:t>
      </w:r>
      <w:r w:rsidR="00A80303" w:rsidRPr="009A5E24">
        <w:rPr>
          <w:szCs w:val="22"/>
        </w:rPr>
        <w:t xml:space="preserve">and </w:t>
      </w:r>
      <w:r w:rsidRPr="009A5E24">
        <w:rPr>
          <w:szCs w:val="22"/>
        </w:rPr>
        <w:t>syphilis (</w:t>
      </w:r>
      <w:r w:rsidRPr="009A5E24">
        <w:rPr>
          <w:i/>
          <w:szCs w:val="22"/>
        </w:rPr>
        <w:t>Treponema pallidum</w:t>
      </w:r>
      <w:r w:rsidRPr="009A5E24">
        <w:rPr>
          <w:szCs w:val="22"/>
        </w:rPr>
        <w:t>); and</w:t>
      </w:r>
    </w:p>
    <w:p w14:paraId="22EDE41C" w14:textId="77777777" w:rsidR="00AA3FBB" w:rsidRPr="009A5E24" w:rsidRDefault="00AA3FBB" w:rsidP="00AA3FBB">
      <w:pPr>
        <w:pStyle w:val="paragraph"/>
        <w:rPr>
          <w:szCs w:val="22"/>
        </w:rPr>
      </w:pPr>
      <w:r w:rsidRPr="009A5E24">
        <w:rPr>
          <w:szCs w:val="22"/>
        </w:rPr>
        <w:tab/>
        <w:t>(b)</w:t>
      </w:r>
      <w:r w:rsidRPr="009A5E24">
        <w:rPr>
          <w:szCs w:val="22"/>
        </w:rPr>
        <w:tab/>
        <w:t>NAT for HIV-1, HIV-2, HBV, and HCV.</w:t>
      </w:r>
    </w:p>
    <w:p w14:paraId="1B54D573" w14:textId="77777777" w:rsidR="008E3B8C" w:rsidRPr="009A5E24" w:rsidRDefault="00EA0587" w:rsidP="00211CBB">
      <w:pPr>
        <w:pStyle w:val="subsection"/>
        <w:rPr>
          <w:szCs w:val="22"/>
        </w:rPr>
      </w:pPr>
      <w:r w:rsidRPr="009A5E24">
        <w:rPr>
          <w:szCs w:val="22"/>
        </w:rPr>
        <w:tab/>
        <w:t>(8</w:t>
      </w:r>
      <w:r w:rsidR="00992D20" w:rsidRPr="009A5E24">
        <w:rPr>
          <w:szCs w:val="22"/>
        </w:rPr>
        <w:t>)</w:t>
      </w:r>
      <w:r w:rsidR="00992D20" w:rsidRPr="009A5E24">
        <w:rPr>
          <w:szCs w:val="22"/>
        </w:rPr>
        <w:tab/>
        <w:t>The following test</w:t>
      </w:r>
      <w:r w:rsidR="00323295" w:rsidRPr="009A5E24">
        <w:rPr>
          <w:szCs w:val="22"/>
        </w:rPr>
        <w:t>ing</w:t>
      </w:r>
      <w:r w:rsidR="00992D20" w:rsidRPr="009A5E24">
        <w:rPr>
          <w:szCs w:val="22"/>
        </w:rPr>
        <w:t xml:space="preserve"> must be conducted in relation to blood samples taken in accordance with subparagraph </w:t>
      </w:r>
      <w:r w:rsidRPr="009A5E24">
        <w:rPr>
          <w:szCs w:val="22"/>
        </w:rPr>
        <w:t>(4)(a)(i)</w:t>
      </w:r>
      <w:r w:rsidR="00992D20" w:rsidRPr="009A5E24">
        <w:rPr>
          <w:szCs w:val="22"/>
        </w:rPr>
        <w:t>:</w:t>
      </w:r>
    </w:p>
    <w:p w14:paraId="208D5700" w14:textId="77777777" w:rsidR="00992D20" w:rsidRPr="009A5E24" w:rsidRDefault="00992D20" w:rsidP="00992D20">
      <w:pPr>
        <w:pStyle w:val="paragraph"/>
        <w:rPr>
          <w:szCs w:val="22"/>
        </w:rPr>
      </w:pPr>
      <w:r w:rsidRPr="009A5E24">
        <w:rPr>
          <w:szCs w:val="22"/>
        </w:rPr>
        <w:tab/>
        <w:t>(a)</w:t>
      </w:r>
      <w:r w:rsidRPr="009A5E24">
        <w:rPr>
          <w:szCs w:val="22"/>
        </w:rPr>
        <w:tab/>
        <w:t xml:space="preserve">serology testing for HIV-1, HIV-2, HCV, HBsAg, HTLV-1, HTLV-2, </w:t>
      </w:r>
      <w:r w:rsidR="00A80303" w:rsidRPr="009A5E24">
        <w:rPr>
          <w:szCs w:val="22"/>
        </w:rPr>
        <w:t xml:space="preserve">and </w:t>
      </w:r>
      <w:r w:rsidRPr="009A5E24">
        <w:rPr>
          <w:szCs w:val="22"/>
        </w:rPr>
        <w:t>syphilis (</w:t>
      </w:r>
      <w:r w:rsidRPr="009A5E24">
        <w:rPr>
          <w:i/>
          <w:szCs w:val="22"/>
        </w:rPr>
        <w:t>Treponema pallidum</w:t>
      </w:r>
      <w:r w:rsidRPr="009A5E24">
        <w:rPr>
          <w:szCs w:val="22"/>
        </w:rPr>
        <w:t>).</w:t>
      </w:r>
    </w:p>
    <w:p w14:paraId="694F53A5" w14:textId="77777777" w:rsidR="00992D20" w:rsidRPr="009A5E24" w:rsidRDefault="00EA0587" w:rsidP="00992D20">
      <w:pPr>
        <w:pStyle w:val="subsection"/>
        <w:rPr>
          <w:szCs w:val="22"/>
        </w:rPr>
      </w:pPr>
      <w:r w:rsidRPr="009A5E24">
        <w:rPr>
          <w:szCs w:val="22"/>
        </w:rPr>
        <w:tab/>
        <w:t>(9</w:t>
      </w:r>
      <w:r w:rsidR="00992D20" w:rsidRPr="009A5E24">
        <w:rPr>
          <w:szCs w:val="22"/>
        </w:rPr>
        <w:t>)</w:t>
      </w:r>
      <w:r w:rsidR="00992D20" w:rsidRPr="009A5E24">
        <w:rPr>
          <w:szCs w:val="22"/>
        </w:rPr>
        <w:tab/>
        <w:t>The following test</w:t>
      </w:r>
      <w:r w:rsidR="00323295" w:rsidRPr="009A5E24">
        <w:rPr>
          <w:szCs w:val="22"/>
        </w:rPr>
        <w:t>ing</w:t>
      </w:r>
      <w:r w:rsidR="00992D20" w:rsidRPr="009A5E24">
        <w:rPr>
          <w:szCs w:val="22"/>
        </w:rPr>
        <w:t xml:space="preserve"> must be conducted in relation to blood samples taken in accordance with subparagraph (4)(a)(ii):</w:t>
      </w:r>
    </w:p>
    <w:p w14:paraId="2348C712" w14:textId="58BE677F" w:rsidR="00992D20" w:rsidRPr="009A5E24" w:rsidRDefault="00992D20" w:rsidP="00992D20">
      <w:pPr>
        <w:pStyle w:val="paragraph"/>
        <w:rPr>
          <w:szCs w:val="22"/>
        </w:rPr>
      </w:pPr>
      <w:r w:rsidRPr="009A5E24">
        <w:rPr>
          <w:szCs w:val="22"/>
        </w:rPr>
        <w:tab/>
        <w:t>(a)</w:t>
      </w:r>
      <w:r w:rsidRPr="009A5E24">
        <w:rPr>
          <w:szCs w:val="22"/>
        </w:rPr>
        <w:tab/>
        <w:t>serology testing for HIV-1, HIV-2, HCV, and HBsAg.</w:t>
      </w:r>
    </w:p>
    <w:p w14:paraId="3A09C71F" w14:textId="77777777" w:rsidR="00EA0587" w:rsidRPr="009A5E24" w:rsidRDefault="00EA0587" w:rsidP="00EA0587">
      <w:pPr>
        <w:pStyle w:val="SubsectionHead"/>
        <w:ind w:left="750"/>
      </w:pPr>
      <w:r w:rsidRPr="009A5E24">
        <w:t>Testing—living donors of HCT materials used exclusively for plasma fractionation</w:t>
      </w:r>
    </w:p>
    <w:p w14:paraId="2428B1FA" w14:textId="77777777" w:rsidR="00EA0587" w:rsidRPr="009A5E24" w:rsidRDefault="00EA0587" w:rsidP="00EA0587">
      <w:pPr>
        <w:pStyle w:val="subsection"/>
      </w:pPr>
      <w:r w:rsidRPr="009A5E24">
        <w:tab/>
        <w:t>(10)</w:t>
      </w:r>
      <w:r w:rsidRPr="009A5E24">
        <w:tab/>
        <w:t>The following testing must be conducted in relation to blood samples taken in accordance with paragraph (5)(a):</w:t>
      </w:r>
    </w:p>
    <w:p w14:paraId="484082C3" w14:textId="77777777" w:rsidR="00EA0587" w:rsidRPr="009A5E24" w:rsidRDefault="00EA0587" w:rsidP="00EA0587">
      <w:pPr>
        <w:pStyle w:val="paragraph"/>
        <w:rPr>
          <w:szCs w:val="22"/>
        </w:rPr>
      </w:pPr>
      <w:r w:rsidRPr="009A5E24">
        <w:rPr>
          <w:szCs w:val="22"/>
        </w:rPr>
        <w:tab/>
        <w:t>(a)</w:t>
      </w:r>
      <w:r w:rsidRPr="009A5E24">
        <w:rPr>
          <w:szCs w:val="22"/>
        </w:rPr>
        <w:tab/>
        <w:t>serology testi</w:t>
      </w:r>
      <w:r w:rsidR="00A80303" w:rsidRPr="009A5E24">
        <w:rPr>
          <w:szCs w:val="22"/>
        </w:rPr>
        <w:t>ng for HIV-1, HIV-2, HCV, and HBsAg;</w:t>
      </w:r>
      <w:r w:rsidRPr="009A5E24">
        <w:rPr>
          <w:szCs w:val="22"/>
        </w:rPr>
        <w:t xml:space="preserve"> and</w:t>
      </w:r>
    </w:p>
    <w:p w14:paraId="6DE53C7E" w14:textId="77777777" w:rsidR="00B367E1" w:rsidRPr="009A5E24" w:rsidRDefault="00EA0587" w:rsidP="00790C54">
      <w:pPr>
        <w:pStyle w:val="paragraph"/>
        <w:rPr>
          <w:szCs w:val="22"/>
        </w:rPr>
      </w:pPr>
      <w:r w:rsidRPr="009A5E24">
        <w:rPr>
          <w:szCs w:val="22"/>
        </w:rPr>
        <w:tab/>
        <w:t>(b)</w:t>
      </w:r>
      <w:r w:rsidRPr="009A5E24">
        <w:rPr>
          <w:szCs w:val="22"/>
        </w:rPr>
        <w:tab/>
        <w:t xml:space="preserve">NAT for HIV-1, HIV-2, </w:t>
      </w:r>
      <w:r w:rsidR="005B4DE2" w:rsidRPr="009A5E24">
        <w:rPr>
          <w:szCs w:val="22"/>
        </w:rPr>
        <w:t xml:space="preserve">HBV </w:t>
      </w:r>
      <w:r w:rsidR="00A80303" w:rsidRPr="009A5E24">
        <w:rPr>
          <w:szCs w:val="22"/>
        </w:rPr>
        <w:t xml:space="preserve">and </w:t>
      </w:r>
      <w:r w:rsidR="00314BEA" w:rsidRPr="009A5E24">
        <w:rPr>
          <w:szCs w:val="22"/>
        </w:rPr>
        <w:t>HC</w:t>
      </w:r>
      <w:r w:rsidRPr="009A5E24">
        <w:rPr>
          <w:szCs w:val="22"/>
        </w:rPr>
        <w:t>V.</w:t>
      </w:r>
    </w:p>
    <w:p w14:paraId="0E4E9CD2" w14:textId="77777777" w:rsidR="00AD6D7A" w:rsidRPr="009A5E24" w:rsidRDefault="00B6321F" w:rsidP="00AD6D7A">
      <w:pPr>
        <w:pStyle w:val="SubsectionHead"/>
        <w:ind w:left="750"/>
      </w:pPr>
      <w:r w:rsidRPr="009A5E24">
        <w:t>T</w:t>
      </w:r>
      <w:r w:rsidR="00AD6D7A" w:rsidRPr="009A5E24">
        <w:t>esting in relation to donors less than 18 months old</w:t>
      </w:r>
    </w:p>
    <w:p w14:paraId="78E2DF41" w14:textId="77777777" w:rsidR="00AD6D7A" w:rsidRPr="009A5E24" w:rsidRDefault="00AD6D7A" w:rsidP="00B7132F">
      <w:pPr>
        <w:pStyle w:val="subsection"/>
      </w:pPr>
      <w:r w:rsidRPr="009A5E24">
        <w:tab/>
        <w:t>(11)</w:t>
      </w:r>
      <w:r w:rsidRPr="009A5E24">
        <w:tab/>
        <w:t xml:space="preserve">If a donor of HCT materials is less than 18 months old, </w:t>
      </w:r>
      <w:r w:rsidR="00B7132F" w:rsidRPr="009A5E24">
        <w:t xml:space="preserve">then </w:t>
      </w:r>
      <w:r w:rsidRPr="009A5E24">
        <w:rPr>
          <w:szCs w:val="22"/>
        </w:rPr>
        <w:t>the donor’s birth mother must be subject</w:t>
      </w:r>
      <w:r w:rsidR="00B6321F" w:rsidRPr="009A5E24">
        <w:rPr>
          <w:szCs w:val="22"/>
        </w:rPr>
        <w:t>ed</w:t>
      </w:r>
      <w:r w:rsidRPr="009A5E24">
        <w:rPr>
          <w:szCs w:val="22"/>
        </w:rPr>
        <w:t xml:space="preserve"> to the same testing requirements</w:t>
      </w:r>
      <w:r w:rsidR="00B6321F" w:rsidRPr="009A5E24">
        <w:rPr>
          <w:szCs w:val="22"/>
        </w:rPr>
        <w:t xml:space="preserve"> that are applicable to the donor, as</w:t>
      </w:r>
      <w:r w:rsidRPr="009A5E24">
        <w:rPr>
          <w:szCs w:val="22"/>
        </w:rPr>
        <w:t xml:space="preserve"> set out in</w:t>
      </w:r>
      <w:r w:rsidRPr="009A5E24">
        <w:t xml:space="preserve"> subsections (1) to (10)</w:t>
      </w:r>
      <w:r w:rsidR="00B7132F" w:rsidRPr="009A5E24">
        <w:t>.</w:t>
      </w:r>
    </w:p>
    <w:p w14:paraId="329BBEF2" w14:textId="77777777" w:rsidR="001B18A2" w:rsidRPr="009A5E24" w:rsidRDefault="00B6321F" w:rsidP="00B7132F">
      <w:pPr>
        <w:pStyle w:val="subsection"/>
      </w:pPr>
      <w:r w:rsidRPr="009A5E24">
        <w:tab/>
        <w:t>(12)</w:t>
      </w:r>
      <w:r w:rsidRPr="009A5E24">
        <w:tab/>
      </w:r>
      <w:r w:rsidR="001B18A2" w:rsidRPr="009A5E24">
        <w:t>I</w:t>
      </w:r>
      <w:r w:rsidR="00C83FE1" w:rsidRPr="009A5E24">
        <w:t>n the case of a donor o</w:t>
      </w:r>
      <w:r w:rsidR="001B18A2" w:rsidRPr="009A5E24">
        <w:t xml:space="preserve">f the HCT materials </w:t>
      </w:r>
      <w:r w:rsidR="00C83FE1" w:rsidRPr="009A5E24">
        <w:t>that are</w:t>
      </w:r>
      <w:r w:rsidR="00832CDF" w:rsidRPr="009A5E24">
        <w:t xml:space="preserve"> HPC(</w:t>
      </w:r>
      <w:r w:rsidR="001B18A2" w:rsidRPr="009A5E24">
        <w:t>CB</w:t>
      </w:r>
      <w:r w:rsidR="00832CDF" w:rsidRPr="009A5E24">
        <w:t>)</w:t>
      </w:r>
      <w:r w:rsidR="001B18A2" w:rsidRPr="009A5E24">
        <w:t xml:space="preserve"> only</w:t>
      </w:r>
      <w:r w:rsidR="00C83FE1" w:rsidRPr="009A5E24">
        <w:t xml:space="preserve">, </w:t>
      </w:r>
      <w:r w:rsidR="001B18A2" w:rsidRPr="009A5E24">
        <w:t xml:space="preserve">the </w:t>
      </w:r>
      <w:r w:rsidR="00005442" w:rsidRPr="009A5E24">
        <w:t xml:space="preserve">applicable </w:t>
      </w:r>
      <w:r w:rsidR="001B18A2" w:rsidRPr="009A5E24">
        <w:t xml:space="preserve">testing requirements </w:t>
      </w:r>
      <w:r w:rsidR="00005442" w:rsidRPr="009A5E24">
        <w:t xml:space="preserve">in this section </w:t>
      </w:r>
      <w:r w:rsidR="001B18A2" w:rsidRPr="009A5E24">
        <w:t>apply only in relation to the donor’s birth mother.</w:t>
      </w:r>
    </w:p>
    <w:p w14:paraId="1BF906FC" w14:textId="77777777" w:rsidR="00925E36" w:rsidRPr="009A5E24" w:rsidRDefault="00005442" w:rsidP="00C83FE1">
      <w:pPr>
        <w:pStyle w:val="notetext"/>
      </w:pPr>
      <w:r w:rsidRPr="009A5E24">
        <w:t>Note:</w:t>
      </w:r>
      <w:r w:rsidRPr="009A5E24">
        <w:tab/>
      </w:r>
      <w:r w:rsidR="00832CDF" w:rsidRPr="009A5E24">
        <w:t>An infant donor of HPC(</w:t>
      </w:r>
      <w:r w:rsidRPr="009A5E24">
        <w:t>CB</w:t>
      </w:r>
      <w:r w:rsidR="00832CDF" w:rsidRPr="009A5E24">
        <w:t>)</w:t>
      </w:r>
      <w:r w:rsidRPr="009A5E24">
        <w:t xml:space="preserve"> only is not required to be tested </w:t>
      </w:r>
      <w:r w:rsidR="00C83FE1" w:rsidRPr="009A5E24">
        <w:t>in accordance with this section.</w:t>
      </w:r>
    </w:p>
    <w:p w14:paraId="3B8DA672" w14:textId="77777777" w:rsidR="00AD6D7A" w:rsidRPr="009A5E24" w:rsidRDefault="00B6321F" w:rsidP="00B7132F">
      <w:pPr>
        <w:pStyle w:val="SubsectionHead"/>
        <w:ind w:left="750"/>
      </w:pPr>
      <w:r w:rsidRPr="009A5E24">
        <w:t>T</w:t>
      </w:r>
      <w:r w:rsidR="00AD6D7A" w:rsidRPr="009A5E24">
        <w:t>esting in relation to donors who have consumed breast milk</w:t>
      </w:r>
    </w:p>
    <w:p w14:paraId="44374665" w14:textId="77777777" w:rsidR="00AD6D7A" w:rsidRPr="009A5E24" w:rsidRDefault="00AD6D7A" w:rsidP="001259B6">
      <w:pPr>
        <w:pStyle w:val="subsection"/>
      </w:pPr>
      <w:r w:rsidRPr="009A5E24">
        <w:tab/>
        <w:t>(1</w:t>
      </w:r>
      <w:r w:rsidR="00780A67" w:rsidRPr="009A5E24">
        <w:t>3</w:t>
      </w:r>
      <w:r w:rsidRPr="009A5E24">
        <w:t>)</w:t>
      </w:r>
      <w:r w:rsidRPr="009A5E24">
        <w:tab/>
        <w:t xml:space="preserve">If a donor has consumed breast milk from a person (the </w:t>
      </w:r>
      <w:r w:rsidRPr="009A5E24">
        <w:rPr>
          <w:b/>
          <w:i/>
        </w:rPr>
        <w:t>relevant person</w:t>
      </w:r>
      <w:r w:rsidRPr="009A5E24">
        <w:t xml:space="preserve">) within the previous six months, </w:t>
      </w:r>
      <w:r w:rsidR="001259B6" w:rsidRPr="009A5E24">
        <w:t xml:space="preserve">then </w:t>
      </w:r>
      <w:r w:rsidRPr="009A5E24">
        <w:t>the relevant person must be subject</w:t>
      </w:r>
      <w:r w:rsidR="00B6321F" w:rsidRPr="009A5E24">
        <w:t>ed</w:t>
      </w:r>
      <w:r w:rsidRPr="009A5E24">
        <w:t xml:space="preserve"> to the same testing requirements </w:t>
      </w:r>
      <w:r w:rsidR="00B6321F" w:rsidRPr="009A5E24">
        <w:t xml:space="preserve">that are applicable to the donor, as </w:t>
      </w:r>
      <w:r w:rsidRPr="009A5E24">
        <w:t>set out in subsection (1) to (10)</w:t>
      </w:r>
      <w:r w:rsidR="001259B6" w:rsidRPr="009A5E24">
        <w:t>.</w:t>
      </w:r>
    </w:p>
    <w:p w14:paraId="17946883" w14:textId="77777777" w:rsidR="00CD0017" w:rsidRPr="009A5E24" w:rsidRDefault="00CD0017" w:rsidP="00CD0017">
      <w:pPr>
        <w:pStyle w:val="SubsectionHead"/>
        <w:ind w:left="750"/>
      </w:pPr>
      <w:r w:rsidRPr="009A5E24">
        <w:t xml:space="preserve">Assessment of </w:t>
      </w:r>
      <w:r w:rsidR="00927F69" w:rsidRPr="009A5E24">
        <w:t xml:space="preserve">testing </w:t>
      </w:r>
      <w:r w:rsidRPr="009A5E24">
        <w:t>results</w:t>
      </w:r>
    </w:p>
    <w:p w14:paraId="337A1892" w14:textId="77777777" w:rsidR="00EA0587" w:rsidRPr="009A5E24" w:rsidRDefault="00B7132F" w:rsidP="00927F69">
      <w:pPr>
        <w:pStyle w:val="subsection"/>
        <w:rPr>
          <w:szCs w:val="22"/>
        </w:rPr>
      </w:pPr>
      <w:r w:rsidRPr="009A5E24">
        <w:rPr>
          <w:szCs w:val="22"/>
        </w:rPr>
        <w:tab/>
        <w:t>(1</w:t>
      </w:r>
      <w:r w:rsidR="00780A67" w:rsidRPr="009A5E24">
        <w:rPr>
          <w:szCs w:val="22"/>
        </w:rPr>
        <w:t>4</w:t>
      </w:r>
      <w:r w:rsidR="00B367E1" w:rsidRPr="009A5E24">
        <w:rPr>
          <w:szCs w:val="22"/>
        </w:rPr>
        <w:t>)</w:t>
      </w:r>
      <w:r w:rsidR="00B367E1" w:rsidRPr="009A5E24">
        <w:rPr>
          <w:szCs w:val="22"/>
        </w:rPr>
        <w:tab/>
      </w:r>
      <w:r w:rsidR="00927F69" w:rsidRPr="009A5E24">
        <w:rPr>
          <w:szCs w:val="22"/>
        </w:rPr>
        <w:t>A</w:t>
      </w:r>
      <w:r w:rsidR="00EF33F8" w:rsidRPr="009A5E24">
        <w:rPr>
          <w:szCs w:val="22"/>
        </w:rPr>
        <w:t>n</w:t>
      </w:r>
      <w:r w:rsidR="00927F69" w:rsidRPr="009A5E24">
        <w:rPr>
          <w:szCs w:val="22"/>
        </w:rPr>
        <w:t xml:space="preserve"> HCT product</w:t>
      </w:r>
      <w:r w:rsidR="00B367E1" w:rsidRPr="009A5E24">
        <w:rPr>
          <w:szCs w:val="22"/>
        </w:rPr>
        <w:t xml:space="preserve"> must be placed in quarantine, and m</w:t>
      </w:r>
      <w:r w:rsidR="00927F69" w:rsidRPr="009A5E24">
        <w:rPr>
          <w:szCs w:val="22"/>
        </w:rPr>
        <w:t xml:space="preserve">ust not be released for supply, </w:t>
      </w:r>
      <w:r w:rsidR="00B367E1" w:rsidRPr="009A5E24">
        <w:t>until</w:t>
      </w:r>
      <w:r w:rsidR="00B367E1" w:rsidRPr="009A5E24">
        <w:rPr>
          <w:szCs w:val="22"/>
        </w:rPr>
        <w:t xml:space="preserve"> the results of </w:t>
      </w:r>
      <w:r w:rsidR="00CD0017" w:rsidRPr="009A5E24">
        <w:rPr>
          <w:szCs w:val="22"/>
        </w:rPr>
        <w:t xml:space="preserve">the </w:t>
      </w:r>
      <w:r w:rsidR="00B367E1" w:rsidRPr="009A5E24">
        <w:rPr>
          <w:szCs w:val="22"/>
        </w:rPr>
        <w:t xml:space="preserve">testing mentioned in subsections </w:t>
      </w:r>
      <w:r w:rsidR="001259B6" w:rsidRPr="009A5E24">
        <w:rPr>
          <w:szCs w:val="22"/>
        </w:rPr>
        <w:t>(1</w:t>
      </w:r>
      <w:r w:rsidR="00B367E1" w:rsidRPr="009A5E24">
        <w:rPr>
          <w:szCs w:val="22"/>
        </w:rPr>
        <w:t xml:space="preserve">) to </w:t>
      </w:r>
      <w:r w:rsidR="00AD6D7A" w:rsidRPr="009A5E24">
        <w:rPr>
          <w:szCs w:val="22"/>
        </w:rPr>
        <w:t>(1</w:t>
      </w:r>
      <w:r w:rsidR="00780A67" w:rsidRPr="009A5E24">
        <w:rPr>
          <w:szCs w:val="22"/>
        </w:rPr>
        <w:t>3</w:t>
      </w:r>
      <w:r w:rsidR="00B367E1" w:rsidRPr="009A5E24">
        <w:rPr>
          <w:szCs w:val="22"/>
        </w:rPr>
        <w:t>)</w:t>
      </w:r>
      <w:r w:rsidR="00CD0017" w:rsidRPr="009A5E24">
        <w:rPr>
          <w:szCs w:val="22"/>
        </w:rPr>
        <w:t xml:space="preserve"> are </w:t>
      </w:r>
      <w:r w:rsidR="00780A67" w:rsidRPr="009A5E24">
        <w:rPr>
          <w:szCs w:val="22"/>
        </w:rPr>
        <w:t>assessed</w:t>
      </w:r>
      <w:r w:rsidR="00CD0017" w:rsidRPr="009A5E24">
        <w:rPr>
          <w:szCs w:val="22"/>
        </w:rPr>
        <w:t>.</w:t>
      </w:r>
    </w:p>
    <w:p w14:paraId="6E0D6E9B" w14:textId="77777777" w:rsidR="00B6321F" w:rsidRPr="009A5E24" w:rsidRDefault="007A134A" w:rsidP="00927F69">
      <w:pPr>
        <w:pStyle w:val="subsection"/>
        <w:rPr>
          <w:szCs w:val="22"/>
        </w:rPr>
      </w:pPr>
      <w:r w:rsidRPr="009A5E24">
        <w:rPr>
          <w:szCs w:val="22"/>
        </w:rPr>
        <w:tab/>
        <w:t>(1</w:t>
      </w:r>
      <w:r w:rsidR="00780A67" w:rsidRPr="009A5E24">
        <w:rPr>
          <w:szCs w:val="22"/>
        </w:rPr>
        <w:t>5</w:t>
      </w:r>
      <w:r w:rsidRPr="009A5E24">
        <w:rPr>
          <w:szCs w:val="22"/>
        </w:rPr>
        <w:t>)</w:t>
      </w:r>
      <w:r w:rsidRPr="009A5E24">
        <w:rPr>
          <w:szCs w:val="22"/>
        </w:rPr>
        <w:tab/>
      </w:r>
      <w:r w:rsidR="001B18A2" w:rsidRPr="009A5E24">
        <w:rPr>
          <w:szCs w:val="22"/>
        </w:rPr>
        <w:t xml:space="preserve">If </w:t>
      </w:r>
      <w:r w:rsidRPr="009A5E24">
        <w:rPr>
          <w:szCs w:val="22"/>
        </w:rPr>
        <w:t xml:space="preserve">the testing of </w:t>
      </w:r>
      <w:r w:rsidR="001B18A2" w:rsidRPr="009A5E24">
        <w:rPr>
          <w:szCs w:val="22"/>
        </w:rPr>
        <w:t>a blood sample</w:t>
      </w:r>
      <w:r w:rsidR="0037548F" w:rsidRPr="009A5E24">
        <w:rPr>
          <w:szCs w:val="22"/>
        </w:rPr>
        <w:t xml:space="preserve"> </w:t>
      </w:r>
      <w:r w:rsidR="001B18A2" w:rsidRPr="009A5E24">
        <w:rPr>
          <w:szCs w:val="22"/>
        </w:rPr>
        <w:t>demonstrates</w:t>
      </w:r>
      <w:r w:rsidRPr="009A5E24">
        <w:rPr>
          <w:szCs w:val="22"/>
        </w:rPr>
        <w:t xml:space="preserve"> a reactive result, then</w:t>
      </w:r>
      <w:r w:rsidR="00927F69" w:rsidRPr="009A5E24">
        <w:rPr>
          <w:szCs w:val="22"/>
        </w:rPr>
        <w:t xml:space="preserve"> the relevant HCT product</w:t>
      </w:r>
      <w:r w:rsidRPr="009A5E24">
        <w:rPr>
          <w:szCs w:val="22"/>
        </w:rPr>
        <w:t xml:space="preserve"> m</w:t>
      </w:r>
      <w:r w:rsidR="0037548F" w:rsidRPr="009A5E24">
        <w:rPr>
          <w:szCs w:val="22"/>
        </w:rPr>
        <w:t>ust not be released for supply.</w:t>
      </w:r>
    </w:p>
    <w:p w14:paraId="14591AC9" w14:textId="198ED31C" w:rsidR="00D67025" w:rsidRPr="009A5E24" w:rsidRDefault="00D67025" w:rsidP="00EF33F8">
      <w:pPr>
        <w:pStyle w:val="subsection"/>
      </w:pPr>
      <w:r w:rsidRPr="009A5E24">
        <w:tab/>
        <w:t>(1</w:t>
      </w:r>
      <w:r w:rsidR="00780A67" w:rsidRPr="009A5E24">
        <w:t>6</w:t>
      </w:r>
      <w:r w:rsidRPr="009A5E24">
        <w:t>)</w:t>
      </w:r>
      <w:r w:rsidRPr="009A5E24">
        <w:tab/>
        <w:t>S</w:t>
      </w:r>
      <w:r w:rsidR="00EF33F8" w:rsidRPr="009A5E24">
        <w:t>ubsection</w:t>
      </w:r>
      <w:r w:rsidRPr="009A5E24">
        <w:t xml:space="preserve"> (1</w:t>
      </w:r>
      <w:r w:rsidR="00780A67" w:rsidRPr="009A5E24">
        <w:t>5</w:t>
      </w:r>
      <w:r w:rsidRPr="009A5E24">
        <w:t xml:space="preserve">) does not apply to </w:t>
      </w:r>
      <w:r w:rsidR="00EF33F8" w:rsidRPr="009A5E24">
        <w:t xml:space="preserve">an </w:t>
      </w:r>
      <w:r w:rsidRPr="009A5E24">
        <w:t>HCT</w:t>
      </w:r>
      <w:r w:rsidR="00EF33F8" w:rsidRPr="009A5E24">
        <w:t xml:space="preserve"> product</w:t>
      </w:r>
      <w:r w:rsidRPr="009A5E24">
        <w:t xml:space="preserve"> that </w:t>
      </w:r>
      <w:r w:rsidR="00EF33F8" w:rsidRPr="009A5E24">
        <w:t>is</w:t>
      </w:r>
      <w:r w:rsidRPr="009A5E24">
        <w:t xml:space="preserve"> manufactured for directed allogeneic use where the medical or dental practitioner </w:t>
      </w:r>
      <w:r w:rsidR="00EF33F8" w:rsidRPr="009A5E24">
        <w:t>who is responsible for the administration</w:t>
      </w:r>
      <w:r w:rsidR="007375B0" w:rsidRPr="009A5E24">
        <w:t xml:space="preserve"> to</w:t>
      </w:r>
      <w:r w:rsidR="00EF33F8" w:rsidRPr="009A5E24">
        <w:t xml:space="preserve">, or application in the treatment of, the designated </w:t>
      </w:r>
      <w:r w:rsidR="00B62D73" w:rsidRPr="009A5E24">
        <w:t>patient</w:t>
      </w:r>
      <w:r w:rsidR="00EF33F8" w:rsidRPr="009A5E24">
        <w:t xml:space="preserve"> </w:t>
      </w:r>
      <w:r w:rsidRPr="009A5E24">
        <w:t>is notified about the testing results.</w:t>
      </w:r>
    </w:p>
    <w:p w14:paraId="396548D8" w14:textId="77777777" w:rsidR="000615E6" w:rsidRPr="009A5E24" w:rsidRDefault="000A365D" w:rsidP="000615E6">
      <w:pPr>
        <w:pStyle w:val="SubsectionHead"/>
        <w:ind w:left="750"/>
      </w:pPr>
      <w:r w:rsidRPr="009A5E24">
        <w:t>Serum or plasma of blood samples</w:t>
      </w:r>
    </w:p>
    <w:p w14:paraId="7DA8464E" w14:textId="13958ECE" w:rsidR="0038304B" w:rsidRPr="009A5E24" w:rsidRDefault="00790C54" w:rsidP="000615E6">
      <w:pPr>
        <w:pStyle w:val="subsection"/>
        <w:rPr>
          <w:szCs w:val="22"/>
        </w:rPr>
      </w:pPr>
      <w:r w:rsidRPr="009A5E24">
        <w:rPr>
          <w:szCs w:val="22"/>
        </w:rPr>
        <w:tab/>
        <w:t>(1</w:t>
      </w:r>
      <w:r w:rsidR="00780A67" w:rsidRPr="009A5E24">
        <w:rPr>
          <w:szCs w:val="22"/>
        </w:rPr>
        <w:t>7</w:t>
      </w:r>
      <w:r w:rsidR="000615E6" w:rsidRPr="009A5E24">
        <w:rPr>
          <w:szCs w:val="22"/>
        </w:rPr>
        <w:t>)</w:t>
      </w:r>
      <w:r w:rsidR="000615E6" w:rsidRPr="009A5E24">
        <w:rPr>
          <w:szCs w:val="22"/>
        </w:rPr>
        <w:tab/>
      </w:r>
      <w:r w:rsidR="00F032A4" w:rsidRPr="009A5E24">
        <w:rPr>
          <w:szCs w:val="22"/>
        </w:rPr>
        <w:t>The se</w:t>
      </w:r>
      <w:r w:rsidR="000A365D" w:rsidRPr="009A5E24">
        <w:rPr>
          <w:szCs w:val="22"/>
        </w:rPr>
        <w:t xml:space="preserve">rum or plasma of a blood sample </w:t>
      </w:r>
      <w:r w:rsidR="00F032A4" w:rsidRPr="009A5E24">
        <w:rPr>
          <w:szCs w:val="22"/>
        </w:rPr>
        <w:t xml:space="preserve">taken </w:t>
      </w:r>
      <w:r w:rsidR="000A365D" w:rsidRPr="009A5E24">
        <w:rPr>
          <w:szCs w:val="22"/>
        </w:rPr>
        <w:t xml:space="preserve">from a donor of HCT materials </w:t>
      </w:r>
      <w:r w:rsidR="00F032A4" w:rsidRPr="009A5E24">
        <w:rPr>
          <w:szCs w:val="22"/>
        </w:rPr>
        <w:t>i</w:t>
      </w:r>
      <w:r w:rsidRPr="009A5E24">
        <w:rPr>
          <w:szCs w:val="22"/>
        </w:rPr>
        <w:t>n accordance with subsection</w:t>
      </w:r>
      <w:r w:rsidR="00EF519A" w:rsidRPr="009A5E24">
        <w:rPr>
          <w:szCs w:val="22"/>
        </w:rPr>
        <w:t xml:space="preserve"> </w:t>
      </w:r>
      <w:r w:rsidRPr="009A5E24">
        <w:rPr>
          <w:szCs w:val="22"/>
        </w:rPr>
        <w:t>(3), (4) or (6</w:t>
      </w:r>
      <w:r w:rsidR="00F032A4" w:rsidRPr="009A5E24">
        <w:rPr>
          <w:szCs w:val="22"/>
        </w:rPr>
        <w:t>) must be:</w:t>
      </w:r>
    </w:p>
    <w:p w14:paraId="3B9E153F" w14:textId="0CCBB3B7" w:rsidR="00F032A4" w:rsidRPr="009A5E24" w:rsidRDefault="00F032A4" w:rsidP="006125A1">
      <w:pPr>
        <w:pStyle w:val="paragraph"/>
        <w:rPr>
          <w:szCs w:val="22"/>
        </w:rPr>
      </w:pPr>
      <w:r w:rsidRPr="009A5E24">
        <w:rPr>
          <w:szCs w:val="22"/>
        </w:rPr>
        <w:tab/>
        <w:t>(a)</w:t>
      </w:r>
      <w:r w:rsidRPr="009A5E24">
        <w:rPr>
          <w:szCs w:val="22"/>
        </w:rPr>
        <w:tab/>
      </w:r>
      <w:r w:rsidR="00E457E2" w:rsidRPr="009A5E24">
        <w:rPr>
          <w:szCs w:val="22"/>
        </w:rPr>
        <w:t xml:space="preserve">archived </w:t>
      </w:r>
      <w:r w:rsidR="008C34FE" w:rsidRPr="009A5E24">
        <w:rPr>
          <w:szCs w:val="22"/>
        </w:rPr>
        <w:t>at or</w:t>
      </w:r>
      <w:r w:rsidRPr="009A5E24">
        <w:rPr>
          <w:szCs w:val="22"/>
        </w:rPr>
        <w:t xml:space="preserve"> below </w:t>
      </w:r>
      <w:r w:rsidR="00780A67" w:rsidRPr="009A5E24">
        <w:rPr>
          <w:szCs w:val="22"/>
        </w:rPr>
        <w:t xml:space="preserve">minus </w:t>
      </w:r>
      <w:r w:rsidR="006125A1" w:rsidRPr="009A5E24">
        <w:rPr>
          <w:szCs w:val="22"/>
        </w:rPr>
        <w:t>25</w:t>
      </w:r>
      <w:r w:rsidRPr="009A5E24">
        <w:rPr>
          <w:szCs w:val="22"/>
        </w:rPr>
        <w:t>°C</w:t>
      </w:r>
      <w:r w:rsidR="008C34FE" w:rsidRPr="009A5E24">
        <w:rPr>
          <w:szCs w:val="22"/>
        </w:rPr>
        <w:t xml:space="preserve">, or in accordance with conditions that </w:t>
      </w:r>
      <w:r w:rsidR="00C86DCC" w:rsidRPr="009A5E24">
        <w:rPr>
          <w:szCs w:val="22"/>
        </w:rPr>
        <w:t>are validated or recommended by the manufacturer of the IVD medical device or in</w:t>
      </w:r>
      <w:r w:rsidR="00C86DCC" w:rsidRPr="009A5E24">
        <w:rPr>
          <w:szCs w:val="22"/>
        </w:rPr>
        <w:noBreakHyphen/>
        <w:t>house IVD medical device used</w:t>
      </w:r>
      <w:r w:rsidR="000D17FB" w:rsidRPr="009A5E24">
        <w:rPr>
          <w:szCs w:val="22"/>
        </w:rPr>
        <w:t xml:space="preserve"> for testing </w:t>
      </w:r>
      <w:r w:rsidR="00C86DCC" w:rsidRPr="009A5E24">
        <w:rPr>
          <w:szCs w:val="22"/>
        </w:rPr>
        <w:t>the samples</w:t>
      </w:r>
      <w:r w:rsidR="008C3B2B" w:rsidRPr="009A5E24">
        <w:rPr>
          <w:szCs w:val="22"/>
        </w:rPr>
        <w:t>; and</w:t>
      </w:r>
    </w:p>
    <w:p w14:paraId="17B710D9" w14:textId="077F0AC2" w:rsidR="00767B4E" w:rsidRPr="009A5E24" w:rsidRDefault="006125A1" w:rsidP="009D1A5B">
      <w:pPr>
        <w:pStyle w:val="paragraph"/>
        <w:rPr>
          <w:szCs w:val="22"/>
        </w:rPr>
      </w:pPr>
      <w:r w:rsidRPr="009A5E24">
        <w:rPr>
          <w:szCs w:val="22"/>
        </w:rPr>
        <w:tab/>
        <w:t>(b)</w:t>
      </w:r>
      <w:r w:rsidRPr="009A5E24">
        <w:rPr>
          <w:szCs w:val="22"/>
        </w:rPr>
        <w:tab/>
        <w:t xml:space="preserve">retained for a minimum of </w:t>
      </w:r>
      <w:r w:rsidR="00530C03" w:rsidRPr="009A5E24">
        <w:rPr>
          <w:szCs w:val="22"/>
        </w:rPr>
        <w:t>two years</w:t>
      </w:r>
      <w:r w:rsidRPr="009A5E24">
        <w:rPr>
          <w:szCs w:val="22"/>
        </w:rPr>
        <w:t xml:space="preserve"> after the expiry date of the relevant HCT product</w:t>
      </w:r>
      <w:r w:rsidR="00767B4E" w:rsidRPr="009A5E24">
        <w:rPr>
          <w:szCs w:val="22"/>
        </w:rPr>
        <w:t>,</w:t>
      </w:r>
      <w:r w:rsidR="00530C03" w:rsidRPr="009A5E24">
        <w:rPr>
          <w:szCs w:val="22"/>
        </w:rPr>
        <w:t xml:space="preserve"> </w:t>
      </w:r>
      <w:r w:rsidR="008237FB" w:rsidRPr="009A5E24">
        <w:rPr>
          <w:szCs w:val="22"/>
        </w:rPr>
        <w:t xml:space="preserve">or </w:t>
      </w:r>
      <w:r w:rsidR="00767B4E" w:rsidRPr="009A5E24">
        <w:rPr>
          <w:szCs w:val="22"/>
        </w:rPr>
        <w:t>for a period that is</w:t>
      </w:r>
      <w:r w:rsidR="008237FB" w:rsidRPr="009A5E24">
        <w:rPr>
          <w:szCs w:val="22"/>
        </w:rPr>
        <w:t xml:space="preserve"> validated on the basis of validated data or documented evidence from relevant scientific literature</w:t>
      </w:r>
      <w:r w:rsidR="00767B4E" w:rsidRPr="009A5E24">
        <w:rPr>
          <w:szCs w:val="22"/>
        </w:rPr>
        <w:t>.</w:t>
      </w:r>
    </w:p>
    <w:p w14:paraId="7263FEA7" w14:textId="77777777" w:rsidR="00107481" w:rsidRPr="009A5E24" w:rsidRDefault="00EF33F8" w:rsidP="009D1A5B">
      <w:pPr>
        <w:pStyle w:val="subsection"/>
        <w:keepNext/>
        <w:rPr>
          <w:szCs w:val="22"/>
        </w:rPr>
      </w:pPr>
      <w:r w:rsidRPr="009A5E24">
        <w:rPr>
          <w:szCs w:val="22"/>
        </w:rPr>
        <w:tab/>
        <w:t>(1</w:t>
      </w:r>
      <w:r w:rsidR="00C86DCC" w:rsidRPr="009A5E24">
        <w:rPr>
          <w:szCs w:val="22"/>
        </w:rPr>
        <w:t>8</w:t>
      </w:r>
      <w:r w:rsidR="009864A0" w:rsidRPr="009A5E24">
        <w:rPr>
          <w:szCs w:val="22"/>
        </w:rPr>
        <w:t>)</w:t>
      </w:r>
      <w:r w:rsidR="009864A0" w:rsidRPr="009A5E24">
        <w:rPr>
          <w:szCs w:val="22"/>
        </w:rPr>
        <w:tab/>
      </w:r>
      <w:r w:rsidR="00C14E42" w:rsidRPr="009A5E24">
        <w:rPr>
          <w:szCs w:val="22"/>
        </w:rPr>
        <w:t>I</w:t>
      </w:r>
      <w:r w:rsidR="00107481" w:rsidRPr="009A5E24">
        <w:rPr>
          <w:szCs w:val="22"/>
        </w:rPr>
        <w:t>f:</w:t>
      </w:r>
    </w:p>
    <w:p w14:paraId="012D350C" w14:textId="77777777" w:rsidR="003E447D" w:rsidRPr="009A5E24" w:rsidRDefault="00107481" w:rsidP="00107481">
      <w:pPr>
        <w:pStyle w:val="paragraph"/>
        <w:rPr>
          <w:szCs w:val="22"/>
        </w:rPr>
      </w:pPr>
      <w:r w:rsidRPr="009A5E24">
        <w:rPr>
          <w:szCs w:val="22"/>
        </w:rPr>
        <w:tab/>
        <w:t>(a</w:t>
      </w:r>
      <w:r w:rsidR="00135DB9" w:rsidRPr="009A5E24">
        <w:rPr>
          <w:szCs w:val="22"/>
        </w:rPr>
        <w:t>)</w:t>
      </w:r>
      <w:r w:rsidR="00135DB9" w:rsidRPr="009A5E24">
        <w:rPr>
          <w:szCs w:val="22"/>
        </w:rPr>
        <w:tab/>
      </w:r>
      <w:r w:rsidR="003E447D" w:rsidRPr="009A5E24">
        <w:rPr>
          <w:szCs w:val="22"/>
        </w:rPr>
        <w:t>a</w:t>
      </w:r>
      <w:r w:rsidR="00EF33F8" w:rsidRPr="009A5E24">
        <w:rPr>
          <w:szCs w:val="22"/>
        </w:rPr>
        <w:t>n</w:t>
      </w:r>
      <w:r w:rsidR="003E447D" w:rsidRPr="009A5E24">
        <w:rPr>
          <w:szCs w:val="22"/>
        </w:rPr>
        <w:t xml:space="preserve"> HCT product has not been released for supply; and</w:t>
      </w:r>
    </w:p>
    <w:p w14:paraId="3E58C1E2" w14:textId="77777777" w:rsidR="00F54D8C" w:rsidRPr="009A5E24" w:rsidRDefault="003E447D" w:rsidP="00F54D8C">
      <w:pPr>
        <w:pStyle w:val="paragraph"/>
        <w:rPr>
          <w:szCs w:val="22"/>
        </w:rPr>
      </w:pPr>
      <w:r w:rsidRPr="009A5E24">
        <w:rPr>
          <w:szCs w:val="22"/>
        </w:rPr>
        <w:tab/>
        <w:t>(b)</w:t>
      </w:r>
      <w:r w:rsidRPr="009A5E24">
        <w:rPr>
          <w:szCs w:val="22"/>
        </w:rPr>
        <w:tab/>
      </w:r>
      <w:r w:rsidR="00F54D8C" w:rsidRPr="009A5E24">
        <w:rPr>
          <w:szCs w:val="22"/>
        </w:rPr>
        <w:t xml:space="preserve">following </w:t>
      </w:r>
      <w:r w:rsidR="00C14E42" w:rsidRPr="009A5E24">
        <w:rPr>
          <w:szCs w:val="22"/>
        </w:rPr>
        <w:t xml:space="preserve">the </w:t>
      </w:r>
      <w:r w:rsidR="00F54D8C" w:rsidRPr="009A5E24">
        <w:rPr>
          <w:szCs w:val="22"/>
        </w:rPr>
        <w:t>testing of a blood sample in relation to the product</w:t>
      </w:r>
      <w:r w:rsidR="00C14E42" w:rsidRPr="009A5E24">
        <w:rPr>
          <w:szCs w:val="22"/>
        </w:rPr>
        <w:t xml:space="preserve">, </w:t>
      </w:r>
      <w:r w:rsidRPr="009A5E24">
        <w:rPr>
          <w:szCs w:val="22"/>
        </w:rPr>
        <w:t xml:space="preserve">a protocol </w:t>
      </w:r>
      <w:r w:rsidR="00AD3648" w:rsidRPr="009A5E24">
        <w:rPr>
          <w:szCs w:val="22"/>
        </w:rPr>
        <w:t xml:space="preserve">or methodology </w:t>
      </w:r>
      <w:r w:rsidRPr="009A5E24">
        <w:rPr>
          <w:szCs w:val="22"/>
        </w:rPr>
        <w:t xml:space="preserve">for </w:t>
      </w:r>
      <w:r w:rsidR="00F54D8C" w:rsidRPr="009A5E24">
        <w:rPr>
          <w:szCs w:val="22"/>
        </w:rPr>
        <w:t>the</w:t>
      </w:r>
      <w:r w:rsidRPr="009A5E24">
        <w:rPr>
          <w:szCs w:val="22"/>
        </w:rPr>
        <w:t xml:space="preserve"> testing </w:t>
      </w:r>
      <w:r w:rsidR="00F54D8C" w:rsidRPr="009A5E24">
        <w:rPr>
          <w:szCs w:val="22"/>
        </w:rPr>
        <w:t>changes;</w:t>
      </w:r>
    </w:p>
    <w:p w14:paraId="6E12E19A" w14:textId="1226B77C" w:rsidR="00EB439A" w:rsidRPr="009A5E24" w:rsidRDefault="000D17FB" w:rsidP="001259B6">
      <w:pPr>
        <w:pStyle w:val="subsection2"/>
        <w:rPr>
          <w:szCs w:val="22"/>
        </w:rPr>
      </w:pPr>
      <w:r w:rsidRPr="009A5E24">
        <w:rPr>
          <w:szCs w:val="22"/>
        </w:rPr>
        <w:t>t</w:t>
      </w:r>
      <w:r w:rsidR="00594AD9" w:rsidRPr="009A5E24">
        <w:rPr>
          <w:szCs w:val="22"/>
        </w:rPr>
        <w:t>hen</w:t>
      </w:r>
      <w:r w:rsidRPr="009A5E24">
        <w:rPr>
          <w:szCs w:val="22"/>
        </w:rPr>
        <w:t>,</w:t>
      </w:r>
      <w:r w:rsidR="00C14E42" w:rsidRPr="009A5E24">
        <w:rPr>
          <w:szCs w:val="22"/>
        </w:rPr>
        <w:t xml:space="preserve"> </w:t>
      </w:r>
      <w:r w:rsidR="00594AD9" w:rsidRPr="009A5E24">
        <w:rPr>
          <w:szCs w:val="22"/>
        </w:rPr>
        <w:t xml:space="preserve">the </w:t>
      </w:r>
      <w:r w:rsidR="00D52F88" w:rsidRPr="009A5E24">
        <w:rPr>
          <w:szCs w:val="22"/>
        </w:rPr>
        <w:t xml:space="preserve">archived </w:t>
      </w:r>
      <w:r w:rsidR="00594AD9" w:rsidRPr="009A5E24">
        <w:rPr>
          <w:szCs w:val="22"/>
        </w:rPr>
        <w:t xml:space="preserve">serum or plasma of the blood sample must be tested in accordance with the new protocol </w:t>
      </w:r>
      <w:r w:rsidR="00AD3648" w:rsidRPr="009A5E24">
        <w:rPr>
          <w:szCs w:val="22"/>
        </w:rPr>
        <w:t xml:space="preserve">or methodology </w:t>
      </w:r>
      <w:r w:rsidR="00594AD9" w:rsidRPr="009A5E24">
        <w:rPr>
          <w:szCs w:val="22"/>
        </w:rPr>
        <w:t xml:space="preserve">before the </w:t>
      </w:r>
      <w:r w:rsidR="00C14E42" w:rsidRPr="009A5E24">
        <w:rPr>
          <w:szCs w:val="22"/>
        </w:rPr>
        <w:t>product is released for supply, unless the testing is not required on the basis of a risk assessment.</w:t>
      </w:r>
    </w:p>
    <w:p w14:paraId="6565C8D4" w14:textId="77777777" w:rsidR="001B1CBC" w:rsidRPr="009A5E24" w:rsidRDefault="00B7132F" w:rsidP="00014293">
      <w:pPr>
        <w:pStyle w:val="ActHead5"/>
      </w:pPr>
      <w:bookmarkStart w:id="18" w:name="_Toc70077684"/>
      <w:r w:rsidRPr="009A5E24">
        <w:t>11</w:t>
      </w:r>
      <w:r w:rsidR="001B1CBC" w:rsidRPr="009A5E24">
        <w:t xml:space="preserve">  Physical assessment</w:t>
      </w:r>
      <w:bookmarkEnd w:id="18"/>
    </w:p>
    <w:p w14:paraId="0CD65ED6" w14:textId="77777777" w:rsidR="001B1CBC" w:rsidRPr="009A5E24" w:rsidRDefault="001B1CBC" w:rsidP="001B1CBC">
      <w:pPr>
        <w:pStyle w:val="subsection"/>
        <w:rPr>
          <w:szCs w:val="22"/>
        </w:rPr>
      </w:pPr>
      <w:r w:rsidRPr="009A5E24">
        <w:rPr>
          <w:szCs w:val="22"/>
        </w:rPr>
        <w:tab/>
        <w:t>(1)</w:t>
      </w:r>
      <w:r w:rsidRPr="009A5E24">
        <w:rPr>
          <w:szCs w:val="22"/>
        </w:rPr>
        <w:tab/>
      </w:r>
      <w:r w:rsidR="00DF5BE9" w:rsidRPr="009A5E24">
        <w:rPr>
          <w:szCs w:val="22"/>
        </w:rPr>
        <w:t>A physical assessment must be conducted</w:t>
      </w:r>
      <w:r w:rsidR="00C02D05" w:rsidRPr="009A5E24">
        <w:rPr>
          <w:szCs w:val="22"/>
        </w:rPr>
        <w:t xml:space="preserve"> in relation to a donor</w:t>
      </w:r>
      <w:r w:rsidR="00F128A8" w:rsidRPr="009A5E24">
        <w:rPr>
          <w:szCs w:val="22"/>
        </w:rPr>
        <w:t xml:space="preserve"> of HCT materials</w:t>
      </w:r>
      <w:r w:rsidR="00C02D05" w:rsidRPr="009A5E24">
        <w:rPr>
          <w:szCs w:val="22"/>
        </w:rPr>
        <w:t xml:space="preserve"> as follows</w:t>
      </w:r>
      <w:r w:rsidR="00DF5BE9" w:rsidRPr="009A5E24">
        <w:rPr>
          <w:szCs w:val="22"/>
        </w:rPr>
        <w:t>:</w:t>
      </w:r>
    </w:p>
    <w:p w14:paraId="1700E7D9" w14:textId="28AF0C1E" w:rsidR="00DF5BE9" w:rsidRPr="009A5E24" w:rsidRDefault="00DF5BE9" w:rsidP="00DF5BE9">
      <w:pPr>
        <w:pStyle w:val="paragraph"/>
        <w:rPr>
          <w:szCs w:val="22"/>
        </w:rPr>
      </w:pPr>
      <w:r w:rsidRPr="009A5E24">
        <w:rPr>
          <w:szCs w:val="22"/>
        </w:rPr>
        <w:tab/>
        <w:t>(a)</w:t>
      </w:r>
      <w:r w:rsidRPr="009A5E24">
        <w:rPr>
          <w:szCs w:val="22"/>
        </w:rPr>
        <w:tab/>
      </w:r>
      <w:r w:rsidR="00C02D05" w:rsidRPr="009A5E24">
        <w:rPr>
          <w:szCs w:val="22"/>
        </w:rPr>
        <w:t xml:space="preserve">in the case of a living </w:t>
      </w:r>
      <w:r w:rsidR="001420B5" w:rsidRPr="009A5E24">
        <w:rPr>
          <w:szCs w:val="22"/>
        </w:rPr>
        <w:t>donor</w:t>
      </w:r>
      <w:r w:rsidR="00751594">
        <w:rPr>
          <w:szCs w:val="22"/>
        </w:rPr>
        <w:t xml:space="preserve"> (other than a living donor of human musculoskeletal tissue only)</w:t>
      </w:r>
      <w:r w:rsidR="00C02D05" w:rsidRPr="009A5E24">
        <w:rPr>
          <w:szCs w:val="22"/>
        </w:rPr>
        <w:t>—at the time of the collection of the HCT materials; or</w:t>
      </w:r>
    </w:p>
    <w:p w14:paraId="5EA29542" w14:textId="053D5A51" w:rsidR="00751594" w:rsidRPr="009A5E24" w:rsidRDefault="00751594" w:rsidP="00751594">
      <w:pPr>
        <w:pStyle w:val="paragraph"/>
        <w:rPr>
          <w:szCs w:val="22"/>
        </w:rPr>
      </w:pPr>
      <w:r>
        <w:rPr>
          <w:szCs w:val="22"/>
        </w:rPr>
        <w:tab/>
        <w:t>(b</w:t>
      </w:r>
      <w:r w:rsidRPr="009A5E24">
        <w:rPr>
          <w:szCs w:val="22"/>
        </w:rPr>
        <w:t>)</w:t>
      </w:r>
      <w:r w:rsidRPr="009A5E24">
        <w:rPr>
          <w:szCs w:val="22"/>
        </w:rPr>
        <w:tab/>
        <w:t xml:space="preserve">in the case of a </w:t>
      </w:r>
      <w:r>
        <w:rPr>
          <w:szCs w:val="22"/>
        </w:rPr>
        <w:t xml:space="preserve">living </w:t>
      </w:r>
      <w:r w:rsidRPr="009A5E24">
        <w:rPr>
          <w:szCs w:val="22"/>
        </w:rPr>
        <w:t>donor of human musculoskeletal tissue only—within 30 days before or 30 days after the collection o</w:t>
      </w:r>
      <w:r>
        <w:rPr>
          <w:szCs w:val="22"/>
        </w:rPr>
        <w:t>f the tissue; or</w:t>
      </w:r>
    </w:p>
    <w:p w14:paraId="18CB3AD7" w14:textId="2EBAAB02" w:rsidR="001420B5" w:rsidRPr="009A5E24" w:rsidRDefault="00751594" w:rsidP="00DF5BE9">
      <w:pPr>
        <w:pStyle w:val="paragraph"/>
        <w:rPr>
          <w:szCs w:val="22"/>
        </w:rPr>
      </w:pPr>
      <w:r>
        <w:rPr>
          <w:szCs w:val="22"/>
        </w:rPr>
        <w:tab/>
        <w:t>(c</w:t>
      </w:r>
      <w:r w:rsidR="001420B5" w:rsidRPr="009A5E24">
        <w:rPr>
          <w:szCs w:val="22"/>
        </w:rPr>
        <w:t>)</w:t>
      </w:r>
      <w:r w:rsidR="001420B5" w:rsidRPr="009A5E24">
        <w:rPr>
          <w:szCs w:val="22"/>
        </w:rPr>
        <w:tab/>
        <w:t>in the case of a deceased donor—before the col</w:t>
      </w:r>
      <w:r>
        <w:rPr>
          <w:szCs w:val="22"/>
        </w:rPr>
        <w:t>lection of the HCT materials.</w:t>
      </w:r>
    </w:p>
    <w:p w14:paraId="6BB37A91" w14:textId="77777777" w:rsidR="00BD4C2E" w:rsidRPr="009A5E24" w:rsidRDefault="00BD4C2E" w:rsidP="00BD4C2E">
      <w:pPr>
        <w:pStyle w:val="subsection"/>
        <w:rPr>
          <w:szCs w:val="22"/>
        </w:rPr>
      </w:pPr>
      <w:r w:rsidRPr="009A5E24">
        <w:rPr>
          <w:szCs w:val="22"/>
        </w:rPr>
        <w:tab/>
        <w:t>(2)</w:t>
      </w:r>
      <w:r w:rsidRPr="009A5E24">
        <w:rPr>
          <w:szCs w:val="22"/>
        </w:rPr>
        <w:tab/>
        <w:t>A physical assessment must:</w:t>
      </w:r>
    </w:p>
    <w:p w14:paraId="5F7203CF" w14:textId="77777777" w:rsidR="00BD4C2E" w:rsidRPr="009A5E24" w:rsidRDefault="00BD4C2E" w:rsidP="00BD4C2E">
      <w:pPr>
        <w:pStyle w:val="paragraph"/>
        <w:rPr>
          <w:szCs w:val="22"/>
        </w:rPr>
      </w:pPr>
      <w:r w:rsidRPr="009A5E24">
        <w:rPr>
          <w:szCs w:val="22"/>
        </w:rPr>
        <w:tab/>
        <w:t>(a)</w:t>
      </w:r>
      <w:r w:rsidRPr="009A5E24">
        <w:rPr>
          <w:szCs w:val="22"/>
        </w:rPr>
        <w:tab/>
        <w:t xml:space="preserve">include a </w:t>
      </w:r>
      <w:r w:rsidR="006831A8" w:rsidRPr="009A5E24">
        <w:rPr>
          <w:szCs w:val="22"/>
        </w:rPr>
        <w:t xml:space="preserve">clinical </w:t>
      </w:r>
      <w:r w:rsidR="0028520B" w:rsidRPr="009A5E24">
        <w:rPr>
          <w:szCs w:val="22"/>
        </w:rPr>
        <w:t>inspection</w:t>
      </w:r>
      <w:r w:rsidR="006831A8" w:rsidRPr="009A5E24">
        <w:rPr>
          <w:szCs w:val="22"/>
        </w:rPr>
        <w:t xml:space="preserve"> of any physical features or characteristics </w:t>
      </w:r>
      <w:r w:rsidR="002269A3" w:rsidRPr="009A5E24">
        <w:rPr>
          <w:szCs w:val="22"/>
        </w:rPr>
        <w:t xml:space="preserve">of a donor (such as an abrasion, laceration, bruise, haematoma, fracture, tattoo, piercing, scar, skin lesion, or surgical incision) that </w:t>
      </w:r>
      <w:r w:rsidR="006831A8" w:rsidRPr="009A5E24">
        <w:rPr>
          <w:szCs w:val="22"/>
        </w:rPr>
        <w:t xml:space="preserve">may indicate that </w:t>
      </w:r>
      <w:r w:rsidR="002269A3" w:rsidRPr="009A5E24">
        <w:rPr>
          <w:szCs w:val="22"/>
        </w:rPr>
        <w:t>the do</w:t>
      </w:r>
      <w:r w:rsidR="006831A8" w:rsidRPr="009A5E24">
        <w:rPr>
          <w:szCs w:val="22"/>
        </w:rPr>
        <w:t xml:space="preserve">nor </w:t>
      </w:r>
      <w:r w:rsidR="0028520B" w:rsidRPr="009A5E24">
        <w:rPr>
          <w:szCs w:val="22"/>
        </w:rPr>
        <w:t xml:space="preserve">poses a </w:t>
      </w:r>
      <w:r w:rsidR="006831A8" w:rsidRPr="009A5E24">
        <w:rPr>
          <w:szCs w:val="22"/>
        </w:rPr>
        <w:t xml:space="preserve">risk of </w:t>
      </w:r>
      <w:r w:rsidR="0028520B" w:rsidRPr="009A5E24">
        <w:rPr>
          <w:szCs w:val="22"/>
        </w:rPr>
        <w:t>infectious</w:t>
      </w:r>
      <w:r w:rsidR="006831A8" w:rsidRPr="009A5E24">
        <w:rPr>
          <w:szCs w:val="22"/>
        </w:rPr>
        <w:t xml:space="preserve"> disease</w:t>
      </w:r>
      <w:r w:rsidR="0028520B" w:rsidRPr="009A5E24">
        <w:rPr>
          <w:szCs w:val="22"/>
        </w:rPr>
        <w:t xml:space="preserve"> transmission</w:t>
      </w:r>
      <w:r w:rsidR="002269A3" w:rsidRPr="009A5E24">
        <w:rPr>
          <w:szCs w:val="22"/>
        </w:rPr>
        <w:t>; and</w:t>
      </w:r>
    </w:p>
    <w:p w14:paraId="34091536" w14:textId="77777777" w:rsidR="00823FE4" w:rsidRPr="009A5E24" w:rsidRDefault="00BD4C2E" w:rsidP="00BD4C2E">
      <w:pPr>
        <w:pStyle w:val="paragraph"/>
        <w:rPr>
          <w:szCs w:val="22"/>
        </w:rPr>
      </w:pPr>
      <w:r w:rsidRPr="009A5E24">
        <w:rPr>
          <w:szCs w:val="22"/>
        </w:rPr>
        <w:tab/>
        <w:t>(b)</w:t>
      </w:r>
      <w:r w:rsidRPr="009A5E24">
        <w:rPr>
          <w:szCs w:val="22"/>
        </w:rPr>
        <w:tab/>
        <w:t>be conducted by a person who is</w:t>
      </w:r>
      <w:r w:rsidR="00823FE4" w:rsidRPr="009A5E24">
        <w:rPr>
          <w:szCs w:val="22"/>
        </w:rPr>
        <w:t>:</w:t>
      </w:r>
    </w:p>
    <w:p w14:paraId="5B7F7981" w14:textId="77777777" w:rsidR="00BD4C2E" w:rsidRPr="009A5E24" w:rsidRDefault="00823FE4" w:rsidP="00823FE4">
      <w:pPr>
        <w:pStyle w:val="paragraphsub"/>
        <w:rPr>
          <w:szCs w:val="22"/>
        </w:rPr>
      </w:pPr>
      <w:r w:rsidRPr="009A5E24">
        <w:rPr>
          <w:szCs w:val="22"/>
        </w:rPr>
        <w:tab/>
        <w:t>(i)</w:t>
      </w:r>
      <w:r w:rsidRPr="009A5E24">
        <w:rPr>
          <w:szCs w:val="22"/>
        </w:rPr>
        <w:tab/>
      </w:r>
      <w:r w:rsidR="00BD4C2E" w:rsidRPr="009A5E24">
        <w:rPr>
          <w:szCs w:val="22"/>
        </w:rPr>
        <w:t xml:space="preserve">appropriately qualified </w:t>
      </w:r>
      <w:r w:rsidRPr="009A5E24">
        <w:rPr>
          <w:szCs w:val="22"/>
        </w:rPr>
        <w:t>and trained; and</w:t>
      </w:r>
    </w:p>
    <w:p w14:paraId="44652F3E" w14:textId="0C48924B" w:rsidR="00823FE4" w:rsidRPr="009A5E24" w:rsidRDefault="00823FE4" w:rsidP="00823FE4">
      <w:pPr>
        <w:pStyle w:val="paragraphsub"/>
        <w:rPr>
          <w:szCs w:val="22"/>
        </w:rPr>
      </w:pPr>
      <w:r w:rsidRPr="009A5E24">
        <w:rPr>
          <w:szCs w:val="22"/>
        </w:rPr>
        <w:tab/>
        <w:t>(ii)</w:t>
      </w:r>
      <w:r w:rsidRPr="009A5E24">
        <w:rPr>
          <w:szCs w:val="22"/>
        </w:rPr>
        <w:tab/>
        <w:t xml:space="preserve">an employee of, or under a </w:t>
      </w:r>
      <w:r w:rsidR="00262F2C" w:rsidRPr="009A5E24">
        <w:rPr>
          <w:szCs w:val="22"/>
        </w:rPr>
        <w:t xml:space="preserve">contract </w:t>
      </w:r>
      <w:r w:rsidRPr="009A5E24">
        <w:rPr>
          <w:szCs w:val="22"/>
        </w:rPr>
        <w:t>with,</w:t>
      </w:r>
      <w:r w:rsidR="006831A8" w:rsidRPr="009A5E24">
        <w:rPr>
          <w:szCs w:val="22"/>
        </w:rPr>
        <w:t xml:space="preserve"> a person engaged in the collection of HCT materials or </w:t>
      </w:r>
      <w:r w:rsidR="0028520B" w:rsidRPr="009A5E24">
        <w:rPr>
          <w:szCs w:val="22"/>
        </w:rPr>
        <w:t>the manufacture of HCT products; and</w:t>
      </w:r>
    </w:p>
    <w:p w14:paraId="78D22E25" w14:textId="77777777" w:rsidR="00D52F88" w:rsidRPr="009A5E24" w:rsidRDefault="0028520B" w:rsidP="00D52F88">
      <w:pPr>
        <w:pStyle w:val="paragraph"/>
        <w:tabs>
          <w:tab w:val="left" w:pos="1985"/>
        </w:tabs>
        <w:rPr>
          <w:szCs w:val="22"/>
        </w:rPr>
      </w:pPr>
      <w:r w:rsidRPr="009A5E24">
        <w:rPr>
          <w:szCs w:val="22"/>
        </w:rPr>
        <w:tab/>
        <w:t>(c)</w:t>
      </w:r>
      <w:r w:rsidRPr="009A5E24">
        <w:rPr>
          <w:szCs w:val="22"/>
        </w:rPr>
        <w:tab/>
        <w:t>demonstrate that the donor does not pose a risk of infectious disease transmission.</w:t>
      </w:r>
    </w:p>
    <w:p w14:paraId="32412C5E" w14:textId="77777777" w:rsidR="00554826" w:rsidRPr="009A5E24" w:rsidRDefault="00554826" w:rsidP="00554826">
      <w:pPr>
        <w:spacing w:line="240" w:lineRule="auto"/>
      </w:pPr>
      <w:r w:rsidRPr="009A5E24">
        <w:br w:type="page"/>
      </w:r>
    </w:p>
    <w:p w14:paraId="094FCD6C" w14:textId="77777777" w:rsidR="00C15D21" w:rsidRPr="009A5E24" w:rsidRDefault="00C15D21" w:rsidP="00C15D21">
      <w:pPr>
        <w:pStyle w:val="ActHead6"/>
        <w:ind w:left="0" w:firstLine="0"/>
      </w:pPr>
      <w:bookmarkStart w:id="19" w:name="_Toc45012902"/>
      <w:bookmarkStart w:id="20" w:name="_Toc47109920"/>
      <w:bookmarkStart w:id="21" w:name="_Toc62743403"/>
      <w:bookmarkStart w:id="22" w:name="_Toc70077685"/>
      <w:r w:rsidRPr="009A5E24">
        <w:t>Schedule 1—</w:t>
      </w:r>
      <w:bookmarkEnd w:id="19"/>
      <w:bookmarkEnd w:id="20"/>
      <w:bookmarkEnd w:id="21"/>
      <w:r w:rsidRPr="009A5E24">
        <w:t>Ineligibility criteria for donor selection</w:t>
      </w:r>
      <w:bookmarkEnd w:id="22"/>
    </w:p>
    <w:p w14:paraId="55884F59" w14:textId="0D708E93" w:rsidR="00C15D21" w:rsidRPr="009A5E24" w:rsidRDefault="00C15D21" w:rsidP="0012018E">
      <w:pPr>
        <w:pStyle w:val="notetext"/>
        <w:spacing w:after="300"/>
        <w:ind w:left="0" w:firstLine="0"/>
      </w:pPr>
      <w:r w:rsidRPr="009A5E24">
        <w:t>Note</w:t>
      </w:r>
      <w:r w:rsidR="0012018E" w:rsidRPr="009A5E24">
        <w:t xml:space="preserve"> 1</w:t>
      </w:r>
      <w:r w:rsidRPr="009A5E24">
        <w:t>:</w:t>
      </w:r>
      <w:r w:rsidRPr="009A5E24">
        <w:tab/>
        <w:t>See section</w:t>
      </w:r>
      <w:r w:rsidR="00EF43D1" w:rsidRPr="009A5E24">
        <w:t xml:space="preserve"> 9</w:t>
      </w:r>
      <w:r w:rsidRPr="009A5E24">
        <w:t>.</w:t>
      </w:r>
    </w:p>
    <w:p w14:paraId="6E3EF002" w14:textId="3D79EBBE" w:rsidR="0012018E" w:rsidRPr="009A5E24" w:rsidRDefault="0012018E" w:rsidP="0012018E">
      <w:pPr>
        <w:pStyle w:val="notetext"/>
        <w:spacing w:after="300"/>
        <w:ind w:left="720" w:hanging="720"/>
      </w:pPr>
      <w:r w:rsidRPr="009A5E24">
        <w:t>Note 2:</w:t>
      </w:r>
      <w:r w:rsidRPr="009A5E24">
        <w:tab/>
        <w:t>The testing mentioned in column 3</w:t>
      </w:r>
      <w:r w:rsidR="0084392B" w:rsidRPr="009A5E24">
        <w:t xml:space="preserve"> of each item of this table (if any)</w:t>
      </w:r>
      <w:r w:rsidRPr="009A5E24">
        <w:t xml:space="preserve"> must comply with the general requirements specified in subsections 8(4) to (10).</w:t>
      </w:r>
    </w:p>
    <w:tbl>
      <w:tblPr>
        <w:tblW w:w="8364" w:type="dxa"/>
        <w:jc w:val="center"/>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276"/>
        <w:gridCol w:w="4111"/>
        <w:gridCol w:w="2977"/>
      </w:tblGrid>
      <w:tr w:rsidR="00C15D21" w:rsidRPr="009A5E24" w14:paraId="1101ACD1" w14:textId="77777777" w:rsidTr="00C15D21">
        <w:trPr>
          <w:tblHeader/>
          <w:jc w:val="center"/>
        </w:trPr>
        <w:tc>
          <w:tcPr>
            <w:tcW w:w="8364" w:type="dxa"/>
            <w:gridSpan w:val="3"/>
            <w:tcBorders>
              <w:top w:val="single" w:sz="12" w:space="0" w:color="auto"/>
              <w:bottom w:val="single" w:sz="6" w:space="0" w:color="auto"/>
            </w:tcBorders>
            <w:shd w:val="clear" w:color="auto" w:fill="auto"/>
            <w:hideMark/>
          </w:tcPr>
          <w:p w14:paraId="6958DC20" w14:textId="77777777" w:rsidR="00C15D21" w:rsidRPr="009A5E24" w:rsidRDefault="00C15D21" w:rsidP="00C15D21">
            <w:pPr>
              <w:pStyle w:val="TableHeading"/>
            </w:pPr>
            <w:r w:rsidRPr="009A5E24">
              <w:t xml:space="preserve">Ineligibility criteria for donor selection </w:t>
            </w:r>
          </w:p>
        </w:tc>
      </w:tr>
      <w:tr w:rsidR="00C15D21" w:rsidRPr="009A5E24" w14:paraId="29D6039C" w14:textId="77777777" w:rsidTr="00C15D21">
        <w:trPr>
          <w:tblHeader/>
          <w:jc w:val="center"/>
        </w:trPr>
        <w:tc>
          <w:tcPr>
            <w:tcW w:w="1276" w:type="dxa"/>
            <w:tcBorders>
              <w:top w:val="single" w:sz="6" w:space="0" w:color="auto"/>
              <w:bottom w:val="single" w:sz="6" w:space="0" w:color="auto"/>
            </w:tcBorders>
            <w:shd w:val="clear" w:color="auto" w:fill="auto"/>
            <w:hideMark/>
          </w:tcPr>
          <w:p w14:paraId="084F84B4" w14:textId="77777777" w:rsidR="00C15D21" w:rsidRPr="009A5E24" w:rsidRDefault="00C15D21" w:rsidP="00C15D21">
            <w:pPr>
              <w:pStyle w:val="TableHeading"/>
            </w:pPr>
            <w:r w:rsidRPr="009A5E24">
              <w:t>Column 1</w:t>
            </w:r>
          </w:p>
        </w:tc>
        <w:tc>
          <w:tcPr>
            <w:tcW w:w="4111" w:type="dxa"/>
            <w:tcBorders>
              <w:top w:val="single" w:sz="6" w:space="0" w:color="auto"/>
              <w:bottom w:val="single" w:sz="6" w:space="0" w:color="auto"/>
            </w:tcBorders>
            <w:shd w:val="clear" w:color="auto" w:fill="auto"/>
            <w:hideMark/>
          </w:tcPr>
          <w:p w14:paraId="6DA29866" w14:textId="77777777" w:rsidR="00C15D21" w:rsidRPr="009A5E24" w:rsidRDefault="00C15D21" w:rsidP="00C15D21">
            <w:pPr>
              <w:pStyle w:val="TableHeading"/>
            </w:pPr>
            <w:r w:rsidRPr="009A5E24">
              <w:t>Column 2</w:t>
            </w:r>
          </w:p>
        </w:tc>
        <w:tc>
          <w:tcPr>
            <w:tcW w:w="2977" w:type="dxa"/>
            <w:tcBorders>
              <w:top w:val="single" w:sz="6" w:space="0" w:color="auto"/>
              <w:bottom w:val="single" w:sz="6" w:space="0" w:color="auto"/>
            </w:tcBorders>
            <w:shd w:val="clear" w:color="auto" w:fill="auto"/>
            <w:hideMark/>
          </w:tcPr>
          <w:p w14:paraId="11BD64F0" w14:textId="77777777" w:rsidR="00C15D21" w:rsidRPr="009A5E24" w:rsidRDefault="00C15D21" w:rsidP="00C15D21">
            <w:pPr>
              <w:pStyle w:val="TableHeading"/>
            </w:pPr>
            <w:r w:rsidRPr="009A5E24">
              <w:t>Column 3</w:t>
            </w:r>
          </w:p>
        </w:tc>
      </w:tr>
      <w:tr w:rsidR="00C15D21" w:rsidRPr="009A5E24" w14:paraId="313723FE" w14:textId="77777777" w:rsidTr="00C86DCC">
        <w:trPr>
          <w:tblHeader/>
          <w:jc w:val="center"/>
        </w:trPr>
        <w:tc>
          <w:tcPr>
            <w:tcW w:w="1276" w:type="dxa"/>
            <w:tcBorders>
              <w:top w:val="single" w:sz="6" w:space="0" w:color="auto"/>
              <w:bottom w:val="single" w:sz="12" w:space="0" w:color="auto"/>
            </w:tcBorders>
            <w:shd w:val="clear" w:color="auto" w:fill="auto"/>
            <w:hideMark/>
          </w:tcPr>
          <w:p w14:paraId="125548E6" w14:textId="77777777" w:rsidR="00C15D21" w:rsidRPr="009A5E24" w:rsidRDefault="00C15D21" w:rsidP="00C15D21">
            <w:pPr>
              <w:pStyle w:val="TableHeading"/>
            </w:pPr>
            <w:r w:rsidRPr="009A5E24">
              <w:t>Item</w:t>
            </w:r>
          </w:p>
        </w:tc>
        <w:tc>
          <w:tcPr>
            <w:tcW w:w="4111" w:type="dxa"/>
            <w:tcBorders>
              <w:top w:val="single" w:sz="6" w:space="0" w:color="auto"/>
              <w:bottom w:val="single" w:sz="12" w:space="0" w:color="auto"/>
            </w:tcBorders>
            <w:shd w:val="clear" w:color="auto" w:fill="auto"/>
            <w:hideMark/>
          </w:tcPr>
          <w:p w14:paraId="6CDA4F22" w14:textId="77777777" w:rsidR="00C15D21" w:rsidRPr="009A5E24" w:rsidRDefault="00C15D21" w:rsidP="00C15D21">
            <w:pPr>
              <w:pStyle w:val="TableHeading"/>
            </w:pPr>
            <w:r w:rsidRPr="009A5E24">
              <w:t>Medical and social history criteria</w:t>
            </w:r>
          </w:p>
        </w:tc>
        <w:tc>
          <w:tcPr>
            <w:tcW w:w="2977" w:type="dxa"/>
            <w:tcBorders>
              <w:top w:val="single" w:sz="6" w:space="0" w:color="auto"/>
              <w:bottom w:val="single" w:sz="12" w:space="0" w:color="auto"/>
            </w:tcBorders>
            <w:shd w:val="clear" w:color="auto" w:fill="auto"/>
            <w:hideMark/>
          </w:tcPr>
          <w:p w14:paraId="0E1AB24E" w14:textId="77777777" w:rsidR="00C15D21" w:rsidRPr="009A5E24" w:rsidRDefault="00C15D21" w:rsidP="00C15D21">
            <w:pPr>
              <w:pStyle w:val="TableHeading"/>
            </w:pPr>
            <w:r w:rsidRPr="009A5E24">
              <w:t>Period of ineligibility</w:t>
            </w:r>
          </w:p>
        </w:tc>
      </w:tr>
      <w:tr w:rsidR="00C15D21" w:rsidRPr="009A5E24" w14:paraId="62D770B5" w14:textId="77777777" w:rsidTr="00C86DCC">
        <w:trPr>
          <w:jc w:val="center"/>
        </w:trPr>
        <w:tc>
          <w:tcPr>
            <w:tcW w:w="1276" w:type="dxa"/>
            <w:tcBorders>
              <w:top w:val="single" w:sz="12" w:space="0" w:color="auto"/>
              <w:bottom w:val="single" w:sz="6" w:space="0" w:color="auto"/>
            </w:tcBorders>
            <w:shd w:val="clear" w:color="auto" w:fill="auto"/>
            <w:hideMark/>
          </w:tcPr>
          <w:p w14:paraId="2B6C8FF5" w14:textId="77777777" w:rsidR="00C15D21" w:rsidRPr="009A5E24" w:rsidRDefault="00C15D21" w:rsidP="00C15D21">
            <w:pPr>
              <w:pStyle w:val="Tabletext"/>
              <w:rPr>
                <w:i/>
              </w:rPr>
            </w:pPr>
            <w:r w:rsidRPr="009A5E24">
              <w:t>1</w:t>
            </w:r>
          </w:p>
        </w:tc>
        <w:tc>
          <w:tcPr>
            <w:tcW w:w="4111" w:type="dxa"/>
            <w:tcBorders>
              <w:top w:val="single" w:sz="12" w:space="0" w:color="auto"/>
              <w:bottom w:val="single" w:sz="6" w:space="0" w:color="auto"/>
            </w:tcBorders>
            <w:shd w:val="clear" w:color="auto" w:fill="auto"/>
            <w:hideMark/>
          </w:tcPr>
          <w:p w14:paraId="7EDB64D2" w14:textId="77777777" w:rsidR="00C15D21" w:rsidRPr="009A5E24" w:rsidRDefault="00C15D21" w:rsidP="00C15D21">
            <w:pPr>
              <w:pStyle w:val="Tabletext"/>
              <w:ind w:left="370" w:hanging="370"/>
            </w:pPr>
            <w:r w:rsidRPr="009A5E24">
              <w:t>a person who is infected with:</w:t>
            </w:r>
          </w:p>
          <w:p w14:paraId="41B7BCAF" w14:textId="5C173007" w:rsidR="00F5219D" w:rsidRPr="009A5E24" w:rsidRDefault="006D70CA" w:rsidP="006D70CA">
            <w:pPr>
              <w:pStyle w:val="Tabletext"/>
              <w:ind w:left="336" w:hanging="336"/>
            </w:pPr>
            <w:r w:rsidRPr="009A5E24">
              <w:t>(a)</w:t>
            </w:r>
            <w:r w:rsidRPr="009A5E24">
              <w:tab/>
            </w:r>
            <w:r w:rsidR="00F5219D" w:rsidRPr="009A5E24">
              <w:t>HCV;</w:t>
            </w:r>
          </w:p>
          <w:p w14:paraId="40CE4ABC" w14:textId="2C255F21" w:rsidR="00C15D21" w:rsidRPr="009A5E24" w:rsidRDefault="006D70CA" w:rsidP="006D70CA">
            <w:pPr>
              <w:pStyle w:val="Tabletext"/>
              <w:ind w:left="336" w:hanging="336"/>
            </w:pPr>
            <w:r w:rsidRPr="009A5E24">
              <w:t>(b)</w:t>
            </w:r>
            <w:r w:rsidRPr="009A5E24">
              <w:tab/>
            </w:r>
            <w:r w:rsidR="00C15D21" w:rsidRPr="009A5E24">
              <w:t>HIV-1;</w:t>
            </w:r>
            <w:r w:rsidR="002A34C9" w:rsidRPr="009A5E24">
              <w:t xml:space="preserve"> or</w:t>
            </w:r>
          </w:p>
          <w:p w14:paraId="4515DAE0" w14:textId="4AF375C5" w:rsidR="00C15D21" w:rsidRPr="009A5E24" w:rsidRDefault="00D54916" w:rsidP="006D70CA">
            <w:pPr>
              <w:pStyle w:val="Tabletext"/>
              <w:ind w:left="336" w:hanging="336"/>
            </w:pPr>
            <w:r w:rsidRPr="009A5E24">
              <w:t>(</w:t>
            </w:r>
            <w:r w:rsidR="00F5219D" w:rsidRPr="009A5E24">
              <w:t>c</w:t>
            </w:r>
            <w:r w:rsidR="006D70CA" w:rsidRPr="009A5E24">
              <w:t>)</w:t>
            </w:r>
            <w:r w:rsidR="006D70CA" w:rsidRPr="009A5E24">
              <w:tab/>
            </w:r>
            <w:r w:rsidR="00C15D21" w:rsidRPr="009A5E24">
              <w:t>HIV-2</w:t>
            </w:r>
          </w:p>
        </w:tc>
        <w:tc>
          <w:tcPr>
            <w:tcW w:w="2977" w:type="dxa"/>
            <w:tcBorders>
              <w:top w:val="single" w:sz="12" w:space="0" w:color="auto"/>
              <w:bottom w:val="single" w:sz="6" w:space="0" w:color="auto"/>
            </w:tcBorders>
            <w:shd w:val="clear" w:color="auto" w:fill="auto"/>
          </w:tcPr>
          <w:p w14:paraId="727A8F46" w14:textId="77777777" w:rsidR="00C15D21" w:rsidRPr="009A5E24" w:rsidRDefault="00C15D21" w:rsidP="00C15D21">
            <w:pPr>
              <w:pStyle w:val="Tabletext"/>
              <w:ind w:left="370" w:hanging="370"/>
            </w:pPr>
            <w:r w:rsidRPr="009A5E24">
              <w:t>permanently ineligible</w:t>
            </w:r>
          </w:p>
        </w:tc>
      </w:tr>
      <w:tr w:rsidR="002A34C9" w:rsidRPr="009A5E24" w14:paraId="7C38089F" w14:textId="77777777" w:rsidTr="00C86DCC">
        <w:trPr>
          <w:jc w:val="center"/>
        </w:trPr>
        <w:tc>
          <w:tcPr>
            <w:tcW w:w="1276" w:type="dxa"/>
            <w:tcBorders>
              <w:top w:val="single" w:sz="6" w:space="0" w:color="auto"/>
              <w:bottom w:val="single" w:sz="6" w:space="0" w:color="auto"/>
            </w:tcBorders>
            <w:shd w:val="clear" w:color="auto" w:fill="auto"/>
          </w:tcPr>
          <w:p w14:paraId="7E0BA864" w14:textId="77777777" w:rsidR="002A34C9" w:rsidRPr="009A5E24" w:rsidRDefault="002A34C9" w:rsidP="00C15D21">
            <w:pPr>
              <w:pStyle w:val="Tabletext"/>
            </w:pPr>
            <w:r w:rsidRPr="009A5E24">
              <w:t>2</w:t>
            </w:r>
          </w:p>
        </w:tc>
        <w:tc>
          <w:tcPr>
            <w:tcW w:w="4111" w:type="dxa"/>
            <w:tcBorders>
              <w:top w:val="single" w:sz="6" w:space="0" w:color="auto"/>
              <w:bottom w:val="single" w:sz="6" w:space="0" w:color="auto"/>
            </w:tcBorders>
            <w:shd w:val="clear" w:color="auto" w:fill="auto"/>
          </w:tcPr>
          <w:p w14:paraId="2047FFF6" w14:textId="77777777" w:rsidR="002A34C9" w:rsidRPr="009A5E24" w:rsidRDefault="002A34C9" w:rsidP="00C15D21">
            <w:pPr>
              <w:pStyle w:val="Tabletext"/>
              <w:ind w:left="370" w:hanging="370"/>
            </w:pPr>
            <w:r w:rsidRPr="009A5E24">
              <w:t>a person who is infected with:</w:t>
            </w:r>
          </w:p>
          <w:p w14:paraId="05334F1F" w14:textId="637ED6A0" w:rsidR="002A34C9" w:rsidRPr="009A5E24" w:rsidRDefault="006D70CA" w:rsidP="006D70CA">
            <w:pPr>
              <w:pStyle w:val="Tabletext"/>
              <w:ind w:left="336" w:hanging="336"/>
            </w:pPr>
            <w:r w:rsidRPr="009A5E24">
              <w:t>(a)</w:t>
            </w:r>
            <w:r w:rsidRPr="009A5E24">
              <w:tab/>
            </w:r>
            <w:r w:rsidR="002A34C9" w:rsidRPr="009A5E24">
              <w:t>HTLV-1; or</w:t>
            </w:r>
          </w:p>
          <w:p w14:paraId="1C6F0812" w14:textId="5E126B13" w:rsidR="002A34C9" w:rsidRPr="009A5E24" w:rsidRDefault="006D70CA" w:rsidP="006D70CA">
            <w:pPr>
              <w:pStyle w:val="Tabletext"/>
              <w:ind w:left="336" w:hanging="336"/>
            </w:pPr>
            <w:r w:rsidRPr="009A5E24">
              <w:t>(b)</w:t>
            </w:r>
            <w:r w:rsidRPr="009A5E24">
              <w:tab/>
            </w:r>
            <w:r w:rsidR="002A34C9" w:rsidRPr="009A5E24">
              <w:t>HTLV-2</w:t>
            </w:r>
          </w:p>
        </w:tc>
        <w:tc>
          <w:tcPr>
            <w:tcW w:w="2977" w:type="dxa"/>
            <w:tcBorders>
              <w:top w:val="single" w:sz="6" w:space="0" w:color="auto"/>
              <w:bottom w:val="single" w:sz="6" w:space="0" w:color="auto"/>
            </w:tcBorders>
            <w:shd w:val="clear" w:color="auto" w:fill="auto"/>
          </w:tcPr>
          <w:p w14:paraId="6A9549AB" w14:textId="77777777" w:rsidR="002A34C9" w:rsidRPr="009A5E24" w:rsidRDefault="002A34C9" w:rsidP="00C15D21">
            <w:pPr>
              <w:pStyle w:val="Tabletext"/>
              <w:ind w:left="370" w:hanging="370"/>
            </w:pPr>
            <w:r w:rsidRPr="009A5E24">
              <w:t>permanently ineligible</w:t>
            </w:r>
          </w:p>
        </w:tc>
      </w:tr>
      <w:tr w:rsidR="00C15D21" w:rsidRPr="009A5E24" w14:paraId="4E826792" w14:textId="77777777" w:rsidTr="00C15D21">
        <w:trPr>
          <w:jc w:val="center"/>
        </w:trPr>
        <w:tc>
          <w:tcPr>
            <w:tcW w:w="1276" w:type="dxa"/>
            <w:tcBorders>
              <w:top w:val="single" w:sz="6" w:space="0" w:color="auto"/>
              <w:bottom w:val="single" w:sz="6" w:space="0" w:color="auto"/>
              <w:right w:val="nil"/>
            </w:tcBorders>
            <w:shd w:val="clear" w:color="auto" w:fill="auto"/>
          </w:tcPr>
          <w:p w14:paraId="0CAFC45C" w14:textId="77777777" w:rsidR="00C15D21" w:rsidRPr="009A5E24" w:rsidRDefault="002A34C9" w:rsidP="00C15D21">
            <w:pPr>
              <w:pStyle w:val="Tabletext"/>
            </w:pPr>
            <w:r w:rsidRPr="009A5E24">
              <w:t>3</w:t>
            </w:r>
          </w:p>
        </w:tc>
        <w:tc>
          <w:tcPr>
            <w:tcW w:w="4111" w:type="dxa"/>
            <w:tcBorders>
              <w:top w:val="single" w:sz="6" w:space="0" w:color="auto"/>
              <w:left w:val="nil"/>
              <w:bottom w:val="single" w:sz="6" w:space="0" w:color="auto"/>
              <w:right w:val="nil"/>
            </w:tcBorders>
            <w:shd w:val="clear" w:color="auto" w:fill="auto"/>
          </w:tcPr>
          <w:p w14:paraId="4E0CB5FE" w14:textId="77777777" w:rsidR="00C15D21" w:rsidRPr="009A5E24" w:rsidRDefault="00C15D21" w:rsidP="00C15D21">
            <w:pPr>
              <w:pStyle w:val="Tabletext"/>
              <w:ind w:left="370" w:hanging="370"/>
            </w:pPr>
            <w:r w:rsidRPr="009A5E24">
              <w:t>a person who has potentially been exposed to:</w:t>
            </w:r>
          </w:p>
          <w:p w14:paraId="58AEB06E" w14:textId="0FDC13B1" w:rsidR="00C15D21" w:rsidRPr="009A5E24" w:rsidRDefault="006D70CA" w:rsidP="006D70CA">
            <w:pPr>
              <w:pStyle w:val="Tabletext"/>
              <w:ind w:left="336" w:hanging="336"/>
            </w:pPr>
            <w:r w:rsidRPr="009A5E24">
              <w:t>(a)</w:t>
            </w:r>
            <w:r w:rsidRPr="009A5E24">
              <w:tab/>
            </w:r>
            <w:r w:rsidR="00C15D21" w:rsidRPr="009A5E24">
              <w:t>HCV;</w:t>
            </w:r>
          </w:p>
          <w:p w14:paraId="40B36006" w14:textId="73DAC6F1" w:rsidR="00C15D21" w:rsidRPr="009A5E24" w:rsidRDefault="006D70CA" w:rsidP="006D70CA">
            <w:pPr>
              <w:pStyle w:val="Tabletext"/>
              <w:ind w:left="336" w:hanging="336"/>
            </w:pPr>
            <w:r w:rsidRPr="009A5E24">
              <w:t>(b)</w:t>
            </w:r>
            <w:r w:rsidRPr="009A5E24">
              <w:tab/>
            </w:r>
            <w:r w:rsidR="00C15D21" w:rsidRPr="009A5E24">
              <w:t>HIV-1;</w:t>
            </w:r>
            <w:r w:rsidR="002A34C9" w:rsidRPr="009A5E24">
              <w:t xml:space="preserve"> or</w:t>
            </w:r>
          </w:p>
          <w:p w14:paraId="3C77ADE2" w14:textId="3251A791" w:rsidR="00C15D21" w:rsidRPr="009A5E24" w:rsidRDefault="006D70CA" w:rsidP="006D70CA">
            <w:pPr>
              <w:pStyle w:val="Tabletext"/>
              <w:ind w:left="336" w:hanging="336"/>
            </w:pPr>
            <w:r w:rsidRPr="009A5E24">
              <w:t>(c)</w:t>
            </w:r>
            <w:r w:rsidRPr="009A5E24">
              <w:tab/>
            </w:r>
            <w:r w:rsidR="00C15D21" w:rsidRPr="009A5E24">
              <w:t>HIV-2</w:t>
            </w:r>
          </w:p>
        </w:tc>
        <w:tc>
          <w:tcPr>
            <w:tcW w:w="2977" w:type="dxa"/>
            <w:tcBorders>
              <w:top w:val="single" w:sz="6" w:space="0" w:color="auto"/>
              <w:left w:val="nil"/>
              <w:bottom w:val="single" w:sz="6" w:space="0" w:color="auto"/>
            </w:tcBorders>
            <w:shd w:val="clear" w:color="auto" w:fill="auto"/>
          </w:tcPr>
          <w:p w14:paraId="56567990" w14:textId="77777777" w:rsidR="00C15D21" w:rsidRPr="009A5E24" w:rsidRDefault="00C15D21" w:rsidP="00C15D21">
            <w:pPr>
              <w:pStyle w:val="Tabletext"/>
            </w:pPr>
            <w:r w:rsidRPr="009A5E24">
              <w:t>ineligible until it has been demonstrated that the person is not infected</w:t>
            </w:r>
          </w:p>
        </w:tc>
      </w:tr>
      <w:tr w:rsidR="002A34C9" w:rsidRPr="009A5E24" w14:paraId="3C29B02B" w14:textId="77777777" w:rsidTr="00C15D21">
        <w:trPr>
          <w:jc w:val="center"/>
        </w:trPr>
        <w:tc>
          <w:tcPr>
            <w:tcW w:w="1276" w:type="dxa"/>
            <w:tcBorders>
              <w:top w:val="single" w:sz="6" w:space="0" w:color="auto"/>
              <w:bottom w:val="single" w:sz="6" w:space="0" w:color="auto"/>
              <w:right w:val="nil"/>
            </w:tcBorders>
            <w:shd w:val="clear" w:color="auto" w:fill="auto"/>
          </w:tcPr>
          <w:p w14:paraId="7BCC3935" w14:textId="77777777" w:rsidR="002A34C9" w:rsidRPr="009A5E24" w:rsidRDefault="002A34C9" w:rsidP="00C15D21">
            <w:pPr>
              <w:pStyle w:val="Tabletext"/>
            </w:pPr>
            <w:r w:rsidRPr="009A5E24">
              <w:t>4</w:t>
            </w:r>
          </w:p>
        </w:tc>
        <w:tc>
          <w:tcPr>
            <w:tcW w:w="4111" w:type="dxa"/>
            <w:tcBorders>
              <w:top w:val="single" w:sz="6" w:space="0" w:color="auto"/>
              <w:left w:val="nil"/>
              <w:bottom w:val="single" w:sz="6" w:space="0" w:color="auto"/>
              <w:right w:val="nil"/>
            </w:tcBorders>
            <w:shd w:val="clear" w:color="auto" w:fill="auto"/>
          </w:tcPr>
          <w:p w14:paraId="64BB990B" w14:textId="77777777" w:rsidR="002A34C9" w:rsidRPr="009A5E24" w:rsidRDefault="002A34C9" w:rsidP="00C15D21">
            <w:pPr>
              <w:pStyle w:val="Tabletext"/>
              <w:ind w:left="370" w:hanging="370"/>
            </w:pPr>
            <w:r w:rsidRPr="009A5E24">
              <w:t>a person who has potentially been exposed to:</w:t>
            </w:r>
          </w:p>
          <w:p w14:paraId="0BEB1F54" w14:textId="37216955" w:rsidR="002A34C9" w:rsidRPr="009A5E24" w:rsidRDefault="006D70CA" w:rsidP="006D70CA">
            <w:pPr>
              <w:pStyle w:val="Tabletext"/>
              <w:ind w:left="336" w:hanging="336"/>
            </w:pPr>
            <w:r w:rsidRPr="009A5E24">
              <w:t>(a)</w:t>
            </w:r>
            <w:r w:rsidRPr="009A5E24">
              <w:tab/>
            </w:r>
            <w:r w:rsidR="002A34C9" w:rsidRPr="009A5E24">
              <w:t>HTLV-1; or</w:t>
            </w:r>
          </w:p>
          <w:p w14:paraId="561D954F" w14:textId="5E171B15" w:rsidR="002A34C9" w:rsidRPr="009A5E24" w:rsidRDefault="006D70CA" w:rsidP="006D70CA">
            <w:pPr>
              <w:pStyle w:val="Tabletext"/>
              <w:ind w:left="336" w:hanging="336"/>
            </w:pPr>
            <w:r w:rsidRPr="009A5E24">
              <w:t>(b)</w:t>
            </w:r>
            <w:r w:rsidRPr="009A5E24">
              <w:tab/>
            </w:r>
            <w:r w:rsidR="002A34C9" w:rsidRPr="009A5E24">
              <w:t>HTLV-2</w:t>
            </w:r>
          </w:p>
        </w:tc>
        <w:tc>
          <w:tcPr>
            <w:tcW w:w="2977" w:type="dxa"/>
            <w:tcBorders>
              <w:top w:val="single" w:sz="6" w:space="0" w:color="auto"/>
              <w:left w:val="nil"/>
              <w:bottom w:val="single" w:sz="6" w:space="0" w:color="auto"/>
            </w:tcBorders>
            <w:shd w:val="clear" w:color="auto" w:fill="auto"/>
          </w:tcPr>
          <w:p w14:paraId="47F5CF97" w14:textId="77777777" w:rsidR="002A34C9" w:rsidRPr="009A5E24" w:rsidRDefault="002A34C9" w:rsidP="00C15D21">
            <w:pPr>
              <w:pStyle w:val="Tabletext"/>
            </w:pPr>
            <w:r w:rsidRPr="009A5E24">
              <w:t>ineligible until it has been demonstrated that the person is not infected</w:t>
            </w:r>
          </w:p>
        </w:tc>
      </w:tr>
      <w:tr w:rsidR="00C15D21" w:rsidRPr="009A5E24" w14:paraId="5C2C6F3A" w14:textId="77777777" w:rsidTr="00C15D21">
        <w:trPr>
          <w:jc w:val="center"/>
        </w:trPr>
        <w:tc>
          <w:tcPr>
            <w:tcW w:w="1276" w:type="dxa"/>
            <w:tcBorders>
              <w:top w:val="single" w:sz="6" w:space="0" w:color="auto"/>
              <w:bottom w:val="single" w:sz="6" w:space="0" w:color="auto"/>
              <w:right w:val="nil"/>
            </w:tcBorders>
            <w:shd w:val="clear" w:color="auto" w:fill="auto"/>
          </w:tcPr>
          <w:p w14:paraId="26583312" w14:textId="77777777" w:rsidR="00C15D21" w:rsidRPr="009A5E24" w:rsidRDefault="002A34C9" w:rsidP="00C15D21">
            <w:pPr>
              <w:pStyle w:val="Tabletext"/>
            </w:pPr>
            <w:r w:rsidRPr="009A5E24">
              <w:t>5</w:t>
            </w:r>
          </w:p>
        </w:tc>
        <w:tc>
          <w:tcPr>
            <w:tcW w:w="4111" w:type="dxa"/>
            <w:tcBorders>
              <w:top w:val="single" w:sz="6" w:space="0" w:color="auto"/>
              <w:left w:val="nil"/>
              <w:bottom w:val="single" w:sz="6" w:space="0" w:color="auto"/>
              <w:right w:val="nil"/>
            </w:tcBorders>
            <w:shd w:val="clear" w:color="auto" w:fill="auto"/>
          </w:tcPr>
          <w:p w14:paraId="20ABFE07" w14:textId="77777777" w:rsidR="00C15D21" w:rsidRPr="009A5E24" w:rsidRDefault="00C15D21" w:rsidP="00C15D21">
            <w:pPr>
              <w:pStyle w:val="Tabletext"/>
            </w:pPr>
            <w:r w:rsidRPr="009A5E24">
              <w:t>a person who has potentially been exposed to HBV</w:t>
            </w:r>
          </w:p>
        </w:tc>
        <w:tc>
          <w:tcPr>
            <w:tcW w:w="2977" w:type="dxa"/>
            <w:tcBorders>
              <w:top w:val="single" w:sz="6" w:space="0" w:color="auto"/>
              <w:left w:val="nil"/>
              <w:bottom w:val="single" w:sz="6" w:space="0" w:color="auto"/>
            </w:tcBorders>
            <w:shd w:val="clear" w:color="auto" w:fill="auto"/>
          </w:tcPr>
          <w:p w14:paraId="013D06C6" w14:textId="77777777" w:rsidR="00C15D21" w:rsidRPr="009A5E24" w:rsidRDefault="00C15D21" w:rsidP="00C15D21">
            <w:pPr>
              <w:pStyle w:val="Tabletext"/>
            </w:pPr>
            <w:r w:rsidRPr="009A5E24">
              <w:t>ineligible until it has been demonstrated that the person is:</w:t>
            </w:r>
          </w:p>
          <w:p w14:paraId="1D397E33" w14:textId="203DF111" w:rsidR="00C15D21" w:rsidRPr="009A5E24" w:rsidRDefault="006D70CA" w:rsidP="006D70CA">
            <w:pPr>
              <w:pStyle w:val="Tabletext"/>
              <w:ind w:left="336" w:hanging="336"/>
            </w:pPr>
            <w:r w:rsidRPr="009A5E24">
              <w:t>(a)</w:t>
            </w:r>
            <w:r w:rsidRPr="009A5E24">
              <w:tab/>
            </w:r>
            <w:r w:rsidR="00C15D21" w:rsidRPr="009A5E24">
              <w:t>immune from HBV infection; or</w:t>
            </w:r>
          </w:p>
          <w:p w14:paraId="41AB1AB5" w14:textId="61D8B845" w:rsidR="00C15D21" w:rsidRPr="009A5E24" w:rsidRDefault="00D54916" w:rsidP="006D70CA">
            <w:pPr>
              <w:pStyle w:val="Tabletext"/>
              <w:ind w:left="336" w:hanging="336"/>
            </w:pPr>
            <w:r w:rsidRPr="009A5E24">
              <w:t>(b)</w:t>
            </w:r>
            <w:r w:rsidR="006D70CA" w:rsidRPr="009A5E24">
              <w:tab/>
            </w:r>
            <w:r w:rsidR="00C15D21" w:rsidRPr="009A5E24">
              <w:t>not infected with H</w:t>
            </w:r>
            <w:r w:rsidR="00C25671" w:rsidRPr="009A5E24">
              <w:t>BV, as confirmed by NAT</w:t>
            </w:r>
          </w:p>
        </w:tc>
      </w:tr>
      <w:tr w:rsidR="00C15D21" w:rsidRPr="009A5E24" w14:paraId="3EB4F316" w14:textId="77777777" w:rsidTr="00C15D21">
        <w:trPr>
          <w:jc w:val="center"/>
        </w:trPr>
        <w:tc>
          <w:tcPr>
            <w:tcW w:w="1276" w:type="dxa"/>
            <w:tcBorders>
              <w:top w:val="single" w:sz="6" w:space="0" w:color="auto"/>
              <w:bottom w:val="single" w:sz="6" w:space="0" w:color="auto"/>
            </w:tcBorders>
            <w:shd w:val="clear" w:color="auto" w:fill="auto"/>
          </w:tcPr>
          <w:p w14:paraId="2FB3E195" w14:textId="77777777" w:rsidR="00C15D21" w:rsidRPr="009A5E24" w:rsidRDefault="002A34C9" w:rsidP="00C15D21">
            <w:pPr>
              <w:pStyle w:val="Tabletext"/>
            </w:pPr>
            <w:r w:rsidRPr="009A5E24">
              <w:t>6</w:t>
            </w:r>
          </w:p>
        </w:tc>
        <w:tc>
          <w:tcPr>
            <w:tcW w:w="4111" w:type="dxa"/>
            <w:tcBorders>
              <w:top w:val="single" w:sz="6" w:space="0" w:color="auto"/>
              <w:bottom w:val="single" w:sz="6" w:space="0" w:color="auto"/>
            </w:tcBorders>
            <w:shd w:val="clear" w:color="auto" w:fill="auto"/>
          </w:tcPr>
          <w:p w14:paraId="22E1DEFB" w14:textId="77777777" w:rsidR="00C15D21" w:rsidRPr="009A5E24" w:rsidRDefault="00C15D21" w:rsidP="00C15D21">
            <w:pPr>
              <w:pStyle w:val="Tabletext"/>
            </w:pPr>
            <w:r w:rsidRPr="009A5E24">
              <w:t>a person who has received an injection of any substance in connection with a use that is not a therapeutic use or cosmetic use</w:t>
            </w:r>
          </w:p>
        </w:tc>
        <w:tc>
          <w:tcPr>
            <w:tcW w:w="2977" w:type="dxa"/>
            <w:tcBorders>
              <w:top w:val="single" w:sz="6" w:space="0" w:color="auto"/>
              <w:bottom w:val="single" w:sz="6" w:space="0" w:color="auto"/>
            </w:tcBorders>
            <w:shd w:val="clear" w:color="auto" w:fill="auto"/>
          </w:tcPr>
          <w:p w14:paraId="4E341275" w14:textId="77777777" w:rsidR="00C15D21" w:rsidRPr="009A5E24" w:rsidRDefault="00C15D21" w:rsidP="00C15D21">
            <w:pPr>
              <w:pStyle w:val="Tabletext"/>
            </w:pPr>
            <w:r w:rsidRPr="009A5E24">
              <w:t>ineligible for at least 5 years from the last injection</w:t>
            </w:r>
          </w:p>
        </w:tc>
      </w:tr>
      <w:tr w:rsidR="00C15D21" w:rsidRPr="009A5E24" w14:paraId="68AC61E6" w14:textId="77777777" w:rsidTr="00C15D21">
        <w:trPr>
          <w:jc w:val="center"/>
        </w:trPr>
        <w:tc>
          <w:tcPr>
            <w:tcW w:w="1276" w:type="dxa"/>
            <w:tcBorders>
              <w:top w:val="single" w:sz="6" w:space="0" w:color="auto"/>
              <w:bottom w:val="single" w:sz="6" w:space="0" w:color="auto"/>
              <w:right w:val="nil"/>
            </w:tcBorders>
            <w:shd w:val="clear" w:color="auto" w:fill="auto"/>
          </w:tcPr>
          <w:p w14:paraId="3EDE7200" w14:textId="77777777" w:rsidR="00C15D21" w:rsidRPr="009A5E24" w:rsidRDefault="002A34C9" w:rsidP="00C15D21">
            <w:pPr>
              <w:pStyle w:val="Tabletext"/>
            </w:pPr>
            <w:r w:rsidRPr="009A5E24">
              <w:t>7</w:t>
            </w:r>
          </w:p>
        </w:tc>
        <w:tc>
          <w:tcPr>
            <w:tcW w:w="4111" w:type="dxa"/>
            <w:tcBorders>
              <w:top w:val="single" w:sz="6" w:space="0" w:color="auto"/>
              <w:left w:val="nil"/>
              <w:bottom w:val="single" w:sz="6" w:space="0" w:color="auto"/>
              <w:right w:val="nil"/>
            </w:tcBorders>
            <w:shd w:val="clear" w:color="auto" w:fill="auto"/>
          </w:tcPr>
          <w:p w14:paraId="76C85020" w14:textId="77777777" w:rsidR="00C15D21" w:rsidRPr="009A5E24" w:rsidRDefault="00C15D21" w:rsidP="00524291">
            <w:pPr>
              <w:pStyle w:val="Tabletext"/>
            </w:pPr>
            <w:r w:rsidRPr="009A5E24">
              <w:t>a person who has been a recipient of viable animal cells or tissues</w:t>
            </w:r>
          </w:p>
        </w:tc>
        <w:tc>
          <w:tcPr>
            <w:tcW w:w="2977" w:type="dxa"/>
            <w:tcBorders>
              <w:top w:val="single" w:sz="6" w:space="0" w:color="auto"/>
              <w:left w:val="nil"/>
              <w:bottom w:val="single" w:sz="6" w:space="0" w:color="auto"/>
            </w:tcBorders>
            <w:shd w:val="clear" w:color="auto" w:fill="auto"/>
          </w:tcPr>
          <w:p w14:paraId="7DB6CB90" w14:textId="77777777" w:rsidR="00C15D21" w:rsidRPr="009A5E24" w:rsidRDefault="00C15D21" w:rsidP="00C15D21">
            <w:pPr>
              <w:pStyle w:val="Tabletext"/>
            </w:pPr>
            <w:r w:rsidRPr="009A5E24">
              <w:t>permanently ineligible</w:t>
            </w:r>
          </w:p>
        </w:tc>
      </w:tr>
      <w:tr w:rsidR="00C15D21" w:rsidRPr="009A5E24" w14:paraId="4AB21492" w14:textId="77777777" w:rsidTr="00C15D21">
        <w:trPr>
          <w:jc w:val="center"/>
        </w:trPr>
        <w:tc>
          <w:tcPr>
            <w:tcW w:w="1276" w:type="dxa"/>
            <w:tcBorders>
              <w:top w:val="single" w:sz="6" w:space="0" w:color="auto"/>
              <w:bottom w:val="single" w:sz="6" w:space="0" w:color="auto"/>
              <w:right w:val="nil"/>
            </w:tcBorders>
            <w:shd w:val="clear" w:color="auto" w:fill="auto"/>
          </w:tcPr>
          <w:p w14:paraId="3834A7DF" w14:textId="77777777" w:rsidR="00C15D21" w:rsidRPr="009A5E24" w:rsidRDefault="002A34C9" w:rsidP="00C15D21">
            <w:pPr>
              <w:pStyle w:val="Tabletext"/>
            </w:pPr>
            <w:r w:rsidRPr="009A5E24">
              <w:t>8</w:t>
            </w:r>
          </w:p>
        </w:tc>
        <w:tc>
          <w:tcPr>
            <w:tcW w:w="4111" w:type="dxa"/>
            <w:tcBorders>
              <w:top w:val="single" w:sz="6" w:space="0" w:color="auto"/>
              <w:left w:val="nil"/>
              <w:bottom w:val="single" w:sz="6" w:space="0" w:color="auto"/>
              <w:right w:val="nil"/>
            </w:tcBorders>
            <w:shd w:val="clear" w:color="auto" w:fill="auto"/>
          </w:tcPr>
          <w:p w14:paraId="5718DE64" w14:textId="2ADEAF96" w:rsidR="00C15D21" w:rsidRPr="009A5E24" w:rsidRDefault="00C15D21" w:rsidP="00C15D21">
            <w:pPr>
              <w:pStyle w:val="Tabletext"/>
            </w:pPr>
            <w:r w:rsidRPr="009A5E24">
              <w:t xml:space="preserve">a person who is at risk of prion disease because the person has been, or </w:t>
            </w:r>
            <w:r w:rsidR="004B28AE" w:rsidRPr="009A5E24">
              <w:t xml:space="preserve">has </w:t>
            </w:r>
            <w:r w:rsidRPr="009A5E24">
              <w:t>potentially been, exposed to the putative causative agent of one of the family of pathogenic transmissible spongiform encephalopathies, including:</w:t>
            </w:r>
          </w:p>
          <w:p w14:paraId="70188DFF" w14:textId="01ACA401" w:rsidR="00C15D21" w:rsidRPr="009A5E24" w:rsidRDefault="006D70CA" w:rsidP="006D70CA">
            <w:pPr>
              <w:pStyle w:val="Tabletext"/>
              <w:ind w:left="336" w:hanging="336"/>
            </w:pPr>
            <w:r w:rsidRPr="009A5E24">
              <w:t>(a)</w:t>
            </w:r>
            <w:r w:rsidRPr="009A5E24">
              <w:tab/>
            </w:r>
            <w:r w:rsidR="00C15D21" w:rsidRPr="009A5E24">
              <w:t>genetic (familial) exposure;</w:t>
            </w:r>
          </w:p>
          <w:p w14:paraId="790C7083" w14:textId="3389BD69" w:rsidR="00C15D21" w:rsidRPr="009A5E24" w:rsidRDefault="006D70CA" w:rsidP="006D70CA">
            <w:pPr>
              <w:pStyle w:val="Tabletext"/>
              <w:ind w:left="336" w:hanging="336"/>
            </w:pPr>
            <w:r w:rsidRPr="009A5E24">
              <w:t>(b)</w:t>
            </w:r>
            <w:r w:rsidRPr="009A5E24">
              <w:tab/>
            </w:r>
            <w:r w:rsidR="00C15D21" w:rsidRPr="009A5E24">
              <w:t>environmental exposure, including living in or visiting England, Scotland, Wales, Northern Ireland or the Isle of Man for a cumulative period of 6 months or more, at any time between 1 January 1980 and 31 December 1996; or</w:t>
            </w:r>
          </w:p>
          <w:p w14:paraId="6D453B9C" w14:textId="77157B61" w:rsidR="00C15D21" w:rsidRPr="009A5E24" w:rsidRDefault="006D70CA" w:rsidP="006D70CA">
            <w:pPr>
              <w:pStyle w:val="Tabletext"/>
              <w:ind w:left="336" w:hanging="336"/>
            </w:pPr>
            <w:r w:rsidRPr="009A5E24">
              <w:t>(c)</w:t>
            </w:r>
            <w:r w:rsidRPr="009A5E24">
              <w:tab/>
            </w:r>
            <w:r w:rsidR="00C15D21" w:rsidRPr="009A5E24">
              <w:t>iatrogenic exposure, including receiving a transfusion or injection of blood or blood components while in England, Scotland, Wales, Northern Ireland or the Isle of Man at any time on or after 1 January 1980</w:t>
            </w:r>
          </w:p>
        </w:tc>
        <w:tc>
          <w:tcPr>
            <w:tcW w:w="2977" w:type="dxa"/>
            <w:tcBorders>
              <w:top w:val="single" w:sz="6" w:space="0" w:color="auto"/>
              <w:left w:val="nil"/>
              <w:bottom w:val="single" w:sz="6" w:space="0" w:color="auto"/>
            </w:tcBorders>
            <w:shd w:val="clear" w:color="auto" w:fill="auto"/>
          </w:tcPr>
          <w:p w14:paraId="140CD0C7" w14:textId="77777777" w:rsidR="00C15D21" w:rsidRPr="009A5E24" w:rsidRDefault="00C15D21" w:rsidP="00C15D21">
            <w:pPr>
              <w:pStyle w:val="Tabletext"/>
            </w:pPr>
            <w:r w:rsidRPr="009A5E24">
              <w:t>permanently ineligible</w:t>
            </w:r>
          </w:p>
        </w:tc>
      </w:tr>
      <w:tr w:rsidR="00C15D21" w:rsidRPr="009A5E24" w14:paraId="6B8CE1A0" w14:textId="77777777" w:rsidTr="00C15D21">
        <w:trPr>
          <w:jc w:val="center"/>
        </w:trPr>
        <w:tc>
          <w:tcPr>
            <w:tcW w:w="1276" w:type="dxa"/>
            <w:tcBorders>
              <w:top w:val="single" w:sz="6" w:space="0" w:color="auto"/>
              <w:bottom w:val="single" w:sz="6" w:space="0" w:color="auto"/>
              <w:right w:val="nil"/>
            </w:tcBorders>
            <w:shd w:val="clear" w:color="auto" w:fill="auto"/>
          </w:tcPr>
          <w:p w14:paraId="2CCBFA4F" w14:textId="77777777" w:rsidR="00C15D21" w:rsidRPr="009A5E24" w:rsidRDefault="002A34C9" w:rsidP="00C15D21">
            <w:pPr>
              <w:pStyle w:val="Tabletext"/>
            </w:pPr>
            <w:r w:rsidRPr="009A5E24">
              <w:t>9</w:t>
            </w:r>
          </w:p>
        </w:tc>
        <w:tc>
          <w:tcPr>
            <w:tcW w:w="4111" w:type="dxa"/>
            <w:tcBorders>
              <w:top w:val="single" w:sz="6" w:space="0" w:color="auto"/>
              <w:left w:val="nil"/>
              <w:bottom w:val="single" w:sz="6" w:space="0" w:color="auto"/>
              <w:right w:val="nil"/>
            </w:tcBorders>
            <w:shd w:val="clear" w:color="auto" w:fill="auto"/>
          </w:tcPr>
          <w:p w14:paraId="284E774D" w14:textId="77777777" w:rsidR="00C15D21" w:rsidRPr="009A5E24" w:rsidRDefault="00C15D21" w:rsidP="00C15D21">
            <w:pPr>
              <w:pStyle w:val="Tabletext"/>
            </w:pPr>
            <w:r w:rsidRPr="009A5E24">
              <w:t>a person who has been a recipient of human pituitary-derived hormone</w:t>
            </w:r>
          </w:p>
        </w:tc>
        <w:tc>
          <w:tcPr>
            <w:tcW w:w="2977" w:type="dxa"/>
            <w:tcBorders>
              <w:top w:val="single" w:sz="6" w:space="0" w:color="auto"/>
              <w:left w:val="nil"/>
              <w:bottom w:val="single" w:sz="6" w:space="0" w:color="auto"/>
            </w:tcBorders>
            <w:shd w:val="clear" w:color="auto" w:fill="auto"/>
          </w:tcPr>
          <w:p w14:paraId="65438D34" w14:textId="77777777" w:rsidR="00C15D21" w:rsidRPr="009A5E24" w:rsidRDefault="00C15D21" w:rsidP="00C15D21">
            <w:pPr>
              <w:pStyle w:val="Tabletext"/>
            </w:pPr>
            <w:r w:rsidRPr="009A5E24">
              <w:t>permanently ineligible</w:t>
            </w:r>
          </w:p>
        </w:tc>
      </w:tr>
      <w:tr w:rsidR="00C15D21" w:rsidRPr="009A5E24" w14:paraId="2B129D74" w14:textId="77777777" w:rsidTr="00C15D21">
        <w:trPr>
          <w:jc w:val="center"/>
        </w:trPr>
        <w:tc>
          <w:tcPr>
            <w:tcW w:w="1276" w:type="dxa"/>
            <w:tcBorders>
              <w:top w:val="single" w:sz="6" w:space="0" w:color="auto"/>
              <w:bottom w:val="single" w:sz="6" w:space="0" w:color="auto"/>
              <w:right w:val="nil"/>
            </w:tcBorders>
            <w:shd w:val="clear" w:color="auto" w:fill="auto"/>
          </w:tcPr>
          <w:p w14:paraId="16B899E2" w14:textId="77777777" w:rsidR="00C15D21" w:rsidRPr="009A5E24" w:rsidRDefault="002A34C9" w:rsidP="00C15D21">
            <w:pPr>
              <w:pStyle w:val="Tabletext"/>
            </w:pPr>
            <w:r w:rsidRPr="009A5E24">
              <w:t>10</w:t>
            </w:r>
          </w:p>
        </w:tc>
        <w:tc>
          <w:tcPr>
            <w:tcW w:w="4111" w:type="dxa"/>
            <w:tcBorders>
              <w:top w:val="single" w:sz="6" w:space="0" w:color="auto"/>
              <w:left w:val="nil"/>
              <w:bottom w:val="single" w:sz="6" w:space="0" w:color="auto"/>
              <w:right w:val="nil"/>
            </w:tcBorders>
            <w:shd w:val="clear" w:color="auto" w:fill="auto"/>
          </w:tcPr>
          <w:p w14:paraId="42F4362A" w14:textId="77777777" w:rsidR="00C15D21" w:rsidRPr="009A5E24" w:rsidRDefault="00C15D21" w:rsidP="00C15D21">
            <w:pPr>
              <w:pStyle w:val="Tabletext"/>
            </w:pPr>
            <w:r w:rsidRPr="009A5E24">
              <w:t>a person who has been exposed to any of the following risks of acquiring a blood borne transmissible infection:</w:t>
            </w:r>
          </w:p>
          <w:p w14:paraId="2DCEB28A" w14:textId="1BB5CBB4" w:rsidR="00C15D21" w:rsidRPr="009A5E24" w:rsidRDefault="00D54916" w:rsidP="006D70CA">
            <w:pPr>
              <w:pStyle w:val="Tabletext"/>
              <w:ind w:left="336" w:hanging="336"/>
            </w:pPr>
            <w:r w:rsidRPr="009A5E24">
              <w:t>(a)</w:t>
            </w:r>
            <w:r w:rsidR="006D70CA" w:rsidRPr="009A5E24">
              <w:tab/>
            </w:r>
            <w:r w:rsidR="00C15D21" w:rsidRPr="009A5E24">
              <w:t>mucosal splash with blood or other bodily fluids;</w:t>
            </w:r>
          </w:p>
          <w:p w14:paraId="6DA42455" w14:textId="2F89976C" w:rsidR="00C15D21" w:rsidRPr="009A5E24" w:rsidRDefault="006D70CA" w:rsidP="006D70CA">
            <w:pPr>
              <w:pStyle w:val="Tabletext"/>
              <w:ind w:left="336" w:hanging="336"/>
            </w:pPr>
            <w:r w:rsidRPr="009A5E24">
              <w:t>(b)</w:t>
            </w:r>
            <w:r w:rsidRPr="009A5E24">
              <w:tab/>
            </w:r>
            <w:r w:rsidR="00C15D21" w:rsidRPr="009A5E24">
              <w:t>needle stick injury;</w:t>
            </w:r>
          </w:p>
          <w:p w14:paraId="4D12C6AA" w14:textId="2E714490" w:rsidR="00C15D21" w:rsidRPr="009A5E24" w:rsidRDefault="006D70CA" w:rsidP="006D70CA">
            <w:pPr>
              <w:pStyle w:val="Tabletext"/>
              <w:ind w:left="336" w:hanging="336"/>
            </w:pPr>
            <w:r w:rsidRPr="009A5E24">
              <w:t>(c)</w:t>
            </w:r>
            <w:r w:rsidRPr="009A5E24">
              <w:tab/>
            </w:r>
            <w:r w:rsidR="00C15D21" w:rsidRPr="009A5E24">
              <w:t>tattoo;</w:t>
            </w:r>
          </w:p>
          <w:p w14:paraId="645C5646" w14:textId="75C91E5C" w:rsidR="00C15D21" w:rsidRPr="009A5E24" w:rsidRDefault="006D70CA" w:rsidP="006D70CA">
            <w:pPr>
              <w:pStyle w:val="Tabletext"/>
              <w:ind w:left="336" w:hanging="336"/>
            </w:pPr>
            <w:r w:rsidRPr="009A5E24">
              <w:t>(d)</w:t>
            </w:r>
            <w:r w:rsidRPr="009A5E24">
              <w:tab/>
            </w:r>
            <w:r w:rsidR="00C15D21" w:rsidRPr="009A5E24">
              <w:t>body piercing (including earring); or</w:t>
            </w:r>
          </w:p>
          <w:p w14:paraId="4566B88F" w14:textId="5973715A" w:rsidR="00C15D21" w:rsidRPr="009A5E24" w:rsidRDefault="006D70CA" w:rsidP="006D70CA">
            <w:pPr>
              <w:pStyle w:val="Tabletext"/>
              <w:ind w:left="336" w:hanging="336"/>
            </w:pPr>
            <w:r w:rsidRPr="009A5E24">
              <w:t>(e)</w:t>
            </w:r>
            <w:r w:rsidRPr="009A5E24">
              <w:tab/>
            </w:r>
            <w:r w:rsidR="00C15D21" w:rsidRPr="009A5E24">
              <w:t>acupuncture or dry-needling, unless performed using sterile, single-use needles</w:t>
            </w:r>
          </w:p>
        </w:tc>
        <w:tc>
          <w:tcPr>
            <w:tcW w:w="2977" w:type="dxa"/>
            <w:tcBorders>
              <w:top w:val="single" w:sz="6" w:space="0" w:color="auto"/>
              <w:left w:val="nil"/>
              <w:bottom w:val="single" w:sz="6" w:space="0" w:color="auto"/>
            </w:tcBorders>
            <w:shd w:val="clear" w:color="auto" w:fill="auto"/>
          </w:tcPr>
          <w:p w14:paraId="10C32CD4" w14:textId="008C266C" w:rsidR="00C15D21" w:rsidRPr="009A5E24" w:rsidRDefault="006D70CA" w:rsidP="006D70CA">
            <w:pPr>
              <w:pStyle w:val="Tabletext"/>
              <w:ind w:left="336" w:hanging="336"/>
            </w:pPr>
            <w:r w:rsidRPr="009A5E24">
              <w:t>(a)</w:t>
            </w:r>
            <w:r w:rsidRPr="009A5E24">
              <w:tab/>
            </w:r>
            <w:r w:rsidR="00C15D21" w:rsidRPr="009A5E24">
              <w:t xml:space="preserve">where the person tests negative for HCV using </w:t>
            </w:r>
            <w:r w:rsidR="00C25671" w:rsidRPr="009A5E24">
              <w:t>NAT</w:t>
            </w:r>
            <w:r w:rsidR="00C15D21" w:rsidRPr="009A5E24">
              <w:t>—ineligible for at least 4 months from exposure; or</w:t>
            </w:r>
          </w:p>
          <w:p w14:paraId="2A9B838E" w14:textId="6573BEC3" w:rsidR="00C15D21" w:rsidRPr="009A5E24" w:rsidRDefault="006D70CA" w:rsidP="006D70CA">
            <w:pPr>
              <w:pStyle w:val="Tabletext"/>
              <w:ind w:left="336" w:hanging="336"/>
            </w:pPr>
            <w:r w:rsidRPr="009A5E24">
              <w:t>(b)</w:t>
            </w:r>
            <w:r w:rsidRPr="009A5E24">
              <w:tab/>
            </w:r>
            <w:r w:rsidR="00C15D21" w:rsidRPr="009A5E24">
              <w:t>in all other circumstances—ineligible for at least 6 months from exposure</w:t>
            </w:r>
          </w:p>
        </w:tc>
      </w:tr>
      <w:tr w:rsidR="00C15D21" w:rsidRPr="009A5E24" w14:paraId="3468A799" w14:textId="77777777" w:rsidTr="00C15D21">
        <w:trPr>
          <w:jc w:val="center"/>
        </w:trPr>
        <w:tc>
          <w:tcPr>
            <w:tcW w:w="1276" w:type="dxa"/>
            <w:tcBorders>
              <w:top w:val="single" w:sz="6" w:space="0" w:color="auto"/>
              <w:bottom w:val="single" w:sz="6" w:space="0" w:color="auto"/>
              <w:right w:val="nil"/>
            </w:tcBorders>
            <w:shd w:val="clear" w:color="auto" w:fill="auto"/>
          </w:tcPr>
          <w:p w14:paraId="042F2DD5" w14:textId="77777777" w:rsidR="00C15D21" w:rsidRPr="009A5E24" w:rsidRDefault="002A34C9" w:rsidP="00C15D21">
            <w:pPr>
              <w:pStyle w:val="Tabletext"/>
            </w:pPr>
            <w:r w:rsidRPr="009A5E24">
              <w:t>11</w:t>
            </w:r>
          </w:p>
        </w:tc>
        <w:tc>
          <w:tcPr>
            <w:tcW w:w="4111" w:type="dxa"/>
            <w:tcBorders>
              <w:top w:val="single" w:sz="6" w:space="0" w:color="auto"/>
              <w:left w:val="nil"/>
              <w:bottom w:val="single" w:sz="6" w:space="0" w:color="auto"/>
              <w:right w:val="nil"/>
            </w:tcBorders>
            <w:shd w:val="clear" w:color="auto" w:fill="auto"/>
          </w:tcPr>
          <w:p w14:paraId="20FDEAD2" w14:textId="77777777" w:rsidR="00C15D21" w:rsidRPr="009A5E24" w:rsidRDefault="00C15D21" w:rsidP="005D6D2C">
            <w:pPr>
              <w:pStyle w:val="Tabletext"/>
            </w:pPr>
            <w:r w:rsidRPr="009A5E24">
              <w:t>a per</w:t>
            </w:r>
            <w:r w:rsidR="005D6D2C" w:rsidRPr="009A5E24">
              <w:t xml:space="preserve">son who has been a recipient of </w:t>
            </w:r>
            <w:r w:rsidRPr="009A5E24">
              <w:t xml:space="preserve">allogeneic blood, blood components, human derived clotting factors, organs, cells or tissues that </w:t>
            </w:r>
            <w:r w:rsidR="005D6D2C" w:rsidRPr="009A5E24">
              <w:t>did not conform with this instrument</w:t>
            </w:r>
          </w:p>
        </w:tc>
        <w:tc>
          <w:tcPr>
            <w:tcW w:w="2977" w:type="dxa"/>
            <w:tcBorders>
              <w:top w:val="single" w:sz="6" w:space="0" w:color="auto"/>
              <w:left w:val="nil"/>
              <w:bottom w:val="single" w:sz="6" w:space="0" w:color="auto"/>
            </w:tcBorders>
            <w:shd w:val="clear" w:color="auto" w:fill="auto"/>
          </w:tcPr>
          <w:p w14:paraId="482634BC" w14:textId="625B469B" w:rsidR="00C15D21" w:rsidRPr="009A5E24" w:rsidRDefault="006D70CA" w:rsidP="006D70CA">
            <w:pPr>
              <w:pStyle w:val="Tabletext"/>
              <w:ind w:left="336" w:hanging="336"/>
            </w:pPr>
            <w:r w:rsidRPr="009A5E24">
              <w:t>(a)</w:t>
            </w:r>
            <w:r w:rsidRPr="009A5E24">
              <w:tab/>
            </w:r>
            <w:r w:rsidR="00C15D21" w:rsidRPr="009A5E24">
              <w:t xml:space="preserve">where the person tests negative for HCV using </w:t>
            </w:r>
            <w:r w:rsidR="00C25671" w:rsidRPr="009A5E24">
              <w:t>NAT</w:t>
            </w:r>
            <w:r w:rsidR="00C15D21" w:rsidRPr="009A5E24">
              <w:t>—ineligible for at least 4 months from receiving the allogeneic blood, blood components, human derived clotting factors, organs, cells or tissues;</w:t>
            </w:r>
          </w:p>
          <w:p w14:paraId="7CC1DDD8" w14:textId="3ED15862" w:rsidR="00C15D21" w:rsidRPr="009A5E24" w:rsidRDefault="006D70CA" w:rsidP="006D70CA">
            <w:pPr>
              <w:pStyle w:val="Tabletext"/>
              <w:ind w:left="336" w:hanging="336"/>
            </w:pPr>
            <w:r w:rsidRPr="009A5E24">
              <w:t>(b)</w:t>
            </w:r>
            <w:r w:rsidRPr="009A5E24">
              <w:tab/>
            </w:r>
            <w:r w:rsidR="00C15D21" w:rsidRPr="009A5E24">
              <w:t>in all other circumstances—ineligible for at least 6 months from receiving the allogeneic blood, blood components, human derived clotting factors, organs, cells or tissues</w:t>
            </w:r>
          </w:p>
        </w:tc>
      </w:tr>
      <w:tr w:rsidR="00C15D21" w:rsidRPr="009A5E24" w14:paraId="70B32F27" w14:textId="77777777" w:rsidTr="00C15D21">
        <w:trPr>
          <w:jc w:val="center"/>
        </w:trPr>
        <w:tc>
          <w:tcPr>
            <w:tcW w:w="1276" w:type="dxa"/>
            <w:tcBorders>
              <w:top w:val="single" w:sz="6" w:space="0" w:color="auto"/>
              <w:bottom w:val="single" w:sz="6" w:space="0" w:color="auto"/>
              <w:right w:val="nil"/>
            </w:tcBorders>
            <w:shd w:val="clear" w:color="auto" w:fill="auto"/>
          </w:tcPr>
          <w:p w14:paraId="2DF26370" w14:textId="77777777" w:rsidR="00C15D21" w:rsidRPr="009A5E24" w:rsidRDefault="005D6D2C" w:rsidP="00C15D21">
            <w:pPr>
              <w:pStyle w:val="Tabletext"/>
            </w:pPr>
            <w:r w:rsidRPr="009A5E24">
              <w:t>1</w:t>
            </w:r>
            <w:r w:rsidR="002A34C9" w:rsidRPr="009A5E24">
              <w:t>2</w:t>
            </w:r>
          </w:p>
        </w:tc>
        <w:tc>
          <w:tcPr>
            <w:tcW w:w="4111" w:type="dxa"/>
            <w:tcBorders>
              <w:top w:val="single" w:sz="6" w:space="0" w:color="auto"/>
              <w:left w:val="nil"/>
              <w:bottom w:val="single" w:sz="6" w:space="0" w:color="auto"/>
              <w:right w:val="nil"/>
            </w:tcBorders>
            <w:shd w:val="clear" w:color="auto" w:fill="auto"/>
          </w:tcPr>
          <w:p w14:paraId="46DD84C5" w14:textId="77777777" w:rsidR="00C15D21" w:rsidRPr="009A5E24" w:rsidRDefault="00C15D21" w:rsidP="00C15D21">
            <w:pPr>
              <w:pStyle w:val="Tabletext"/>
            </w:pPr>
            <w:r w:rsidRPr="009A5E24">
              <w:t>a person who has engaged in sexual activity that puts the person at an increased risk of acquiring infectious diseases that could be transmitted through blood, cells or tissues</w:t>
            </w:r>
          </w:p>
        </w:tc>
        <w:tc>
          <w:tcPr>
            <w:tcW w:w="2977" w:type="dxa"/>
            <w:tcBorders>
              <w:top w:val="single" w:sz="6" w:space="0" w:color="auto"/>
              <w:left w:val="nil"/>
              <w:bottom w:val="single" w:sz="6" w:space="0" w:color="auto"/>
            </w:tcBorders>
            <w:shd w:val="clear" w:color="auto" w:fill="auto"/>
          </w:tcPr>
          <w:p w14:paraId="3B3B658A" w14:textId="2E4FF191" w:rsidR="00C15D21" w:rsidRPr="009A5E24" w:rsidRDefault="00C15D21" w:rsidP="00CC2AAA">
            <w:pPr>
              <w:pStyle w:val="Tabletext"/>
            </w:pPr>
            <w:r w:rsidRPr="009A5E24">
              <w:t xml:space="preserve">ineligible for at least </w:t>
            </w:r>
            <w:r w:rsidR="00CC2AAA" w:rsidRPr="009A5E24">
              <w:t xml:space="preserve">3 </w:t>
            </w:r>
            <w:r w:rsidRPr="009A5E24">
              <w:t>months from the last sexual contact</w:t>
            </w:r>
          </w:p>
        </w:tc>
      </w:tr>
      <w:tr w:rsidR="00C15D21" w:rsidRPr="009A5E24" w14:paraId="3C2A3589" w14:textId="77777777" w:rsidTr="00C15D21">
        <w:trPr>
          <w:jc w:val="center"/>
        </w:trPr>
        <w:tc>
          <w:tcPr>
            <w:tcW w:w="1276" w:type="dxa"/>
            <w:tcBorders>
              <w:top w:val="single" w:sz="6" w:space="0" w:color="auto"/>
              <w:bottom w:val="single" w:sz="6" w:space="0" w:color="auto"/>
              <w:right w:val="nil"/>
            </w:tcBorders>
            <w:shd w:val="clear" w:color="auto" w:fill="auto"/>
          </w:tcPr>
          <w:p w14:paraId="2524EB13" w14:textId="77777777" w:rsidR="00C15D21" w:rsidRPr="009A5E24" w:rsidRDefault="005D6D2C" w:rsidP="00C15D21">
            <w:pPr>
              <w:pStyle w:val="Tabletext"/>
            </w:pPr>
            <w:r w:rsidRPr="009A5E24">
              <w:t>1</w:t>
            </w:r>
            <w:r w:rsidR="002A34C9" w:rsidRPr="009A5E24">
              <w:t>3</w:t>
            </w:r>
          </w:p>
        </w:tc>
        <w:tc>
          <w:tcPr>
            <w:tcW w:w="4111" w:type="dxa"/>
            <w:tcBorders>
              <w:top w:val="single" w:sz="6" w:space="0" w:color="auto"/>
              <w:left w:val="nil"/>
              <w:bottom w:val="single" w:sz="6" w:space="0" w:color="auto"/>
              <w:right w:val="nil"/>
            </w:tcBorders>
            <w:shd w:val="clear" w:color="auto" w:fill="auto"/>
          </w:tcPr>
          <w:p w14:paraId="145AEDC7" w14:textId="77777777" w:rsidR="00C15D21" w:rsidRPr="009A5E24" w:rsidRDefault="00C15D21" w:rsidP="00AF6F15">
            <w:pPr>
              <w:pStyle w:val="Tabletext"/>
            </w:pPr>
            <w:r w:rsidRPr="009A5E24">
              <w:t>a person who has been imprisoned for a consecutive period of 72 hours or longer</w:t>
            </w:r>
          </w:p>
        </w:tc>
        <w:tc>
          <w:tcPr>
            <w:tcW w:w="2977" w:type="dxa"/>
            <w:tcBorders>
              <w:top w:val="single" w:sz="6" w:space="0" w:color="auto"/>
              <w:left w:val="nil"/>
              <w:bottom w:val="single" w:sz="6" w:space="0" w:color="auto"/>
            </w:tcBorders>
            <w:shd w:val="clear" w:color="auto" w:fill="auto"/>
          </w:tcPr>
          <w:p w14:paraId="7F60B5C5" w14:textId="77777777" w:rsidR="00C15D21" w:rsidRPr="009A5E24" w:rsidRDefault="00C15D21" w:rsidP="00C15D21">
            <w:pPr>
              <w:pStyle w:val="Tabletext"/>
            </w:pPr>
            <w:r w:rsidRPr="009A5E24">
              <w:t>ineligible for 12 months from the date of release from prison</w:t>
            </w:r>
          </w:p>
        </w:tc>
      </w:tr>
      <w:tr w:rsidR="00C15D21" w:rsidRPr="009A5E24" w14:paraId="033C29DE" w14:textId="77777777" w:rsidTr="00C15D21">
        <w:trPr>
          <w:jc w:val="center"/>
        </w:trPr>
        <w:tc>
          <w:tcPr>
            <w:tcW w:w="1276" w:type="dxa"/>
            <w:tcBorders>
              <w:top w:val="single" w:sz="6" w:space="0" w:color="auto"/>
              <w:bottom w:val="single" w:sz="6" w:space="0" w:color="auto"/>
              <w:right w:val="nil"/>
            </w:tcBorders>
            <w:shd w:val="clear" w:color="auto" w:fill="auto"/>
          </w:tcPr>
          <w:p w14:paraId="3A54A30F" w14:textId="77777777" w:rsidR="00C15D21" w:rsidRPr="009A5E24" w:rsidRDefault="005D6D2C" w:rsidP="00C15D21">
            <w:pPr>
              <w:pStyle w:val="Tabletext"/>
            </w:pPr>
            <w:r w:rsidRPr="009A5E24">
              <w:t>1</w:t>
            </w:r>
            <w:r w:rsidR="002A34C9" w:rsidRPr="009A5E24">
              <w:t>4</w:t>
            </w:r>
          </w:p>
        </w:tc>
        <w:tc>
          <w:tcPr>
            <w:tcW w:w="4111" w:type="dxa"/>
            <w:tcBorders>
              <w:top w:val="single" w:sz="6" w:space="0" w:color="auto"/>
              <w:left w:val="nil"/>
              <w:bottom w:val="single" w:sz="6" w:space="0" w:color="auto"/>
              <w:right w:val="nil"/>
            </w:tcBorders>
            <w:shd w:val="clear" w:color="auto" w:fill="auto"/>
          </w:tcPr>
          <w:p w14:paraId="5C004B91" w14:textId="77777777" w:rsidR="00C15D21" w:rsidRPr="009A5E24" w:rsidRDefault="00C15D21" w:rsidP="00C15D21">
            <w:pPr>
              <w:pStyle w:val="Tabletext"/>
            </w:pPr>
            <w:r w:rsidRPr="009A5E24">
              <w:t>a person who has an active infection, fever or infectious illness</w:t>
            </w:r>
          </w:p>
        </w:tc>
        <w:tc>
          <w:tcPr>
            <w:tcW w:w="2977" w:type="dxa"/>
            <w:tcBorders>
              <w:top w:val="single" w:sz="6" w:space="0" w:color="auto"/>
              <w:left w:val="nil"/>
              <w:bottom w:val="single" w:sz="6" w:space="0" w:color="auto"/>
            </w:tcBorders>
            <w:shd w:val="clear" w:color="auto" w:fill="auto"/>
          </w:tcPr>
          <w:p w14:paraId="125FE0B5" w14:textId="77777777" w:rsidR="00C15D21" w:rsidRPr="009A5E24" w:rsidRDefault="00C15D21" w:rsidP="00C15D21">
            <w:pPr>
              <w:pStyle w:val="Tabletext"/>
            </w:pPr>
            <w:r w:rsidRPr="009A5E24">
              <w:t>ineligible for at least 2 weeks from the date of full recovery</w:t>
            </w:r>
          </w:p>
        </w:tc>
      </w:tr>
      <w:tr w:rsidR="00C15D21" w:rsidRPr="009A5E24" w14:paraId="435307C1" w14:textId="77777777" w:rsidTr="00C15D21">
        <w:trPr>
          <w:jc w:val="center"/>
        </w:trPr>
        <w:tc>
          <w:tcPr>
            <w:tcW w:w="1276" w:type="dxa"/>
            <w:tcBorders>
              <w:top w:val="single" w:sz="6" w:space="0" w:color="auto"/>
              <w:bottom w:val="single" w:sz="6" w:space="0" w:color="auto"/>
              <w:right w:val="nil"/>
            </w:tcBorders>
            <w:shd w:val="clear" w:color="auto" w:fill="auto"/>
          </w:tcPr>
          <w:p w14:paraId="361EE046" w14:textId="77777777" w:rsidR="00C15D21" w:rsidRPr="009A5E24" w:rsidRDefault="005D6D2C" w:rsidP="00C15D21">
            <w:pPr>
              <w:pStyle w:val="Tabletext"/>
            </w:pPr>
            <w:r w:rsidRPr="009A5E24">
              <w:t>1</w:t>
            </w:r>
            <w:r w:rsidR="002A34C9" w:rsidRPr="009A5E24">
              <w:t>5</w:t>
            </w:r>
          </w:p>
        </w:tc>
        <w:tc>
          <w:tcPr>
            <w:tcW w:w="4111" w:type="dxa"/>
            <w:tcBorders>
              <w:top w:val="single" w:sz="6" w:space="0" w:color="auto"/>
              <w:left w:val="nil"/>
              <w:bottom w:val="single" w:sz="6" w:space="0" w:color="auto"/>
              <w:right w:val="nil"/>
            </w:tcBorders>
            <w:shd w:val="clear" w:color="auto" w:fill="auto"/>
          </w:tcPr>
          <w:p w14:paraId="598EA0DE" w14:textId="77777777" w:rsidR="00C15D21" w:rsidRPr="009A5E24" w:rsidRDefault="00C15D21" w:rsidP="00C15D21">
            <w:pPr>
              <w:pStyle w:val="Tabletext"/>
            </w:pPr>
            <w:r w:rsidRPr="009A5E24">
              <w:t>a person who has travelled to another country or region within Australia with exposure to particular epidemiological situations</w:t>
            </w:r>
          </w:p>
        </w:tc>
        <w:tc>
          <w:tcPr>
            <w:tcW w:w="2977" w:type="dxa"/>
            <w:tcBorders>
              <w:top w:val="single" w:sz="6" w:space="0" w:color="auto"/>
              <w:left w:val="nil"/>
              <w:bottom w:val="single" w:sz="6" w:space="0" w:color="auto"/>
            </w:tcBorders>
            <w:shd w:val="clear" w:color="auto" w:fill="auto"/>
          </w:tcPr>
          <w:p w14:paraId="50E02E0A" w14:textId="7F41FEEA" w:rsidR="00C15D21" w:rsidRPr="009A5E24" w:rsidRDefault="00C15D21" w:rsidP="00CF2323">
            <w:pPr>
              <w:pStyle w:val="Tabletext"/>
            </w:pPr>
            <w:r w:rsidRPr="009A5E24">
              <w:t>ineligible for a period of time based on a risk assessment using the most up-to-date epidemiological data</w:t>
            </w:r>
          </w:p>
        </w:tc>
      </w:tr>
      <w:tr w:rsidR="00C15D21" w:rsidRPr="009A5E24" w14:paraId="4CB738A9" w14:textId="77777777" w:rsidTr="00C15D21">
        <w:trPr>
          <w:jc w:val="center"/>
        </w:trPr>
        <w:tc>
          <w:tcPr>
            <w:tcW w:w="1276" w:type="dxa"/>
            <w:tcBorders>
              <w:top w:val="single" w:sz="6" w:space="0" w:color="auto"/>
              <w:bottom w:val="single" w:sz="6" w:space="0" w:color="auto"/>
              <w:right w:val="nil"/>
            </w:tcBorders>
            <w:shd w:val="clear" w:color="auto" w:fill="auto"/>
          </w:tcPr>
          <w:p w14:paraId="635D53F3" w14:textId="77777777" w:rsidR="00C15D21" w:rsidRPr="009A5E24" w:rsidRDefault="005D6D2C" w:rsidP="00C15D21">
            <w:pPr>
              <w:pStyle w:val="Tabletext"/>
            </w:pPr>
            <w:r w:rsidRPr="009A5E24">
              <w:t>1</w:t>
            </w:r>
            <w:r w:rsidR="002A34C9" w:rsidRPr="009A5E24">
              <w:t>6</w:t>
            </w:r>
          </w:p>
        </w:tc>
        <w:tc>
          <w:tcPr>
            <w:tcW w:w="4111" w:type="dxa"/>
            <w:tcBorders>
              <w:top w:val="single" w:sz="6" w:space="0" w:color="auto"/>
              <w:left w:val="nil"/>
              <w:bottom w:val="single" w:sz="6" w:space="0" w:color="auto"/>
              <w:right w:val="nil"/>
            </w:tcBorders>
            <w:shd w:val="clear" w:color="auto" w:fill="auto"/>
          </w:tcPr>
          <w:p w14:paraId="0E6A6D25" w14:textId="77777777" w:rsidR="00C15D21" w:rsidRPr="009A5E24" w:rsidRDefault="00C15D21" w:rsidP="00347894">
            <w:pPr>
              <w:pStyle w:val="Tabletext"/>
            </w:pPr>
            <w:r w:rsidRPr="009A5E24">
              <w:t>a person who has lived in a malaria endemic region for a continuous period of 6 months or more</w:t>
            </w:r>
            <w:r w:rsidR="00347894" w:rsidRPr="009A5E24">
              <w:t xml:space="preserve"> at any time</w:t>
            </w:r>
          </w:p>
        </w:tc>
        <w:tc>
          <w:tcPr>
            <w:tcW w:w="2977" w:type="dxa"/>
            <w:tcBorders>
              <w:top w:val="single" w:sz="6" w:space="0" w:color="auto"/>
              <w:left w:val="nil"/>
              <w:bottom w:val="single" w:sz="6" w:space="0" w:color="auto"/>
            </w:tcBorders>
            <w:shd w:val="clear" w:color="auto" w:fill="auto"/>
          </w:tcPr>
          <w:p w14:paraId="23E9CC15" w14:textId="4307B821" w:rsidR="00C15D21" w:rsidRPr="009A5E24" w:rsidRDefault="006D70CA" w:rsidP="006D70CA">
            <w:pPr>
              <w:pStyle w:val="Tabletext"/>
              <w:ind w:left="336" w:hanging="336"/>
            </w:pPr>
            <w:r w:rsidRPr="009A5E24">
              <w:t>(a)</w:t>
            </w:r>
            <w:r w:rsidRPr="009A5E24">
              <w:tab/>
            </w:r>
            <w:r w:rsidR="00347894" w:rsidRPr="009A5E24">
              <w:t xml:space="preserve">ineligible until </w:t>
            </w:r>
            <w:r w:rsidR="00C15D21" w:rsidRPr="009A5E24">
              <w:t>a</w:t>
            </w:r>
            <w:r w:rsidR="0084392B" w:rsidRPr="009A5E24">
              <w:t>n</w:t>
            </w:r>
            <w:r w:rsidR="00C15D21" w:rsidRPr="009A5E24">
              <w:t xml:space="preserve"> immunological test </w:t>
            </w:r>
            <w:r w:rsidR="00715A30" w:rsidRPr="009A5E24">
              <w:t xml:space="preserve">that is </w:t>
            </w:r>
            <w:r w:rsidR="00C15D21" w:rsidRPr="009A5E24">
              <w:t>performed at least 4</w:t>
            </w:r>
            <w:r w:rsidR="00347894" w:rsidRPr="009A5E24">
              <w:t> </w:t>
            </w:r>
            <w:r w:rsidR="00C15D21" w:rsidRPr="009A5E24">
              <w:t xml:space="preserve">months after the </w:t>
            </w:r>
            <w:r w:rsidR="00091D13" w:rsidRPr="009A5E24">
              <w:t xml:space="preserve">person’s return from </w:t>
            </w:r>
            <w:r w:rsidR="00C15D21" w:rsidRPr="009A5E24">
              <w:t>the malaria endemic region</w:t>
            </w:r>
            <w:r w:rsidR="0082465E" w:rsidRPr="009A5E24">
              <w:t xml:space="preserve"> (an </w:t>
            </w:r>
            <w:r w:rsidR="0082465E" w:rsidRPr="009A5E24">
              <w:rPr>
                <w:b/>
                <w:i/>
              </w:rPr>
              <w:t>immunological test</w:t>
            </w:r>
            <w:r w:rsidR="0082465E" w:rsidRPr="009A5E24">
              <w:t>)</w:t>
            </w:r>
            <w:r w:rsidR="00C15D21" w:rsidRPr="009A5E24">
              <w:t xml:space="preserve"> </w:t>
            </w:r>
            <w:r w:rsidR="00347894" w:rsidRPr="009A5E24">
              <w:t xml:space="preserve">demonstrates a </w:t>
            </w:r>
            <w:r w:rsidR="00C15D21" w:rsidRPr="009A5E24">
              <w:t>negative</w:t>
            </w:r>
            <w:r w:rsidR="00347894" w:rsidRPr="009A5E24">
              <w:t xml:space="preserve"> result</w:t>
            </w:r>
            <w:r w:rsidR="00C15D21" w:rsidRPr="009A5E24">
              <w:t>; or</w:t>
            </w:r>
          </w:p>
          <w:p w14:paraId="5B46F87A" w14:textId="1E025524" w:rsidR="00C15D21" w:rsidRPr="009A5E24" w:rsidRDefault="006D70CA" w:rsidP="006D70CA">
            <w:pPr>
              <w:pStyle w:val="Tabletext"/>
              <w:ind w:left="336" w:hanging="336"/>
            </w:pPr>
            <w:r w:rsidRPr="009A5E24">
              <w:t>(b)</w:t>
            </w:r>
            <w:r w:rsidRPr="009A5E24">
              <w:tab/>
            </w:r>
            <w:r w:rsidR="00347894" w:rsidRPr="009A5E24">
              <w:t>in all other circumstances</w:t>
            </w:r>
            <w:r w:rsidR="0082465E" w:rsidRPr="009A5E24">
              <w:t>, including where the immunological test demonstrates a positive result</w:t>
            </w:r>
            <w:r w:rsidR="00347894" w:rsidRPr="009A5E24">
              <w:t>—</w:t>
            </w:r>
            <w:r w:rsidR="00E77581" w:rsidRPr="009A5E24">
              <w:t xml:space="preserve">permanently </w:t>
            </w:r>
            <w:r w:rsidR="00C15D21" w:rsidRPr="009A5E24">
              <w:t>ineligible</w:t>
            </w:r>
          </w:p>
        </w:tc>
      </w:tr>
      <w:tr w:rsidR="00C15D21" w:rsidRPr="009A5E24" w14:paraId="4EA70329" w14:textId="77777777" w:rsidTr="00C15D21">
        <w:trPr>
          <w:jc w:val="center"/>
        </w:trPr>
        <w:tc>
          <w:tcPr>
            <w:tcW w:w="1276" w:type="dxa"/>
            <w:tcBorders>
              <w:top w:val="single" w:sz="6" w:space="0" w:color="auto"/>
              <w:bottom w:val="single" w:sz="6" w:space="0" w:color="auto"/>
              <w:right w:val="nil"/>
            </w:tcBorders>
            <w:shd w:val="clear" w:color="auto" w:fill="auto"/>
          </w:tcPr>
          <w:p w14:paraId="2C058B28" w14:textId="77777777" w:rsidR="00C15D21" w:rsidRPr="009A5E24" w:rsidRDefault="005D6D2C" w:rsidP="00C15D21">
            <w:pPr>
              <w:pStyle w:val="Tabletext"/>
            </w:pPr>
            <w:r w:rsidRPr="009A5E24">
              <w:t>1</w:t>
            </w:r>
            <w:r w:rsidR="002A34C9" w:rsidRPr="009A5E24">
              <w:t>7</w:t>
            </w:r>
          </w:p>
        </w:tc>
        <w:tc>
          <w:tcPr>
            <w:tcW w:w="4111" w:type="dxa"/>
            <w:tcBorders>
              <w:top w:val="single" w:sz="6" w:space="0" w:color="auto"/>
              <w:left w:val="nil"/>
              <w:bottom w:val="single" w:sz="6" w:space="0" w:color="auto"/>
              <w:right w:val="nil"/>
            </w:tcBorders>
            <w:shd w:val="clear" w:color="auto" w:fill="auto"/>
          </w:tcPr>
          <w:p w14:paraId="6BB83640" w14:textId="77777777" w:rsidR="00C15D21" w:rsidRPr="009A5E24" w:rsidRDefault="00C15D21" w:rsidP="00347894">
            <w:pPr>
              <w:pStyle w:val="Tabletext"/>
            </w:pPr>
            <w:r w:rsidRPr="009A5E24">
              <w:t>a</w:t>
            </w:r>
            <w:r w:rsidR="00347894" w:rsidRPr="009A5E24">
              <w:t xml:space="preserve"> </w:t>
            </w:r>
            <w:r w:rsidRPr="009A5E24">
              <w:t>person</w:t>
            </w:r>
            <w:r w:rsidR="00347894" w:rsidRPr="009A5E24">
              <w:t xml:space="preserve"> (other than a person mentioned in item 16)</w:t>
            </w:r>
            <w:r w:rsidRPr="009A5E24">
              <w:t xml:space="preserve"> who ha</w:t>
            </w:r>
            <w:r w:rsidR="008B5130" w:rsidRPr="009A5E24">
              <w:t>s</w:t>
            </w:r>
            <w:r w:rsidRPr="009A5E24">
              <w:t xml:space="preserve"> visited a malaria endemic region</w:t>
            </w:r>
          </w:p>
        </w:tc>
        <w:tc>
          <w:tcPr>
            <w:tcW w:w="2977" w:type="dxa"/>
            <w:tcBorders>
              <w:top w:val="single" w:sz="6" w:space="0" w:color="auto"/>
              <w:left w:val="nil"/>
              <w:bottom w:val="single" w:sz="6" w:space="0" w:color="auto"/>
            </w:tcBorders>
            <w:shd w:val="clear" w:color="auto" w:fill="auto"/>
          </w:tcPr>
          <w:p w14:paraId="15062259" w14:textId="1175CD1D" w:rsidR="00C15D21" w:rsidRPr="009A5E24" w:rsidRDefault="00C15D21" w:rsidP="006D70CA">
            <w:pPr>
              <w:pStyle w:val="Tabletext"/>
              <w:ind w:left="336" w:hanging="336"/>
            </w:pPr>
            <w:r w:rsidRPr="009A5E24">
              <w:t>(a</w:t>
            </w:r>
            <w:r w:rsidR="006D70CA" w:rsidRPr="009A5E24">
              <w:t>)</w:t>
            </w:r>
            <w:r w:rsidR="006D70CA" w:rsidRPr="009A5E24">
              <w:tab/>
            </w:r>
            <w:r w:rsidR="008B5130" w:rsidRPr="009A5E24">
              <w:t>ineligible until a</w:t>
            </w:r>
            <w:r w:rsidR="0084392B" w:rsidRPr="009A5E24">
              <w:t>n</w:t>
            </w:r>
            <w:r w:rsidR="008B5130" w:rsidRPr="009A5E24">
              <w:t xml:space="preserve"> </w:t>
            </w:r>
            <w:r w:rsidRPr="009A5E24">
              <w:t xml:space="preserve">immunological test </w:t>
            </w:r>
            <w:r w:rsidR="00715A30" w:rsidRPr="009A5E24">
              <w:t xml:space="preserve">that is </w:t>
            </w:r>
            <w:r w:rsidRPr="009A5E24">
              <w:t xml:space="preserve">performed at least 4 months after the </w:t>
            </w:r>
            <w:r w:rsidR="00E77581" w:rsidRPr="009A5E24">
              <w:t>person’s return from</w:t>
            </w:r>
            <w:r w:rsidRPr="009A5E24">
              <w:t xml:space="preserve"> </w:t>
            </w:r>
            <w:r w:rsidR="008B5130" w:rsidRPr="009A5E24">
              <w:t xml:space="preserve">the </w:t>
            </w:r>
            <w:r w:rsidRPr="009A5E24">
              <w:t xml:space="preserve">malaria endemic region </w:t>
            </w:r>
            <w:r w:rsidR="00C6418A" w:rsidRPr="009A5E24">
              <w:t>(a</w:t>
            </w:r>
            <w:r w:rsidR="0082465E" w:rsidRPr="009A5E24">
              <w:t>n</w:t>
            </w:r>
            <w:r w:rsidR="00C6418A" w:rsidRPr="009A5E24">
              <w:t xml:space="preserve"> </w:t>
            </w:r>
            <w:r w:rsidR="0082465E" w:rsidRPr="009A5E24">
              <w:rPr>
                <w:b/>
                <w:i/>
              </w:rPr>
              <w:t>immunological</w:t>
            </w:r>
            <w:r w:rsidR="00C6418A" w:rsidRPr="009A5E24">
              <w:rPr>
                <w:b/>
                <w:i/>
              </w:rPr>
              <w:t xml:space="preserve"> test</w:t>
            </w:r>
            <w:r w:rsidR="00C6418A" w:rsidRPr="009A5E24">
              <w:t xml:space="preserve">) </w:t>
            </w:r>
            <w:r w:rsidR="008B5130" w:rsidRPr="009A5E24">
              <w:t>demonstrates a negative result</w:t>
            </w:r>
            <w:r w:rsidRPr="009A5E24">
              <w:t>; or</w:t>
            </w:r>
          </w:p>
          <w:p w14:paraId="276075CB" w14:textId="61013120" w:rsidR="00C15D21" w:rsidRPr="009A5E24" w:rsidRDefault="00C15D21" w:rsidP="006D70CA">
            <w:pPr>
              <w:pStyle w:val="Tabletext"/>
              <w:ind w:left="336" w:hanging="336"/>
            </w:pPr>
            <w:r w:rsidRPr="009A5E24">
              <w:t>(b</w:t>
            </w:r>
            <w:r w:rsidR="006D70CA" w:rsidRPr="009A5E24">
              <w:t>)</w:t>
            </w:r>
            <w:r w:rsidR="006D70CA" w:rsidRPr="009A5E24">
              <w:tab/>
            </w:r>
            <w:r w:rsidR="0082465E" w:rsidRPr="009A5E24">
              <w:t xml:space="preserve">if an immunological </w:t>
            </w:r>
            <w:r w:rsidR="00C6418A" w:rsidRPr="009A5E24">
              <w:t>test</w:t>
            </w:r>
            <w:r w:rsidR="004D3950" w:rsidRPr="009A5E24">
              <w:t xml:space="preserve"> demonstrates a positive result—ineligible for 3 years</w:t>
            </w:r>
            <w:r w:rsidR="00207C59" w:rsidRPr="009A5E24">
              <w:t xml:space="preserve"> from the time of the test result</w:t>
            </w:r>
            <w:r w:rsidRPr="009A5E24">
              <w:t>; or</w:t>
            </w:r>
          </w:p>
          <w:p w14:paraId="3A93AED5" w14:textId="71F5F3F1" w:rsidR="00C15D21" w:rsidRPr="009A5E24" w:rsidRDefault="00C15D21" w:rsidP="006D70CA">
            <w:pPr>
              <w:pStyle w:val="Tabletext"/>
              <w:ind w:left="336" w:hanging="336"/>
            </w:pPr>
            <w:r w:rsidRPr="009A5E24">
              <w:t>(c</w:t>
            </w:r>
            <w:r w:rsidR="006D70CA" w:rsidRPr="009A5E24">
              <w:t>)</w:t>
            </w:r>
            <w:r w:rsidR="006D70CA" w:rsidRPr="009A5E24">
              <w:tab/>
            </w:r>
            <w:r w:rsidRPr="009A5E24">
              <w:t>i</w:t>
            </w:r>
            <w:r w:rsidR="00992ADF" w:rsidRPr="009A5E24">
              <w:t>n all other circumstances</w:t>
            </w:r>
            <w:r w:rsidRPr="009A5E24">
              <w:t>—</w:t>
            </w:r>
            <w:r w:rsidR="008B5130" w:rsidRPr="009A5E24">
              <w:t>in</w:t>
            </w:r>
            <w:r w:rsidRPr="009A5E24">
              <w:t xml:space="preserve">eligible </w:t>
            </w:r>
            <w:r w:rsidR="008B5130" w:rsidRPr="009A5E24">
              <w:t xml:space="preserve">for </w:t>
            </w:r>
            <w:r w:rsidRPr="009A5E24">
              <w:t xml:space="preserve">12 months </w:t>
            </w:r>
            <w:r w:rsidR="008B5130" w:rsidRPr="009A5E24">
              <w:t xml:space="preserve">from the person’s </w:t>
            </w:r>
            <w:r w:rsidRPr="009A5E24">
              <w:t xml:space="preserve">return from </w:t>
            </w:r>
            <w:r w:rsidR="008B5130" w:rsidRPr="009A5E24">
              <w:t xml:space="preserve">the </w:t>
            </w:r>
            <w:r w:rsidRPr="009A5E24">
              <w:t>malaria endemic region</w:t>
            </w:r>
          </w:p>
        </w:tc>
      </w:tr>
      <w:tr w:rsidR="00C15D21" w:rsidRPr="009A5E24" w14:paraId="243AF14B" w14:textId="77777777" w:rsidTr="00C15D21">
        <w:trPr>
          <w:jc w:val="center"/>
        </w:trPr>
        <w:tc>
          <w:tcPr>
            <w:tcW w:w="1276" w:type="dxa"/>
            <w:tcBorders>
              <w:top w:val="single" w:sz="6" w:space="0" w:color="auto"/>
              <w:bottom w:val="single" w:sz="6" w:space="0" w:color="auto"/>
              <w:right w:val="nil"/>
            </w:tcBorders>
            <w:shd w:val="clear" w:color="auto" w:fill="auto"/>
          </w:tcPr>
          <w:p w14:paraId="7831174E" w14:textId="77777777" w:rsidR="00C15D21" w:rsidRPr="009A5E24" w:rsidRDefault="005D6D2C" w:rsidP="00C15D21">
            <w:pPr>
              <w:pStyle w:val="Tabletext"/>
            </w:pPr>
            <w:r w:rsidRPr="009A5E24">
              <w:t>1</w:t>
            </w:r>
            <w:r w:rsidR="002A34C9" w:rsidRPr="009A5E24">
              <w:t>8</w:t>
            </w:r>
          </w:p>
        </w:tc>
        <w:tc>
          <w:tcPr>
            <w:tcW w:w="4111" w:type="dxa"/>
            <w:tcBorders>
              <w:top w:val="single" w:sz="6" w:space="0" w:color="auto"/>
              <w:left w:val="nil"/>
              <w:bottom w:val="single" w:sz="6" w:space="0" w:color="auto"/>
              <w:right w:val="nil"/>
            </w:tcBorders>
            <w:shd w:val="clear" w:color="auto" w:fill="auto"/>
          </w:tcPr>
          <w:p w14:paraId="0E57FC42" w14:textId="77777777" w:rsidR="00091D13" w:rsidRPr="009A5E24" w:rsidRDefault="00C15D21" w:rsidP="00EB6916">
            <w:pPr>
              <w:pStyle w:val="Tabletext"/>
            </w:pPr>
            <w:r w:rsidRPr="009A5E24">
              <w:t xml:space="preserve">a person </w:t>
            </w:r>
            <w:r w:rsidR="008B5130" w:rsidRPr="009A5E24">
              <w:t>who</w:t>
            </w:r>
            <w:r w:rsidR="00091D13" w:rsidRPr="009A5E24">
              <w:t xml:space="preserve"> has or has had</w:t>
            </w:r>
            <w:r w:rsidR="00EB6916" w:rsidRPr="009A5E24">
              <w:t xml:space="preserve"> </w:t>
            </w:r>
            <w:r w:rsidRPr="009A5E24">
              <w:t>malaria</w:t>
            </w:r>
          </w:p>
        </w:tc>
        <w:tc>
          <w:tcPr>
            <w:tcW w:w="2977" w:type="dxa"/>
            <w:tcBorders>
              <w:top w:val="single" w:sz="6" w:space="0" w:color="auto"/>
              <w:left w:val="nil"/>
              <w:bottom w:val="single" w:sz="6" w:space="0" w:color="auto"/>
            </w:tcBorders>
            <w:shd w:val="clear" w:color="auto" w:fill="auto"/>
          </w:tcPr>
          <w:p w14:paraId="60751943" w14:textId="0C625458" w:rsidR="00C15D21" w:rsidRPr="009A5E24" w:rsidRDefault="00AF6F15" w:rsidP="006D70CA">
            <w:pPr>
              <w:pStyle w:val="Tabletext"/>
              <w:ind w:left="336" w:hanging="336"/>
            </w:pPr>
            <w:r w:rsidRPr="009A5E24">
              <w:t>(</w:t>
            </w:r>
            <w:r w:rsidR="00091D13" w:rsidRPr="009A5E24">
              <w:t>a</w:t>
            </w:r>
            <w:r w:rsidR="006D70CA" w:rsidRPr="009A5E24">
              <w:t>)</w:t>
            </w:r>
            <w:r w:rsidR="006D70CA" w:rsidRPr="009A5E24">
              <w:tab/>
            </w:r>
            <w:r w:rsidR="008B5130" w:rsidRPr="009A5E24">
              <w:t xml:space="preserve">ineligible until </w:t>
            </w:r>
            <w:r w:rsidR="00C15D21" w:rsidRPr="009A5E24">
              <w:t>a</w:t>
            </w:r>
            <w:r w:rsidR="0084392B" w:rsidRPr="009A5E24">
              <w:t>n</w:t>
            </w:r>
            <w:r w:rsidR="00C15D21" w:rsidRPr="009A5E24">
              <w:t xml:space="preserve"> immunological test </w:t>
            </w:r>
            <w:r w:rsidR="00C6418A" w:rsidRPr="009A5E24">
              <w:t xml:space="preserve">that is </w:t>
            </w:r>
            <w:r w:rsidR="00C15D21" w:rsidRPr="009A5E24">
              <w:t xml:space="preserve">performed at least 4 months </w:t>
            </w:r>
            <w:r w:rsidR="008B5130" w:rsidRPr="009A5E24">
              <w:t xml:space="preserve">after </w:t>
            </w:r>
            <w:r w:rsidR="006C7232" w:rsidRPr="009A5E24">
              <w:t xml:space="preserve">the later of </w:t>
            </w:r>
            <w:r w:rsidR="0084392B" w:rsidRPr="009A5E24">
              <w:t xml:space="preserve">the </w:t>
            </w:r>
            <w:r w:rsidR="00C15D21" w:rsidRPr="009A5E24">
              <w:t>cessation of treatment</w:t>
            </w:r>
            <w:r w:rsidR="008B5130" w:rsidRPr="009A5E24">
              <w:t xml:space="preserve"> </w:t>
            </w:r>
            <w:r w:rsidR="00EB6916" w:rsidRPr="009A5E24">
              <w:t>or</w:t>
            </w:r>
            <w:r w:rsidR="008B5130" w:rsidRPr="009A5E24">
              <w:t xml:space="preserve"> </w:t>
            </w:r>
            <w:r w:rsidR="00EB6916" w:rsidRPr="009A5E24">
              <w:t xml:space="preserve">the person’s </w:t>
            </w:r>
            <w:r w:rsidR="00C15D21" w:rsidRPr="009A5E24">
              <w:t xml:space="preserve">last symptoms </w:t>
            </w:r>
            <w:r w:rsidR="0082465E" w:rsidRPr="009A5E24">
              <w:t xml:space="preserve">(an </w:t>
            </w:r>
            <w:r w:rsidR="0082465E" w:rsidRPr="009A5E24">
              <w:rPr>
                <w:b/>
                <w:i/>
              </w:rPr>
              <w:t>immunological</w:t>
            </w:r>
            <w:r w:rsidR="0082465E" w:rsidRPr="009A5E24">
              <w:t xml:space="preserve"> </w:t>
            </w:r>
            <w:r w:rsidR="00C6418A" w:rsidRPr="009A5E24">
              <w:rPr>
                <w:b/>
                <w:i/>
              </w:rPr>
              <w:t>test</w:t>
            </w:r>
            <w:r w:rsidR="00C6418A" w:rsidRPr="009A5E24">
              <w:t xml:space="preserve">) </w:t>
            </w:r>
            <w:r w:rsidR="008B5130" w:rsidRPr="009A5E24">
              <w:t xml:space="preserve">demonstrates a </w:t>
            </w:r>
            <w:r w:rsidR="00C15D21" w:rsidRPr="009A5E24">
              <w:t>negative</w:t>
            </w:r>
            <w:r w:rsidR="008B5130" w:rsidRPr="009A5E24">
              <w:t xml:space="preserve"> result</w:t>
            </w:r>
            <w:r w:rsidR="00C15D21" w:rsidRPr="009A5E24">
              <w:t>; or</w:t>
            </w:r>
          </w:p>
          <w:p w14:paraId="0756FC68" w14:textId="45B5E7E0" w:rsidR="00EB6916" w:rsidRPr="009A5E24" w:rsidRDefault="006D70CA" w:rsidP="006D70CA">
            <w:pPr>
              <w:pStyle w:val="Tabletext"/>
              <w:ind w:left="336" w:hanging="336"/>
            </w:pPr>
            <w:r w:rsidRPr="009A5E24">
              <w:t>(b)</w:t>
            </w:r>
            <w:r w:rsidRPr="009A5E24">
              <w:tab/>
            </w:r>
            <w:r w:rsidR="00EB6916" w:rsidRPr="009A5E24">
              <w:t>if a</w:t>
            </w:r>
            <w:r w:rsidR="0082465E" w:rsidRPr="009A5E24">
              <w:t xml:space="preserve">n immunological </w:t>
            </w:r>
            <w:r w:rsidR="00C6418A" w:rsidRPr="009A5E24">
              <w:t xml:space="preserve">test </w:t>
            </w:r>
            <w:r w:rsidR="00EB6916" w:rsidRPr="009A5E24">
              <w:t>demonstrates a positive result—ineligible for 3 years</w:t>
            </w:r>
            <w:r w:rsidR="00207C59" w:rsidRPr="009A5E24">
              <w:t xml:space="preserve"> from the time of the test result</w:t>
            </w:r>
            <w:r w:rsidR="00992ADF" w:rsidRPr="009A5E24">
              <w:t>; or</w:t>
            </w:r>
          </w:p>
          <w:p w14:paraId="2F1DC5D3" w14:textId="2C69B5C5" w:rsidR="00C15D21" w:rsidRPr="009A5E24" w:rsidRDefault="00C15D21" w:rsidP="006D70CA">
            <w:pPr>
              <w:pStyle w:val="Tabletext"/>
              <w:ind w:left="336" w:hanging="336"/>
            </w:pPr>
            <w:r w:rsidRPr="009A5E24">
              <w:t>(</w:t>
            </w:r>
            <w:r w:rsidR="00EB6916" w:rsidRPr="009A5E24">
              <w:t>c</w:t>
            </w:r>
            <w:r w:rsidR="006D70CA" w:rsidRPr="009A5E24">
              <w:t>)</w:t>
            </w:r>
            <w:r w:rsidR="006D70CA" w:rsidRPr="009A5E24">
              <w:tab/>
            </w:r>
            <w:r w:rsidR="00091D13" w:rsidRPr="009A5E24">
              <w:t>in all other circumstances</w:t>
            </w:r>
            <w:r w:rsidRPr="009A5E24">
              <w:t>—</w:t>
            </w:r>
            <w:r w:rsidR="00992ADF" w:rsidRPr="009A5E24">
              <w:t xml:space="preserve">permanently </w:t>
            </w:r>
            <w:r w:rsidRPr="009A5E24">
              <w:t>ineligible</w:t>
            </w:r>
          </w:p>
        </w:tc>
      </w:tr>
      <w:tr w:rsidR="00EB6916" w:rsidRPr="009A5E24" w14:paraId="3894E3A9" w14:textId="77777777" w:rsidTr="00C15D21">
        <w:trPr>
          <w:jc w:val="center"/>
        </w:trPr>
        <w:tc>
          <w:tcPr>
            <w:tcW w:w="1276" w:type="dxa"/>
            <w:tcBorders>
              <w:top w:val="single" w:sz="6" w:space="0" w:color="auto"/>
              <w:bottom w:val="single" w:sz="6" w:space="0" w:color="auto"/>
              <w:right w:val="nil"/>
            </w:tcBorders>
            <w:shd w:val="clear" w:color="auto" w:fill="auto"/>
          </w:tcPr>
          <w:p w14:paraId="04478239" w14:textId="77777777" w:rsidR="00EB6916" w:rsidRPr="009A5E24" w:rsidRDefault="00992ADF" w:rsidP="00C15D21">
            <w:pPr>
              <w:pStyle w:val="Tabletext"/>
            </w:pPr>
            <w:r w:rsidRPr="009A5E24">
              <w:t>19</w:t>
            </w:r>
          </w:p>
        </w:tc>
        <w:tc>
          <w:tcPr>
            <w:tcW w:w="4111" w:type="dxa"/>
            <w:tcBorders>
              <w:top w:val="single" w:sz="6" w:space="0" w:color="auto"/>
              <w:left w:val="nil"/>
              <w:bottom w:val="single" w:sz="6" w:space="0" w:color="auto"/>
              <w:right w:val="nil"/>
            </w:tcBorders>
            <w:shd w:val="clear" w:color="auto" w:fill="auto"/>
          </w:tcPr>
          <w:p w14:paraId="465B6C1F" w14:textId="77777777" w:rsidR="00EB6916" w:rsidRPr="009A5E24" w:rsidRDefault="00EB6916" w:rsidP="008B5130">
            <w:pPr>
              <w:pStyle w:val="Tabletext"/>
            </w:pPr>
            <w:r w:rsidRPr="009A5E24">
              <w:t>a person who has or has had an undiagnosed febrile illness, with symptoms consistent with malaria during, or within 6 months of return from, a visit to a malaria endemic region</w:t>
            </w:r>
          </w:p>
        </w:tc>
        <w:tc>
          <w:tcPr>
            <w:tcW w:w="2977" w:type="dxa"/>
            <w:tcBorders>
              <w:top w:val="single" w:sz="6" w:space="0" w:color="auto"/>
              <w:left w:val="nil"/>
              <w:bottom w:val="single" w:sz="6" w:space="0" w:color="auto"/>
            </w:tcBorders>
            <w:shd w:val="clear" w:color="auto" w:fill="auto"/>
          </w:tcPr>
          <w:p w14:paraId="3C4FA991" w14:textId="53DC9215" w:rsidR="00992ADF" w:rsidRPr="009A5E24" w:rsidRDefault="00992ADF" w:rsidP="006D70CA">
            <w:pPr>
              <w:pStyle w:val="Tabletext"/>
              <w:ind w:left="336" w:hanging="336"/>
            </w:pPr>
            <w:r w:rsidRPr="009A5E24">
              <w:t>(a)</w:t>
            </w:r>
            <w:r w:rsidR="006D70CA" w:rsidRPr="009A5E24">
              <w:tab/>
            </w:r>
            <w:r w:rsidR="0084392B" w:rsidRPr="009A5E24">
              <w:t xml:space="preserve">ineligible until an </w:t>
            </w:r>
            <w:r w:rsidRPr="009A5E24">
              <w:t xml:space="preserve">immunological test </w:t>
            </w:r>
            <w:r w:rsidR="00C6418A" w:rsidRPr="009A5E24">
              <w:t xml:space="preserve">that is </w:t>
            </w:r>
            <w:r w:rsidRPr="009A5E24">
              <w:t xml:space="preserve">performed at least 4 months after </w:t>
            </w:r>
            <w:r w:rsidR="00C6418A" w:rsidRPr="009A5E24">
              <w:t xml:space="preserve">the later of </w:t>
            </w:r>
            <w:r w:rsidR="0084392B" w:rsidRPr="009A5E24">
              <w:t xml:space="preserve">the </w:t>
            </w:r>
            <w:r w:rsidRPr="009A5E24">
              <w:t>cessation of treatment or the person’s last symptoms (</w:t>
            </w:r>
            <w:r w:rsidR="0082465E" w:rsidRPr="009A5E24">
              <w:t xml:space="preserve">an </w:t>
            </w:r>
            <w:r w:rsidR="0082465E" w:rsidRPr="009A5E24">
              <w:rPr>
                <w:b/>
                <w:i/>
              </w:rPr>
              <w:t>immunological</w:t>
            </w:r>
            <w:r w:rsidR="0082465E" w:rsidRPr="009A5E24">
              <w:t xml:space="preserve"> </w:t>
            </w:r>
            <w:r w:rsidR="00C6418A" w:rsidRPr="009A5E24">
              <w:rPr>
                <w:b/>
                <w:i/>
              </w:rPr>
              <w:t>test</w:t>
            </w:r>
            <w:r w:rsidRPr="009A5E24">
              <w:t>) demonstrates a negative result; or</w:t>
            </w:r>
          </w:p>
          <w:p w14:paraId="57290461" w14:textId="1936F2CB" w:rsidR="00992ADF" w:rsidRPr="009A5E24" w:rsidRDefault="006D70CA" w:rsidP="006D70CA">
            <w:pPr>
              <w:pStyle w:val="Tabletext"/>
              <w:ind w:left="336" w:hanging="336"/>
            </w:pPr>
            <w:r w:rsidRPr="009A5E24">
              <w:t>(b)</w:t>
            </w:r>
            <w:r w:rsidRPr="009A5E24">
              <w:tab/>
            </w:r>
            <w:r w:rsidR="0082465E" w:rsidRPr="009A5E24">
              <w:t xml:space="preserve">if an immunological </w:t>
            </w:r>
            <w:r w:rsidR="00C6418A" w:rsidRPr="009A5E24">
              <w:t xml:space="preserve">test </w:t>
            </w:r>
            <w:r w:rsidR="00992ADF" w:rsidRPr="009A5E24">
              <w:t>demonstrates a positive result—ineligible for 3 years</w:t>
            </w:r>
            <w:r w:rsidR="00207C59" w:rsidRPr="009A5E24">
              <w:t xml:space="preserve"> from the time of the test result</w:t>
            </w:r>
            <w:r w:rsidR="00992ADF" w:rsidRPr="009A5E24">
              <w:t>; or</w:t>
            </w:r>
          </w:p>
          <w:p w14:paraId="5B99DBDF" w14:textId="08CBCEDD" w:rsidR="00EB6916" w:rsidRPr="009A5E24" w:rsidDel="00091D13" w:rsidRDefault="006D70CA" w:rsidP="006D70CA">
            <w:pPr>
              <w:pStyle w:val="Tabletext"/>
              <w:ind w:left="336" w:hanging="336"/>
            </w:pPr>
            <w:r w:rsidRPr="009A5E24">
              <w:t>(c)</w:t>
            </w:r>
            <w:r w:rsidRPr="009A5E24">
              <w:tab/>
            </w:r>
            <w:r w:rsidR="00992ADF" w:rsidRPr="009A5E24">
              <w:t>in all other circumstances—</w:t>
            </w:r>
            <w:r w:rsidR="00207C59" w:rsidRPr="009A5E24">
              <w:t xml:space="preserve">ineligible for 3 years from </w:t>
            </w:r>
            <w:r w:rsidR="00E457E2" w:rsidRPr="009A5E24">
              <w:t xml:space="preserve">the </w:t>
            </w:r>
            <w:r w:rsidR="00612B41" w:rsidRPr="009A5E24">
              <w:t xml:space="preserve">later of </w:t>
            </w:r>
            <w:r w:rsidR="00E457E2" w:rsidRPr="009A5E24">
              <w:t xml:space="preserve">the </w:t>
            </w:r>
            <w:r w:rsidR="00612B41" w:rsidRPr="009A5E24">
              <w:t>cessation of treatment or the person’s last symptoms</w:t>
            </w:r>
          </w:p>
        </w:tc>
      </w:tr>
      <w:tr w:rsidR="00C15D21" w:rsidRPr="009A5E24" w14:paraId="01E37C89" w14:textId="77777777" w:rsidTr="00C15D21">
        <w:trPr>
          <w:jc w:val="center"/>
        </w:trPr>
        <w:tc>
          <w:tcPr>
            <w:tcW w:w="1276" w:type="dxa"/>
            <w:tcBorders>
              <w:top w:val="single" w:sz="6" w:space="0" w:color="auto"/>
              <w:bottom w:val="single" w:sz="6" w:space="0" w:color="auto"/>
              <w:right w:val="nil"/>
            </w:tcBorders>
            <w:shd w:val="clear" w:color="auto" w:fill="auto"/>
          </w:tcPr>
          <w:p w14:paraId="42EEA894" w14:textId="77777777" w:rsidR="00C15D21" w:rsidRPr="009A5E24" w:rsidRDefault="00207C59" w:rsidP="00C15D21">
            <w:pPr>
              <w:pStyle w:val="Tabletext"/>
            </w:pPr>
            <w:r w:rsidRPr="009A5E24">
              <w:t>20</w:t>
            </w:r>
          </w:p>
        </w:tc>
        <w:tc>
          <w:tcPr>
            <w:tcW w:w="4111" w:type="dxa"/>
            <w:tcBorders>
              <w:top w:val="single" w:sz="6" w:space="0" w:color="auto"/>
              <w:left w:val="nil"/>
              <w:bottom w:val="single" w:sz="6" w:space="0" w:color="auto"/>
              <w:right w:val="nil"/>
            </w:tcBorders>
            <w:shd w:val="clear" w:color="auto" w:fill="auto"/>
          </w:tcPr>
          <w:p w14:paraId="58C61BF7" w14:textId="77777777" w:rsidR="00C15D21" w:rsidRPr="009A5E24" w:rsidRDefault="00C15D21" w:rsidP="006E60A9">
            <w:pPr>
              <w:pStyle w:val="Tabletext"/>
            </w:pPr>
            <w:r w:rsidRPr="009A5E24">
              <w:t xml:space="preserve">a person with an active infection that would render </w:t>
            </w:r>
            <w:r w:rsidR="006E60A9" w:rsidRPr="009A5E24">
              <w:t xml:space="preserve">HCT materials collected from that person </w:t>
            </w:r>
            <w:r w:rsidRPr="009A5E24">
              <w:t xml:space="preserve">unsuitable for </w:t>
            </w:r>
            <w:r w:rsidR="006E60A9" w:rsidRPr="009A5E24">
              <w:t xml:space="preserve">use in the </w:t>
            </w:r>
            <w:r w:rsidRPr="009A5E24">
              <w:t>manufacture</w:t>
            </w:r>
            <w:r w:rsidR="006E60A9" w:rsidRPr="009A5E24">
              <w:t xml:space="preserve"> of HCT products</w:t>
            </w:r>
          </w:p>
        </w:tc>
        <w:tc>
          <w:tcPr>
            <w:tcW w:w="2977" w:type="dxa"/>
            <w:tcBorders>
              <w:top w:val="single" w:sz="6" w:space="0" w:color="auto"/>
              <w:left w:val="nil"/>
              <w:bottom w:val="single" w:sz="6" w:space="0" w:color="auto"/>
            </w:tcBorders>
            <w:shd w:val="clear" w:color="auto" w:fill="auto"/>
          </w:tcPr>
          <w:p w14:paraId="432BC9A4" w14:textId="77777777" w:rsidR="00C15D21" w:rsidRPr="009A5E24" w:rsidRDefault="00C15D21" w:rsidP="006E60A9">
            <w:pPr>
              <w:pStyle w:val="Tabletext"/>
            </w:pPr>
            <w:r w:rsidRPr="009A5E24">
              <w:t xml:space="preserve">ineligible until </w:t>
            </w:r>
            <w:r w:rsidR="006E60A9" w:rsidRPr="009A5E24">
              <w:t>it has been demonstrated that the person no longer has the infection</w:t>
            </w:r>
          </w:p>
        </w:tc>
      </w:tr>
      <w:tr w:rsidR="005D6D2C" w:rsidRPr="009A5E24" w14:paraId="3B31D02A" w14:textId="77777777" w:rsidTr="00C15D21">
        <w:trPr>
          <w:jc w:val="center"/>
        </w:trPr>
        <w:tc>
          <w:tcPr>
            <w:tcW w:w="1276" w:type="dxa"/>
            <w:tcBorders>
              <w:top w:val="single" w:sz="6" w:space="0" w:color="auto"/>
              <w:bottom w:val="single" w:sz="6" w:space="0" w:color="auto"/>
              <w:right w:val="nil"/>
            </w:tcBorders>
            <w:shd w:val="clear" w:color="auto" w:fill="auto"/>
          </w:tcPr>
          <w:p w14:paraId="0F2D5316" w14:textId="77777777" w:rsidR="005D6D2C" w:rsidRPr="009A5E24" w:rsidRDefault="002A34C9" w:rsidP="00C15D21">
            <w:pPr>
              <w:pStyle w:val="Tabletext"/>
            </w:pPr>
            <w:r w:rsidRPr="009A5E24">
              <w:t>2</w:t>
            </w:r>
            <w:r w:rsidR="00207C59" w:rsidRPr="009A5E24">
              <w:t>1</w:t>
            </w:r>
          </w:p>
        </w:tc>
        <w:tc>
          <w:tcPr>
            <w:tcW w:w="4111" w:type="dxa"/>
            <w:tcBorders>
              <w:top w:val="single" w:sz="6" w:space="0" w:color="auto"/>
              <w:left w:val="nil"/>
              <w:bottom w:val="single" w:sz="6" w:space="0" w:color="auto"/>
              <w:right w:val="nil"/>
            </w:tcBorders>
            <w:shd w:val="clear" w:color="auto" w:fill="auto"/>
          </w:tcPr>
          <w:p w14:paraId="58D93920" w14:textId="77777777" w:rsidR="005D6D2C" w:rsidRPr="009A5E24" w:rsidRDefault="005D6D2C" w:rsidP="00C15D21">
            <w:pPr>
              <w:pStyle w:val="Tabletext"/>
            </w:pPr>
            <w:r w:rsidRPr="009A5E24">
              <w:t xml:space="preserve">a deceased person who, within 12 months prior to asystole, has been a recipient of allogeneic </w:t>
            </w:r>
            <w:r w:rsidR="006E60A9" w:rsidRPr="009A5E24">
              <w:t xml:space="preserve">HCT materials or an allogeneic </w:t>
            </w:r>
            <w:r w:rsidRPr="009A5E24">
              <w:t>organ</w:t>
            </w:r>
            <w:r w:rsidR="006E60A9" w:rsidRPr="009A5E24">
              <w:t xml:space="preserve"> </w:t>
            </w:r>
            <w:r w:rsidRPr="009A5E24">
              <w:t>that did not conform with this instrument</w:t>
            </w:r>
          </w:p>
        </w:tc>
        <w:tc>
          <w:tcPr>
            <w:tcW w:w="2977" w:type="dxa"/>
            <w:tcBorders>
              <w:top w:val="single" w:sz="6" w:space="0" w:color="auto"/>
              <w:left w:val="nil"/>
              <w:bottom w:val="single" w:sz="6" w:space="0" w:color="auto"/>
            </w:tcBorders>
            <w:shd w:val="clear" w:color="auto" w:fill="auto"/>
          </w:tcPr>
          <w:p w14:paraId="20717212" w14:textId="77777777" w:rsidR="005D6D2C" w:rsidRPr="009A5E24" w:rsidRDefault="005D6D2C" w:rsidP="00C15D21">
            <w:pPr>
              <w:pStyle w:val="Tabletext"/>
            </w:pPr>
            <w:r w:rsidRPr="009A5E24">
              <w:t>permanently ineligible</w:t>
            </w:r>
          </w:p>
        </w:tc>
      </w:tr>
      <w:tr w:rsidR="005D6D2C" w:rsidRPr="009A5E24" w14:paraId="6E72782A" w14:textId="77777777" w:rsidTr="00C15D21">
        <w:trPr>
          <w:jc w:val="center"/>
        </w:trPr>
        <w:tc>
          <w:tcPr>
            <w:tcW w:w="1276" w:type="dxa"/>
            <w:tcBorders>
              <w:top w:val="single" w:sz="6" w:space="0" w:color="auto"/>
              <w:bottom w:val="single" w:sz="6" w:space="0" w:color="auto"/>
              <w:right w:val="nil"/>
            </w:tcBorders>
            <w:shd w:val="clear" w:color="auto" w:fill="auto"/>
          </w:tcPr>
          <w:p w14:paraId="010BBADF" w14:textId="77777777" w:rsidR="005D6D2C" w:rsidRPr="009A5E24" w:rsidRDefault="005D6D2C" w:rsidP="00C15D21">
            <w:pPr>
              <w:pStyle w:val="Tabletext"/>
            </w:pPr>
            <w:r w:rsidRPr="009A5E24">
              <w:t>2</w:t>
            </w:r>
            <w:r w:rsidR="00207C59" w:rsidRPr="009A5E24">
              <w:t>2</w:t>
            </w:r>
          </w:p>
        </w:tc>
        <w:tc>
          <w:tcPr>
            <w:tcW w:w="4111" w:type="dxa"/>
            <w:tcBorders>
              <w:top w:val="single" w:sz="6" w:space="0" w:color="auto"/>
              <w:left w:val="nil"/>
              <w:bottom w:val="single" w:sz="6" w:space="0" w:color="auto"/>
              <w:right w:val="nil"/>
            </w:tcBorders>
            <w:shd w:val="clear" w:color="auto" w:fill="auto"/>
          </w:tcPr>
          <w:p w14:paraId="3A0CA7CC" w14:textId="77777777" w:rsidR="005D6D2C" w:rsidRPr="009A5E24" w:rsidRDefault="005D6D2C" w:rsidP="00C15D21">
            <w:pPr>
              <w:pStyle w:val="Tabletext"/>
            </w:pPr>
            <w:r w:rsidRPr="009A5E24">
              <w:t>a deceased person whose cause of death is unknown</w:t>
            </w:r>
          </w:p>
        </w:tc>
        <w:tc>
          <w:tcPr>
            <w:tcW w:w="2977" w:type="dxa"/>
            <w:tcBorders>
              <w:top w:val="single" w:sz="6" w:space="0" w:color="auto"/>
              <w:left w:val="nil"/>
              <w:bottom w:val="single" w:sz="6" w:space="0" w:color="auto"/>
            </w:tcBorders>
            <w:shd w:val="clear" w:color="auto" w:fill="auto"/>
          </w:tcPr>
          <w:p w14:paraId="128E0C17" w14:textId="77777777" w:rsidR="005D6D2C" w:rsidRPr="009A5E24" w:rsidRDefault="00227CA0" w:rsidP="00BA4B03">
            <w:pPr>
              <w:pStyle w:val="Tabletext"/>
            </w:pPr>
            <w:r w:rsidRPr="009A5E24">
              <w:t xml:space="preserve">ineligible until a </w:t>
            </w:r>
            <w:r w:rsidR="00BA4B03" w:rsidRPr="009A5E24">
              <w:t xml:space="preserve">post-mortem examination </w:t>
            </w:r>
            <w:r w:rsidRPr="009A5E24">
              <w:t>of the person provides sufficient information to conclude that the person’s death was not caused by a transmissible disease</w:t>
            </w:r>
          </w:p>
        </w:tc>
      </w:tr>
      <w:tr w:rsidR="00C15D21" w:rsidRPr="009A5E24" w14:paraId="1266E3E3" w14:textId="77777777" w:rsidTr="00C15D21">
        <w:trPr>
          <w:jc w:val="center"/>
        </w:trPr>
        <w:tc>
          <w:tcPr>
            <w:tcW w:w="1276" w:type="dxa"/>
            <w:tcBorders>
              <w:top w:val="single" w:sz="6" w:space="0" w:color="auto"/>
              <w:bottom w:val="single" w:sz="6" w:space="0" w:color="auto"/>
              <w:right w:val="nil"/>
            </w:tcBorders>
            <w:shd w:val="clear" w:color="auto" w:fill="auto"/>
          </w:tcPr>
          <w:p w14:paraId="3878CABC" w14:textId="77777777" w:rsidR="00C15D21" w:rsidRPr="009A5E24" w:rsidRDefault="00C85D3B" w:rsidP="00C15D21">
            <w:pPr>
              <w:pStyle w:val="Tabletext"/>
            </w:pPr>
            <w:r w:rsidRPr="009A5E24">
              <w:t>2</w:t>
            </w:r>
            <w:r w:rsidR="00207C59" w:rsidRPr="009A5E24">
              <w:t>3</w:t>
            </w:r>
          </w:p>
        </w:tc>
        <w:tc>
          <w:tcPr>
            <w:tcW w:w="4111" w:type="dxa"/>
            <w:tcBorders>
              <w:top w:val="single" w:sz="6" w:space="0" w:color="auto"/>
              <w:left w:val="nil"/>
              <w:bottom w:val="single" w:sz="6" w:space="0" w:color="auto"/>
              <w:right w:val="nil"/>
            </w:tcBorders>
            <w:shd w:val="clear" w:color="auto" w:fill="auto"/>
          </w:tcPr>
          <w:p w14:paraId="0D06624C" w14:textId="62A5AE53" w:rsidR="00C15D21" w:rsidRPr="009A5E24" w:rsidRDefault="00C15D21" w:rsidP="0084392B">
            <w:pPr>
              <w:pStyle w:val="Tabletext"/>
            </w:pPr>
            <w:r w:rsidRPr="009A5E24">
              <w:t xml:space="preserve">a person who has been vaccinated with a </w:t>
            </w:r>
            <w:r w:rsidR="00CE5CAC" w:rsidRPr="009A5E24">
              <w:t xml:space="preserve">live </w:t>
            </w:r>
            <w:r w:rsidR="009609B8" w:rsidRPr="009A5E24">
              <w:t xml:space="preserve">vaccine that contains </w:t>
            </w:r>
            <w:r w:rsidRPr="009A5E24">
              <w:t>attenuated bacteria or</w:t>
            </w:r>
            <w:r w:rsidR="009609B8" w:rsidRPr="009A5E24">
              <w:t xml:space="preserve"> viruses, other than </w:t>
            </w:r>
            <w:r w:rsidR="0084392B" w:rsidRPr="009A5E24">
              <w:t>a vaccine mentioned in item </w:t>
            </w:r>
            <w:r w:rsidR="00A87203" w:rsidRPr="009A5E24">
              <w:t>2</w:t>
            </w:r>
            <w:r w:rsidR="00207C59" w:rsidRPr="009A5E24">
              <w:t>4</w:t>
            </w:r>
          </w:p>
        </w:tc>
        <w:tc>
          <w:tcPr>
            <w:tcW w:w="2977" w:type="dxa"/>
            <w:tcBorders>
              <w:top w:val="single" w:sz="6" w:space="0" w:color="auto"/>
              <w:left w:val="nil"/>
              <w:bottom w:val="single" w:sz="6" w:space="0" w:color="auto"/>
            </w:tcBorders>
            <w:shd w:val="clear" w:color="auto" w:fill="auto"/>
          </w:tcPr>
          <w:p w14:paraId="48F5A279" w14:textId="77777777" w:rsidR="00C15D21" w:rsidRPr="009A5E24" w:rsidRDefault="009609B8" w:rsidP="00C15D21">
            <w:pPr>
              <w:pStyle w:val="Tabletext"/>
            </w:pPr>
            <w:r w:rsidRPr="009A5E24">
              <w:t>ineligible for 4 weeks</w:t>
            </w:r>
          </w:p>
        </w:tc>
      </w:tr>
      <w:tr w:rsidR="00C15D21" w:rsidRPr="009A5E24" w14:paraId="23EC179E" w14:textId="77777777" w:rsidTr="00C15D21">
        <w:trPr>
          <w:jc w:val="center"/>
        </w:trPr>
        <w:tc>
          <w:tcPr>
            <w:tcW w:w="1276" w:type="dxa"/>
            <w:tcBorders>
              <w:top w:val="single" w:sz="6" w:space="0" w:color="auto"/>
              <w:bottom w:val="single" w:sz="6" w:space="0" w:color="auto"/>
              <w:right w:val="nil"/>
            </w:tcBorders>
            <w:shd w:val="clear" w:color="auto" w:fill="auto"/>
          </w:tcPr>
          <w:p w14:paraId="10412C79" w14:textId="77777777" w:rsidR="00C15D21" w:rsidRPr="009A5E24" w:rsidRDefault="00C85D3B" w:rsidP="00C15D21">
            <w:pPr>
              <w:pStyle w:val="Tabletext"/>
            </w:pPr>
            <w:r w:rsidRPr="009A5E24">
              <w:t>2</w:t>
            </w:r>
            <w:r w:rsidR="00207C59" w:rsidRPr="009A5E24">
              <w:t>4</w:t>
            </w:r>
          </w:p>
        </w:tc>
        <w:tc>
          <w:tcPr>
            <w:tcW w:w="4111" w:type="dxa"/>
            <w:tcBorders>
              <w:top w:val="single" w:sz="6" w:space="0" w:color="auto"/>
              <w:left w:val="nil"/>
              <w:bottom w:val="single" w:sz="6" w:space="0" w:color="auto"/>
              <w:right w:val="nil"/>
            </w:tcBorders>
            <w:shd w:val="clear" w:color="auto" w:fill="auto"/>
          </w:tcPr>
          <w:p w14:paraId="2F53C97E" w14:textId="77777777" w:rsidR="00C15D21" w:rsidRPr="009A5E24" w:rsidRDefault="009609B8" w:rsidP="00C43050">
            <w:pPr>
              <w:pStyle w:val="Tabletext"/>
            </w:pPr>
            <w:r w:rsidRPr="009A5E24">
              <w:t xml:space="preserve">a person who has been vaccinated with a </w:t>
            </w:r>
            <w:r w:rsidR="00CE5CAC" w:rsidRPr="009A5E24">
              <w:t xml:space="preserve">live </w:t>
            </w:r>
            <w:r w:rsidRPr="009A5E24">
              <w:t xml:space="preserve">vaccine </w:t>
            </w:r>
            <w:r w:rsidR="00C43050" w:rsidRPr="009A5E24">
              <w:t>against</w:t>
            </w:r>
            <w:r w:rsidRPr="009A5E24">
              <w:t xml:space="preserve"> smallpox</w:t>
            </w:r>
          </w:p>
        </w:tc>
        <w:tc>
          <w:tcPr>
            <w:tcW w:w="2977" w:type="dxa"/>
            <w:tcBorders>
              <w:top w:val="single" w:sz="6" w:space="0" w:color="auto"/>
              <w:left w:val="nil"/>
              <w:bottom w:val="single" w:sz="6" w:space="0" w:color="auto"/>
            </w:tcBorders>
            <w:shd w:val="clear" w:color="auto" w:fill="auto"/>
          </w:tcPr>
          <w:p w14:paraId="3C65AEB5" w14:textId="77777777" w:rsidR="00C15D21" w:rsidRPr="009A5E24" w:rsidRDefault="009609B8" w:rsidP="00C15D21">
            <w:pPr>
              <w:pStyle w:val="Tabletext"/>
            </w:pPr>
            <w:r w:rsidRPr="009A5E24">
              <w:t>ineligible for 8 weeks</w:t>
            </w:r>
          </w:p>
        </w:tc>
      </w:tr>
      <w:tr w:rsidR="00C15D21" w:rsidRPr="009A5E24" w14:paraId="31401BB7" w14:textId="77777777" w:rsidTr="00CD6B85">
        <w:trPr>
          <w:jc w:val="center"/>
        </w:trPr>
        <w:tc>
          <w:tcPr>
            <w:tcW w:w="1276" w:type="dxa"/>
            <w:tcBorders>
              <w:top w:val="single" w:sz="6" w:space="0" w:color="auto"/>
              <w:bottom w:val="single" w:sz="6" w:space="0" w:color="auto"/>
              <w:right w:val="nil"/>
            </w:tcBorders>
            <w:shd w:val="clear" w:color="auto" w:fill="auto"/>
          </w:tcPr>
          <w:p w14:paraId="3352D547" w14:textId="77777777" w:rsidR="00C15D21" w:rsidRPr="009A5E24" w:rsidRDefault="00C85D3B" w:rsidP="00C15D21">
            <w:pPr>
              <w:pStyle w:val="Tabletext"/>
            </w:pPr>
            <w:r w:rsidRPr="009A5E24">
              <w:t>2</w:t>
            </w:r>
            <w:r w:rsidR="00207C59" w:rsidRPr="009A5E24">
              <w:t>5</w:t>
            </w:r>
          </w:p>
        </w:tc>
        <w:tc>
          <w:tcPr>
            <w:tcW w:w="4111" w:type="dxa"/>
            <w:tcBorders>
              <w:top w:val="single" w:sz="6" w:space="0" w:color="auto"/>
              <w:left w:val="nil"/>
              <w:bottom w:val="single" w:sz="6" w:space="0" w:color="auto"/>
              <w:right w:val="nil"/>
            </w:tcBorders>
            <w:shd w:val="clear" w:color="auto" w:fill="auto"/>
          </w:tcPr>
          <w:p w14:paraId="0BCCC635" w14:textId="77777777" w:rsidR="00C15D21" w:rsidRPr="009A5E24" w:rsidRDefault="009609B8" w:rsidP="00C15D21">
            <w:pPr>
              <w:pStyle w:val="Tabletext"/>
            </w:pPr>
            <w:r w:rsidRPr="009A5E24">
              <w:t xml:space="preserve">a person who has been vaccinated with a </w:t>
            </w:r>
            <w:r w:rsidR="00CE5CAC" w:rsidRPr="009A5E24">
              <w:t xml:space="preserve">live </w:t>
            </w:r>
            <w:r w:rsidRPr="009A5E24">
              <w:t>vaccine that contains sera of animal origin</w:t>
            </w:r>
          </w:p>
        </w:tc>
        <w:tc>
          <w:tcPr>
            <w:tcW w:w="2977" w:type="dxa"/>
            <w:tcBorders>
              <w:top w:val="single" w:sz="6" w:space="0" w:color="auto"/>
              <w:left w:val="nil"/>
              <w:bottom w:val="single" w:sz="6" w:space="0" w:color="auto"/>
            </w:tcBorders>
            <w:shd w:val="clear" w:color="auto" w:fill="auto"/>
          </w:tcPr>
          <w:p w14:paraId="49DCA8AF" w14:textId="77777777" w:rsidR="00C15D21" w:rsidRPr="009A5E24" w:rsidRDefault="009609B8" w:rsidP="00C15D21">
            <w:pPr>
              <w:pStyle w:val="Tabletext"/>
            </w:pPr>
            <w:r w:rsidRPr="009A5E24">
              <w:t>ineligible for 12 weeks</w:t>
            </w:r>
          </w:p>
        </w:tc>
      </w:tr>
      <w:tr w:rsidR="00C15D21" w:rsidRPr="009A5E24" w14:paraId="4D75B3B6" w14:textId="77777777" w:rsidTr="00CD6B85">
        <w:trPr>
          <w:jc w:val="center"/>
        </w:trPr>
        <w:tc>
          <w:tcPr>
            <w:tcW w:w="1276" w:type="dxa"/>
            <w:tcBorders>
              <w:top w:val="single" w:sz="6" w:space="0" w:color="auto"/>
              <w:bottom w:val="single" w:sz="12" w:space="0" w:color="auto"/>
              <w:right w:val="nil"/>
            </w:tcBorders>
            <w:shd w:val="clear" w:color="auto" w:fill="auto"/>
          </w:tcPr>
          <w:p w14:paraId="037402AB" w14:textId="77777777" w:rsidR="00C15D21" w:rsidRPr="009A5E24" w:rsidRDefault="00C85D3B" w:rsidP="00C15D21">
            <w:pPr>
              <w:pStyle w:val="Tabletext"/>
            </w:pPr>
            <w:r w:rsidRPr="009A5E24">
              <w:t>2</w:t>
            </w:r>
            <w:r w:rsidR="00207C59" w:rsidRPr="009A5E24">
              <w:t>6</w:t>
            </w:r>
          </w:p>
        </w:tc>
        <w:tc>
          <w:tcPr>
            <w:tcW w:w="4111" w:type="dxa"/>
            <w:tcBorders>
              <w:top w:val="single" w:sz="6" w:space="0" w:color="auto"/>
              <w:left w:val="nil"/>
              <w:bottom w:val="single" w:sz="12" w:space="0" w:color="auto"/>
              <w:right w:val="nil"/>
            </w:tcBorders>
            <w:shd w:val="clear" w:color="auto" w:fill="auto"/>
          </w:tcPr>
          <w:p w14:paraId="1496FCAB" w14:textId="77777777" w:rsidR="00C15D21" w:rsidRPr="009A5E24" w:rsidRDefault="009609B8" w:rsidP="009609B8">
            <w:pPr>
              <w:pStyle w:val="Tabletext"/>
            </w:pPr>
            <w:r w:rsidRPr="009A5E24">
              <w:t>a person who has been vaccinated with an unknown vaccine</w:t>
            </w:r>
          </w:p>
        </w:tc>
        <w:tc>
          <w:tcPr>
            <w:tcW w:w="2977" w:type="dxa"/>
            <w:tcBorders>
              <w:top w:val="single" w:sz="6" w:space="0" w:color="auto"/>
              <w:left w:val="nil"/>
              <w:bottom w:val="single" w:sz="12" w:space="0" w:color="auto"/>
            </w:tcBorders>
            <w:shd w:val="clear" w:color="auto" w:fill="auto"/>
          </w:tcPr>
          <w:p w14:paraId="7F67D57A" w14:textId="77777777" w:rsidR="00C15D21" w:rsidRPr="009A5E24" w:rsidRDefault="009609B8" w:rsidP="00C15D21">
            <w:pPr>
              <w:pStyle w:val="Tabletext"/>
            </w:pPr>
            <w:r w:rsidRPr="009A5E24">
              <w:t>ineligible for 12 months</w:t>
            </w:r>
          </w:p>
        </w:tc>
      </w:tr>
    </w:tbl>
    <w:p w14:paraId="377C39D7" w14:textId="263A211E" w:rsidR="00C15D21" w:rsidRPr="009A5E24" w:rsidRDefault="00C15D21" w:rsidP="00554826">
      <w:pPr>
        <w:spacing w:line="240" w:lineRule="auto"/>
        <w:rPr>
          <w:rFonts w:eastAsia="Times New Roman" w:cs="Times New Roman"/>
          <w:lang w:eastAsia="en-AU"/>
        </w:rPr>
      </w:pPr>
      <w:r w:rsidRPr="009A5E24">
        <w:rPr>
          <w:rFonts w:eastAsia="Times New Roman" w:cs="Times New Roman"/>
          <w:lang w:eastAsia="en-AU"/>
        </w:rPr>
        <w:br w:type="page"/>
      </w:r>
    </w:p>
    <w:p w14:paraId="33C3B616" w14:textId="77777777" w:rsidR="00D6537E" w:rsidRPr="009A5E24" w:rsidRDefault="004E1307" w:rsidP="00D6537E">
      <w:pPr>
        <w:pStyle w:val="ActHead6"/>
      </w:pPr>
      <w:bookmarkStart w:id="23" w:name="_Toc70077686"/>
      <w:r w:rsidRPr="009A5E24">
        <w:t xml:space="preserve">Schedule </w:t>
      </w:r>
      <w:r w:rsidR="00C15D21" w:rsidRPr="009A5E24">
        <w:t>2</w:t>
      </w:r>
      <w:r w:rsidR="00D6537E" w:rsidRPr="009A5E24">
        <w:t>—Repeals</w:t>
      </w:r>
      <w:bookmarkEnd w:id="23"/>
    </w:p>
    <w:p w14:paraId="762D40AE" w14:textId="77777777" w:rsidR="0004136E" w:rsidRPr="009A5E24" w:rsidRDefault="0004136E" w:rsidP="0004136E">
      <w:pPr>
        <w:pStyle w:val="notetext"/>
        <w:spacing w:after="300"/>
        <w:ind w:left="0" w:firstLine="0"/>
      </w:pPr>
      <w:r w:rsidRPr="009A5E24">
        <w:t>Note:</w:t>
      </w:r>
      <w:r w:rsidRPr="009A5E24">
        <w:tab/>
        <w:t>See section</w:t>
      </w:r>
      <w:r w:rsidR="003B6C01" w:rsidRPr="009A5E24">
        <w:t xml:space="preserve"> 7.</w:t>
      </w:r>
    </w:p>
    <w:p w14:paraId="4117597C" w14:textId="77777777" w:rsidR="00D6537E" w:rsidRPr="009A5E24" w:rsidRDefault="00FE39B8" w:rsidP="00D6537E">
      <w:pPr>
        <w:pStyle w:val="ActHead9"/>
      </w:pPr>
      <w:bookmarkStart w:id="24" w:name="_Toc70077687"/>
      <w:r w:rsidRPr="009A5E24">
        <w:rPr>
          <w:iCs/>
        </w:rPr>
        <w:t>Therapeutic Goods Order No. 88</w:t>
      </w:r>
      <w:r w:rsidRPr="009A5E24">
        <w:t xml:space="preserve"> </w:t>
      </w:r>
      <w:r w:rsidRPr="009A5E24">
        <w:rPr>
          <w:iCs/>
        </w:rPr>
        <w:t>Standards for donor selection, testing, and minimising infectious disease transmission via therapeutic goods that are human blood and blood components, human tissues and human cellular therapy products</w:t>
      </w:r>
      <w:bookmarkEnd w:id="24"/>
    </w:p>
    <w:p w14:paraId="37D0B0B5" w14:textId="77777777" w:rsidR="00D6537E" w:rsidRPr="009A5E24" w:rsidRDefault="00D6537E" w:rsidP="00D6537E">
      <w:pPr>
        <w:pStyle w:val="ItemHead"/>
      </w:pPr>
      <w:r w:rsidRPr="009A5E24">
        <w:t xml:space="preserve">1  </w:t>
      </w:r>
      <w:r w:rsidR="00BB1533" w:rsidRPr="009A5E24">
        <w:t>The w</w:t>
      </w:r>
      <w:r w:rsidRPr="009A5E24">
        <w:t>hole of the instrument</w:t>
      </w:r>
    </w:p>
    <w:p w14:paraId="5C17CE3E" w14:textId="77777777" w:rsidR="00A75FE9" w:rsidRDefault="00D6537E" w:rsidP="00FE39B8">
      <w:pPr>
        <w:pStyle w:val="Item"/>
      </w:pPr>
      <w:r w:rsidRPr="009A5E24">
        <w:t>Repeal the instrument</w:t>
      </w:r>
      <w:r w:rsidR="00FE39B8" w:rsidRPr="009A5E24">
        <w:t>.</w:t>
      </w:r>
    </w:p>
    <w:sectPr w:rsidR="00A75FE9" w:rsidSect="008C2EAC">
      <w:headerReference w:type="even" r:id="rId20"/>
      <w:headerReference w:type="default" r:id="rId21"/>
      <w:footerReference w:type="even" r:id="rId22"/>
      <w:footerReference w:type="default" r:id="rId23"/>
      <w:headerReference w:type="first" r:id="rId24"/>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03F1F" w14:textId="77777777" w:rsidR="006B2717" w:rsidRDefault="006B2717" w:rsidP="00715914">
      <w:pPr>
        <w:spacing w:line="240" w:lineRule="auto"/>
      </w:pPr>
      <w:r>
        <w:separator/>
      </w:r>
    </w:p>
  </w:endnote>
  <w:endnote w:type="continuationSeparator" w:id="0">
    <w:p w14:paraId="22481D64" w14:textId="77777777" w:rsidR="006B2717" w:rsidRDefault="006B271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C3085" w14:textId="77777777" w:rsidR="006B2717" w:rsidRPr="00E33C1C" w:rsidRDefault="006B2717"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B2717" w14:paraId="42234DB8" w14:textId="77777777" w:rsidTr="00B33709">
      <w:tc>
        <w:tcPr>
          <w:tcW w:w="709" w:type="dxa"/>
          <w:tcBorders>
            <w:top w:val="nil"/>
            <w:left w:val="nil"/>
            <w:bottom w:val="nil"/>
            <w:right w:val="nil"/>
          </w:tcBorders>
        </w:tcPr>
        <w:p w14:paraId="0A9E49B1" w14:textId="77777777" w:rsidR="006B2717" w:rsidRDefault="006B2717"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757DCA03" w14:textId="77777777" w:rsidR="006B2717" w:rsidRPr="004E1307" w:rsidRDefault="006B271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Therapeutic Goods (Standard for Human Cell and Tissue Products—Donor Selection Requirements) (TGO 108) Order 2021</w:t>
          </w:r>
          <w:r w:rsidRPr="004E1307">
            <w:rPr>
              <w:i/>
              <w:sz w:val="18"/>
            </w:rPr>
            <w:fldChar w:fldCharType="end"/>
          </w:r>
        </w:p>
      </w:tc>
      <w:tc>
        <w:tcPr>
          <w:tcW w:w="1383" w:type="dxa"/>
          <w:tcBorders>
            <w:top w:val="nil"/>
            <w:left w:val="nil"/>
            <w:bottom w:val="nil"/>
            <w:right w:val="nil"/>
          </w:tcBorders>
        </w:tcPr>
        <w:p w14:paraId="75BBD690" w14:textId="77777777" w:rsidR="006B2717" w:rsidRDefault="006B2717" w:rsidP="00A369E3">
          <w:pPr>
            <w:spacing w:line="0" w:lineRule="atLeast"/>
            <w:jc w:val="right"/>
            <w:rPr>
              <w:sz w:val="18"/>
            </w:rPr>
          </w:pPr>
        </w:p>
      </w:tc>
    </w:tr>
    <w:tr w:rsidR="006B2717" w14:paraId="6A60316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F696BFA" w14:textId="77777777" w:rsidR="006B2717" w:rsidRDefault="006B2717" w:rsidP="00A369E3">
          <w:pPr>
            <w:jc w:val="right"/>
            <w:rPr>
              <w:sz w:val="18"/>
            </w:rPr>
          </w:pPr>
        </w:p>
      </w:tc>
    </w:tr>
  </w:tbl>
  <w:p w14:paraId="07535518" w14:textId="77777777" w:rsidR="006B2717" w:rsidRPr="00ED79B6" w:rsidRDefault="006B2717"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06691" w14:textId="77777777" w:rsidR="006B2717" w:rsidRPr="00E33C1C" w:rsidRDefault="006B2717"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B2717" w14:paraId="6671C680" w14:textId="77777777" w:rsidTr="00A369E3">
      <w:tc>
        <w:tcPr>
          <w:tcW w:w="1384" w:type="dxa"/>
          <w:tcBorders>
            <w:top w:val="nil"/>
            <w:left w:val="nil"/>
            <w:bottom w:val="nil"/>
            <w:right w:val="nil"/>
          </w:tcBorders>
        </w:tcPr>
        <w:p w14:paraId="661B9028" w14:textId="77777777" w:rsidR="006B2717" w:rsidRDefault="006B2717" w:rsidP="00A369E3">
          <w:pPr>
            <w:spacing w:line="0" w:lineRule="atLeast"/>
            <w:rPr>
              <w:sz w:val="18"/>
            </w:rPr>
          </w:pPr>
        </w:p>
      </w:tc>
      <w:tc>
        <w:tcPr>
          <w:tcW w:w="6379" w:type="dxa"/>
          <w:tcBorders>
            <w:top w:val="nil"/>
            <w:left w:val="nil"/>
            <w:bottom w:val="nil"/>
            <w:right w:val="nil"/>
          </w:tcBorders>
        </w:tcPr>
        <w:p w14:paraId="4A76334F" w14:textId="77777777" w:rsidR="006B2717" w:rsidRDefault="006B271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Therapeutic Goods (Standard for Human Cell and Tissue Products—Donor Selection Requirements) (TGO 108) Order 2021</w:t>
          </w:r>
          <w:r w:rsidRPr="004E1307">
            <w:rPr>
              <w:i/>
              <w:sz w:val="18"/>
            </w:rPr>
            <w:fldChar w:fldCharType="end"/>
          </w:r>
        </w:p>
      </w:tc>
      <w:tc>
        <w:tcPr>
          <w:tcW w:w="709" w:type="dxa"/>
          <w:tcBorders>
            <w:top w:val="nil"/>
            <w:left w:val="nil"/>
            <w:bottom w:val="nil"/>
            <w:right w:val="nil"/>
          </w:tcBorders>
        </w:tcPr>
        <w:p w14:paraId="339B434E" w14:textId="77777777" w:rsidR="006B2717" w:rsidRDefault="006B2717"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6B2717" w14:paraId="60245121"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5D8FB0F" w14:textId="77777777" w:rsidR="006B2717" w:rsidRDefault="006B2717" w:rsidP="00A369E3">
          <w:pPr>
            <w:rPr>
              <w:sz w:val="18"/>
            </w:rPr>
          </w:pPr>
        </w:p>
      </w:tc>
    </w:tr>
  </w:tbl>
  <w:p w14:paraId="6C49414B" w14:textId="77777777" w:rsidR="006B2717" w:rsidRPr="00ED79B6" w:rsidRDefault="006B2717"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6D0D" w14:textId="77777777" w:rsidR="006B2717" w:rsidRPr="00E33C1C" w:rsidRDefault="006B2717"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6B2717" w14:paraId="0E137DC6" w14:textId="77777777" w:rsidTr="00B33709">
      <w:tc>
        <w:tcPr>
          <w:tcW w:w="1384" w:type="dxa"/>
          <w:tcBorders>
            <w:top w:val="nil"/>
            <w:left w:val="nil"/>
            <w:bottom w:val="nil"/>
            <w:right w:val="nil"/>
          </w:tcBorders>
        </w:tcPr>
        <w:p w14:paraId="636F3E86" w14:textId="77777777" w:rsidR="006B2717" w:rsidRDefault="006B2717" w:rsidP="00A369E3">
          <w:pPr>
            <w:spacing w:line="0" w:lineRule="atLeast"/>
            <w:rPr>
              <w:sz w:val="18"/>
            </w:rPr>
          </w:pPr>
        </w:p>
      </w:tc>
      <w:tc>
        <w:tcPr>
          <w:tcW w:w="6379" w:type="dxa"/>
          <w:tcBorders>
            <w:top w:val="nil"/>
            <w:left w:val="nil"/>
            <w:bottom w:val="nil"/>
            <w:right w:val="nil"/>
          </w:tcBorders>
        </w:tcPr>
        <w:p w14:paraId="3DBE7A5D" w14:textId="77777777" w:rsidR="006B2717" w:rsidRDefault="006B2717" w:rsidP="00A369E3">
          <w:pPr>
            <w:spacing w:line="0" w:lineRule="atLeast"/>
            <w:jc w:val="center"/>
            <w:rPr>
              <w:sz w:val="18"/>
            </w:rPr>
          </w:pPr>
        </w:p>
      </w:tc>
      <w:tc>
        <w:tcPr>
          <w:tcW w:w="709" w:type="dxa"/>
          <w:tcBorders>
            <w:top w:val="nil"/>
            <w:left w:val="nil"/>
            <w:bottom w:val="nil"/>
            <w:right w:val="nil"/>
          </w:tcBorders>
        </w:tcPr>
        <w:p w14:paraId="4F6919E6" w14:textId="77777777" w:rsidR="006B2717" w:rsidRDefault="006B2717" w:rsidP="00A369E3">
          <w:pPr>
            <w:spacing w:line="0" w:lineRule="atLeast"/>
            <w:jc w:val="right"/>
            <w:rPr>
              <w:sz w:val="18"/>
            </w:rPr>
          </w:pPr>
        </w:p>
      </w:tc>
    </w:tr>
  </w:tbl>
  <w:p w14:paraId="1CCCDA04" w14:textId="77777777" w:rsidR="006B2717" w:rsidRPr="00ED79B6" w:rsidRDefault="006B2717"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4C876" w14:textId="77777777" w:rsidR="006B2717" w:rsidRPr="002B0EA5" w:rsidRDefault="006B2717" w:rsidP="00B84BB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6B2717" w14:paraId="2AD28D7B" w14:textId="77777777" w:rsidTr="00B84BBE">
      <w:tc>
        <w:tcPr>
          <w:tcW w:w="365" w:type="pct"/>
        </w:tcPr>
        <w:p w14:paraId="1D8B2D1D" w14:textId="77777777" w:rsidR="006B2717" w:rsidRDefault="006B2717" w:rsidP="00B84BB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Pr>
        <w:p w14:paraId="7F4E67A1" w14:textId="77777777" w:rsidR="006B2717" w:rsidRDefault="006B2717" w:rsidP="00B84BB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Therapeutic Goods (Standard for Human Cell and Tissue Products—Donor Selection Requirements) (TGO 108) Order 2021</w:t>
          </w:r>
          <w:r w:rsidRPr="004E1307">
            <w:rPr>
              <w:i/>
              <w:sz w:val="18"/>
            </w:rPr>
            <w:fldChar w:fldCharType="end"/>
          </w:r>
        </w:p>
      </w:tc>
      <w:tc>
        <w:tcPr>
          <w:tcW w:w="947" w:type="pct"/>
        </w:tcPr>
        <w:p w14:paraId="7DEA913B" w14:textId="77777777" w:rsidR="006B2717" w:rsidRDefault="006B2717" w:rsidP="00B84BBE">
          <w:pPr>
            <w:spacing w:line="0" w:lineRule="atLeast"/>
            <w:jc w:val="right"/>
            <w:rPr>
              <w:sz w:val="18"/>
            </w:rPr>
          </w:pPr>
        </w:p>
      </w:tc>
    </w:tr>
    <w:tr w:rsidR="006B2717" w14:paraId="5A1FB6D2" w14:textId="77777777" w:rsidTr="00B84BBE">
      <w:tc>
        <w:tcPr>
          <w:tcW w:w="5000" w:type="pct"/>
          <w:gridSpan w:val="3"/>
        </w:tcPr>
        <w:p w14:paraId="6A8A63B3" w14:textId="77777777" w:rsidR="006B2717" w:rsidRDefault="006B2717" w:rsidP="00B84BBE">
          <w:pPr>
            <w:jc w:val="right"/>
            <w:rPr>
              <w:sz w:val="18"/>
            </w:rPr>
          </w:pPr>
        </w:p>
      </w:tc>
    </w:tr>
  </w:tbl>
  <w:p w14:paraId="0DB58C9B" w14:textId="77777777" w:rsidR="006B2717" w:rsidRPr="00ED79B6" w:rsidRDefault="006B2717" w:rsidP="00B84BB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6223D" w14:textId="77777777" w:rsidR="006B2717" w:rsidRPr="002B0EA5" w:rsidRDefault="006B2717" w:rsidP="00B84BB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6097"/>
      <w:gridCol w:w="1089"/>
    </w:tblGrid>
    <w:tr w:rsidR="006B2717" w14:paraId="2D98062A" w14:textId="77777777" w:rsidTr="002E3EC3">
      <w:tc>
        <w:tcPr>
          <w:tcW w:w="678" w:type="pct"/>
        </w:tcPr>
        <w:p w14:paraId="36CC414C" w14:textId="77777777" w:rsidR="006B2717" w:rsidRDefault="006B2717" w:rsidP="00B84BBE">
          <w:pPr>
            <w:spacing w:line="0" w:lineRule="atLeast"/>
            <w:rPr>
              <w:sz w:val="18"/>
            </w:rPr>
          </w:pPr>
        </w:p>
      </w:tc>
      <w:tc>
        <w:tcPr>
          <w:tcW w:w="3667" w:type="pct"/>
        </w:tcPr>
        <w:p w14:paraId="54F1D0DB" w14:textId="29975C95" w:rsidR="006B2717" w:rsidRDefault="006B2717" w:rsidP="00B84BB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50F3D">
            <w:rPr>
              <w:i/>
              <w:noProof/>
              <w:sz w:val="18"/>
            </w:rPr>
            <w:t>Therapeutic Goods (Standard for Human Cell and Tissue Products—Donor Screening Requirements) (TGO 108) Order 2021</w:t>
          </w:r>
          <w:r w:rsidRPr="004E1307">
            <w:rPr>
              <w:i/>
              <w:sz w:val="18"/>
            </w:rPr>
            <w:fldChar w:fldCharType="end"/>
          </w:r>
        </w:p>
      </w:tc>
      <w:tc>
        <w:tcPr>
          <w:tcW w:w="655" w:type="pct"/>
        </w:tcPr>
        <w:p w14:paraId="5BE65000" w14:textId="36965CDE" w:rsidR="006B2717" w:rsidRDefault="006B2717" w:rsidP="00B84BB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50F3D">
            <w:rPr>
              <w:i/>
              <w:noProof/>
              <w:sz w:val="18"/>
            </w:rPr>
            <w:t>i</w:t>
          </w:r>
          <w:r w:rsidRPr="00ED79B6">
            <w:rPr>
              <w:i/>
              <w:sz w:val="18"/>
            </w:rPr>
            <w:fldChar w:fldCharType="end"/>
          </w:r>
        </w:p>
      </w:tc>
    </w:tr>
    <w:tr w:rsidR="006B2717" w14:paraId="48203C5A" w14:textId="77777777" w:rsidTr="002E3EC3">
      <w:tc>
        <w:tcPr>
          <w:tcW w:w="5000" w:type="pct"/>
          <w:gridSpan w:val="3"/>
        </w:tcPr>
        <w:p w14:paraId="3C313DE5" w14:textId="77777777" w:rsidR="006B2717" w:rsidRDefault="006B2717" w:rsidP="00B84BBE">
          <w:pPr>
            <w:rPr>
              <w:sz w:val="18"/>
            </w:rPr>
          </w:pPr>
        </w:p>
      </w:tc>
    </w:tr>
  </w:tbl>
  <w:p w14:paraId="17B83173" w14:textId="77777777" w:rsidR="006B2717" w:rsidRPr="00ED79B6" w:rsidRDefault="006B2717" w:rsidP="002E3EC3">
    <w:pPr>
      <w:jc w:val="cente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1E9E0" w14:textId="77777777" w:rsidR="006B2717" w:rsidRPr="002B0EA5" w:rsidRDefault="006B2717" w:rsidP="00B84BBE">
    <w:pPr>
      <w:pBdr>
        <w:top w:val="single" w:sz="6" w:space="1" w:color="auto"/>
      </w:pBdr>
      <w:spacing w:before="120" w:line="0" w:lineRule="atLeast"/>
      <w:rPr>
        <w:sz w:val="16"/>
        <w:szCs w:val="16"/>
      </w:rPr>
    </w:pPr>
  </w:p>
  <w:tbl>
    <w:tblPr>
      <w:tblStyle w:val="TableGrid"/>
      <w:tblW w:w="57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7332"/>
      <w:gridCol w:w="1573"/>
    </w:tblGrid>
    <w:tr w:rsidR="006B2717" w14:paraId="621703E1" w14:textId="77777777" w:rsidTr="002E3EC3">
      <w:tc>
        <w:tcPr>
          <w:tcW w:w="319" w:type="pct"/>
        </w:tcPr>
        <w:p w14:paraId="47B615D5" w14:textId="38CBEDBD" w:rsidR="006B2717" w:rsidRDefault="006B2717" w:rsidP="00B84BB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50F3D">
            <w:rPr>
              <w:i/>
              <w:noProof/>
              <w:sz w:val="18"/>
            </w:rPr>
            <w:t>16</w:t>
          </w:r>
          <w:r w:rsidRPr="00ED79B6">
            <w:rPr>
              <w:i/>
              <w:sz w:val="18"/>
            </w:rPr>
            <w:fldChar w:fldCharType="end"/>
          </w:r>
        </w:p>
      </w:tc>
      <w:tc>
        <w:tcPr>
          <w:tcW w:w="3854" w:type="pct"/>
        </w:tcPr>
        <w:p w14:paraId="2F7075F4" w14:textId="102E801B" w:rsidR="006B2717" w:rsidRDefault="006B2717" w:rsidP="00B84BB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50F3D">
            <w:rPr>
              <w:i/>
              <w:noProof/>
              <w:sz w:val="18"/>
            </w:rPr>
            <w:t>Therapeutic Goods (Standard for Human Cell and Tissue Products—Donor Screening Requirements) (TGO 108) Order 2021</w:t>
          </w:r>
          <w:r w:rsidRPr="004E1307">
            <w:rPr>
              <w:i/>
              <w:sz w:val="18"/>
            </w:rPr>
            <w:fldChar w:fldCharType="end"/>
          </w:r>
        </w:p>
      </w:tc>
      <w:tc>
        <w:tcPr>
          <w:tcW w:w="827" w:type="pct"/>
        </w:tcPr>
        <w:p w14:paraId="0869E8DC" w14:textId="77777777" w:rsidR="006B2717" w:rsidRDefault="006B2717" w:rsidP="00B84BBE">
          <w:pPr>
            <w:spacing w:line="0" w:lineRule="atLeast"/>
            <w:jc w:val="right"/>
            <w:rPr>
              <w:sz w:val="18"/>
            </w:rPr>
          </w:pPr>
        </w:p>
      </w:tc>
    </w:tr>
    <w:tr w:rsidR="006B2717" w14:paraId="2728F5E8" w14:textId="77777777" w:rsidTr="002E3EC3">
      <w:tc>
        <w:tcPr>
          <w:tcW w:w="4997" w:type="pct"/>
          <w:gridSpan w:val="3"/>
        </w:tcPr>
        <w:p w14:paraId="27FCC547" w14:textId="77777777" w:rsidR="006B2717" w:rsidRDefault="006B2717" w:rsidP="00B84BBE">
          <w:pPr>
            <w:jc w:val="right"/>
            <w:rPr>
              <w:sz w:val="18"/>
            </w:rPr>
          </w:pPr>
        </w:p>
      </w:tc>
    </w:tr>
  </w:tbl>
  <w:p w14:paraId="696E9933" w14:textId="77777777" w:rsidR="006B2717" w:rsidRPr="00ED79B6" w:rsidRDefault="006B2717" w:rsidP="002E3EC3">
    <w:pPr>
      <w:jc w:val="cente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FB1DB" w14:textId="77777777" w:rsidR="006B2717" w:rsidRPr="002B0EA5" w:rsidRDefault="006B2717" w:rsidP="00B84BB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093"/>
      <w:gridCol w:w="951"/>
    </w:tblGrid>
    <w:tr w:rsidR="006B2717" w14:paraId="3C9D7612" w14:textId="77777777" w:rsidTr="002E3EC3">
      <w:tc>
        <w:tcPr>
          <w:tcW w:w="763" w:type="pct"/>
        </w:tcPr>
        <w:p w14:paraId="67A6CF2F" w14:textId="77777777" w:rsidR="006B2717" w:rsidRDefault="006B2717" w:rsidP="00B84BBE">
          <w:pPr>
            <w:spacing w:line="0" w:lineRule="atLeast"/>
            <w:rPr>
              <w:sz w:val="18"/>
            </w:rPr>
          </w:pPr>
        </w:p>
      </w:tc>
      <w:tc>
        <w:tcPr>
          <w:tcW w:w="3665" w:type="pct"/>
        </w:tcPr>
        <w:p w14:paraId="056739DC" w14:textId="474EF128" w:rsidR="006B2717" w:rsidRDefault="006B2717" w:rsidP="00B84BB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50F3D">
            <w:rPr>
              <w:i/>
              <w:noProof/>
              <w:sz w:val="18"/>
            </w:rPr>
            <w:t>Therapeutic Goods (Standard for Human Cell and Tissue Products—Donor Screening Requirements) (TGO 108) Order 2021</w:t>
          </w:r>
          <w:r w:rsidRPr="004E1307">
            <w:rPr>
              <w:i/>
              <w:sz w:val="18"/>
            </w:rPr>
            <w:fldChar w:fldCharType="end"/>
          </w:r>
        </w:p>
      </w:tc>
      <w:tc>
        <w:tcPr>
          <w:tcW w:w="571" w:type="pct"/>
        </w:tcPr>
        <w:p w14:paraId="64236318" w14:textId="51A806C0" w:rsidR="006B2717" w:rsidRDefault="006B2717" w:rsidP="00B84BB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50F3D">
            <w:rPr>
              <w:i/>
              <w:noProof/>
              <w:sz w:val="18"/>
            </w:rPr>
            <w:t>15</w:t>
          </w:r>
          <w:r w:rsidRPr="00ED79B6">
            <w:rPr>
              <w:i/>
              <w:sz w:val="18"/>
            </w:rPr>
            <w:fldChar w:fldCharType="end"/>
          </w:r>
        </w:p>
      </w:tc>
    </w:tr>
    <w:tr w:rsidR="006B2717" w14:paraId="20FB14E5" w14:textId="77777777" w:rsidTr="002E3EC3">
      <w:tc>
        <w:tcPr>
          <w:tcW w:w="5000" w:type="pct"/>
          <w:gridSpan w:val="3"/>
        </w:tcPr>
        <w:p w14:paraId="7FC76F05" w14:textId="77777777" w:rsidR="006B2717" w:rsidRDefault="006B2717" w:rsidP="00B84BBE">
          <w:pPr>
            <w:rPr>
              <w:sz w:val="18"/>
            </w:rPr>
          </w:pPr>
        </w:p>
      </w:tc>
    </w:tr>
  </w:tbl>
  <w:p w14:paraId="5B5D5541" w14:textId="77777777" w:rsidR="006B2717" w:rsidRPr="00ED79B6" w:rsidRDefault="006B2717" w:rsidP="002E3EC3">
    <w:pPr>
      <w:jc w:val="cente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77AF0" w14:textId="77777777" w:rsidR="006B2717" w:rsidRDefault="006B2717" w:rsidP="00715914">
      <w:pPr>
        <w:spacing w:line="240" w:lineRule="auto"/>
      </w:pPr>
      <w:r>
        <w:separator/>
      </w:r>
    </w:p>
  </w:footnote>
  <w:footnote w:type="continuationSeparator" w:id="0">
    <w:p w14:paraId="4603031C" w14:textId="77777777" w:rsidR="006B2717" w:rsidRDefault="006B271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8C737" w14:textId="221E5E9D" w:rsidR="006B2717" w:rsidRPr="005F1388" w:rsidRDefault="00C50F3D" w:rsidP="00715914">
    <w:pPr>
      <w:pStyle w:val="Header"/>
      <w:tabs>
        <w:tab w:val="clear" w:pos="4150"/>
        <w:tab w:val="clear" w:pos="8307"/>
      </w:tabs>
    </w:pPr>
    <w:r>
      <w:rPr>
        <w:noProof/>
      </w:rPr>
      <w:pict w14:anchorId="55831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29579" o:spid="_x0000_s28674" type="#_x0000_t136" style="position:absolute;margin-left:0;margin-top:0;width:418.6pt;height:167.4pt;rotation:315;z-index:-251655168;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69A7" w14:textId="4F3BBDB6" w:rsidR="006B2717" w:rsidRPr="005F1388" w:rsidRDefault="00C50F3D" w:rsidP="00715914">
    <w:pPr>
      <w:pStyle w:val="Header"/>
      <w:tabs>
        <w:tab w:val="clear" w:pos="4150"/>
        <w:tab w:val="clear" w:pos="8307"/>
      </w:tabs>
    </w:pPr>
    <w:r>
      <w:rPr>
        <w:noProof/>
      </w:rPr>
      <w:pict w14:anchorId="1EB98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29580" o:spid="_x0000_s28675" type="#_x0000_t136" style="position:absolute;margin-left:0;margin-top:0;width:418.6pt;height:167.4pt;rotation:315;z-index:-251653120;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DFACE" w14:textId="6A38D957" w:rsidR="009E6137" w:rsidRDefault="00C50F3D">
    <w:pPr>
      <w:pStyle w:val="Header"/>
    </w:pPr>
    <w:r>
      <w:rPr>
        <w:noProof/>
      </w:rPr>
      <w:pict w14:anchorId="339B5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29578" o:spid="_x0000_s28673" type="#_x0000_t136" style="position:absolute;margin-left:0;margin-top:0;width:418.6pt;height:167.4pt;rotation:315;z-index:-251657216;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DE2D5" w14:textId="5AF8A62F" w:rsidR="006B2717" w:rsidRPr="00ED79B6" w:rsidRDefault="00C50F3D" w:rsidP="00B84BBE">
    <w:pPr>
      <w:pBdr>
        <w:bottom w:val="single" w:sz="6" w:space="1" w:color="auto"/>
      </w:pBdr>
      <w:spacing w:before="1000" w:line="240" w:lineRule="auto"/>
    </w:pPr>
    <w:r>
      <w:rPr>
        <w:noProof/>
      </w:rPr>
      <w:pict w14:anchorId="5BB21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29582" o:spid="_x0000_s28677" type="#_x0000_t136" style="position:absolute;margin-left:0;margin-top:0;width:418.6pt;height:167.4pt;rotation:315;z-index:-251649024;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B7765" w14:textId="6CF66B1D" w:rsidR="006B2717" w:rsidRPr="00ED79B6" w:rsidRDefault="00C50F3D" w:rsidP="00B84BBE">
    <w:pPr>
      <w:pBdr>
        <w:bottom w:val="single" w:sz="6" w:space="1" w:color="auto"/>
      </w:pBdr>
      <w:spacing w:before="1000" w:line="240" w:lineRule="auto"/>
    </w:pPr>
    <w:r>
      <w:rPr>
        <w:noProof/>
      </w:rPr>
      <w:pict w14:anchorId="1294A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29583" o:spid="_x0000_s28678" type="#_x0000_t136" style="position:absolute;margin-left:0;margin-top:0;width:418.6pt;height:167.4pt;rotation:315;z-index:-251646976;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A1FAF" w14:textId="566039A9" w:rsidR="006B2717" w:rsidRPr="00ED79B6" w:rsidRDefault="00C50F3D" w:rsidP="00715914">
    <w:pPr>
      <w:pStyle w:val="Header"/>
      <w:tabs>
        <w:tab w:val="clear" w:pos="4150"/>
        <w:tab w:val="clear" w:pos="8307"/>
      </w:tabs>
    </w:pPr>
    <w:r>
      <w:rPr>
        <w:noProof/>
      </w:rPr>
      <w:pict w14:anchorId="7D2D8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29581" o:spid="_x0000_s28676" type="#_x0000_t136" style="position:absolute;margin-left:0;margin-top:0;width:418.6pt;height:167.4pt;rotation:315;z-index:-251651072;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509FA" w14:textId="3742F970" w:rsidR="006B2717" w:rsidRDefault="00C50F3D" w:rsidP="00715914">
    <w:pPr>
      <w:rPr>
        <w:sz w:val="20"/>
      </w:rPr>
    </w:pPr>
    <w:r>
      <w:rPr>
        <w:noProof/>
      </w:rPr>
      <w:pict w14:anchorId="2BCEC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29585" o:spid="_x0000_s28680" type="#_x0000_t136" style="position:absolute;margin-left:0;margin-top:0;width:418.6pt;height:167.4pt;rotation:315;z-index:-251642880;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p>
  <w:p w14:paraId="15CC8C39" w14:textId="77777777" w:rsidR="006B2717" w:rsidRDefault="006B2717" w:rsidP="00715914">
    <w:pPr>
      <w:rPr>
        <w:sz w:val="20"/>
      </w:rPr>
    </w:pPr>
  </w:p>
  <w:p w14:paraId="632C165C" w14:textId="77777777" w:rsidR="006B2717" w:rsidRPr="007A1328" w:rsidRDefault="006B2717" w:rsidP="00715914">
    <w:pPr>
      <w:rPr>
        <w:sz w:val="20"/>
      </w:rPr>
    </w:pPr>
  </w:p>
  <w:p w14:paraId="2D62B558" w14:textId="77777777" w:rsidR="006B2717" w:rsidRPr="007A1328" w:rsidRDefault="006B2717" w:rsidP="00715914">
    <w:pPr>
      <w:rPr>
        <w:b/>
        <w:sz w:val="24"/>
      </w:rPr>
    </w:pPr>
  </w:p>
  <w:p w14:paraId="3ED3B65A" w14:textId="77777777" w:rsidR="006B2717" w:rsidRPr="007A1328" w:rsidRDefault="006B2717"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3B040" w14:textId="45D2554F" w:rsidR="006B2717" w:rsidRPr="007A1328" w:rsidRDefault="00C50F3D" w:rsidP="00715914">
    <w:pPr>
      <w:jc w:val="right"/>
      <w:rPr>
        <w:sz w:val="20"/>
      </w:rPr>
    </w:pPr>
    <w:r>
      <w:rPr>
        <w:noProof/>
      </w:rPr>
      <w:pict w14:anchorId="75B1E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29586" o:spid="_x0000_s28681" type="#_x0000_t136" style="position:absolute;left:0;text-align:left;margin-left:0;margin-top:0;width:418.6pt;height:167.4pt;rotation:315;z-index:-251640832;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p>
  <w:p w14:paraId="5EFD6249" w14:textId="77777777" w:rsidR="006B2717" w:rsidRPr="007A1328" w:rsidRDefault="006B2717" w:rsidP="00715914">
    <w:pPr>
      <w:jc w:val="right"/>
      <w:rPr>
        <w:sz w:val="20"/>
      </w:rPr>
    </w:pPr>
  </w:p>
  <w:p w14:paraId="39B07EF5" w14:textId="77777777" w:rsidR="006B2717" w:rsidRPr="007A1328" w:rsidRDefault="006B2717" w:rsidP="00715914">
    <w:pPr>
      <w:jc w:val="right"/>
      <w:rPr>
        <w:sz w:val="20"/>
      </w:rPr>
    </w:pPr>
  </w:p>
  <w:p w14:paraId="4303612F" w14:textId="77777777" w:rsidR="006B2717" w:rsidRPr="007A1328" w:rsidRDefault="006B2717" w:rsidP="00715914">
    <w:pPr>
      <w:jc w:val="right"/>
      <w:rPr>
        <w:b/>
        <w:sz w:val="24"/>
      </w:rPr>
    </w:pPr>
  </w:p>
  <w:p w14:paraId="73B41C4A" w14:textId="77777777" w:rsidR="006B2717" w:rsidRPr="007A1328" w:rsidRDefault="006B2717" w:rsidP="00D6537E">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32E74" w14:textId="2DBFA4AC" w:rsidR="009E6137" w:rsidRDefault="00C50F3D">
    <w:pPr>
      <w:pStyle w:val="Header"/>
    </w:pPr>
    <w:r>
      <w:rPr>
        <w:noProof/>
      </w:rPr>
      <w:pict w14:anchorId="110FF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29584" o:spid="_x0000_s28679" type="#_x0000_t136" style="position:absolute;margin-left:0;margin-top:0;width:418.6pt;height:167.4pt;rotation:315;z-index:-251644928;mso-position-horizontal:center;mso-position-horizontal-relative:margin;mso-position-vertical:center;mso-position-vertical-relative:margin" o:allowincell="f" fillcolor="#d8d8d8 [2732]"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73F971D0"/>
    <w:multiLevelType w:val="hybridMultilevel"/>
    <w:tmpl w:val="558A18DA"/>
    <w:lvl w:ilvl="0" w:tplc="1834017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682"/>
    <o:shapelayout v:ext="edit">
      <o:idmap v:ext="edit" data="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B8"/>
    <w:rsid w:val="000008CE"/>
    <w:rsid w:val="00004174"/>
    <w:rsid w:val="00004470"/>
    <w:rsid w:val="00005442"/>
    <w:rsid w:val="0000562F"/>
    <w:rsid w:val="000136AF"/>
    <w:rsid w:val="00014293"/>
    <w:rsid w:val="00022DD6"/>
    <w:rsid w:val="000258B1"/>
    <w:rsid w:val="00040A89"/>
    <w:rsid w:val="0004136E"/>
    <w:rsid w:val="000437C1"/>
    <w:rsid w:val="0004455A"/>
    <w:rsid w:val="00050723"/>
    <w:rsid w:val="0005365D"/>
    <w:rsid w:val="000614BF"/>
    <w:rsid w:val="000615E6"/>
    <w:rsid w:val="000629D6"/>
    <w:rsid w:val="00064A73"/>
    <w:rsid w:val="00066690"/>
    <w:rsid w:val="0006709C"/>
    <w:rsid w:val="00070F8D"/>
    <w:rsid w:val="00074376"/>
    <w:rsid w:val="00076142"/>
    <w:rsid w:val="0008225F"/>
    <w:rsid w:val="00091D13"/>
    <w:rsid w:val="000978F5"/>
    <w:rsid w:val="000A21CE"/>
    <w:rsid w:val="000A365D"/>
    <w:rsid w:val="000B15CD"/>
    <w:rsid w:val="000B35EB"/>
    <w:rsid w:val="000B40E7"/>
    <w:rsid w:val="000C2C60"/>
    <w:rsid w:val="000C7DDB"/>
    <w:rsid w:val="000D05EF"/>
    <w:rsid w:val="000D17FB"/>
    <w:rsid w:val="000D4098"/>
    <w:rsid w:val="000E17DE"/>
    <w:rsid w:val="000E2261"/>
    <w:rsid w:val="000E78B7"/>
    <w:rsid w:val="000F21C1"/>
    <w:rsid w:val="000F7C7F"/>
    <w:rsid w:val="0010745C"/>
    <w:rsid w:val="00107481"/>
    <w:rsid w:val="0012018E"/>
    <w:rsid w:val="00121D82"/>
    <w:rsid w:val="001258B5"/>
    <w:rsid w:val="001259B6"/>
    <w:rsid w:val="00132CEB"/>
    <w:rsid w:val="00132CF3"/>
    <w:rsid w:val="001339B0"/>
    <w:rsid w:val="00135DB9"/>
    <w:rsid w:val="001420B5"/>
    <w:rsid w:val="00142B62"/>
    <w:rsid w:val="001441B7"/>
    <w:rsid w:val="001508A5"/>
    <w:rsid w:val="001516CB"/>
    <w:rsid w:val="00152336"/>
    <w:rsid w:val="00157B8B"/>
    <w:rsid w:val="00160F09"/>
    <w:rsid w:val="00166C2F"/>
    <w:rsid w:val="001734C2"/>
    <w:rsid w:val="001809D7"/>
    <w:rsid w:val="0018380F"/>
    <w:rsid w:val="00185FEA"/>
    <w:rsid w:val="001939E1"/>
    <w:rsid w:val="00193A7E"/>
    <w:rsid w:val="00194C3E"/>
    <w:rsid w:val="00195382"/>
    <w:rsid w:val="001A0001"/>
    <w:rsid w:val="001A0E22"/>
    <w:rsid w:val="001A0FDB"/>
    <w:rsid w:val="001A25CD"/>
    <w:rsid w:val="001B18A2"/>
    <w:rsid w:val="001B1CBC"/>
    <w:rsid w:val="001B2CB6"/>
    <w:rsid w:val="001B622C"/>
    <w:rsid w:val="001C157F"/>
    <w:rsid w:val="001C61C5"/>
    <w:rsid w:val="001C69C4"/>
    <w:rsid w:val="001D37EF"/>
    <w:rsid w:val="001D6392"/>
    <w:rsid w:val="001E3590"/>
    <w:rsid w:val="001E7407"/>
    <w:rsid w:val="001F5D5E"/>
    <w:rsid w:val="001F6219"/>
    <w:rsid w:val="001F6CD4"/>
    <w:rsid w:val="00206918"/>
    <w:rsid w:val="00206C4D"/>
    <w:rsid w:val="00206F5E"/>
    <w:rsid w:val="00207C59"/>
    <w:rsid w:val="00210F0D"/>
    <w:rsid w:val="00211CBB"/>
    <w:rsid w:val="00215AF1"/>
    <w:rsid w:val="00215E98"/>
    <w:rsid w:val="002236CA"/>
    <w:rsid w:val="002269A3"/>
    <w:rsid w:val="0022705A"/>
    <w:rsid w:val="00227CA0"/>
    <w:rsid w:val="00231651"/>
    <w:rsid w:val="002321E8"/>
    <w:rsid w:val="00232984"/>
    <w:rsid w:val="0024010F"/>
    <w:rsid w:val="00240749"/>
    <w:rsid w:val="00243018"/>
    <w:rsid w:val="00247253"/>
    <w:rsid w:val="002564A4"/>
    <w:rsid w:val="00261873"/>
    <w:rsid w:val="00262F2C"/>
    <w:rsid w:val="0026736C"/>
    <w:rsid w:val="00272F91"/>
    <w:rsid w:val="00276BE7"/>
    <w:rsid w:val="00281308"/>
    <w:rsid w:val="00284719"/>
    <w:rsid w:val="0028520B"/>
    <w:rsid w:val="002873C6"/>
    <w:rsid w:val="00297ECB"/>
    <w:rsid w:val="002A34C9"/>
    <w:rsid w:val="002A7BCF"/>
    <w:rsid w:val="002B226B"/>
    <w:rsid w:val="002B659B"/>
    <w:rsid w:val="002C3FD1"/>
    <w:rsid w:val="002D043A"/>
    <w:rsid w:val="002D266B"/>
    <w:rsid w:val="002D6224"/>
    <w:rsid w:val="002E3EC3"/>
    <w:rsid w:val="002F2BFF"/>
    <w:rsid w:val="002F474A"/>
    <w:rsid w:val="0030174C"/>
    <w:rsid w:val="00304F8B"/>
    <w:rsid w:val="0030740C"/>
    <w:rsid w:val="00314BEA"/>
    <w:rsid w:val="00316666"/>
    <w:rsid w:val="00323295"/>
    <w:rsid w:val="00325DA3"/>
    <w:rsid w:val="00335BC6"/>
    <w:rsid w:val="003415D3"/>
    <w:rsid w:val="00344338"/>
    <w:rsid w:val="00344701"/>
    <w:rsid w:val="00347894"/>
    <w:rsid w:val="00352B0F"/>
    <w:rsid w:val="00360459"/>
    <w:rsid w:val="0037548F"/>
    <w:rsid w:val="003767E2"/>
    <w:rsid w:val="0038049F"/>
    <w:rsid w:val="0038304B"/>
    <w:rsid w:val="00394DC0"/>
    <w:rsid w:val="00397DE4"/>
    <w:rsid w:val="003B3E97"/>
    <w:rsid w:val="003B6C01"/>
    <w:rsid w:val="003B7711"/>
    <w:rsid w:val="003C463C"/>
    <w:rsid w:val="003C6231"/>
    <w:rsid w:val="003D0BFE"/>
    <w:rsid w:val="003D5700"/>
    <w:rsid w:val="003D7B1E"/>
    <w:rsid w:val="003E0262"/>
    <w:rsid w:val="003E341B"/>
    <w:rsid w:val="003E447D"/>
    <w:rsid w:val="003E4D00"/>
    <w:rsid w:val="003F519D"/>
    <w:rsid w:val="004116CD"/>
    <w:rsid w:val="00417EB9"/>
    <w:rsid w:val="00423903"/>
    <w:rsid w:val="00424CA9"/>
    <w:rsid w:val="004276DF"/>
    <w:rsid w:val="00431E9B"/>
    <w:rsid w:val="004334D6"/>
    <w:rsid w:val="00433DA3"/>
    <w:rsid w:val="004379E3"/>
    <w:rsid w:val="0044015E"/>
    <w:rsid w:val="004421B5"/>
    <w:rsid w:val="0044291A"/>
    <w:rsid w:val="00444BF2"/>
    <w:rsid w:val="00455D76"/>
    <w:rsid w:val="00455D7E"/>
    <w:rsid w:val="00461ABB"/>
    <w:rsid w:val="00467661"/>
    <w:rsid w:val="00472DBE"/>
    <w:rsid w:val="00474A19"/>
    <w:rsid w:val="00477830"/>
    <w:rsid w:val="00487764"/>
    <w:rsid w:val="00496F97"/>
    <w:rsid w:val="004A03D6"/>
    <w:rsid w:val="004B28AE"/>
    <w:rsid w:val="004B6C48"/>
    <w:rsid w:val="004C1831"/>
    <w:rsid w:val="004C4E59"/>
    <w:rsid w:val="004C6809"/>
    <w:rsid w:val="004C7EA1"/>
    <w:rsid w:val="004D3950"/>
    <w:rsid w:val="004D7FEB"/>
    <w:rsid w:val="004E063A"/>
    <w:rsid w:val="004E1307"/>
    <w:rsid w:val="004E7020"/>
    <w:rsid w:val="004E7BEC"/>
    <w:rsid w:val="004F515C"/>
    <w:rsid w:val="004F7892"/>
    <w:rsid w:val="00505D3D"/>
    <w:rsid w:val="00506AF6"/>
    <w:rsid w:val="00516B8D"/>
    <w:rsid w:val="00520DFE"/>
    <w:rsid w:val="00521F52"/>
    <w:rsid w:val="00524291"/>
    <w:rsid w:val="005248C2"/>
    <w:rsid w:val="005303C8"/>
    <w:rsid w:val="00530C03"/>
    <w:rsid w:val="00537FBC"/>
    <w:rsid w:val="00546068"/>
    <w:rsid w:val="00554826"/>
    <w:rsid w:val="00560179"/>
    <w:rsid w:val="00562877"/>
    <w:rsid w:val="00575095"/>
    <w:rsid w:val="00576F7E"/>
    <w:rsid w:val="005776E7"/>
    <w:rsid w:val="00584811"/>
    <w:rsid w:val="00585784"/>
    <w:rsid w:val="00593AA6"/>
    <w:rsid w:val="00594161"/>
    <w:rsid w:val="00594749"/>
    <w:rsid w:val="00594AD9"/>
    <w:rsid w:val="00594B85"/>
    <w:rsid w:val="005A0F53"/>
    <w:rsid w:val="005A3443"/>
    <w:rsid w:val="005A65D5"/>
    <w:rsid w:val="005B4067"/>
    <w:rsid w:val="005B4DE2"/>
    <w:rsid w:val="005C0AEB"/>
    <w:rsid w:val="005C1392"/>
    <w:rsid w:val="005C3F41"/>
    <w:rsid w:val="005C628A"/>
    <w:rsid w:val="005D1D92"/>
    <w:rsid w:val="005D2D09"/>
    <w:rsid w:val="005D6D2C"/>
    <w:rsid w:val="005F0A93"/>
    <w:rsid w:val="00600219"/>
    <w:rsid w:val="00604F2A"/>
    <w:rsid w:val="00611576"/>
    <w:rsid w:val="006125A1"/>
    <w:rsid w:val="00612B41"/>
    <w:rsid w:val="00620076"/>
    <w:rsid w:val="00627C85"/>
    <w:rsid w:val="00627E0A"/>
    <w:rsid w:val="0063360B"/>
    <w:rsid w:val="00640424"/>
    <w:rsid w:val="00640794"/>
    <w:rsid w:val="00651AA5"/>
    <w:rsid w:val="0065488B"/>
    <w:rsid w:val="00663A10"/>
    <w:rsid w:val="00670EA1"/>
    <w:rsid w:val="00671B61"/>
    <w:rsid w:val="00677CC2"/>
    <w:rsid w:val="006831A8"/>
    <w:rsid w:val="0068744B"/>
    <w:rsid w:val="006905DE"/>
    <w:rsid w:val="00690F8B"/>
    <w:rsid w:val="0069207B"/>
    <w:rsid w:val="006A154F"/>
    <w:rsid w:val="006A437B"/>
    <w:rsid w:val="006A4789"/>
    <w:rsid w:val="006A5A3B"/>
    <w:rsid w:val="006B2717"/>
    <w:rsid w:val="006B37DA"/>
    <w:rsid w:val="006B5789"/>
    <w:rsid w:val="006C30C5"/>
    <w:rsid w:val="006C463F"/>
    <w:rsid w:val="006C630E"/>
    <w:rsid w:val="006C66C2"/>
    <w:rsid w:val="006C7232"/>
    <w:rsid w:val="006C7F8C"/>
    <w:rsid w:val="006D6ED2"/>
    <w:rsid w:val="006D70CA"/>
    <w:rsid w:val="006E2E1C"/>
    <w:rsid w:val="006E60A9"/>
    <w:rsid w:val="006E6246"/>
    <w:rsid w:val="006E69C2"/>
    <w:rsid w:val="006E6DCC"/>
    <w:rsid w:val="006F318F"/>
    <w:rsid w:val="006F5443"/>
    <w:rsid w:val="006F7BEC"/>
    <w:rsid w:val="0070017E"/>
    <w:rsid w:val="00700B2C"/>
    <w:rsid w:val="007050A2"/>
    <w:rsid w:val="00713084"/>
    <w:rsid w:val="00714F20"/>
    <w:rsid w:val="0071590F"/>
    <w:rsid w:val="00715914"/>
    <w:rsid w:val="00715A30"/>
    <w:rsid w:val="0072147A"/>
    <w:rsid w:val="00723791"/>
    <w:rsid w:val="00725910"/>
    <w:rsid w:val="007310F9"/>
    <w:rsid w:val="00731E00"/>
    <w:rsid w:val="007375B0"/>
    <w:rsid w:val="00737F69"/>
    <w:rsid w:val="007414CE"/>
    <w:rsid w:val="007440B7"/>
    <w:rsid w:val="007500C8"/>
    <w:rsid w:val="00751594"/>
    <w:rsid w:val="00756272"/>
    <w:rsid w:val="00762D38"/>
    <w:rsid w:val="00763D77"/>
    <w:rsid w:val="00765145"/>
    <w:rsid w:val="00767B4E"/>
    <w:rsid w:val="007715C9"/>
    <w:rsid w:val="00771613"/>
    <w:rsid w:val="00774EDD"/>
    <w:rsid w:val="007757EC"/>
    <w:rsid w:val="00777580"/>
    <w:rsid w:val="00777C6A"/>
    <w:rsid w:val="00780A67"/>
    <w:rsid w:val="00783E89"/>
    <w:rsid w:val="00790C54"/>
    <w:rsid w:val="00793915"/>
    <w:rsid w:val="0079763A"/>
    <w:rsid w:val="007A134A"/>
    <w:rsid w:val="007A3253"/>
    <w:rsid w:val="007A3340"/>
    <w:rsid w:val="007A5C28"/>
    <w:rsid w:val="007B48C3"/>
    <w:rsid w:val="007C2253"/>
    <w:rsid w:val="007C4869"/>
    <w:rsid w:val="007C7E84"/>
    <w:rsid w:val="007D7911"/>
    <w:rsid w:val="007E163D"/>
    <w:rsid w:val="007E4875"/>
    <w:rsid w:val="007E5AA2"/>
    <w:rsid w:val="007E667A"/>
    <w:rsid w:val="007F28C9"/>
    <w:rsid w:val="007F41B9"/>
    <w:rsid w:val="007F51B2"/>
    <w:rsid w:val="008018A1"/>
    <w:rsid w:val="008029BD"/>
    <w:rsid w:val="0080385C"/>
    <w:rsid w:val="00803E10"/>
    <w:rsid w:val="008040DD"/>
    <w:rsid w:val="0080467A"/>
    <w:rsid w:val="008117E9"/>
    <w:rsid w:val="00814D58"/>
    <w:rsid w:val="0081513A"/>
    <w:rsid w:val="00815E69"/>
    <w:rsid w:val="008237FB"/>
    <w:rsid w:val="00823FE4"/>
    <w:rsid w:val="00824498"/>
    <w:rsid w:val="0082465E"/>
    <w:rsid w:val="00826BD1"/>
    <w:rsid w:val="00832CDF"/>
    <w:rsid w:val="008340CC"/>
    <w:rsid w:val="008375EA"/>
    <w:rsid w:val="00840839"/>
    <w:rsid w:val="0084173E"/>
    <w:rsid w:val="0084392B"/>
    <w:rsid w:val="00851D47"/>
    <w:rsid w:val="00854D0B"/>
    <w:rsid w:val="00854F98"/>
    <w:rsid w:val="00856A31"/>
    <w:rsid w:val="00860B4E"/>
    <w:rsid w:val="00867B37"/>
    <w:rsid w:val="00867D29"/>
    <w:rsid w:val="008754D0"/>
    <w:rsid w:val="00875540"/>
    <w:rsid w:val="00875D13"/>
    <w:rsid w:val="008809B5"/>
    <w:rsid w:val="008855C9"/>
    <w:rsid w:val="00886456"/>
    <w:rsid w:val="00896176"/>
    <w:rsid w:val="008A0ABB"/>
    <w:rsid w:val="008A41D5"/>
    <w:rsid w:val="008A46E1"/>
    <w:rsid w:val="008A4F43"/>
    <w:rsid w:val="008B2706"/>
    <w:rsid w:val="008B5130"/>
    <w:rsid w:val="008C1F49"/>
    <w:rsid w:val="008C2EAC"/>
    <w:rsid w:val="008C34FE"/>
    <w:rsid w:val="008C3B2B"/>
    <w:rsid w:val="008D0EE0"/>
    <w:rsid w:val="008E0027"/>
    <w:rsid w:val="008E0B13"/>
    <w:rsid w:val="008E3B8C"/>
    <w:rsid w:val="008E6067"/>
    <w:rsid w:val="008F54E7"/>
    <w:rsid w:val="008F715A"/>
    <w:rsid w:val="00903422"/>
    <w:rsid w:val="00913382"/>
    <w:rsid w:val="009156C7"/>
    <w:rsid w:val="009254C3"/>
    <w:rsid w:val="00925E36"/>
    <w:rsid w:val="00927F69"/>
    <w:rsid w:val="00932377"/>
    <w:rsid w:val="00937880"/>
    <w:rsid w:val="00941236"/>
    <w:rsid w:val="00941932"/>
    <w:rsid w:val="00943FD5"/>
    <w:rsid w:val="00947A2C"/>
    <w:rsid w:val="00947D5A"/>
    <w:rsid w:val="009532A5"/>
    <w:rsid w:val="009545BD"/>
    <w:rsid w:val="009609B8"/>
    <w:rsid w:val="00964CF0"/>
    <w:rsid w:val="0097071E"/>
    <w:rsid w:val="009757B8"/>
    <w:rsid w:val="00977806"/>
    <w:rsid w:val="00982242"/>
    <w:rsid w:val="009864A0"/>
    <w:rsid w:val="009868E9"/>
    <w:rsid w:val="009900A3"/>
    <w:rsid w:val="00992ADF"/>
    <w:rsid w:val="00992D20"/>
    <w:rsid w:val="00995169"/>
    <w:rsid w:val="009A30B1"/>
    <w:rsid w:val="009A323C"/>
    <w:rsid w:val="009A37D1"/>
    <w:rsid w:val="009A5E24"/>
    <w:rsid w:val="009C3413"/>
    <w:rsid w:val="009C6266"/>
    <w:rsid w:val="009D1A5B"/>
    <w:rsid w:val="009D2238"/>
    <w:rsid w:val="009D6F1F"/>
    <w:rsid w:val="009E6137"/>
    <w:rsid w:val="009E6A30"/>
    <w:rsid w:val="009F4373"/>
    <w:rsid w:val="00A0441E"/>
    <w:rsid w:val="00A12128"/>
    <w:rsid w:val="00A22C98"/>
    <w:rsid w:val="00A231E2"/>
    <w:rsid w:val="00A314A6"/>
    <w:rsid w:val="00A369E3"/>
    <w:rsid w:val="00A52A27"/>
    <w:rsid w:val="00A57600"/>
    <w:rsid w:val="00A621E7"/>
    <w:rsid w:val="00A63003"/>
    <w:rsid w:val="00A64912"/>
    <w:rsid w:val="00A66B0B"/>
    <w:rsid w:val="00A70A74"/>
    <w:rsid w:val="00A75FE9"/>
    <w:rsid w:val="00A77E34"/>
    <w:rsid w:val="00A80303"/>
    <w:rsid w:val="00A87203"/>
    <w:rsid w:val="00A953D0"/>
    <w:rsid w:val="00AA3FBB"/>
    <w:rsid w:val="00AA7516"/>
    <w:rsid w:val="00AB6BD6"/>
    <w:rsid w:val="00AC32B0"/>
    <w:rsid w:val="00AD3648"/>
    <w:rsid w:val="00AD3C56"/>
    <w:rsid w:val="00AD441D"/>
    <w:rsid w:val="00AD53CC"/>
    <w:rsid w:val="00AD5641"/>
    <w:rsid w:val="00AD6D7A"/>
    <w:rsid w:val="00AF06CF"/>
    <w:rsid w:val="00AF6DFC"/>
    <w:rsid w:val="00AF6F15"/>
    <w:rsid w:val="00B054BD"/>
    <w:rsid w:val="00B05A6B"/>
    <w:rsid w:val="00B07CDB"/>
    <w:rsid w:val="00B16A31"/>
    <w:rsid w:val="00B17DFD"/>
    <w:rsid w:val="00B23E43"/>
    <w:rsid w:val="00B25306"/>
    <w:rsid w:val="00B27831"/>
    <w:rsid w:val="00B308FE"/>
    <w:rsid w:val="00B33709"/>
    <w:rsid w:val="00B33B3C"/>
    <w:rsid w:val="00B36392"/>
    <w:rsid w:val="00B367E1"/>
    <w:rsid w:val="00B418CB"/>
    <w:rsid w:val="00B4594B"/>
    <w:rsid w:val="00B47444"/>
    <w:rsid w:val="00B50ADC"/>
    <w:rsid w:val="00B566B1"/>
    <w:rsid w:val="00B57A4B"/>
    <w:rsid w:val="00B62A11"/>
    <w:rsid w:val="00B62D73"/>
    <w:rsid w:val="00B6321F"/>
    <w:rsid w:val="00B63834"/>
    <w:rsid w:val="00B64E94"/>
    <w:rsid w:val="00B7132F"/>
    <w:rsid w:val="00B7327D"/>
    <w:rsid w:val="00B73D32"/>
    <w:rsid w:val="00B80199"/>
    <w:rsid w:val="00B83204"/>
    <w:rsid w:val="00B8494E"/>
    <w:rsid w:val="00B84BBE"/>
    <w:rsid w:val="00B856E7"/>
    <w:rsid w:val="00B92F0D"/>
    <w:rsid w:val="00BA220B"/>
    <w:rsid w:val="00BA3A57"/>
    <w:rsid w:val="00BA4B03"/>
    <w:rsid w:val="00BA6C07"/>
    <w:rsid w:val="00BB1533"/>
    <w:rsid w:val="00BB30AB"/>
    <w:rsid w:val="00BB4E1A"/>
    <w:rsid w:val="00BC015E"/>
    <w:rsid w:val="00BC76AC"/>
    <w:rsid w:val="00BC7B5D"/>
    <w:rsid w:val="00BD0ECB"/>
    <w:rsid w:val="00BD4C2E"/>
    <w:rsid w:val="00BD5FE9"/>
    <w:rsid w:val="00BE1BF4"/>
    <w:rsid w:val="00BE2155"/>
    <w:rsid w:val="00BE719A"/>
    <w:rsid w:val="00BE720A"/>
    <w:rsid w:val="00BF0D73"/>
    <w:rsid w:val="00BF2465"/>
    <w:rsid w:val="00BF42B7"/>
    <w:rsid w:val="00BF70D9"/>
    <w:rsid w:val="00C02D05"/>
    <w:rsid w:val="00C034AA"/>
    <w:rsid w:val="00C0382B"/>
    <w:rsid w:val="00C14E42"/>
    <w:rsid w:val="00C15D21"/>
    <w:rsid w:val="00C16619"/>
    <w:rsid w:val="00C246F0"/>
    <w:rsid w:val="00C25671"/>
    <w:rsid w:val="00C25E7F"/>
    <w:rsid w:val="00C2746F"/>
    <w:rsid w:val="00C323D6"/>
    <w:rsid w:val="00C324A0"/>
    <w:rsid w:val="00C339C7"/>
    <w:rsid w:val="00C34FD5"/>
    <w:rsid w:val="00C42BF8"/>
    <w:rsid w:val="00C43050"/>
    <w:rsid w:val="00C44C5B"/>
    <w:rsid w:val="00C50043"/>
    <w:rsid w:val="00C50F3D"/>
    <w:rsid w:val="00C54213"/>
    <w:rsid w:val="00C57FA6"/>
    <w:rsid w:val="00C6418A"/>
    <w:rsid w:val="00C6423F"/>
    <w:rsid w:val="00C657BC"/>
    <w:rsid w:val="00C67639"/>
    <w:rsid w:val="00C71346"/>
    <w:rsid w:val="00C7276C"/>
    <w:rsid w:val="00C7573B"/>
    <w:rsid w:val="00C83F2C"/>
    <w:rsid w:val="00C83FE1"/>
    <w:rsid w:val="00C85D3B"/>
    <w:rsid w:val="00C86DCC"/>
    <w:rsid w:val="00C90099"/>
    <w:rsid w:val="00C97A54"/>
    <w:rsid w:val="00C97F21"/>
    <w:rsid w:val="00CA5B23"/>
    <w:rsid w:val="00CB448C"/>
    <w:rsid w:val="00CB602E"/>
    <w:rsid w:val="00CB7E90"/>
    <w:rsid w:val="00CC1073"/>
    <w:rsid w:val="00CC2AAA"/>
    <w:rsid w:val="00CD0017"/>
    <w:rsid w:val="00CD0B50"/>
    <w:rsid w:val="00CD6B85"/>
    <w:rsid w:val="00CE051D"/>
    <w:rsid w:val="00CE1335"/>
    <w:rsid w:val="00CE31E2"/>
    <w:rsid w:val="00CE493D"/>
    <w:rsid w:val="00CE5508"/>
    <w:rsid w:val="00CE5CAC"/>
    <w:rsid w:val="00CF01F4"/>
    <w:rsid w:val="00CF07FA"/>
    <w:rsid w:val="00CF0BB2"/>
    <w:rsid w:val="00CF2323"/>
    <w:rsid w:val="00CF3EE8"/>
    <w:rsid w:val="00D06496"/>
    <w:rsid w:val="00D13441"/>
    <w:rsid w:val="00D150E7"/>
    <w:rsid w:val="00D20FB6"/>
    <w:rsid w:val="00D2208F"/>
    <w:rsid w:val="00D2266E"/>
    <w:rsid w:val="00D23700"/>
    <w:rsid w:val="00D40301"/>
    <w:rsid w:val="00D40E06"/>
    <w:rsid w:val="00D42062"/>
    <w:rsid w:val="00D52DC2"/>
    <w:rsid w:val="00D52F88"/>
    <w:rsid w:val="00D53BCC"/>
    <w:rsid w:val="00D54916"/>
    <w:rsid w:val="00D54C9E"/>
    <w:rsid w:val="00D60831"/>
    <w:rsid w:val="00D6537E"/>
    <w:rsid w:val="00D66B44"/>
    <w:rsid w:val="00D67025"/>
    <w:rsid w:val="00D70DFB"/>
    <w:rsid w:val="00D73D89"/>
    <w:rsid w:val="00D766DF"/>
    <w:rsid w:val="00D8206C"/>
    <w:rsid w:val="00D91F10"/>
    <w:rsid w:val="00DA186E"/>
    <w:rsid w:val="00DA4116"/>
    <w:rsid w:val="00DB1CCA"/>
    <w:rsid w:val="00DB251C"/>
    <w:rsid w:val="00DB4630"/>
    <w:rsid w:val="00DC4F88"/>
    <w:rsid w:val="00DD1860"/>
    <w:rsid w:val="00DE107C"/>
    <w:rsid w:val="00DE41B2"/>
    <w:rsid w:val="00DF2388"/>
    <w:rsid w:val="00DF5BE9"/>
    <w:rsid w:val="00E05704"/>
    <w:rsid w:val="00E21E4C"/>
    <w:rsid w:val="00E338EF"/>
    <w:rsid w:val="00E457E2"/>
    <w:rsid w:val="00E544BB"/>
    <w:rsid w:val="00E57393"/>
    <w:rsid w:val="00E609BB"/>
    <w:rsid w:val="00E643A8"/>
    <w:rsid w:val="00E74DC7"/>
    <w:rsid w:val="00E77581"/>
    <w:rsid w:val="00E8075A"/>
    <w:rsid w:val="00E90B01"/>
    <w:rsid w:val="00E940D8"/>
    <w:rsid w:val="00E94D5E"/>
    <w:rsid w:val="00EA0587"/>
    <w:rsid w:val="00EA7100"/>
    <w:rsid w:val="00EA7F9F"/>
    <w:rsid w:val="00EB1274"/>
    <w:rsid w:val="00EB439A"/>
    <w:rsid w:val="00EB6916"/>
    <w:rsid w:val="00ED2BB6"/>
    <w:rsid w:val="00ED34E1"/>
    <w:rsid w:val="00ED3B8D"/>
    <w:rsid w:val="00ED3EFA"/>
    <w:rsid w:val="00EE4B44"/>
    <w:rsid w:val="00EE5E36"/>
    <w:rsid w:val="00EE624D"/>
    <w:rsid w:val="00EF2E3A"/>
    <w:rsid w:val="00EF33F8"/>
    <w:rsid w:val="00EF43D1"/>
    <w:rsid w:val="00EF519A"/>
    <w:rsid w:val="00F009C4"/>
    <w:rsid w:val="00F02C7C"/>
    <w:rsid w:val="00F032A4"/>
    <w:rsid w:val="00F072A7"/>
    <w:rsid w:val="00F078DC"/>
    <w:rsid w:val="00F128A8"/>
    <w:rsid w:val="00F22449"/>
    <w:rsid w:val="00F30088"/>
    <w:rsid w:val="00F32BA8"/>
    <w:rsid w:val="00F32EE0"/>
    <w:rsid w:val="00F349F1"/>
    <w:rsid w:val="00F358E1"/>
    <w:rsid w:val="00F41A2B"/>
    <w:rsid w:val="00F4350D"/>
    <w:rsid w:val="00F479C4"/>
    <w:rsid w:val="00F5219D"/>
    <w:rsid w:val="00F54D8C"/>
    <w:rsid w:val="00F567F7"/>
    <w:rsid w:val="00F6696E"/>
    <w:rsid w:val="00F676E3"/>
    <w:rsid w:val="00F73BD6"/>
    <w:rsid w:val="00F83989"/>
    <w:rsid w:val="00F83AC9"/>
    <w:rsid w:val="00F85099"/>
    <w:rsid w:val="00F9379C"/>
    <w:rsid w:val="00F9632C"/>
    <w:rsid w:val="00FA1E52"/>
    <w:rsid w:val="00FA3644"/>
    <w:rsid w:val="00FB5919"/>
    <w:rsid w:val="00FB5A08"/>
    <w:rsid w:val="00FC0696"/>
    <w:rsid w:val="00FC6A80"/>
    <w:rsid w:val="00FE39B8"/>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82"/>
    <o:shapelayout v:ext="edit">
      <o:idmap v:ext="edit" data="1"/>
    </o:shapelayout>
  </w:shapeDefaults>
  <w:decimalSymbol w:val="."/>
  <w:listSeparator w:val=","/>
  <w14:docId w14:val="0E6F8E01"/>
  <w15:docId w15:val="{989EE33D-B1D0-44A5-87A8-7A7A0BD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276BE7"/>
    <w:rPr>
      <w:rFonts w:eastAsia="Times New Roman" w:cs="Times New Roman"/>
      <w:sz w:val="22"/>
      <w:lang w:eastAsia="en-AU"/>
    </w:rPr>
  </w:style>
  <w:style w:type="character" w:styleId="CommentReference">
    <w:name w:val="annotation reference"/>
    <w:basedOn w:val="DefaultParagraphFont"/>
    <w:uiPriority w:val="99"/>
    <w:semiHidden/>
    <w:unhideWhenUsed/>
    <w:rsid w:val="00276BE7"/>
    <w:rPr>
      <w:sz w:val="16"/>
      <w:szCs w:val="16"/>
    </w:rPr>
  </w:style>
  <w:style w:type="paragraph" w:styleId="CommentText">
    <w:name w:val="annotation text"/>
    <w:basedOn w:val="Normal"/>
    <w:link w:val="CommentTextChar"/>
    <w:uiPriority w:val="99"/>
    <w:unhideWhenUsed/>
    <w:rsid w:val="00276BE7"/>
    <w:pPr>
      <w:spacing w:line="240" w:lineRule="auto"/>
    </w:pPr>
    <w:rPr>
      <w:sz w:val="20"/>
    </w:rPr>
  </w:style>
  <w:style w:type="character" w:customStyle="1" w:styleId="CommentTextChar">
    <w:name w:val="Comment Text Char"/>
    <w:basedOn w:val="DefaultParagraphFont"/>
    <w:link w:val="CommentText"/>
    <w:uiPriority w:val="99"/>
    <w:rsid w:val="00276BE7"/>
  </w:style>
  <w:style w:type="paragraph" w:styleId="CommentSubject">
    <w:name w:val="annotation subject"/>
    <w:basedOn w:val="CommentText"/>
    <w:next w:val="CommentText"/>
    <w:link w:val="CommentSubjectChar"/>
    <w:uiPriority w:val="99"/>
    <w:semiHidden/>
    <w:unhideWhenUsed/>
    <w:rsid w:val="00276BE7"/>
    <w:rPr>
      <w:b/>
      <w:bCs/>
    </w:rPr>
  </w:style>
  <w:style w:type="character" w:customStyle="1" w:styleId="CommentSubjectChar">
    <w:name w:val="Comment Subject Char"/>
    <w:basedOn w:val="CommentTextChar"/>
    <w:link w:val="CommentSubject"/>
    <w:uiPriority w:val="99"/>
    <w:semiHidden/>
    <w:rsid w:val="00276BE7"/>
    <w:rPr>
      <w:b/>
      <w:bCs/>
    </w:rPr>
  </w:style>
  <w:style w:type="character" w:customStyle="1" w:styleId="ActHead5Char">
    <w:name w:val="ActHead 5 Char"/>
    <w:aliases w:val="s Char"/>
    <w:link w:val="ActHead5"/>
    <w:rsid w:val="009A323C"/>
    <w:rPr>
      <w:rFonts w:eastAsia="Times New Roman" w:cs="Times New Roman"/>
      <w:b/>
      <w:kern w:val="28"/>
      <w:sz w:val="24"/>
      <w:lang w:eastAsia="en-AU"/>
    </w:rPr>
  </w:style>
  <w:style w:type="paragraph" w:styleId="Revision">
    <w:name w:val="Revision"/>
    <w:hidden/>
    <w:uiPriority w:val="99"/>
    <w:semiHidden/>
    <w:rsid w:val="00854F9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696375">
      <w:bodyDiv w:val="1"/>
      <w:marLeft w:val="0"/>
      <w:marRight w:val="0"/>
      <w:marTop w:val="0"/>
      <w:marBottom w:val="0"/>
      <w:divBdr>
        <w:top w:val="none" w:sz="0" w:space="0" w:color="auto"/>
        <w:left w:val="none" w:sz="0" w:space="0" w:color="auto"/>
        <w:bottom w:val="none" w:sz="0" w:space="0" w:color="auto"/>
        <w:right w:val="none" w:sz="0" w:space="0" w:color="auto"/>
      </w:divBdr>
      <w:divsChild>
        <w:div w:id="1406953344">
          <w:marLeft w:val="0"/>
          <w:marRight w:val="0"/>
          <w:marTop w:val="0"/>
          <w:marBottom w:val="0"/>
          <w:divBdr>
            <w:top w:val="none" w:sz="0" w:space="0" w:color="auto"/>
            <w:left w:val="none" w:sz="0" w:space="0" w:color="auto"/>
            <w:bottom w:val="none" w:sz="0" w:space="0" w:color="auto"/>
            <w:right w:val="none" w:sz="0" w:space="0" w:color="auto"/>
          </w:divBdr>
          <w:divsChild>
            <w:div w:id="1019282174">
              <w:marLeft w:val="0"/>
              <w:marRight w:val="0"/>
              <w:marTop w:val="0"/>
              <w:marBottom w:val="0"/>
              <w:divBdr>
                <w:top w:val="none" w:sz="0" w:space="0" w:color="auto"/>
                <w:left w:val="none" w:sz="0" w:space="0" w:color="auto"/>
                <w:bottom w:val="none" w:sz="0" w:space="0" w:color="auto"/>
                <w:right w:val="none" w:sz="0" w:space="0" w:color="auto"/>
              </w:divBdr>
              <w:divsChild>
                <w:div w:id="1036737901">
                  <w:marLeft w:val="0"/>
                  <w:marRight w:val="0"/>
                  <w:marTop w:val="0"/>
                  <w:marBottom w:val="0"/>
                  <w:divBdr>
                    <w:top w:val="none" w:sz="0" w:space="0" w:color="auto"/>
                    <w:left w:val="none" w:sz="0" w:space="0" w:color="auto"/>
                    <w:bottom w:val="none" w:sz="0" w:space="0" w:color="auto"/>
                    <w:right w:val="none" w:sz="0" w:space="0" w:color="auto"/>
                  </w:divBdr>
                  <w:divsChild>
                    <w:div w:id="1903054999">
                      <w:marLeft w:val="0"/>
                      <w:marRight w:val="0"/>
                      <w:marTop w:val="0"/>
                      <w:marBottom w:val="0"/>
                      <w:divBdr>
                        <w:top w:val="none" w:sz="0" w:space="0" w:color="auto"/>
                        <w:left w:val="none" w:sz="0" w:space="0" w:color="auto"/>
                        <w:bottom w:val="none" w:sz="0" w:space="0" w:color="auto"/>
                        <w:right w:val="none" w:sz="0" w:space="0" w:color="auto"/>
                      </w:divBdr>
                      <w:divsChild>
                        <w:div w:id="681125236">
                          <w:marLeft w:val="0"/>
                          <w:marRight w:val="0"/>
                          <w:marTop w:val="0"/>
                          <w:marBottom w:val="0"/>
                          <w:divBdr>
                            <w:top w:val="none" w:sz="0" w:space="0" w:color="auto"/>
                            <w:left w:val="none" w:sz="0" w:space="0" w:color="auto"/>
                            <w:bottom w:val="none" w:sz="0" w:space="0" w:color="auto"/>
                            <w:right w:val="none" w:sz="0" w:space="0" w:color="auto"/>
                          </w:divBdr>
                          <w:divsChild>
                            <w:div w:id="645822947">
                              <w:marLeft w:val="0"/>
                              <w:marRight w:val="0"/>
                              <w:marTop w:val="0"/>
                              <w:marBottom w:val="0"/>
                              <w:divBdr>
                                <w:top w:val="none" w:sz="0" w:space="0" w:color="auto"/>
                                <w:left w:val="none" w:sz="0" w:space="0" w:color="auto"/>
                                <w:bottom w:val="none" w:sz="0" w:space="0" w:color="auto"/>
                                <w:right w:val="none" w:sz="0" w:space="0" w:color="auto"/>
                              </w:divBdr>
                              <w:divsChild>
                                <w:div w:id="1962490625">
                                  <w:marLeft w:val="0"/>
                                  <w:marRight w:val="0"/>
                                  <w:marTop w:val="0"/>
                                  <w:marBottom w:val="0"/>
                                  <w:divBdr>
                                    <w:top w:val="none" w:sz="0" w:space="0" w:color="auto"/>
                                    <w:left w:val="none" w:sz="0" w:space="0" w:color="auto"/>
                                    <w:bottom w:val="none" w:sz="0" w:space="0" w:color="auto"/>
                                    <w:right w:val="none" w:sz="0" w:space="0" w:color="auto"/>
                                  </w:divBdr>
                                  <w:divsChild>
                                    <w:div w:id="1853833150">
                                      <w:marLeft w:val="0"/>
                                      <w:marRight w:val="0"/>
                                      <w:marTop w:val="0"/>
                                      <w:marBottom w:val="0"/>
                                      <w:divBdr>
                                        <w:top w:val="none" w:sz="0" w:space="0" w:color="auto"/>
                                        <w:left w:val="none" w:sz="0" w:space="0" w:color="auto"/>
                                        <w:bottom w:val="none" w:sz="0" w:space="0" w:color="auto"/>
                                        <w:right w:val="none" w:sz="0" w:space="0" w:color="auto"/>
                                      </w:divBdr>
                                      <w:divsChild>
                                        <w:div w:id="426316714">
                                          <w:marLeft w:val="0"/>
                                          <w:marRight w:val="0"/>
                                          <w:marTop w:val="0"/>
                                          <w:marBottom w:val="0"/>
                                          <w:divBdr>
                                            <w:top w:val="none" w:sz="0" w:space="0" w:color="auto"/>
                                            <w:left w:val="none" w:sz="0" w:space="0" w:color="auto"/>
                                            <w:bottom w:val="none" w:sz="0" w:space="0" w:color="auto"/>
                                            <w:right w:val="none" w:sz="0" w:space="0" w:color="auto"/>
                                          </w:divBdr>
                                          <w:divsChild>
                                            <w:div w:id="454372262">
                                              <w:marLeft w:val="0"/>
                                              <w:marRight w:val="0"/>
                                              <w:marTop w:val="0"/>
                                              <w:marBottom w:val="0"/>
                                              <w:divBdr>
                                                <w:top w:val="none" w:sz="0" w:space="0" w:color="auto"/>
                                                <w:left w:val="none" w:sz="0" w:space="0" w:color="auto"/>
                                                <w:bottom w:val="none" w:sz="0" w:space="0" w:color="auto"/>
                                                <w:right w:val="none" w:sz="0" w:space="0" w:color="auto"/>
                                              </w:divBdr>
                                              <w:divsChild>
                                                <w:div w:id="47806383">
                                                  <w:marLeft w:val="0"/>
                                                  <w:marRight w:val="0"/>
                                                  <w:marTop w:val="0"/>
                                                  <w:marBottom w:val="0"/>
                                                  <w:divBdr>
                                                    <w:top w:val="none" w:sz="0" w:space="0" w:color="auto"/>
                                                    <w:left w:val="none" w:sz="0" w:space="0" w:color="auto"/>
                                                    <w:bottom w:val="none" w:sz="0" w:space="0" w:color="auto"/>
                                                    <w:right w:val="none" w:sz="0" w:space="0" w:color="auto"/>
                                                  </w:divBdr>
                                                  <w:divsChild>
                                                    <w:div w:id="1265335168">
                                                      <w:marLeft w:val="0"/>
                                                      <w:marRight w:val="0"/>
                                                      <w:marTop w:val="0"/>
                                                      <w:marBottom w:val="0"/>
                                                      <w:divBdr>
                                                        <w:top w:val="none" w:sz="0" w:space="0" w:color="auto"/>
                                                        <w:left w:val="none" w:sz="0" w:space="0" w:color="auto"/>
                                                        <w:bottom w:val="none" w:sz="0" w:space="0" w:color="auto"/>
                                                        <w:right w:val="none" w:sz="0" w:space="0" w:color="auto"/>
                                                      </w:divBdr>
                                                      <w:divsChild>
                                                        <w:div w:id="3784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yroa\AppData\Local\Microsoft\Windows\INetCache\IE\SBGSDUNC\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7A683-2E55-42D9-8763-A3A801B5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template_-_principal_instrument_0</Template>
  <TotalTime>1</TotalTime>
  <Pages>20</Pages>
  <Words>4506</Words>
  <Characters>25687</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PEYROVI, Pasha</dc:creator>
  <cp:lastModifiedBy>Mathur, Meenu</cp:lastModifiedBy>
  <cp:revision>2</cp:revision>
  <cp:lastPrinted>2021-04-07T06:15:00Z</cp:lastPrinted>
  <dcterms:created xsi:type="dcterms:W3CDTF">2021-05-26T03:53:00Z</dcterms:created>
  <dcterms:modified xsi:type="dcterms:W3CDTF">2021-05-26T03:53:00Z</dcterms:modified>
</cp:coreProperties>
</file>