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C297" w14:textId="1D2991F9" w:rsidR="00EC0C38" w:rsidRPr="00EC0C38" w:rsidRDefault="00EC0C38" w:rsidP="00EC0C38">
      <w:pPr>
        <w:shd w:val="clear" w:color="auto" w:fill="EDF2FA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1871"/>
          <w:kern w:val="36"/>
          <w:sz w:val="48"/>
          <w:szCs w:val="48"/>
          <w:lang w:eastAsia="en-AU"/>
          <w14:ligatures w14:val="none"/>
        </w:rPr>
      </w:pPr>
      <w:r w:rsidRPr="00EC0C38">
        <w:rPr>
          <w:rFonts w:ascii="Segoe UI" w:eastAsia="Times New Roman" w:hAnsi="Segoe UI" w:cs="Segoe UI"/>
          <w:b/>
          <w:bCs/>
          <w:color w:val="001871"/>
          <w:kern w:val="36"/>
          <w:sz w:val="48"/>
          <w:szCs w:val="48"/>
          <w:lang w:eastAsia="en-AU"/>
          <w14:ligatures w14:val="none"/>
        </w:rPr>
        <w:t xml:space="preserve">Review of </w:t>
      </w:r>
      <w:r w:rsidR="00080990" w:rsidRPr="00080990">
        <w:rPr>
          <w:rFonts w:ascii="Segoe UI" w:eastAsia="Times New Roman" w:hAnsi="Segoe UI" w:cs="Segoe UI"/>
          <w:b/>
          <w:bCs/>
          <w:color w:val="001871"/>
          <w:kern w:val="36"/>
          <w:sz w:val="48"/>
          <w:szCs w:val="48"/>
          <w:lang w:eastAsia="en-AU"/>
          <w14:ligatures w14:val="none"/>
        </w:rPr>
        <w:t>first-in-human high-risk implantable or cardiac invasive medical device clinical trials</w:t>
      </w:r>
    </w:p>
    <w:p w14:paraId="6D09DFF0" w14:textId="77777777" w:rsidR="00EC0C38" w:rsidRPr="00EC0C38" w:rsidRDefault="00EC0C38" w:rsidP="00EC0C38">
      <w:pPr>
        <w:shd w:val="clear" w:color="auto" w:fill="EDF2FA"/>
        <w:spacing w:after="0" w:line="240" w:lineRule="auto"/>
        <w:rPr>
          <w:rFonts w:ascii="Segoe UI" w:eastAsia="Times New Roman" w:hAnsi="Segoe UI" w:cs="Segoe UI"/>
          <w:b/>
          <w:bCs/>
          <w:color w:val="001871"/>
          <w:kern w:val="0"/>
          <w:lang w:eastAsia="en-AU"/>
          <w14:ligatures w14:val="none"/>
        </w:rPr>
      </w:pPr>
      <w:r w:rsidRPr="00EC0C38">
        <w:rPr>
          <w:rFonts w:ascii="Segoe UI" w:eastAsia="Times New Roman" w:hAnsi="Segoe UI" w:cs="Segoe UI"/>
          <w:b/>
          <w:bCs/>
          <w:color w:val="001871"/>
          <w:kern w:val="0"/>
          <w:lang w:eastAsia="en-AU"/>
          <w14:ligatures w14:val="none"/>
        </w:rPr>
        <w:t>Guidance</w:t>
      </w:r>
    </w:p>
    <w:p w14:paraId="58E806CB" w14:textId="1CF03E43" w:rsidR="00C83015" w:rsidRPr="00EC0C38" w:rsidRDefault="00D070E8" w:rsidP="00EC0C38">
      <w:pPr>
        <w:shd w:val="clear" w:color="auto" w:fill="EDF2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14141"/>
          <w:kern w:val="0"/>
          <w:lang w:eastAsia="en-AU"/>
          <w14:ligatures w14:val="none"/>
        </w:rPr>
      </w:pPr>
      <w:r w:rsidRPr="00F66326">
        <w:rPr>
          <w:rFonts w:ascii="Segoe UI" w:eastAsia="Times New Roman" w:hAnsi="Segoe UI" w:cs="Segoe UI"/>
          <w:color w:val="414141"/>
          <w:kern w:val="0"/>
          <w:lang w:eastAsia="en-AU"/>
          <w14:ligatures w14:val="none"/>
        </w:rPr>
        <w:t xml:space="preserve">The TGA </w:t>
      </w:r>
      <w:r w:rsidR="00F66326" w:rsidRPr="00F66326">
        <w:rPr>
          <w:rFonts w:ascii="Segoe UI" w:eastAsia="Times New Roman" w:hAnsi="Segoe UI" w:cs="Segoe UI"/>
          <w:color w:val="414141"/>
          <w:kern w:val="0"/>
          <w:lang w:eastAsia="en-AU"/>
          <w14:ligatures w14:val="none"/>
        </w:rPr>
        <w:t>is reviewing</w:t>
      </w:r>
      <w:r w:rsidRPr="00F66326">
        <w:rPr>
          <w:rFonts w:ascii="Segoe UI" w:eastAsia="Times New Roman" w:hAnsi="Segoe UI" w:cs="Segoe UI"/>
          <w:color w:val="414141"/>
          <w:kern w:val="0"/>
          <w:lang w:eastAsia="en-AU"/>
          <w14:ligatures w14:val="none"/>
        </w:rPr>
        <w:t xml:space="preserve"> safety information supporting notifications of the highest-risk medical devices used in first-in-human clinical trials</w:t>
      </w:r>
      <w:r>
        <w:rPr>
          <w:rFonts w:ascii="Segoe UI" w:eastAsia="Times New Roman" w:hAnsi="Segoe UI" w:cs="Segoe UI"/>
          <w:color w:val="414141"/>
          <w:kern w:val="0"/>
          <w:lang w:eastAsia="en-AU"/>
          <w14:ligatures w14:val="none"/>
        </w:rPr>
        <w:t xml:space="preserve"> </w:t>
      </w:r>
    </w:p>
    <w:p w14:paraId="04EA82FF" w14:textId="77777777" w:rsidR="00EC0C38" w:rsidRPr="00FC358A" w:rsidRDefault="00EC0C38" w:rsidP="00EC0C38">
      <w:pPr>
        <w:shd w:val="clear" w:color="auto" w:fill="EDF2FA"/>
        <w:spacing w:after="0" w:line="240" w:lineRule="auto"/>
        <w:rPr>
          <w:rFonts w:ascii="Segoe UI" w:eastAsia="Times New Roman" w:hAnsi="Segoe UI" w:cs="Segoe UI"/>
          <w:b/>
          <w:bCs/>
          <w:color w:val="313131"/>
          <w:kern w:val="0"/>
          <w:lang w:eastAsia="en-AU"/>
          <w14:ligatures w14:val="none"/>
        </w:rPr>
      </w:pPr>
      <w:r w:rsidRPr="00FC358A">
        <w:rPr>
          <w:rFonts w:ascii="Segoe UI" w:eastAsia="Times New Roman" w:hAnsi="Segoe UI" w:cs="Segoe UI"/>
          <w:b/>
          <w:bCs/>
          <w:color w:val="313131"/>
          <w:kern w:val="0"/>
          <w:lang w:eastAsia="en-AU"/>
          <w14:ligatures w14:val="none"/>
        </w:rPr>
        <w:t>Last updated</w:t>
      </w:r>
    </w:p>
    <w:p w14:paraId="33B02AC8" w14:textId="102CF7AF" w:rsidR="00EC0C38" w:rsidRPr="00EC0C38" w:rsidRDefault="00FC358A" w:rsidP="00EC0C38">
      <w:pPr>
        <w:shd w:val="clear" w:color="auto" w:fill="EDF2FA"/>
        <w:spacing w:after="0" w:line="240" w:lineRule="auto"/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</w:pPr>
      <w:r w:rsidRPr="00FC358A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t>14</w:t>
      </w:r>
      <w:r w:rsidR="00EC0C38" w:rsidRPr="00FC358A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t xml:space="preserve"> </w:t>
      </w:r>
      <w:r w:rsidRPr="00FC358A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t>Mar</w:t>
      </w:r>
      <w:r w:rsidR="00EC0C38" w:rsidRPr="00FC358A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t xml:space="preserve"> 2024</w:t>
      </w:r>
    </w:p>
    <w:p w14:paraId="086612B3" w14:textId="77777777" w:rsidR="00EC0C38" w:rsidRPr="00EC0C38" w:rsidRDefault="00EC0C38" w:rsidP="00EC0C38">
      <w:pPr>
        <w:numPr>
          <w:ilvl w:val="0"/>
          <w:numId w:val="1"/>
        </w:numPr>
        <w:shd w:val="clear" w:color="auto" w:fill="EDF2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</w:pPr>
      <w:r w:rsidRPr="00EC0C38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t>Listen</w:t>
      </w:r>
    </w:p>
    <w:p w14:paraId="4EE820E9" w14:textId="77777777" w:rsidR="00EC0C38" w:rsidRPr="00EC0C38" w:rsidRDefault="00EC0C38" w:rsidP="00EC0C38">
      <w:pPr>
        <w:numPr>
          <w:ilvl w:val="0"/>
          <w:numId w:val="1"/>
        </w:numPr>
        <w:shd w:val="clear" w:color="auto" w:fill="EDF2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</w:pPr>
      <w:r w:rsidRPr="00EC0C38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t>Print</w:t>
      </w:r>
    </w:p>
    <w:p w14:paraId="2635F287" w14:textId="66FE82CC" w:rsidR="00EC0C38" w:rsidRPr="00EC0C38" w:rsidRDefault="00EC0C38" w:rsidP="00EC0C38">
      <w:pPr>
        <w:numPr>
          <w:ilvl w:val="0"/>
          <w:numId w:val="1"/>
        </w:numPr>
        <w:shd w:val="clear" w:color="auto" w:fill="EDF2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</w:pPr>
      <w:r w:rsidRPr="00EC0C38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t>Share</w:t>
      </w:r>
    </w:p>
    <w:p w14:paraId="317F592D" w14:textId="7E8B4FB3" w:rsidR="00397043" w:rsidRDefault="00AD0FC4" w:rsidP="00EC0C38">
      <w:pPr>
        <w:rPr>
          <w:rFonts w:ascii="Segoe UI" w:hAnsi="Segoe UI" w:cs="Segoe UI"/>
        </w:rPr>
      </w:pPr>
      <w:r>
        <w:rPr>
          <w:rFonts w:ascii="Segoe UI" w:hAnsi="Segoe UI" w:cs="Segoe UI"/>
        </w:rPr>
        <w:t>W</w:t>
      </w:r>
      <w:r w:rsidR="00D06CB0" w:rsidRPr="00397043">
        <w:rPr>
          <w:rFonts w:ascii="Segoe UI" w:hAnsi="Segoe UI" w:cs="Segoe UI"/>
        </w:rPr>
        <w:t>e</w:t>
      </w:r>
      <w:r>
        <w:rPr>
          <w:rFonts w:ascii="Segoe UI" w:hAnsi="Segoe UI" w:cs="Segoe UI"/>
        </w:rPr>
        <w:t xml:space="preserve"> have examined and amended </w:t>
      </w:r>
      <w:r w:rsidR="00D06CB0" w:rsidRPr="00397043">
        <w:rPr>
          <w:rFonts w:ascii="Segoe UI" w:hAnsi="Segoe UI" w:cs="Segoe UI"/>
        </w:rPr>
        <w:t>the arrangements for medical devices used in clinical trials.</w:t>
      </w:r>
      <w:r w:rsidR="00D06CB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This was</w:t>
      </w:r>
      <w:r w:rsidRPr="00397043">
        <w:rPr>
          <w:rFonts w:ascii="Segoe UI" w:hAnsi="Segoe UI" w:cs="Segoe UI"/>
        </w:rPr>
        <w:t xml:space="preserve"> part of our commitment</w:t>
      </w:r>
      <w:r>
        <w:rPr>
          <w:rFonts w:ascii="Segoe UI" w:hAnsi="Segoe UI" w:cs="Segoe UI"/>
        </w:rPr>
        <w:t xml:space="preserve"> in the 2019 Action Plan for Medical Devices,</w:t>
      </w:r>
      <w:r w:rsidRPr="00D06CB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and the changes have been made in response to feedback from the consultation on p</w:t>
      </w:r>
      <w:r w:rsidRPr="007A3D53">
        <w:rPr>
          <w:rFonts w:ascii="Segoe UI" w:hAnsi="Segoe UI" w:cs="Segoe UI"/>
        </w:rPr>
        <w:t>roposed regulatory changes for clinical trials of medical devices</w:t>
      </w:r>
      <w:r>
        <w:rPr>
          <w:rFonts w:ascii="Segoe UI" w:hAnsi="Segoe UI" w:cs="Segoe UI"/>
        </w:rPr>
        <w:t>.</w:t>
      </w:r>
    </w:p>
    <w:p w14:paraId="3DCF2595" w14:textId="1208F252" w:rsidR="00CF7FB5" w:rsidRPr="00EC0C38" w:rsidRDefault="00CF7FB5" w:rsidP="00EC0C38">
      <w:pPr>
        <w:rPr>
          <w:rFonts w:ascii="Segoe UI" w:hAnsi="Segoe UI" w:cs="Segoe UI"/>
        </w:rPr>
      </w:pPr>
      <w:r w:rsidRPr="00EC0C38">
        <w:rPr>
          <w:rFonts w:ascii="Segoe UI" w:hAnsi="Segoe UI" w:cs="Segoe UI"/>
        </w:rPr>
        <w:t xml:space="preserve">The following guidance provides a summary of the </w:t>
      </w:r>
      <w:r w:rsidR="00AD0FC4">
        <w:rPr>
          <w:rFonts w:ascii="Segoe UI" w:hAnsi="Segoe UI" w:cs="Segoe UI"/>
        </w:rPr>
        <w:t>changes we have implemented and how it impacts stakeholders</w:t>
      </w:r>
      <w:r w:rsidRPr="00EC0C38">
        <w:rPr>
          <w:rFonts w:ascii="Segoe UI" w:hAnsi="Segoe UI" w:cs="Segoe UI"/>
        </w:rPr>
        <w:t xml:space="preserve">. </w:t>
      </w:r>
    </w:p>
    <w:p w14:paraId="1B101447" w14:textId="65253BDD" w:rsidR="0028465C" w:rsidRDefault="0028465C" w:rsidP="0028465C">
      <w:pPr>
        <w:rPr>
          <w:rFonts w:ascii="Segoe UI" w:eastAsia="Times New Roman" w:hAnsi="Segoe UI" w:cs="Segoe UI"/>
          <w:b/>
          <w:bCs/>
          <w:color w:val="001871"/>
          <w:sz w:val="36"/>
          <w:szCs w:val="36"/>
          <w:lang w:eastAsia="en-AU"/>
        </w:rPr>
      </w:pPr>
      <w:r>
        <w:rPr>
          <w:rFonts w:ascii="Segoe UI" w:eastAsia="Times New Roman" w:hAnsi="Segoe UI" w:cs="Segoe UI"/>
          <w:b/>
          <w:bCs/>
          <w:color w:val="001871"/>
          <w:sz w:val="36"/>
          <w:szCs w:val="36"/>
          <w:lang w:eastAsia="en-AU"/>
        </w:rPr>
        <w:t>Changes</w:t>
      </w:r>
    </w:p>
    <w:p w14:paraId="011C48A8" w14:textId="77777777" w:rsidR="00EC0C38" w:rsidRPr="00741762" w:rsidRDefault="00EC0C38" w:rsidP="00EC0C38">
      <w:pPr>
        <w:pStyle w:val="Heading2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741762">
        <w:rPr>
          <w:rFonts w:ascii="Segoe UI" w:hAnsi="Segoe UI" w:cs="Segoe UI"/>
          <w:b/>
          <w:bCs/>
          <w:color w:val="auto"/>
          <w:sz w:val="24"/>
          <w:szCs w:val="24"/>
        </w:rPr>
        <w:t xml:space="preserve">CTN form enhancements </w:t>
      </w:r>
    </w:p>
    <w:p w14:paraId="351BF2B4" w14:textId="2556803D" w:rsidR="00EC0C38" w:rsidRPr="00AF00A6" w:rsidRDefault="00BE4BDA" w:rsidP="00EC0C38">
      <w:pPr>
        <w:rPr>
          <w:rFonts w:ascii="Segoe UI" w:hAnsi="Segoe UI" w:cs="Segoe UI"/>
        </w:rPr>
      </w:pPr>
      <w:r>
        <w:rPr>
          <w:rFonts w:ascii="Segoe UI" w:hAnsi="Segoe UI" w:cs="Segoe UI"/>
        </w:rPr>
        <w:t>T</w:t>
      </w:r>
      <w:r w:rsidR="00EC0C38" w:rsidRPr="00AF00A6">
        <w:rPr>
          <w:rFonts w:ascii="Segoe UI" w:hAnsi="Segoe UI" w:cs="Segoe UI"/>
        </w:rPr>
        <w:t>he Clinical Trials Notification (CTN) form will include new mandatory fields to:</w:t>
      </w:r>
    </w:p>
    <w:p w14:paraId="58C6F271" w14:textId="79762EA0" w:rsidR="00472B4F" w:rsidRDefault="00472B4F" w:rsidP="00EC0C38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472B4F">
        <w:rPr>
          <w:rFonts w:ascii="Segoe UI" w:hAnsi="Segoe UI" w:cs="Segoe UI"/>
        </w:rPr>
        <w:t>Better characteri</w:t>
      </w:r>
      <w:r>
        <w:rPr>
          <w:rFonts w:ascii="Segoe UI" w:hAnsi="Segoe UI" w:cs="Segoe UI"/>
        </w:rPr>
        <w:t>s</w:t>
      </w:r>
      <w:r w:rsidRPr="00472B4F">
        <w:rPr>
          <w:rFonts w:ascii="Segoe UI" w:hAnsi="Segoe UI" w:cs="Segoe UI"/>
        </w:rPr>
        <w:t>e the medical device in the clinical trial, for example</w:t>
      </w:r>
      <w:r w:rsidR="00AA7280">
        <w:rPr>
          <w:rFonts w:ascii="Segoe UI" w:hAnsi="Segoe UI" w:cs="Segoe UI"/>
        </w:rPr>
        <w:t>:</w:t>
      </w:r>
    </w:p>
    <w:p w14:paraId="214226B7" w14:textId="5F854192" w:rsidR="00AA7280" w:rsidRDefault="00EC0C38" w:rsidP="00AA7280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741762">
        <w:rPr>
          <w:rFonts w:ascii="Segoe UI" w:hAnsi="Segoe UI" w:cs="Segoe UI"/>
        </w:rPr>
        <w:t>risk classification</w:t>
      </w:r>
    </w:p>
    <w:p w14:paraId="27C39937" w14:textId="1631764E" w:rsidR="00AA7280" w:rsidRDefault="00EC0C38" w:rsidP="00AA7280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741762">
        <w:rPr>
          <w:rFonts w:ascii="Segoe UI" w:hAnsi="Segoe UI" w:cs="Segoe UI"/>
        </w:rPr>
        <w:t>intended purpose</w:t>
      </w:r>
    </w:p>
    <w:p w14:paraId="0C3ABA89" w14:textId="45B6E9C1" w:rsidR="00EC0C38" w:rsidRPr="00E22252" w:rsidRDefault="00EC0C38" w:rsidP="00741762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 w:rsidRPr="00741762">
        <w:rPr>
          <w:rFonts w:ascii="Segoe UI" w:hAnsi="Segoe UI" w:cs="Segoe UI"/>
        </w:rPr>
        <w:t>whether it</w:t>
      </w:r>
      <w:r w:rsidR="0096768D">
        <w:rPr>
          <w:rFonts w:ascii="Segoe UI" w:hAnsi="Segoe UI" w:cs="Segoe UI"/>
        </w:rPr>
        <w:t>’s</w:t>
      </w:r>
      <w:r w:rsidRPr="00E22252">
        <w:rPr>
          <w:rFonts w:ascii="Segoe UI" w:hAnsi="Segoe UI" w:cs="Segoe UI"/>
        </w:rPr>
        <w:t xml:space="preserve"> an invasive or implantable medical device</w:t>
      </w:r>
    </w:p>
    <w:p w14:paraId="4412E243" w14:textId="6B74F885" w:rsidR="00EC0C38" w:rsidRDefault="00074545" w:rsidP="00EC0C38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Identify</w:t>
      </w:r>
      <w:r w:rsidR="00AF14C4" w:rsidRPr="00AF14C4">
        <w:rPr>
          <w:rFonts w:ascii="Segoe UI" w:hAnsi="Segoe UI" w:cs="Segoe UI"/>
        </w:rPr>
        <w:t xml:space="preserve"> first-in-human trials and trials halted overseas for safety reasons.</w:t>
      </w:r>
      <w:r w:rsidR="00EC0C38" w:rsidRPr="00E22252">
        <w:rPr>
          <w:rFonts w:ascii="Segoe UI" w:hAnsi="Segoe UI" w:cs="Segoe UI"/>
        </w:rPr>
        <w:t xml:space="preserve"> </w:t>
      </w:r>
    </w:p>
    <w:p w14:paraId="742CF7CC" w14:textId="33A42E93" w:rsidR="006D7AA3" w:rsidRDefault="006D7AA3" w:rsidP="006D7AA3">
      <w:pPr>
        <w:rPr>
          <w:rFonts w:ascii="Segoe UI" w:hAnsi="Segoe UI" w:cs="Segoe UI"/>
          <w:highlight w:val="yellow"/>
        </w:rPr>
      </w:pPr>
      <w:r w:rsidRPr="00E22252">
        <w:rPr>
          <w:rFonts w:ascii="Segoe UI" w:hAnsi="Segoe UI" w:cs="Segoe UI"/>
        </w:rPr>
        <w:t xml:space="preserve">There is also a </w:t>
      </w:r>
      <w:r w:rsidRPr="007A3D53">
        <w:rPr>
          <w:rFonts w:ascii="Segoe UI" w:hAnsi="Segoe UI" w:cs="Segoe UI"/>
        </w:rPr>
        <w:t xml:space="preserve">new </w:t>
      </w:r>
      <w:r w:rsidR="00812975">
        <w:rPr>
          <w:rFonts w:ascii="Segoe UI" w:hAnsi="Segoe UI" w:cs="Segoe UI"/>
        </w:rPr>
        <w:t>attachment</w:t>
      </w:r>
      <w:r w:rsidR="00155293" w:rsidRPr="007A3D53">
        <w:rPr>
          <w:rFonts w:ascii="Segoe UI" w:hAnsi="Segoe UI" w:cs="Segoe UI"/>
        </w:rPr>
        <w:t xml:space="preserve"> upload feature</w:t>
      </w:r>
      <w:r w:rsidRPr="007A3D53">
        <w:rPr>
          <w:rFonts w:ascii="Segoe UI" w:hAnsi="Segoe UI" w:cs="Segoe UI"/>
        </w:rPr>
        <w:t xml:space="preserve">, which </w:t>
      </w:r>
      <w:r w:rsidR="000B3CD1" w:rsidRPr="007A3D53">
        <w:rPr>
          <w:rFonts w:ascii="Segoe UI" w:hAnsi="Segoe UI" w:cs="Segoe UI"/>
        </w:rPr>
        <w:t>sponsors are encouraged to use to</w:t>
      </w:r>
      <w:r w:rsidR="00155293" w:rsidRPr="00155293">
        <w:rPr>
          <w:rFonts w:ascii="Segoe UI" w:hAnsi="Segoe UI" w:cs="Segoe UI"/>
        </w:rPr>
        <w:t xml:space="preserve"> </w:t>
      </w:r>
      <w:r w:rsidR="00812975">
        <w:rPr>
          <w:rFonts w:ascii="Segoe UI" w:hAnsi="Segoe UI" w:cs="Segoe UI"/>
        </w:rPr>
        <w:t>upload the Investigator’s Brochure (</w:t>
      </w:r>
      <w:r w:rsidR="00F66326">
        <w:rPr>
          <w:rFonts w:ascii="Segoe UI" w:hAnsi="Segoe UI" w:cs="Segoe UI"/>
        </w:rPr>
        <w:t>or another equivalent document</w:t>
      </w:r>
      <w:r w:rsidR="00812975">
        <w:rPr>
          <w:rFonts w:ascii="Segoe UI" w:hAnsi="Segoe UI" w:cs="Segoe UI"/>
        </w:rPr>
        <w:t xml:space="preserve">) to </w:t>
      </w:r>
      <w:r w:rsidR="00155293" w:rsidRPr="00155293">
        <w:rPr>
          <w:rFonts w:ascii="Segoe UI" w:hAnsi="Segoe UI" w:cs="Segoe UI"/>
        </w:rPr>
        <w:t>minimise requests for further information.</w:t>
      </w:r>
      <w:r w:rsidRPr="006D7AA3">
        <w:rPr>
          <w:rFonts w:ascii="Segoe UI" w:hAnsi="Segoe UI" w:cs="Segoe UI"/>
          <w:highlight w:val="yellow"/>
        </w:rPr>
        <w:t xml:space="preserve"> </w:t>
      </w:r>
    </w:p>
    <w:p w14:paraId="4F7734FB" w14:textId="33BE6E42" w:rsidR="00155293" w:rsidRPr="00741762" w:rsidRDefault="00B1389A" w:rsidP="00EC0C38">
      <w:pPr>
        <w:rPr>
          <w:rFonts w:ascii="Segoe UI" w:hAnsi="Segoe UI" w:cs="Segoe UI"/>
        </w:rPr>
      </w:pPr>
      <w:r w:rsidRPr="0045748E">
        <w:rPr>
          <w:rFonts w:ascii="Segoe UI" w:hAnsi="Segoe UI" w:cs="Segoe UI"/>
        </w:rPr>
        <w:t>These changes</w:t>
      </w:r>
      <w:r w:rsidR="006D7AA3" w:rsidRPr="0045748E">
        <w:rPr>
          <w:rFonts w:ascii="Segoe UI" w:hAnsi="Segoe UI" w:cs="Segoe UI"/>
        </w:rPr>
        <w:t xml:space="preserve"> come into effect </w:t>
      </w:r>
      <w:r w:rsidR="00AD0FC4" w:rsidRPr="0045748E">
        <w:rPr>
          <w:rFonts w:ascii="Segoe UI" w:hAnsi="Segoe UI" w:cs="Segoe UI"/>
        </w:rPr>
        <w:t>on</w:t>
      </w:r>
      <w:r w:rsidR="00AD0FC4">
        <w:rPr>
          <w:rFonts w:ascii="Segoe UI" w:hAnsi="Segoe UI" w:cs="Segoe UI"/>
        </w:rPr>
        <w:t xml:space="preserve"> 20 March 2024. </w:t>
      </w:r>
    </w:p>
    <w:p w14:paraId="56F0C6A4" w14:textId="77777777" w:rsidR="00EC0C38" w:rsidRPr="00AB3B87" w:rsidRDefault="00EC0C38" w:rsidP="00EC0C38">
      <w:pPr>
        <w:pStyle w:val="Heading2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AB3B87">
        <w:rPr>
          <w:rFonts w:ascii="Segoe UI" w:hAnsi="Segoe UI" w:cs="Segoe UI"/>
          <w:b/>
          <w:bCs/>
          <w:color w:val="auto"/>
          <w:sz w:val="24"/>
          <w:szCs w:val="24"/>
        </w:rPr>
        <w:t xml:space="preserve">Legislative changes </w:t>
      </w:r>
    </w:p>
    <w:p w14:paraId="6E016814" w14:textId="44E2615D" w:rsidR="00EC0C38" w:rsidRPr="00741762" w:rsidRDefault="003C7FE3" w:rsidP="00EC0C38">
      <w:pPr>
        <w:rPr>
          <w:rFonts w:ascii="Segoe UI" w:hAnsi="Segoe UI" w:cs="Segoe UI"/>
        </w:rPr>
      </w:pPr>
      <w:r w:rsidRPr="00741762">
        <w:rPr>
          <w:rFonts w:ascii="Segoe UI" w:hAnsi="Segoe UI" w:cs="Segoe UI"/>
        </w:rPr>
        <w:t xml:space="preserve">Legislative changes </w:t>
      </w:r>
      <w:r w:rsidR="007D23FD">
        <w:rPr>
          <w:rFonts w:ascii="Segoe UI" w:hAnsi="Segoe UI" w:cs="Segoe UI"/>
        </w:rPr>
        <w:t>have been made to</w:t>
      </w:r>
      <w:r w:rsidRPr="00741762">
        <w:rPr>
          <w:rFonts w:ascii="Segoe UI" w:hAnsi="Segoe UI" w:cs="Segoe UI"/>
        </w:rPr>
        <w:t>:</w:t>
      </w:r>
    </w:p>
    <w:p w14:paraId="4702B3B0" w14:textId="22939C5D" w:rsidR="00EC0C38" w:rsidRPr="00E22252" w:rsidRDefault="007A3D53" w:rsidP="00EC0C38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Enable the </w:t>
      </w:r>
      <w:r w:rsidR="0068737D" w:rsidRPr="007E3DB3">
        <w:rPr>
          <w:rFonts w:ascii="Segoe UI" w:hAnsi="Segoe UI" w:cs="Segoe UI"/>
        </w:rPr>
        <w:t xml:space="preserve">TGA </w:t>
      </w:r>
      <w:r>
        <w:rPr>
          <w:rFonts w:ascii="Segoe UI" w:hAnsi="Segoe UI" w:cs="Segoe UI"/>
        </w:rPr>
        <w:t xml:space="preserve">to </w:t>
      </w:r>
      <w:r w:rsidR="00812975">
        <w:rPr>
          <w:rFonts w:ascii="Segoe UI" w:hAnsi="Segoe UI" w:cs="Segoe UI"/>
        </w:rPr>
        <w:t>require</w:t>
      </w:r>
      <w:r w:rsidR="0068737D" w:rsidRPr="007E3DB3">
        <w:rPr>
          <w:rFonts w:ascii="Segoe UI" w:hAnsi="Segoe UI" w:cs="Segoe UI"/>
        </w:rPr>
        <w:t xml:space="preserve"> information about</w:t>
      </w:r>
      <w:r w:rsidR="00812975">
        <w:rPr>
          <w:rFonts w:ascii="Segoe UI" w:hAnsi="Segoe UI" w:cs="Segoe UI"/>
        </w:rPr>
        <w:t xml:space="preserve"> the safety of</w:t>
      </w:r>
      <w:r w:rsidR="0068737D" w:rsidRPr="007E3DB3">
        <w:rPr>
          <w:rFonts w:ascii="Segoe UI" w:hAnsi="Segoe UI" w:cs="Segoe UI"/>
        </w:rPr>
        <w:t xml:space="preserve"> medical devices used in clinical trials. </w:t>
      </w:r>
      <w:r w:rsidR="0068737D" w:rsidRPr="00741762">
        <w:rPr>
          <w:rFonts w:ascii="Segoe UI" w:hAnsi="Segoe UI" w:cs="Segoe UI"/>
        </w:rPr>
        <w:t>F</w:t>
      </w:r>
      <w:r w:rsidR="00EC0C38" w:rsidRPr="00E22252">
        <w:rPr>
          <w:rFonts w:ascii="Segoe UI" w:hAnsi="Segoe UI" w:cs="Segoe UI"/>
        </w:rPr>
        <w:t>or example, information regarding materials, engineering and sterility</w:t>
      </w:r>
      <w:r w:rsidR="007E3DB3" w:rsidRPr="00741762">
        <w:rPr>
          <w:rFonts w:ascii="Segoe UI" w:hAnsi="Segoe UI" w:cs="Segoe UI"/>
        </w:rPr>
        <w:t>.</w:t>
      </w:r>
    </w:p>
    <w:p w14:paraId="7068B682" w14:textId="3486AE03" w:rsidR="0045061B" w:rsidRPr="00741762" w:rsidRDefault="00E01BE2" w:rsidP="00EC0C38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Enable</w:t>
      </w:r>
      <w:r w:rsidR="008478EF">
        <w:rPr>
          <w:rFonts w:ascii="Segoe UI" w:hAnsi="Segoe UI" w:cs="Segoe UI"/>
        </w:rPr>
        <w:t xml:space="preserve"> inspection of</w:t>
      </w:r>
      <w:r>
        <w:rPr>
          <w:rFonts w:ascii="Segoe UI" w:hAnsi="Segoe UI" w:cs="Segoe UI"/>
        </w:rPr>
        <w:t xml:space="preserve"> </w:t>
      </w:r>
      <w:r w:rsidR="0045061B" w:rsidRPr="007E3DB3">
        <w:rPr>
          <w:rFonts w:ascii="Segoe UI" w:hAnsi="Segoe UI" w:cs="Segoe UI"/>
        </w:rPr>
        <w:t xml:space="preserve">medical device trials </w:t>
      </w:r>
      <w:r w:rsidR="00812975">
        <w:rPr>
          <w:rFonts w:ascii="Segoe UI" w:hAnsi="Segoe UI" w:cs="Segoe UI"/>
        </w:rPr>
        <w:t>conducted under a CTN</w:t>
      </w:r>
      <w:r w:rsidR="00440384">
        <w:rPr>
          <w:rFonts w:ascii="Segoe UI" w:hAnsi="Segoe UI" w:cs="Segoe UI"/>
        </w:rPr>
        <w:t>,</w:t>
      </w:r>
      <w:r w:rsidR="00812975">
        <w:rPr>
          <w:rFonts w:ascii="Segoe UI" w:hAnsi="Segoe UI" w:cs="Segoe UI"/>
        </w:rPr>
        <w:t xml:space="preserve"> </w:t>
      </w:r>
      <w:r w:rsidR="0045061B" w:rsidRPr="007E3DB3">
        <w:rPr>
          <w:rFonts w:ascii="Segoe UI" w:hAnsi="Segoe UI" w:cs="Segoe UI"/>
        </w:rPr>
        <w:t>and the documentation supporting them</w:t>
      </w:r>
      <w:r w:rsidR="00440384">
        <w:rPr>
          <w:rFonts w:ascii="Segoe UI" w:hAnsi="Segoe UI" w:cs="Segoe UI"/>
        </w:rPr>
        <w:t>,</w:t>
      </w:r>
      <w:r w:rsidR="0045061B" w:rsidRPr="007E3DB3">
        <w:rPr>
          <w:rFonts w:ascii="Segoe UI" w:hAnsi="Segoe UI" w:cs="Segoe UI"/>
        </w:rPr>
        <w:t xml:space="preserve"> </w:t>
      </w:r>
      <w:r w:rsidR="00644730">
        <w:rPr>
          <w:rFonts w:ascii="Segoe UI" w:hAnsi="Segoe UI" w:cs="Segoe UI"/>
        </w:rPr>
        <w:t xml:space="preserve">to </w:t>
      </w:r>
      <w:r w:rsidR="0045061B" w:rsidRPr="007E3DB3">
        <w:rPr>
          <w:rFonts w:ascii="Segoe UI" w:hAnsi="Segoe UI" w:cs="Segoe UI"/>
        </w:rPr>
        <w:t>make sure they</w:t>
      </w:r>
      <w:r w:rsidR="00644730">
        <w:rPr>
          <w:rFonts w:ascii="Segoe UI" w:hAnsi="Segoe UI" w:cs="Segoe UI"/>
        </w:rPr>
        <w:t>’</w:t>
      </w:r>
      <w:r w:rsidR="0045061B" w:rsidRPr="007E3DB3">
        <w:rPr>
          <w:rFonts w:ascii="Segoe UI" w:hAnsi="Segoe UI" w:cs="Segoe UI"/>
        </w:rPr>
        <w:t>re compliant</w:t>
      </w:r>
      <w:r w:rsidR="00644730">
        <w:rPr>
          <w:rFonts w:ascii="Segoe UI" w:hAnsi="Segoe UI" w:cs="Segoe UI"/>
        </w:rPr>
        <w:t xml:space="preserve"> with Good Clinical Practice</w:t>
      </w:r>
      <w:r w:rsidR="0045061B" w:rsidRPr="007E3DB3">
        <w:rPr>
          <w:rFonts w:ascii="Segoe UI" w:hAnsi="Segoe UI" w:cs="Segoe UI"/>
        </w:rPr>
        <w:t>.</w:t>
      </w:r>
    </w:p>
    <w:p w14:paraId="3086A294" w14:textId="33C7615F" w:rsidR="0028465C" w:rsidRDefault="0028465C" w:rsidP="0028465C">
      <w:pPr>
        <w:rPr>
          <w:rFonts w:ascii="Segoe UI" w:eastAsia="Times New Roman" w:hAnsi="Segoe UI" w:cs="Segoe UI"/>
          <w:b/>
          <w:bCs/>
          <w:color w:val="001871"/>
          <w:sz w:val="36"/>
          <w:szCs w:val="36"/>
          <w:lang w:eastAsia="en-AU"/>
        </w:rPr>
      </w:pPr>
      <w:r>
        <w:rPr>
          <w:rFonts w:ascii="Segoe UI" w:eastAsia="Times New Roman" w:hAnsi="Segoe UI" w:cs="Segoe UI"/>
          <w:b/>
          <w:bCs/>
          <w:color w:val="001871"/>
          <w:sz w:val="36"/>
          <w:szCs w:val="36"/>
          <w:lang w:eastAsia="en-AU"/>
        </w:rPr>
        <w:t>Impact on trials</w:t>
      </w:r>
    </w:p>
    <w:p w14:paraId="7BAFF91F" w14:textId="3B464F36" w:rsidR="0046744C" w:rsidRDefault="0046744C" w:rsidP="00EC0C38">
      <w:pPr>
        <w:rPr>
          <w:rFonts w:ascii="Segoe UI" w:hAnsi="Segoe UI" w:cs="Segoe UI"/>
        </w:rPr>
      </w:pPr>
      <w:r w:rsidRPr="0046744C">
        <w:rPr>
          <w:rFonts w:ascii="Segoe UI" w:hAnsi="Segoe UI" w:cs="Segoe UI"/>
        </w:rPr>
        <w:t xml:space="preserve">The updated CTN form will help us </w:t>
      </w:r>
      <w:r w:rsidR="00812975">
        <w:rPr>
          <w:rFonts w:ascii="Segoe UI" w:hAnsi="Segoe UI" w:cs="Segoe UI"/>
        </w:rPr>
        <w:t>identify</w:t>
      </w:r>
      <w:r w:rsidRPr="0046744C">
        <w:rPr>
          <w:rFonts w:ascii="Segoe UI" w:hAnsi="Segoe UI" w:cs="Segoe UI"/>
        </w:rPr>
        <w:t xml:space="preserve"> first-in-human trials for </w:t>
      </w:r>
      <w:r w:rsidR="00982CC0">
        <w:rPr>
          <w:rFonts w:ascii="Segoe UI" w:hAnsi="Segoe UI" w:cs="Segoe UI"/>
        </w:rPr>
        <w:t xml:space="preserve">the following devices </w:t>
      </w:r>
      <w:r w:rsidR="00FF5228">
        <w:rPr>
          <w:rFonts w:ascii="Segoe UI" w:hAnsi="Segoe UI" w:cs="Segoe UI"/>
        </w:rPr>
        <w:t xml:space="preserve">at high risk of </w:t>
      </w:r>
      <w:r w:rsidR="0016155B">
        <w:rPr>
          <w:rFonts w:ascii="Segoe UI" w:hAnsi="Segoe UI" w:cs="Segoe UI"/>
        </w:rPr>
        <w:t>immediate, catastrophic consequences if they fail</w:t>
      </w:r>
      <w:r w:rsidR="00FE6081">
        <w:rPr>
          <w:rFonts w:ascii="Segoe UI" w:hAnsi="Segoe UI" w:cs="Segoe UI"/>
        </w:rPr>
        <w:t xml:space="preserve"> to perform</w:t>
      </w:r>
      <w:r w:rsidRPr="0046744C">
        <w:rPr>
          <w:rFonts w:ascii="Segoe UI" w:hAnsi="Segoe UI" w:cs="Segoe UI"/>
        </w:rPr>
        <w:t>:</w:t>
      </w:r>
    </w:p>
    <w:p w14:paraId="0E26972C" w14:textId="45EC42BC" w:rsidR="00EC0C38" w:rsidRPr="00741762" w:rsidRDefault="00EC0C38" w:rsidP="00EC0C38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E22252">
        <w:rPr>
          <w:rFonts w:ascii="Segoe UI" w:hAnsi="Segoe UI" w:cs="Segoe UI"/>
        </w:rPr>
        <w:t xml:space="preserve">Cardiac assist devices </w:t>
      </w:r>
      <w:r w:rsidR="00500BDE">
        <w:rPr>
          <w:rFonts w:ascii="Segoe UI" w:hAnsi="Segoe UI" w:cs="Segoe UI"/>
        </w:rPr>
        <w:t>(</w:t>
      </w:r>
      <w:r w:rsidRPr="00E22252">
        <w:rPr>
          <w:rFonts w:ascii="Segoe UI" w:hAnsi="Segoe UI" w:cs="Segoe UI"/>
        </w:rPr>
        <w:t>artificial hearts, ventricular assist devices, intra-aortic balloon pumps, cardiomyoplasty devices</w:t>
      </w:r>
      <w:r w:rsidR="00500BDE">
        <w:rPr>
          <w:rFonts w:ascii="Segoe UI" w:hAnsi="Segoe UI" w:cs="Segoe UI"/>
        </w:rPr>
        <w:t>)</w:t>
      </w:r>
    </w:p>
    <w:p w14:paraId="79821D17" w14:textId="1E4590DA" w:rsidR="00EC0C38" w:rsidRPr="00741762" w:rsidRDefault="00EC0C38" w:rsidP="00EC0C38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741762">
        <w:rPr>
          <w:rFonts w:ascii="Segoe UI" w:hAnsi="Segoe UI" w:cs="Segoe UI"/>
        </w:rPr>
        <w:t xml:space="preserve">Heart valves and valve repair devices </w:t>
      </w:r>
      <w:r w:rsidR="00500BDE">
        <w:rPr>
          <w:rFonts w:ascii="Segoe UI" w:hAnsi="Segoe UI" w:cs="Segoe UI"/>
        </w:rPr>
        <w:t>(</w:t>
      </w:r>
      <w:r w:rsidRPr="00E22252">
        <w:rPr>
          <w:rFonts w:ascii="Segoe UI" w:hAnsi="Segoe UI" w:cs="Segoe UI"/>
        </w:rPr>
        <w:t>surgical/percutaneous/mechanical valves, annuloplasty rings, valve repair clips</w:t>
      </w:r>
      <w:r w:rsidR="00500BDE">
        <w:rPr>
          <w:rFonts w:ascii="Segoe UI" w:hAnsi="Segoe UI" w:cs="Segoe UI"/>
        </w:rPr>
        <w:t>)</w:t>
      </w:r>
    </w:p>
    <w:p w14:paraId="0FA2FEB5" w14:textId="6DD2ACCC" w:rsidR="00EC0C38" w:rsidRPr="00741762" w:rsidRDefault="00EC0C38" w:rsidP="00EC0C38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741762">
        <w:rPr>
          <w:rFonts w:ascii="Segoe UI" w:hAnsi="Segoe UI" w:cs="Segoe UI"/>
        </w:rPr>
        <w:t>Pacemakers and leads</w:t>
      </w:r>
    </w:p>
    <w:p w14:paraId="7B122943" w14:textId="77777777" w:rsidR="00EC0C38" w:rsidRPr="00741762" w:rsidRDefault="00EC0C38" w:rsidP="00EC0C38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741762">
        <w:rPr>
          <w:rFonts w:ascii="Segoe UI" w:hAnsi="Segoe UI" w:cs="Segoe UI"/>
        </w:rPr>
        <w:t xml:space="preserve">Implantable cardiac defibrillators </w:t>
      </w:r>
    </w:p>
    <w:p w14:paraId="02C5E26F" w14:textId="77777777" w:rsidR="00EC0C38" w:rsidRPr="00741762" w:rsidRDefault="00EC0C38" w:rsidP="00EC0C38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741762">
        <w:rPr>
          <w:rFonts w:ascii="Segoe UI" w:hAnsi="Segoe UI" w:cs="Segoe UI"/>
        </w:rPr>
        <w:t xml:space="preserve">Transcatheter cardiac occluder devices </w:t>
      </w:r>
    </w:p>
    <w:p w14:paraId="7C8C6FCC" w14:textId="77777777" w:rsidR="00EC0C38" w:rsidRPr="00741762" w:rsidRDefault="00EC0C38" w:rsidP="00EC0C38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741762">
        <w:rPr>
          <w:rFonts w:ascii="Segoe UI" w:hAnsi="Segoe UI" w:cs="Segoe UI"/>
        </w:rPr>
        <w:t>Cardiac mapping and ablation catheter devices</w:t>
      </w:r>
    </w:p>
    <w:p w14:paraId="32A9DD26" w14:textId="77777777" w:rsidR="00EC0C38" w:rsidRPr="00741762" w:rsidRDefault="00EC0C38" w:rsidP="00EC0C38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741762">
        <w:rPr>
          <w:rFonts w:ascii="Segoe UI" w:hAnsi="Segoe UI" w:cs="Segoe UI"/>
        </w:rPr>
        <w:t>Implanted intracerebral/subcortical stimulator devices</w:t>
      </w:r>
    </w:p>
    <w:p w14:paraId="3995C4E9" w14:textId="77777777" w:rsidR="00EC0C38" w:rsidRPr="00741762" w:rsidRDefault="00EC0C38" w:rsidP="00EC0C38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741762">
        <w:rPr>
          <w:rFonts w:ascii="Segoe UI" w:hAnsi="Segoe UI" w:cs="Segoe UI"/>
        </w:rPr>
        <w:t>Aortic stent and aortic graft devices</w:t>
      </w:r>
    </w:p>
    <w:p w14:paraId="20C3DE05" w14:textId="7EB073B2" w:rsidR="00AB1554" w:rsidRPr="005006B4" w:rsidRDefault="001C570F" w:rsidP="00EC0C38">
      <w:pPr>
        <w:rPr>
          <w:rFonts w:ascii="Segoe UI" w:hAnsi="Segoe UI" w:cs="Segoe UI"/>
          <w:highlight w:val="green"/>
        </w:rPr>
      </w:pPr>
      <w:r>
        <w:rPr>
          <w:rFonts w:ascii="Segoe UI" w:hAnsi="Segoe UI" w:cs="Segoe UI"/>
        </w:rPr>
        <w:t xml:space="preserve">For trials involving </w:t>
      </w:r>
      <w:r w:rsidR="00982CC0">
        <w:rPr>
          <w:rFonts w:ascii="Segoe UI" w:hAnsi="Segoe UI" w:cs="Segoe UI"/>
        </w:rPr>
        <w:t xml:space="preserve">these devices, we may </w:t>
      </w:r>
      <w:r w:rsidR="002B5123">
        <w:rPr>
          <w:rFonts w:ascii="Segoe UI" w:hAnsi="Segoe UI" w:cs="Segoe UI"/>
        </w:rPr>
        <w:t xml:space="preserve">review the Investigator’s Brochure (or another equivalent document) to </w:t>
      </w:r>
      <w:r w:rsidR="00AB1554" w:rsidRPr="00B11B5B">
        <w:rPr>
          <w:rFonts w:ascii="Segoe UI" w:hAnsi="Segoe UI" w:cs="Segoe UI"/>
        </w:rPr>
        <w:t>assess potential risks to trial participants</w:t>
      </w:r>
      <w:r w:rsidR="00B11B5B" w:rsidRPr="00E22252">
        <w:rPr>
          <w:rFonts w:ascii="Segoe UI" w:hAnsi="Segoe UI" w:cs="Segoe UI"/>
        </w:rPr>
        <w:t xml:space="preserve"> and make sure appropriate mitigation strategies are in place</w:t>
      </w:r>
      <w:r w:rsidR="002B5123">
        <w:rPr>
          <w:rFonts w:ascii="Segoe UI" w:hAnsi="Segoe UI" w:cs="Segoe UI"/>
        </w:rPr>
        <w:t>.</w:t>
      </w:r>
      <w:r w:rsidR="00AB1554" w:rsidRPr="00B11B5B">
        <w:rPr>
          <w:rFonts w:ascii="Segoe UI" w:hAnsi="Segoe UI" w:cs="Segoe UI"/>
        </w:rPr>
        <w:t xml:space="preserve"> </w:t>
      </w:r>
      <w:r w:rsidR="00440384">
        <w:rPr>
          <w:rFonts w:ascii="Segoe UI" w:hAnsi="Segoe UI" w:cs="Segoe UI"/>
        </w:rPr>
        <w:t>Reviews</w:t>
      </w:r>
      <w:r w:rsidR="00FD4EF5">
        <w:rPr>
          <w:rFonts w:ascii="Segoe UI" w:hAnsi="Segoe UI" w:cs="Segoe UI"/>
        </w:rPr>
        <w:t xml:space="preserve"> will be performed by TGA </w:t>
      </w:r>
      <w:r w:rsidR="003C1D62">
        <w:rPr>
          <w:rFonts w:ascii="Segoe UI" w:hAnsi="Segoe UI" w:cs="Segoe UI"/>
        </w:rPr>
        <w:t xml:space="preserve">clinical </w:t>
      </w:r>
      <w:r w:rsidR="00FD4EF5">
        <w:rPr>
          <w:rFonts w:ascii="Segoe UI" w:hAnsi="Segoe UI" w:cs="Segoe UI"/>
        </w:rPr>
        <w:t xml:space="preserve">assessors </w:t>
      </w:r>
      <w:r w:rsidR="003C1D62">
        <w:rPr>
          <w:rFonts w:ascii="Segoe UI" w:hAnsi="Segoe UI" w:cs="Segoe UI"/>
        </w:rPr>
        <w:t>and other assessors i</w:t>
      </w:r>
      <w:r w:rsidR="00FD4EF5">
        <w:rPr>
          <w:rFonts w:ascii="Segoe UI" w:hAnsi="Segoe UI" w:cs="Segoe UI"/>
        </w:rPr>
        <w:t>n relevant disciplines</w:t>
      </w:r>
      <w:r w:rsidR="003C1D62">
        <w:rPr>
          <w:rFonts w:ascii="Segoe UI" w:hAnsi="Segoe UI" w:cs="Segoe UI"/>
        </w:rPr>
        <w:t xml:space="preserve"> (e.g. engineer</w:t>
      </w:r>
      <w:r w:rsidR="00440384">
        <w:rPr>
          <w:rFonts w:ascii="Segoe UI" w:hAnsi="Segoe UI" w:cs="Segoe UI"/>
        </w:rPr>
        <w:t>ing, biomaterials</w:t>
      </w:r>
      <w:r w:rsidR="003C1D62">
        <w:rPr>
          <w:rFonts w:ascii="Segoe UI" w:hAnsi="Segoe UI" w:cs="Segoe UI"/>
        </w:rPr>
        <w:t xml:space="preserve">, </w:t>
      </w:r>
      <w:r w:rsidR="00440384">
        <w:rPr>
          <w:rFonts w:ascii="Segoe UI" w:hAnsi="Segoe UI" w:cs="Segoe UI"/>
        </w:rPr>
        <w:t>microbiology</w:t>
      </w:r>
      <w:r w:rsidR="003C1D62">
        <w:rPr>
          <w:rFonts w:ascii="Segoe UI" w:hAnsi="Segoe UI" w:cs="Segoe UI"/>
        </w:rPr>
        <w:t>).</w:t>
      </w:r>
    </w:p>
    <w:p w14:paraId="2EEBDC1E" w14:textId="46AB614E" w:rsidR="00803349" w:rsidRDefault="00F94EE4" w:rsidP="00EC0C38">
      <w:pPr>
        <w:rPr>
          <w:rFonts w:ascii="Segoe UI" w:hAnsi="Segoe UI" w:cs="Segoe UI"/>
        </w:rPr>
      </w:pPr>
      <w:r w:rsidRPr="00F94EE4">
        <w:rPr>
          <w:rFonts w:ascii="Segoe UI" w:hAnsi="Segoe UI" w:cs="Segoe UI"/>
        </w:rPr>
        <w:t xml:space="preserve">Once you </w:t>
      </w:r>
      <w:r w:rsidR="00381C05">
        <w:rPr>
          <w:rFonts w:ascii="Segoe UI" w:hAnsi="Segoe UI" w:cs="Segoe UI"/>
        </w:rPr>
        <w:t>have submitted your notification and payment has been received</w:t>
      </w:r>
      <w:r w:rsidRPr="00F94EE4">
        <w:rPr>
          <w:rFonts w:ascii="Segoe UI" w:hAnsi="Segoe UI" w:cs="Segoe UI"/>
        </w:rPr>
        <w:t>, you can start the trial.</w:t>
      </w:r>
      <w:r>
        <w:rPr>
          <w:rFonts w:ascii="Segoe UI" w:hAnsi="Segoe UI" w:cs="Segoe UI"/>
        </w:rPr>
        <w:t xml:space="preserve"> </w:t>
      </w:r>
      <w:r w:rsidR="00381C05">
        <w:rPr>
          <w:rFonts w:ascii="Segoe UI" w:hAnsi="Segoe UI" w:cs="Segoe UI"/>
        </w:rPr>
        <w:t xml:space="preserve">Sometimes the TGA Clinical Trials team will ask you for further information to process the form, separate to </w:t>
      </w:r>
      <w:r w:rsidR="00AD0FC4">
        <w:rPr>
          <w:rFonts w:ascii="Segoe UI" w:hAnsi="Segoe UI" w:cs="Segoe UI"/>
        </w:rPr>
        <w:t>this</w:t>
      </w:r>
      <w:r w:rsidR="00381C05">
        <w:rPr>
          <w:rFonts w:ascii="Segoe UI" w:hAnsi="Segoe UI" w:cs="Segoe UI"/>
        </w:rPr>
        <w:t xml:space="preserve"> review process. </w:t>
      </w:r>
      <w:r w:rsidR="00734C2D">
        <w:rPr>
          <w:rFonts w:ascii="Segoe UI" w:hAnsi="Segoe UI" w:cs="Segoe UI"/>
        </w:rPr>
        <w:t>Reviews</w:t>
      </w:r>
      <w:r w:rsidR="00750812" w:rsidRPr="00B32AD3">
        <w:rPr>
          <w:rFonts w:ascii="Segoe UI" w:hAnsi="Segoe UI" w:cs="Segoe UI"/>
        </w:rPr>
        <w:t xml:space="preserve"> will not affect trial </w:t>
      </w:r>
      <w:r w:rsidR="00803349">
        <w:rPr>
          <w:rFonts w:ascii="Segoe UI" w:hAnsi="Segoe UI" w:cs="Segoe UI"/>
        </w:rPr>
        <w:t xml:space="preserve">startup </w:t>
      </w:r>
      <w:r w:rsidR="00750812" w:rsidRPr="00B32AD3">
        <w:rPr>
          <w:rFonts w:ascii="Segoe UI" w:hAnsi="Segoe UI" w:cs="Segoe UI"/>
        </w:rPr>
        <w:t>timelines</w:t>
      </w:r>
      <w:r w:rsidR="00AD0FC4">
        <w:rPr>
          <w:rFonts w:ascii="Segoe UI" w:hAnsi="Segoe UI" w:cs="Segoe UI"/>
        </w:rPr>
        <w:t xml:space="preserve"> as this is part of the CTN scheme and you will not need to receive an ‘approval’ prior to commencement</w:t>
      </w:r>
      <w:r w:rsidR="00750812" w:rsidRPr="00B32AD3">
        <w:rPr>
          <w:rFonts w:ascii="Segoe UI" w:hAnsi="Segoe UI" w:cs="Segoe UI"/>
        </w:rPr>
        <w:t>.</w:t>
      </w:r>
      <w:r w:rsidR="00AD0FC4">
        <w:rPr>
          <w:rFonts w:ascii="Segoe UI" w:hAnsi="Segoe UI" w:cs="Segoe UI"/>
        </w:rPr>
        <w:t xml:space="preserve"> </w:t>
      </w:r>
      <w:r w:rsidR="00750812">
        <w:rPr>
          <w:rFonts w:ascii="Segoe UI" w:hAnsi="Segoe UI" w:cs="Segoe UI"/>
        </w:rPr>
        <w:t xml:space="preserve"> </w:t>
      </w:r>
    </w:p>
    <w:p w14:paraId="4C2C5580" w14:textId="754D3B61" w:rsidR="00D7224E" w:rsidRDefault="00803349" w:rsidP="00EC0C38">
      <w:pPr>
        <w:rPr>
          <w:rFonts w:ascii="Segoe UI" w:hAnsi="Segoe UI" w:cs="Segoe UI"/>
        </w:rPr>
      </w:pPr>
      <w:r w:rsidRPr="004F6095">
        <w:rPr>
          <w:rFonts w:ascii="Segoe UI" w:hAnsi="Segoe UI" w:cs="Segoe UI"/>
        </w:rPr>
        <w:t>There will be no additional fee for review.</w:t>
      </w:r>
    </w:p>
    <w:p w14:paraId="2FE963DB" w14:textId="6BE57BB9" w:rsidR="00A4072B" w:rsidRPr="00FB646B" w:rsidRDefault="00A4072B" w:rsidP="00A4072B">
      <w:pPr>
        <w:rPr>
          <w:rFonts w:ascii="Segoe UI" w:hAnsi="Segoe UI" w:cs="Segoe UI"/>
        </w:rPr>
      </w:pPr>
      <w:r w:rsidRPr="00FB646B">
        <w:rPr>
          <w:rFonts w:ascii="Segoe UI" w:hAnsi="Segoe UI" w:cs="Segoe UI"/>
        </w:rPr>
        <w:t>We may contact you if:</w:t>
      </w:r>
    </w:p>
    <w:p w14:paraId="087F965B" w14:textId="66E894CD" w:rsidR="00A4072B" w:rsidRPr="00FB646B" w:rsidRDefault="00A4072B" w:rsidP="005006B4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FB646B">
        <w:rPr>
          <w:rFonts w:ascii="Segoe UI" w:hAnsi="Segoe UI" w:cs="Segoe UI"/>
        </w:rPr>
        <w:t>it's not clear what the trial device is</w:t>
      </w:r>
    </w:p>
    <w:p w14:paraId="2B7929E3" w14:textId="64EE11C0" w:rsidR="00A4072B" w:rsidRPr="00E22252" w:rsidRDefault="00C666F9" w:rsidP="00C666F9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FB646B">
        <w:rPr>
          <w:rFonts w:ascii="Segoe UI" w:hAnsi="Segoe UI" w:cs="Segoe UI"/>
        </w:rPr>
        <w:t xml:space="preserve">we would like to review the Investigator’s Brochure but you have not submitted one </w:t>
      </w:r>
    </w:p>
    <w:p w14:paraId="78F612CB" w14:textId="1C2BDF23" w:rsidR="00A4072B" w:rsidRPr="00FB646B" w:rsidRDefault="002B01CE" w:rsidP="005006B4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 w:rsidRPr="00E22252">
        <w:rPr>
          <w:rFonts w:ascii="Segoe UI" w:hAnsi="Segoe UI" w:cs="Segoe UI"/>
        </w:rPr>
        <w:t xml:space="preserve">we have </w:t>
      </w:r>
      <w:r w:rsidR="0062370B" w:rsidRPr="00E22252">
        <w:rPr>
          <w:rFonts w:ascii="Segoe UI" w:hAnsi="Segoe UI" w:cs="Segoe UI"/>
        </w:rPr>
        <w:t xml:space="preserve">uncertainties or concerns </w:t>
      </w:r>
      <w:r w:rsidR="00FB646B" w:rsidRPr="00E22252">
        <w:rPr>
          <w:rFonts w:ascii="Segoe UI" w:hAnsi="Segoe UI" w:cs="Segoe UI"/>
        </w:rPr>
        <w:t>about the information in the</w:t>
      </w:r>
      <w:r w:rsidR="0062370B" w:rsidRPr="00E22252">
        <w:rPr>
          <w:rFonts w:ascii="Segoe UI" w:hAnsi="Segoe UI" w:cs="Segoe UI"/>
        </w:rPr>
        <w:t xml:space="preserve"> Investigator’s Brochure</w:t>
      </w:r>
    </w:p>
    <w:p w14:paraId="31DB9AAC" w14:textId="75E141A4" w:rsidR="00B5156A" w:rsidRPr="00FB646B" w:rsidRDefault="00B5156A" w:rsidP="00A4072B">
      <w:pPr>
        <w:rPr>
          <w:rFonts w:ascii="Segoe UI" w:hAnsi="Segoe UI" w:cs="Segoe UI"/>
        </w:rPr>
      </w:pPr>
      <w:r w:rsidRPr="00FB646B">
        <w:rPr>
          <w:rFonts w:ascii="Segoe UI" w:hAnsi="Segoe UI" w:cs="Segoe UI"/>
        </w:rPr>
        <w:lastRenderedPageBreak/>
        <w:t xml:space="preserve">We won't </w:t>
      </w:r>
      <w:r w:rsidR="002F18C6">
        <w:rPr>
          <w:rFonts w:ascii="Segoe UI" w:hAnsi="Segoe UI" w:cs="Segoe UI"/>
        </w:rPr>
        <w:t xml:space="preserve">routinely </w:t>
      </w:r>
      <w:r w:rsidR="00750812">
        <w:rPr>
          <w:rFonts w:ascii="Segoe UI" w:hAnsi="Segoe UI" w:cs="Segoe UI"/>
        </w:rPr>
        <w:t>contact you</w:t>
      </w:r>
      <w:r w:rsidRPr="00FB646B">
        <w:rPr>
          <w:rFonts w:ascii="Segoe UI" w:hAnsi="Segoe UI" w:cs="Segoe UI"/>
        </w:rPr>
        <w:t xml:space="preserve"> </w:t>
      </w:r>
      <w:r w:rsidR="00750812">
        <w:rPr>
          <w:rFonts w:ascii="Segoe UI" w:hAnsi="Segoe UI" w:cs="Segoe UI"/>
        </w:rPr>
        <w:t>unless we have concerns or questions</w:t>
      </w:r>
      <w:r w:rsidRPr="00FB646B">
        <w:rPr>
          <w:rFonts w:ascii="Segoe UI" w:hAnsi="Segoe UI" w:cs="Segoe UI"/>
        </w:rPr>
        <w:t>.</w:t>
      </w:r>
    </w:p>
    <w:p w14:paraId="534B12B1" w14:textId="2A8503C4" w:rsidR="00A75A04" w:rsidRPr="00FB646B" w:rsidRDefault="00750812" w:rsidP="00EC0C38">
      <w:pPr>
        <w:rPr>
          <w:rFonts w:ascii="Segoe UI" w:hAnsi="Segoe UI" w:cs="Segoe UI"/>
        </w:rPr>
      </w:pPr>
      <w:r>
        <w:rPr>
          <w:rFonts w:ascii="Segoe UI" w:hAnsi="Segoe UI" w:cs="Segoe UI"/>
        </w:rPr>
        <w:t>We</w:t>
      </w:r>
      <w:r w:rsidR="00A75A04" w:rsidRPr="00FB646B">
        <w:rPr>
          <w:rFonts w:ascii="Segoe UI" w:hAnsi="Segoe UI" w:cs="Segoe UI"/>
        </w:rPr>
        <w:t xml:space="preserve"> may take further action</w:t>
      </w:r>
      <w:r>
        <w:rPr>
          <w:rFonts w:ascii="Segoe UI" w:hAnsi="Segoe UI" w:cs="Segoe UI"/>
        </w:rPr>
        <w:t xml:space="preserve"> if significant safety concerns are found. They will be</w:t>
      </w:r>
      <w:r w:rsidR="00A75A04" w:rsidRPr="00FB646B">
        <w:rPr>
          <w:rFonts w:ascii="Segoe UI" w:hAnsi="Segoe UI" w:cs="Segoe UI"/>
        </w:rPr>
        <w:t xml:space="preserve"> proportionate to risk</w:t>
      </w:r>
      <w:r w:rsidR="00783FD7" w:rsidRPr="00FB646B">
        <w:rPr>
          <w:rFonts w:ascii="Segoe UI" w:hAnsi="Segoe UI" w:cs="Segoe UI"/>
        </w:rPr>
        <w:t xml:space="preserve">, after </w:t>
      </w:r>
      <w:r w:rsidR="00C666F9" w:rsidRPr="00FB646B">
        <w:rPr>
          <w:rFonts w:ascii="Segoe UI" w:hAnsi="Segoe UI" w:cs="Segoe UI"/>
        </w:rPr>
        <w:t xml:space="preserve">discussing </w:t>
      </w:r>
      <w:r w:rsidR="00783FD7" w:rsidRPr="00FB646B">
        <w:rPr>
          <w:rFonts w:ascii="Segoe UI" w:hAnsi="Segoe UI" w:cs="Segoe UI"/>
        </w:rPr>
        <w:t>with you.</w:t>
      </w:r>
    </w:p>
    <w:p w14:paraId="5B64A0EA" w14:textId="4BEE44CD" w:rsidR="00EC0C38" w:rsidRPr="00FB646B" w:rsidRDefault="00EC0C38" w:rsidP="00EC0C38">
      <w:pPr>
        <w:rPr>
          <w:rFonts w:ascii="Segoe UI" w:hAnsi="Segoe UI" w:cs="Segoe UI"/>
        </w:rPr>
      </w:pPr>
      <w:r w:rsidRPr="00FB646B">
        <w:rPr>
          <w:rFonts w:ascii="Segoe UI" w:hAnsi="Segoe UI" w:cs="Segoe UI"/>
        </w:rPr>
        <w:t>This may include:</w:t>
      </w:r>
    </w:p>
    <w:p w14:paraId="3E7E1B68" w14:textId="0ED25B12" w:rsidR="00EC0C38" w:rsidRPr="00E22252" w:rsidRDefault="00FC12B5" w:rsidP="005006B4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FB646B">
        <w:rPr>
          <w:rFonts w:ascii="Segoe UI" w:hAnsi="Segoe UI" w:cs="Segoe UI"/>
        </w:rPr>
        <w:t>Requesting a pause</w:t>
      </w:r>
      <w:r w:rsidRPr="00FC12B5">
        <w:rPr>
          <w:rFonts w:ascii="Segoe UI" w:hAnsi="Segoe UI" w:cs="Segoe UI"/>
        </w:rPr>
        <w:t xml:space="preserve"> in the trial while we investigate;</w:t>
      </w:r>
    </w:p>
    <w:p w14:paraId="06EE3BED" w14:textId="36FC78E9" w:rsidR="00EC0C38" w:rsidRPr="00E22252" w:rsidRDefault="00EC0C38" w:rsidP="005006B4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E22252">
        <w:rPr>
          <w:rFonts w:ascii="Segoe UI" w:hAnsi="Segoe UI" w:cs="Segoe UI"/>
        </w:rPr>
        <w:t xml:space="preserve">Discussing our concerns with the </w:t>
      </w:r>
      <w:r w:rsidR="009612EB">
        <w:rPr>
          <w:rFonts w:ascii="Segoe UI" w:hAnsi="Segoe UI" w:cs="Segoe UI"/>
        </w:rPr>
        <w:t>approving</w:t>
      </w:r>
      <w:r w:rsidR="009612EB" w:rsidRPr="00E22252">
        <w:rPr>
          <w:rFonts w:ascii="Segoe UI" w:hAnsi="Segoe UI" w:cs="Segoe UI"/>
        </w:rPr>
        <w:t xml:space="preserve"> </w:t>
      </w:r>
      <w:r w:rsidR="009612EB">
        <w:rPr>
          <w:rFonts w:ascii="Segoe UI" w:hAnsi="Segoe UI" w:cs="Segoe UI"/>
        </w:rPr>
        <w:t xml:space="preserve">authorities or overseeing </w:t>
      </w:r>
      <w:r w:rsidRPr="00E22252">
        <w:rPr>
          <w:rFonts w:ascii="Segoe UI" w:hAnsi="Segoe UI" w:cs="Segoe UI"/>
        </w:rPr>
        <w:t>HREC;</w:t>
      </w:r>
    </w:p>
    <w:p w14:paraId="7C7DB016" w14:textId="77777777" w:rsidR="00EC0C38" w:rsidRPr="00E22252" w:rsidRDefault="00EC0C38" w:rsidP="005006B4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E22252">
        <w:rPr>
          <w:rFonts w:ascii="Segoe UI" w:hAnsi="Segoe UI" w:cs="Segoe UI"/>
        </w:rPr>
        <w:t>GCP inspection;</w:t>
      </w:r>
    </w:p>
    <w:p w14:paraId="7CD936A5" w14:textId="02622FD2" w:rsidR="00EC0C38" w:rsidRPr="00E22252" w:rsidRDefault="00851FF5" w:rsidP="005006B4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Proposing to stop</w:t>
      </w:r>
      <w:r w:rsidR="004F7D8A" w:rsidRPr="004F7D8A">
        <w:rPr>
          <w:rFonts w:ascii="Segoe UI" w:hAnsi="Segoe UI" w:cs="Segoe UI"/>
        </w:rPr>
        <w:t xml:space="preserve"> the trial</w:t>
      </w:r>
      <w:r>
        <w:rPr>
          <w:rFonts w:ascii="Segoe UI" w:hAnsi="Segoe UI" w:cs="Segoe UI"/>
        </w:rPr>
        <w:t>.</w:t>
      </w:r>
    </w:p>
    <w:p w14:paraId="4E4C3160" w14:textId="77777777" w:rsidR="0028465C" w:rsidRDefault="0028465C" w:rsidP="0028465C">
      <w:pPr>
        <w:rPr>
          <w:rFonts w:ascii="Segoe UI" w:eastAsia="Times New Roman" w:hAnsi="Segoe UI" w:cs="Segoe UI"/>
          <w:b/>
          <w:bCs/>
          <w:color w:val="001871"/>
          <w:sz w:val="36"/>
          <w:szCs w:val="36"/>
          <w:lang w:eastAsia="en-AU"/>
        </w:rPr>
      </w:pPr>
      <w:r>
        <w:rPr>
          <w:rFonts w:ascii="Segoe UI" w:eastAsia="Times New Roman" w:hAnsi="Segoe UI" w:cs="Segoe UI"/>
          <w:b/>
          <w:bCs/>
          <w:color w:val="001871"/>
          <w:sz w:val="36"/>
          <w:szCs w:val="36"/>
          <w:lang w:eastAsia="en-AU"/>
        </w:rPr>
        <w:t>More information</w:t>
      </w:r>
    </w:p>
    <w:p w14:paraId="7EAC584D" w14:textId="16224041" w:rsidR="00895E29" w:rsidRDefault="0040275E" w:rsidP="00EC0C3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</w:pPr>
      <w:r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t xml:space="preserve">[LINK] </w:t>
      </w:r>
      <w:r w:rsidR="00C74F62" w:rsidRPr="00C74F62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t>Investigator’s brochures for medical device clinical trials</w:t>
      </w:r>
      <w:r w:rsidR="00C913ED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br/>
      </w:r>
      <w:hyperlink r:id="rId5" w:history="1">
        <w:r w:rsidR="00C913ED" w:rsidRPr="00C913ED">
          <w:rPr>
            <w:rStyle w:val="Hyperlink"/>
            <w:rFonts w:ascii="Segoe UI" w:eastAsia="Times New Roman" w:hAnsi="Segoe UI" w:cs="Segoe UI"/>
            <w:kern w:val="0"/>
            <w:lang w:eastAsia="en-AU"/>
            <w14:ligatures w14:val="none"/>
          </w:rPr>
          <w:t>Medical devices reforms: An Action Plan for Medical Devices</w:t>
        </w:r>
      </w:hyperlink>
      <w:r w:rsidR="00895E29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br/>
      </w:r>
      <w:bookmarkStart w:id="0" w:name="_Hlk160001187"/>
      <w:r w:rsidR="008103AD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fldChar w:fldCharType="begin"/>
      </w:r>
      <w:r w:rsidR="008103AD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instrText>HYPERLINK "https://consultations.tga.gov.au/tga/proposed-regulatory-changes-for-device-trials/"</w:instrText>
      </w:r>
      <w:r w:rsidR="008103AD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</w:r>
      <w:r w:rsidR="008103AD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fldChar w:fldCharType="separate"/>
      </w:r>
      <w:r w:rsidR="008103AD" w:rsidRPr="008103AD">
        <w:rPr>
          <w:rStyle w:val="Hyperlink"/>
          <w:rFonts w:ascii="Segoe UI" w:eastAsia="Times New Roman" w:hAnsi="Segoe UI" w:cs="Segoe UI"/>
          <w:kern w:val="0"/>
          <w:lang w:eastAsia="en-AU"/>
          <w14:ligatures w14:val="none"/>
        </w:rPr>
        <w:t>Proposed regulatory changes for clinical trials of medical devices</w:t>
      </w:r>
      <w:r w:rsidR="008103AD"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  <w:fldChar w:fldCharType="end"/>
      </w:r>
      <w:bookmarkEnd w:id="0"/>
    </w:p>
    <w:p w14:paraId="58B4389B" w14:textId="6C7AE507" w:rsidR="00C40156" w:rsidRPr="003A7A56" w:rsidRDefault="00C40156" w:rsidP="00C40156">
      <w:pPr>
        <w:rPr>
          <w:rFonts w:ascii="Segoe UI" w:hAnsi="Segoe UI" w:cs="Segoe UI"/>
        </w:rPr>
      </w:pPr>
      <w:r w:rsidRPr="003A7A56">
        <w:rPr>
          <w:rFonts w:ascii="Segoe UI" w:hAnsi="Segoe UI" w:cs="Segoe UI"/>
        </w:rPr>
        <w:t xml:space="preserve">New guidance on the inspection process for medical devices </w:t>
      </w:r>
      <w:r w:rsidR="00851FF5">
        <w:rPr>
          <w:rFonts w:ascii="Segoe UI" w:hAnsi="Segoe UI" w:cs="Segoe UI"/>
        </w:rPr>
        <w:t xml:space="preserve">will </w:t>
      </w:r>
      <w:r w:rsidR="00F66326">
        <w:rPr>
          <w:rFonts w:ascii="Segoe UI" w:hAnsi="Segoe UI" w:cs="Segoe UI"/>
        </w:rPr>
        <w:t xml:space="preserve">soon </w:t>
      </w:r>
      <w:r w:rsidR="00851FF5">
        <w:rPr>
          <w:rFonts w:ascii="Segoe UI" w:hAnsi="Segoe UI" w:cs="Segoe UI"/>
        </w:rPr>
        <w:t>be</w:t>
      </w:r>
      <w:r w:rsidRPr="003A7A56">
        <w:rPr>
          <w:rFonts w:ascii="Segoe UI" w:hAnsi="Segoe UI" w:cs="Segoe UI"/>
        </w:rPr>
        <w:t xml:space="preserve"> available. </w:t>
      </w:r>
    </w:p>
    <w:p w14:paraId="7C83F4D9" w14:textId="77777777" w:rsidR="00C40156" w:rsidRPr="00EC0C38" w:rsidRDefault="00C40156" w:rsidP="00EC0C3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13131"/>
          <w:kern w:val="0"/>
          <w:lang w:eastAsia="en-AU"/>
          <w14:ligatures w14:val="none"/>
        </w:rPr>
      </w:pPr>
    </w:p>
    <w:p w14:paraId="6828253E" w14:textId="77777777" w:rsidR="00C2492B" w:rsidRPr="00BA0347" w:rsidRDefault="00EC0C38" w:rsidP="00C2492B">
      <w:pPr>
        <w:shd w:val="clear" w:color="auto" w:fill="FFFFFF"/>
        <w:spacing w:after="336" w:line="240" w:lineRule="auto"/>
        <w:rPr>
          <w:rFonts w:ascii="Segoe UI" w:eastAsia="Times New Roman" w:hAnsi="Segoe UI" w:cs="Segoe UI"/>
          <w:color w:val="242424"/>
          <w:kern w:val="0"/>
          <w:sz w:val="27"/>
          <w:szCs w:val="27"/>
          <w:lang w:eastAsia="en-AU"/>
          <w14:ligatures w14:val="none"/>
        </w:rPr>
      </w:pPr>
      <w:r w:rsidRPr="00EC0C38">
        <w:rPr>
          <w:rFonts w:ascii="Segoe UI" w:eastAsia="Times New Roman" w:hAnsi="Segoe UI" w:cs="Segoe UI"/>
          <w:b/>
          <w:bCs/>
          <w:color w:val="313131"/>
          <w:kern w:val="0"/>
          <w:lang w:eastAsia="en-AU"/>
          <w14:ligatures w14:val="none"/>
        </w:rPr>
        <w:t>Topics</w:t>
      </w:r>
      <w:r w:rsidR="00C2492B">
        <w:rPr>
          <w:rFonts w:ascii="Segoe UI" w:eastAsia="Times New Roman" w:hAnsi="Segoe UI" w:cs="Segoe UI"/>
          <w:b/>
          <w:bCs/>
          <w:color w:val="313131"/>
          <w:kern w:val="0"/>
          <w:lang w:eastAsia="en-AU"/>
          <w14:ligatures w14:val="none"/>
        </w:rPr>
        <w:br/>
      </w:r>
      <w:r w:rsidR="00C2492B" w:rsidRPr="00BA0347">
        <w:rPr>
          <w:rFonts w:ascii="Segoe UI" w:eastAsia="Times New Roman" w:hAnsi="Segoe UI" w:cs="Segoe UI"/>
          <w:color w:val="242424"/>
          <w:kern w:val="0"/>
          <w:sz w:val="27"/>
          <w:szCs w:val="27"/>
          <w:lang w:eastAsia="en-AU"/>
          <w14:ligatures w14:val="none"/>
        </w:rPr>
        <w:t>Clinical trials</w:t>
      </w:r>
    </w:p>
    <w:p w14:paraId="0FFD2505" w14:textId="672999EE" w:rsidR="00EC0C38" w:rsidRPr="00EC0C38" w:rsidRDefault="00EC0C38" w:rsidP="00EC0C3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13131"/>
          <w:kern w:val="0"/>
          <w:lang w:eastAsia="en-AU"/>
          <w14:ligatures w14:val="none"/>
        </w:rPr>
      </w:pPr>
    </w:p>
    <w:p w14:paraId="5F9B3CF4" w14:textId="77777777" w:rsidR="00280050" w:rsidRDefault="00280050"/>
    <w:sectPr w:rsidR="00280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5FCC"/>
    <w:multiLevelType w:val="multilevel"/>
    <w:tmpl w:val="E21E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1050C"/>
    <w:multiLevelType w:val="hybridMultilevel"/>
    <w:tmpl w:val="11B6E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70D"/>
    <w:multiLevelType w:val="hybridMultilevel"/>
    <w:tmpl w:val="56E4D4A6"/>
    <w:lvl w:ilvl="0" w:tplc="756E92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3693"/>
    <w:multiLevelType w:val="hybridMultilevel"/>
    <w:tmpl w:val="A2809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5987"/>
    <w:multiLevelType w:val="hybridMultilevel"/>
    <w:tmpl w:val="FA44A6AC"/>
    <w:lvl w:ilvl="0" w:tplc="FEA0F23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F32C1"/>
    <w:multiLevelType w:val="hybridMultilevel"/>
    <w:tmpl w:val="B2783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62C67"/>
    <w:multiLevelType w:val="multilevel"/>
    <w:tmpl w:val="6AE8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C27D4"/>
    <w:multiLevelType w:val="hybridMultilevel"/>
    <w:tmpl w:val="3DDEEC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02104"/>
    <w:multiLevelType w:val="hybridMultilevel"/>
    <w:tmpl w:val="7BF4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C1CF3"/>
    <w:multiLevelType w:val="hybridMultilevel"/>
    <w:tmpl w:val="DEF4D764"/>
    <w:lvl w:ilvl="0" w:tplc="1F080060">
      <w:numFmt w:val="bullet"/>
      <w:lvlText w:val="-"/>
      <w:lvlJc w:val="left"/>
      <w:pPr>
        <w:ind w:left="1800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4140224">
    <w:abstractNumId w:val="6"/>
  </w:num>
  <w:num w:numId="2" w16cid:durableId="29033837">
    <w:abstractNumId w:val="0"/>
  </w:num>
  <w:num w:numId="3" w16cid:durableId="185561733">
    <w:abstractNumId w:val="2"/>
  </w:num>
  <w:num w:numId="4" w16cid:durableId="626620912">
    <w:abstractNumId w:val="7"/>
  </w:num>
  <w:num w:numId="5" w16cid:durableId="969626187">
    <w:abstractNumId w:val="1"/>
  </w:num>
  <w:num w:numId="6" w16cid:durableId="1473055058">
    <w:abstractNumId w:val="4"/>
  </w:num>
  <w:num w:numId="7" w16cid:durableId="1206211186">
    <w:abstractNumId w:val="3"/>
  </w:num>
  <w:num w:numId="8" w16cid:durableId="239946463">
    <w:abstractNumId w:val="9"/>
  </w:num>
  <w:num w:numId="9" w16cid:durableId="1282882198">
    <w:abstractNumId w:val="8"/>
  </w:num>
  <w:num w:numId="10" w16cid:durableId="1008210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38"/>
    <w:rsid w:val="000179B2"/>
    <w:rsid w:val="00072E4D"/>
    <w:rsid w:val="00074545"/>
    <w:rsid w:val="00080990"/>
    <w:rsid w:val="000B3CD1"/>
    <w:rsid w:val="000E03CC"/>
    <w:rsid w:val="00155293"/>
    <w:rsid w:val="0016155B"/>
    <w:rsid w:val="001C570F"/>
    <w:rsid w:val="002721F1"/>
    <w:rsid w:val="00280050"/>
    <w:rsid w:val="0028465C"/>
    <w:rsid w:val="00293884"/>
    <w:rsid w:val="002B01CE"/>
    <w:rsid w:val="002B5123"/>
    <w:rsid w:val="002F18C6"/>
    <w:rsid w:val="00370FD2"/>
    <w:rsid w:val="00381C05"/>
    <w:rsid w:val="00397043"/>
    <w:rsid w:val="003978F8"/>
    <w:rsid w:val="003C1D62"/>
    <w:rsid w:val="003C7FE3"/>
    <w:rsid w:val="003F02E6"/>
    <w:rsid w:val="0040275E"/>
    <w:rsid w:val="00440384"/>
    <w:rsid w:val="00447D34"/>
    <w:rsid w:val="0045061B"/>
    <w:rsid w:val="0045748E"/>
    <w:rsid w:val="0046744C"/>
    <w:rsid w:val="00472B4F"/>
    <w:rsid w:val="00496D9E"/>
    <w:rsid w:val="004D673D"/>
    <w:rsid w:val="004E3926"/>
    <w:rsid w:val="004F6095"/>
    <w:rsid w:val="004F7D8A"/>
    <w:rsid w:val="005006B4"/>
    <w:rsid w:val="00500BDE"/>
    <w:rsid w:val="0059054C"/>
    <w:rsid w:val="005B29F5"/>
    <w:rsid w:val="0062370B"/>
    <w:rsid w:val="00623D97"/>
    <w:rsid w:val="00644730"/>
    <w:rsid w:val="00672D89"/>
    <w:rsid w:val="0068737D"/>
    <w:rsid w:val="006D7AA3"/>
    <w:rsid w:val="00727D13"/>
    <w:rsid w:val="00734C2D"/>
    <w:rsid w:val="00741762"/>
    <w:rsid w:val="00750812"/>
    <w:rsid w:val="007576D6"/>
    <w:rsid w:val="007658CA"/>
    <w:rsid w:val="00783FD7"/>
    <w:rsid w:val="007846C5"/>
    <w:rsid w:val="007A3D53"/>
    <w:rsid w:val="007C31F6"/>
    <w:rsid w:val="007D23FD"/>
    <w:rsid w:val="007E3A89"/>
    <w:rsid w:val="007E3DB3"/>
    <w:rsid w:val="00803349"/>
    <w:rsid w:val="008103AD"/>
    <w:rsid w:val="00812975"/>
    <w:rsid w:val="00824F0F"/>
    <w:rsid w:val="008335E3"/>
    <w:rsid w:val="008478EF"/>
    <w:rsid w:val="00851FF5"/>
    <w:rsid w:val="00887CC9"/>
    <w:rsid w:val="00895E29"/>
    <w:rsid w:val="008D02A0"/>
    <w:rsid w:val="008E68BB"/>
    <w:rsid w:val="009560D2"/>
    <w:rsid w:val="009612EB"/>
    <w:rsid w:val="0096768D"/>
    <w:rsid w:val="00982CC0"/>
    <w:rsid w:val="009D7327"/>
    <w:rsid w:val="009F157A"/>
    <w:rsid w:val="00A4072B"/>
    <w:rsid w:val="00A75A04"/>
    <w:rsid w:val="00AA7280"/>
    <w:rsid w:val="00AB1554"/>
    <w:rsid w:val="00AB3B87"/>
    <w:rsid w:val="00AC0024"/>
    <w:rsid w:val="00AC5F50"/>
    <w:rsid w:val="00AD0FC4"/>
    <w:rsid w:val="00AF00A6"/>
    <w:rsid w:val="00AF14C4"/>
    <w:rsid w:val="00B06C25"/>
    <w:rsid w:val="00B11B5B"/>
    <w:rsid w:val="00B1389A"/>
    <w:rsid w:val="00B32AD3"/>
    <w:rsid w:val="00B5156A"/>
    <w:rsid w:val="00B57452"/>
    <w:rsid w:val="00BD79F1"/>
    <w:rsid w:val="00BE4BDA"/>
    <w:rsid w:val="00BE74B3"/>
    <w:rsid w:val="00C20E8E"/>
    <w:rsid w:val="00C2492B"/>
    <w:rsid w:val="00C40156"/>
    <w:rsid w:val="00C5790D"/>
    <w:rsid w:val="00C666F9"/>
    <w:rsid w:val="00C74F62"/>
    <w:rsid w:val="00C83015"/>
    <w:rsid w:val="00C857F1"/>
    <w:rsid w:val="00C913ED"/>
    <w:rsid w:val="00CF3CC8"/>
    <w:rsid w:val="00CF7FB5"/>
    <w:rsid w:val="00D06CB0"/>
    <w:rsid w:val="00D070E8"/>
    <w:rsid w:val="00D336DB"/>
    <w:rsid w:val="00D7224E"/>
    <w:rsid w:val="00DA09AD"/>
    <w:rsid w:val="00E01BE2"/>
    <w:rsid w:val="00E22252"/>
    <w:rsid w:val="00E2744D"/>
    <w:rsid w:val="00E37980"/>
    <w:rsid w:val="00E928CF"/>
    <w:rsid w:val="00EB7B3F"/>
    <w:rsid w:val="00EC0C38"/>
    <w:rsid w:val="00F14D6C"/>
    <w:rsid w:val="00F30E37"/>
    <w:rsid w:val="00F66326"/>
    <w:rsid w:val="00F81A4F"/>
    <w:rsid w:val="00F94EE4"/>
    <w:rsid w:val="00FA639E"/>
    <w:rsid w:val="00FB646B"/>
    <w:rsid w:val="00FC12B5"/>
    <w:rsid w:val="00FC358A"/>
    <w:rsid w:val="00FC458D"/>
    <w:rsid w:val="00FD4EF5"/>
    <w:rsid w:val="00FE6081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0B03"/>
  <w15:chartTrackingRefBased/>
  <w15:docId w15:val="{ACB3D69D-9B2C-455C-A7EC-B1B132D2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0C3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en-A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C38"/>
    <w:rPr>
      <w:rFonts w:eastAsia="Times New Roman"/>
      <w:b/>
      <w:bCs/>
      <w:kern w:val="36"/>
      <w:sz w:val="48"/>
      <w:szCs w:val="48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EC0C38"/>
    <w:rPr>
      <w:color w:val="0000FF"/>
      <w:u w:val="single"/>
    </w:rPr>
  </w:style>
  <w:style w:type="character" w:customStyle="1" w:styleId="health-filelink--visible">
    <w:name w:val="health-file__link--visible"/>
    <w:basedOn w:val="DefaultParagraphFont"/>
    <w:rsid w:val="00EC0C38"/>
  </w:style>
  <w:style w:type="character" w:customStyle="1" w:styleId="sr-only">
    <w:name w:val="sr-only"/>
    <w:basedOn w:val="DefaultParagraphFont"/>
    <w:rsid w:val="00EC0C38"/>
  </w:style>
  <w:style w:type="character" w:styleId="CommentReference">
    <w:name w:val="annotation reference"/>
    <w:basedOn w:val="DefaultParagraphFont"/>
    <w:unhideWhenUsed/>
    <w:rsid w:val="00EC0C38"/>
  </w:style>
  <w:style w:type="character" w:styleId="Emphasis">
    <w:name w:val="Emphasis"/>
    <w:basedOn w:val="DefaultParagraphFont"/>
    <w:uiPriority w:val="20"/>
    <w:qFormat/>
    <w:rsid w:val="00EC0C38"/>
    <w:rPr>
      <w:i/>
      <w:iCs/>
    </w:rPr>
  </w:style>
  <w:style w:type="paragraph" w:customStyle="1" w:styleId="fielditem">
    <w:name w:val="field__item"/>
    <w:basedOn w:val="Normal"/>
    <w:rsid w:val="00EC0C38"/>
    <w:pPr>
      <w:spacing w:before="100" w:beforeAutospacing="1" w:after="100" w:afterAutospacing="1" w:line="240" w:lineRule="auto"/>
    </w:pPr>
    <w:rPr>
      <w:rFonts w:eastAsia="Times New Roman"/>
      <w:kern w:val="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C0C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aliases w:val="Recommendation,L,List Paragraph1,List Paragraph11,bullet point list,1 heading,Bullet point,Dot point 1.5 line spacing,List Paragraph - bullets,NFP GP Bulleted List,List Paragraph2,FooterText,Bullet List,numbered,Paragraphe de liste1,列出段落"/>
    <w:basedOn w:val="Normal"/>
    <w:link w:val="ListParagraphChar"/>
    <w:uiPriority w:val="34"/>
    <w:qFormat/>
    <w:rsid w:val="00EC0C38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Recommendation Char,L Char,List Paragraph1 Char,List Paragraph11 Char,bullet point list Char,1 heading Char,Bullet point Char,Dot point 1.5 line spacing Char,List Paragraph - bullets Char,NFP GP Bulleted List Char,FooterText Char"/>
    <w:link w:val="ListParagraph"/>
    <w:uiPriority w:val="34"/>
    <w:qFormat/>
    <w:locked/>
    <w:rsid w:val="00EC0C38"/>
    <w:rPr>
      <w:kern w:val="0"/>
      <w14:ligatures w14:val="none"/>
    </w:rPr>
  </w:style>
  <w:style w:type="paragraph" w:styleId="CommentText">
    <w:name w:val="annotation text"/>
    <w:basedOn w:val="Normal"/>
    <w:link w:val="CommentTextChar"/>
    <w:unhideWhenUsed/>
    <w:rsid w:val="00EC0C38"/>
    <w:pPr>
      <w:spacing w:line="240" w:lineRule="auto"/>
    </w:pPr>
    <w:rPr>
      <w:rFonts w:ascii="Cambria" w:hAnsi="Cambr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EC0C38"/>
    <w:rPr>
      <w:rFonts w:ascii="Cambria" w:hAnsi="Cambria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C7FE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560D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3E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44D"/>
    <w:rPr>
      <w:rFonts w:ascii="Times New Roman" w:hAnsi="Times New Roman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44D"/>
    <w:rPr>
      <w:rFonts w:ascii="Cambria" w:hAnsi="Cambr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30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1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8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39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4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70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8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12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7302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8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ga.gov.au/resources/publication/publications/medical-devices-reforms-action-plan-medical-de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PITTMAN, Abby</dc:creator>
  <cp:keywords/>
  <dc:description/>
  <cp:lastModifiedBy>CHAN, Edwina</cp:lastModifiedBy>
  <cp:revision>2</cp:revision>
  <dcterms:created xsi:type="dcterms:W3CDTF">2024-03-13T22:55:00Z</dcterms:created>
  <dcterms:modified xsi:type="dcterms:W3CDTF">2024-03-13T22:55:00Z</dcterms:modified>
</cp:coreProperties>
</file>