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87C4D" w14:textId="77777777" w:rsidR="00F02AEC" w:rsidRDefault="00F02AEC" w:rsidP="00C417B6">
      <w:bookmarkStart w:id="0" w:name="_Hlk165881389"/>
    </w:p>
    <w:p w14:paraId="0A85785B" w14:textId="77777777" w:rsidR="00F57320" w:rsidRPr="00F57320" w:rsidRDefault="00F57320" w:rsidP="00F57320"/>
    <w:p w14:paraId="3D67017E" w14:textId="6D74D2D6" w:rsidR="003D51C5" w:rsidRDefault="00F57320" w:rsidP="003D51C5">
      <w:pPr>
        <w:pStyle w:val="Title"/>
      </w:pPr>
      <w:r>
        <w:t>Consultation: Proposed amendments to the Poisons Standard –</w:t>
      </w:r>
      <w:r w:rsidR="004C3D8D">
        <w:t xml:space="preserve"> </w:t>
      </w:r>
      <w:r w:rsidR="0007006A">
        <w:t>ACCS #</w:t>
      </w:r>
      <w:r w:rsidR="006C6545">
        <w:t>4</w:t>
      </w:r>
      <w:r w:rsidR="2C6C3236">
        <w:t>3</w:t>
      </w:r>
      <w:r>
        <w:t xml:space="preserve"> meetin</w:t>
      </w:r>
      <w:r w:rsidR="00A170DF">
        <w:t>g</w:t>
      </w:r>
      <w:r>
        <w:t xml:space="preserve">, </w:t>
      </w:r>
      <w:r w:rsidR="00517110">
        <w:t>November</w:t>
      </w:r>
      <w:r>
        <w:t xml:space="preserve"> 20</w:t>
      </w:r>
      <w:r w:rsidR="00517110">
        <w:t>26</w:t>
      </w:r>
    </w:p>
    <w:p w14:paraId="33B10EB9" w14:textId="548C1B9B" w:rsidR="003D51C5" w:rsidRPr="00F57320" w:rsidRDefault="00750FC2" w:rsidP="00097246">
      <w:pPr>
        <w:pStyle w:val="Subtitle"/>
        <w:ind w:left="0"/>
        <w:sectPr w:rsidR="003D51C5" w:rsidRPr="00F57320" w:rsidSect="000D6BB2">
          <w:headerReference w:type="even" r:id="rId11"/>
          <w:headerReference w:type="default" r:id="rId12"/>
          <w:footerReference w:type="even" r:id="rId13"/>
          <w:footerReference w:type="default" r:id="rId14"/>
          <w:headerReference w:type="first" r:id="rId15"/>
          <w:footerReference w:type="first" r:id="rId16"/>
          <w:pgSz w:w="11906" w:h="16838"/>
          <w:pgMar w:top="1006" w:right="1440" w:bottom="1440" w:left="1440" w:header="708" w:footer="708" w:gutter="0"/>
          <w:cols w:space="708"/>
          <w:titlePg/>
          <w:docGrid w:linePitch="360"/>
        </w:sectPr>
      </w:pPr>
      <w:r w:rsidRPr="00750FC2">
        <w:t>11</w:t>
      </w:r>
      <w:r w:rsidR="00F41EC8" w:rsidRPr="00750FC2">
        <w:t xml:space="preserve"> </w:t>
      </w:r>
      <w:r w:rsidR="20AF88CC" w:rsidRPr="00750FC2">
        <w:t>September</w:t>
      </w:r>
      <w:r w:rsidR="00F41EC8" w:rsidRPr="00750FC2">
        <w:t xml:space="preserve"> 20</w:t>
      </w:r>
      <w:r w:rsidR="76043DE7" w:rsidRPr="00750FC2">
        <w:t>26</w:t>
      </w:r>
    </w:p>
    <w:p w14:paraId="2A8EA1C8" w14:textId="77777777" w:rsidR="00F02AEC" w:rsidRPr="00BF2FE0" w:rsidRDefault="00F02AEC" w:rsidP="00BF2FE0">
      <w:pPr>
        <w:pStyle w:val="LegalSubheading"/>
        <w:rPr>
          <w:b/>
          <w:bCs/>
        </w:rPr>
      </w:pPr>
      <w:bookmarkStart w:id="1" w:name="_Hlk139891783"/>
      <w:r w:rsidRPr="00BF2FE0">
        <w:rPr>
          <w:b/>
          <w:bCs/>
        </w:rPr>
        <w:lastRenderedPageBreak/>
        <w:t>Copyright</w:t>
      </w:r>
    </w:p>
    <w:p w14:paraId="3CE12F94" w14:textId="74045530" w:rsidR="00930D58" w:rsidRPr="00C417B6" w:rsidRDefault="00F02AEC" w:rsidP="00BF2FE0">
      <w:pPr>
        <w:pStyle w:val="LegalSubheading"/>
      </w:pPr>
      <w:r w:rsidRPr="00C417B6">
        <w:t>© Commonwealth of Australia 202</w:t>
      </w:r>
      <w:r w:rsidR="00015F8D">
        <w:t>6</w:t>
      </w:r>
      <w:r w:rsidRPr="00C417B6">
        <w:br/>
        <w:t xml:space="preserve">This work is copyright. You may reproduce the whole or part of this work in unaltered form for your own personal use or, if you are part of an organisation, for internal use within your organisation, but only if you or your organisation do not use the reproduction for any commercial purpose and retain this copyright notice and all disclaimer notices as part of that reproduction. Apart from rights to use as permitted by the Copyright Act 1968 or allowed by this copyright notice, all other rights are reserved and you are not allowed to reproduce the whole or any part of this work in any way (electronic or otherwise) without first being given specific written permission from the Commonwealth to do so. Requests and inquiries concerning reproduction and rights are to be sent to the TGA Copyright Officer, Therapeutic Goods Administration, PO Box 100, Woden ACT 2606 or emailed to </w:t>
      </w:r>
      <w:hyperlink r:id="rId17" w:history="1">
        <w:r w:rsidR="005A5D61" w:rsidRPr="00B907E5">
          <w:rPr>
            <w:rStyle w:val="Hyperlink"/>
          </w:rPr>
          <w:t>tga.copyright@tga.gov.au</w:t>
        </w:r>
      </w:hyperlink>
      <w:r w:rsidRPr="00C417B6">
        <w:t>.</w:t>
      </w:r>
    </w:p>
    <w:p w14:paraId="25EB03E7" w14:textId="77777777" w:rsidR="00175CD8" w:rsidRPr="00C417B6" w:rsidRDefault="00175CD8" w:rsidP="00C417B6"/>
    <w:p w14:paraId="4401852B" w14:textId="77777777" w:rsidR="0088292E" w:rsidRPr="00BF2FE0" w:rsidRDefault="0088292E" w:rsidP="00BF2FE0">
      <w:pPr>
        <w:pStyle w:val="LegalSubheading"/>
        <w:rPr>
          <w:b/>
          <w:bCs/>
        </w:rPr>
      </w:pPr>
      <w:bookmarkStart w:id="2" w:name="_Hlk139901247"/>
      <w:r w:rsidRPr="00BF2FE0">
        <w:rPr>
          <w:b/>
          <w:bCs/>
        </w:rPr>
        <w:t>Confidentiality</w:t>
      </w:r>
    </w:p>
    <w:p w14:paraId="095E8AB5" w14:textId="77777777" w:rsidR="00BF2FE0" w:rsidRDefault="0088292E" w:rsidP="00F41EC8">
      <w:pPr>
        <w:pStyle w:val="LegalSubheading"/>
      </w:pPr>
      <w:r w:rsidRPr="00C417B6">
        <w:t>All submissions received will be placed on the TGA’s Internet site, unless marked confidential. Any confidential material contained within your submission should be provided under a separate cover and clearly marked “IN CONFIDENCE”. Reasons for a claim to confidentiality must be included in the space provided on the TGA submission form. For submission made by individuals, all personal details, other than your name, will be removed from your submission before it is published on the TGA’s Internet site. In addition, a list of parties making submissions will be published. If you do not wish to be identified with your submission you must specifically request this in the space provided on the submission form.</w:t>
      </w:r>
      <w:bookmarkEnd w:id="2"/>
    </w:p>
    <w:p w14:paraId="0AFBEB31" w14:textId="77777777" w:rsidR="0088292E" w:rsidRPr="00C417B6" w:rsidRDefault="0088292E" w:rsidP="00C417B6"/>
    <w:bookmarkEnd w:id="1" w:displacedByCustomXml="next"/>
    <w:bookmarkStart w:id="3" w:name="_Hlk139892237" w:displacedByCustomXml="next"/>
    <w:sdt>
      <w:sdtPr>
        <w:rPr>
          <w:rFonts w:eastAsiaTheme="minorEastAsia" w:cstheme="minorBidi"/>
          <w:b w:val="0"/>
          <w:color w:val="auto"/>
          <w:sz w:val="20"/>
        </w:rPr>
        <w:id w:val="21514769"/>
        <w:docPartObj>
          <w:docPartGallery w:val="Table of Contents"/>
          <w:docPartUnique/>
        </w:docPartObj>
      </w:sdtPr>
      <w:sdtContent>
        <w:p w14:paraId="7D7A7B6F" w14:textId="77777777" w:rsidR="00F02AEC" w:rsidRPr="00C417B6" w:rsidRDefault="00F02AEC" w:rsidP="00F41EC8">
          <w:pPr>
            <w:pStyle w:val="NonTOCheading2"/>
          </w:pPr>
          <w:r w:rsidRPr="00C417B6">
            <w:t>Contents</w:t>
          </w:r>
        </w:p>
        <w:p w14:paraId="487D3C2C" w14:textId="1B709113" w:rsidR="00750FC2" w:rsidRDefault="00F02AEC">
          <w:pPr>
            <w:pStyle w:val="TOC1"/>
            <w:rPr>
              <w:rFonts w:asciiTheme="minorHAnsi" w:eastAsiaTheme="minorEastAsia" w:hAnsiTheme="minorHAnsi" w:cstheme="minorBidi"/>
              <w:b w:val="0"/>
              <w:noProof/>
              <w:color w:val="auto"/>
              <w:kern w:val="2"/>
              <w:sz w:val="24"/>
              <w:szCs w:val="24"/>
              <w:lang w:eastAsia="en-AU"/>
              <w14:ligatures w14:val="standardContextual"/>
            </w:rPr>
          </w:pPr>
          <w:r w:rsidRPr="00C417B6">
            <w:fldChar w:fldCharType="begin"/>
          </w:r>
          <w:r w:rsidRPr="00C417B6">
            <w:instrText xml:space="preserve"> TOC \h \z \u \t "Heading 2,1,Heading 3,2,Heading 4,3" </w:instrText>
          </w:r>
          <w:r w:rsidRPr="00C417B6">
            <w:fldChar w:fldCharType="separate"/>
          </w:r>
          <w:hyperlink w:anchor="_Toc239945878" w:history="1">
            <w:r w:rsidR="00750FC2" w:rsidRPr="0029322D">
              <w:rPr>
                <w:rStyle w:val="Hyperlink"/>
                <w:noProof/>
              </w:rPr>
              <w:t>About this consultation</w:t>
            </w:r>
            <w:r w:rsidR="00750FC2">
              <w:rPr>
                <w:noProof/>
                <w:webHidden/>
              </w:rPr>
              <w:tab/>
            </w:r>
            <w:r w:rsidR="00750FC2">
              <w:rPr>
                <w:noProof/>
                <w:webHidden/>
              </w:rPr>
              <w:fldChar w:fldCharType="begin"/>
            </w:r>
            <w:r w:rsidR="00750FC2">
              <w:rPr>
                <w:noProof/>
                <w:webHidden/>
              </w:rPr>
              <w:instrText xml:space="preserve"> PAGEREF _Toc239945878 \h </w:instrText>
            </w:r>
            <w:r w:rsidR="00750FC2">
              <w:rPr>
                <w:noProof/>
                <w:webHidden/>
              </w:rPr>
            </w:r>
            <w:r w:rsidR="00750FC2">
              <w:rPr>
                <w:noProof/>
                <w:webHidden/>
              </w:rPr>
              <w:fldChar w:fldCharType="separate"/>
            </w:r>
            <w:r w:rsidR="00750FC2">
              <w:rPr>
                <w:noProof/>
                <w:webHidden/>
              </w:rPr>
              <w:t>4</w:t>
            </w:r>
            <w:r w:rsidR="00750FC2">
              <w:rPr>
                <w:noProof/>
                <w:webHidden/>
              </w:rPr>
              <w:fldChar w:fldCharType="end"/>
            </w:r>
          </w:hyperlink>
        </w:p>
        <w:p w14:paraId="077A35CF" w14:textId="176D6815" w:rsidR="00750FC2" w:rsidRDefault="00750FC2">
          <w:pPr>
            <w:pStyle w:val="TOC1"/>
            <w:tabs>
              <w:tab w:val="left" w:pos="425"/>
            </w:tabs>
            <w:rPr>
              <w:rFonts w:asciiTheme="minorHAnsi" w:eastAsiaTheme="minorEastAsia" w:hAnsiTheme="minorHAnsi" w:cstheme="minorBidi"/>
              <w:b w:val="0"/>
              <w:noProof/>
              <w:color w:val="auto"/>
              <w:kern w:val="2"/>
              <w:sz w:val="24"/>
              <w:szCs w:val="24"/>
              <w:lang w:eastAsia="en-AU"/>
              <w14:ligatures w14:val="standardContextual"/>
            </w:rPr>
          </w:pPr>
          <w:hyperlink w:anchor="_Toc239945879" w:history="1">
            <w:r w:rsidRPr="0029322D">
              <w:rPr>
                <w:rStyle w:val="Hyperlink"/>
                <w:noProof/>
              </w:rPr>
              <w:t>1</w:t>
            </w:r>
            <w:r>
              <w:rPr>
                <w:rFonts w:asciiTheme="minorHAnsi" w:eastAsiaTheme="minorEastAsia" w:hAnsiTheme="minorHAnsi" w:cstheme="minorBidi"/>
                <w:b w:val="0"/>
                <w:noProof/>
                <w:color w:val="auto"/>
                <w:kern w:val="2"/>
                <w:sz w:val="24"/>
                <w:szCs w:val="24"/>
                <w:lang w:eastAsia="en-AU"/>
                <w14:ligatures w14:val="standardContextual"/>
              </w:rPr>
              <w:tab/>
            </w:r>
            <w:r w:rsidRPr="0029322D">
              <w:rPr>
                <w:rStyle w:val="Hyperlink"/>
                <w:noProof/>
              </w:rPr>
              <w:t>Proposed amendments referred for scheduling advice to ACCS meeting #43</w:t>
            </w:r>
            <w:r>
              <w:rPr>
                <w:noProof/>
                <w:webHidden/>
              </w:rPr>
              <w:tab/>
            </w:r>
            <w:r>
              <w:rPr>
                <w:noProof/>
                <w:webHidden/>
              </w:rPr>
              <w:fldChar w:fldCharType="begin"/>
            </w:r>
            <w:r>
              <w:rPr>
                <w:noProof/>
                <w:webHidden/>
              </w:rPr>
              <w:instrText xml:space="preserve"> PAGEREF _Toc239945879 \h </w:instrText>
            </w:r>
            <w:r>
              <w:rPr>
                <w:noProof/>
                <w:webHidden/>
              </w:rPr>
            </w:r>
            <w:r>
              <w:rPr>
                <w:noProof/>
                <w:webHidden/>
              </w:rPr>
              <w:fldChar w:fldCharType="separate"/>
            </w:r>
            <w:r>
              <w:rPr>
                <w:noProof/>
                <w:webHidden/>
              </w:rPr>
              <w:t>5</w:t>
            </w:r>
            <w:r>
              <w:rPr>
                <w:noProof/>
                <w:webHidden/>
              </w:rPr>
              <w:fldChar w:fldCharType="end"/>
            </w:r>
          </w:hyperlink>
        </w:p>
        <w:p w14:paraId="766F0729" w14:textId="0C27A0F3" w:rsidR="00750FC2" w:rsidRDefault="00750FC2">
          <w:pPr>
            <w:pStyle w:val="TOC2"/>
            <w:tabs>
              <w:tab w:val="left" w:pos="1276"/>
            </w:tabs>
            <w:rPr>
              <w:rFonts w:asciiTheme="minorHAnsi" w:eastAsiaTheme="minorEastAsia" w:hAnsiTheme="minorHAnsi" w:cstheme="minorBidi"/>
              <w:noProof/>
              <w:color w:val="auto"/>
              <w:kern w:val="2"/>
              <w:szCs w:val="24"/>
              <w:lang w:eastAsia="en-AU"/>
              <w14:ligatures w14:val="standardContextual"/>
            </w:rPr>
          </w:pPr>
          <w:hyperlink w:anchor="_Toc239945880" w:history="1">
            <w:r w:rsidRPr="0029322D">
              <w:rPr>
                <w:rStyle w:val="Hyperlink"/>
                <w:noProof/>
              </w:rPr>
              <w:t>1.1</w:t>
            </w:r>
            <w:r>
              <w:rPr>
                <w:rFonts w:asciiTheme="minorHAnsi" w:eastAsiaTheme="minorEastAsia" w:hAnsiTheme="minorHAnsi" w:cstheme="minorBidi"/>
                <w:noProof/>
                <w:color w:val="auto"/>
                <w:kern w:val="2"/>
                <w:szCs w:val="24"/>
                <w:lang w:eastAsia="en-AU"/>
                <w14:ligatures w14:val="standardContextual"/>
              </w:rPr>
              <w:tab/>
            </w:r>
            <w:r w:rsidRPr="0029322D">
              <w:rPr>
                <w:rStyle w:val="Hyperlink"/>
                <w:noProof/>
              </w:rPr>
              <w:t>Phenyl methyl ketone (acetophenone)</w:t>
            </w:r>
            <w:r>
              <w:rPr>
                <w:noProof/>
                <w:webHidden/>
              </w:rPr>
              <w:tab/>
            </w:r>
            <w:r>
              <w:rPr>
                <w:noProof/>
                <w:webHidden/>
              </w:rPr>
              <w:fldChar w:fldCharType="begin"/>
            </w:r>
            <w:r>
              <w:rPr>
                <w:noProof/>
                <w:webHidden/>
              </w:rPr>
              <w:instrText xml:space="preserve"> PAGEREF _Toc239945880 \h </w:instrText>
            </w:r>
            <w:r>
              <w:rPr>
                <w:noProof/>
                <w:webHidden/>
              </w:rPr>
            </w:r>
            <w:r>
              <w:rPr>
                <w:noProof/>
                <w:webHidden/>
              </w:rPr>
              <w:fldChar w:fldCharType="separate"/>
            </w:r>
            <w:r>
              <w:rPr>
                <w:noProof/>
                <w:webHidden/>
              </w:rPr>
              <w:t>5</w:t>
            </w:r>
            <w:r>
              <w:rPr>
                <w:noProof/>
                <w:webHidden/>
              </w:rPr>
              <w:fldChar w:fldCharType="end"/>
            </w:r>
          </w:hyperlink>
        </w:p>
        <w:p w14:paraId="1C729C3E" w14:textId="749CCEFC"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1" w:history="1">
            <w:r w:rsidRPr="0029322D">
              <w:rPr>
                <w:rStyle w:val="Hyperlink"/>
                <w:noProof/>
              </w:rPr>
              <w:t>Proposal</w:t>
            </w:r>
            <w:r>
              <w:rPr>
                <w:noProof/>
                <w:webHidden/>
              </w:rPr>
              <w:tab/>
            </w:r>
            <w:r>
              <w:rPr>
                <w:noProof/>
                <w:webHidden/>
              </w:rPr>
              <w:fldChar w:fldCharType="begin"/>
            </w:r>
            <w:r>
              <w:rPr>
                <w:noProof/>
                <w:webHidden/>
              </w:rPr>
              <w:instrText xml:space="preserve"> PAGEREF _Toc239945881 \h </w:instrText>
            </w:r>
            <w:r>
              <w:rPr>
                <w:noProof/>
                <w:webHidden/>
              </w:rPr>
            </w:r>
            <w:r>
              <w:rPr>
                <w:noProof/>
                <w:webHidden/>
              </w:rPr>
              <w:fldChar w:fldCharType="separate"/>
            </w:r>
            <w:r>
              <w:rPr>
                <w:noProof/>
                <w:webHidden/>
              </w:rPr>
              <w:t>5</w:t>
            </w:r>
            <w:r>
              <w:rPr>
                <w:noProof/>
                <w:webHidden/>
              </w:rPr>
              <w:fldChar w:fldCharType="end"/>
            </w:r>
          </w:hyperlink>
        </w:p>
        <w:p w14:paraId="73E0C32C" w14:textId="0C07DDC2"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2" w:history="1">
            <w:r w:rsidRPr="0029322D">
              <w:rPr>
                <w:rStyle w:val="Hyperlink"/>
                <w:noProof/>
              </w:rPr>
              <w:t>CAS Number</w:t>
            </w:r>
            <w:r>
              <w:rPr>
                <w:noProof/>
                <w:webHidden/>
              </w:rPr>
              <w:tab/>
            </w:r>
            <w:r>
              <w:rPr>
                <w:noProof/>
                <w:webHidden/>
              </w:rPr>
              <w:fldChar w:fldCharType="begin"/>
            </w:r>
            <w:r>
              <w:rPr>
                <w:noProof/>
                <w:webHidden/>
              </w:rPr>
              <w:instrText xml:space="preserve"> PAGEREF _Toc239945882 \h </w:instrText>
            </w:r>
            <w:r>
              <w:rPr>
                <w:noProof/>
                <w:webHidden/>
              </w:rPr>
            </w:r>
            <w:r>
              <w:rPr>
                <w:noProof/>
                <w:webHidden/>
              </w:rPr>
              <w:fldChar w:fldCharType="separate"/>
            </w:r>
            <w:r>
              <w:rPr>
                <w:noProof/>
                <w:webHidden/>
              </w:rPr>
              <w:t>5</w:t>
            </w:r>
            <w:r>
              <w:rPr>
                <w:noProof/>
                <w:webHidden/>
              </w:rPr>
              <w:fldChar w:fldCharType="end"/>
            </w:r>
          </w:hyperlink>
        </w:p>
        <w:p w14:paraId="10AC6839" w14:textId="4F815D5B"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3" w:history="1">
            <w:r w:rsidRPr="0029322D">
              <w:rPr>
                <w:rStyle w:val="Hyperlink"/>
                <w:noProof/>
              </w:rPr>
              <w:t>Alternative names</w:t>
            </w:r>
            <w:r>
              <w:rPr>
                <w:noProof/>
                <w:webHidden/>
              </w:rPr>
              <w:tab/>
            </w:r>
            <w:r>
              <w:rPr>
                <w:noProof/>
                <w:webHidden/>
              </w:rPr>
              <w:fldChar w:fldCharType="begin"/>
            </w:r>
            <w:r>
              <w:rPr>
                <w:noProof/>
                <w:webHidden/>
              </w:rPr>
              <w:instrText xml:space="preserve"> PAGEREF _Toc239945883 \h </w:instrText>
            </w:r>
            <w:r>
              <w:rPr>
                <w:noProof/>
                <w:webHidden/>
              </w:rPr>
            </w:r>
            <w:r>
              <w:rPr>
                <w:noProof/>
                <w:webHidden/>
              </w:rPr>
              <w:fldChar w:fldCharType="separate"/>
            </w:r>
            <w:r>
              <w:rPr>
                <w:noProof/>
                <w:webHidden/>
              </w:rPr>
              <w:t>5</w:t>
            </w:r>
            <w:r>
              <w:rPr>
                <w:noProof/>
                <w:webHidden/>
              </w:rPr>
              <w:fldChar w:fldCharType="end"/>
            </w:r>
          </w:hyperlink>
        </w:p>
        <w:p w14:paraId="41270249" w14:textId="3476EE75"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4" w:history="1">
            <w:r w:rsidRPr="0029322D">
              <w:rPr>
                <w:rStyle w:val="Hyperlink"/>
                <w:noProof/>
              </w:rPr>
              <w:t>Proposed Scheduling</w:t>
            </w:r>
            <w:r>
              <w:rPr>
                <w:noProof/>
                <w:webHidden/>
              </w:rPr>
              <w:tab/>
            </w:r>
            <w:r>
              <w:rPr>
                <w:noProof/>
                <w:webHidden/>
              </w:rPr>
              <w:fldChar w:fldCharType="begin"/>
            </w:r>
            <w:r>
              <w:rPr>
                <w:noProof/>
                <w:webHidden/>
              </w:rPr>
              <w:instrText xml:space="preserve"> PAGEREF _Toc239945884 \h </w:instrText>
            </w:r>
            <w:r>
              <w:rPr>
                <w:noProof/>
                <w:webHidden/>
              </w:rPr>
            </w:r>
            <w:r>
              <w:rPr>
                <w:noProof/>
                <w:webHidden/>
              </w:rPr>
              <w:fldChar w:fldCharType="separate"/>
            </w:r>
            <w:r>
              <w:rPr>
                <w:noProof/>
                <w:webHidden/>
              </w:rPr>
              <w:t>5</w:t>
            </w:r>
            <w:r>
              <w:rPr>
                <w:noProof/>
                <w:webHidden/>
              </w:rPr>
              <w:fldChar w:fldCharType="end"/>
            </w:r>
          </w:hyperlink>
        </w:p>
        <w:p w14:paraId="108F9179" w14:textId="09FFCB8C"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5" w:history="1">
            <w:r w:rsidRPr="0029322D">
              <w:rPr>
                <w:rStyle w:val="Hyperlink"/>
                <w:noProof/>
              </w:rPr>
              <w:t>Background</w:t>
            </w:r>
            <w:r>
              <w:rPr>
                <w:noProof/>
                <w:webHidden/>
              </w:rPr>
              <w:tab/>
            </w:r>
            <w:r>
              <w:rPr>
                <w:noProof/>
                <w:webHidden/>
              </w:rPr>
              <w:fldChar w:fldCharType="begin"/>
            </w:r>
            <w:r>
              <w:rPr>
                <w:noProof/>
                <w:webHidden/>
              </w:rPr>
              <w:instrText xml:space="preserve"> PAGEREF _Toc239945885 \h </w:instrText>
            </w:r>
            <w:r>
              <w:rPr>
                <w:noProof/>
                <w:webHidden/>
              </w:rPr>
            </w:r>
            <w:r>
              <w:rPr>
                <w:noProof/>
                <w:webHidden/>
              </w:rPr>
              <w:fldChar w:fldCharType="separate"/>
            </w:r>
            <w:r>
              <w:rPr>
                <w:noProof/>
                <w:webHidden/>
              </w:rPr>
              <w:t>6</w:t>
            </w:r>
            <w:r>
              <w:rPr>
                <w:noProof/>
                <w:webHidden/>
              </w:rPr>
              <w:fldChar w:fldCharType="end"/>
            </w:r>
          </w:hyperlink>
        </w:p>
        <w:p w14:paraId="6ECC9876" w14:textId="1F7A5B6C"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6" w:history="1">
            <w:r w:rsidRPr="0029322D">
              <w:rPr>
                <w:rStyle w:val="Hyperlink"/>
                <w:noProof/>
              </w:rPr>
              <w:t>Summary of reasons for the proposal</w:t>
            </w:r>
            <w:r>
              <w:rPr>
                <w:noProof/>
                <w:webHidden/>
              </w:rPr>
              <w:tab/>
            </w:r>
            <w:r>
              <w:rPr>
                <w:noProof/>
                <w:webHidden/>
              </w:rPr>
              <w:fldChar w:fldCharType="begin"/>
            </w:r>
            <w:r>
              <w:rPr>
                <w:noProof/>
                <w:webHidden/>
              </w:rPr>
              <w:instrText xml:space="preserve"> PAGEREF _Toc239945886 \h </w:instrText>
            </w:r>
            <w:r>
              <w:rPr>
                <w:noProof/>
                <w:webHidden/>
              </w:rPr>
            </w:r>
            <w:r>
              <w:rPr>
                <w:noProof/>
                <w:webHidden/>
              </w:rPr>
              <w:fldChar w:fldCharType="separate"/>
            </w:r>
            <w:r>
              <w:rPr>
                <w:noProof/>
                <w:webHidden/>
              </w:rPr>
              <w:t>6</w:t>
            </w:r>
            <w:r>
              <w:rPr>
                <w:noProof/>
                <w:webHidden/>
              </w:rPr>
              <w:fldChar w:fldCharType="end"/>
            </w:r>
          </w:hyperlink>
        </w:p>
        <w:p w14:paraId="3A01C7FA" w14:textId="330D5B47"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7" w:history="1">
            <w:r w:rsidRPr="0029322D">
              <w:rPr>
                <w:rStyle w:val="Hyperlink"/>
                <w:noProof/>
              </w:rPr>
              <w:t>Key uses / expected use</w:t>
            </w:r>
            <w:r>
              <w:rPr>
                <w:noProof/>
                <w:webHidden/>
              </w:rPr>
              <w:tab/>
            </w:r>
            <w:r>
              <w:rPr>
                <w:noProof/>
                <w:webHidden/>
              </w:rPr>
              <w:fldChar w:fldCharType="begin"/>
            </w:r>
            <w:r>
              <w:rPr>
                <w:noProof/>
                <w:webHidden/>
              </w:rPr>
              <w:instrText xml:space="preserve"> PAGEREF _Toc239945887 \h </w:instrText>
            </w:r>
            <w:r>
              <w:rPr>
                <w:noProof/>
                <w:webHidden/>
              </w:rPr>
            </w:r>
            <w:r>
              <w:rPr>
                <w:noProof/>
                <w:webHidden/>
              </w:rPr>
              <w:fldChar w:fldCharType="separate"/>
            </w:r>
            <w:r>
              <w:rPr>
                <w:noProof/>
                <w:webHidden/>
              </w:rPr>
              <w:t>6</w:t>
            </w:r>
            <w:r>
              <w:rPr>
                <w:noProof/>
                <w:webHidden/>
              </w:rPr>
              <w:fldChar w:fldCharType="end"/>
            </w:r>
          </w:hyperlink>
        </w:p>
        <w:p w14:paraId="716184E1" w14:textId="430FB53E"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8" w:history="1">
            <w:r w:rsidRPr="0029322D">
              <w:rPr>
                <w:rStyle w:val="Hyperlink"/>
                <w:noProof/>
              </w:rPr>
              <w:t>Australian regulations</w:t>
            </w:r>
            <w:r>
              <w:rPr>
                <w:noProof/>
                <w:webHidden/>
              </w:rPr>
              <w:tab/>
            </w:r>
            <w:r>
              <w:rPr>
                <w:noProof/>
                <w:webHidden/>
              </w:rPr>
              <w:fldChar w:fldCharType="begin"/>
            </w:r>
            <w:r>
              <w:rPr>
                <w:noProof/>
                <w:webHidden/>
              </w:rPr>
              <w:instrText xml:space="preserve"> PAGEREF _Toc239945888 \h </w:instrText>
            </w:r>
            <w:r>
              <w:rPr>
                <w:noProof/>
                <w:webHidden/>
              </w:rPr>
            </w:r>
            <w:r>
              <w:rPr>
                <w:noProof/>
                <w:webHidden/>
              </w:rPr>
              <w:fldChar w:fldCharType="separate"/>
            </w:r>
            <w:r>
              <w:rPr>
                <w:noProof/>
                <w:webHidden/>
              </w:rPr>
              <w:t>6</w:t>
            </w:r>
            <w:r>
              <w:rPr>
                <w:noProof/>
                <w:webHidden/>
              </w:rPr>
              <w:fldChar w:fldCharType="end"/>
            </w:r>
          </w:hyperlink>
        </w:p>
        <w:p w14:paraId="45339B62" w14:textId="07684778"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89" w:history="1">
            <w:r w:rsidRPr="0029322D">
              <w:rPr>
                <w:rStyle w:val="Hyperlink"/>
                <w:noProof/>
              </w:rPr>
              <w:t>International regulations</w:t>
            </w:r>
            <w:r>
              <w:rPr>
                <w:noProof/>
                <w:webHidden/>
              </w:rPr>
              <w:tab/>
            </w:r>
            <w:r>
              <w:rPr>
                <w:noProof/>
                <w:webHidden/>
              </w:rPr>
              <w:fldChar w:fldCharType="begin"/>
            </w:r>
            <w:r>
              <w:rPr>
                <w:noProof/>
                <w:webHidden/>
              </w:rPr>
              <w:instrText xml:space="preserve"> PAGEREF _Toc239945889 \h </w:instrText>
            </w:r>
            <w:r>
              <w:rPr>
                <w:noProof/>
                <w:webHidden/>
              </w:rPr>
            </w:r>
            <w:r>
              <w:rPr>
                <w:noProof/>
                <w:webHidden/>
              </w:rPr>
              <w:fldChar w:fldCharType="separate"/>
            </w:r>
            <w:r>
              <w:rPr>
                <w:noProof/>
                <w:webHidden/>
              </w:rPr>
              <w:t>7</w:t>
            </w:r>
            <w:r>
              <w:rPr>
                <w:noProof/>
                <w:webHidden/>
              </w:rPr>
              <w:fldChar w:fldCharType="end"/>
            </w:r>
          </w:hyperlink>
        </w:p>
        <w:p w14:paraId="67DCCAF4" w14:textId="48A7FFA7" w:rsidR="00750FC2" w:rsidRDefault="00750FC2">
          <w:pPr>
            <w:pStyle w:val="TOC2"/>
            <w:tabs>
              <w:tab w:val="left" w:pos="1276"/>
            </w:tabs>
            <w:rPr>
              <w:rFonts w:asciiTheme="minorHAnsi" w:eastAsiaTheme="minorEastAsia" w:hAnsiTheme="minorHAnsi" w:cstheme="minorBidi"/>
              <w:noProof/>
              <w:color w:val="auto"/>
              <w:kern w:val="2"/>
              <w:szCs w:val="24"/>
              <w:lang w:eastAsia="en-AU"/>
              <w14:ligatures w14:val="standardContextual"/>
            </w:rPr>
          </w:pPr>
          <w:hyperlink w:anchor="_Toc239945890" w:history="1">
            <w:r w:rsidRPr="0029322D">
              <w:rPr>
                <w:rStyle w:val="Hyperlink"/>
                <w:noProof/>
              </w:rPr>
              <w:t>1.2</w:t>
            </w:r>
            <w:r>
              <w:rPr>
                <w:rFonts w:asciiTheme="minorHAnsi" w:eastAsiaTheme="minorEastAsia" w:hAnsiTheme="minorHAnsi" w:cstheme="minorBidi"/>
                <w:noProof/>
                <w:color w:val="auto"/>
                <w:kern w:val="2"/>
                <w:szCs w:val="24"/>
                <w:lang w:eastAsia="en-AU"/>
                <w14:ligatures w14:val="standardContextual"/>
              </w:rPr>
              <w:tab/>
            </w:r>
            <w:r w:rsidRPr="0029322D">
              <w:rPr>
                <w:rStyle w:val="Hyperlink"/>
                <w:noProof/>
              </w:rPr>
              <w:t>Vitamin A</w:t>
            </w:r>
            <w:r>
              <w:rPr>
                <w:noProof/>
                <w:webHidden/>
              </w:rPr>
              <w:tab/>
            </w:r>
            <w:r>
              <w:rPr>
                <w:noProof/>
                <w:webHidden/>
              </w:rPr>
              <w:fldChar w:fldCharType="begin"/>
            </w:r>
            <w:r>
              <w:rPr>
                <w:noProof/>
                <w:webHidden/>
              </w:rPr>
              <w:instrText xml:space="preserve"> PAGEREF _Toc239945890 \h </w:instrText>
            </w:r>
            <w:r>
              <w:rPr>
                <w:noProof/>
                <w:webHidden/>
              </w:rPr>
            </w:r>
            <w:r>
              <w:rPr>
                <w:noProof/>
                <w:webHidden/>
              </w:rPr>
              <w:fldChar w:fldCharType="separate"/>
            </w:r>
            <w:r>
              <w:rPr>
                <w:noProof/>
                <w:webHidden/>
              </w:rPr>
              <w:t>8</w:t>
            </w:r>
            <w:r>
              <w:rPr>
                <w:noProof/>
                <w:webHidden/>
              </w:rPr>
              <w:fldChar w:fldCharType="end"/>
            </w:r>
          </w:hyperlink>
        </w:p>
        <w:p w14:paraId="1C62D001" w14:textId="6A52CF26"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1" w:history="1">
            <w:r w:rsidRPr="0029322D">
              <w:rPr>
                <w:rStyle w:val="Hyperlink"/>
                <w:noProof/>
              </w:rPr>
              <w:t>Proposal</w:t>
            </w:r>
            <w:r>
              <w:rPr>
                <w:noProof/>
                <w:webHidden/>
              </w:rPr>
              <w:tab/>
            </w:r>
            <w:r>
              <w:rPr>
                <w:noProof/>
                <w:webHidden/>
              </w:rPr>
              <w:fldChar w:fldCharType="begin"/>
            </w:r>
            <w:r>
              <w:rPr>
                <w:noProof/>
                <w:webHidden/>
              </w:rPr>
              <w:instrText xml:space="preserve"> PAGEREF _Toc239945891 \h </w:instrText>
            </w:r>
            <w:r>
              <w:rPr>
                <w:noProof/>
                <w:webHidden/>
              </w:rPr>
            </w:r>
            <w:r>
              <w:rPr>
                <w:noProof/>
                <w:webHidden/>
              </w:rPr>
              <w:fldChar w:fldCharType="separate"/>
            </w:r>
            <w:r>
              <w:rPr>
                <w:noProof/>
                <w:webHidden/>
              </w:rPr>
              <w:t>8</w:t>
            </w:r>
            <w:r>
              <w:rPr>
                <w:noProof/>
                <w:webHidden/>
              </w:rPr>
              <w:fldChar w:fldCharType="end"/>
            </w:r>
          </w:hyperlink>
        </w:p>
        <w:p w14:paraId="15D27648" w14:textId="4249FB5F"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2" w:history="1">
            <w:r w:rsidRPr="0029322D">
              <w:rPr>
                <w:rStyle w:val="Hyperlink"/>
                <w:noProof/>
              </w:rPr>
              <w:t>CAS Number</w:t>
            </w:r>
            <w:r>
              <w:rPr>
                <w:noProof/>
                <w:webHidden/>
              </w:rPr>
              <w:tab/>
            </w:r>
            <w:r>
              <w:rPr>
                <w:noProof/>
                <w:webHidden/>
              </w:rPr>
              <w:fldChar w:fldCharType="begin"/>
            </w:r>
            <w:r>
              <w:rPr>
                <w:noProof/>
                <w:webHidden/>
              </w:rPr>
              <w:instrText xml:space="preserve"> PAGEREF _Toc239945892 \h </w:instrText>
            </w:r>
            <w:r>
              <w:rPr>
                <w:noProof/>
                <w:webHidden/>
              </w:rPr>
            </w:r>
            <w:r>
              <w:rPr>
                <w:noProof/>
                <w:webHidden/>
              </w:rPr>
              <w:fldChar w:fldCharType="separate"/>
            </w:r>
            <w:r>
              <w:rPr>
                <w:noProof/>
                <w:webHidden/>
              </w:rPr>
              <w:t>8</w:t>
            </w:r>
            <w:r>
              <w:rPr>
                <w:noProof/>
                <w:webHidden/>
              </w:rPr>
              <w:fldChar w:fldCharType="end"/>
            </w:r>
          </w:hyperlink>
        </w:p>
        <w:p w14:paraId="4610594F" w14:textId="65CBBFB2"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3" w:history="1">
            <w:r w:rsidRPr="0029322D">
              <w:rPr>
                <w:rStyle w:val="Hyperlink"/>
                <w:noProof/>
              </w:rPr>
              <w:t>Alternative names</w:t>
            </w:r>
            <w:r>
              <w:rPr>
                <w:noProof/>
                <w:webHidden/>
              </w:rPr>
              <w:tab/>
            </w:r>
            <w:r>
              <w:rPr>
                <w:noProof/>
                <w:webHidden/>
              </w:rPr>
              <w:fldChar w:fldCharType="begin"/>
            </w:r>
            <w:r>
              <w:rPr>
                <w:noProof/>
                <w:webHidden/>
              </w:rPr>
              <w:instrText xml:space="preserve"> PAGEREF _Toc239945893 \h </w:instrText>
            </w:r>
            <w:r>
              <w:rPr>
                <w:noProof/>
                <w:webHidden/>
              </w:rPr>
            </w:r>
            <w:r>
              <w:rPr>
                <w:noProof/>
                <w:webHidden/>
              </w:rPr>
              <w:fldChar w:fldCharType="separate"/>
            </w:r>
            <w:r>
              <w:rPr>
                <w:noProof/>
                <w:webHidden/>
              </w:rPr>
              <w:t>8</w:t>
            </w:r>
            <w:r>
              <w:rPr>
                <w:noProof/>
                <w:webHidden/>
              </w:rPr>
              <w:fldChar w:fldCharType="end"/>
            </w:r>
          </w:hyperlink>
        </w:p>
        <w:p w14:paraId="7C3F0B87" w14:textId="353593AB"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4" w:history="1">
            <w:r w:rsidRPr="0029322D">
              <w:rPr>
                <w:rStyle w:val="Hyperlink"/>
                <w:noProof/>
              </w:rPr>
              <w:t>Proposed Scheduling</w:t>
            </w:r>
            <w:r>
              <w:rPr>
                <w:noProof/>
                <w:webHidden/>
              </w:rPr>
              <w:tab/>
            </w:r>
            <w:r>
              <w:rPr>
                <w:noProof/>
                <w:webHidden/>
              </w:rPr>
              <w:fldChar w:fldCharType="begin"/>
            </w:r>
            <w:r>
              <w:rPr>
                <w:noProof/>
                <w:webHidden/>
              </w:rPr>
              <w:instrText xml:space="preserve"> PAGEREF _Toc239945894 \h </w:instrText>
            </w:r>
            <w:r>
              <w:rPr>
                <w:noProof/>
                <w:webHidden/>
              </w:rPr>
            </w:r>
            <w:r>
              <w:rPr>
                <w:noProof/>
                <w:webHidden/>
              </w:rPr>
              <w:fldChar w:fldCharType="separate"/>
            </w:r>
            <w:r>
              <w:rPr>
                <w:noProof/>
                <w:webHidden/>
              </w:rPr>
              <w:t>8</w:t>
            </w:r>
            <w:r>
              <w:rPr>
                <w:noProof/>
                <w:webHidden/>
              </w:rPr>
              <w:fldChar w:fldCharType="end"/>
            </w:r>
          </w:hyperlink>
        </w:p>
        <w:p w14:paraId="19AA4676" w14:textId="2D51EAB7"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5" w:history="1">
            <w:r w:rsidRPr="0029322D">
              <w:rPr>
                <w:rStyle w:val="Hyperlink"/>
                <w:noProof/>
              </w:rPr>
              <w:t>Background</w:t>
            </w:r>
            <w:r>
              <w:rPr>
                <w:noProof/>
                <w:webHidden/>
              </w:rPr>
              <w:tab/>
            </w:r>
            <w:r>
              <w:rPr>
                <w:noProof/>
                <w:webHidden/>
              </w:rPr>
              <w:fldChar w:fldCharType="begin"/>
            </w:r>
            <w:r>
              <w:rPr>
                <w:noProof/>
                <w:webHidden/>
              </w:rPr>
              <w:instrText xml:space="preserve"> PAGEREF _Toc239945895 \h </w:instrText>
            </w:r>
            <w:r>
              <w:rPr>
                <w:noProof/>
                <w:webHidden/>
              </w:rPr>
            </w:r>
            <w:r>
              <w:rPr>
                <w:noProof/>
                <w:webHidden/>
              </w:rPr>
              <w:fldChar w:fldCharType="separate"/>
            </w:r>
            <w:r>
              <w:rPr>
                <w:noProof/>
                <w:webHidden/>
              </w:rPr>
              <w:t>9</w:t>
            </w:r>
            <w:r>
              <w:rPr>
                <w:noProof/>
                <w:webHidden/>
              </w:rPr>
              <w:fldChar w:fldCharType="end"/>
            </w:r>
          </w:hyperlink>
        </w:p>
        <w:p w14:paraId="345DDFA1" w14:textId="180EC504"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6" w:history="1">
            <w:r w:rsidRPr="0029322D">
              <w:rPr>
                <w:rStyle w:val="Hyperlink"/>
                <w:noProof/>
              </w:rPr>
              <w:t>Summary of reasons for the proposal</w:t>
            </w:r>
            <w:r>
              <w:rPr>
                <w:noProof/>
                <w:webHidden/>
              </w:rPr>
              <w:tab/>
            </w:r>
            <w:r>
              <w:rPr>
                <w:noProof/>
                <w:webHidden/>
              </w:rPr>
              <w:fldChar w:fldCharType="begin"/>
            </w:r>
            <w:r>
              <w:rPr>
                <w:noProof/>
                <w:webHidden/>
              </w:rPr>
              <w:instrText xml:space="preserve"> PAGEREF _Toc239945896 \h </w:instrText>
            </w:r>
            <w:r>
              <w:rPr>
                <w:noProof/>
                <w:webHidden/>
              </w:rPr>
            </w:r>
            <w:r>
              <w:rPr>
                <w:noProof/>
                <w:webHidden/>
              </w:rPr>
              <w:fldChar w:fldCharType="separate"/>
            </w:r>
            <w:r>
              <w:rPr>
                <w:noProof/>
                <w:webHidden/>
              </w:rPr>
              <w:t>9</w:t>
            </w:r>
            <w:r>
              <w:rPr>
                <w:noProof/>
                <w:webHidden/>
              </w:rPr>
              <w:fldChar w:fldCharType="end"/>
            </w:r>
          </w:hyperlink>
        </w:p>
        <w:p w14:paraId="1058F743" w14:textId="2FEEF2C5"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7" w:history="1">
            <w:r w:rsidRPr="0029322D">
              <w:rPr>
                <w:rStyle w:val="Hyperlink"/>
                <w:noProof/>
              </w:rPr>
              <w:t>Key uses</w:t>
            </w:r>
            <w:r>
              <w:rPr>
                <w:noProof/>
                <w:webHidden/>
              </w:rPr>
              <w:tab/>
            </w:r>
            <w:r>
              <w:rPr>
                <w:noProof/>
                <w:webHidden/>
              </w:rPr>
              <w:fldChar w:fldCharType="begin"/>
            </w:r>
            <w:r>
              <w:rPr>
                <w:noProof/>
                <w:webHidden/>
              </w:rPr>
              <w:instrText xml:space="preserve"> PAGEREF _Toc239945897 \h </w:instrText>
            </w:r>
            <w:r>
              <w:rPr>
                <w:noProof/>
                <w:webHidden/>
              </w:rPr>
            </w:r>
            <w:r>
              <w:rPr>
                <w:noProof/>
                <w:webHidden/>
              </w:rPr>
              <w:fldChar w:fldCharType="separate"/>
            </w:r>
            <w:r>
              <w:rPr>
                <w:noProof/>
                <w:webHidden/>
              </w:rPr>
              <w:t>9</w:t>
            </w:r>
            <w:r>
              <w:rPr>
                <w:noProof/>
                <w:webHidden/>
              </w:rPr>
              <w:fldChar w:fldCharType="end"/>
            </w:r>
          </w:hyperlink>
        </w:p>
        <w:p w14:paraId="40127BAA" w14:textId="5B59FE0A"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8" w:history="1">
            <w:r w:rsidRPr="0029322D">
              <w:rPr>
                <w:rStyle w:val="Hyperlink"/>
                <w:noProof/>
              </w:rPr>
              <w:t>Australian regulations</w:t>
            </w:r>
            <w:r>
              <w:rPr>
                <w:noProof/>
                <w:webHidden/>
              </w:rPr>
              <w:tab/>
            </w:r>
            <w:r>
              <w:rPr>
                <w:noProof/>
                <w:webHidden/>
              </w:rPr>
              <w:fldChar w:fldCharType="begin"/>
            </w:r>
            <w:r>
              <w:rPr>
                <w:noProof/>
                <w:webHidden/>
              </w:rPr>
              <w:instrText xml:space="preserve"> PAGEREF _Toc239945898 \h </w:instrText>
            </w:r>
            <w:r>
              <w:rPr>
                <w:noProof/>
                <w:webHidden/>
              </w:rPr>
            </w:r>
            <w:r>
              <w:rPr>
                <w:noProof/>
                <w:webHidden/>
              </w:rPr>
              <w:fldChar w:fldCharType="separate"/>
            </w:r>
            <w:r>
              <w:rPr>
                <w:noProof/>
                <w:webHidden/>
              </w:rPr>
              <w:t>9</w:t>
            </w:r>
            <w:r>
              <w:rPr>
                <w:noProof/>
                <w:webHidden/>
              </w:rPr>
              <w:fldChar w:fldCharType="end"/>
            </w:r>
          </w:hyperlink>
        </w:p>
        <w:p w14:paraId="201EF6AF" w14:textId="402F0ECC"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899" w:history="1">
            <w:r w:rsidRPr="0029322D">
              <w:rPr>
                <w:rStyle w:val="Hyperlink"/>
                <w:noProof/>
              </w:rPr>
              <w:t>International regulations</w:t>
            </w:r>
            <w:r>
              <w:rPr>
                <w:noProof/>
                <w:webHidden/>
              </w:rPr>
              <w:tab/>
            </w:r>
            <w:r>
              <w:rPr>
                <w:noProof/>
                <w:webHidden/>
              </w:rPr>
              <w:fldChar w:fldCharType="begin"/>
            </w:r>
            <w:r>
              <w:rPr>
                <w:noProof/>
                <w:webHidden/>
              </w:rPr>
              <w:instrText xml:space="preserve"> PAGEREF _Toc239945899 \h </w:instrText>
            </w:r>
            <w:r>
              <w:rPr>
                <w:noProof/>
                <w:webHidden/>
              </w:rPr>
            </w:r>
            <w:r>
              <w:rPr>
                <w:noProof/>
                <w:webHidden/>
              </w:rPr>
              <w:fldChar w:fldCharType="separate"/>
            </w:r>
            <w:r>
              <w:rPr>
                <w:noProof/>
                <w:webHidden/>
              </w:rPr>
              <w:t>13</w:t>
            </w:r>
            <w:r>
              <w:rPr>
                <w:noProof/>
                <w:webHidden/>
              </w:rPr>
              <w:fldChar w:fldCharType="end"/>
            </w:r>
          </w:hyperlink>
        </w:p>
        <w:p w14:paraId="5EEA6DD1" w14:textId="7F915F69" w:rsidR="00750FC2" w:rsidRDefault="00750FC2">
          <w:pPr>
            <w:pStyle w:val="TOC2"/>
            <w:tabs>
              <w:tab w:val="left" w:pos="1276"/>
            </w:tabs>
            <w:rPr>
              <w:rFonts w:asciiTheme="minorHAnsi" w:eastAsiaTheme="minorEastAsia" w:hAnsiTheme="minorHAnsi" w:cstheme="minorBidi"/>
              <w:noProof/>
              <w:color w:val="auto"/>
              <w:kern w:val="2"/>
              <w:szCs w:val="24"/>
              <w:lang w:eastAsia="en-AU"/>
              <w14:ligatures w14:val="standardContextual"/>
            </w:rPr>
          </w:pPr>
          <w:hyperlink w:anchor="_Toc239945900" w:history="1">
            <w:r w:rsidRPr="0029322D">
              <w:rPr>
                <w:rStyle w:val="Hyperlink"/>
                <w:noProof/>
              </w:rPr>
              <w:t>1.3</w:t>
            </w:r>
            <w:r>
              <w:rPr>
                <w:rFonts w:asciiTheme="minorHAnsi" w:eastAsiaTheme="minorEastAsia" w:hAnsiTheme="minorHAnsi" w:cstheme="minorBidi"/>
                <w:noProof/>
                <w:color w:val="auto"/>
                <w:kern w:val="2"/>
                <w:szCs w:val="24"/>
                <w:lang w:eastAsia="en-AU"/>
                <w14:ligatures w14:val="standardContextual"/>
              </w:rPr>
              <w:tab/>
            </w:r>
            <w:r w:rsidRPr="0029322D">
              <w:rPr>
                <w:rStyle w:val="Hyperlink"/>
                <w:noProof/>
              </w:rPr>
              <w:t>Methyl ethyl ketone oxime (MEKO) – releasing silanes</w:t>
            </w:r>
            <w:r>
              <w:rPr>
                <w:noProof/>
                <w:webHidden/>
              </w:rPr>
              <w:tab/>
            </w:r>
            <w:r>
              <w:rPr>
                <w:noProof/>
                <w:webHidden/>
              </w:rPr>
              <w:fldChar w:fldCharType="begin"/>
            </w:r>
            <w:r>
              <w:rPr>
                <w:noProof/>
                <w:webHidden/>
              </w:rPr>
              <w:instrText xml:space="preserve"> PAGEREF _Toc239945900 \h </w:instrText>
            </w:r>
            <w:r>
              <w:rPr>
                <w:noProof/>
                <w:webHidden/>
              </w:rPr>
            </w:r>
            <w:r>
              <w:rPr>
                <w:noProof/>
                <w:webHidden/>
              </w:rPr>
              <w:fldChar w:fldCharType="separate"/>
            </w:r>
            <w:r>
              <w:rPr>
                <w:noProof/>
                <w:webHidden/>
              </w:rPr>
              <w:t>14</w:t>
            </w:r>
            <w:r>
              <w:rPr>
                <w:noProof/>
                <w:webHidden/>
              </w:rPr>
              <w:fldChar w:fldCharType="end"/>
            </w:r>
          </w:hyperlink>
        </w:p>
        <w:p w14:paraId="6283C763" w14:textId="17C9F349"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1" w:history="1">
            <w:r w:rsidRPr="0029322D">
              <w:rPr>
                <w:rStyle w:val="Hyperlink"/>
                <w:noProof/>
              </w:rPr>
              <w:t>Proposal</w:t>
            </w:r>
            <w:r>
              <w:rPr>
                <w:noProof/>
                <w:webHidden/>
              </w:rPr>
              <w:tab/>
            </w:r>
            <w:r>
              <w:rPr>
                <w:noProof/>
                <w:webHidden/>
              </w:rPr>
              <w:fldChar w:fldCharType="begin"/>
            </w:r>
            <w:r>
              <w:rPr>
                <w:noProof/>
                <w:webHidden/>
              </w:rPr>
              <w:instrText xml:space="preserve"> PAGEREF _Toc239945901 \h </w:instrText>
            </w:r>
            <w:r>
              <w:rPr>
                <w:noProof/>
                <w:webHidden/>
              </w:rPr>
            </w:r>
            <w:r>
              <w:rPr>
                <w:noProof/>
                <w:webHidden/>
              </w:rPr>
              <w:fldChar w:fldCharType="separate"/>
            </w:r>
            <w:r>
              <w:rPr>
                <w:noProof/>
                <w:webHidden/>
              </w:rPr>
              <w:t>14</w:t>
            </w:r>
            <w:r>
              <w:rPr>
                <w:noProof/>
                <w:webHidden/>
              </w:rPr>
              <w:fldChar w:fldCharType="end"/>
            </w:r>
          </w:hyperlink>
        </w:p>
        <w:p w14:paraId="74850058" w14:textId="0A450F8B"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2" w:history="1">
            <w:r w:rsidRPr="0029322D">
              <w:rPr>
                <w:rStyle w:val="Hyperlink"/>
                <w:noProof/>
              </w:rPr>
              <w:t>CAS Number</w:t>
            </w:r>
            <w:r>
              <w:rPr>
                <w:noProof/>
                <w:webHidden/>
              </w:rPr>
              <w:tab/>
            </w:r>
            <w:r>
              <w:rPr>
                <w:noProof/>
                <w:webHidden/>
              </w:rPr>
              <w:fldChar w:fldCharType="begin"/>
            </w:r>
            <w:r>
              <w:rPr>
                <w:noProof/>
                <w:webHidden/>
              </w:rPr>
              <w:instrText xml:space="preserve"> PAGEREF _Toc239945902 \h </w:instrText>
            </w:r>
            <w:r>
              <w:rPr>
                <w:noProof/>
                <w:webHidden/>
              </w:rPr>
            </w:r>
            <w:r>
              <w:rPr>
                <w:noProof/>
                <w:webHidden/>
              </w:rPr>
              <w:fldChar w:fldCharType="separate"/>
            </w:r>
            <w:r>
              <w:rPr>
                <w:noProof/>
                <w:webHidden/>
              </w:rPr>
              <w:t>14</w:t>
            </w:r>
            <w:r>
              <w:rPr>
                <w:noProof/>
                <w:webHidden/>
              </w:rPr>
              <w:fldChar w:fldCharType="end"/>
            </w:r>
          </w:hyperlink>
        </w:p>
        <w:p w14:paraId="2D6B38F0" w14:textId="2C48E48E"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3" w:history="1">
            <w:r w:rsidRPr="0029322D">
              <w:rPr>
                <w:rStyle w:val="Hyperlink"/>
                <w:noProof/>
              </w:rPr>
              <w:t>Alternative names</w:t>
            </w:r>
            <w:r>
              <w:rPr>
                <w:noProof/>
                <w:webHidden/>
              </w:rPr>
              <w:tab/>
            </w:r>
            <w:r>
              <w:rPr>
                <w:noProof/>
                <w:webHidden/>
              </w:rPr>
              <w:fldChar w:fldCharType="begin"/>
            </w:r>
            <w:r>
              <w:rPr>
                <w:noProof/>
                <w:webHidden/>
              </w:rPr>
              <w:instrText xml:space="preserve"> PAGEREF _Toc239945903 \h </w:instrText>
            </w:r>
            <w:r>
              <w:rPr>
                <w:noProof/>
                <w:webHidden/>
              </w:rPr>
            </w:r>
            <w:r>
              <w:rPr>
                <w:noProof/>
                <w:webHidden/>
              </w:rPr>
              <w:fldChar w:fldCharType="separate"/>
            </w:r>
            <w:r>
              <w:rPr>
                <w:noProof/>
                <w:webHidden/>
              </w:rPr>
              <w:t>14</w:t>
            </w:r>
            <w:r>
              <w:rPr>
                <w:noProof/>
                <w:webHidden/>
              </w:rPr>
              <w:fldChar w:fldCharType="end"/>
            </w:r>
          </w:hyperlink>
        </w:p>
        <w:p w14:paraId="05742A87" w14:textId="36D8E0B7"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4" w:history="1">
            <w:r w:rsidRPr="0029322D">
              <w:rPr>
                <w:rStyle w:val="Hyperlink"/>
                <w:noProof/>
              </w:rPr>
              <w:t>Proposed Scheduling</w:t>
            </w:r>
            <w:r>
              <w:rPr>
                <w:noProof/>
                <w:webHidden/>
              </w:rPr>
              <w:tab/>
            </w:r>
            <w:r>
              <w:rPr>
                <w:noProof/>
                <w:webHidden/>
              </w:rPr>
              <w:fldChar w:fldCharType="begin"/>
            </w:r>
            <w:r>
              <w:rPr>
                <w:noProof/>
                <w:webHidden/>
              </w:rPr>
              <w:instrText xml:space="preserve"> PAGEREF _Toc239945904 \h </w:instrText>
            </w:r>
            <w:r>
              <w:rPr>
                <w:noProof/>
                <w:webHidden/>
              </w:rPr>
            </w:r>
            <w:r>
              <w:rPr>
                <w:noProof/>
                <w:webHidden/>
              </w:rPr>
              <w:fldChar w:fldCharType="separate"/>
            </w:r>
            <w:r>
              <w:rPr>
                <w:noProof/>
                <w:webHidden/>
              </w:rPr>
              <w:t>15</w:t>
            </w:r>
            <w:r>
              <w:rPr>
                <w:noProof/>
                <w:webHidden/>
              </w:rPr>
              <w:fldChar w:fldCharType="end"/>
            </w:r>
          </w:hyperlink>
        </w:p>
        <w:p w14:paraId="549040A1" w14:textId="3CB2F868"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5" w:history="1">
            <w:r w:rsidRPr="0029322D">
              <w:rPr>
                <w:rStyle w:val="Hyperlink"/>
                <w:noProof/>
              </w:rPr>
              <w:t>Background</w:t>
            </w:r>
            <w:r>
              <w:rPr>
                <w:noProof/>
                <w:webHidden/>
              </w:rPr>
              <w:tab/>
            </w:r>
            <w:r>
              <w:rPr>
                <w:noProof/>
                <w:webHidden/>
              </w:rPr>
              <w:fldChar w:fldCharType="begin"/>
            </w:r>
            <w:r>
              <w:rPr>
                <w:noProof/>
                <w:webHidden/>
              </w:rPr>
              <w:instrText xml:space="preserve"> PAGEREF _Toc239945905 \h </w:instrText>
            </w:r>
            <w:r>
              <w:rPr>
                <w:noProof/>
                <w:webHidden/>
              </w:rPr>
            </w:r>
            <w:r>
              <w:rPr>
                <w:noProof/>
                <w:webHidden/>
              </w:rPr>
              <w:fldChar w:fldCharType="separate"/>
            </w:r>
            <w:r>
              <w:rPr>
                <w:noProof/>
                <w:webHidden/>
              </w:rPr>
              <w:t>16</w:t>
            </w:r>
            <w:r>
              <w:rPr>
                <w:noProof/>
                <w:webHidden/>
              </w:rPr>
              <w:fldChar w:fldCharType="end"/>
            </w:r>
          </w:hyperlink>
        </w:p>
        <w:p w14:paraId="3D0C342F" w14:textId="7E75D198"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6" w:history="1">
            <w:r w:rsidRPr="0029322D">
              <w:rPr>
                <w:rStyle w:val="Hyperlink"/>
                <w:noProof/>
              </w:rPr>
              <w:t>Summary of reasons for the proposal</w:t>
            </w:r>
            <w:r>
              <w:rPr>
                <w:noProof/>
                <w:webHidden/>
              </w:rPr>
              <w:tab/>
            </w:r>
            <w:r>
              <w:rPr>
                <w:noProof/>
                <w:webHidden/>
              </w:rPr>
              <w:fldChar w:fldCharType="begin"/>
            </w:r>
            <w:r>
              <w:rPr>
                <w:noProof/>
                <w:webHidden/>
              </w:rPr>
              <w:instrText xml:space="preserve"> PAGEREF _Toc239945906 \h </w:instrText>
            </w:r>
            <w:r>
              <w:rPr>
                <w:noProof/>
                <w:webHidden/>
              </w:rPr>
            </w:r>
            <w:r>
              <w:rPr>
                <w:noProof/>
                <w:webHidden/>
              </w:rPr>
              <w:fldChar w:fldCharType="separate"/>
            </w:r>
            <w:r>
              <w:rPr>
                <w:noProof/>
                <w:webHidden/>
              </w:rPr>
              <w:t>16</w:t>
            </w:r>
            <w:r>
              <w:rPr>
                <w:noProof/>
                <w:webHidden/>
              </w:rPr>
              <w:fldChar w:fldCharType="end"/>
            </w:r>
          </w:hyperlink>
        </w:p>
        <w:p w14:paraId="183AC4CC" w14:textId="7B3247E1"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7" w:history="1">
            <w:r w:rsidRPr="0029322D">
              <w:rPr>
                <w:rStyle w:val="Hyperlink"/>
                <w:noProof/>
              </w:rPr>
              <w:t>Key uses / expected use</w:t>
            </w:r>
            <w:r>
              <w:rPr>
                <w:noProof/>
                <w:webHidden/>
              </w:rPr>
              <w:tab/>
            </w:r>
            <w:r>
              <w:rPr>
                <w:noProof/>
                <w:webHidden/>
              </w:rPr>
              <w:fldChar w:fldCharType="begin"/>
            </w:r>
            <w:r>
              <w:rPr>
                <w:noProof/>
                <w:webHidden/>
              </w:rPr>
              <w:instrText xml:space="preserve"> PAGEREF _Toc239945907 \h </w:instrText>
            </w:r>
            <w:r>
              <w:rPr>
                <w:noProof/>
                <w:webHidden/>
              </w:rPr>
            </w:r>
            <w:r>
              <w:rPr>
                <w:noProof/>
                <w:webHidden/>
              </w:rPr>
              <w:fldChar w:fldCharType="separate"/>
            </w:r>
            <w:r>
              <w:rPr>
                <w:noProof/>
                <w:webHidden/>
              </w:rPr>
              <w:t>16</w:t>
            </w:r>
            <w:r>
              <w:rPr>
                <w:noProof/>
                <w:webHidden/>
              </w:rPr>
              <w:fldChar w:fldCharType="end"/>
            </w:r>
          </w:hyperlink>
        </w:p>
        <w:p w14:paraId="219C71CB" w14:textId="391BED32"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8" w:history="1">
            <w:r w:rsidRPr="0029322D">
              <w:rPr>
                <w:rStyle w:val="Hyperlink"/>
                <w:noProof/>
              </w:rPr>
              <w:t>Australian regulations</w:t>
            </w:r>
            <w:r>
              <w:rPr>
                <w:noProof/>
                <w:webHidden/>
              </w:rPr>
              <w:tab/>
            </w:r>
            <w:r>
              <w:rPr>
                <w:noProof/>
                <w:webHidden/>
              </w:rPr>
              <w:fldChar w:fldCharType="begin"/>
            </w:r>
            <w:r>
              <w:rPr>
                <w:noProof/>
                <w:webHidden/>
              </w:rPr>
              <w:instrText xml:space="preserve"> PAGEREF _Toc239945908 \h </w:instrText>
            </w:r>
            <w:r>
              <w:rPr>
                <w:noProof/>
                <w:webHidden/>
              </w:rPr>
            </w:r>
            <w:r>
              <w:rPr>
                <w:noProof/>
                <w:webHidden/>
              </w:rPr>
              <w:fldChar w:fldCharType="separate"/>
            </w:r>
            <w:r>
              <w:rPr>
                <w:noProof/>
                <w:webHidden/>
              </w:rPr>
              <w:t>17</w:t>
            </w:r>
            <w:r>
              <w:rPr>
                <w:noProof/>
                <w:webHidden/>
              </w:rPr>
              <w:fldChar w:fldCharType="end"/>
            </w:r>
          </w:hyperlink>
        </w:p>
        <w:p w14:paraId="09C64E9E" w14:textId="3F051DEC" w:rsidR="00750FC2" w:rsidRDefault="00750FC2">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945909" w:history="1">
            <w:r w:rsidRPr="0029322D">
              <w:rPr>
                <w:rStyle w:val="Hyperlink"/>
                <w:noProof/>
              </w:rPr>
              <w:t>International regulations</w:t>
            </w:r>
            <w:r>
              <w:rPr>
                <w:noProof/>
                <w:webHidden/>
              </w:rPr>
              <w:tab/>
            </w:r>
            <w:r>
              <w:rPr>
                <w:noProof/>
                <w:webHidden/>
              </w:rPr>
              <w:fldChar w:fldCharType="begin"/>
            </w:r>
            <w:r>
              <w:rPr>
                <w:noProof/>
                <w:webHidden/>
              </w:rPr>
              <w:instrText xml:space="preserve"> PAGEREF _Toc239945909 \h </w:instrText>
            </w:r>
            <w:r>
              <w:rPr>
                <w:noProof/>
                <w:webHidden/>
              </w:rPr>
            </w:r>
            <w:r>
              <w:rPr>
                <w:noProof/>
                <w:webHidden/>
              </w:rPr>
              <w:fldChar w:fldCharType="separate"/>
            </w:r>
            <w:r>
              <w:rPr>
                <w:noProof/>
                <w:webHidden/>
              </w:rPr>
              <w:t>17</w:t>
            </w:r>
            <w:r>
              <w:rPr>
                <w:noProof/>
                <w:webHidden/>
              </w:rPr>
              <w:fldChar w:fldCharType="end"/>
            </w:r>
          </w:hyperlink>
        </w:p>
        <w:p w14:paraId="17C2BD05" w14:textId="08B653A5" w:rsidR="00750FC2" w:rsidRDefault="00750FC2">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945910" w:history="1">
            <w:r w:rsidRPr="0029322D">
              <w:rPr>
                <w:rStyle w:val="Hyperlink"/>
                <w:noProof/>
              </w:rPr>
              <w:t>How to respond</w:t>
            </w:r>
            <w:r>
              <w:rPr>
                <w:noProof/>
                <w:webHidden/>
              </w:rPr>
              <w:tab/>
            </w:r>
            <w:r>
              <w:rPr>
                <w:noProof/>
                <w:webHidden/>
              </w:rPr>
              <w:fldChar w:fldCharType="begin"/>
            </w:r>
            <w:r>
              <w:rPr>
                <w:noProof/>
                <w:webHidden/>
              </w:rPr>
              <w:instrText xml:space="preserve"> PAGEREF _Toc239945910 \h </w:instrText>
            </w:r>
            <w:r>
              <w:rPr>
                <w:noProof/>
                <w:webHidden/>
              </w:rPr>
            </w:r>
            <w:r>
              <w:rPr>
                <w:noProof/>
                <w:webHidden/>
              </w:rPr>
              <w:fldChar w:fldCharType="separate"/>
            </w:r>
            <w:r>
              <w:rPr>
                <w:noProof/>
                <w:webHidden/>
              </w:rPr>
              <w:t>18</w:t>
            </w:r>
            <w:r>
              <w:rPr>
                <w:noProof/>
                <w:webHidden/>
              </w:rPr>
              <w:fldChar w:fldCharType="end"/>
            </w:r>
          </w:hyperlink>
        </w:p>
        <w:p w14:paraId="24DA3672" w14:textId="680EFEFC" w:rsidR="00750FC2" w:rsidRDefault="00750FC2">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945911" w:history="1">
            <w:r w:rsidRPr="0029322D">
              <w:rPr>
                <w:rStyle w:val="Hyperlink"/>
                <w:noProof/>
              </w:rPr>
              <w:t>What will happen</w:t>
            </w:r>
            <w:r>
              <w:rPr>
                <w:noProof/>
                <w:webHidden/>
              </w:rPr>
              <w:tab/>
            </w:r>
            <w:r>
              <w:rPr>
                <w:noProof/>
                <w:webHidden/>
              </w:rPr>
              <w:fldChar w:fldCharType="begin"/>
            </w:r>
            <w:r>
              <w:rPr>
                <w:noProof/>
                <w:webHidden/>
              </w:rPr>
              <w:instrText xml:space="preserve"> PAGEREF _Toc239945911 \h </w:instrText>
            </w:r>
            <w:r>
              <w:rPr>
                <w:noProof/>
                <w:webHidden/>
              </w:rPr>
            </w:r>
            <w:r>
              <w:rPr>
                <w:noProof/>
                <w:webHidden/>
              </w:rPr>
              <w:fldChar w:fldCharType="separate"/>
            </w:r>
            <w:r>
              <w:rPr>
                <w:noProof/>
                <w:webHidden/>
              </w:rPr>
              <w:t>18</w:t>
            </w:r>
            <w:r>
              <w:rPr>
                <w:noProof/>
                <w:webHidden/>
              </w:rPr>
              <w:fldChar w:fldCharType="end"/>
            </w:r>
          </w:hyperlink>
        </w:p>
        <w:p w14:paraId="574613AB" w14:textId="62676DC8" w:rsidR="00F02AEC" w:rsidRPr="00C417B6" w:rsidRDefault="00F02AEC" w:rsidP="00C417B6">
          <w:r w:rsidRPr="00C417B6">
            <w:fldChar w:fldCharType="end"/>
          </w:r>
        </w:p>
      </w:sdtContent>
    </w:sdt>
    <w:bookmarkEnd w:id="3" w:displacedByCustomXml="prev"/>
    <w:p w14:paraId="366D75A4" w14:textId="77777777" w:rsidR="00F02AEC" w:rsidRPr="00C417B6" w:rsidRDefault="00F02AEC" w:rsidP="00C417B6">
      <w:r w:rsidRPr="00C417B6">
        <w:br w:type="page"/>
      </w:r>
    </w:p>
    <w:p w14:paraId="2046EB59" w14:textId="77777777" w:rsidR="00F02AEC" w:rsidRPr="00C417B6" w:rsidRDefault="00685E72" w:rsidP="00395107">
      <w:pPr>
        <w:pStyle w:val="Heading2"/>
      </w:pPr>
      <w:bookmarkStart w:id="4" w:name="_Toc239945878"/>
      <w:bookmarkStart w:id="5" w:name="_Hlk139892263"/>
      <w:r w:rsidRPr="00C417B6">
        <w:lastRenderedPageBreak/>
        <w:t>About this consultation</w:t>
      </w:r>
      <w:bookmarkEnd w:id="4"/>
    </w:p>
    <w:p w14:paraId="5BBF75D8" w14:textId="77777777" w:rsidR="00685E72" w:rsidRPr="00C417B6" w:rsidRDefault="00685E72" w:rsidP="00F53761">
      <w:bookmarkStart w:id="6" w:name="_Toc323739591"/>
      <w:bookmarkStart w:id="7" w:name="_Toc356305218"/>
      <w:r w:rsidRPr="00C417B6">
        <w:t>Subdivision 3D.2 of the Therapeutic Goods Regulations 1990 (the Regulations) sets out the procedure to be followed where the Secretary receives an application under section 52EAA of the Therapeutic Goods Act 1989 (the Act) to amend the current Poisons Standard or decides to amend the Poisons Standard on his or her own initiative and decides to refer the proposed amendment to an expert advisory committee. These include, under regulation 42ZCZK, that the Secretary publish (in a manner the Secretary considers appropriate) the proposed amendment to be referred to an expert advisory committee, the committee to which the proposed amendment will be referred, and the date of the committee meeting. The Secretary must also invite public submissions to be made to the expert advisory committee by a date mentioned in the notice as the closing date, allowing at least 20 business days after publication of the notice.</w:t>
      </w:r>
    </w:p>
    <w:p w14:paraId="7BBBCED4" w14:textId="2A5FFB25" w:rsidR="009C3C0E" w:rsidRDefault="00685E72" w:rsidP="00CB3535">
      <w:r w:rsidRPr="00C417B6">
        <w:rPr>
          <w:noProof/>
        </w:rPr>
        <mc:AlternateContent>
          <mc:Choice Requires="wps">
            <w:drawing>
              <wp:anchor distT="0" distB="0" distL="114300" distR="114300" simplePos="0" relativeHeight="251658240" behindDoc="0" locked="0" layoutInCell="1" allowOverlap="1" wp14:anchorId="78822159" wp14:editId="029704A0">
                <wp:simplePos x="0" y="0"/>
                <wp:positionH relativeFrom="margin">
                  <wp:posOffset>0</wp:posOffset>
                </wp:positionH>
                <wp:positionV relativeFrom="paragraph">
                  <wp:posOffset>674469</wp:posOffset>
                </wp:positionV>
                <wp:extent cx="1828800" cy="1828800"/>
                <wp:effectExtent l="0" t="0" r="25400" b="1333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C6D0E9"/>
                        </a:solidFill>
                        <a:ln w="6350">
                          <a:solidFill>
                            <a:prstClr val="black"/>
                          </a:solidFill>
                        </a:ln>
                      </wps:spPr>
                      <wps:txbx>
                        <w:txbxContent>
                          <w:p w14:paraId="5361368C" w14:textId="7D099B7A" w:rsidR="00685E72" w:rsidRPr="00520CD5" w:rsidRDefault="00685E72" w:rsidP="00F53761">
                            <w:pPr>
                              <w:rPr>
                                <w:lang w:val="en"/>
                              </w:rPr>
                            </w:pPr>
                            <w:r w:rsidRPr="00520CD5">
                              <w:t xml:space="preserve">Submissions should be provided through </w:t>
                            </w:r>
                            <w:r w:rsidRPr="00881334">
                              <w:t>our</w:t>
                            </w:r>
                            <w:r w:rsidRPr="00881334">
                              <w:rPr>
                                <w:lang w:val="en"/>
                              </w:rPr>
                              <w:t xml:space="preserve"> </w:t>
                            </w:r>
                            <w:hyperlink r:id="rId18" w:history="1">
                              <w:r w:rsidRPr="00881334">
                                <w:rPr>
                                  <w:rStyle w:val="Hyperlink"/>
                                  <w:rFonts w:cs="Arial"/>
                                  <w:szCs w:val="18"/>
                                </w:rPr>
                                <w:t>consultation hub</w:t>
                              </w:r>
                            </w:hyperlink>
                            <w:r w:rsidRPr="00881334">
                              <w:rPr>
                                <w:lang w:val="en"/>
                              </w:rPr>
                              <w:t xml:space="preserve">. </w:t>
                            </w:r>
                            <w:r w:rsidRPr="00881334">
                              <w:t>Any submission</w:t>
                            </w:r>
                            <w:r w:rsidRPr="00520CD5">
                              <w:t xml:space="preserve"> about any of the proposals to amend the Poisons Standard will be considered at the next meeting of the</w:t>
                            </w:r>
                            <w:r w:rsidRPr="00520CD5">
                              <w:rPr>
                                <w:lang w:val="en"/>
                              </w:rPr>
                              <w:t xml:space="preserve"> </w:t>
                            </w:r>
                            <w:hyperlink r:id="rId19" w:history="1">
                              <w:r w:rsidRPr="00520CD5">
                                <w:rPr>
                                  <w:rStyle w:val="Hyperlink"/>
                                  <w:rFonts w:cs="Arial"/>
                                  <w:szCs w:val="18"/>
                                </w:rPr>
                                <w:t>Advisory Committee on Chemicals Scheduling (ACCS)</w:t>
                              </w:r>
                            </w:hyperlink>
                            <w:r w:rsidRPr="00520CD5">
                              <w:t>.</w:t>
                            </w:r>
                          </w:p>
                          <w:p w14:paraId="53766CC7" w14:textId="57F60CC2" w:rsidR="00685E72" w:rsidRPr="00520CD5" w:rsidRDefault="00685E72" w:rsidP="00F53761">
                            <w:pPr>
                              <w:rPr>
                                <w:b/>
                                <w:lang w:val="en"/>
                              </w:rPr>
                            </w:pPr>
                            <w:r w:rsidRPr="00520CD5">
                              <w:rPr>
                                <w:b/>
                                <w:lang w:val="en"/>
                              </w:rPr>
                              <w:t xml:space="preserve">This consultation </w:t>
                            </w:r>
                            <w:r w:rsidRPr="00A63AE9">
                              <w:rPr>
                                <w:b/>
                                <w:lang w:val="en"/>
                              </w:rPr>
                              <w:t xml:space="preserve">closes on </w:t>
                            </w:r>
                            <w:r w:rsidR="00A63AE9" w:rsidRPr="00A63AE9">
                              <w:rPr>
                                <w:b/>
                                <w:lang w:val="en"/>
                              </w:rPr>
                              <w:t>12 October 2026</w:t>
                            </w:r>
                            <w:r w:rsidRPr="00A63AE9">
                              <w:rPr>
                                <w:b/>
                                <w:lang w:val="en"/>
                              </w:rPr>
                              <w:t>.</w:t>
                            </w:r>
                          </w:p>
                          <w:p w14:paraId="0137F8EC" w14:textId="77777777" w:rsidR="00685E72" w:rsidRPr="00520CD5" w:rsidRDefault="00685E72" w:rsidP="00F53761">
                            <w:r w:rsidRPr="00520CD5">
                              <w:t>We aim to provide documents in an accessible format. If you're having problems using this document, please contact </w:t>
                            </w:r>
                            <w:hyperlink r:id="rId20" w:history="1">
                              <w:r w:rsidRPr="00520CD5">
                                <w:rPr>
                                  <w:rStyle w:val="Hyperlink"/>
                                  <w:rFonts w:cs="Arial"/>
                                  <w:szCs w:val="18"/>
                                </w:rPr>
                                <w:t>medicines.scheduling@health.gov.au</w:t>
                              </w:r>
                            </w:hyperlink>
                            <w:r w:rsidRPr="00520CD5">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822159" id="_x0000_t202" coordsize="21600,21600" o:spt="202" path="m,l,21600r21600,l21600,xe">
                <v:stroke joinstyle="miter"/>
                <v:path gradientshapeok="t" o:connecttype="rect"/>
              </v:shapetype>
              <v:shape id="Text Box 1" o:spid="_x0000_s1026" type="#_x0000_t202" style="position:absolute;margin-left:0;margin-top:53.1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xJAMgIAAHwEAAAOAAAAZHJzL2Uyb0RvYy54bWysVE1v2zAMvQ/YfxB0b+ykaZYacYosWYYB&#10;QVsgHXqWZTk2JouCpMTOfv0o2flou9Owi0KK9BP5HpnZQ1tLchDGVqBSOhzElAjFIa/ULqU/X9Y3&#10;U0qsYypnEpRI6VFY+jD//GnW6ESMoASZC0MQRNmk0SktndNJFFleiprZAWihMFiAqZlD1+yi3LAG&#10;0WsZjeJ4EjVgcm2AC2vxdtUF6TzgF4Xg7qkorHBEphRrc+E04cz8Gc1nLNkZpsuK92Wwf6iiZpXC&#10;R89QK+YY2ZvqA1RdcQMWCjfgUEdQFBUXoQfsZhi/62ZbMi1CL0iO1Wea7P+D5Y+HrX42xLVfoUUB&#10;PSGNtonFS99PW5ja/2KlBONI4fFMm2gd4f6j6Wg6jTHEMXZyECe6fK6Ndd8F1MQbKTWoS6CLHTbW&#10;damnFP+aBVnl60rK4JhdtpSGHBhquJys4m/3vkpEf5MmFWlSOrm9iwPym5jHPkNkkvFfHxEQTyqE&#10;vXTvLddmbU9JBvkRmTLQDZHVfF0h7oZZ98wMTg0ygJvgnvAoJGAx0FuUlGB+/+3e56OYGKWkwSlM&#10;qcI1oUT+UCjy/XA89kMbnPHdlxE65jqSXUfUvl4CUjTEjdM8mD7fyZNZGKhfcV0W/k0MMcXx5ZS6&#10;k7l03WbgunGxWIQkHFPN3EZtNffQXhDP5kv7yozu5XQ4CY9wmlaWvFO1yw1S6sXewboKknt6O057&#10;1nHEg6z9OvoduvZD1uVPY/4HAAD//wMAUEsDBBQABgAIAAAAIQDqPRGC3AAAAAgBAAAPAAAAZHJz&#10;L2Rvd25yZXYueG1sTI/NTsMwEITvSLyDtUjcqB0DVRriVAjEESEKQhzdeBNH8U8Uu214e5YTPe7M&#10;aPabert4x444pyEGBcVKAMPQRjOEXsHnx8tNCSxlHYx2MaCCH0ywbS4val2ZeArveNzlnlFJSJVW&#10;YHOeKs5Ta9HrtIoTBvK6OHud6Zx7bmZ9onLvuBRizb0eAn2wesIni+24O3gFshz1V3Hfbdrvzorn&#10;8bXAt9kpdX21PD4Ay7jk/zD84RM6NMS0j4dgEnMKaEgmVawlMLJlWZKyV3C7uZPAm5qfD2h+AQAA&#10;//8DAFBLAQItABQABgAIAAAAIQC2gziS/gAAAOEBAAATAAAAAAAAAAAAAAAAAAAAAABbQ29udGVu&#10;dF9UeXBlc10ueG1sUEsBAi0AFAAGAAgAAAAhADj9If/WAAAAlAEAAAsAAAAAAAAAAAAAAAAALwEA&#10;AF9yZWxzLy5yZWxzUEsBAi0AFAAGAAgAAAAhADjbEkAyAgAAfAQAAA4AAAAAAAAAAAAAAAAALgIA&#10;AGRycy9lMm9Eb2MueG1sUEsBAi0AFAAGAAgAAAAhAOo9EYLcAAAACAEAAA8AAAAAAAAAAAAAAAAA&#10;jAQAAGRycy9kb3ducmV2LnhtbFBLBQYAAAAABAAEAPMAAACVBQAAAAA=&#10;" fillcolor="#c6d0e9" strokeweight=".5pt">
                <v:textbox style="mso-fit-shape-to-text:t">
                  <w:txbxContent>
                    <w:p w14:paraId="5361368C" w14:textId="7D099B7A" w:rsidR="00685E72" w:rsidRPr="00520CD5" w:rsidRDefault="00685E72" w:rsidP="00F53761">
                      <w:pPr>
                        <w:rPr>
                          <w:lang w:val="en"/>
                        </w:rPr>
                      </w:pPr>
                      <w:r w:rsidRPr="00520CD5">
                        <w:t xml:space="preserve">Submissions should be provided through </w:t>
                      </w:r>
                      <w:r w:rsidRPr="00881334">
                        <w:t>our</w:t>
                      </w:r>
                      <w:r w:rsidRPr="00881334">
                        <w:rPr>
                          <w:lang w:val="en"/>
                        </w:rPr>
                        <w:t xml:space="preserve"> </w:t>
                      </w:r>
                      <w:hyperlink r:id="rId21" w:history="1">
                        <w:r w:rsidRPr="00881334">
                          <w:rPr>
                            <w:rStyle w:val="Hyperlink"/>
                            <w:rFonts w:cs="Arial"/>
                            <w:szCs w:val="18"/>
                          </w:rPr>
                          <w:t>consultation hub</w:t>
                        </w:r>
                      </w:hyperlink>
                      <w:r w:rsidRPr="00881334">
                        <w:rPr>
                          <w:lang w:val="en"/>
                        </w:rPr>
                        <w:t xml:space="preserve">. </w:t>
                      </w:r>
                      <w:r w:rsidRPr="00881334">
                        <w:t>Any submission</w:t>
                      </w:r>
                      <w:r w:rsidRPr="00520CD5">
                        <w:t xml:space="preserve"> about any of the proposals to amend the Poisons Standard will be considered at the next meeting of the</w:t>
                      </w:r>
                      <w:r w:rsidRPr="00520CD5">
                        <w:rPr>
                          <w:lang w:val="en"/>
                        </w:rPr>
                        <w:t xml:space="preserve"> </w:t>
                      </w:r>
                      <w:hyperlink r:id="rId22" w:history="1">
                        <w:r w:rsidRPr="00520CD5">
                          <w:rPr>
                            <w:rStyle w:val="Hyperlink"/>
                            <w:rFonts w:cs="Arial"/>
                            <w:szCs w:val="18"/>
                          </w:rPr>
                          <w:t>Advisory Committee on Chemicals Scheduling (ACCS)</w:t>
                        </w:r>
                      </w:hyperlink>
                      <w:r w:rsidRPr="00520CD5">
                        <w:t>.</w:t>
                      </w:r>
                    </w:p>
                    <w:p w14:paraId="53766CC7" w14:textId="57F60CC2" w:rsidR="00685E72" w:rsidRPr="00520CD5" w:rsidRDefault="00685E72" w:rsidP="00F53761">
                      <w:pPr>
                        <w:rPr>
                          <w:b/>
                          <w:lang w:val="en"/>
                        </w:rPr>
                      </w:pPr>
                      <w:r w:rsidRPr="00520CD5">
                        <w:rPr>
                          <w:b/>
                          <w:lang w:val="en"/>
                        </w:rPr>
                        <w:t xml:space="preserve">This consultation </w:t>
                      </w:r>
                      <w:r w:rsidRPr="00A63AE9">
                        <w:rPr>
                          <w:b/>
                          <w:lang w:val="en"/>
                        </w:rPr>
                        <w:t xml:space="preserve">closes on </w:t>
                      </w:r>
                      <w:r w:rsidR="00A63AE9" w:rsidRPr="00A63AE9">
                        <w:rPr>
                          <w:b/>
                          <w:lang w:val="en"/>
                        </w:rPr>
                        <w:t>12 October 2026</w:t>
                      </w:r>
                      <w:r w:rsidRPr="00A63AE9">
                        <w:rPr>
                          <w:b/>
                          <w:lang w:val="en"/>
                        </w:rPr>
                        <w:t>.</w:t>
                      </w:r>
                    </w:p>
                    <w:p w14:paraId="0137F8EC" w14:textId="77777777" w:rsidR="00685E72" w:rsidRPr="00520CD5" w:rsidRDefault="00685E72" w:rsidP="00F53761">
                      <w:r w:rsidRPr="00520CD5">
                        <w:t>We aim to provide documents in an accessible format. If you're having problems using this document, please contact </w:t>
                      </w:r>
                      <w:hyperlink r:id="rId23" w:history="1">
                        <w:r w:rsidRPr="00520CD5">
                          <w:rPr>
                            <w:rStyle w:val="Hyperlink"/>
                            <w:rFonts w:cs="Arial"/>
                            <w:szCs w:val="18"/>
                          </w:rPr>
                          <w:t>medicines.scheduling@health.gov.au</w:t>
                        </w:r>
                      </w:hyperlink>
                      <w:r w:rsidRPr="00520CD5">
                        <w:t>.</w:t>
                      </w:r>
                    </w:p>
                  </w:txbxContent>
                </v:textbox>
                <w10:wrap type="square" anchorx="margin"/>
              </v:shape>
            </w:pict>
          </mc:Fallback>
        </mc:AlternateContent>
      </w:r>
      <w:r w:rsidRPr="00C417B6">
        <w:t xml:space="preserve">In accordance with regulation 42ZCZK of the Regulations, the Secretary invites public submissions on scheduling proposals referred to </w:t>
      </w:r>
      <w:r w:rsidRPr="001173E8">
        <w:t xml:space="preserve">the </w:t>
      </w:r>
      <w:r w:rsidR="00101B4C" w:rsidRPr="00101B4C">
        <w:rPr>
          <w:b/>
          <w:bCs/>
        </w:rPr>
        <w:t>November</w:t>
      </w:r>
      <w:r w:rsidR="00611C19" w:rsidRPr="00101B4C">
        <w:rPr>
          <w:b/>
          <w:bCs/>
        </w:rPr>
        <w:t xml:space="preserve"> 20</w:t>
      </w:r>
      <w:r w:rsidR="000D40E4" w:rsidRPr="00101B4C">
        <w:rPr>
          <w:b/>
          <w:bCs/>
        </w:rPr>
        <w:t>26</w:t>
      </w:r>
      <w:r w:rsidR="002327B4" w:rsidRPr="001173E8">
        <w:t xml:space="preserve"> </w:t>
      </w:r>
      <w:r w:rsidRPr="001173E8">
        <w:t>meeting of the</w:t>
      </w:r>
      <w:r w:rsidR="00F258A8" w:rsidRPr="001173E8">
        <w:t xml:space="preserve"> Advisory Committee on </w:t>
      </w:r>
      <w:r w:rsidR="00750FC2">
        <w:t>Chemicals</w:t>
      </w:r>
      <w:r w:rsidR="00F258A8" w:rsidRPr="001173E8">
        <w:t xml:space="preserve"> Scheduling (AC</w:t>
      </w:r>
      <w:r w:rsidR="00750FC2">
        <w:t>C</w:t>
      </w:r>
      <w:r w:rsidR="00F258A8" w:rsidRPr="001173E8">
        <w:t>S)</w:t>
      </w:r>
      <w:r w:rsidRPr="001173E8">
        <w:t>.</w:t>
      </w:r>
      <w:r w:rsidRPr="00C417B6">
        <w:t xml:space="preserve"> Submissions must be received by close of business</w:t>
      </w:r>
      <w:r w:rsidR="00AE03B4">
        <w:t xml:space="preserve"> </w:t>
      </w:r>
      <w:r w:rsidR="00B22CBA" w:rsidRPr="00B22CBA">
        <w:rPr>
          <w:b/>
          <w:bCs/>
        </w:rPr>
        <w:t>12</w:t>
      </w:r>
      <w:r w:rsidR="003A564A">
        <w:rPr>
          <w:b/>
          <w:bCs/>
        </w:rPr>
        <w:t> </w:t>
      </w:r>
      <w:r w:rsidR="00B22CBA" w:rsidRPr="00B22CBA">
        <w:rPr>
          <w:b/>
          <w:bCs/>
        </w:rPr>
        <w:t>October</w:t>
      </w:r>
      <w:r w:rsidR="003A564A">
        <w:rPr>
          <w:b/>
          <w:bCs/>
        </w:rPr>
        <w:t> </w:t>
      </w:r>
      <w:r w:rsidR="00B22CBA" w:rsidRPr="00B22CBA">
        <w:rPr>
          <w:b/>
          <w:bCs/>
        </w:rPr>
        <w:t>2026</w:t>
      </w:r>
      <w:r w:rsidRPr="00B22CBA">
        <w:t>.</w:t>
      </w:r>
      <w:bookmarkEnd w:id="5"/>
      <w:bookmarkEnd w:id="6"/>
      <w:bookmarkEnd w:id="7"/>
      <w:r w:rsidRPr="00C417B6">
        <w:br w:type="page"/>
      </w:r>
      <w:bookmarkStart w:id="8" w:name="_Toc122614225"/>
    </w:p>
    <w:p w14:paraId="1E7DAC8A" w14:textId="17559801" w:rsidR="00685E72" w:rsidRDefault="004C3D8D" w:rsidP="009C3C0E">
      <w:pPr>
        <w:pStyle w:val="Heading2"/>
      </w:pPr>
      <w:bookmarkStart w:id="9" w:name="_Toc239945879"/>
      <w:r>
        <w:lastRenderedPageBreak/>
        <w:t>1</w:t>
      </w:r>
      <w:r w:rsidR="009C3C0E">
        <w:tab/>
      </w:r>
      <w:bookmarkStart w:id="10" w:name="_Hlk165902706"/>
      <w:r w:rsidR="00685E72">
        <w:t>Proposed amendments referred for scheduling advice to</w:t>
      </w:r>
      <w:r w:rsidR="00B90A0A">
        <w:t> </w:t>
      </w:r>
      <w:r w:rsidR="00685E72">
        <w:t>ACCS</w:t>
      </w:r>
      <w:r w:rsidR="00B90A0A">
        <w:t> </w:t>
      </w:r>
      <w:r w:rsidR="00685E72">
        <w:t>meeting</w:t>
      </w:r>
      <w:r w:rsidR="00B90A0A">
        <w:t> </w:t>
      </w:r>
      <w:r w:rsidR="00685E72">
        <w:t>#</w:t>
      </w:r>
      <w:bookmarkEnd w:id="8"/>
      <w:r w:rsidR="00F76457">
        <w:t>4</w:t>
      </w:r>
      <w:r w:rsidR="7D2C88FB">
        <w:t>3</w:t>
      </w:r>
      <w:bookmarkEnd w:id="9"/>
    </w:p>
    <w:p w14:paraId="5650EFE4" w14:textId="41E4BD81" w:rsidR="00685E72" w:rsidRPr="00C417B6" w:rsidRDefault="004C3D8D" w:rsidP="00794439">
      <w:pPr>
        <w:pStyle w:val="Heading3"/>
      </w:pPr>
      <w:bookmarkStart w:id="11" w:name="_Toc122614226"/>
      <w:bookmarkStart w:id="12" w:name="_Toc239945880"/>
      <w:r>
        <w:t>1</w:t>
      </w:r>
      <w:r w:rsidR="009C3C0E" w:rsidRPr="00A97A0D">
        <w:t>.1</w:t>
      </w:r>
      <w:r w:rsidR="009C3C0E" w:rsidRPr="00A97A0D">
        <w:tab/>
      </w:r>
      <w:bookmarkEnd w:id="11"/>
      <w:r w:rsidR="004F778D">
        <w:t>Phenyl methyl ketone (a</w:t>
      </w:r>
      <w:r w:rsidR="00F76457" w:rsidRPr="00A97A0D">
        <w:t>cetophenone</w:t>
      </w:r>
      <w:r w:rsidR="004F778D">
        <w:t>)</w:t>
      </w:r>
      <w:bookmarkEnd w:id="12"/>
    </w:p>
    <w:p w14:paraId="7A0FDBC9" w14:textId="77777777" w:rsidR="00685E72" w:rsidRPr="00C417B6" w:rsidRDefault="00685E72" w:rsidP="009C3C0E">
      <w:pPr>
        <w:pStyle w:val="Heading4"/>
      </w:pPr>
      <w:bookmarkStart w:id="13" w:name="_Toc122614227"/>
      <w:bookmarkStart w:id="14" w:name="_Toc239945881"/>
      <w:r w:rsidRPr="00C417B6">
        <w:t>Proposal</w:t>
      </w:r>
      <w:bookmarkEnd w:id="13"/>
      <w:bookmarkEnd w:id="14"/>
    </w:p>
    <w:p w14:paraId="54CD5055" w14:textId="0568C892" w:rsidR="00F741D8" w:rsidRDefault="00DF113C" w:rsidP="1C73486F">
      <w:r>
        <w:t xml:space="preserve">This is a Delegate initiated proposal based on recommendations from the Australian Industrial Chemicals Introduction Scheme (AICIS) in their </w:t>
      </w:r>
      <w:hyperlink r:id="rId24">
        <w:r w:rsidRPr="28F2B77C">
          <w:rPr>
            <w:rStyle w:val="Hyperlink"/>
          </w:rPr>
          <w:t xml:space="preserve">Evaluation Statement on </w:t>
        </w:r>
        <w:r w:rsidR="006F16B6" w:rsidRPr="28F2B77C">
          <w:rPr>
            <w:rStyle w:val="Hyperlink"/>
          </w:rPr>
          <w:t>e</w:t>
        </w:r>
        <w:r w:rsidRPr="28F2B77C">
          <w:rPr>
            <w:rStyle w:val="Hyperlink"/>
          </w:rPr>
          <w:t>thanone, 1-phenyl- (Acetophenone)</w:t>
        </w:r>
      </w:hyperlink>
      <w:r>
        <w:t xml:space="preserve"> (the Evaluation Statement).</w:t>
      </w:r>
      <w:r w:rsidR="00481362">
        <w:t xml:space="preserve"> The Evaluation Statement recommended t</w:t>
      </w:r>
      <w:r w:rsidR="00A26571">
        <w:t>hat the</w:t>
      </w:r>
      <w:r w:rsidR="00481362">
        <w:t xml:space="preserve"> current scheduling of acetophenone be amended to restrict its concentration and/or functional use in cosmetic and domestic products to manage the potential </w:t>
      </w:r>
      <w:r w:rsidR="5516B0BD">
        <w:t xml:space="preserve">developmental and foetal toxicity risks associated with </w:t>
      </w:r>
      <w:r w:rsidR="428FCFC9">
        <w:t xml:space="preserve">acute and </w:t>
      </w:r>
      <w:r w:rsidR="5516B0BD">
        <w:t>chronic exposure</w:t>
      </w:r>
      <w:r w:rsidR="00481362">
        <w:t>. T</w:t>
      </w:r>
      <w:r w:rsidR="00561481">
        <w:t>o minimise the risk to users, t</w:t>
      </w:r>
      <w:r w:rsidR="00481362">
        <w:t>he Evaluation Statement estimated that acetophenone would need to be at low concentrations (less than or equal to 0.1%) in paints and paint removers</w:t>
      </w:r>
      <w:r w:rsidR="00F741D8">
        <w:t>.</w:t>
      </w:r>
    </w:p>
    <w:p w14:paraId="4F33E132" w14:textId="7B40F176" w:rsidR="00685E72" w:rsidRPr="00C417B6" w:rsidRDefault="00685E72" w:rsidP="009C3C0E">
      <w:pPr>
        <w:pStyle w:val="Heading4"/>
      </w:pPr>
      <w:bookmarkStart w:id="15" w:name="_Toc122614228"/>
      <w:bookmarkStart w:id="16" w:name="_Toc239945882"/>
      <w:r w:rsidRPr="00C417B6">
        <w:t>CAS Number</w:t>
      </w:r>
      <w:bookmarkEnd w:id="15"/>
      <w:bookmarkEnd w:id="16"/>
    </w:p>
    <w:p w14:paraId="145324F7" w14:textId="75048F09" w:rsidR="00685E72" w:rsidRPr="00C417B6" w:rsidRDefault="00CB3A28" w:rsidP="00C417B6">
      <w:r w:rsidRPr="00CB3A28">
        <w:t>98-86-2</w:t>
      </w:r>
    </w:p>
    <w:p w14:paraId="54BDDD7D" w14:textId="77777777" w:rsidR="00685E72" w:rsidRPr="00C417B6" w:rsidRDefault="00685E72" w:rsidP="009C3C0E">
      <w:pPr>
        <w:pStyle w:val="Heading4"/>
      </w:pPr>
      <w:bookmarkStart w:id="17" w:name="_Toc122614229"/>
      <w:bookmarkStart w:id="18" w:name="_Toc239945883"/>
      <w:r w:rsidRPr="00C417B6">
        <w:t>Alternative names</w:t>
      </w:r>
      <w:bookmarkEnd w:id="17"/>
      <w:bookmarkEnd w:id="18"/>
    </w:p>
    <w:p w14:paraId="24C14FAA" w14:textId="3A0F14F5" w:rsidR="00CB3A28" w:rsidRPr="00C743E3" w:rsidRDefault="00912E94" w:rsidP="00C743E3">
      <w:bookmarkStart w:id="19" w:name="_Toc122614230"/>
      <w:r>
        <w:t>Ethanone, 1-phenyl-</w:t>
      </w:r>
      <w:r w:rsidR="00BD7FF8">
        <w:t>; Hypnone</w:t>
      </w:r>
      <w:r w:rsidR="53526BFF">
        <w:t xml:space="preserve"> (historical brand name)</w:t>
      </w:r>
      <w:r w:rsidR="4BE5CF03">
        <w:t xml:space="preserve">, </w:t>
      </w:r>
      <w:r w:rsidR="084606FB">
        <w:t>1-Phenylethanone, Acetylbenzene, Methyl phenyl ketone.</w:t>
      </w:r>
    </w:p>
    <w:p w14:paraId="7676CE00" w14:textId="77777777" w:rsidR="00685E72" w:rsidRPr="00C417B6" w:rsidRDefault="00685E72" w:rsidP="009C3C0E">
      <w:pPr>
        <w:pStyle w:val="Heading4"/>
      </w:pPr>
      <w:bookmarkStart w:id="20" w:name="_Toc122614231"/>
      <w:bookmarkStart w:id="21" w:name="_Toc239945884"/>
      <w:bookmarkEnd w:id="19"/>
      <w:r w:rsidRPr="00C417B6">
        <w:t>Proposed Scheduling</w:t>
      </w:r>
      <w:bookmarkEnd w:id="20"/>
      <w:bookmarkEnd w:id="21"/>
    </w:p>
    <w:p w14:paraId="3907CD46" w14:textId="3FAE98B7" w:rsidR="00FE5B42" w:rsidRDefault="005F23F3" w:rsidP="00FE5B42">
      <w:r w:rsidRPr="005F23F3">
        <w:t>Phenyl methyl ketone (acetophenone)</w:t>
      </w:r>
      <w:r w:rsidR="00F65373">
        <w:t xml:space="preserve"> is </w:t>
      </w:r>
      <w:r w:rsidR="00F65373" w:rsidRPr="00F65373">
        <w:t>currently</w:t>
      </w:r>
      <w:r w:rsidR="00F65373">
        <w:t xml:space="preserve"> </w:t>
      </w:r>
      <w:r w:rsidR="00F65373" w:rsidRPr="00F65373">
        <w:t xml:space="preserve">included in the list </w:t>
      </w:r>
      <w:r w:rsidR="00497ED4">
        <w:t xml:space="preserve">for the </w:t>
      </w:r>
      <w:r w:rsidR="00F65373" w:rsidRPr="00F65373">
        <w:rPr>
          <w:i/>
          <w:iCs/>
        </w:rPr>
        <w:t>designated solvents</w:t>
      </w:r>
      <w:r w:rsidR="00F65373" w:rsidRPr="00F65373">
        <w:t xml:space="preserve"> </w:t>
      </w:r>
      <w:r w:rsidR="00497ED4">
        <w:t xml:space="preserve">definition </w:t>
      </w:r>
      <w:r w:rsidR="00F65373" w:rsidRPr="00F65373">
        <w:t>in Part 1, section 6 of the Poisons Standard.</w:t>
      </w:r>
      <w:r w:rsidR="00F65373">
        <w:t xml:space="preserve"> </w:t>
      </w:r>
      <w:r w:rsidR="00F65373" w:rsidRPr="00F65373">
        <w:t xml:space="preserve">Phenyl methyl ketone is </w:t>
      </w:r>
      <w:r w:rsidR="003E4013">
        <w:t>classified</w:t>
      </w:r>
      <w:r w:rsidR="00764438" w:rsidRPr="00C417B6">
        <w:t xml:space="preserve"> </w:t>
      </w:r>
      <w:r>
        <w:t>as a Caution (Schedule 5) substance</w:t>
      </w:r>
      <w:r w:rsidR="00764438" w:rsidRPr="00C417B6">
        <w:t xml:space="preserve"> </w:t>
      </w:r>
      <w:r w:rsidR="00FE5B42">
        <w:t xml:space="preserve">except in preparations containing 25% or less of designated solvents. It </w:t>
      </w:r>
      <w:r w:rsidR="00230D9E">
        <w:t>also requires</w:t>
      </w:r>
      <w:r w:rsidR="007A3530">
        <w:t xml:space="preserve"> the following</w:t>
      </w:r>
      <w:r w:rsidR="00230D9E">
        <w:t xml:space="preserve"> </w:t>
      </w:r>
      <w:r w:rsidR="007A3530">
        <w:t>f</w:t>
      </w:r>
      <w:r w:rsidR="00230D9E" w:rsidRPr="00230D9E">
        <w:t xml:space="preserve">irst aid instructions </w:t>
      </w:r>
      <w:r w:rsidR="00230D9E">
        <w:t>(</w:t>
      </w:r>
      <w:r w:rsidR="00FE5B42">
        <w:t>Appendix</w:t>
      </w:r>
      <w:r w:rsidR="00230D9E">
        <w:t> </w:t>
      </w:r>
      <w:r w:rsidR="00FE5B42">
        <w:t>E</w:t>
      </w:r>
      <w:r w:rsidR="007A3530">
        <w:t>, clause 3</w:t>
      </w:r>
      <w:r w:rsidR="00230D9E">
        <w:t>)</w:t>
      </w:r>
      <w:r w:rsidR="00FE5B42">
        <w:t>:</w:t>
      </w:r>
    </w:p>
    <w:p w14:paraId="7B5AB6A4" w14:textId="77777777" w:rsidR="00FE5B42" w:rsidRDefault="00FE5B42" w:rsidP="00FE5B42">
      <w:pPr>
        <w:ind w:left="720"/>
      </w:pPr>
      <w:r>
        <w:t>A: For advice, contact a Poisons Information Centre (e.g. phone Australia 13 11 26; New Zealand 0800 764 766) or a doctor (at once).</w:t>
      </w:r>
    </w:p>
    <w:p w14:paraId="621DA4F7" w14:textId="77777777" w:rsidR="00FE5B42" w:rsidRDefault="00FE5B42" w:rsidP="00FE5B42">
      <w:pPr>
        <w:ind w:left="720"/>
      </w:pPr>
      <w:r>
        <w:t>G3: If swallowed, do NOT induce vomiting.</w:t>
      </w:r>
    </w:p>
    <w:p w14:paraId="264E8D72" w14:textId="77777777" w:rsidR="00FE5B42" w:rsidRDefault="00FE5B42" w:rsidP="00FE5B42">
      <w:pPr>
        <w:ind w:left="720"/>
      </w:pPr>
      <w:r>
        <w:t>E1: If in eyes wash out immediately with water.</w:t>
      </w:r>
    </w:p>
    <w:p w14:paraId="0FB65347" w14:textId="2CA8E5ED" w:rsidR="00764438" w:rsidRPr="009F0C0A" w:rsidRDefault="00764438" w:rsidP="00764438">
      <w:r w:rsidRPr="009F0C0A">
        <w:t>The proposed amendments to the Poisons Standard are</w:t>
      </w:r>
      <w:r w:rsidRPr="009F0C0A">
        <w:rPr>
          <w:vertAlign w:val="superscript"/>
        </w:rPr>
        <w:footnoteReference w:id="1"/>
      </w:r>
      <w:r w:rsidRPr="009F0C0A">
        <w:t>:</w:t>
      </w:r>
    </w:p>
    <w:p w14:paraId="60A57EDE" w14:textId="17F41322" w:rsidR="00764438" w:rsidRPr="00F75DFB" w:rsidRDefault="00764438" w:rsidP="00764438">
      <w:pPr>
        <w:ind w:left="426"/>
        <w:rPr>
          <w:b/>
          <w:bCs/>
        </w:rPr>
      </w:pPr>
      <w:r w:rsidRPr="009F0C0A">
        <w:rPr>
          <w:b/>
          <w:bCs/>
        </w:rPr>
        <w:t xml:space="preserve">Schedule </w:t>
      </w:r>
      <w:r w:rsidR="009F0C0A" w:rsidRPr="009F0C0A">
        <w:rPr>
          <w:b/>
          <w:bCs/>
        </w:rPr>
        <w:t>5</w:t>
      </w:r>
      <w:r w:rsidRPr="009F0C0A">
        <w:rPr>
          <w:b/>
          <w:bCs/>
        </w:rPr>
        <w:t xml:space="preserve"> –</w:t>
      </w:r>
      <w:r w:rsidR="00B90376">
        <w:rPr>
          <w:b/>
          <w:bCs/>
        </w:rPr>
        <w:t xml:space="preserve"> </w:t>
      </w:r>
      <w:r w:rsidRPr="009F0C0A">
        <w:rPr>
          <w:b/>
          <w:bCs/>
        </w:rPr>
        <w:t>Amend Entry</w:t>
      </w:r>
    </w:p>
    <w:p w14:paraId="103CF57C" w14:textId="77777777" w:rsidR="00DF3233" w:rsidRDefault="00DF3233" w:rsidP="00DF3233">
      <w:pPr>
        <w:ind w:left="709"/>
      </w:pPr>
      <w:r>
        <w:t xml:space="preserve">PHENYL METHYL KETONE: </w:t>
      </w:r>
      <w:r w:rsidRPr="007D2843">
        <w:rPr>
          <w:strike/>
          <w:color w:val="FF0000"/>
        </w:rPr>
        <w:t>except in preparations containing 25% or less of designated solvents</w:t>
      </w:r>
    </w:p>
    <w:p w14:paraId="0DA242C8" w14:textId="77777777" w:rsidR="00DF3233" w:rsidRPr="00AD7F6D" w:rsidRDefault="00DF3233" w:rsidP="00DF3233">
      <w:pPr>
        <w:pStyle w:val="ListParagraph"/>
        <w:numPr>
          <w:ilvl w:val="0"/>
          <w:numId w:val="40"/>
        </w:numPr>
        <w:spacing w:before="0" w:after="160" w:line="259" w:lineRule="auto"/>
        <w:ind w:left="1429" w:hanging="437"/>
        <w:rPr>
          <w:color w:val="00B050"/>
          <w:u w:val="single"/>
        </w:rPr>
      </w:pPr>
      <w:r w:rsidRPr="00AD7F6D">
        <w:rPr>
          <w:color w:val="00B050"/>
          <w:u w:val="single"/>
        </w:rPr>
        <w:t xml:space="preserve">in paints and paint removers </w:t>
      </w:r>
      <w:r w:rsidRPr="00AD7F6D">
        <w:rPr>
          <w:b/>
          <w:bCs/>
          <w:color w:val="00B050"/>
          <w:u w:val="single"/>
        </w:rPr>
        <w:t>except</w:t>
      </w:r>
      <w:r w:rsidRPr="00AD7F6D">
        <w:rPr>
          <w:color w:val="00B050"/>
          <w:u w:val="single"/>
        </w:rPr>
        <w:t> in preparations containing 0.1% or less of phenyl methyl ketone; or</w:t>
      </w:r>
    </w:p>
    <w:p w14:paraId="24E8B6FE" w14:textId="69598265" w:rsidR="00DF3233" w:rsidRDefault="00DF3233" w:rsidP="00DF3233">
      <w:pPr>
        <w:pStyle w:val="ListParagraph"/>
        <w:numPr>
          <w:ilvl w:val="0"/>
          <w:numId w:val="40"/>
        </w:numPr>
        <w:spacing w:before="0" w:after="160" w:line="259" w:lineRule="auto"/>
        <w:ind w:left="1417" w:hanging="425"/>
        <w:rPr>
          <w:color w:val="00B050"/>
          <w:u w:val="single"/>
        </w:rPr>
      </w:pPr>
      <w:r w:rsidRPr="28F2B77C">
        <w:rPr>
          <w:color w:val="00B050"/>
          <w:u w:val="single"/>
        </w:rPr>
        <w:t>in preparations</w:t>
      </w:r>
      <w:r w:rsidR="000D782E">
        <w:rPr>
          <w:color w:val="00B050"/>
          <w:u w:val="single"/>
        </w:rPr>
        <w:t xml:space="preserve"> for domestic and cosmetic use</w:t>
      </w:r>
      <w:r w:rsidRPr="28F2B77C">
        <w:rPr>
          <w:color w:val="00B050"/>
          <w:u w:val="single"/>
        </w:rPr>
        <w:t xml:space="preserve"> </w:t>
      </w:r>
      <w:r w:rsidRPr="00F41550">
        <w:rPr>
          <w:b/>
          <w:bCs/>
          <w:color w:val="00B050"/>
          <w:u w:val="single"/>
        </w:rPr>
        <w:t>except</w:t>
      </w:r>
      <w:r w:rsidR="00B53E57" w:rsidRPr="005A5D61">
        <w:rPr>
          <w:color w:val="00B050"/>
          <w:u w:val="single"/>
        </w:rPr>
        <w:t xml:space="preserve"> </w:t>
      </w:r>
      <w:r w:rsidR="002C3B5C" w:rsidRPr="005A5D61">
        <w:rPr>
          <w:color w:val="00B050"/>
          <w:u w:val="single"/>
        </w:rPr>
        <w:t>in p</w:t>
      </w:r>
      <w:r w:rsidR="009F3B79" w:rsidRPr="005A5D61">
        <w:rPr>
          <w:color w:val="00B050"/>
          <w:u w:val="single"/>
        </w:rPr>
        <w:t xml:space="preserve">reparations containing </w:t>
      </w:r>
      <w:r w:rsidRPr="28F2B77C">
        <w:rPr>
          <w:color w:val="00B050"/>
          <w:u w:val="single"/>
        </w:rPr>
        <w:t>0.2% or less of phenyl methyl ketone.</w:t>
      </w:r>
    </w:p>
    <w:p w14:paraId="78E0153B" w14:textId="186C4A64" w:rsidR="0090301B" w:rsidRPr="00CE6D00" w:rsidRDefault="007D7799" w:rsidP="0034400A">
      <w:pPr>
        <w:spacing w:after="160"/>
      </w:pPr>
      <w:r>
        <w:t xml:space="preserve">Phenyl methyl ketone </w:t>
      </w:r>
      <w:r w:rsidR="00014DA4">
        <w:t>would</w:t>
      </w:r>
      <w:r>
        <w:t xml:space="preserve"> also </w:t>
      </w:r>
      <w:r w:rsidR="00014DA4">
        <w:t>be deleted</w:t>
      </w:r>
      <w:r>
        <w:t xml:space="preserve"> </w:t>
      </w:r>
      <w:r w:rsidR="00014DA4">
        <w:t>from</w:t>
      </w:r>
      <w:r>
        <w:t xml:space="preserve"> the list </w:t>
      </w:r>
      <w:r w:rsidR="001A1C5C">
        <w:t xml:space="preserve">in the </w:t>
      </w:r>
      <w:r w:rsidRPr="006D7385">
        <w:rPr>
          <w:i/>
          <w:iCs/>
        </w:rPr>
        <w:t>designated solvents</w:t>
      </w:r>
      <w:r>
        <w:t xml:space="preserve"> </w:t>
      </w:r>
      <w:r w:rsidR="001A1C5C">
        <w:t xml:space="preserve">definition </w:t>
      </w:r>
      <w:r>
        <w:t xml:space="preserve">in </w:t>
      </w:r>
      <w:r w:rsidR="00702323">
        <w:t>Part </w:t>
      </w:r>
      <w:r>
        <w:t xml:space="preserve">1, section 6 of the </w:t>
      </w:r>
      <w:r w:rsidRPr="009F0C0A">
        <w:t>Poisons Standard</w:t>
      </w:r>
      <w:r w:rsidR="0034400A">
        <w:t>.</w:t>
      </w:r>
    </w:p>
    <w:p w14:paraId="6DA90BB6" w14:textId="77777777" w:rsidR="00D6337C" w:rsidRPr="00C417B6" w:rsidRDefault="00D6337C" w:rsidP="00764438">
      <w:pPr>
        <w:pStyle w:val="Heading4"/>
      </w:pPr>
      <w:bookmarkStart w:id="22" w:name="_Toc239945885"/>
      <w:r w:rsidRPr="00C417B6">
        <w:lastRenderedPageBreak/>
        <w:t>Background</w:t>
      </w:r>
      <w:bookmarkEnd w:id="22"/>
    </w:p>
    <w:p w14:paraId="09332507" w14:textId="4676FDCF" w:rsidR="00D6337C" w:rsidRPr="00C417B6" w:rsidRDefault="004551E8" w:rsidP="00C417B6">
      <w:r>
        <w:t>A</w:t>
      </w:r>
      <w:r w:rsidR="00AA2FED" w:rsidRPr="00AA2FED">
        <w:t>cetophenone is an aromatic ketone used as a solvent in domestic products</w:t>
      </w:r>
      <w:r w:rsidR="009E2FD6">
        <w:t xml:space="preserve">, such as </w:t>
      </w:r>
      <w:r w:rsidR="009E2FD6" w:rsidRPr="009E2FD6">
        <w:t>paints and paint removers, in combination with other designated solvents</w:t>
      </w:r>
      <w:r w:rsidR="009E2FD6">
        <w:t>.</w:t>
      </w:r>
      <w:r w:rsidR="00AA2FED" w:rsidRPr="00AA2FED">
        <w:t xml:space="preserve"> </w:t>
      </w:r>
      <w:r w:rsidR="00902F5A">
        <w:t>It is also used</w:t>
      </w:r>
      <w:r w:rsidR="00AA2FED" w:rsidRPr="00AA2FED">
        <w:t xml:space="preserve"> as </w:t>
      </w:r>
      <w:r w:rsidR="00902F5A">
        <w:t xml:space="preserve">a </w:t>
      </w:r>
      <w:r w:rsidR="00AA2FED" w:rsidRPr="00AA2FED">
        <w:t xml:space="preserve">chemical intermediate and fragrance in a range of products including personal care, </w:t>
      </w:r>
      <w:r w:rsidR="00935CE7">
        <w:t>c</w:t>
      </w:r>
      <w:r w:rsidR="00AA2FED" w:rsidRPr="00AA2FED">
        <w:t>leaning and furniture care, laundry and dishwashing</w:t>
      </w:r>
      <w:r w:rsidR="00935CE7">
        <w:t>,</w:t>
      </w:r>
      <w:r w:rsidR="00AA2FED" w:rsidRPr="00AA2FED">
        <w:t xml:space="preserve"> and air care</w:t>
      </w:r>
      <w:r w:rsidR="00935CE7">
        <w:t xml:space="preserve"> products</w:t>
      </w:r>
      <w:r w:rsidR="00AA2FED" w:rsidRPr="00AA2FED">
        <w:t>.</w:t>
      </w:r>
    </w:p>
    <w:p w14:paraId="0A204434" w14:textId="1F28F53F" w:rsidR="00D6337C" w:rsidRPr="00C417B6" w:rsidRDefault="00D6337C" w:rsidP="28F2B77C">
      <w:pPr>
        <w:pStyle w:val="Heading4"/>
      </w:pPr>
      <w:bookmarkStart w:id="23" w:name="_Toc239945886"/>
      <w:r>
        <w:t>Summary</w:t>
      </w:r>
      <w:r w:rsidR="0E15EB3E">
        <w:t xml:space="preserve"> </w:t>
      </w:r>
      <w:r>
        <w:t>of reasons for the proposal</w:t>
      </w:r>
      <w:bookmarkEnd w:id="23"/>
    </w:p>
    <w:p w14:paraId="38DBB056" w14:textId="4AF27877" w:rsidR="28F2B77C" w:rsidRDefault="28F2B77C" w:rsidP="00F46DD3">
      <w:r>
        <w:t xml:space="preserve">Acetophenone has been shown to cause adverse effects on fertility and foetal development following acute exposure. </w:t>
      </w:r>
      <w:r w:rsidR="00E26289">
        <w:t xml:space="preserve">AICIS calculated </w:t>
      </w:r>
      <w:r>
        <w:t xml:space="preserve">a Margin of Exposure (MOE) of 300 </w:t>
      </w:r>
      <w:r w:rsidR="00B02073">
        <w:t xml:space="preserve">for </w:t>
      </w:r>
      <w:r w:rsidR="002E2B68">
        <w:t xml:space="preserve">use </w:t>
      </w:r>
      <w:r w:rsidR="0027478D">
        <w:t xml:space="preserve">in paints and paint removers containing </w:t>
      </w:r>
      <w:r>
        <w:t>0.1% acetophenone based on developmental toxicity following inhalation and dermal systemic exposure. MOE values of 300 or higher were considered acceptable, while MOE values below 300 indicate potential risk</w:t>
      </w:r>
      <w:r w:rsidR="00F46DD3">
        <w:t>s</w:t>
      </w:r>
      <w:r>
        <w:t xml:space="preserve"> to human health.</w:t>
      </w:r>
      <w:r w:rsidR="00F46DD3" w:rsidRPr="00F46DD3">
        <w:t xml:space="preserve"> </w:t>
      </w:r>
      <w:r w:rsidR="00F46DD3">
        <w:t>The MOE methodology is commonly used to characterise risks to human health associated with exposure to chemicals. The MOE approach compares estimated human exposure with a toxicological Point-of</w:t>
      </w:r>
      <w:r w:rsidR="007F437B">
        <w:t>-Departure</w:t>
      </w:r>
      <w:r w:rsidR="00F46DD3">
        <w:t>, to determine whether a sufficient margin exists to protect against a particular adverse health effect.</w:t>
      </w:r>
    </w:p>
    <w:p w14:paraId="6E58448B" w14:textId="4C271859" w:rsidR="28F2B77C" w:rsidRDefault="28F2B77C">
      <w:r>
        <w:t>When used as a fragrance at low concentrations of 0.2% or less, acetophenone was considered unlikely to pose a health risk. In cosmetic and air care products (including for infants and toddlers), assuming worst-case combined daily systemic exposure, acetophenone was considered unlikely to pose a risk to human health.</w:t>
      </w:r>
    </w:p>
    <w:p w14:paraId="4A712F02" w14:textId="398E47FE" w:rsidR="00EF7704" w:rsidRPr="00691F62" w:rsidRDefault="00B90376" w:rsidP="00CF221C">
      <w:r>
        <w:t xml:space="preserve">As </w:t>
      </w:r>
      <w:r w:rsidR="00D128D8">
        <w:t xml:space="preserve">amending the </w:t>
      </w:r>
      <w:r w:rsidR="00D128D8" w:rsidRPr="00691F62">
        <w:t xml:space="preserve">exempt concentration of acetophenone </w:t>
      </w:r>
      <w:r w:rsidR="002F4D70" w:rsidRPr="00691F62">
        <w:t>would</w:t>
      </w:r>
      <w:r w:rsidR="00AB0979" w:rsidRPr="00691F62">
        <w:t xml:space="preserve"> result in </w:t>
      </w:r>
      <w:r w:rsidR="00F40172" w:rsidRPr="00691F62">
        <w:t>the limit</w:t>
      </w:r>
      <w:r w:rsidR="002F4D70" w:rsidRPr="00691F62">
        <w:t xml:space="preserve"> no longer align</w:t>
      </w:r>
      <w:r w:rsidR="00F40172" w:rsidRPr="00691F62">
        <w:t>ing</w:t>
      </w:r>
      <w:r w:rsidR="002F4D70" w:rsidRPr="00691F62">
        <w:t xml:space="preserve"> with the </w:t>
      </w:r>
      <w:r w:rsidR="00013B27" w:rsidRPr="00691F62">
        <w:t>25% exemption for designated solvents</w:t>
      </w:r>
      <w:r w:rsidR="00B61B03" w:rsidRPr="00691F62">
        <w:t>, a</w:t>
      </w:r>
      <w:r w:rsidR="008912DE" w:rsidRPr="00691F62">
        <w:t xml:space="preserve"> new maximum concentration of 0.2% acetophenone </w:t>
      </w:r>
      <w:r w:rsidR="006B7FF5" w:rsidRPr="00691F62">
        <w:t xml:space="preserve">when used </w:t>
      </w:r>
      <w:r w:rsidR="001931A0">
        <w:t>in domestic and cosmetic products</w:t>
      </w:r>
      <w:r w:rsidR="006B7FF5" w:rsidRPr="00691F62">
        <w:t xml:space="preserve"> </w:t>
      </w:r>
      <w:r w:rsidR="008912DE" w:rsidRPr="00691F62">
        <w:t xml:space="preserve">is </w:t>
      </w:r>
      <w:r w:rsidR="00436AD1" w:rsidRPr="00691F62">
        <w:t>also</w:t>
      </w:r>
      <w:r w:rsidR="006B7FF5" w:rsidRPr="00691F62">
        <w:t xml:space="preserve"> being proposed.</w:t>
      </w:r>
      <w:r w:rsidR="00390803" w:rsidRPr="00691F62">
        <w:t xml:space="preserve"> This is based on the maximum use concentration</w:t>
      </w:r>
      <w:r w:rsidR="00316808" w:rsidRPr="00691F62">
        <w:t xml:space="preserve"> in fine fragrances</w:t>
      </w:r>
      <w:r w:rsidR="00390803" w:rsidRPr="00691F62">
        <w:t xml:space="preserve"> identified </w:t>
      </w:r>
      <w:r w:rsidR="00316808" w:rsidRPr="00691F62">
        <w:t xml:space="preserve">in </w:t>
      </w:r>
      <w:r w:rsidR="00390803" w:rsidRPr="00691F62">
        <w:t>the Evaluation Statement</w:t>
      </w:r>
      <w:r w:rsidR="004D5DB6">
        <w:t>, which is the most frequent use reported for domestic and cosmetic products</w:t>
      </w:r>
      <w:r w:rsidR="00390803" w:rsidRPr="00691F62">
        <w:t>.</w:t>
      </w:r>
    </w:p>
    <w:p w14:paraId="7F709ECE" w14:textId="77777777" w:rsidR="00D6337C" w:rsidRPr="00691F62" w:rsidRDefault="00D6337C" w:rsidP="28F2B77C">
      <w:pPr>
        <w:pStyle w:val="Heading4"/>
      </w:pPr>
      <w:bookmarkStart w:id="24" w:name="_Toc239945887"/>
      <w:r>
        <w:t>Key uses / expected use</w:t>
      </w:r>
      <w:bookmarkEnd w:id="24"/>
    </w:p>
    <w:p w14:paraId="01088E74" w14:textId="6C4C97DE" w:rsidR="00316808" w:rsidRDefault="242B0665">
      <w:r>
        <w:t>Acetophenone is used as a fragrance ingredient in a range of cosmetic and domestic products, including personal care products, cleaning and furniture care products, laundry and dishwashing products, and air care products. It has also been identified in other domestic and commercial products, including paints and coatings (including thinners and removers), lubricants and greases, adhesives and sealants, fillers, putties, plasters and modelling clays. The functional use and concentrations in these other products are not known, although acetophenone is listed as a designated solvent in the Poisons Standard and may be used as a solvent in some products.</w:t>
      </w:r>
    </w:p>
    <w:p w14:paraId="6E1C06E7" w14:textId="202E1610" w:rsidR="242B0665" w:rsidRDefault="242B0665" w:rsidP="28F2B77C">
      <w:r>
        <w:t>Acetophenone also has site-limited industrial applications, including use as an intermediate, solvent, catalyst and corrosion inhibitor.</w:t>
      </w:r>
    </w:p>
    <w:p w14:paraId="144CB53F" w14:textId="77777777" w:rsidR="00D6337C" w:rsidRPr="00C417B6" w:rsidRDefault="00D6337C" w:rsidP="009C3C0E">
      <w:pPr>
        <w:pStyle w:val="Heading4"/>
      </w:pPr>
      <w:bookmarkStart w:id="25" w:name="_Toc239945888"/>
      <w:r w:rsidRPr="00C417B6">
        <w:t>Australian regulations</w:t>
      </w:r>
      <w:bookmarkEnd w:id="25"/>
    </w:p>
    <w:p w14:paraId="5DD1EAAE" w14:textId="5381C458" w:rsidR="005A3A02" w:rsidRDefault="00D6337C" w:rsidP="00764438">
      <w:pPr>
        <w:pStyle w:val="ListBullet"/>
      </w:pPr>
      <w:r w:rsidRPr="00C417B6">
        <w:t xml:space="preserve">According to the </w:t>
      </w:r>
      <w:hyperlink r:id="rId25" w:history="1">
        <w:r w:rsidRPr="00C417B6">
          <w:rPr>
            <w:rStyle w:val="Hyperlink"/>
          </w:rPr>
          <w:t>TGA Ingredient Database</w:t>
        </w:r>
      </w:hyperlink>
      <w:r w:rsidRPr="00C417B6">
        <w:t xml:space="preserve">, </w:t>
      </w:r>
      <w:r w:rsidR="00C85443">
        <w:t>acetophenone</w:t>
      </w:r>
      <w:r w:rsidRPr="00C417B6">
        <w:t xml:space="preserve"> </w:t>
      </w:r>
      <w:r w:rsidR="00764438">
        <w:t>is</w:t>
      </w:r>
      <w:r w:rsidRPr="00C417B6">
        <w:t xml:space="preserve"> available for use as an active ingredient in: Biologicals</w:t>
      </w:r>
      <w:r w:rsidR="00573233">
        <w:t xml:space="preserve"> </w:t>
      </w:r>
      <w:r w:rsidRPr="00C417B6">
        <w:t>and Prescription Medicines</w:t>
      </w:r>
      <w:r w:rsidR="00764438">
        <w:t>.</w:t>
      </w:r>
    </w:p>
    <w:p w14:paraId="78489CCF" w14:textId="01C7CD40" w:rsidR="00D6337C" w:rsidRDefault="00D6337C" w:rsidP="00764438">
      <w:pPr>
        <w:pStyle w:val="ListBullet"/>
      </w:pPr>
      <w:r w:rsidRPr="00C417B6">
        <w:t xml:space="preserve">As </w:t>
      </w:r>
      <w:r w:rsidRPr="008E5D12">
        <w:t xml:space="preserve">of </w:t>
      </w:r>
      <w:r w:rsidR="008E5D12" w:rsidRPr="008E5D12">
        <w:t>2</w:t>
      </w:r>
      <w:r w:rsidRPr="008E5D12">
        <w:t xml:space="preserve"> </w:t>
      </w:r>
      <w:r w:rsidR="008E5D12" w:rsidRPr="008E5D12">
        <w:t>September</w:t>
      </w:r>
      <w:r w:rsidRPr="008E5D12">
        <w:t xml:space="preserve"> 20</w:t>
      </w:r>
      <w:r w:rsidR="008E5D12" w:rsidRPr="008E5D12">
        <w:t>26</w:t>
      </w:r>
      <w:r w:rsidRPr="008E5D12">
        <w:t>, there</w:t>
      </w:r>
      <w:r w:rsidRPr="00C417B6">
        <w:t xml:space="preserve"> were </w:t>
      </w:r>
      <w:r w:rsidR="008E5D12">
        <w:t>no</w:t>
      </w:r>
      <w:r w:rsidRPr="00C417B6">
        <w:t xml:space="preserve"> medicines currently active on the </w:t>
      </w:r>
      <w:hyperlink r:id="rId26" w:history="1">
        <w:r w:rsidRPr="00C417B6">
          <w:rPr>
            <w:rStyle w:val="Hyperlink"/>
          </w:rPr>
          <w:t>Australian Register of Therapeutic Goods (ARTG)</w:t>
        </w:r>
      </w:hyperlink>
      <w:r w:rsidRPr="00C417B6">
        <w:t xml:space="preserve"> that contain </w:t>
      </w:r>
      <w:r w:rsidR="008E5D12">
        <w:t>acetophenone</w:t>
      </w:r>
      <w:r w:rsidRPr="00C417B6">
        <w:t xml:space="preserve"> as an active ingredient.</w:t>
      </w:r>
    </w:p>
    <w:p w14:paraId="3609930E" w14:textId="73D09F7D" w:rsidR="00D6337C" w:rsidRDefault="00D6337C" w:rsidP="005A3A02">
      <w:pPr>
        <w:pStyle w:val="ListBullet"/>
      </w:pPr>
      <w:r w:rsidRPr="00C417B6">
        <w:t xml:space="preserve">According to the </w:t>
      </w:r>
      <w:hyperlink r:id="rId27" w:history="1">
        <w:r w:rsidR="0004382A" w:rsidRPr="00C417B6">
          <w:rPr>
            <w:rStyle w:val="Hyperlink"/>
          </w:rPr>
          <w:t>Therapeutic Goods (Permissible Ingredients) Determination</w:t>
        </w:r>
      </w:hyperlink>
      <w:r w:rsidR="0004382A" w:rsidRPr="00C417B6">
        <w:t xml:space="preserve"> No.</w:t>
      </w:r>
      <w:r w:rsidR="0004382A">
        <w:t xml:space="preserve"> 2</w:t>
      </w:r>
      <w:r w:rsidR="0004382A" w:rsidRPr="00C417B6">
        <w:t xml:space="preserve"> of 20</w:t>
      </w:r>
      <w:r w:rsidR="0004382A">
        <w:t>26</w:t>
      </w:r>
      <w:r w:rsidRPr="00C417B6">
        <w:t xml:space="preserve">, </w:t>
      </w:r>
      <w:r w:rsidR="0004382A">
        <w:t>acetophenone</w:t>
      </w:r>
      <w:r w:rsidRPr="00C417B6">
        <w:t xml:space="preserve"> is permitted to be included in listed medicines as follows:</w:t>
      </w:r>
    </w:p>
    <w:tbl>
      <w:tblPr>
        <w:tblStyle w:val="TableTGAblue2023"/>
        <w:tblW w:w="9067" w:type="dxa"/>
        <w:tblLayout w:type="fixed"/>
        <w:tblLook w:val="04A0" w:firstRow="1" w:lastRow="0" w:firstColumn="1" w:lastColumn="0" w:noHBand="0" w:noVBand="1"/>
      </w:tblPr>
      <w:tblGrid>
        <w:gridCol w:w="1129"/>
        <w:gridCol w:w="2410"/>
        <w:gridCol w:w="1276"/>
        <w:gridCol w:w="4252"/>
      </w:tblGrid>
      <w:tr w:rsidR="000621E7" w14:paraId="22047A23" w14:textId="77777777" w:rsidTr="002637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285B60D2" w14:textId="77777777" w:rsidR="000621E7" w:rsidRDefault="000621E7" w:rsidP="002637F1">
            <w:r>
              <w:t>Item</w:t>
            </w:r>
          </w:p>
        </w:tc>
        <w:tc>
          <w:tcPr>
            <w:tcW w:w="2410" w:type="dxa"/>
          </w:tcPr>
          <w:p w14:paraId="549E1EDF" w14:textId="77777777" w:rsidR="000621E7" w:rsidRDefault="000621E7" w:rsidP="002637F1">
            <w:pPr>
              <w:cnfStyle w:val="100000000000" w:firstRow="1" w:lastRow="0" w:firstColumn="0" w:lastColumn="0" w:oddVBand="0" w:evenVBand="0" w:oddHBand="0" w:evenHBand="0" w:firstRowFirstColumn="0" w:firstRowLastColumn="0" w:lastRowFirstColumn="0" w:lastRowLastColumn="0"/>
            </w:pPr>
            <w:r>
              <w:t>Ingredient name</w:t>
            </w:r>
          </w:p>
        </w:tc>
        <w:tc>
          <w:tcPr>
            <w:tcW w:w="1276" w:type="dxa"/>
          </w:tcPr>
          <w:p w14:paraId="51132EE5" w14:textId="77777777" w:rsidR="000621E7" w:rsidRDefault="000621E7" w:rsidP="002637F1">
            <w:pPr>
              <w:cnfStyle w:val="100000000000" w:firstRow="1" w:lastRow="0" w:firstColumn="0" w:lastColumn="0" w:oddVBand="0" w:evenVBand="0" w:oddHBand="0" w:evenHBand="0" w:firstRowFirstColumn="0" w:firstRowLastColumn="0" w:lastRowFirstColumn="0" w:lastRowLastColumn="0"/>
            </w:pPr>
            <w:r>
              <w:t>Purpose</w:t>
            </w:r>
          </w:p>
        </w:tc>
        <w:tc>
          <w:tcPr>
            <w:tcW w:w="4252" w:type="dxa"/>
          </w:tcPr>
          <w:p w14:paraId="67FAF7E2" w14:textId="77777777" w:rsidR="000621E7" w:rsidRPr="000B20AB" w:rsidRDefault="000621E7" w:rsidP="002637F1">
            <w:pPr>
              <w:cnfStyle w:val="100000000000" w:firstRow="1" w:lastRow="0" w:firstColumn="0" w:lastColumn="0" w:oddVBand="0" w:evenVBand="0" w:oddHBand="0" w:evenHBand="0" w:firstRowFirstColumn="0" w:firstRowLastColumn="0" w:lastRowFirstColumn="0" w:lastRowLastColumn="0"/>
              <w:rPr>
                <w:b w:val="0"/>
              </w:rPr>
            </w:pPr>
            <w:r>
              <w:t>Specific requirements</w:t>
            </w:r>
          </w:p>
        </w:tc>
      </w:tr>
      <w:tr w:rsidR="000621E7" w14:paraId="170A7124" w14:textId="77777777" w:rsidTr="002637F1">
        <w:tc>
          <w:tcPr>
            <w:cnfStyle w:val="001000000000" w:firstRow="0" w:lastRow="0" w:firstColumn="1" w:lastColumn="0" w:oddVBand="0" w:evenVBand="0" w:oddHBand="0" w:evenHBand="0" w:firstRowFirstColumn="0" w:firstRowLastColumn="0" w:lastRowFirstColumn="0" w:lastRowLastColumn="0"/>
            <w:tcW w:w="1129" w:type="dxa"/>
          </w:tcPr>
          <w:p w14:paraId="20CE4CCF" w14:textId="27CDFFBE" w:rsidR="000621E7" w:rsidRDefault="0004382A" w:rsidP="002637F1">
            <w:r>
              <w:t>344</w:t>
            </w:r>
          </w:p>
        </w:tc>
        <w:tc>
          <w:tcPr>
            <w:tcW w:w="2410" w:type="dxa"/>
          </w:tcPr>
          <w:p w14:paraId="25656E9A" w14:textId="35089C07" w:rsidR="000621E7" w:rsidRDefault="0004382A" w:rsidP="002637F1">
            <w:pPr>
              <w:cnfStyle w:val="000000000000" w:firstRow="0" w:lastRow="0" w:firstColumn="0" w:lastColumn="0" w:oddVBand="0" w:evenVBand="0" w:oddHBand="0" w:evenHBand="0" w:firstRowFirstColumn="0" w:firstRowLastColumn="0" w:lastRowFirstColumn="0" w:lastRowLastColumn="0"/>
            </w:pPr>
            <w:r>
              <w:t>ACETOPHENONE</w:t>
            </w:r>
          </w:p>
        </w:tc>
        <w:tc>
          <w:tcPr>
            <w:tcW w:w="1276" w:type="dxa"/>
          </w:tcPr>
          <w:p w14:paraId="3F50D5C6" w14:textId="5F776B16" w:rsidR="000621E7" w:rsidRDefault="0004382A" w:rsidP="002637F1">
            <w:pPr>
              <w:cnfStyle w:val="000000000000" w:firstRow="0" w:lastRow="0" w:firstColumn="0" w:lastColumn="0" w:oddVBand="0" w:evenVBand="0" w:oddHBand="0" w:evenHBand="0" w:firstRowFirstColumn="0" w:firstRowLastColumn="0" w:lastRowFirstColumn="0" w:lastRowLastColumn="0"/>
            </w:pPr>
            <w:r>
              <w:t>E</w:t>
            </w:r>
          </w:p>
        </w:tc>
        <w:tc>
          <w:tcPr>
            <w:tcW w:w="4252" w:type="dxa"/>
          </w:tcPr>
          <w:p w14:paraId="096FFBB2" w14:textId="2B61B452" w:rsidR="005F0CF7" w:rsidRDefault="005F0CF7" w:rsidP="005F0CF7">
            <w:pPr>
              <w:cnfStyle w:val="000000000000" w:firstRow="0" w:lastRow="0" w:firstColumn="0" w:lastColumn="0" w:oddVBand="0" w:evenVBand="0" w:oddHBand="0" w:evenHBand="0" w:firstRowFirstColumn="0" w:firstRowLastColumn="0" w:lastRowFirstColumn="0" w:lastRowLastColumn="0"/>
            </w:pPr>
            <w:r>
              <w:t>Permitted for use only in combination with other permitted ingredients as a flavour or a fragrance.</w:t>
            </w:r>
          </w:p>
          <w:p w14:paraId="2C22DB02" w14:textId="77D3217D" w:rsidR="005F0CF7" w:rsidRDefault="005F0CF7" w:rsidP="005F0CF7">
            <w:pPr>
              <w:cnfStyle w:val="000000000000" w:firstRow="0" w:lastRow="0" w:firstColumn="0" w:lastColumn="0" w:oddVBand="0" w:evenVBand="0" w:oddHBand="0" w:evenHBand="0" w:firstRowFirstColumn="0" w:firstRowLastColumn="0" w:lastRowFirstColumn="0" w:lastRowLastColumn="0"/>
            </w:pPr>
            <w:r>
              <w:t>If used in a flavour the total flavour concentration in a medicine must be no more than 5%.</w:t>
            </w:r>
          </w:p>
          <w:p w14:paraId="1B25DFE1" w14:textId="5038ABAD" w:rsidR="000621E7" w:rsidRDefault="005F0CF7" w:rsidP="005F0CF7">
            <w:pPr>
              <w:cnfStyle w:val="000000000000" w:firstRow="0" w:lastRow="0" w:firstColumn="0" w:lastColumn="0" w:oddVBand="0" w:evenVBand="0" w:oddHBand="0" w:evenHBand="0" w:firstRowFirstColumn="0" w:firstRowLastColumn="0" w:lastRowFirstColumn="0" w:lastRowLastColumn="0"/>
            </w:pPr>
            <w:r>
              <w:lastRenderedPageBreak/>
              <w:t>If used in a fragrance the total fragrance concentration in a medicine must be no more 1%.</w:t>
            </w:r>
          </w:p>
        </w:tc>
      </w:tr>
      <w:tr w:rsidR="000621E7" w14:paraId="3B26D2CB" w14:textId="77777777" w:rsidTr="002637F1">
        <w:tc>
          <w:tcPr>
            <w:cnfStyle w:val="001000000000" w:firstRow="0" w:lastRow="0" w:firstColumn="1" w:lastColumn="0" w:oddVBand="0" w:evenVBand="0" w:oddHBand="0" w:evenHBand="0" w:firstRowFirstColumn="0" w:firstRowLastColumn="0" w:lastRowFirstColumn="0" w:lastRowLastColumn="0"/>
            <w:tcW w:w="9067" w:type="dxa"/>
            <w:gridSpan w:val="4"/>
          </w:tcPr>
          <w:p w14:paraId="06A3209D" w14:textId="5B9A2EB5" w:rsidR="000621E7" w:rsidRDefault="000621E7" w:rsidP="002637F1">
            <w:r w:rsidRPr="0039205F">
              <w:rPr>
                <w:szCs w:val="18"/>
              </w:rPr>
              <w:lastRenderedPageBreak/>
              <w:t>E = excipient for a medicine meaning an ingredient that is not an active ingredient or a homoeopathic preparation ingredient</w:t>
            </w:r>
          </w:p>
        </w:tc>
      </w:tr>
    </w:tbl>
    <w:p w14:paraId="617A1CB2" w14:textId="77777777" w:rsidR="00025784" w:rsidRDefault="00D6337C" w:rsidP="00C417B6">
      <w:pPr>
        <w:pStyle w:val="ListBullet"/>
      </w:pPr>
      <w:r w:rsidRPr="00C417B6">
        <w:t xml:space="preserve">The </w:t>
      </w:r>
      <w:hyperlink r:id="rId28" w:history="1">
        <w:r w:rsidRPr="00C417B6">
          <w:rPr>
            <w:rStyle w:val="Hyperlink"/>
          </w:rPr>
          <w:t>TGA prescribing medicines in pregnancy database</w:t>
        </w:r>
      </w:hyperlink>
      <w:r w:rsidRPr="00C417B6">
        <w:t xml:space="preserve"> </w:t>
      </w:r>
      <w:r w:rsidR="00615FF3" w:rsidRPr="000D5419">
        <w:t xml:space="preserve">does not include </w:t>
      </w:r>
      <w:r w:rsidR="00414602">
        <w:t>acetophenone.</w:t>
      </w:r>
    </w:p>
    <w:p w14:paraId="3E45AD53" w14:textId="59186563" w:rsidR="00D6337C" w:rsidRPr="00C417B6" w:rsidRDefault="00D6337C" w:rsidP="00C417B6">
      <w:pPr>
        <w:pStyle w:val="ListBullet"/>
      </w:pPr>
      <w:r w:rsidRPr="00C417B6">
        <w:t xml:space="preserve">There are no warning statements pertaining to </w:t>
      </w:r>
      <w:r w:rsidR="00025784">
        <w:t>acetophenone</w:t>
      </w:r>
      <w:r w:rsidRPr="00C417B6">
        <w:t xml:space="preserve"> in the </w:t>
      </w:r>
      <w:hyperlink r:id="rId29" w:history="1">
        <w:r w:rsidRPr="00C417B6">
          <w:rPr>
            <w:rStyle w:val="Hyperlink"/>
          </w:rPr>
          <w:t>Therapeutic Goods (Medicines Advisory Statements) Specification 2021</w:t>
        </w:r>
      </w:hyperlink>
      <w:r w:rsidR="00025784">
        <w:t>.</w:t>
      </w:r>
    </w:p>
    <w:p w14:paraId="1BB4C6D0" w14:textId="6640CF56" w:rsidR="00D6337C" w:rsidRPr="00C417B6" w:rsidRDefault="00D6337C" w:rsidP="002C1C4B">
      <w:pPr>
        <w:pStyle w:val="ListBullet"/>
      </w:pPr>
      <w:r w:rsidRPr="00C417B6">
        <w:t xml:space="preserve">As of </w:t>
      </w:r>
      <w:r w:rsidR="00B47BF5" w:rsidRPr="00F206DC">
        <w:t>2</w:t>
      </w:r>
      <w:r w:rsidRPr="00F206DC">
        <w:t xml:space="preserve"> </w:t>
      </w:r>
      <w:r w:rsidR="00B47BF5" w:rsidRPr="00F206DC">
        <w:t>September</w:t>
      </w:r>
      <w:r w:rsidRPr="00F206DC">
        <w:t xml:space="preserve"> 20</w:t>
      </w:r>
      <w:r w:rsidR="00B47BF5" w:rsidRPr="00F206DC">
        <w:t>26</w:t>
      </w:r>
      <w:r w:rsidRPr="00F206DC">
        <w:t>, there</w:t>
      </w:r>
      <w:r w:rsidRPr="00C417B6">
        <w:t xml:space="preserve"> were </w:t>
      </w:r>
      <w:r w:rsidR="00B47BF5">
        <w:t>2</w:t>
      </w:r>
      <w:r w:rsidRPr="00C417B6">
        <w:t xml:space="preserve"> products containing </w:t>
      </w:r>
      <w:r w:rsidR="00B47BF5">
        <w:t>acetophenone</w:t>
      </w:r>
      <w:r w:rsidRPr="00C417B6">
        <w:t xml:space="preserve"> as a</w:t>
      </w:r>
      <w:r w:rsidR="00F206DC">
        <w:t xml:space="preserve"> </w:t>
      </w:r>
      <w:r w:rsidRPr="00C417B6">
        <w:t>constituent</w:t>
      </w:r>
      <w:r w:rsidR="007738B0">
        <w:t xml:space="preserve"> ingredient</w:t>
      </w:r>
      <w:r w:rsidR="00F206DC">
        <w:t xml:space="preserve"> </w:t>
      </w:r>
      <w:r w:rsidR="007738B0">
        <w:t>registered</w:t>
      </w:r>
      <w:r w:rsidRPr="00C417B6">
        <w:t xml:space="preserve"> on the </w:t>
      </w:r>
      <w:hyperlink r:id="rId30" w:history="1">
        <w:r w:rsidRPr="00C417B6">
          <w:rPr>
            <w:rStyle w:val="Hyperlink"/>
          </w:rPr>
          <w:t>Public Chemical Registration Information System Search (PubCRIS)</w:t>
        </w:r>
      </w:hyperlink>
      <w:r w:rsidRPr="00C417B6">
        <w:t xml:space="preserve">. </w:t>
      </w:r>
    </w:p>
    <w:p w14:paraId="013BCD7E" w14:textId="79F07AF3" w:rsidR="00D6337C" w:rsidRPr="00C417B6" w:rsidRDefault="00D6337C" w:rsidP="002C1C4B">
      <w:pPr>
        <w:pStyle w:val="ListBullet"/>
      </w:pPr>
      <w:r w:rsidRPr="00C417B6">
        <w:t>In 2009-2019 the</w:t>
      </w:r>
      <w:r w:rsidR="00D56AA3">
        <w:t xml:space="preserve">re were no </w:t>
      </w:r>
      <w:r w:rsidRPr="00C417B6">
        <w:t xml:space="preserve">adverse experiences recorded for </w:t>
      </w:r>
      <w:r w:rsidR="00D56AA3">
        <w:t>acetophenone</w:t>
      </w:r>
      <w:r w:rsidRPr="00C417B6">
        <w:t xml:space="preserve"> in the </w:t>
      </w:r>
      <w:hyperlink r:id="rId31" w:history="1">
        <w:r w:rsidRPr="00C417B6">
          <w:rPr>
            <w:rStyle w:val="Hyperlink"/>
          </w:rPr>
          <w:t>APVMA Adverse Experience Reporting Program</w:t>
        </w:r>
      </w:hyperlink>
      <w:r w:rsidRPr="00C417B6">
        <w:t xml:space="preserve"> database (AERP)</w:t>
      </w:r>
      <w:r w:rsidR="00D56AA3">
        <w:t>.</w:t>
      </w:r>
    </w:p>
    <w:p w14:paraId="36456712" w14:textId="77777777" w:rsidR="00D6337C" w:rsidRPr="00C417B6" w:rsidRDefault="00D6337C" w:rsidP="009C3C0E">
      <w:pPr>
        <w:pStyle w:val="Heading4"/>
      </w:pPr>
      <w:bookmarkStart w:id="26" w:name="_Toc239945889"/>
      <w:r w:rsidRPr="00C417B6">
        <w:t>International regulations</w:t>
      </w:r>
      <w:bookmarkEnd w:id="26"/>
    </w:p>
    <w:p w14:paraId="7886328B" w14:textId="1E7C9B9C" w:rsidR="00F46241" w:rsidRDefault="004D5BAE" w:rsidP="00F46241">
      <w:pPr>
        <w:pStyle w:val="ListBullet"/>
        <w:numPr>
          <w:ilvl w:val="0"/>
          <w:numId w:val="5"/>
        </w:numPr>
      </w:pPr>
      <w:r>
        <w:t xml:space="preserve">The </w:t>
      </w:r>
      <w:hyperlink r:id="rId32" w:history="1">
        <w:r w:rsidRPr="004D5BAE">
          <w:rPr>
            <w:rStyle w:val="Hyperlink"/>
          </w:rPr>
          <w:t>United States Food and Drug Administration Approved Drug Products Database (Drugs@FDA)</w:t>
        </w:r>
      </w:hyperlink>
      <w:r w:rsidR="00F94AEA">
        <w:t xml:space="preserve"> and </w:t>
      </w:r>
      <w:hyperlink r:id="rId33" w:history="1">
        <w:r w:rsidR="00984D44" w:rsidRPr="00CF55F5">
          <w:rPr>
            <w:rStyle w:val="Hyperlink"/>
          </w:rPr>
          <w:t>United States Environmental Protection Agency’s (US EPA) Office of Pesticides Programs</w:t>
        </w:r>
      </w:hyperlink>
      <w:r w:rsidR="00984D44">
        <w:t xml:space="preserve"> </w:t>
      </w:r>
      <w:r w:rsidR="00904078">
        <w:t>do not include acetophenone.</w:t>
      </w:r>
    </w:p>
    <w:p w14:paraId="57B3F47D" w14:textId="34A0E336" w:rsidR="00B70655" w:rsidRDefault="007F2CF9" w:rsidP="002637F1">
      <w:pPr>
        <w:pStyle w:val="ListBullet"/>
        <w:numPr>
          <w:ilvl w:val="0"/>
          <w:numId w:val="5"/>
        </w:numPr>
      </w:pPr>
      <w:r>
        <w:t xml:space="preserve">The </w:t>
      </w:r>
      <w:hyperlink r:id="rId34" w:history="1">
        <w:r w:rsidRPr="00CF55F5">
          <w:rPr>
            <w:rStyle w:val="Hyperlink"/>
          </w:rPr>
          <w:t>European Commission database for information on cosmetic substances and ingredients database</w:t>
        </w:r>
      </w:hyperlink>
      <w:r>
        <w:t xml:space="preserve"> </w:t>
      </w:r>
      <w:r w:rsidR="00BA2EC6">
        <w:t>lists acetophenone for use as fragrance and perfuming</w:t>
      </w:r>
      <w:r w:rsidR="00D77B8A">
        <w:t>.</w:t>
      </w:r>
      <w:r w:rsidR="00F6745A">
        <w:t xml:space="preserve"> The </w:t>
      </w:r>
      <w:hyperlink r:id="rId35" w:history="1">
        <w:r w:rsidR="00F6745A" w:rsidRPr="00CF55F5">
          <w:rPr>
            <w:rStyle w:val="Hyperlink"/>
          </w:rPr>
          <w:t>European Chemicals Agency (ECHA)</w:t>
        </w:r>
      </w:hyperlink>
      <w:r w:rsidR="00F6745A">
        <w:t xml:space="preserve"> </w:t>
      </w:r>
      <w:r w:rsidR="0075589F">
        <w:t xml:space="preserve">requires hazard statements regarding </w:t>
      </w:r>
      <w:r w:rsidR="00586D53">
        <w:t>acute toxicity</w:t>
      </w:r>
      <w:r w:rsidR="00A9668A">
        <w:t xml:space="preserve"> (</w:t>
      </w:r>
      <w:r w:rsidR="0018586F">
        <w:t xml:space="preserve">category </w:t>
      </w:r>
      <w:r w:rsidR="00A9668A">
        <w:t>4)</w:t>
      </w:r>
      <w:r w:rsidR="00586D53">
        <w:t xml:space="preserve"> and eye irritation</w:t>
      </w:r>
      <w:r w:rsidR="00A9668A">
        <w:t xml:space="preserve"> (</w:t>
      </w:r>
      <w:r w:rsidR="0018586F">
        <w:t xml:space="preserve">category </w:t>
      </w:r>
      <w:r w:rsidR="00A9668A">
        <w:t>2)</w:t>
      </w:r>
      <w:r w:rsidR="005409B3">
        <w:t xml:space="preserve">. </w:t>
      </w:r>
      <w:r w:rsidR="001B668F" w:rsidRPr="001B668F">
        <w:t xml:space="preserve">The European Scientific Committee on Consumer Safety (SCCS) issued in May 2026, </w:t>
      </w:r>
      <w:hyperlink r:id="rId36" w:history="1">
        <w:r w:rsidR="001B668F" w:rsidRPr="00EA5875">
          <w:rPr>
            <w:rStyle w:val="Hyperlink"/>
          </w:rPr>
          <w:t>an opinion</w:t>
        </w:r>
        <w:r w:rsidR="00EA5875" w:rsidRPr="00EA5875">
          <w:rPr>
            <w:rStyle w:val="Hyperlink"/>
          </w:rPr>
          <w:t xml:space="preserve"> on acetophenone</w:t>
        </w:r>
      </w:hyperlink>
      <w:r w:rsidR="001B668F" w:rsidRPr="001B668F">
        <w:t xml:space="preserve"> considering </w:t>
      </w:r>
      <w:r w:rsidR="00EA5875">
        <w:t xml:space="preserve">the substance </w:t>
      </w:r>
      <w:r w:rsidR="001B668F" w:rsidRPr="001B668F">
        <w:t>to be safe in cosmetic products in concentrations up to 0.01%.</w:t>
      </w:r>
      <w:r w:rsidR="00F46241">
        <w:t xml:space="preserve"> </w:t>
      </w:r>
      <w:r w:rsidR="00B47F6A">
        <w:t>In</w:t>
      </w:r>
      <w:r w:rsidR="00B47F6A" w:rsidRPr="00B47F6A">
        <w:t xml:space="preserve"> March 2025</w:t>
      </w:r>
      <w:r w:rsidR="00B47F6A">
        <w:t>, t</w:t>
      </w:r>
      <w:r w:rsidR="00B70655" w:rsidRPr="00B70655">
        <w:t xml:space="preserve">he European Risk Assessment Committee (RAC) of the European Chemicals Agency (ECHA) issued an </w:t>
      </w:r>
      <w:hyperlink r:id="rId37" w:history="1">
        <w:r w:rsidR="00B70655" w:rsidRPr="00D920A6">
          <w:rPr>
            <w:rStyle w:val="Hyperlink"/>
          </w:rPr>
          <w:t>opinion recommending</w:t>
        </w:r>
        <w:r w:rsidR="00D920A6" w:rsidRPr="00D920A6">
          <w:rPr>
            <w:rStyle w:val="Hyperlink"/>
          </w:rPr>
          <w:t xml:space="preserve"> </w:t>
        </w:r>
        <w:r w:rsidR="00B70655" w:rsidRPr="00D920A6">
          <w:rPr>
            <w:rStyle w:val="Hyperlink"/>
          </w:rPr>
          <w:t>classification for acetophenone</w:t>
        </w:r>
      </w:hyperlink>
      <w:r w:rsidR="00B70655" w:rsidRPr="00B70655">
        <w:t xml:space="preserve"> as ‘Reprotoxic of Category 1B (H360FD)’.</w:t>
      </w:r>
      <w:r w:rsidR="001F382F" w:rsidRPr="001F382F">
        <w:t xml:space="preserve"> Following the RAC opinion, the European Commission may propose a classification for acetophenone as a ‘</w:t>
      </w:r>
      <w:r w:rsidR="00CA2105" w:rsidRPr="00CA2105">
        <w:t>Reprotoxic of Category 1B</w:t>
      </w:r>
      <w:r w:rsidR="00162447">
        <w:t>,’ prohibiting its use in cosmetic products.</w:t>
      </w:r>
    </w:p>
    <w:p w14:paraId="07055D51" w14:textId="7D8EF148" w:rsidR="00A87095" w:rsidRDefault="00A87095" w:rsidP="002637F1">
      <w:pPr>
        <w:pStyle w:val="ListBullet"/>
        <w:numPr>
          <w:ilvl w:val="0"/>
          <w:numId w:val="5"/>
        </w:numPr>
      </w:pPr>
      <w:r>
        <w:t xml:space="preserve">The </w:t>
      </w:r>
      <w:hyperlink r:id="rId38" w:history="1">
        <w:r w:rsidRPr="00CF55F5">
          <w:rPr>
            <w:rStyle w:val="Hyperlink"/>
          </w:rPr>
          <w:t>New Zealand Inventory of Chemicals (NZIoC)</w:t>
        </w:r>
      </w:hyperlink>
      <w:r>
        <w:t xml:space="preserve"> </w:t>
      </w:r>
      <w:r w:rsidR="00B2645C">
        <w:t>includes acetophenone (as m</w:t>
      </w:r>
      <w:r w:rsidR="00B2645C" w:rsidRPr="00B2645C">
        <w:t>ethyl phenyl ketone</w:t>
      </w:r>
      <w:r w:rsidR="00B2645C">
        <w:t xml:space="preserve">) </w:t>
      </w:r>
      <w:r w:rsidR="00CE2F12">
        <w:t xml:space="preserve">as not having </w:t>
      </w:r>
      <w:r w:rsidR="00CE2F12" w:rsidRPr="00CE2F12">
        <w:t>individual approval but may be used under an appropriate group standard</w:t>
      </w:r>
      <w:r w:rsidR="00CE2F12">
        <w:t>.</w:t>
      </w:r>
      <w:r w:rsidR="000712AE">
        <w:t xml:space="preserve"> Acetophenone is </w:t>
      </w:r>
      <w:r w:rsidR="005F3B18">
        <w:t xml:space="preserve">not classified on the </w:t>
      </w:r>
      <w:hyperlink r:id="rId39" w:history="1">
        <w:r w:rsidR="005F3B18" w:rsidRPr="00CF55F5">
          <w:rPr>
            <w:rStyle w:val="Hyperlink"/>
          </w:rPr>
          <w:t>New Zealand Medicines and Medical Devices Safety Authority (MedSafe</w:t>
        </w:r>
      </w:hyperlink>
      <w:r w:rsidR="005F3B18" w:rsidRPr="00CF55F5">
        <w:t>)</w:t>
      </w:r>
      <w:r w:rsidR="005F3B18">
        <w:t xml:space="preserve"> database.</w:t>
      </w:r>
    </w:p>
    <w:p w14:paraId="705CD555" w14:textId="17BA9108" w:rsidR="007C2A5E" w:rsidRPr="009161AB" w:rsidRDefault="00386BF7" w:rsidP="009161AB">
      <w:pPr>
        <w:pStyle w:val="ListBullet"/>
        <w:numPr>
          <w:ilvl w:val="0"/>
          <w:numId w:val="5"/>
        </w:numPr>
      </w:pPr>
      <w:r>
        <w:t xml:space="preserve">Acetophenone is not listed as an active ingredient </w:t>
      </w:r>
      <w:r w:rsidR="00B80D21">
        <w:t xml:space="preserve">on the </w:t>
      </w:r>
      <w:hyperlink r:id="rId40" w:history="1">
        <w:r w:rsidR="00B80D21" w:rsidRPr="00CF55F5">
          <w:rPr>
            <w:rStyle w:val="Hyperlink"/>
          </w:rPr>
          <w:t>Canada’s Pest Management Regulation Agency</w:t>
        </w:r>
      </w:hyperlink>
      <w:r>
        <w:t xml:space="preserve"> or</w:t>
      </w:r>
      <w:r w:rsidR="004F4076">
        <w:t xml:space="preserve"> authorised for sale </w:t>
      </w:r>
      <w:r w:rsidR="0048208A">
        <w:t>by inclusion on</w:t>
      </w:r>
      <w:r>
        <w:t xml:space="preserve"> the </w:t>
      </w:r>
      <w:hyperlink r:id="rId41" w:history="1">
        <w:r w:rsidRPr="00CF55F5">
          <w:rPr>
            <w:rStyle w:val="Hyperlink"/>
          </w:rPr>
          <w:t>Canadian (Health Canada) Drug Product Database</w:t>
        </w:r>
      </w:hyperlink>
      <w:r>
        <w:t>.</w:t>
      </w:r>
    </w:p>
    <w:p w14:paraId="590BC3D4" w14:textId="77777777" w:rsidR="00643123" w:rsidRDefault="00643123">
      <w:pPr>
        <w:rPr>
          <w:rFonts w:eastAsia="Times New Roman" w:cs="Times New Roman"/>
          <w:b/>
          <w:bCs/>
          <w:color w:val="001871"/>
          <w:sz w:val="32"/>
          <w:szCs w:val="32"/>
        </w:rPr>
      </w:pPr>
      <w:bookmarkStart w:id="27" w:name="_Toc239945890"/>
      <w:bookmarkEnd w:id="10"/>
      <w:r>
        <w:br w:type="page"/>
      </w:r>
    </w:p>
    <w:p w14:paraId="053488DB" w14:textId="116B3638" w:rsidR="00376657" w:rsidRPr="00376657" w:rsidRDefault="00376657" w:rsidP="00376657">
      <w:pPr>
        <w:pStyle w:val="Heading3"/>
      </w:pPr>
      <w:r>
        <w:lastRenderedPageBreak/>
        <w:t>1.2</w:t>
      </w:r>
      <w:r>
        <w:tab/>
      </w:r>
      <w:r w:rsidRPr="00376657">
        <w:t>Vitamin A</w:t>
      </w:r>
      <w:bookmarkEnd w:id="27"/>
    </w:p>
    <w:p w14:paraId="4B72FE0B" w14:textId="77777777" w:rsidR="00376657" w:rsidRPr="00376657" w:rsidRDefault="00376657" w:rsidP="00D63DC6">
      <w:pPr>
        <w:pStyle w:val="Heading4"/>
      </w:pPr>
      <w:bookmarkStart w:id="28" w:name="_Toc165905880"/>
      <w:bookmarkStart w:id="29" w:name="_Toc239945891"/>
      <w:r w:rsidRPr="00376657">
        <w:t>Proposal</w:t>
      </w:r>
      <w:bookmarkEnd w:id="28"/>
      <w:bookmarkEnd w:id="29"/>
    </w:p>
    <w:p w14:paraId="1588C696" w14:textId="77777777" w:rsidR="00376657" w:rsidRPr="00376657" w:rsidRDefault="00376657" w:rsidP="00376657">
      <w:r w:rsidRPr="00376657">
        <w:t xml:space="preserve">This is a Delegate initiated proposal to amend the current Poisons Standard in relation to vitamin A. The proposal is based on recommendations made in the Australian Industrial Chemicals Introduction Scheme (AICIS) Evaluation Statement on </w:t>
      </w:r>
      <w:hyperlink r:id="rId42" w:history="1">
        <w:r w:rsidRPr="00376657">
          <w:rPr>
            <w:color w:val="0000FF"/>
            <w:u w:val="single"/>
          </w:rPr>
          <w:t>Evaluation statement on retinol and retinol esters</w:t>
        </w:r>
      </w:hyperlink>
      <w:r w:rsidRPr="00376657">
        <w:t xml:space="preserve"> (the Evaluation Statement).</w:t>
      </w:r>
    </w:p>
    <w:p w14:paraId="3B37331F" w14:textId="77777777" w:rsidR="00376657" w:rsidRPr="00376657" w:rsidRDefault="00376657" w:rsidP="00376657">
      <w:r w:rsidRPr="00376657">
        <w:t>Currently, vitamin A for human therapeutic or cosmetic use is classified as a Prescription only medicine (Schedule 4) with certain exceptions including preparations for topical use containing 1% or less of vitamin A. The vitamin A entry covers retinol and retinol esters unless specifically scheduled or excluded from scheduling.</w:t>
      </w:r>
    </w:p>
    <w:p w14:paraId="4FB102CE" w14:textId="77777777" w:rsidR="00376657" w:rsidRPr="00376657" w:rsidRDefault="00376657" w:rsidP="00376657">
      <w:r w:rsidRPr="00376657">
        <w:t>The Evaluation Statement included a recommendation for restricting the use of these substances to a lower concentration in cosmetic and personal care products. The Evaluation Statement also included recommendations that the chemicals covered by the current vitamin A entry should be clarified, and that the concentrations permitted in topical products should be expressed in retinol equivalents (RE) rather than a percentage.</w:t>
      </w:r>
    </w:p>
    <w:p w14:paraId="54C56ACE" w14:textId="77777777" w:rsidR="00376657" w:rsidRPr="00376657" w:rsidRDefault="00376657" w:rsidP="00D63DC6">
      <w:pPr>
        <w:pStyle w:val="Heading4"/>
      </w:pPr>
      <w:bookmarkStart w:id="30" w:name="_Toc165905881"/>
      <w:bookmarkStart w:id="31" w:name="_Toc239945892"/>
      <w:r w:rsidRPr="00376657">
        <w:t>CAS Number</w:t>
      </w:r>
      <w:bookmarkEnd w:id="30"/>
      <w:bookmarkEnd w:id="31"/>
    </w:p>
    <w:p w14:paraId="349F561A" w14:textId="77777777" w:rsidR="00376657" w:rsidRPr="00376657" w:rsidRDefault="00376657" w:rsidP="00376657">
      <w:r w:rsidRPr="00376657">
        <w:t>68-26-8</w:t>
      </w:r>
    </w:p>
    <w:p w14:paraId="5FB6E12F" w14:textId="77777777" w:rsidR="00376657" w:rsidRPr="00376657" w:rsidRDefault="00376657" w:rsidP="00D63DC6">
      <w:pPr>
        <w:pStyle w:val="Heading4"/>
      </w:pPr>
      <w:bookmarkStart w:id="32" w:name="_Toc165905882"/>
      <w:bookmarkStart w:id="33" w:name="_Toc239945893"/>
      <w:r w:rsidRPr="00376657">
        <w:t>Alternative names</w:t>
      </w:r>
      <w:bookmarkEnd w:id="32"/>
      <w:bookmarkEnd w:id="33"/>
    </w:p>
    <w:p w14:paraId="05E9BBB1" w14:textId="77777777" w:rsidR="00376657" w:rsidRPr="00376657" w:rsidRDefault="00376657" w:rsidP="00376657">
      <w:r w:rsidRPr="00376657">
        <w:t>Retinol, all-trans-retinol</w:t>
      </w:r>
    </w:p>
    <w:p w14:paraId="72D23330" w14:textId="77777777" w:rsidR="00376657" w:rsidRPr="00376657" w:rsidRDefault="00376657" w:rsidP="00D63DC6">
      <w:pPr>
        <w:pStyle w:val="Heading4"/>
      </w:pPr>
      <w:bookmarkStart w:id="34" w:name="_Toc165905884"/>
      <w:bookmarkStart w:id="35" w:name="_Toc239945894"/>
      <w:r w:rsidRPr="00376657">
        <w:t>Proposed Scheduling</w:t>
      </w:r>
      <w:bookmarkEnd w:id="34"/>
      <w:bookmarkEnd w:id="35"/>
    </w:p>
    <w:p w14:paraId="0502B9FE" w14:textId="77777777" w:rsidR="00376657" w:rsidRPr="00376657" w:rsidRDefault="00376657" w:rsidP="00376657">
      <w:r w:rsidRPr="00376657">
        <w:t>The proposed amendments to the Poisons Standard are:</w:t>
      </w:r>
      <w:r w:rsidRPr="00376657">
        <w:rPr>
          <w:vertAlign w:val="superscript"/>
        </w:rPr>
        <w:footnoteReference w:id="2"/>
      </w:r>
    </w:p>
    <w:p w14:paraId="54A5FAFF" w14:textId="77777777" w:rsidR="00376657" w:rsidRPr="00376657" w:rsidRDefault="00376657" w:rsidP="00376657">
      <w:pPr>
        <w:ind w:left="426"/>
        <w:rPr>
          <w:b/>
          <w:bCs/>
        </w:rPr>
      </w:pPr>
      <w:r w:rsidRPr="00376657">
        <w:rPr>
          <w:b/>
          <w:bCs/>
        </w:rPr>
        <w:t>Schedule 4 – Amend entry</w:t>
      </w:r>
    </w:p>
    <w:p w14:paraId="7E9AEB8A" w14:textId="77777777" w:rsidR="00376657" w:rsidRPr="00376657" w:rsidRDefault="00376657" w:rsidP="00376657">
      <w:pPr>
        <w:ind w:left="567" w:hanging="141"/>
      </w:pPr>
      <w:r w:rsidRPr="00376657">
        <w:t>VITAMIN A for human therapeutic or cosmetic use except:</w:t>
      </w:r>
    </w:p>
    <w:p w14:paraId="184B0459" w14:textId="77777777" w:rsidR="00376657" w:rsidRPr="00376657" w:rsidRDefault="00376657" w:rsidP="00376657">
      <w:pPr>
        <w:numPr>
          <w:ilvl w:val="0"/>
          <w:numId w:val="41"/>
        </w:numPr>
        <w:spacing w:before="120" w:line="240" w:lineRule="auto"/>
        <w:ind w:left="1276" w:hanging="425"/>
        <w:rPr>
          <w:rFonts w:eastAsia="Cambria" w:cs="Times New Roman"/>
        </w:rPr>
      </w:pPr>
      <w:r w:rsidRPr="00376657">
        <w:rPr>
          <w:rFonts w:eastAsia="Cambria" w:cs="Times New Roman"/>
        </w:rPr>
        <w:t xml:space="preserve">in preparations for topical use containing </w:t>
      </w:r>
      <w:r w:rsidRPr="00376657">
        <w:rPr>
          <w:rFonts w:eastAsia="Cambria" w:cs="Times New Roman"/>
          <w:strike/>
          <w:color w:val="FF0000"/>
        </w:rPr>
        <w:t>1%</w:t>
      </w:r>
      <w:r w:rsidRPr="00376657">
        <w:rPr>
          <w:rFonts w:eastAsia="Cambria" w:cs="Times New Roman"/>
          <w:strike/>
        </w:rPr>
        <w:t xml:space="preserve"> </w:t>
      </w:r>
      <w:r w:rsidRPr="00376657">
        <w:rPr>
          <w:rFonts w:eastAsia="Cambria" w:cs="Times New Roman"/>
          <w:strike/>
          <w:color w:val="FF0000"/>
        </w:rPr>
        <w:t>or less of Vitamin A</w:t>
      </w:r>
      <w:r w:rsidRPr="00376657">
        <w:rPr>
          <w:rFonts w:eastAsia="Cambria" w:cs="Times New Roman"/>
          <w:color w:val="FF0000"/>
        </w:rPr>
        <w:t xml:space="preserve"> </w:t>
      </w:r>
      <w:r w:rsidRPr="00376657">
        <w:rPr>
          <w:rFonts w:eastAsia="Cambria" w:cs="Times New Roman"/>
          <w:color w:val="00B050"/>
        </w:rPr>
        <w:t>0.05% retinol equivalents or less of Vitamin A in body lotion; or</w:t>
      </w:r>
    </w:p>
    <w:p w14:paraId="10F27D83" w14:textId="77777777" w:rsidR="00376657" w:rsidRPr="00376657" w:rsidRDefault="00376657" w:rsidP="00376657">
      <w:pPr>
        <w:numPr>
          <w:ilvl w:val="0"/>
          <w:numId w:val="41"/>
        </w:numPr>
        <w:spacing w:before="120" w:line="240" w:lineRule="auto"/>
        <w:ind w:left="1276" w:hanging="425"/>
        <w:rPr>
          <w:rFonts w:eastAsia="Cambria" w:cs="Times New Roman"/>
        </w:rPr>
      </w:pPr>
      <w:r w:rsidRPr="00376657">
        <w:rPr>
          <w:rFonts w:eastAsia="Cambria" w:cs="Times New Roman"/>
          <w:color w:val="00B050"/>
        </w:rPr>
        <w:t>in other preparations for topical use containing 0.3% retinol equivalents or less of Vitamin A</w:t>
      </w:r>
      <w:r w:rsidRPr="00376657">
        <w:rPr>
          <w:rFonts w:eastAsia="Cambria" w:cs="Times New Roman"/>
        </w:rPr>
        <w:t>; or</w:t>
      </w:r>
    </w:p>
    <w:p w14:paraId="41C5C063" w14:textId="77777777" w:rsidR="00376657" w:rsidRPr="00376657" w:rsidRDefault="00376657" w:rsidP="00376657">
      <w:pPr>
        <w:numPr>
          <w:ilvl w:val="0"/>
          <w:numId w:val="41"/>
        </w:numPr>
        <w:spacing w:before="120" w:line="240" w:lineRule="auto"/>
        <w:ind w:left="1276" w:hanging="425"/>
        <w:rPr>
          <w:rFonts w:eastAsia="Cambria" w:cs="Times New Roman"/>
        </w:rPr>
      </w:pPr>
      <w:r w:rsidRPr="00376657">
        <w:rPr>
          <w:rFonts w:eastAsia="Cambria" w:cs="Times New Roman"/>
        </w:rPr>
        <w:t>in preparations for internal use containing 3000 micrograms retinol equivalents or less of Vitamin A per daily dose; or</w:t>
      </w:r>
    </w:p>
    <w:p w14:paraId="5A727FD6" w14:textId="77777777" w:rsidR="00376657" w:rsidRPr="00376657" w:rsidRDefault="00376657" w:rsidP="00376657">
      <w:pPr>
        <w:numPr>
          <w:ilvl w:val="0"/>
          <w:numId w:val="41"/>
        </w:numPr>
        <w:spacing w:before="120" w:line="240" w:lineRule="auto"/>
        <w:ind w:left="1276" w:hanging="425"/>
        <w:rPr>
          <w:rFonts w:eastAsia="Cambria" w:cs="Times New Roman"/>
        </w:rPr>
      </w:pPr>
      <w:r w:rsidRPr="00376657">
        <w:rPr>
          <w:rFonts w:eastAsia="Cambria" w:cs="Times New Roman"/>
        </w:rPr>
        <w:t>in preparations for parenteral nutrition replacement.</w:t>
      </w:r>
    </w:p>
    <w:p w14:paraId="759F27D4" w14:textId="77777777" w:rsidR="00376657" w:rsidRPr="00376657" w:rsidRDefault="00376657" w:rsidP="00376657">
      <w:pPr>
        <w:tabs>
          <w:tab w:val="right" w:pos="9070"/>
        </w:tabs>
        <w:ind w:left="426"/>
        <w:rPr>
          <w:b/>
          <w:bCs/>
        </w:rPr>
      </w:pPr>
      <w:r w:rsidRPr="00376657">
        <w:rPr>
          <w:b/>
          <w:bCs/>
        </w:rPr>
        <w:t>Index – Amend entry</w:t>
      </w:r>
    </w:p>
    <w:p w14:paraId="75C7F037" w14:textId="77777777" w:rsidR="00376657" w:rsidRPr="00376657" w:rsidRDefault="00376657" w:rsidP="00376657">
      <w:pPr>
        <w:ind w:left="720" w:hanging="294"/>
      </w:pPr>
      <w:r w:rsidRPr="00376657">
        <w:t>Vitamin A</w:t>
      </w:r>
    </w:p>
    <w:p w14:paraId="12576618" w14:textId="77777777" w:rsidR="00376657" w:rsidRPr="00376657" w:rsidRDefault="00376657" w:rsidP="00376657">
      <w:pPr>
        <w:ind w:left="720"/>
      </w:pPr>
      <w:r w:rsidRPr="00376657">
        <w:rPr>
          <w:color w:val="00B050"/>
        </w:rPr>
        <w:t>Cross reference: Retinol (CAS 68-26-8); Retinol, hexadecanoate (CAS 79-81-2); Retinol, acetate (CAS 127-47-9), Retinol, 15-[(9Z,12Z)-9,12-octadecadienoate] (CAS 631-89-0); and Retinol, 15-propanoate (CAS 7069-42-3).</w:t>
      </w:r>
    </w:p>
    <w:p w14:paraId="3DF460CA" w14:textId="77777777" w:rsidR="00376657" w:rsidRPr="00376657" w:rsidRDefault="00376657" w:rsidP="00D63DC6">
      <w:pPr>
        <w:pStyle w:val="Heading4"/>
      </w:pPr>
      <w:bookmarkStart w:id="36" w:name="_Toc165905885"/>
      <w:bookmarkStart w:id="37" w:name="_Toc239945895"/>
      <w:r w:rsidRPr="00376657">
        <w:lastRenderedPageBreak/>
        <w:t>Background</w:t>
      </w:r>
      <w:bookmarkEnd w:id="36"/>
      <w:bookmarkEnd w:id="37"/>
    </w:p>
    <w:p w14:paraId="6331F674" w14:textId="77777777" w:rsidR="00376657" w:rsidRPr="00376657" w:rsidRDefault="00376657" w:rsidP="00376657">
      <w:r w:rsidRPr="00376657">
        <w:t>Vitamin A is a fat-soluble vitamin that is present in food, dietary supplements and therapeutic goods. It is also used in a range of cosmetic products available in Australia, including face creams, body lotions, hand creams, nail products and lip products.</w:t>
      </w:r>
    </w:p>
    <w:p w14:paraId="0EC8AE83" w14:textId="77777777" w:rsidR="00376657" w:rsidRPr="00376657" w:rsidRDefault="00376657" w:rsidP="00D63DC6">
      <w:pPr>
        <w:pStyle w:val="Heading4"/>
      </w:pPr>
      <w:bookmarkStart w:id="38" w:name="_Toc165905886"/>
      <w:bookmarkStart w:id="39" w:name="_Toc239945896"/>
      <w:r w:rsidRPr="00376657">
        <w:t>Summary of reasons for the proposal</w:t>
      </w:r>
      <w:bookmarkEnd w:id="38"/>
      <w:bookmarkEnd w:id="39"/>
    </w:p>
    <w:p w14:paraId="43DBA06C" w14:textId="77777777" w:rsidR="00376657" w:rsidRPr="00376657" w:rsidRDefault="00376657" w:rsidP="00376657">
      <w:r w:rsidRPr="00376657">
        <w:t>Retinol and retinol esters are known human developmental toxicants, with effects primarily associated with conversion to retinoic acid. They are permitted to be present at concentrations up to 1% vitamin A in cosmetic products including body lotions, face creams and hand creams that are used daily.</w:t>
      </w:r>
    </w:p>
    <w:p w14:paraId="5BA617FD" w14:textId="77777777" w:rsidR="00376657" w:rsidRPr="00376657" w:rsidRDefault="00376657" w:rsidP="00376657">
      <w:r w:rsidRPr="00376657">
        <w:t>The AICIS Evaluation Statement concluded that systemic exposure from cosmetic products, particularly from the concurrent use of multiple products, may exceed the tolerable upper intake level (UL) established for teratogenicity (3,000 µg RE/day) and the guidance level associated with bone health (GL; 1,500 µg RE/day).</w:t>
      </w:r>
      <w:r w:rsidRPr="00376657">
        <w:rPr>
          <w:vertAlign w:val="superscript"/>
        </w:rPr>
        <w:footnoteReference w:id="3"/>
      </w:r>
      <w:r w:rsidRPr="00376657">
        <w:t xml:space="preserve"> Use of various cosmetics containing the chemicals at 1% RE was calculated in the Evaluation Statement to result in the following daily systemic exposures:</w:t>
      </w:r>
    </w:p>
    <w:p w14:paraId="0DF32D10"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6,053 µg RE, 1672 µg RE and 1192 µg RE from use in body lotion, hand cream and face cream, respectively (use from body lotion alone can exceed the UL by more than 2-fold); and</w:t>
      </w:r>
    </w:p>
    <w:p w14:paraId="451484B8"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11,257 µg RE from multiple cosmetic products simultaneously by an individual consumer.</w:t>
      </w:r>
    </w:p>
    <w:p w14:paraId="3F3472BE" w14:textId="77777777" w:rsidR="00376657" w:rsidRPr="00376657" w:rsidRDefault="00376657" w:rsidP="00376657">
      <w:r w:rsidRPr="00376657">
        <w:t>In the EU, the maximum concentration of vitamin A and its derivatives permitted in cosmetic products is restricted to 0.05% RE in body lotions and 0.3% RE in leave-on and rinse-off products other than body lotion. The European Commission Scientific Committee on Consumer Safety estimated that exposure via all such cosmetic products (including lip products) may lead to daily systemic dose of 1,458 μg RE for an adult of 60 kg (equates to 51% of the UL and 97% of the GL).</w:t>
      </w:r>
      <w:r w:rsidRPr="00376657">
        <w:rPr>
          <w:vertAlign w:val="superscript"/>
        </w:rPr>
        <w:footnoteReference w:id="4"/>
      </w:r>
    </w:p>
    <w:p w14:paraId="5A22AC14" w14:textId="77777777" w:rsidR="00376657" w:rsidRPr="00376657" w:rsidRDefault="00376657" w:rsidP="00376657">
      <w:r w:rsidRPr="00376657">
        <w:t>In Canada, the chemicals are permitted in cosmetic products at maximum concentrations of 0.2% total RE in leave-on products intended for full body application, and 1.0% total RE in other cosmetics.</w:t>
      </w:r>
    </w:p>
    <w:p w14:paraId="7F3058EC" w14:textId="77777777" w:rsidR="00376657" w:rsidRPr="00376657" w:rsidRDefault="00376657" w:rsidP="00376657">
      <w:r w:rsidRPr="00376657">
        <w:t>Different retinol esters correspond to different RE values and therefore contribute different amounts of vitamin A activity. This proposal would align with the restrictions in the EU.</w:t>
      </w:r>
    </w:p>
    <w:p w14:paraId="7CD057E2" w14:textId="77777777" w:rsidR="00376657" w:rsidRPr="00376657" w:rsidRDefault="00376657" w:rsidP="00D63DC6">
      <w:pPr>
        <w:pStyle w:val="Heading4"/>
      </w:pPr>
      <w:bookmarkStart w:id="40" w:name="_Toc165905887"/>
      <w:bookmarkStart w:id="41" w:name="_Toc239945897"/>
      <w:r w:rsidRPr="00376657">
        <w:t>Key uses</w:t>
      </w:r>
      <w:bookmarkEnd w:id="40"/>
      <w:bookmarkEnd w:id="41"/>
    </w:p>
    <w:p w14:paraId="5FC86692" w14:textId="77777777" w:rsidR="00376657" w:rsidRPr="00376657" w:rsidRDefault="00376657" w:rsidP="00376657">
      <w:r w:rsidRPr="00376657">
        <w:t>Vitamin A (retinol and its esters) is widely used in prescription and non-prescription medicines. It is also used in a range of personal care and cosmetic products including face creams, body lotions and hand creams. Chemicals in this group also have non-industrial uses, including in food, food supplements and topically applied therapeutic goods.</w:t>
      </w:r>
    </w:p>
    <w:p w14:paraId="2613D76B" w14:textId="77777777" w:rsidR="00376657" w:rsidRPr="00376657" w:rsidRDefault="00376657" w:rsidP="00D63DC6">
      <w:pPr>
        <w:pStyle w:val="Heading4"/>
      </w:pPr>
      <w:bookmarkStart w:id="42" w:name="_Toc165905888"/>
      <w:bookmarkStart w:id="43" w:name="_Toc239945898"/>
      <w:r w:rsidRPr="00376657">
        <w:t>Australian regulations</w:t>
      </w:r>
      <w:bookmarkEnd w:id="42"/>
      <w:bookmarkEnd w:id="43"/>
    </w:p>
    <w:p w14:paraId="623BD852" w14:textId="77777777" w:rsidR="00376657" w:rsidRPr="00376657" w:rsidRDefault="00376657" w:rsidP="00376657">
      <w:r w:rsidRPr="00376657">
        <w:t>Vitamin A is a mandatory component for retinol, retinol acetate and retinol palmitate. It is possible that the number of medicines and adverse events have been counted more than once under different ingredients. Therefore, the total number of medicines containing vitamin A or adverse events associated with vitamin A are likely to be lower than the sum of the medicines or events reported for each ingredient.</w:t>
      </w:r>
    </w:p>
    <w:p w14:paraId="54BC8978" w14:textId="77777777" w:rsidR="00643123" w:rsidRDefault="00643123">
      <w:pPr>
        <w:rPr>
          <w:rFonts w:eastAsia="Cambria" w:cs="Times New Roman"/>
        </w:rPr>
      </w:pPr>
      <w:r>
        <w:rPr>
          <w:rFonts w:eastAsia="Cambria" w:cs="Times New Roman"/>
        </w:rPr>
        <w:br w:type="page"/>
      </w:r>
    </w:p>
    <w:p w14:paraId="2CE6A153" w14:textId="6F2AB70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lastRenderedPageBreak/>
        <w:t xml:space="preserve">According to the </w:t>
      </w:r>
      <w:hyperlink r:id="rId43" w:history="1">
        <w:r w:rsidRPr="00376657">
          <w:rPr>
            <w:rFonts w:eastAsia="Cambria" w:cs="Times New Roman"/>
            <w:color w:val="0000FF"/>
            <w:u w:val="single"/>
          </w:rPr>
          <w:t>TGA Ingredient Database</w:t>
        </w:r>
      </w:hyperlink>
      <w:r w:rsidRPr="00376657">
        <w:rPr>
          <w:rFonts w:eastAsia="Cambria" w:cs="Times New Roman"/>
        </w:rPr>
        <w:t>:</w:t>
      </w:r>
    </w:p>
    <w:p w14:paraId="26C7B755"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Vitamin A is available for use as an active ingredient in Biologicals, Export Only, Over the Counter and Prescription Medicines. It is also available as an Equivalent Ingredient in Export Only and Listed Medicines.</w:t>
      </w:r>
    </w:p>
    <w:p w14:paraId="56D10AF9"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Retinol palmitate and retinol acetate are available for use as an active ingredient in Biologicals, Export Only, Listed Medicines, Over the Counter and Prescription Medicines. It is not available as an equivalent Ingredient in any application.</w:t>
      </w:r>
    </w:p>
    <w:p w14:paraId="2C9EDD28"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As of 9 September 2026, the </w:t>
      </w:r>
      <w:hyperlink r:id="rId44">
        <w:r w:rsidRPr="00376657">
          <w:rPr>
            <w:rFonts w:eastAsia="Cambria" w:cs="Times New Roman"/>
            <w:color w:val="0000FF"/>
            <w:u w:val="single"/>
          </w:rPr>
          <w:t>Australian Register of Therapeutic Goods (ARTG)</w:t>
        </w:r>
      </w:hyperlink>
      <w:r w:rsidRPr="00376657">
        <w:rPr>
          <w:rFonts w:eastAsia="Cambria" w:cs="Times New Roman"/>
        </w:rPr>
        <w:t>, listed:</w:t>
      </w:r>
    </w:p>
    <w:p w14:paraId="6597142E"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463 medicines containing vitamin A as an active ingredient (1 prescription, 398 non-prescription; the rest are export-only)</w:t>
      </w:r>
    </w:p>
    <w:p w14:paraId="6FEE21F1"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484 medicines containing retinol as an active ingredient (17 prescription, 384 non-prescription; the rest are export-only)</w:t>
      </w:r>
    </w:p>
    <w:p w14:paraId="1D9916B6"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263 medicines containing retinol acetate as an active ingredient (13 prescription, 209 non-prescription; the rest are export-only)</w:t>
      </w:r>
    </w:p>
    <w:p w14:paraId="1508F6D9"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217 medicines containing retinol palmitate as an active ingredient (4 prescription, 173 non-prescription; the rest are export-only).</w:t>
      </w:r>
    </w:p>
    <w:p w14:paraId="13F29530"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Vitamin A is not specifically listed in the </w:t>
      </w:r>
      <w:hyperlink r:id="rId45">
        <w:r w:rsidRPr="00376657">
          <w:rPr>
            <w:rFonts w:eastAsia="Cambria" w:cs="Times New Roman"/>
            <w:color w:val="0000FF"/>
            <w:u w:val="single"/>
          </w:rPr>
          <w:t>Therapeutic Goods (Permissible Ingredients) Determination</w:t>
        </w:r>
      </w:hyperlink>
      <w:r w:rsidRPr="00376657">
        <w:rPr>
          <w:rFonts w:eastAsia="Cambria" w:cs="Times New Roman"/>
        </w:rPr>
        <w:t xml:space="preserve"> No. 2 of 2026. However, it is a mandatory component of retinol, retinol acetate and retinol palmitate which are permitted to be included in listed medicines as follows.</w:t>
      </w:r>
    </w:p>
    <w:tbl>
      <w:tblPr>
        <w:tblStyle w:val="TableTGAblue2023"/>
        <w:tblW w:w="9209" w:type="dxa"/>
        <w:tblLayout w:type="fixed"/>
        <w:tblLook w:val="04A0" w:firstRow="1" w:lastRow="0" w:firstColumn="1" w:lastColumn="0" w:noHBand="0" w:noVBand="1"/>
      </w:tblPr>
      <w:tblGrid>
        <w:gridCol w:w="846"/>
        <w:gridCol w:w="1559"/>
        <w:gridCol w:w="1418"/>
        <w:gridCol w:w="5386"/>
      </w:tblGrid>
      <w:tr w:rsidR="00376657" w:rsidRPr="00376657" w14:paraId="7607348B" w14:textId="77777777" w:rsidTr="005F2C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C52084F" w14:textId="77777777" w:rsidR="00376657" w:rsidRPr="00376657" w:rsidRDefault="00376657" w:rsidP="00376657">
            <w:r w:rsidRPr="00376657">
              <w:t>Item</w:t>
            </w:r>
          </w:p>
        </w:tc>
        <w:tc>
          <w:tcPr>
            <w:tcW w:w="1559" w:type="dxa"/>
          </w:tcPr>
          <w:p w14:paraId="5215AF8A"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Ingredient name</w:t>
            </w:r>
          </w:p>
        </w:tc>
        <w:tc>
          <w:tcPr>
            <w:tcW w:w="1418" w:type="dxa"/>
          </w:tcPr>
          <w:p w14:paraId="24FC301B"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Purpose</w:t>
            </w:r>
          </w:p>
        </w:tc>
        <w:tc>
          <w:tcPr>
            <w:tcW w:w="5386" w:type="dxa"/>
          </w:tcPr>
          <w:p w14:paraId="79CE2FA8"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rPr>
                <w:b w:val="0"/>
              </w:rPr>
            </w:pPr>
            <w:r w:rsidRPr="00376657">
              <w:t>Specific requirements</w:t>
            </w:r>
          </w:p>
        </w:tc>
      </w:tr>
      <w:tr w:rsidR="00376657" w:rsidRPr="00376657" w14:paraId="41ABFC19" w14:textId="77777777" w:rsidTr="005F2C02">
        <w:tc>
          <w:tcPr>
            <w:cnfStyle w:val="001000000000" w:firstRow="0" w:lastRow="0" w:firstColumn="1" w:lastColumn="0" w:oddVBand="0" w:evenVBand="0" w:oddHBand="0" w:evenHBand="0" w:firstRowFirstColumn="0" w:firstRowLastColumn="0" w:lastRowFirstColumn="0" w:lastRowLastColumn="0"/>
            <w:tcW w:w="846" w:type="dxa"/>
          </w:tcPr>
          <w:p w14:paraId="0D77A3B9" w14:textId="77777777" w:rsidR="00376657" w:rsidRPr="00376657" w:rsidRDefault="00376657" w:rsidP="00376657">
            <w:pPr>
              <w:rPr>
                <w:sz w:val="20"/>
                <w:szCs w:val="20"/>
              </w:rPr>
            </w:pPr>
            <w:r w:rsidRPr="00376657">
              <w:rPr>
                <w:sz w:val="20"/>
                <w:szCs w:val="20"/>
              </w:rPr>
              <w:t>4305</w:t>
            </w:r>
          </w:p>
        </w:tc>
        <w:tc>
          <w:tcPr>
            <w:tcW w:w="1559" w:type="dxa"/>
          </w:tcPr>
          <w:p w14:paraId="41D0A0FC"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RETINOL</w:t>
            </w:r>
          </w:p>
        </w:tc>
        <w:tc>
          <w:tcPr>
            <w:tcW w:w="1418" w:type="dxa"/>
          </w:tcPr>
          <w:p w14:paraId="7BBCC6E6"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A, E</w:t>
            </w:r>
          </w:p>
        </w:tc>
        <w:tc>
          <w:tcPr>
            <w:tcW w:w="5386" w:type="dxa"/>
          </w:tcPr>
          <w:p w14:paraId="14276037"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Vitamin A is a mandatory component of retinol.</w:t>
            </w:r>
          </w:p>
          <w:p w14:paraId="45A2DECB"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for use in topical medicines, the concentration of Vitamin A in the medicine must be no more than 1%.</w:t>
            </w:r>
          </w:p>
          <w:p w14:paraId="1449F029"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for internal use, the maximum daily dose must be no more than 3000 micrograms of Retinol Equivalents.</w:t>
            </w:r>
          </w:p>
          <w:p w14:paraId="738F0346"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preparations for internal use in adults contain more than 33 micrograms of retinol equivalents per dosage unit in divided preparations or per gram of an undivided preparation, the medicine requires the following warning statements on the medicine label:</w:t>
            </w:r>
          </w:p>
          <w:p w14:paraId="507D7EFA"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(VITA2) ‘WARNING: If you are pregnant - or considering becoming pregnant - do not take Vitamin A supplements without consulting your doctor or pharmacist [or words to that effect].’ NOTE: Position this warning at the beginning of the directions for use.</w:t>
            </w:r>
          </w:p>
          <w:p w14:paraId="797D220C"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(VITA4) ‘WARNING - When taken in excess of 3000 micrograms retinol equivalents - Vitamin A can cause birth defects.’ NOTE: Position this warning at the beginning of the directions for use.</w:t>
            </w:r>
          </w:p>
          <w:p w14:paraId="50900F68"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(VITA3) ‘The recommended daily amount of Vitamin A from all sources is 700 micrograms retinol equivalents for women and 900 micrograms retinol equivalents for men.’</w:t>
            </w:r>
          </w:p>
        </w:tc>
      </w:tr>
      <w:tr w:rsidR="00376657" w:rsidRPr="00376657" w14:paraId="273A03ED" w14:textId="77777777" w:rsidTr="005F2C02">
        <w:tc>
          <w:tcPr>
            <w:cnfStyle w:val="001000000000" w:firstRow="0" w:lastRow="0" w:firstColumn="1" w:lastColumn="0" w:oddVBand="0" w:evenVBand="0" w:oddHBand="0" w:evenHBand="0" w:firstRowFirstColumn="0" w:firstRowLastColumn="0" w:lastRowFirstColumn="0" w:lastRowLastColumn="0"/>
            <w:tcW w:w="846" w:type="dxa"/>
          </w:tcPr>
          <w:p w14:paraId="7DF31376" w14:textId="77777777" w:rsidR="00376657" w:rsidRPr="00376657" w:rsidRDefault="00376657" w:rsidP="00376657">
            <w:pPr>
              <w:rPr>
                <w:sz w:val="20"/>
                <w:szCs w:val="20"/>
              </w:rPr>
            </w:pPr>
            <w:r w:rsidRPr="00376657">
              <w:rPr>
                <w:sz w:val="20"/>
                <w:szCs w:val="20"/>
              </w:rPr>
              <w:t>4306</w:t>
            </w:r>
          </w:p>
        </w:tc>
        <w:tc>
          <w:tcPr>
            <w:tcW w:w="1559" w:type="dxa"/>
          </w:tcPr>
          <w:p w14:paraId="713E8189"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RETINOL ACETATE</w:t>
            </w:r>
          </w:p>
        </w:tc>
        <w:tc>
          <w:tcPr>
            <w:tcW w:w="1418" w:type="dxa"/>
          </w:tcPr>
          <w:p w14:paraId="05FC65BA"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A, E</w:t>
            </w:r>
          </w:p>
        </w:tc>
        <w:tc>
          <w:tcPr>
            <w:tcW w:w="5386" w:type="dxa"/>
          </w:tcPr>
          <w:p w14:paraId="3ED734E9"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Vitamin A is a mandatory component of retinol acetate.</w:t>
            </w:r>
          </w:p>
          <w:p w14:paraId="6115AC27"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for use in topical medicines, the concentration of Vitamin A in the medicine must be no more than 1%.</w:t>
            </w:r>
          </w:p>
          <w:p w14:paraId="177A4862"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lastRenderedPageBreak/>
              <w:t>When for internal use, the maximum daily dose must be no more than 3000 micrograms of Retinol Equivalents.</w:t>
            </w:r>
          </w:p>
          <w:p w14:paraId="4937A6E0"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preparations for internal use in adults contain more than 33 micrograms of retinol equivalents per dosage unit in divided preparations or per gram of an undivided preparation, the medicine requires the following warning statements on the medicine label:</w:t>
            </w:r>
          </w:p>
          <w:p w14:paraId="7709BFF4"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(VITA2) ‘WARNING: If you are pregnant - or considering becoming pregnant - do not take Vitamin A supplements without consulting your doctor or pharmacist [or words to that effect].’ NOTE: Position this warning at the beginning of the directions for use.</w:t>
            </w:r>
          </w:p>
          <w:p w14:paraId="4C15F903"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(VITA4) ‘WARNING - When taken in excess of 3000 micrograms retinol equivalents - Vitamin A can cause birth defects.’ NOTE: Position this warning at the beginning of the directions for use.</w:t>
            </w:r>
          </w:p>
          <w:p w14:paraId="01FECE39"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(VITA3) ‘The recommended daily amount of Vitamin A from all sources is 700 micrograms retinol equivalents for women and 900 micrograms retinol equivalents for men.’</w:t>
            </w:r>
          </w:p>
        </w:tc>
      </w:tr>
      <w:tr w:rsidR="00376657" w:rsidRPr="00376657" w14:paraId="5F132E8E" w14:textId="77777777" w:rsidTr="005F2C02">
        <w:tc>
          <w:tcPr>
            <w:cnfStyle w:val="001000000000" w:firstRow="0" w:lastRow="0" w:firstColumn="1" w:lastColumn="0" w:oddVBand="0" w:evenVBand="0" w:oddHBand="0" w:evenHBand="0" w:firstRowFirstColumn="0" w:firstRowLastColumn="0" w:lastRowFirstColumn="0" w:lastRowLastColumn="0"/>
            <w:tcW w:w="846" w:type="dxa"/>
          </w:tcPr>
          <w:p w14:paraId="77B55CCF" w14:textId="77777777" w:rsidR="00376657" w:rsidRPr="00376657" w:rsidRDefault="00376657" w:rsidP="00376657">
            <w:pPr>
              <w:rPr>
                <w:sz w:val="20"/>
                <w:szCs w:val="20"/>
              </w:rPr>
            </w:pPr>
            <w:r w:rsidRPr="00376657">
              <w:rPr>
                <w:sz w:val="20"/>
                <w:szCs w:val="20"/>
              </w:rPr>
              <w:lastRenderedPageBreak/>
              <w:t>4307</w:t>
            </w:r>
          </w:p>
        </w:tc>
        <w:tc>
          <w:tcPr>
            <w:tcW w:w="1559" w:type="dxa"/>
          </w:tcPr>
          <w:p w14:paraId="03B66D82"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RETINOL PALMITATE</w:t>
            </w:r>
          </w:p>
        </w:tc>
        <w:tc>
          <w:tcPr>
            <w:tcW w:w="1418" w:type="dxa"/>
          </w:tcPr>
          <w:p w14:paraId="0893D4E5"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A, E</w:t>
            </w:r>
          </w:p>
        </w:tc>
        <w:tc>
          <w:tcPr>
            <w:tcW w:w="5386" w:type="dxa"/>
          </w:tcPr>
          <w:p w14:paraId="2A5AFF4E"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Vitamin A is a mandatory component of retinol palmitate.</w:t>
            </w:r>
          </w:p>
          <w:p w14:paraId="000109F7"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for use in topical medicines, the concentration of Vitamin A in the medicine must be no more than 1%.</w:t>
            </w:r>
          </w:p>
          <w:p w14:paraId="42E7E5CE"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for internal use, the maximum daily dose must be no more than 3000 micrograms of Retinol Equivalents.</w:t>
            </w:r>
          </w:p>
          <w:p w14:paraId="5567D598"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When preparations for internal use in adults contain more than 33 micrograms of retinol equivalents per dosage unit in divided preparations or per gram of an undivided preparation, the medicine requires the following warning statements on the medicine label:</w:t>
            </w:r>
          </w:p>
          <w:p w14:paraId="0B7A140B"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(VITA2) ‘WARNING: If you are pregnant - or considering becoming pregnant - do not take Vitamin A supplements without consulting your doctor or pharmacist [or words to that effect].’ NOTE: Position this warning at the beginning of the directions for use.</w:t>
            </w:r>
          </w:p>
          <w:p w14:paraId="655FAC15"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(VITA4) ‘WARNING - When taken in excess of 3000 micrograms retinol equivalents - Vitamin A can cause birth defects.’ NOTE: Position this warning at the beginning of the directions for use.</w:t>
            </w:r>
          </w:p>
          <w:p w14:paraId="2259836A"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 (VITA3) ‘The recommended daily amount of Vitamin A from all sources is 700 micrograms retinol equivalents for women and 900 micrograms retinol equivalents for men.’</w:t>
            </w:r>
          </w:p>
        </w:tc>
      </w:tr>
      <w:tr w:rsidR="00376657" w:rsidRPr="00376657" w14:paraId="2BE39A70" w14:textId="77777777" w:rsidTr="005F2C02">
        <w:tc>
          <w:tcPr>
            <w:cnfStyle w:val="001000000000" w:firstRow="0" w:lastRow="0" w:firstColumn="1" w:lastColumn="0" w:oddVBand="0" w:evenVBand="0" w:oddHBand="0" w:evenHBand="0" w:firstRowFirstColumn="0" w:firstRowLastColumn="0" w:lastRowFirstColumn="0" w:lastRowLastColumn="0"/>
            <w:tcW w:w="9209" w:type="dxa"/>
            <w:gridSpan w:val="4"/>
          </w:tcPr>
          <w:p w14:paraId="7DEDEE80" w14:textId="77777777" w:rsidR="00376657" w:rsidRPr="00376657" w:rsidRDefault="00376657" w:rsidP="00376657">
            <w:r w:rsidRPr="00376657">
              <w:rPr>
                <w:szCs w:val="18"/>
              </w:rPr>
              <w:t>A = active ingredient for a medicine has the same meaning as in the Regulations</w:t>
            </w:r>
            <w:r w:rsidRPr="00376657">
              <w:rPr>
                <w:szCs w:val="18"/>
              </w:rPr>
              <w:br/>
              <w:t>E = excipient for a medicine meaning an ingredient that is not an active ingredient or a homoeopathic preparation ingredient</w:t>
            </w:r>
          </w:p>
        </w:tc>
      </w:tr>
    </w:tbl>
    <w:p w14:paraId="55A890EE"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The </w:t>
      </w:r>
      <w:hyperlink r:id="rId46" w:history="1">
        <w:r w:rsidRPr="00376657">
          <w:rPr>
            <w:rFonts w:eastAsia="Cambria" w:cs="Times New Roman"/>
            <w:color w:val="0000FF"/>
            <w:u w:val="single"/>
          </w:rPr>
          <w:t>TGA prescribing medicines in pregnancy database</w:t>
        </w:r>
      </w:hyperlink>
      <w:r w:rsidRPr="00376657">
        <w:rPr>
          <w:rFonts w:eastAsia="Cambria" w:cs="Times New Roman"/>
        </w:rPr>
        <w:t xml:space="preserve"> does not specifically classify retinol acetate and retinol palmitate. However, vitamin A (retinol) is classified as a Category D </w:t>
      </w:r>
      <w:r w:rsidRPr="00376657">
        <w:rPr>
          <w:rFonts w:eastAsia="Cambria" w:cs="Times New Roman"/>
          <w:szCs w:val="18"/>
        </w:rPr>
        <w:t xml:space="preserve">substance i.e. substances which have caused, are suspected to have caused or may be expected to cause </w:t>
      </w:r>
      <w:r w:rsidRPr="00376657">
        <w:rPr>
          <w:rFonts w:eastAsia="Cambria" w:cs="Times New Roman"/>
          <w:szCs w:val="18"/>
        </w:rPr>
        <w:lastRenderedPageBreak/>
        <w:t>an increased incidence of human foetal malformations or irreversible damage. These substances may also have adverse pharmacological effects.</w:t>
      </w:r>
    </w:p>
    <w:p w14:paraId="3ECCD6EC"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While retinol or its esters are not specifically mentioned in the </w:t>
      </w:r>
      <w:hyperlink r:id="rId47" w:history="1">
        <w:r w:rsidRPr="00376657">
          <w:rPr>
            <w:rFonts w:eastAsia="Cambria" w:cs="Times New Roman"/>
            <w:color w:val="0000FF"/>
            <w:u w:val="single"/>
          </w:rPr>
          <w:t>Therapeutic Goods (Medicines Advisory Statements) Specification 2021</w:t>
        </w:r>
      </w:hyperlink>
      <w:r w:rsidRPr="00376657">
        <w:rPr>
          <w:rFonts w:eastAsia="Cambria" w:cs="Times New Roman"/>
        </w:rPr>
        <w:t>, the following warning statements are required to be included on the labels for vitamin A preparations.</w:t>
      </w:r>
    </w:p>
    <w:tbl>
      <w:tblPr>
        <w:tblStyle w:val="TableTGAblue2023"/>
        <w:tblW w:w="0" w:type="auto"/>
        <w:tblLook w:val="04A0" w:firstRow="1" w:lastRow="0" w:firstColumn="1" w:lastColumn="0" w:noHBand="0" w:noVBand="1"/>
      </w:tblPr>
      <w:tblGrid>
        <w:gridCol w:w="2122"/>
        <w:gridCol w:w="3118"/>
        <w:gridCol w:w="3820"/>
      </w:tblGrid>
      <w:tr w:rsidR="00376657" w:rsidRPr="00376657" w14:paraId="1F160E7A" w14:textId="77777777" w:rsidTr="005F2C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35DFB1E" w14:textId="77777777" w:rsidR="00376657" w:rsidRPr="00376657" w:rsidRDefault="00376657" w:rsidP="00376657">
            <w:r w:rsidRPr="00376657">
              <w:t>Substance</w:t>
            </w:r>
          </w:p>
        </w:tc>
        <w:tc>
          <w:tcPr>
            <w:tcW w:w="3118" w:type="dxa"/>
          </w:tcPr>
          <w:p w14:paraId="57779081"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Conditions</w:t>
            </w:r>
          </w:p>
        </w:tc>
        <w:tc>
          <w:tcPr>
            <w:tcW w:w="3820" w:type="dxa"/>
          </w:tcPr>
          <w:p w14:paraId="20EF8034"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Required statements</w:t>
            </w:r>
          </w:p>
        </w:tc>
      </w:tr>
      <w:tr w:rsidR="00376657" w:rsidRPr="00376657" w14:paraId="56CAAC7B" w14:textId="77777777" w:rsidTr="005F2C02">
        <w:tc>
          <w:tcPr>
            <w:cnfStyle w:val="001000000000" w:firstRow="0" w:lastRow="0" w:firstColumn="1" w:lastColumn="0" w:oddVBand="0" w:evenVBand="0" w:oddHBand="0" w:evenHBand="0" w:firstRowFirstColumn="0" w:firstRowLastColumn="0" w:lastRowFirstColumn="0" w:lastRowLastColumn="0"/>
            <w:tcW w:w="2122" w:type="dxa"/>
          </w:tcPr>
          <w:p w14:paraId="2C363204" w14:textId="77777777" w:rsidR="00376657" w:rsidRPr="00376657" w:rsidRDefault="00376657" w:rsidP="00376657">
            <w:pPr>
              <w:rPr>
                <w:rFonts w:cs="Arial"/>
                <w:sz w:val="20"/>
                <w:szCs w:val="20"/>
              </w:rPr>
            </w:pPr>
            <w:r w:rsidRPr="00376657">
              <w:rPr>
                <w:rFonts w:cs="Arial"/>
                <w:sz w:val="20"/>
                <w:szCs w:val="20"/>
              </w:rPr>
              <w:t>Vitamin A</w:t>
            </w:r>
          </w:p>
        </w:tc>
        <w:tc>
          <w:tcPr>
            <w:tcW w:w="3118" w:type="dxa"/>
          </w:tcPr>
          <w:p w14:paraId="3629992C"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76657">
              <w:rPr>
                <w:rFonts w:cs="Arial"/>
                <w:sz w:val="20"/>
                <w:szCs w:val="20"/>
              </w:rPr>
              <w:t>In medicines for oral use that are labelled to be used by females of childbearing age containing MORE THAN:</w:t>
            </w:r>
          </w:p>
          <w:p w14:paraId="74E5FF07" w14:textId="77777777" w:rsidR="00376657" w:rsidRPr="00376657" w:rsidRDefault="00376657" w:rsidP="00376657">
            <w:pPr>
              <w:numPr>
                <w:ilvl w:val="0"/>
                <w:numId w:val="42"/>
              </w:numPr>
              <w:tabs>
                <w:tab w:val="num" w:pos="460"/>
              </w:tabs>
              <w:ind w:left="460" w:hanging="284"/>
              <w:cnfStyle w:val="000000000000" w:firstRow="0" w:lastRow="0" w:firstColumn="0" w:lastColumn="0" w:oddVBand="0" w:evenVBand="0" w:oddHBand="0" w:evenHBand="0" w:firstRowFirstColumn="0" w:firstRowLastColumn="0" w:lastRowFirstColumn="0" w:lastRowLastColumn="0"/>
              <w:rPr>
                <w:rFonts w:cs="Arial"/>
                <w:sz w:val="20"/>
                <w:szCs w:val="20"/>
              </w:rPr>
            </w:pPr>
            <w:r w:rsidRPr="00376657">
              <w:rPr>
                <w:rFonts w:cs="Arial"/>
                <w:sz w:val="20"/>
                <w:szCs w:val="20"/>
              </w:rPr>
              <w:t>33 micrograms retinol equivalents of vitamin A per dosage unit of a divided preparation; or</w:t>
            </w:r>
          </w:p>
          <w:p w14:paraId="3675ABC6" w14:textId="77777777" w:rsidR="00376657" w:rsidRPr="00376657" w:rsidRDefault="00376657" w:rsidP="00376657">
            <w:pPr>
              <w:numPr>
                <w:ilvl w:val="0"/>
                <w:numId w:val="42"/>
              </w:numPr>
              <w:tabs>
                <w:tab w:val="num" w:pos="460"/>
              </w:tabs>
              <w:ind w:left="460" w:hanging="284"/>
              <w:cnfStyle w:val="000000000000" w:firstRow="0" w:lastRow="0" w:firstColumn="0" w:lastColumn="0" w:oddVBand="0" w:evenVBand="0" w:oddHBand="0" w:evenHBand="0" w:firstRowFirstColumn="0" w:firstRowLastColumn="0" w:lastRowFirstColumn="0" w:lastRowLastColumn="0"/>
              <w:rPr>
                <w:rFonts w:cs="Arial"/>
                <w:sz w:val="20"/>
                <w:szCs w:val="20"/>
              </w:rPr>
            </w:pPr>
            <w:r w:rsidRPr="00376657">
              <w:rPr>
                <w:rFonts w:cs="Arial"/>
                <w:sz w:val="20"/>
                <w:szCs w:val="20"/>
              </w:rPr>
              <w:t>33 micrograms retinol equivalents of vitamin A per gram of an undivided preparation</w:t>
            </w:r>
          </w:p>
        </w:tc>
        <w:tc>
          <w:tcPr>
            <w:tcW w:w="3820" w:type="dxa"/>
          </w:tcPr>
          <w:p w14:paraId="5B4BAB10" w14:textId="77777777" w:rsidR="00376657" w:rsidRPr="00376657" w:rsidRDefault="00376657" w:rsidP="00376657">
            <w:pPr>
              <w:numPr>
                <w:ilvl w:val="0"/>
                <w:numId w:val="43"/>
              </w:numPr>
              <w:spacing w:before="120" w:after="120" w:line="240" w:lineRule="auto"/>
              <w:cnfStyle w:val="000000000000" w:firstRow="0" w:lastRow="0" w:firstColumn="0" w:lastColumn="0" w:oddVBand="0" w:evenVBand="0" w:oddHBand="0" w:evenHBand="0" w:firstRowFirstColumn="0" w:firstRowLastColumn="0" w:lastRowFirstColumn="0" w:lastRowLastColumn="0"/>
            </w:pPr>
            <w:r w:rsidRPr="00376657">
              <w:t>The recommended daily amount of vitamin A from all sources is 700 micrograms retinol equivalents for women and 900 micrograms retinol equivalents for men.</w:t>
            </w:r>
          </w:p>
          <w:p w14:paraId="00EE6061" w14:textId="77777777" w:rsidR="00376657" w:rsidRPr="00376657" w:rsidRDefault="00376657" w:rsidP="00376657">
            <w:pPr>
              <w:numPr>
                <w:ilvl w:val="0"/>
                <w:numId w:val="43"/>
              </w:numPr>
              <w:spacing w:before="120" w:after="120" w:line="240" w:lineRule="auto"/>
              <w:cnfStyle w:val="000000000000" w:firstRow="0" w:lastRow="0" w:firstColumn="0" w:lastColumn="0" w:oddVBand="0" w:evenVBand="0" w:oddHBand="0" w:evenHBand="0" w:firstRowFirstColumn="0" w:firstRowLastColumn="0" w:lastRowFirstColumn="0" w:lastRowLastColumn="0"/>
            </w:pPr>
            <w:r w:rsidRPr="00376657">
              <w:t>WARNING – When taken in excess of 3,000 micrograms retinol equivalents, vitamin A can cause birth defects.</w:t>
            </w:r>
          </w:p>
          <w:p w14:paraId="53F41B5D" w14:textId="77777777" w:rsidR="00376657" w:rsidRPr="00376657" w:rsidRDefault="00376657" w:rsidP="00376657">
            <w:pPr>
              <w:numPr>
                <w:ilvl w:val="0"/>
                <w:numId w:val="43"/>
              </w:numPr>
              <w:spacing w:before="120" w:after="120" w:line="240" w:lineRule="auto"/>
              <w:cnfStyle w:val="000000000000" w:firstRow="0" w:lastRow="0" w:firstColumn="0" w:lastColumn="0" w:oddVBand="0" w:evenVBand="0" w:oddHBand="0" w:evenHBand="0" w:firstRowFirstColumn="0" w:firstRowLastColumn="0" w:lastRowFirstColumn="0" w:lastRowLastColumn="0"/>
            </w:pPr>
            <w:r w:rsidRPr="00376657">
              <w:t>If you are pregnant, or considering becoming pregnant, do not take vitamin A supplements without consulting your doctor or pharmacist.</w:t>
            </w:r>
          </w:p>
        </w:tc>
      </w:tr>
    </w:tbl>
    <w:p w14:paraId="3847CCFE"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As of 26 August 2026, the </w:t>
      </w:r>
      <w:hyperlink r:id="rId48" w:history="1">
        <w:r w:rsidRPr="00376657">
          <w:rPr>
            <w:rFonts w:eastAsia="Cambria" w:cs="Times New Roman"/>
            <w:color w:val="0000FF"/>
            <w:u w:val="single"/>
          </w:rPr>
          <w:t>Database of Adverse Event Notifications (DAEN)</w:t>
        </w:r>
      </w:hyperlink>
      <w:r w:rsidRPr="00376657">
        <w:rPr>
          <w:rFonts w:eastAsia="Cambria" w:cs="Times New Roman"/>
        </w:rPr>
        <w:t xml:space="preserve"> listed:</w:t>
      </w:r>
      <w:r w:rsidRPr="00376657">
        <w:rPr>
          <w:rFonts w:eastAsia="Cambria" w:cs="Times New Roman"/>
          <w:vertAlign w:val="superscript"/>
        </w:rPr>
        <w:t xml:space="preserve"> </w:t>
      </w:r>
      <w:r w:rsidRPr="00376657">
        <w:rPr>
          <w:rFonts w:eastAsia="Cambria" w:cs="Times New Roman"/>
          <w:vertAlign w:val="superscript"/>
        </w:rPr>
        <w:footnoteReference w:id="5"/>
      </w:r>
    </w:p>
    <w:p w14:paraId="358FEBBD" w14:textId="77777777" w:rsidR="00376657" w:rsidRPr="00376657" w:rsidRDefault="00376657" w:rsidP="00376657">
      <w:pPr>
        <w:numPr>
          <w:ilvl w:val="1"/>
          <w:numId w:val="8"/>
        </w:numPr>
        <w:spacing w:before="120" w:after="180" w:line="240" w:lineRule="atLeast"/>
        <w:rPr>
          <w:rFonts w:eastAsia="Cambria" w:cs="Times New Roman"/>
          <w:color w:val="333F48"/>
        </w:rPr>
      </w:pPr>
      <w:r w:rsidRPr="00376657">
        <w:rPr>
          <w:rFonts w:eastAsia="Cambria" w:cs="Times New Roman"/>
        </w:rPr>
        <w:t>52 adverse events for products containing vitamin A as an active ingredient of which 43 reported vitamin A as the single suspected medicine. There were no reports of death associated with vitamin A.</w:t>
      </w:r>
    </w:p>
    <w:p w14:paraId="6D5385BA" w14:textId="77777777" w:rsidR="00376657" w:rsidRPr="00376657" w:rsidRDefault="00376657" w:rsidP="00376657">
      <w:pPr>
        <w:numPr>
          <w:ilvl w:val="1"/>
          <w:numId w:val="8"/>
        </w:numPr>
        <w:spacing w:before="120" w:after="180" w:line="240" w:lineRule="atLeast"/>
        <w:rPr>
          <w:rFonts w:eastAsia="Cambria" w:cs="Times New Roman"/>
          <w:color w:val="333F48"/>
        </w:rPr>
      </w:pPr>
      <w:r w:rsidRPr="00376657">
        <w:rPr>
          <w:rFonts w:eastAsia="Cambria" w:cs="Times New Roman"/>
        </w:rPr>
        <w:t>793 adverse events for products containing retinol as an active ingredient of which 658 reported retinol as the single suspected medicine. There were 12 reports of deaths associated with retinol use.</w:t>
      </w:r>
    </w:p>
    <w:p w14:paraId="383E2921"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441 adverse events for products containing retinol acetate as an active ingredient of which 380 reported retinol acetate as the single suspected medicine. There were no reports of death associated with retinol acetate use.</w:t>
      </w:r>
    </w:p>
    <w:p w14:paraId="43BCBADE"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333 adverse events for products containing retinol palmitate as an active ingredient of which 269 reported retinol palmitate as the single suspected medicine. There were 12 reports of deaths associated with retinol palmitate use.</w:t>
      </w:r>
    </w:p>
    <w:p w14:paraId="3A59B55C"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t xml:space="preserve">As of 8 September 2026, the Australian Pesticides and Veterinary Medicines Authority’s </w:t>
      </w:r>
      <w:hyperlink r:id="rId49" w:history="1">
        <w:r w:rsidRPr="00376657">
          <w:rPr>
            <w:rFonts w:eastAsia="Cambria" w:cs="Times New Roman"/>
            <w:color w:val="0000FF"/>
            <w:u w:val="single"/>
          </w:rPr>
          <w:t>Public Chemical Registration Information System (PubCRIS)</w:t>
        </w:r>
      </w:hyperlink>
      <w:r w:rsidRPr="00376657">
        <w:rPr>
          <w:rFonts w:eastAsia="Cambria" w:cs="Times New Roman"/>
        </w:rPr>
        <w:t xml:space="preserve"> listed:</w:t>
      </w:r>
    </w:p>
    <w:p w14:paraId="1E8F54AE"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18 products containing vitamin A as an active ingredient/constituent or scheduled substance.</w:t>
      </w:r>
    </w:p>
    <w:p w14:paraId="7BB04AE8"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2 products containing ‘retinol as the palmitate’ as an active ingredient/constituent or scheduled substance.</w:t>
      </w:r>
    </w:p>
    <w:p w14:paraId="3536B339" w14:textId="77777777" w:rsidR="00376657" w:rsidRPr="00376657" w:rsidRDefault="00376657" w:rsidP="00376657">
      <w:pPr>
        <w:numPr>
          <w:ilvl w:val="1"/>
          <w:numId w:val="8"/>
        </w:numPr>
        <w:spacing w:before="120" w:after="180" w:line="240" w:lineRule="atLeast"/>
        <w:rPr>
          <w:rFonts w:eastAsia="Cambria" w:cs="Times New Roman"/>
        </w:rPr>
      </w:pPr>
      <w:r w:rsidRPr="00376657">
        <w:rPr>
          <w:rFonts w:eastAsia="Cambria" w:cs="Times New Roman"/>
        </w:rPr>
        <w:t>5 products containing ‘retinyl acetate’ as an active ingredient/constituent or scheduled substance.</w:t>
      </w:r>
    </w:p>
    <w:p w14:paraId="0E865ED0" w14:textId="77777777" w:rsidR="00376657" w:rsidRPr="00376657" w:rsidRDefault="00376657" w:rsidP="00376657">
      <w:pPr>
        <w:numPr>
          <w:ilvl w:val="0"/>
          <w:numId w:val="8"/>
        </w:numPr>
        <w:spacing w:before="120" w:after="180" w:line="240" w:lineRule="atLeast"/>
        <w:rPr>
          <w:rFonts w:eastAsia="Cambria" w:cs="Times New Roman"/>
        </w:rPr>
      </w:pPr>
      <w:r w:rsidRPr="00376657">
        <w:rPr>
          <w:rFonts w:eastAsia="Cambria" w:cs="Times New Roman"/>
        </w:rPr>
        <w:lastRenderedPageBreak/>
        <w:t xml:space="preserve">In 2009-2019 no adverse experiences were recorded for vitamin A, retinol, retinol acetate or retinol palmitate in the </w:t>
      </w:r>
      <w:hyperlink r:id="rId50" w:history="1">
        <w:r w:rsidRPr="00376657">
          <w:rPr>
            <w:rFonts w:eastAsia="Cambria" w:cs="Times New Roman"/>
            <w:color w:val="0000FF"/>
            <w:u w:val="single"/>
          </w:rPr>
          <w:t>APVMA Adverse Experience Reporting Program</w:t>
        </w:r>
      </w:hyperlink>
      <w:r w:rsidRPr="00376657">
        <w:rPr>
          <w:rFonts w:eastAsia="Cambria" w:cs="Times New Roman"/>
        </w:rPr>
        <w:t xml:space="preserve"> database (AERP).</w:t>
      </w:r>
    </w:p>
    <w:p w14:paraId="53F00184" w14:textId="77777777" w:rsidR="00376657" w:rsidRPr="00376657" w:rsidRDefault="00376657" w:rsidP="00D63DC6">
      <w:pPr>
        <w:pStyle w:val="Heading4"/>
      </w:pPr>
      <w:bookmarkStart w:id="44" w:name="_Toc165905889"/>
      <w:bookmarkStart w:id="45" w:name="_Toc239945899"/>
      <w:r w:rsidRPr="00376657">
        <w:t>International regulations</w:t>
      </w:r>
      <w:bookmarkEnd w:id="44"/>
      <w:bookmarkEnd w:id="45"/>
    </w:p>
    <w:p w14:paraId="39770862" w14:textId="77777777" w:rsidR="00376657" w:rsidRPr="00376657" w:rsidRDefault="00376657" w:rsidP="00376657">
      <w:pPr>
        <w:numPr>
          <w:ilvl w:val="0"/>
          <w:numId w:val="5"/>
        </w:numPr>
        <w:spacing w:before="120" w:line="240" w:lineRule="auto"/>
        <w:ind w:left="357" w:hanging="357"/>
        <w:rPr>
          <w:rFonts w:eastAsia="Cambria" w:cs="Times New Roman"/>
        </w:rPr>
      </w:pPr>
      <w:r w:rsidRPr="00376657">
        <w:rPr>
          <w:rFonts w:eastAsia="Cambria" w:cs="Times New Roman"/>
        </w:rPr>
        <w:t xml:space="preserve">The </w:t>
      </w:r>
      <w:hyperlink r:id="rId51" w:history="1">
        <w:r w:rsidRPr="00376657">
          <w:rPr>
            <w:rFonts w:eastAsia="Cambria" w:cs="Times New Roman"/>
            <w:color w:val="0000FF"/>
            <w:u w:val="single"/>
          </w:rPr>
          <w:t>Health Canada Drug Product Database</w:t>
        </w:r>
      </w:hyperlink>
      <w:r w:rsidRPr="00376657">
        <w:rPr>
          <w:rFonts w:eastAsia="Cambria" w:cs="Times New Roman"/>
        </w:rPr>
        <w:t xml:space="preserve"> includes 4 drug products that contain vitamin A as an active ingredient. Whilst the database includes cancelled drug products containing retinol, retinol acetate and retinol palmitate, there are no currently approved drug products that contain these active ingredients.</w:t>
      </w:r>
    </w:p>
    <w:p w14:paraId="268972DE" w14:textId="77777777" w:rsidR="00376657" w:rsidRPr="00376657" w:rsidRDefault="00376657" w:rsidP="00376657">
      <w:pPr>
        <w:numPr>
          <w:ilvl w:val="0"/>
          <w:numId w:val="5"/>
        </w:numPr>
        <w:spacing w:before="120" w:line="240" w:lineRule="auto"/>
        <w:ind w:left="357" w:hanging="357"/>
        <w:rPr>
          <w:rFonts w:eastAsia="Cambria" w:cs="Times New Roman"/>
        </w:rPr>
      </w:pPr>
      <w:r w:rsidRPr="00376657">
        <w:rPr>
          <w:rFonts w:eastAsia="Cambria" w:cs="Times New Roman"/>
        </w:rPr>
        <w:t xml:space="preserve">The </w:t>
      </w:r>
      <w:hyperlink r:id="rId52" w:history="1">
        <w:r w:rsidRPr="00376657">
          <w:rPr>
            <w:rFonts w:eastAsia="Cambria" w:cs="Times New Roman"/>
            <w:color w:val="0000FF"/>
            <w:u w:val="single"/>
          </w:rPr>
          <w:t>New Zealand Medsafe Medicines Classification Database</w:t>
        </w:r>
      </w:hyperlink>
      <w:r w:rsidRPr="00376657">
        <w:rPr>
          <w:rFonts w:eastAsia="Cambria" w:cs="Times New Roman"/>
        </w:rPr>
        <w:t xml:space="preserve"> does not list retinol or its esters specifically, however it includes vitamin A as follows:</w:t>
      </w:r>
    </w:p>
    <w:tbl>
      <w:tblPr>
        <w:tblStyle w:val="TableTGAblue2023"/>
        <w:tblW w:w="9067" w:type="dxa"/>
        <w:tblLook w:val="04A0" w:firstRow="1" w:lastRow="0" w:firstColumn="1" w:lastColumn="0" w:noHBand="0" w:noVBand="1"/>
      </w:tblPr>
      <w:tblGrid>
        <w:gridCol w:w="1442"/>
        <w:gridCol w:w="5743"/>
        <w:gridCol w:w="1882"/>
      </w:tblGrid>
      <w:tr w:rsidR="00376657" w:rsidRPr="00376657" w14:paraId="5FBE75F7" w14:textId="77777777" w:rsidTr="005F2C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dxa"/>
          </w:tcPr>
          <w:p w14:paraId="02086B45" w14:textId="77777777" w:rsidR="00376657" w:rsidRPr="00376657" w:rsidRDefault="00376657" w:rsidP="00376657">
            <w:r w:rsidRPr="00376657">
              <w:t>Substance</w:t>
            </w:r>
          </w:p>
        </w:tc>
        <w:tc>
          <w:tcPr>
            <w:tcW w:w="5783" w:type="dxa"/>
          </w:tcPr>
          <w:p w14:paraId="1807E786"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Conditions (if any)</w:t>
            </w:r>
          </w:p>
        </w:tc>
        <w:tc>
          <w:tcPr>
            <w:tcW w:w="1842" w:type="dxa"/>
          </w:tcPr>
          <w:p w14:paraId="0249AEAB" w14:textId="77777777" w:rsidR="00376657" w:rsidRPr="00376657" w:rsidRDefault="00376657" w:rsidP="00376657">
            <w:pPr>
              <w:cnfStyle w:val="100000000000" w:firstRow="1" w:lastRow="0" w:firstColumn="0" w:lastColumn="0" w:oddVBand="0" w:evenVBand="0" w:oddHBand="0" w:evenHBand="0" w:firstRowFirstColumn="0" w:firstRowLastColumn="0" w:lastRowFirstColumn="0" w:lastRowLastColumn="0"/>
            </w:pPr>
            <w:r w:rsidRPr="00376657">
              <w:t>Classifications</w:t>
            </w:r>
          </w:p>
        </w:tc>
      </w:tr>
      <w:tr w:rsidR="00376657" w:rsidRPr="00376657" w14:paraId="28AA4849" w14:textId="77777777" w:rsidTr="005F2C02">
        <w:tc>
          <w:tcPr>
            <w:cnfStyle w:val="001000000000" w:firstRow="0" w:lastRow="0" w:firstColumn="1" w:lastColumn="0" w:oddVBand="0" w:evenVBand="0" w:oddHBand="0" w:evenHBand="0" w:firstRowFirstColumn="0" w:firstRowLastColumn="0" w:lastRowFirstColumn="0" w:lastRowLastColumn="0"/>
            <w:tcW w:w="1442" w:type="dxa"/>
          </w:tcPr>
          <w:p w14:paraId="28C06624" w14:textId="77777777" w:rsidR="00376657" w:rsidRPr="00376657" w:rsidRDefault="00376657" w:rsidP="00376657">
            <w:pPr>
              <w:rPr>
                <w:sz w:val="20"/>
                <w:szCs w:val="20"/>
              </w:rPr>
            </w:pPr>
            <w:r w:rsidRPr="00376657">
              <w:rPr>
                <w:sz w:val="20"/>
                <w:szCs w:val="20"/>
              </w:rPr>
              <w:t>Vitamin A</w:t>
            </w:r>
          </w:p>
        </w:tc>
        <w:tc>
          <w:tcPr>
            <w:tcW w:w="5783" w:type="dxa"/>
          </w:tcPr>
          <w:p w14:paraId="781B42A6"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for internal use in medicines containing more than 3 milligrams of retinol equivalents per recommended daily dose except in parenteral nutrition replacement preparations;</w:t>
            </w:r>
          </w:p>
          <w:p w14:paraId="48D8D6C3"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for external use in medicines containing more than 1%</w:t>
            </w:r>
          </w:p>
        </w:tc>
        <w:tc>
          <w:tcPr>
            <w:tcW w:w="1842" w:type="dxa"/>
          </w:tcPr>
          <w:p w14:paraId="41B3C571"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Prescription</w:t>
            </w:r>
          </w:p>
        </w:tc>
      </w:tr>
      <w:tr w:rsidR="00376657" w:rsidRPr="00376657" w14:paraId="566CBA20" w14:textId="77777777" w:rsidTr="005F2C02">
        <w:tc>
          <w:tcPr>
            <w:cnfStyle w:val="001000000000" w:firstRow="0" w:lastRow="0" w:firstColumn="1" w:lastColumn="0" w:oddVBand="0" w:evenVBand="0" w:oddHBand="0" w:evenHBand="0" w:firstRowFirstColumn="0" w:firstRowLastColumn="0" w:lastRowFirstColumn="0" w:lastRowLastColumn="0"/>
            <w:tcW w:w="1442" w:type="dxa"/>
          </w:tcPr>
          <w:p w14:paraId="27A3CFE5" w14:textId="77777777" w:rsidR="00376657" w:rsidRPr="00376657" w:rsidRDefault="00376657" w:rsidP="00376657">
            <w:pPr>
              <w:rPr>
                <w:sz w:val="20"/>
                <w:szCs w:val="20"/>
              </w:rPr>
            </w:pPr>
            <w:r w:rsidRPr="00376657">
              <w:rPr>
                <w:sz w:val="20"/>
                <w:szCs w:val="20"/>
              </w:rPr>
              <w:t>Vitamin A</w:t>
            </w:r>
          </w:p>
        </w:tc>
        <w:tc>
          <w:tcPr>
            <w:tcW w:w="5783" w:type="dxa"/>
          </w:tcPr>
          <w:p w14:paraId="526B4095"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for internal use in medicines containing 3 milligrams or less of retinol equivalents per recommended daily dose;</w:t>
            </w:r>
            <w:r w:rsidRPr="00376657">
              <w:rPr>
                <w:sz w:val="20"/>
                <w:szCs w:val="20"/>
              </w:rPr>
              <w:br/>
              <w:t>in parenteral nutrition replacement preparations;</w:t>
            </w:r>
            <w:r w:rsidRPr="00376657">
              <w:rPr>
                <w:sz w:val="20"/>
                <w:szCs w:val="20"/>
              </w:rPr>
              <w:br/>
              <w:t>for external use in medicines containing 1% or less</w:t>
            </w:r>
          </w:p>
        </w:tc>
        <w:tc>
          <w:tcPr>
            <w:tcW w:w="1842" w:type="dxa"/>
          </w:tcPr>
          <w:p w14:paraId="77997D66" w14:textId="77777777" w:rsidR="00376657" w:rsidRPr="00376657" w:rsidRDefault="00376657" w:rsidP="00376657">
            <w:pPr>
              <w:cnfStyle w:val="000000000000" w:firstRow="0" w:lastRow="0" w:firstColumn="0" w:lastColumn="0" w:oddVBand="0" w:evenVBand="0" w:oddHBand="0" w:evenHBand="0" w:firstRowFirstColumn="0" w:firstRowLastColumn="0" w:lastRowFirstColumn="0" w:lastRowLastColumn="0"/>
              <w:rPr>
                <w:sz w:val="20"/>
                <w:szCs w:val="20"/>
              </w:rPr>
            </w:pPr>
            <w:r w:rsidRPr="00376657">
              <w:rPr>
                <w:sz w:val="20"/>
                <w:szCs w:val="20"/>
              </w:rPr>
              <w:t>General Sale</w:t>
            </w:r>
          </w:p>
        </w:tc>
      </w:tr>
    </w:tbl>
    <w:p w14:paraId="242D3212" w14:textId="77777777" w:rsidR="00376657" w:rsidRPr="00376657" w:rsidRDefault="00376657" w:rsidP="00376657"/>
    <w:p w14:paraId="74E6AB36" w14:textId="77777777" w:rsidR="00376657" w:rsidRPr="00376657" w:rsidRDefault="00376657" w:rsidP="00376657">
      <w:pPr>
        <w:numPr>
          <w:ilvl w:val="0"/>
          <w:numId w:val="44"/>
        </w:numPr>
        <w:spacing w:before="120" w:line="240" w:lineRule="auto"/>
        <w:rPr>
          <w:rFonts w:eastAsia="Cambria" w:cs="Times New Roman"/>
        </w:rPr>
      </w:pPr>
      <w:r w:rsidRPr="00376657">
        <w:rPr>
          <w:rFonts w:eastAsia="Cambria" w:cs="Times New Roman"/>
        </w:rPr>
        <w:t xml:space="preserve">The </w:t>
      </w:r>
      <w:hyperlink r:id="rId53" w:history="1">
        <w:r w:rsidRPr="00376657">
          <w:rPr>
            <w:rFonts w:eastAsia="Cambria" w:cs="Times New Roman"/>
            <w:color w:val="0000FF"/>
            <w:u w:val="single"/>
          </w:rPr>
          <w:t>United States Food and Drug Administration Approved Drug Products Database (Drugs@FDA)</w:t>
        </w:r>
      </w:hyperlink>
      <w:r w:rsidRPr="00376657">
        <w:rPr>
          <w:rFonts w:eastAsia="Cambria" w:cs="Times New Roman"/>
          <w:color w:val="0000FF"/>
        </w:rPr>
        <w:t xml:space="preserve"> </w:t>
      </w:r>
      <w:r w:rsidRPr="00376657">
        <w:rPr>
          <w:rFonts w:eastAsia="Cambria" w:cs="Times New Roman"/>
        </w:rPr>
        <w:t xml:space="preserve">lists 19 products that contain vitamin A as an active ingredient; all of which have been discontinued. There are no products on the database that include retinol, retinol acetate or retinol palmitate as an active ingredient. The </w:t>
      </w:r>
      <w:hyperlink r:id="rId54" w:history="1">
        <w:r w:rsidRPr="00376657">
          <w:rPr>
            <w:rFonts w:eastAsia="Cambria" w:cs="Times New Roman"/>
            <w:color w:val="0000FF"/>
            <w:u w:val="single"/>
          </w:rPr>
          <w:t>Orange Book: Approved Drug Products with Therapeutic Equivalence Evaluations</w:t>
        </w:r>
      </w:hyperlink>
      <w:r w:rsidRPr="00376657">
        <w:rPr>
          <w:rFonts w:eastAsia="Cambria" w:cs="Times New Roman"/>
        </w:rPr>
        <w:t xml:space="preserve"> includes 5 entries for prescription products that contain vitamin A and 4 that contain vitamin A palmitate. There are no products on the database that include retinol, retinol acetate or retinol palmitate as an active ingredient.</w:t>
      </w:r>
    </w:p>
    <w:p w14:paraId="1E66A1C9" w14:textId="3EAC73C9" w:rsidR="00E15F18" w:rsidRPr="009161AB" w:rsidRDefault="00376657" w:rsidP="009161AB">
      <w:pPr>
        <w:numPr>
          <w:ilvl w:val="0"/>
          <w:numId w:val="44"/>
        </w:numPr>
        <w:spacing w:before="120" w:line="240" w:lineRule="auto"/>
        <w:rPr>
          <w:rFonts w:eastAsia="Cambria" w:cs="Times New Roman"/>
        </w:rPr>
      </w:pPr>
      <w:r w:rsidRPr="00376657">
        <w:rPr>
          <w:rFonts w:eastAsia="Cambria" w:cs="Times New Roman"/>
        </w:rPr>
        <w:t xml:space="preserve">In the United Kingdom, the </w:t>
      </w:r>
      <w:hyperlink r:id="rId55" w:history="1">
        <w:r w:rsidRPr="00376657">
          <w:rPr>
            <w:rFonts w:eastAsia="Cambria" w:cs="Times New Roman"/>
            <w:color w:val="0000FF"/>
            <w:u w:val="single"/>
          </w:rPr>
          <w:t>Medicines and Healthcare Products Regulatory Agency</w:t>
        </w:r>
      </w:hyperlink>
      <w:r w:rsidRPr="00376657">
        <w:rPr>
          <w:rFonts w:eastAsia="Cambria" w:cs="Times New Roman"/>
        </w:rPr>
        <w:t xml:space="preserve"> (MHRA) lists 2 products with vitamin A as an active ingredient, along with 5 products that list vitamin A palmitate as an active ingredient. The MHRA also lists 1 product containing retinol, 8 products containing retinol palmitate and no products containing retinol acetate as active ingredients.</w:t>
      </w:r>
    </w:p>
    <w:p w14:paraId="3832A68F" w14:textId="77777777" w:rsidR="00643123" w:rsidRDefault="00643123">
      <w:pPr>
        <w:rPr>
          <w:rFonts w:eastAsia="Times New Roman" w:cs="Times New Roman"/>
          <w:b/>
          <w:bCs/>
          <w:color w:val="001871"/>
          <w:sz w:val="32"/>
          <w:szCs w:val="32"/>
        </w:rPr>
      </w:pPr>
      <w:bookmarkStart w:id="46" w:name="_Toc239945900"/>
      <w:r>
        <w:br w:type="page"/>
      </w:r>
    </w:p>
    <w:p w14:paraId="2B7169D4" w14:textId="26A8E3AA" w:rsidR="0038254D" w:rsidRPr="0038254D" w:rsidRDefault="00014F75" w:rsidP="0038254D">
      <w:pPr>
        <w:pStyle w:val="Heading3"/>
      </w:pPr>
      <w:r>
        <w:lastRenderedPageBreak/>
        <w:t>1.3</w:t>
      </w:r>
      <w:r>
        <w:tab/>
      </w:r>
      <w:bookmarkStart w:id="47" w:name="_Toc122614237"/>
      <w:r w:rsidR="0038254D" w:rsidRPr="0038254D">
        <w:t>Methyl ethyl ketone oxime (MEKO) – releasing silanes</w:t>
      </w:r>
      <w:bookmarkEnd w:id="46"/>
    </w:p>
    <w:p w14:paraId="38F5BD69" w14:textId="77777777" w:rsidR="0038254D" w:rsidRPr="0038254D" w:rsidRDefault="0038254D" w:rsidP="0038254D">
      <w:pPr>
        <w:pStyle w:val="Heading4"/>
      </w:pPr>
      <w:bookmarkStart w:id="48" w:name="_Toc238828116"/>
      <w:bookmarkStart w:id="49" w:name="_Toc239945901"/>
      <w:r w:rsidRPr="0038254D">
        <w:t>Proposal</w:t>
      </w:r>
      <w:bookmarkEnd w:id="48"/>
      <w:bookmarkEnd w:id="49"/>
    </w:p>
    <w:p w14:paraId="4670455A" w14:textId="77777777" w:rsidR="0038254D" w:rsidRPr="0038254D" w:rsidRDefault="0038254D" w:rsidP="0038254D">
      <w:r w:rsidRPr="0038254D">
        <w:t xml:space="preserve">This is a Delegate initiated proposal based on recommendations from the Australian Industrial Chemicals Introduction Scheme (AICIS) in their </w:t>
      </w:r>
      <w:hyperlink r:id="rId56">
        <w:r w:rsidRPr="0038254D">
          <w:rPr>
            <w:color w:val="0000FF"/>
            <w:u w:val="single"/>
          </w:rPr>
          <w:t>Evaluation Statement on 2</w:t>
        </w:r>
        <w:r w:rsidRPr="0038254D">
          <w:noBreakHyphen/>
        </w:r>
        <w:r w:rsidRPr="0038254D">
          <w:rPr>
            <w:color w:val="0000FF"/>
            <w:u w:val="single"/>
          </w:rPr>
          <w:t>Butanone oxime (MEKO)-releasing silanes</w:t>
        </w:r>
      </w:hyperlink>
      <w:r w:rsidRPr="0038254D">
        <w:t xml:space="preserve"> (the Evaluation Statement).</w:t>
      </w:r>
    </w:p>
    <w:p w14:paraId="5C21703A" w14:textId="77777777" w:rsidR="0038254D" w:rsidRPr="0038254D" w:rsidRDefault="0038254D" w:rsidP="0038254D">
      <w:r w:rsidRPr="0038254D">
        <w:rPr>
          <w:rFonts w:eastAsia="Arial" w:cs="Arial"/>
          <w:color w:val="000000" w:themeColor="text1"/>
        </w:rPr>
        <w:t>MEKO-releasing silanes are alkoxysilanes containing 2, 3 or 4 methyl ethyl ketone oxime (MEKO) groups attached to a silicon atom. These substances may also contain vinyl, methyl, phenyl, methoxy and/or ethoxy substituents. They are used in adhesives and sealants at concentrations of up to 10% and rapidly hydrolyse in the presence of moisture, including moisture in air or on the surface of the skin, to release MEKO. As released MEKO is expected to be the primary contributor to the systemic toxicity profile of these substances, their health risks are principally associated with exposure to MEKO during use, particularly inhalation exposure during curing. MEKO-releasing silanes are not currently captured by a specific Poisons Standard entry. The proposal is to amend the Poisons (Schedule 6) entry for methyl ethyl ketone oxime to explicitly include MEKO-releasing silanes through a cross-reference.</w:t>
      </w:r>
    </w:p>
    <w:p w14:paraId="09DB3571" w14:textId="77777777" w:rsidR="0038254D" w:rsidRPr="0038254D" w:rsidRDefault="0038254D" w:rsidP="0038254D">
      <w:pPr>
        <w:rPr>
          <w:rFonts w:asciiTheme="minorHAnsi" w:eastAsiaTheme="minorEastAsia" w:hAnsiTheme="minorHAnsi"/>
        </w:rPr>
      </w:pPr>
      <w:r w:rsidRPr="0038254D">
        <w:rPr>
          <w:rFonts w:asciiTheme="minorHAnsi" w:eastAsiaTheme="minorEastAsia" w:hAnsiTheme="minorHAnsi"/>
        </w:rPr>
        <w:t xml:space="preserve">A </w:t>
      </w:r>
      <w:r w:rsidRPr="0038254D">
        <w:t>final decision in relation to the Poisons Standard entry MEKO was published in May 2026</w:t>
      </w:r>
      <w:r w:rsidRPr="0038254D">
        <w:rPr>
          <w:vertAlign w:val="superscript"/>
        </w:rPr>
        <w:footnoteReference w:id="6"/>
      </w:r>
    </w:p>
    <w:p w14:paraId="399DF7C2" w14:textId="0A2C7F77" w:rsidR="0038254D" w:rsidRPr="0038254D" w:rsidRDefault="0038254D" w:rsidP="0038254D">
      <w:pPr>
        <w:rPr>
          <w:rFonts w:eastAsia="Arial" w:cs="Arial"/>
        </w:rPr>
      </w:pPr>
      <w:r w:rsidRPr="0038254D">
        <w:t>The AICIS Evaluation Statement covered the substances below.</w:t>
      </w:r>
    </w:p>
    <w:p w14:paraId="7C36A0CB" w14:textId="77777777" w:rsidR="0038254D" w:rsidRPr="0038254D" w:rsidRDefault="0038254D" w:rsidP="0038254D">
      <w:pPr>
        <w:pStyle w:val="Heading4"/>
      </w:pPr>
      <w:bookmarkStart w:id="50" w:name="_Toc238828117"/>
      <w:bookmarkStart w:id="51" w:name="_Toc239945902"/>
      <w:r w:rsidRPr="0038254D">
        <w:t>CAS Number</w:t>
      </w:r>
      <w:bookmarkEnd w:id="50"/>
      <w:bookmarkEnd w:id="51"/>
    </w:p>
    <w:p w14:paraId="56C38B59" w14:textId="77777777" w:rsidR="0038254D" w:rsidRPr="0038254D" w:rsidRDefault="0038254D" w:rsidP="0038254D">
      <w:pPr>
        <w:rPr>
          <w:rFonts w:eastAsia="Arial" w:cs="Arial"/>
        </w:rPr>
      </w:pPr>
      <w:r w:rsidRPr="0038254D">
        <w:rPr>
          <w:rFonts w:eastAsia="Arial" w:cs="Arial"/>
        </w:rPr>
        <w:t xml:space="preserve">2-Butanone, 2,2′,2′′-[O,O′,O′′-(ethenylsilylidyne)trioxime] CAS No. 2224-33-1 </w:t>
      </w:r>
    </w:p>
    <w:p w14:paraId="26C5BC10" w14:textId="77777777" w:rsidR="0038254D" w:rsidRPr="0038254D" w:rsidRDefault="0038254D" w:rsidP="0038254D">
      <w:pPr>
        <w:rPr>
          <w:rFonts w:eastAsia="Arial" w:cs="Arial"/>
        </w:rPr>
      </w:pPr>
      <w:r w:rsidRPr="0038254D">
        <w:rPr>
          <w:rFonts w:eastAsia="Arial" w:cs="Arial"/>
        </w:rPr>
        <w:t xml:space="preserve">2-Butanone, 2,2′,2′′-[O,O′,O′′-(methylsilylidyne)trioxime] CAS No. 22984-54-9 </w:t>
      </w:r>
    </w:p>
    <w:p w14:paraId="0ACC666A" w14:textId="77777777" w:rsidR="0038254D" w:rsidRPr="0038254D" w:rsidRDefault="0038254D" w:rsidP="0038254D">
      <w:pPr>
        <w:rPr>
          <w:rFonts w:eastAsia="Arial" w:cs="Arial"/>
        </w:rPr>
      </w:pPr>
      <w:r w:rsidRPr="0038254D">
        <w:rPr>
          <w:rFonts w:eastAsia="Arial" w:cs="Arial"/>
        </w:rPr>
        <w:t xml:space="preserve">2-Butanone, 2,2′,2′′-[O,O′,O′′-(phenylsilylidyne)trioxime] CAS No. 34036-80-1 </w:t>
      </w:r>
    </w:p>
    <w:p w14:paraId="5E81B79D" w14:textId="77777777" w:rsidR="0038254D" w:rsidRPr="0038254D" w:rsidRDefault="0038254D" w:rsidP="0038254D">
      <w:pPr>
        <w:rPr>
          <w:rFonts w:eastAsia="Arial" w:cs="Arial"/>
        </w:rPr>
      </w:pPr>
      <w:r w:rsidRPr="0038254D">
        <w:rPr>
          <w:rFonts w:eastAsia="Arial" w:cs="Arial"/>
        </w:rPr>
        <w:t xml:space="preserve">2-Butanone, 2,2′,2′′,2′′′-(O,O′,O′′,O′′′-silanetetrayltetraoxime) CAS No. 34206-40-1 </w:t>
      </w:r>
    </w:p>
    <w:p w14:paraId="316DEA56" w14:textId="77777777" w:rsidR="0038254D" w:rsidRPr="0038254D" w:rsidRDefault="0038254D" w:rsidP="0038254D">
      <w:pPr>
        <w:rPr>
          <w:rFonts w:eastAsia="Arial" w:cs="Arial"/>
        </w:rPr>
      </w:pPr>
      <w:r w:rsidRPr="0038254D">
        <w:rPr>
          <w:rFonts w:eastAsia="Arial" w:cs="Arial"/>
        </w:rPr>
        <w:t xml:space="preserve">2-Butanone, O,O′-(dimethylsilylene)dioxime CAS No. 37843-26-8 </w:t>
      </w:r>
    </w:p>
    <w:p w14:paraId="60C3B916" w14:textId="77777777" w:rsidR="0038254D" w:rsidRPr="0038254D" w:rsidRDefault="0038254D" w:rsidP="0038254D">
      <w:pPr>
        <w:rPr>
          <w:rFonts w:eastAsia="Arial" w:cs="Arial"/>
        </w:rPr>
      </w:pPr>
      <w:r w:rsidRPr="0038254D">
        <w:rPr>
          <w:rFonts w:eastAsia="Arial" w:cs="Arial"/>
        </w:rPr>
        <w:t xml:space="preserve">2-Butanone, O,O′-(methylphenylsilylene)dioxime CAS No. 69373-66-6 </w:t>
      </w:r>
    </w:p>
    <w:p w14:paraId="4FA064A5" w14:textId="77777777" w:rsidR="0038254D" w:rsidRPr="0038254D" w:rsidRDefault="0038254D" w:rsidP="0038254D">
      <w:pPr>
        <w:rPr>
          <w:rFonts w:eastAsia="Arial" w:cs="Arial"/>
        </w:rPr>
      </w:pPr>
      <w:r w:rsidRPr="0038254D">
        <w:rPr>
          <w:rFonts w:eastAsia="Arial" w:cs="Arial"/>
        </w:rPr>
        <w:t xml:space="preserve">2-Butanone, 2,2′-[O,O′-(methoxymethylsilylene)dioxime] CAS No. 83817-72-5 </w:t>
      </w:r>
    </w:p>
    <w:p w14:paraId="5741FE1C" w14:textId="77777777" w:rsidR="0038254D" w:rsidRPr="0038254D" w:rsidRDefault="0038254D" w:rsidP="0038254D">
      <w:pPr>
        <w:rPr>
          <w:rFonts w:eastAsia="Arial" w:cs="Arial"/>
        </w:rPr>
      </w:pPr>
      <w:r w:rsidRPr="0038254D">
        <w:rPr>
          <w:rFonts w:eastAsia="Arial" w:cs="Arial"/>
        </w:rPr>
        <w:t xml:space="preserve">2-Butanone, 2,2′-[O,O′-(diethoxysilylene)dioxime] CAS No. 93917-75-0 </w:t>
      </w:r>
    </w:p>
    <w:p w14:paraId="19BE4ECB" w14:textId="77777777" w:rsidR="0038254D" w:rsidRPr="0038254D" w:rsidRDefault="0038254D" w:rsidP="0038254D">
      <w:pPr>
        <w:rPr>
          <w:rFonts w:eastAsia="Arial" w:cs="Arial"/>
        </w:rPr>
      </w:pPr>
      <w:r w:rsidRPr="0038254D">
        <w:rPr>
          <w:rFonts w:eastAsia="Arial" w:cs="Arial"/>
        </w:rPr>
        <w:t>2-Butanone, 2,2′,2′′-[O,O′,O′′-(ethoxysilylidyne)trioxime] CAS No. 101371-00-0</w:t>
      </w:r>
    </w:p>
    <w:p w14:paraId="34E17453" w14:textId="77777777" w:rsidR="0038254D" w:rsidRPr="0038254D" w:rsidRDefault="0038254D" w:rsidP="0038254D">
      <w:pPr>
        <w:pStyle w:val="Heading4"/>
      </w:pPr>
      <w:bookmarkStart w:id="52" w:name="_Toc238828118"/>
      <w:bookmarkStart w:id="53" w:name="_Toc239945903"/>
      <w:r w:rsidRPr="0038254D">
        <w:t>Alternative names</w:t>
      </w:r>
      <w:bookmarkEnd w:id="52"/>
      <w:bookmarkEnd w:id="53"/>
    </w:p>
    <w:tbl>
      <w:tblPr>
        <w:tblStyle w:val="TableGrid"/>
        <w:tblW w:w="9060" w:type="dxa"/>
        <w:tblLook w:val="06A0" w:firstRow="1" w:lastRow="0" w:firstColumn="1" w:lastColumn="0" w:noHBand="1" w:noVBand="1"/>
      </w:tblPr>
      <w:tblGrid>
        <w:gridCol w:w="2715"/>
        <w:gridCol w:w="6345"/>
      </w:tblGrid>
      <w:tr w:rsidR="0038254D" w:rsidRPr="0038254D" w14:paraId="4EA4D8CE" w14:textId="77777777" w:rsidTr="005F2C02">
        <w:trPr>
          <w:trHeight w:val="300"/>
        </w:trPr>
        <w:tc>
          <w:tcPr>
            <w:tcW w:w="2715" w:type="dxa"/>
          </w:tcPr>
          <w:p w14:paraId="48385EEE" w14:textId="77777777" w:rsidR="0038254D" w:rsidRPr="0038254D" w:rsidRDefault="0038254D" w:rsidP="0038254D">
            <w:r w:rsidRPr="0038254D">
              <w:t>CAS No. 2224-33-1</w:t>
            </w:r>
          </w:p>
          <w:p w14:paraId="359EB4F1" w14:textId="77777777" w:rsidR="0038254D" w:rsidRPr="0038254D" w:rsidRDefault="0038254D" w:rsidP="0038254D">
            <w:pPr>
              <w:rPr>
                <w:rFonts w:eastAsia="Arial" w:cs="Arial"/>
                <w:sz w:val="20"/>
                <w:szCs w:val="20"/>
              </w:rPr>
            </w:pPr>
          </w:p>
        </w:tc>
        <w:tc>
          <w:tcPr>
            <w:tcW w:w="6345" w:type="dxa"/>
          </w:tcPr>
          <w:p w14:paraId="24904B48" w14:textId="77777777" w:rsidR="0038254D" w:rsidRPr="0038254D" w:rsidRDefault="0038254D" w:rsidP="0038254D">
            <w:pPr>
              <w:rPr>
                <w:rFonts w:eastAsia="Arial" w:cs="Arial"/>
                <w:sz w:val="20"/>
                <w:szCs w:val="20"/>
              </w:rPr>
            </w:pPr>
            <w:r w:rsidRPr="0038254D">
              <w:t xml:space="preserve">Vinyltris(MEKO)silane; </w:t>
            </w:r>
            <w:r w:rsidRPr="0038254D">
              <w:rPr>
                <w:rFonts w:eastAsia="Arial" w:cs="Arial"/>
                <w:sz w:val="20"/>
                <w:szCs w:val="20"/>
              </w:rPr>
              <w:t>Butan-2-one O,O',O''-(vinylsilylidyne)trioxime; Vinyltris(methylethylketoximino)silane; Vinyl oximino silane (VOS)</w:t>
            </w:r>
          </w:p>
        </w:tc>
      </w:tr>
      <w:tr w:rsidR="0038254D" w:rsidRPr="0038254D" w14:paraId="7C5F4700" w14:textId="77777777" w:rsidTr="005F2C02">
        <w:trPr>
          <w:trHeight w:val="300"/>
        </w:trPr>
        <w:tc>
          <w:tcPr>
            <w:tcW w:w="2715" w:type="dxa"/>
          </w:tcPr>
          <w:p w14:paraId="251E33E6" w14:textId="77777777" w:rsidR="0038254D" w:rsidRPr="0038254D" w:rsidRDefault="0038254D" w:rsidP="0038254D">
            <w:r w:rsidRPr="0038254D">
              <w:t>CAS No. 22984-54-9</w:t>
            </w:r>
          </w:p>
        </w:tc>
        <w:tc>
          <w:tcPr>
            <w:tcW w:w="6345" w:type="dxa"/>
          </w:tcPr>
          <w:p w14:paraId="12B9C8F6" w14:textId="77777777" w:rsidR="0038254D" w:rsidRPr="0038254D" w:rsidRDefault="0038254D" w:rsidP="0038254D">
            <w:pPr>
              <w:rPr>
                <w:rFonts w:eastAsia="Arial" w:cs="Arial"/>
              </w:rPr>
            </w:pPr>
            <w:r w:rsidRPr="0038254D">
              <w:t xml:space="preserve">Methyltris(MEKO)silane; </w:t>
            </w:r>
            <w:r w:rsidRPr="0038254D">
              <w:rPr>
                <w:rFonts w:eastAsia="Arial" w:cs="Arial"/>
              </w:rPr>
              <w:t>Methyltris(methylethylketoxime)silane; Methyl oximino silane (MOS)</w:t>
            </w:r>
          </w:p>
        </w:tc>
      </w:tr>
      <w:tr w:rsidR="0038254D" w:rsidRPr="0038254D" w14:paraId="11D42E17" w14:textId="77777777" w:rsidTr="005F2C02">
        <w:trPr>
          <w:trHeight w:val="300"/>
        </w:trPr>
        <w:tc>
          <w:tcPr>
            <w:tcW w:w="2715" w:type="dxa"/>
          </w:tcPr>
          <w:p w14:paraId="6E33CFB2" w14:textId="77777777" w:rsidR="0038254D" w:rsidRPr="0038254D" w:rsidRDefault="0038254D" w:rsidP="0038254D">
            <w:r w:rsidRPr="0038254D">
              <w:t>CAS No. 34036-80-1</w:t>
            </w:r>
          </w:p>
        </w:tc>
        <w:tc>
          <w:tcPr>
            <w:tcW w:w="6345" w:type="dxa"/>
          </w:tcPr>
          <w:p w14:paraId="54B3D3E0" w14:textId="77777777" w:rsidR="0038254D" w:rsidRPr="0038254D" w:rsidRDefault="0038254D" w:rsidP="0038254D">
            <w:r w:rsidRPr="0038254D">
              <w:t>Phenyltris(MEKO)silane</w:t>
            </w:r>
          </w:p>
        </w:tc>
      </w:tr>
      <w:tr w:rsidR="0038254D" w:rsidRPr="0038254D" w14:paraId="3FC61A1B" w14:textId="77777777" w:rsidTr="005F2C02">
        <w:trPr>
          <w:trHeight w:val="300"/>
        </w:trPr>
        <w:tc>
          <w:tcPr>
            <w:tcW w:w="2715" w:type="dxa"/>
          </w:tcPr>
          <w:p w14:paraId="13F8E98C" w14:textId="77777777" w:rsidR="0038254D" w:rsidRPr="0038254D" w:rsidRDefault="0038254D" w:rsidP="0038254D">
            <w:r w:rsidRPr="0038254D">
              <w:t>CAS No. 34206-40-1</w:t>
            </w:r>
          </w:p>
        </w:tc>
        <w:tc>
          <w:tcPr>
            <w:tcW w:w="6345" w:type="dxa"/>
          </w:tcPr>
          <w:p w14:paraId="4F245462" w14:textId="77777777" w:rsidR="0038254D" w:rsidRPr="0038254D" w:rsidRDefault="0038254D" w:rsidP="0038254D">
            <w:r w:rsidRPr="0038254D">
              <w:t>Tetrakis(MEKO)silane</w:t>
            </w:r>
          </w:p>
        </w:tc>
      </w:tr>
      <w:tr w:rsidR="0038254D" w:rsidRPr="0038254D" w14:paraId="5D0FB913" w14:textId="77777777" w:rsidTr="005F2C02">
        <w:trPr>
          <w:trHeight w:val="300"/>
        </w:trPr>
        <w:tc>
          <w:tcPr>
            <w:tcW w:w="2715" w:type="dxa"/>
          </w:tcPr>
          <w:p w14:paraId="2DE443DE" w14:textId="77777777" w:rsidR="0038254D" w:rsidRPr="0038254D" w:rsidRDefault="0038254D" w:rsidP="0038254D">
            <w:r w:rsidRPr="0038254D">
              <w:t>CAS No. 37843-26-8</w:t>
            </w:r>
          </w:p>
        </w:tc>
        <w:tc>
          <w:tcPr>
            <w:tcW w:w="6345" w:type="dxa"/>
          </w:tcPr>
          <w:p w14:paraId="290C6F1F" w14:textId="77777777" w:rsidR="0038254D" w:rsidRPr="0038254D" w:rsidRDefault="0038254D" w:rsidP="0038254D">
            <w:r w:rsidRPr="0038254D">
              <w:t>Dimethylbis(MEKO)silane</w:t>
            </w:r>
          </w:p>
        </w:tc>
      </w:tr>
      <w:tr w:rsidR="0038254D" w:rsidRPr="0038254D" w14:paraId="197E0263" w14:textId="77777777" w:rsidTr="005F2C02">
        <w:trPr>
          <w:trHeight w:val="300"/>
        </w:trPr>
        <w:tc>
          <w:tcPr>
            <w:tcW w:w="2715" w:type="dxa"/>
          </w:tcPr>
          <w:p w14:paraId="3F3BEC50" w14:textId="77777777" w:rsidR="0038254D" w:rsidRPr="0038254D" w:rsidRDefault="0038254D" w:rsidP="0038254D">
            <w:pPr>
              <w:rPr>
                <w:rFonts w:eastAsia="Arial" w:cs="Arial"/>
              </w:rPr>
            </w:pPr>
            <w:r w:rsidRPr="0038254D">
              <w:t xml:space="preserve">CAS No. </w:t>
            </w:r>
            <w:r w:rsidRPr="0038254D">
              <w:rPr>
                <w:rFonts w:eastAsia="Arial" w:cs="Arial"/>
              </w:rPr>
              <w:t>69373-66-6</w:t>
            </w:r>
          </w:p>
        </w:tc>
        <w:tc>
          <w:tcPr>
            <w:tcW w:w="6345" w:type="dxa"/>
          </w:tcPr>
          <w:p w14:paraId="78E58DCE" w14:textId="77777777" w:rsidR="0038254D" w:rsidRPr="0038254D" w:rsidRDefault="0038254D" w:rsidP="0038254D">
            <w:pPr>
              <w:rPr>
                <w:rFonts w:eastAsia="Arial" w:cs="Arial"/>
              </w:rPr>
            </w:pPr>
            <w:r w:rsidRPr="0038254D">
              <w:rPr>
                <w:rFonts w:eastAsia="Arial" w:cs="Arial"/>
              </w:rPr>
              <w:t>Methylphenyldibutanoximesilane</w:t>
            </w:r>
          </w:p>
        </w:tc>
      </w:tr>
      <w:tr w:rsidR="0038254D" w:rsidRPr="0038254D" w14:paraId="440FCCFA" w14:textId="77777777" w:rsidTr="005F2C02">
        <w:trPr>
          <w:trHeight w:val="300"/>
        </w:trPr>
        <w:tc>
          <w:tcPr>
            <w:tcW w:w="2715" w:type="dxa"/>
          </w:tcPr>
          <w:p w14:paraId="122E4ED5" w14:textId="77777777" w:rsidR="0038254D" w:rsidRPr="0038254D" w:rsidRDefault="0038254D" w:rsidP="0038254D">
            <w:pPr>
              <w:rPr>
                <w:rFonts w:eastAsia="Arial" w:cs="Arial"/>
              </w:rPr>
            </w:pPr>
            <w:r w:rsidRPr="0038254D">
              <w:t xml:space="preserve">CAS No. </w:t>
            </w:r>
            <w:r w:rsidRPr="0038254D">
              <w:rPr>
                <w:rFonts w:eastAsia="Arial" w:cs="Arial"/>
              </w:rPr>
              <w:t>83817-72-5</w:t>
            </w:r>
          </w:p>
        </w:tc>
        <w:tc>
          <w:tcPr>
            <w:tcW w:w="6345" w:type="dxa"/>
          </w:tcPr>
          <w:p w14:paraId="15930411" w14:textId="77777777" w:rsidR="0038254D" w:rsidRPr="0038254D" w:rsidRDefault="0038254D" w:rsidP="0038254D">
            <w:pPr>
              <w:rPr>
                <w:rFonts w:eastAsia="Arial" w:cs="Arial"/>
              </w:rPr>
            </w:pPr>
            <w:r w:rsidRPr="0038254D">
              <w:rPr>
                <w:rFonts w:eastAsia="Arial" w:cs="Arial"/>
              </w:rPr>
              <w:t>Bis(ethylmethylketoxime)methoxymethylsilane</w:t>
            </w:r>
          </w:p>
        </w:tc>
      </w:tr>
      <w:tr w:rsidR="0038254D" w:rsidRPr="0038254D" w14:paraId="303D1A66" w14:textId="77777777" w:rsidTr="005F2C02">
        <w:trPr>
          <w:trHeight w:val="300"/>
        </w:trPr>
        <w:tc>
          <w:tcPr>
            <w:tcW w:w="2715" w:type="dxa"/>
          </w:tcPr>
          <w:p w14:paraId="2D3773A1" w14:textId="77777777" w:rsidR="0038254D" w:rsidRPr="0038254D" w:rsidRDefault="0038254D" w:rsidP="0038254D">
            <w:pPr>
              <w:rPr>
                <w:rFonts w:eastAsia="Arial" w:cs="Arial"/>
              </w:rPr>
            </w:pPr>
            <w:r w:rsidRPr="0038254D">
              <w:t xml:space="preserve">CAS No. </w:t>
            </w:r>
            <w:r w:rsidRPr="0038254D">
              <w:rPr>
                <w:rFonts w:eastAsia="Arial" w:cs="Arial"/>
              </w:rPr>
              <w:t>93917-75-0</w:t>
            </w:r>
          </w:p>
        </w:tc>
        <w:tc>
          <w:tcPr>
            <w:tcW w:w="6345" w:type="dxa"/>
          </w:tcPr>
          <w:p w14:paraId="435BB50A" w14:textId="77777777" w:rsidR="0038254D" w:rsidRPr="0038254D" w:rsidRDefault="0038254D" w:rsidP="0038254D">
            <w:pPr>
              <w:rPr>
                <w:rFonts w:eastAsia="Arial" w:cs="Arial"/>
              </w:rPr>
            </w:pPr>
            <w:r w:rsidRPr="0038254D">
              <w:rPr>
                <w:rFonts w:eastAsia="Arial" w:cs="Arial"/>
              </w:rPr>
              <w:t>Diethoxybis(ethylmethylketoximo)silane</w:t>
            </w:r>
          </w:p>
        </w:tc>
      </w:tr>
      <w:tr w:rsidR="0038254D" w:rsidRPr="0038254D" w14:paraId="7E7BF7C2" w14:textId="77777777" w:rsidTr="005F2C02">
        <w:trPr>
          <w:trHeight w:val="300"/>
        </w:trPr>
        <w:tc>
          <w:tcPr>
            <w:tcW w:w="2715" w:type="dxa"/>
          </w:tcPr>
          <w:p w14:paraId="332A85C2" w14:textId="77777777" w:rsidR="0038254D" w:rsidRPr="0038254D" w:rsidRDefault="0038254D" w:rsidP="0038254D">
            <w:pPr>
              <w:rPr>
                <w:rFonts w:eastAsia="Arial" w:cs="Arial"/>
              </w:rPr>
            </w:pPr>
            <w:r w:rsidRPr="0038254D">
              <w:t xml:space="preserve">CAS No. </w:t>
            </w:r>
            <w:r w:rsidRPr="0038254D">
              <w:rPr>
                <w:rFonts w:eastAsia="Arial" w:cs="Arial"/>
              </w:rPr>
              <w:t>101371-00-0</w:t>
            </w:r>
          </w:p>
        </w:tc>
        <w:tc>
          <w:tcPr>
            <w:tcW w:w="6345" w:type="dxa"/>
          </w:tcPr>
          <w:p w14:paraId="015A40FE" w14:textId="77777777" w:rsidR="0038254D" w:rsidRPr="0038254D" w:rsidRDefault="0038254D" w:rsidP="0038254D">
            <w:pPr>
              <w:rPr>
                <w:rFonts w:eastAsia="Arial" w:cs="Arial"/>
              </w:rPr>
            </w:pPr>
            <w:r w:rsidRPr="0038254D">
              <w:rPr>
                <w:rFonts w:eastAsia="Arial" w:cs="Arial"/>
              </w:rPr>
              <w:t>Ethoxytris(ethylmethylketoximo)silane</w:t>
            </w:r>
          </w:p>
        </w:tc>
      </w:tr>
    </w:tbl>
    <w:p w14:paraId="74DCC31D" w14:textId="77777777" w:rsidR="0038254D" w:rsidRPr="0038254D" w:rsidRDefault="0038254D" w:rsidP="0038254D">
      <w:pPr>
        <w:pStyle w:val="Heading4"/>
      </w:pPr>
      <w:bookmarkStart w:id="54" w:name="_Toc238828120"/>
      <w:bookmarkStart w:id="55" w:name="_Toc239945904"/>
      <w:r w:rsidRPr="0038254D">
        <w:lastRenderedPageBreak/>
        <w:t>Proposed Scheduling</w:t>
      </w:r>
      <w:bookmarkEnd w:id="54"/>
      <w:bookmarkEnd w:id="55"/>
    </w:p>
    <w:p w14:paraId="54361BA8" w14:textId="77777777" w:rsidR="0038254D" w:rsidRPr="0038254D" w:rsidRDefault="0038254D" w:rsidP="0038254D">
      <w:r w:rsidRPr="0038254D">
        <w:t>Currently, MEKO-releasing silanes are not specifically scheduled. MEKO has amendments for its current entry dues to be implemented on 1 February 2028. The proposal is to amend the Poisons (Schedule 6) entry for methyl ethyl ketone oxime and to identify the most commonly known MEKO-releasing silanes via cross-references in the Index. For clarity, the proposed changes below, are based on the MEKO entry as it will appear in the February 2028 Poisons Standard, and not the current entry. No other changes to concentration or use made in the May 2026 Final Decision are being proposed.</w:t>
      </w:r>
    </w:p>
    <w:p w14:paraId="3ACFDA11" w14:textId="2649425B" w:rsidR="0038254D" w:rsidRPr="0038254D" w:rsidRDefault="0038254D" w:rsidP="0038254D">
      <w:pPr>
        <w:ind w:left="426"/>
        <w:rPr>
          <w:b/>
          <w:bCs/>
        </w:rPr>
      </w:pPr>
      <w:r w:rsidRPr="0038254D">
        <w:rPr>
          <w:b/>
          <w:bCs/>
        </w:rPr>
        <w:t>Schedule 6</w:t>
      </w:r>
      <w:r w:rsidR="00815B06">
        <w:rPr>
          <w:b/>
          <w:bCs/>
        </w:rPr>
        <w:t xml:space="preserve"> </w:t>
      </w:r>
      <w:r w:rsidR="00815B06" w:rsidRPr="00815B06">
        <w:rPr>
          <w:b/>
          <w:bCs/>
        </w:rPr>
        <w:t>– Amend entry</w:t>
      </w:r>
    </w:p>
    <w:p w14:paraId="52ED9671" w14:textId="77777777" w:rsidR="0038254D" w:rsidRPr="0038254D" w:rsidRDefault="0038254D" w:rsidP="0038254D">
      <w:pPr>
        <w:ind w:left="709"/>
      </w:pPr>
      <w:r w:rsidRPr="0038254D">
        <w:t xml:space="preserve">METHYL ETHYL KETONE OXIME </w:t>
      </w:r>
      <w:r w:rsidRPr="0038254D">
        <w:rPr>
          <w:color w:val="00B050"/>
        </w:rPr>
        <w:t>and METHYL ETHYL KETONE OXIME releasing silanes</w:t>
      </w:r>
      <w:r w:rsidRPr="0038254D">
        <w:t xml:space="preserve"> except </w:t>
      </w:r>
    </w:p>
    <w:p w14:paraId="7FB145D6" w14:textId="74D906E3" w:rsidR="0038254D" w:rsidRPr="00815B06" w:rsidRDefault="0038254D" w:rsidP="00815B06">
      <w:pPr>
        <w:numPr>
          <w:ilvl w:val="0"/>
          <w:numId w:val="45"/>
        </w:numPr>
        <w:spacing w:before="120" w:line="240" w:lineRule="auto"/>
        <w:ind w:left="1276"/>
        <w:rPr>
          <w:rFonts w:eastAsia="Cambria" w:cs="Times New Roman"/>
        </w:rPr>
      </w:pPr>
      <w:r w:rsidRPr="00815B06">
        <w:rPr>
          <w:rFonts w:eastAsia="Cambria" w:cs="Times New Roman"/>
        </w:rPr>
        <w:t xml:space="preserve">in viscous silicone adhesives or viscous silicone sealants for outdoor use containing 0.5% or less of methyl ethyl ketone oxime; or </w:t>
      </w:r>
    </w:p>
    <w:p w14:paraId="4ED12C4F" w14:textId="7A22FE46" w:rsidR="0038254D" w:rsidRPr="00815B06" w:rsidRDefault="0038254D" w:rsidP="00815B06">
      <w:pPr>
        <w:numPr>
          <w:ilvl w:val="0"/>
          <w:numId w:val="45"/>
        </w:numPr>
        <w:spacing w:before="120" w:line="240" w:lineRule="auto"/>
        <w:ind w:left="1276"/>
        <w:rPr>
          <w:rFonts w:eastAsia="Cambria" w:cs="Times New Roman"/>
        </w:rPr>
      </w:pPr>
      <w:r w:rsidRPr="00815B06">
        <w:rPr>
          <w:rFonts w:eastAsia="Cambria" w:cs="Times New Roman"/>
        </w:rPr>
        <w:t xml:space="preserve">in viscous silicone adhesives or viscous silicone sealants for indoor use containing 0.2% or less of methyl ethyl ketone oxime; or  </w:t>
      </w:r>
    </w:p>
    <w:p w14:paraId="499DBF6B" w14:textId="0E00A95F" w:rsidR="0038254D" w:rsidRPr="00815B06" w:rsidRDefault="0038254D" w:rsidP="00815B06">
      <w:pPr>
        <w:numPr>
          <w:ilvl w:val="0"/>
          <w:numId w:val="45"/>
        </w:numPr>
        <w:spacing w:before="120" w:line="240" w:lineRule="auto"/>
        <w:ind w:left="1276"/>
        <w:rPr>
          <w:rFonts w:eastAsia="Cambria" w:cs="Times New Roman"/>
        </w:rPr>
      </w:pPr>
      <w:r w:rsidRPr="00815B06">
        <w:rPr>
          <w:rFonts w:eastAsia="Cambria" w:cs="Times New Roman"/>
        </w:rPr>
        <w:t xml:space="preserve">in other preparations containing 0.1% or less of methyl ethyl ketone oxime.   </w:t>
      </w:r>
    </w:p>
    <w:p w14:paraId="43C55B37" w14:textId="77777777" w:rsidR="0038254D" w:rsidRPr="0038254D" w:rsidRDefault="0038254D" w:rsidP="0038254D">
      <w:pPr>
        <w:ind w:left="426"/>
        <w:rPr>
          <w:b/>
          <w:bCs/>
        </w:rPr>
      </w:pPr>
      <w:r w:rsidRPr="0038254D">
        <w:rPr>
          <w:b/>
          <w:bCs/>
        </w:rPr>
        <w:t>Index – Amend entry</w:t>
      </w:r>
    </w:p>
    <w:p w14:paraId="054923AD" w14:textId="77777777" w:rsidR="0038254D" w:rsidRPr="0038254D" w:rsidRDefault="0038254D" w:rsidP="0038254D">
      <w:pPr>
        <w:ind w:left="709"/>
      </w:pPr>
      <w:r w:rsidRPr="0038254D">
        <w:t xml:space="preserve">METHYL ETHYL KETONE OXIME </w:t>
      </w:r>
    </w:p>
    <w:p w14:paraId="61EA5D64" w14:textId="77777777" w:rsidR="0038254D" w:rsidRPr="0038254D" w:rsidRDefault="0038254D" w:rsidP="00815B06">
      <w:pPr>
        <w:ind w:left="709"/>
        <w:rPr>
          <w:color w:val="00B050"/>
        </w:rPr>
      </w:pPr>
      <w:r w:rsidRPr="0038254D">
        <w:rPr>
          <w:color w:val="00B050"/>
        </w:rPr>
        <w:t>Cross reference:</w:t>
      </w:r>
      <w:r w:rsidRPr="0038254D">
        <w:rPr>
          <w:rFonts w:eastAsiaTheme="majorEastAsia" w:cs="Arial"/>
          <w:color w:val="000000" w:themeColor="text1"/>
        </w:rPr>
        <w:t xml:space="preserve"> </w:t>
      </w:r>
      <w:r w:rsidRPr="0038254D">
        <w:rPr>
          <w:color w:val="00B050"/>
        </w:rPr>
        <w:t>2-Butanone, 2,2′,2′′-[O,O′,O′′-(ethenylsilylidyne)trioxime] (CAS No. 2224-33-1), 2-Butanone, 2,2′,2′′-[O,O′,O′′-(methylsilylidyne)trioxime] (CAS No. 22984-54-9), 2-Butanone, 2,2′,2′′-[O,O′,O′′-(phenylsilylidyne)trioxime] (CAS No. 34036-80-1),  2-Butanone, 2,2′,2′′,2′′′-(O,O′,O′′,O′′′-silanetetrayltetraoxime) (CAS No. 34206-40-1), 2-Butanone, O,O′-(dimethylsilylene)dioxime (CAS No. 37843-26-8), 2-Butanone, O,O′-(methylphenylsilylene)dioxime (CAS No. 69373-66-6), 2-Butanone, 2,2′-[O,O′-(methoxymethylsilylene)dioxime] (CAS No. 83817-72-5), 2-Butanone, 2,2′-[O,O′-(diethoxysilylene)dioxime] (CAS No. 93917-75-0), 2-Butanone, 2,2′,2′′-[O,O′,O′′-(ethoxysilylidyne)trioxime] (CAS No. 101371-00-0)</w:t>
      </w:r>
    </w:p>
    <w:p w14:paraId="770DB259" w14:textId="77777777" w:rsidR="0038254D" w:rsidRPr="0038254D" w:rsidRDefault="0038254D" w:rsidP="0038254D">
      <w:pPr>
        <w:ind w:left="709"/>
      </w:pPr>
      <w:r w:rsidRPr="0038254D">
        <w:t xml:space="preserve">Schedule 6 </w:t>
      </w:r>
    </w:p>
    <w:p w14:paraId="637FE52F" w14:textId="77777777" w:rsidR="0038254D" w:rsidRPr="0038254D" w:rsidRDefault="0038254D" w:rsidP="0038254D">
      <w:pPr>
        <w:ind w:left="709"/>
      </w:pPr>
      <w:r w:rsidRPr="0038254D">
        <w:t>Appendix E, Clause 3</w:t>
      </w:r>
    </w:p>
    <w:p w14:paraId="3C8828CC" w14:textId="77777777" w:rsidR="0038254D" w:rsidRPr="0038254D" w:rsidRDefault="0038254D" w:rsidP="0038254D">
      <w:pPr>
        <w:ind w:left="709"/>
      </w:pPr>
      <w:r w:rsidRPr="0038254D">
        <w:t>Appendix F, Clause 4</w:t>
      </w:r>
    </w:p>
    <w:p w14:paraId="4E91E317" w14:textId="77777777" w:rsidR="0038254D" w:rsidRPr="0038254D" w:rsidRDefault="0038254D" w:rsidP="0038254D">
      <w:pPr>
        <w:ind w:left="284"/>
        <w:rPr>
          <w:rFonts w:cs="Arial"/>
        </w:rPr>
      </w:pPr>
      <w:r w:rsidRPr="0038254D">
        <w:rPr>
          <w:rFonts w:cs="Arial"/>
          <w:b/>
          <w:bCs/>
        </w:rPr>
        <w:t>Appendix E, clause 3</w:t>
      </w:r>
      <w:r w:rsidRPr="0038254D">
        <w:rPr>
          <w:rFonts w:cs="Arial"/>
        </w:rPr>
        <w:t xml:space="preserve"> – First aid instructions for poisons </w:t>
      </w:r>
    </w:p>
    <w:tbl>
      <w:tblPr>
        <w:tblW w:w="9210" w:type="dxa"/>
        <w:tblInd w:w="-6" w:type="dxa"/>
        <w:tblCellMar>
          <w:left w:w="0" w:type="dxa"/>
          <w:right w:w="0" w:type="dxa"/>
        </w:tblCellMar>
        <w:tblLook w:val="04A0" w:firstRow="1" w:lastRow="0" w:firstColumn="1" w:lastColumn="0" w:noHBand="0" w:noVBand="1"/>
      </w:tblPr>
      <w:tblGrid>
        <w:gridCol w:w="673"/>
        <w:gridCol w:w="3142"/>
        <w:gridCol w:w="5395"/>
      </w:tblGrid>
      <w:tr w:rsidR="0038254D" w:rsidRPr="0038254D" w14:paraId="6B25F30F" w14:textId="77777777" w:rsidTr="005F2C02">
        <w:trPr>
          <w:cantSplit/>
          <w:trHeight w:val="402"/>
        </w:trPr>
        <w:tc>
          <w:tcPr>
            <w:tcW w:w="673" w:type="dxa"/>
            <w:tcBorders>
              <w:top w:val="single" w:sz="8" w:space="0" w:color="auto"/>
              <w:left w:val="single" w:sz="8" w:space="0" w:color="auto"/>
              <w:bottom w:val="single" w:sz="4" w:space="0" w:color="auto"/>
              <w:right w:val="single" w:sz="8" w:space="0" w:color="auto"/>
            </w:tcBorders>
            <w:shd w:val="clear" w:color="auto" w:fill="006DA7"/>
            <w:tcMar>
              <w:top w:w="0" w:type="dxa"/>
              <w:left w:w="108" w:type="dxa"/>
              <w:bottom w:w="0" w:type="dxa"/>
              <w:right w:w="108" w:type="dxa"/>
            </w:tcMar>
            <w:vAlign w:val="center"/>
            <w:hideMark/>
          </w:tcPr>
          <w:p w14:paraId="4DC1C00C" w14:textId="77777777" w:rsidR="0038254D" w:rsidRPr="0038254D" w:rsidRDefault="0038254D" w:rsidP="0038254D">
            <w:pPr>
              <w:rPr>
                <w:rFonts w:cs="Arial"/>
                <w:b/>
                <w:bCs/>
                <w:color w:val="FFFFFF" w:themeColor="background1"/>
              </w:rPr>
            </w:pPr>
            <w:r w:rsidRPr="0038254D">
              <w:rPr>
                <w:rFonts w:cs="Arial"/>
                <w:b/>
                <w:bCs/>
                <w:color w:val="FFFFFF" w:themeColor="background1"/>
              </w:rPr>
              <w:t>Item</w:t>
            </w:r>
          </w:p>
        </w:tc>
        <w:tc>
          <w:tcPr>
            <w:tcW w:w="3142" w:type="dxa"/>
            <w:tcBorders>
              <w:top w:val="single" w:sz="8" w:space="0" w:color="auto"/>
              <w:left w:val="nil"/>
              <w:bottom w:val="single" w:sz="8" w:space="0" w:color="auto"/>
              <w:right w:val="single" w:sz="8" w:space="0" w:color="auto"/>
            </w:tcBorders>
            <w:shd w:val="clear" w:color="auto" w:fill="006DA7"/>
            <w:tcMar>
              <w:top w:w="0" w:type="dxa"/>
              <w:left w:w="108" w:type="dxa"/>
              <w:bottom w:w="0" w:type="dxa"/>
              <w:right w:w="108" w:type="dxa"/>
            </w:tcMar>
            <w:vAlign w:val="center"/>
            <w:hideMark/>
          </w:tcPr>
          <w:p w14:paraId="1CF16C45" w14:textId="77777777" w:rsidR="0038254D" w:rsidRPr="0038254D" w:rsidRDefault="0038254D" w:rsidP="0038254D">
            <w:pPr>
              <w:rPr>
                <w:rFonts w:cs="Arial"/>
                <w:b/>
                <w:bCs/>
                <w:color w:val="FFFFFF" w:themeColor="background1"/>
              </w:rPr>
            </w:pPr>
            <w:r w:rsidRPr="0038254D">
              <w:rPr>
                <w:rFonts w:cs="Arial"/>
                <w:b/>
                <w:bCs/>
                <w:color w:val="FFFFFF" w:themeColor="background1"/>
              </w:rPr>
              <w:t>Poison</w:t>
            </w:r>
          </w:p>
        </w:tc>
        <w:tc>
          <w:tcPr>
            <w:tcW w:w="5395" w:type="dxa"/>
            <w:tcBorders>
              <w:top w:val="single" w:sz="8" w:space="0" w:color="auto"/>
              <w:left w:val="nil"/>
              <w:bottom w:val="single" w:sz="4" w:space="0" w:color="auto"/>
              <w:right w:val="single" w:sz="8" w:space="0" w:color="auto"/>
            </w:tcBorders>
            <w:shd w:val="clear" w:color="auto" w:fill="006DA7"/>
            <w:tcMar>
              <w:top w:w="0" w:type="dxa"/>
              <w:left w:w="108" w:type="dxa"/>
              <w:bottom w:w="0" w:type="dxa"/>
              <w:right w:w="108" w:type="dxa"/>
            </w:tcMar>
            <w:vAlign w:val="center"/>
            <w:hideMark/>
          </w:tcPr>
          <w:p w14:paraId="74D359B9" w14:textId="77777777" w:rsidR="0038254D" w:rsidRPr="0038254D" w:rsidRDefault="0038254D" w:rsidP="0038254D">
            <w:pPr>
              <w:rPr>
                <w:rFonts w:cs="Arial"/>
                <w:b/>
                <w:bCs/>
                <w:color w:val="FFFFFF" w:themeColor="background1"/>
              </w:rPr>
            </w:pPr>
            <w:r w:rsidRPr="0038254D">
              <w:rPr>
                <w:rFonts w:cs="Arial"/>
                <w:b/>
                <w:bCs/>
                <w:color w:val="FFFFFF" w:themeColor="background1"/>
              </w:rPr>
              <w:t>Statement code (and statement)</w:t>
            </w:r>
          </w:p>
        </w:tc>
      </w:tr>
      <w:tr w:rsidR="0038254D" w:rsidRPr="0038254D" w14:paraId="455E4A09" w14:textId="77777777" w:rsidTr="005F2C02">
        <w:trPr>
          <w:cantSplit/>
          <w:trHeight w:val="268"/>
        </w:trPr>
        <w:tc>
          <w:tcPr>
            <w:tcW w:w="67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EA732C" w14:textId="77777777" w:rsidR="0038254D" w:rsidRPr="0038254D" w:rsidRDefault="0038254D" w:rsidP="0038254D">
            <w:pPr>
              <w:rPr>
                <w:rFonts w:cs="Arial"/>
              </w:rPr>
            </w:pPr>
            <w:r w:rsidRPr="0038254D">
              <w:rPr>
                <w:rFonts w:cs="Arial"/>
              </w:rPr>
              <w:t>199</w:t>
            </w:r>
          </w:p>
        </w:tc>
        <w:tc>
          <w:tcPr>
            <w:tcW w:w="3142" w:type="dxa"/>
            <w:vMerge w:val="restart"/>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2251280B" w14:textId="77777777" w:rsidR="0038254D" w:rsidRPr="0038254D" w:rsidRDefault="0038254D" w:rsidP="0038254D">
            <w:pPr>
              <w:rPr>
                <w:rFonts w:cs="Arial"/>
              </w:rPr>
            </w:pPr>
            <w:r w:rsidRPr="0038254D">
              <w:rPr>
                <w:rFonts w:cs="Arial"/>
              </w:rPr>
              <w:t>METHYL ETHYL KETONE OXIME</w:t>
            </w:r>
          </w:p>
        </w:tc>
        <w:tc>
          <w:tcPr>
            <w:tcW w:w="5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79E54C" w14:textId="77777777" w:rsidR="0038254D" w:rsidRPr="0038254D" w:rsidRDefault="0038254D" w:rsidP="0038254D">
            <w:pPr>
              <w:rPr>
                <w:rFonts w:cs="Arial"/>
              </w:rPr>
            </w:pPr>
            <w:r w:rsidRPr="0038254D">
              <w:rPr>
                <w:rFonts w:cs="Arial"/>
              </w:rPr>
              <w:t>A – For advice, contact a Poisons Information Centre (e.g. phone Australia 13 11 26; New Zealand 0800 764 766) or a doctor (at once).</w:t>
            </w:r>
          </w:p>
        </w:tc>
      </w:tr>
      <w:tr w:rsidR="0038254D" w:rsidRPr="0038254D" w14:paraId="7B63E240" w14:textId="77777777" w:rsidTr="005F2C02">
        <w:trPr>
          <w:cantSplit/>
          <w:trHeight w:val="404"/>
        </w:trPr>
        <w:tc>
          <w:tcPr>
            <w:tcW w:w="0" w:type="auto"/>
            <w:vMerge/>
            <w:tcBorders>
              <w:left w:val="single" w:sz="4" w:space="0" w:color="auto"/>
              <w:right w:val="single" w:sz="4" w:space="0" w:color="auto"/>
            </w:tcBorders>
            <w:vAlign w:val="center"/>
            <w:hideMark/>
          </w:tcPr>
          <w:p w14:paraId="4D4B024D" w14:textId="77777777" w:rsidR="0038254D" w:rsidRPr="0038254D" w:rsidRDefault="0038254D" w:rsidP="0038254D">
            <w:pPr>
              <w:rPr>
                <w:rFonts w:cs="Arial"/>
              </w:rPr>
            </w:pPr>
          </w:p>
        </w:tc>
        <w:tc>
          <w:tcPr>
            <w:tcW w:w="0" w:type="auto"/>
            <w:vMerge/>
            <w:tcBorders>
              <w:left w:val="single" w:sz="4" w:space="0" w:color="auto"/>
            </w:tcBorders>
            <w:vAlign w:val="center"/>
            <w:hideMark/>
          </w:tcPr>
          <w:p w14:paraId="51A4254E" w14:textId="77777777" w:rsidR="0038254D" w:rsidRPr="0038254D" w:rsidRDefault="0038254D" w:rsidP="0038254D">
            <w:pPr>
              <w:rPr>
                <w:rFonts w:cs="Arial"/>
              </w:rPr>
            </w:pPr>
          </w:p>
        </w:tc>
        <w:tc>
          <w:tcPr>
            <w:tcW w:w="5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37F94E" w14:textId="77777777" w:rsidR="0038254D" w:rsidRPr="0038254D" w:rsidRDefault="0038254D" w:rsidP="0038254D">
            <w:pPr>
              <w:rPr>
                <w:rFonts w:cs="Arial"/>
              </w:rPr>
            </w:pPr>
            <w:r w:rsidRPr="0038254D">
              <w:rPr>
                <w:rFonts w:cs="Arial"/>
              </w:rPr>
              <w:t>E1 – If in eyes wash out immediately with water.</w:t>
            </w:r>
          </w:p>
        </w:tc>
      </w:tr>
      <w:tr w:rsidR="0038254D" w:rsidRPr="0038254D" w14:paraId="4E3E0101" w14:textId="77777777" w:rsidTr="005F2C02">
        <w:trPr>
          <w:cantSplit/>
          <w:trHeight w:val="394"/>
        </w:trPr>
        <w:tc>
          <w:tcPr>
            <w:tcW w:w="0" w:type="auto"/>
            <w:vMerge/>
            <w:tcBorders>
              <w:left w:val="single" w:sz="4" w:space="0" w:color="auto"/>
              <w:bottom w:val="single" w:sz="4" w:space="0" w:color="auto"/>
              <w:right w:val="single" w:sz="4" w:space="0" w:color="auto"/>
            </w:tcBorders>
            <w:vAlign w:val="center"/>
            <w:hideMark/>
          </w:tcPr>
          <w:p w14:paraId="41EBA4F1" w14:textId="77777777" w:rsidR="0038254D" w:rsidRPr="0038254D" w:rsidRDefault="0038254D" w:rsidP="0038254D">
            <w:pPr>
              <w:rPr>
                <w:rFonts w:cs="Arial"/>
              </w:rPr>
            </w:pPr>
          </w:p>
        </w:tc>
        <w:tc>
          <w:tcPr>
            <w:tcW w:w="0" w:type="auto"/>
            <w:vMerge/>
            <w:tcBorders>
              <w:left w:val="single" w:sz="4" w:space="0" w:color="auto"/>
              <w:bottom w:val="single" w:sz="4" w:space="0" w:color="auto"/>
            </w:tcBorders>
            <w:vAlign w:val="center"/>
            <w:hideMark/>
          </w:tcPr>
          <w:p w14:paraId="0823766A" w14:textId="77777777" w:rsidR="0038254D" w:rsidRPr="0038254D" w:rsidRDefault="0038254D" w:rsidP="0038254D">
            <w:pPr>
              <w:rPr>
                <w:rFonts w:cs="Arial"/>
              </w:rPr>
            </w:pPr>
          </w:p>
        </w:tc>
        <w:tc>
          <w:tcPr>
            <w:tcW w:w="53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3827136" w14:textId="77777777" w:rsidR="0038254D" w:rsidRPr="0038254D" w:rsidRDefault="0038254D" w:rsidP="0038254D">
            <w:pPr>
              <w:rPr>
                <w:rFonts w:cs="Arial"/>
              </w:rPr>
            </w:pPr>
            <w:r w:rsidRPr="0038254D">
              <w:rPr>
                <w:rFonts w:cs="Arial"/>
              </w:rPr>
              <w:t>S1 – If skin or hair contact occurs, remove contaminated clothing and flush skin and hair with running water.</w:t>
            </w:r>
          </w:p>
        </w:tc>
      </w:tr>
    </w:tbl>
    <w:p w14:paraId="5102C805" w14:textId="3C298FE5" w:rsidR="0038254D" w:rsidRPr="0038254D" w:rsidRDefault="0038254D" w:rsidP="0038254D">
      <w:pPr>
        <w:rPr>
          <w:rFonts w:cs="Arial"/>
          <w:b/>
          <w:bCs/>
        </w:rPr>
      </w:pPr>
    </w:p>
    <w:p w14:paraId="72C042C7" w14:textId="77777777" w:rsidR="0038254D" w:rsidRPr="0038254D" w:rsidRDefault="0038254D" w:rsidP="0038254D">
      <w:pPr>
        <w:ind w:left="284"/>
        <w:rPr>
          <w:rFonts w:cs="Arial"/>
        </w:rPr>
      </w:pPr>
      <w:r w:rsidRPr="0038254D">
        <w:rPr>
          <w:rFonts w:cs="Arial"/>
          <w:b/>
          <w:bCs/>
        </w:rPr>
        <w:t>Appendix F, clause 4</w:t>
      </w:r>
      <w:r w:rsidRPr="0038254D">
        <w:rPr>
          <w:rFonts w:cs="Arial"/>
        </w:rPr>
        <w:t xml:space="preserve"> – Warning statements and safety directions</w:t>
      </w:r>
    </w:p>
    <w:tbl>
      <w:tblPr>
        <w:tblpPr w:leftFromText="180" w:rightFromText="180" w:vertAnchor="text"/>
        <w:tblW w:w="9293" w:type="dxa"/>
        <w:tblCellMar>
          <w:left w:w="0" w:type="dxa"/>
          <w:right w:w="0" w:type="dxa"/>
        </w:tblCellMar>
        <w:tblLook w:val="04A0" w:firstRow="1" w:lastRow="0" w:firstColumn="1" w:lastColumn="0" w:noHBand="0" w:noVBand="1"/>
      </w:tblPr>
      <w:tblGrid>
        <w:gridCol w:w="724"/>
        <w:gridCol w:w="1674"/>
        <w:gridCol w:w="3234"/>
        <w:gridCol w:w="3661"/>
      </w:tblGrid>
      <w:tr w:rsidR="0038254D" w:rsidRPr="0038254D" w14:paraId="530A5969" w14:textId="77777777" w:rsidTr="005F2C02">
        <w:trPr>
          <w:cantSplit/>
          <w:trHeight w:val="432"/>
          <w:tblHeader/>
        </w:trPr>
        <w:tc>
          <w:tcPr>
            <w:tcW w:w="724" w:type="dxa"/>
            <w:tcBorders>
              <w:top w:val="single" w:sz="8" w:space="0" w:color="auto"/>
              <w:left w:val="single" w:sz="8" w:space="0" w:color="auto"/>
              <w:bottom w:val="single" w:sz="8" w:space="0" w:color="auto"/>
              <w:right w:val="single" w:sz="8" w:space="0" w:color="auto"/>
            </w:tcBorders>
            <w:shd w:val="clear" w:color="auto" w:fill="006DA7"/>
            <w:tcMar>
              <w:top w:w="0" w:type="dxa"/>
              <w:left w:w="108" w:type="dxa"/>
              <w:bottom w:w="0" w:type="dxa"/>
              <w:right w:w="108" w:type="dxa"/>
            </w:tcMar>
            <w:vAlign w:val="center"/>
            <w:hideMark/>
          </w:tcPr>
          <w:p w14:paraId="54CEB9C3" w14:textId="77777777" w:rsidR="0038254D" w:rsidRPr="0038254D" w:rsidRDefault="0038254D" w:rsidP="0038254D">
            <w:pPr>
              <w:rPr>
                <w:rFonts w:cs="Arial"/>
                <w:b/>
                <w:bCs/>
                <w:color w:val="FFFFFF" w:themeColor="background1"/>
              </w:rPr>
            </w:pPr>
            <w:r w:rsidRPr="0038254D">
              <w:rPr>
                <w:rFonts w:cs="Arial"/>
                <w:b/>
                <w:bCs/>
                <w:color w:val="FFFFFF" w:themeColor="background1"/>
              </w:rPr>
              <w:t>Item</w:t>
            </w:r>
          </w:p>
        </w:tc>
        <w:tc>
          <w:tcPr>
            <w:tcW w:w="1674" w:type="dxa"/>
            <w:tcBorders>
              <w:top w:val="single" w:sz="8" w:space="0" w:color="auto"/>
              <w:left w:val="nil"/>
              <w:bottom w:val="single" w:sz="8" w:space="0" w:color="auto"/>
              <w:right w:val="single" w:sz="8" w:space="0" w:color="auto"/>
            </w:tcBorders>
            <w:shd w:val="clear" w:color="auto" w:fill="006DA7"/>
            <w:tcMar>
              <w:top w:w="0" w:type="dxa"/>
              <w:left w:w="108" w:type="dxa"/>
              <w:bottom w:w="0" w:type="dxa"/>
              <w:right w:w="108" w:type="dxa"/>
            </w:tcMar>
            <w:vAlign w:val="center"/>
            <w:hideMark/>
          </w:tcPr>
          <w:p w14:paraId="19B95638" w14:textId="77777777" w:rsidR="0038254D" w:rsidRPr="0038254D" w:rsidRDefault="0038254D" w:rsidP="0038254D">
            <w:pPr>
              <w:rPr>
                <w:rFonts w:cs="Arial"/>
                <w:b/>
                <w:bCs/>
                <w:color w:val="FFFFFF" w:themeColor="background1"/>
              </w:rPr>
            </w:pPr>
            <w:r w:rsidRPr="0038254D">
              <w:rPr>
                <w:rFonts w:cs="Arial"/>
                <w:b/>
                <w:bCs/>
                <w:color w:val="FFFFFF" w:themeColor="background1"/>
              </w:rPr>
              <w:t>Poison</w:t>
            </w:r>
          </w:p>
        </w:tc>
        <w:tc>
          <w:tcPr>
            <w:tcW w:w="3234" w:type="dxa"/>
            <w:tcBorders>
              <w:top w:val="single" w:sz="8" w:space="0" w:color="auto"/>
              <w:left w:val="nil"/>
              <w:bottom w:val="single" w:sz="8" w:space="0" w:color="auto"/>
              <w:right w:val="single" w:sz="8" w:space="0" w:color="auto"/>
            </w:tcBorders>
            <w:shd w:val="clear" w:color="auto" w:fill="006DA7"/>
            <w:tcMar>
              <w:top w:w="0" w:type="dxa"/>
              <w:left w:w="108" w:type="dxa"/>
              <w:bottom w:w="0" w:type="dxa"/>
              <w:right w:w="108" w:type="dxa"/>
            </w:tcMar>
            <w:vAlign w:val="center"/>
            <w:hideMark/>
          </w:tcPr>
          <w:p w14:paraId="762D56CA" w14:textId="77777777" w:rsidR="0038254D" w:rsidRPr="0038254D" w:rsidRDefault="0038254D" w:rsidP="0038254D">
            <w:pPr>
              <w:rPr>
                <w:rFonts w:cs="Arial"/>
                <w:b/>
                <w:bCs/>
                <w:color w:val="FFFFFF" w:themeColor="background1"/>
              </w:rPr>
            </w:pPr>
            <w:r w:rsidRPr="0038254D">
              <w:rPr>
                <w:rFonts w:cs="Arial"/>
                <w:b/>
                <w:bCs/>
                <w:color w:val="FFFFFF" w:themeColor="background1"/>
              </w:rPr>
              <w:t xml:space="preserve">Warning statement item number and statement </w:t>
            </w:r>
          </w:p>
        </w:tc>
        <w:tc>
          <w:tcPr>
            <w:tcW w:w="3661" w:type="dxa"/>
            <w:tcBorders>
              <w:top w:val="single" w:sz="8" w:space="0" w:color="auto"/>
              <w:left w:val="nil"/>
              <w:bottom w:val="single" w:sz="8" w:space="0" w:color="auto"/>
              <w:right w:val="single" w:sz="8" w:space="0" w:color="auto"/>
            </w:tcBorders>
            <w:shd w:val="clear" w:color="auto" w:fill="006DA7"/>
            <w:tcMar>
              <w:top w:w="0" w:type="dxa"/>
              <w:left w:w="108" w:type="dxa"/>
              <w:bottom w:w="0" w:type="dxa"/>
              <w:right w:w="108" w:type="dxa"/>
            </w:tcMar>
            <w:vAlign w:val="center"/>
            <w:hideMark/>
          </w:tcPr>
          <w:p w14:paraId="44678948" w14:textId="77777777" w:rsidR="0038254D" w:rsidRPr="0038254D" w:rsidRDefault="0038254D" w:rsidP="0038254D">
            <w:pPr>
              <w:rPr>
                <w:rFonts w:cs="Arial"/>
                <w:b/>
                <w:bCs/>
                <w:color w:val="FFFFFF" w:themeColor="background1"/>
              </w:rPr>
            </w:pPr>
            <w:r w:rsidRPr="0038254D">
              <w:rPr>
                <w:rFonts w:cs="Arial"/>
                <w:b/>
                <w:bCs/>
                <w:color w:val="FFFFFF" w:themeColor="background1"/>
              </w:rPr>
              <w:t xml:space="preserve">Safety direction item number and statement </w:t>
            </w:r>
          </w:p>
        </w:tc>
      </w:tr>
      <w:tr w:rsidR="0038254D" w:rsidRPr="0038254D" w14:paraId="467EEB37" w14:textId="77777777" w:rsidTr="005F2C02">
        <w:trPr>
          <w:cantSplit/>
        </w:trPr>
        <w:tc>
          <w:tcPr>
            <w:tcW w:w="724"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F14EB35" w14:textId="77777777" w:rsidR="0038254D" w:rsidRPr="0038254D" w:rsidRDefault="0038254D" w:rsidP="0038254D">
            <w:pPr>
              <w:rPr>
                <w:rFonts w:cs="Arial"/>
              </w:rPr>
            </w:pPr>
            <w:r w:rsidRPr="0038254D">
              <w:rPr>
                <w:rFonts w:cs="Arial"/>
              </w:rPr>
              <w:t>213</w:t>
            </w:r>
          </w:p>
        </w:tc>
        <w:tc>
          <w:tcPr>
            <w:tcW w:w="1674" w:type="dxa"/>
            <w:tcBorders>
              <w:top w:val="nil"/>
              <w:left w:val="nil"/>
              <w:bottom w:val="single" w:sz="4" w:space="0" w:color="auto"/>
              <w:right w:val="single" w:sz="8" w:space="0" w:color="auto"/>
            </w:tcBorders>
            <w:tcMar>
              <w:top w:w="0" w:type="dxa"/>
              <w:left w:w="108" w:type="dxa"/>
              <w:bottom w:w="0" w:type="dxa"/>
              <w:right w:w="108" w:type="dxa"/>
            </w:tcMar>
            <w:hideMark/>
          </w:tcPr>
          <w:p w14:paraId="709036D4" w14:textId="77777777" w:rsidR="0038254D" w:rsidRPr="0038254D" w:rsidRDefault="0038254D" w:rsidP="0038254D">
            <w:pPr>
              <w:rPr>
                <w:rFonts w:cs="Arial"/>
              </w:rPr>
            </w:pPr>
            <w:r w:rsidRPr="0038254D">
              <w:rPr>
                <w:rFonts w:cs="Arial"/>
              </w:rPr>
              <w:t xml:space="preserve">METHYL ETHYL KETONE OXIME </w:t>
            </w:r>
          </w:p>
        </w:tc>
        <w:tc>
          <w:tcPr>
            <w:tcW w:w="3234" w:type="dxa"/>
            <w:tcBorders>
              <w:top w:val="nil"/>
              <w:left w:val="nil"/>
              <w:bottom w:val="single" w:sz="4" w:space="0" w:color="auto"/>
              <w:right w:val="single" w:sz="8" w:space="0" w:color="auto"/>
            </w:tcBorders>
            <w:tcMar>
              <w:top w:w="0" w:type="dxa"/>
              <w:left w:w="108" w:type="dxa"/>
              <w:bottom w:w="0" w:type="dxa"/>
              <w:right w:w="108" w:type="dxa"/>
            </w:tcMar>
            <w:hideMark/>
          </w:tcPr>
          <w:p w14:paraId="67945667" w14:textId="77777777" w:rsidR="0038254D" w:rsidRPr="0038254D" w:rsidRDefault="0038254D" w:rsidP="0038254D">
            <w:pPr>
              <w:rPr>
                <w:rFonts w:cs="Arial"/>
              </w:rPr>
            </w:pPr>
            <w:r w:rsidRPr="0038254D">
              <w:rPr>
                <w:rFonts w:cs="Arial"/>
              </w:rPr>
              <w:t xml:space="preserve">5 – irritant </w:t>
            </w:r>
          </w:p>
          <w:p w14:paraId="40C3A321" w14:textId="77777777" w:rsidR="0038254D" w:rsidRPr="0038254D" w:rsidRDefault="0038254D" w:rsidP="0038254D">
            <w:pPr>
              <w:rPr>
                <w:rFonts w:cs="Arial"/>
              </w:rPr>
            </w:pPr>
            <w:r w:rsidRPr="0038254D">
              <w:rPr>
                <w:rFonts w:cs="Arial"/>
              </w:rPr>
              <w:t xml:space="preserve">6 – May cause cancer. </w:t>
            </w:r>
          </w:p>
          <w:p w14:paraId="2C56108A" w14:textId="77777777" w:rsidR="0038254D" w:rsidRPr="0038254D" w:rsidRDefault="0038254D" w:rsidP="0038254D">
            <w:pPr>
              <w:rPr>
                <w:rFonts w:cs="Arial"/>
              </w:rPr>
            </w:pPr>
            <w:r w:rsidRPr="0038254D">
              <w:rPr>
                <w:rFonts w:cs="Arial"/>
              </w:rPr>
              <w:lastRenderedPageBreak/>
              <w:t>12 – Vapour is harmful to health on prolonged exposure</w:t>
            </w:r>
          </w:p>
          <w:p w14:paraId="7CC55904" w14:textId="77777777" w:rsidR="0038254D" w:rsidRPr="0038254D" w:rsidRDefault="0038254D" w:rsidP="0038254D">
            <w:pPr>
              <w:rPr>
                <w:rFonts w:cs="Arial"/>
              </w:rPr>
            </w:pPr>
            <w:r w:rsidRPr="0038254D">
              <w:rPr>
                <w:rFonts w:cs="Arial"/>
              </w:rPr>
              <w:t>28 – (Over) (Repeated) exposure may cause sensitisation</w:t>
            </w:r>
          </w:p>
        </w:tc>
        <w:tc>
          <w:tcPr>
            <w:tcW w:w="3661" w:type="dxa"/>
            <w:tcBorders>
              <w:top w:val="nil"/>
              <w:left w:val="nil"/>
              <w:bottom w:val="single" w:sz="4" w:space="0" w:color="auto"/>
              <w:right w:val="single" w:sz="8" w:space="0" w:color="auto"/>
            </w:tcBorders>
            <w:tcMar>
              <w:top w:w="0" w:type="dxa"/>
              <w:left w:w="108" w:type="dxa"/>
              <w:bottom w:w="0" w:type="dxa"/>
              <w:right w:w="108" w:type="dxa"/>
            </w:tcMar>
            <w:hideMark/>
          </w:tcPr>
          <w:p w14:paraId="39F4FB52" w14:textId="77777777" w:rsidR="0038254D" w:rsidRPr="0038254D" w:rsidRDefault="0038254D" w:rsidP="0038254D">
            <w:pPr>
              <w:rPr>
                <w:rFonts w:cs="Arial"/>
              </w:rPr>
            </w:pPr>
            <w:r w:rsidRPr="0038254D">
              <w:rPr>
                <w:rFonts w:cs="Arial"/>
              </w:rPr>
              <w:lastRenderedPageBreak/>
              <w:t>1 – Avoid contact with eyes</w:t>
            </w:r>
          </w:p>
          <w:p w14:paraId="065A3EDA" w14:textId="77777777" w:rsidR="0038254D" w:rsidRPr="0038254D" w:rsidRDefault="0038254D" w:rsidP="0038254D">
            <w:pPr>
              <w:rPr>
                <w:rFonts w:cs="Arial"/>
              </w:rPr>
            </w:pPr>
            <w:r w:rsidRPr="0038254D">
              <w:rPr>
                <w:rFonts w:cs="Arial"/>
              </w:rPr>
              <w:t>4 – Avoid contact with skin</w:t>
            </w:r>
          </w:p>
          <w:p w14:paraId="4F29DE4D" w14:textId="77777777" w:rsidR="0038254D" w:rsidRPr="0038254D" w:rsidRDefault="0038254D" w:rsidP="0038254D">
            <w:pPr>
              <w:rPr>
                <w:rFonts w:cs="Arial"/>
              </w:rPr>
            </w:pPr>
            <w:r w:rsidRPr="0038254D">
              <w:rPr>
                <w:rFonts w:cs="Arial"/>
              </w:rPr>
              <w:t>8 – Avoid breathing vapour</w:t>
            </w:r>
          </w:p>
          <w:p w14:paraId="14421727" w14:textId="77777777" w:rsidR="0038254D" w:rsidRPr="0038254D" w:rsidRDefault="0038254D" w:rsidP="0038254D">
            <w:pPr>
              <w:rPr>
                <w:rFonts w:cs="Arial"/>
              </w:rPr>
            </w:pPr>
            <w:r w:rsidRPr="0038254D">
              <w:rPr>
                <w:rFonts w:cs="Arial"/>
              </w:rPr>
              <w:lastRenderedPageBreak/>
              <w:t>10 – Ensure adequate ventilation when using</w:t>
            </w:r>
          </w:p>
        </w:tc>
      </w:tr>
    </w:tbl>
    <w:p w14:paraId="0E1271BA" w14:textId="77777777" w:rsidR="0038254D" w:rsidRPr="0038254D" w:rsidRDefault="0038254D" w:rsidP="0038254D">
      <w:pPr>
        <w:pStyle w:val="Heading4"/>
      </w:pPr>
      <w:bookmarkStart w:id="56" w:name="_Toc238828121"/>
      <w:bookmarkStart w:id="57" w:name="_Toc239945905"/>
      <w:r w:rsidRPr="0038254D">
        <w:lastRenderedPageBreak/>
        <w:t>Background</w:t>
      </w:r>
      <w:bookmarkEnd w:id="56"/>
      <w:bookmarkEnd w:id="57"/>
    </w:p>
    <w:p w14:paraId="74A1B0C1" w14:textId="77777777" w:rsidR="0038254D" w:rsidRPr="0038254D" w:rsidRDefault="0038254D" w:rsidP="0038254D">
      <w:pPr>
        <w:rPr>
          <w:rFonts w:asciiTheme="minorHAnsi" w:eastAsiaTheme="minorEastAsia" w:hAnsiTheme="minorHAnsi"/>
        </w:rPr>
      </w:pPr>
      <w:r w:rsidRPr="0038254D">
        <w:t>MEKO-releasing silanes are used in adhesives and sealants and may be present either individually or in combination with other MEKO-releasing silanes or MEKO. Information on their introduction, use and end use in Australia is limited. However, Australian information referenced in the AICIS Evaluation Statement indicates that phenyltris (MEKO) silane is used in adhesives and sealants at concentrations up to 10%, and local safety data sheets (SDS) identify the use of several other MEKO-releasing silanes in adhesive and sealant products at similar concentrations.</w:t>
      </w:r>
    </w:p>
    <w:p w14:paraId="7A06C130" w14:textId="77777777" w:rsidR="0038254D" w:rsidRPr="0038254D" w:rsidRDefault="0038254D" w:rsidP="0038254D">
      <w:pPr>
        <w:rPr>
          <w:rFonts w:asciiTheme="minorHAnsi" w:eastAsiaTheme="minorEastAsia" w:hAnsiTheme="minorHAnsi"/>
        </w:rPr>
      </w:pPr>
      <w:r w:rsidRPr="0038254D">
        <w:t>Internationally, these chemicals are primarily used in domestic and professional adhesive and sealant products. Typical concentrations in sealants are below 10%, although concentrations of up to 30% have been reported. Additional uses have been identified in some automotive care products, including gasket makers.</w:t>
      </w:r>
    </w:p>
    <w:p w14:paraId="702E4FFC" w14:textId="77777777" w:rsidR="0038254D" w:rsidRPr="0038254D" w:rsidRDefault="0038254D" w:rsidP="0038254D">
      <w:pPr>
        <w:pStyle w:val="Heading4"/>
      </w:pPr>
      <w:bookmarkStart w:id="58" w:name="_Toc239945906"/>
      <w:r w:rsidRPr="0038254D">
        <w:t>Summary of reasons for the proposal</w:t>
      </w:r>
      <w:bookmarkEnd w:id="58"/>
    </w:p>
    <w:p w14:paraId="3BBF78FF" w14:textId="77777777" w:rsidR="0038254D" w:rsidRPr="0038254D" w:rsidRDefault="0038254D" w:rsidP="0038254D">
      <w:r w:rsidRPr="0038254D">
        <w:t>The AICIS Evaluation Statement provided that:</w:t>
      </w:r>
    </w:p>
    <w:p w14:paraId="3B91B19E"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MEKO is hazardous by inhalation and the Schedule 6 entry for MEKO has been recently amended to restrict the concentrations in consumer products.</w:t>
      </w:r>
    </w:p>
    <w:p w14:paraId="5F57D236"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MEKO-releasing silanes may be used as a substitute for MEKO in products following implementation of the scheduling changes in 2028.</w:t>
      </w:r>
    </w:p>
    <w:p w14:paraId="47285D53" w14:textId="77777777" w:rsidR="0038254D" w:rsidRPr="0038254D" w:rsidRDefault="0038254D" w:rsidP="0038254D">
      <w:pPr>
        <w:numPr>
          <w:ilvl w:val="0"/>
          <w:numId w:val="8"/>
        </w:numPr>
        <w:spacing w:before="120" w:after="180" w:line="240" w:lineRule="atLeast"/>
        <w:rPr>
          <w:rFonts w:eastAsia="Cambria" w:cs="Arial"/>
          <w:lang w:val="en-US"/>
        </w:rPr>
      </w:pPr>
      <w:r w:rsidRPr="0038254D">
        <w:rPr>
          <w:rFonts w:eastAsia="Cambria" w:cs="Arial"/>
          <w:lang w:val="en-US"/>
        </w:rPr>
        <w:t>These chemicals hydrolyse rapidly in the presence of moisture and release volatile MEKO. The critical health risks are principally associated with exposure to released MEKO during use, particularly inhalation exposure during the curing of silicone sealants. Dermal and ocular exposure to the MEKO-releasing silanes may also be relevant, particularly for workers handling or formulating products containing these chemicals.</w:t>
      </w:r>
    </w:p>
    <w:p w14:paraId="72910EB8"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Cross-referencing these chemicals to the existing MEKO scheduling entry may achieve same results as a separate listing.</w:t>
      </w:r>
    </w:p>
    <w:p w14:paraId="41EE9351" w14:textId="77777777" w:rsidR="0038254D" w:rsidRPr="0038254D" w:rsidRDefault="0038254D" w:rsidP="0038254D">
      <w:pPr>
        <w:numPr>
          <w:ilvl w:val="0"/>
          <w:numId w:val="8"/>
        </w:numPr>
        <w:spacing w:before="120" w:after="180" w:line="240" w:lineRule="atLeast"/>
        <w:rPr>
          <w:rFonts w:eastAsiaTheme="minorEastAsia"/>
        </w:rPr>
      </w:pPr>
      <w:r w:rsidRPr="0038254D">
        <w:rPr>
          <w:rFonts w:eastAsia="Cambria" w:cs="Arial"/>
        </w:rPr>
        <w:t>MEKO is also listed in Appendix E (first aid instructions) and Appendix F (warning statements and general safety directions) of the Poisons Standard. Additional warning statements and safety directions regarding potential for inhalation carcinogenicity, ventilation, and the need to avoid breathing the vapour of preparations containing MEKO will apply to the MEKO-releasing silanes.</w:t>
      </w:r>
    </w:p>
    <w:p w14:paraId="7896689C" w14:textId="77777777" w:rsidR="0038254D" w:rsidRPr="0038254D" w:rsidRDefault="0038254D" w:rsidP="0038254D">
      <w:pPr>
        <w:pStyle w:val="Heading4"/>
      </w:pPr>
      <w:bookmarkStart w:id="59" w:name="_Toc238828123"/>
      <w:bookmarkStart w:id="60" w:name="_Toc239945907"/>
      <w:r w:rsidRPr="0038254D">
        <w:t>Key uses / expected use</w:t>
      </w:r>
      <w:bookmarkEnd w:id="59"/>
      <w:bookmarkEnd w:id="60"/>
    </w:p>
    <w:p w14:paraId="3D380EE0" w14:textId="77777777" w:rsidR="0038254D" w:rsidRPr="0038254D" w:rsidRDefault="0038254D" w:rsidP="0038254D">
      <w:r w:rsidRPr="0038254D">
        <w:t xml:space="preserve">Silicon sealants, adhesives, and automotive care products including gasket makers (domestic and industrial use). </w:t>
      </w:r>
    </w:p>
    <w:p w14:paraId="2A9F77ED" w14:textId="77777777" w:rsidR="0038254D" w:rsidRPr="0038254D" w:rsidRDefault="0038254D" w:rsidP="0038254D">
      <w:pPr>
        <w:pStyle w:val="Heading4"/>
      </w:pPr>
      <w:bookmarkStart w:id="61" w:name="_Toc238828124"/>
      <w:bookmarkStart w:id="62" w:name="_Toc239945908"/>
      <w:r w:rsidRPr="0038254D">
        <w:t>Australian regulations</w:t>
      </w:r>
      <w:bookmarkEnd w:id="61"/>
      <w:bookmarkEnd w:id="62"/>
    </w:p>
    <w:p w14:paraId="42C87CB0"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 xml:space="preserve">MEKO and MEKO-releasing silanes are not listed as active ingredients in the </w:t>
      </w:r>
      <w:hyperlink r:id="rId57">
        <w:r w:rsidRPr="0038254D">
          <w:rPr>
            <w:rFonts w:eastAsia="Cambria" w:cs="Arial"/>
            <w:color w:val="0000FF"/>
            <w:u w:val="single"/>
          </w:rPr>
          <w:t>TGA Ingredient Database</w:t>
        </w:r>
      </w:hyperlink>
      <w:r w:rsidRPr="0038254D">
        <w:rPr>
          <w:rFonts w:eastAsia="Cambria" w:cs="Arial"/>
        </w:rPr>
        <w:t xml:space="preserve">. </w:t>
      </w:r>
    </w:p>
    <w:p w14:paraId="2064519E"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 xml:space="preserve">As of 31 August 2026, there were no products containing MEKO or MEKO-releasing silanes as an active ingredient or scheduled substance listed on the </w:t>
      </w:r>
      <w:hyperlink r:id="rId58">
        <w:r w:rsidRPr="0038254D">
          <w:rPr>
            <w:rFonts w:eastAsia="Cambria" w:cs="Arial"/>
            <w:color w:val="0000FF"/>
            <w:u w:val="single"/>
          </w:rPr>
          <w:t>Public Chemical Registration Information System Search (PubCRIS)</w:t>
        </w:r>
      </w:hyperlink>
      <w:r w:rsidRPr="0038254D">
        <w:rPr>
          <w:rFonts w:eastAsia="Cambria" w:cs="Arial"/>
        </w:rPr>
        <w:t xml:space="preserve">. </w:t>
      </w:r>
    </w:p>
    <w:p w14:paraId="439BE088"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lastRenderedPageBreak/>
        <w:t xml:space="preserve">MEKO and the MEKO-releasing silanes are listed on the </w:t>
      </w:r>
      <w:hyperlink r:id="rId59">
        <w:r w:rsidRPr="0038254D">
          <w:rPr>
            <w:rFonts w:eastAsia="Cambria" w:cs="Arial"/>
            <w:color w:val="0000FF"/>
            <w:u w:val="single"/>
          </w:rPr>
          <w:t>Australian Inventory of Industrial Chemicals (the Inventory)</w:t>
        </w:r>
      </w:hyperlink>
      <w:r w:rsidRPr="0038254D">
        <w:rPr>
          <w:rFonts w:eastAsia="Cambria" w:cs="Arial"/>
        </w:rPr>
        <w:t xml:space="preserve"> for chemicals being manufactured or imported into Australia for industrial use and have been assessed as a group as they all release MEKO.</w:t>
      </w:r>
    </w:p>
    <w:p w14:paraId="4E019BD8"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2-Butanone, 2,2′,2′′-[</w:t>
      </w:r>
      <w:bookmarkStart w:id="63" w:name="_Int_b0In8uCp"/>
      <w:r w:rsidRPr="0038254D">
        <w:rPr>
          <w:rFonts w:eastAsia="Cambria" w:cs="Times New Roman"/>
        </w:rPr>
        <w:t>O,O</w:t>
      </w:r>
      <w:bookmarkEnd w:id="63"/>
      <w:r w:rsidRPr="0038254D">
        <w:rPr>
          <w:rFonts w:eastAsia="Cambria" w:cs="Times New Roman"/>
        </w:rPr>
        <w:t xml:space="preserve">′,O′′-(ethenylsilylidyne)trioxime] CAS No. 2224-33-1 </w:t>
      </w:r>
    </w:p>
    <w:p w14:paraId="2EC49086"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 xml:space="preserve">2-Butanone, 2,2′,2′′-[O,O′,O′′-(methylsilylidyne)trioxime] CAS No. 22984-54-9 </w:t>
      </w:r>
    </w:p>
    <w:p w14:paraId="45E94377"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 xml:space="preserve">2-Butanone, 2,2′,2′′-[O,O′,O′′-(phenylsilylidyne)trioxime] CAS No. 34036-80-1 </w:t>
      </w:r>
    </w:p>
    <w:p w14:paraId="20CDFD74"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 xml:space="preserve">2-Butanone, 2,2′,2′′,2′′′-(O,O′,O′′,O′′′-silanetetrayltetraoxime) CAS No. 34206-40-1 </w:t>
      </w:r>
    </w:p>
    <w:p w14:paraId="19812116"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 xml:space="preserve">2-Butanone, </w:t>
      </w:r>
      <w:bookmarkStart w:id="64" w:name="_Int_260COCar"/>
      <w:r w:rsidRPr="0038254D">
        <w:rPr>
          <w:rFonts w:eastAsia="Cambria" w:cs="Times New Roman"/>
        </w:rPr>
        <w:t>O,O</w:t>
      </w:r>
      <w:bookmarkEnd w:id="64"/>
      <w:r w:rsidRPr="0038254D">
        <w:rPr>
          <w:rFonts w:eastAsia="Cambria" w:cs="Times New Roman"/>
        </w:rPr>
        <w:t xml:space="preserve">′-(dimethylsilylene)dioxime CAS No. 37843-26-8 </w:t>
      </w:r>
    </w:p>
    <w:p w14:paraId="09DF0996"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 xml:space="preserve">2-Butanone, </w:t>
      </w:r>
      <w:bookmarkStart w:id="65" w:name="_Int_oS7cuSf5"/>
      <w:r w:rsidRPr="0038254D">
        <w:rPr>
          <w:rFonts w:eastAsia="Cambria" w:cs="Times New Roman"/>
        </w:rPr>
        <w:t>O,O</w:t>
      </w:r>
      <w:bookmarkEnd w:id="65"/>
      <w:r w:rsidRPr="0038254D">
        <w:rPr>
          <w:rFonts w:eastAsia="Cambria" w:cs="Times New Roman"/>
        </w:rPr>
        <w:t xml:space="preserve">′-(methylphenylsilylene)dioxime CAS No. 69373-66-6 </w:t>
      </w:r>
    </w:p>
    <w:p w14:paraId="4C7F62A2"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2-Butanone, 2,2′-[</w:t>
      </w:r>
      <w:bookmarkStart w:id="66" w:name="_Int_F7XacSd9"/>
      <w:r w:rsidRPr="0038254D">
        <w:rPr>
          <w:rFonts w:eastAsia="Cambria" w:cs="Times New Roman"/>
        </w:rPr>
        <w:t>O,O</w:t>
      </w:r>
      <w:bookmarkEnd w:id="66"/>
      <w:r w:rsidRPr="0038254D">
        <w:rPr>
          <w:rFonts w:eastAsia="Cambria" w:cs="Times New Roman"/>
        </w:rPr>
        <w:t xml:space="preserve">′-(methoxymethylsilylene)dioxime] CAS No. 83817-72-5 </w:t>
      </w:r>
    </w:p>
    <w:p w14:paraId="4DF7C1F5"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2-Butanone, 2,2′-[</w:t>
      </w:r>
      <w:bookmarkStart w:id="67" w:name="_Int_u1SoBssw"/>
      <w:r w:rsidRPr="0038254D">
        <w:rPr>
          <w:rFonts w:eastAsia="Cambria" w:cs="Times New Roman"/>
        </w:rPr>
        <w:t>O,O</w:t>
      </w:r>
      <w:bookmarkEnd w:id="67"/>
      <w:r w:rsidRPr="0038254D">
        <w:rPr>
          <w:rFonts w:eastAsia="Cambria" w:cs="Times New Roman"/>
        </w:rPr>
        <w:t xml:space="preserve">′-(diethoxysilylene)dioxime] CAS No. 93917-75-0 </w:t>
      </w:r>
    </w:p>
    <w:p w14:paraId="34D8BD6E"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2-Butanone, 2,2′,2′′-[</w:t>
      </w:r>
      <w:bookmarkStart w:id="68" w:name="_Int_P0hcoUBZ"/>
      <w:r w:rsidRPr="0038254D">
        <w:rPr>
          <w:rFonts w:eastAsia="Cambria" w:cs="Times New Roman"/>
        </w:rPr>
        <w:t>O,O</w:t>
      </w:r>
      <w:bookmarkStart w:id="69" w:name="_Int_cAoMl55i"/>
      <w:bookmarkEnd w:id="68"/>
      <w:r w:rsidRPr="0038254D">
        <w:rPr>
          <w:rFonts w:eastAsia="Cambria" w:cs="Times New Roman"/>
        </w:rPr>
        <w:t>′,O</w:t>
      </w:r>
      <w:bookmarkEnd w:id="69"/>
      <w:r w:rsidRPr="0038254D">
        <w:rPr>
          <w:rFonts w:eastAsia="Cambria" w:cs="Times New Roman"/>
        </w:rPr>
        <w:t>′′-(ethoxysilylidyne)trioxime] CAS No. 101371-00-0</w:t>
      </w:r>
    </w:p>
    <w:p w14:paraId="79E7EE3D"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Besides, 2-butanone, 2,2′,2′′-[</w:t>
      </w:r>
      <w:bookmarkStart w:id="70" w:name="_Int_h4msXjb1"/>
      <w:r w:rsidRPr="0038254D">
        <w:rPr>
          <w:rFonts w:eastAsia="Cambria" w:cs="Arial"/>
        </w:rPr>
        <w:t>O,O</w:t>
      </w:r>
      <w:bookmarkStart w:id="71" w:name="_Int_W04iG3XL"/>
      <w:bookmarkEnd w:id="70"/>
      <w:r w:rsidRPr="0038254D">
        <w:rPr>
          <w:rFonts w:eastAsia="Cambria" w:cs="Arial"/>
        </w:rPr>
        <w:t>′,O</w:t>
      </w:r>
      <w:bookmarkEnd w:id="71"/>
      <w:r w:rsidRPr="0038254D">
        <w:rPr>
          <w:rFonts w:eastAsia="Cambria" w:cs="Arial"/>
        </w:rPr>
        <w:t>′′-(phenylsilylidyne)trioxime] (CAS No. 34036-80-1), was assessed as a new industrial chemical under section 23 of the Industrial Chemicals (Notification and Assessment) Act 1989 (ICNA Act). This chemical is being reassessed as new hazards have been identified including for the hydrolysis product MEKO.</w:t>
      </w:r>
    </w:p>
    <w:p w14:paraId="51AB8CBA" w14:textId="77777777" w:rsidR="0038254D" w:rsidRPr="0038254D" w:rsidRDefault="0038254D" w:rsidP="0038254D">
      <w:pPr>
        <w:pStyle w:val="Heading4"/>
      </w:pPr>
      <w:bookmarkStart w:id="72" w:name="_Toc238828125"/>
      <w:bookmarkStart w:id="73" w:name="_Toc239945909"/>
      <w:r w:rsidRPr="0038254D">
        <w:t>International regulations</w:t>
      </w:r>
      <w:bookmarkEnd w:id="72"/>
      <w:bookmarkEnd w:id="73"/>
    </w:p>
    <w:p w14:paraId="3D428B12"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 xml:space="preserve">In the European Union, products containing ≥0.1% of MEKO cannot be sold to the public. MEKO is listed as Carcinogenic class 2 in the </w:t>
      </w:r>
      <w:hyperlink r:id="rId60">
        <w:r w:rsidRPr="0038254D">
          <w:rPr>
            <w:rFonts w:eastAsia="Cambria" w:cs="Arial"/>
            <w:color w:val="0000FF"/>
            <w:u w:val="single"/>
          </w:rPr>
          <w:t>European Commission database for information on cosmetic substances and ingredients database</w:t>
        </w:r>
      </w:hyperlink>
      <w:r w:rsidRPr="0038254D">
        <w:rPr>
          <w:rFonts w:eastAsia="Cambria" w:cs="Arial"/>
        </w:rPr>
        <w:t xml:space="preserve">. </w:t>
      </w:r>
    </w:p>
    <w:p w14:paraId="3CDE00AA" w14:textId="77777777" w:rsidR="0038254D" w:rsidRPr="0038254D" w:rsidRDefault="0038254D" w:rsidP="0038254D">
      <w:pPr>
        <w:numPr>
          <w:ilvl w:val="0"/>
          <w:numId w:val="8"/>
        </w:numPr>
        <w:spacing w:before="120" w:after="180" w:line="240" w:lineRule="atLeast"/>
        <w:rPr>
          <w:rFonts w:eastAsiaTheme="minorEastAsia" w:cs="Arial"/>
        </w:rPr>
      </w:pPr>
      <w:r w:rsidRPr="0038254D">
        <w:rPr>
          <w:rFonts w:eastAsia="Cambria" w:cs="Arial"/>
        </w:rPr>
        <w:t xml:space="preserve">In the </w:t>
      </w:r>
      <w:hyperlink r:id="rId61">
        <w:r w:rsidRPr="0038254D">
          <w:rPr>
            <w:rFonts w:eastAsia="Cambria" w:cs="Arial"/>
            <w:color w:val="0000FF"/>
            <w:u w:val="single"/>
          </w:rPr>
          <w:t>Risk Management Option Analysis Conclusion Document,</w:t>
        </w:r>
      </w:hyperlink>
      <w:r w:rsidRPr="0038254D">
        <w:rPr>
          <w:rFonts w:eastAsiaTheme="minorEastAsia" w:cs="Arial"/>
        </w:rPr>
        <w:t xml:space="preserve"> </w:t>
      </w:r>
      <w:bookmarkStart w:id="74" w:name="_Int_w8Z1KyF4"/>
      <w:r w:rsidRPr="0038254D">
        <w:rPr>
          <w:rFonts w:eastAsiaTheme="minorEastAsia" w:cs="Arial"/>
        </w:rPr>
        <w:t>the</w:t>
      </w:r>
      <w:bookmarkEnd w:id="74"/>
      <w:r w:rsidRPr="0038254D">
        <w:rPr>
          <w:rFonts w:eastAsiaTheme="minorEastAsia" w:cs="Arial"/>
        </w:rPr>
        <w:t xml:space="preserve"> German competent authority considered that MEKO-releasing silanes may warrant classification for carcinogenicity because they release carcinogenic MEKO during hydrolysis. </w:t>
      </w:r>
    </w:p>
    <w:p w14:paraId="2BCC4C68" w14:textId="77777777" w:rsidR="0038254D" w:rsidRPr="0038254D" w:rsidRDefault="0038254D" w:rsidP="0038254D">
      <w:pPr>
        <w:numPr>
          <w:ilvl w:val="0"/>
          <w:numId w:val="8"/>
        </w:numPr>
        <w:spacing w:before="120" w:after="180" w:line="240" w:lineRule="atLeast"/>
        <w:rPr>
          <w:rFonts w:eastAsia="Cambria" w:cs="Arial"/>
        </w:rPr>
      </w:pPr>
      <w:r w:rsidRPr="0038254D">
        <w:rPr>
          <w:rFonts w:eastAsia="Cambria" w:cs="Arial"/>
        </w:rPr>
        <w:t xml:space="preserve">Based on the opinion of the </w:t>
      </w:r>
      <w:hyperlink r:id="rId62">
        <w:r w:rsidRPr="0038254D">
          <w:rPr>
            <w:rFonts w:eastAsia="Cambria" w:cs="Arial"/>
            <w:color w:val="0000FF"/>
            <w:u w:val="single"/>
          </w:rPr>
          <w:t>European Chemicals Agency (ECHA) Committee for Risk Assessment</w:t>
        </w:r>
      </w:hyperlink>
      <w:r w:rsidRPr="0038254D">
        <w:rPr>
          <w:rFonts w:eastAsia="Cambria" w:cs="Arial"/>
        </w:rPr>
        <w:t xml:space="preserve"> on a dossier proposing harmonised classification and labelling at the European level published in June 2026, a harmonised GHS classification for oxime-releasing silanes, including CAS No. 2224-33-1, CAS No. 22984-54-9, CAS No. 34036-80-1 and CAS No. 34206-40-1, is currently under consideration in Europe. MEKO has an EU harmonised classification including:</w:t>
      </w:r>
    </w:p>
    <w:p w14:paraId="579BF2AB"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Carcinogenicity Category 1B, H350: may cause cancer;</w:t>
      </w:r>
    </w:p>
    <w:p w14:paraId="14B96F81"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Acute Toxicity Category 3, H301: toxic if swallowed;</w:t>
      </w:r>
    </w:p>
    <w:p w14:paraId="28F75220"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Acute Toxicity Category 4, H312: harmful in contact with skin;</w:t>
      </w:r>
    </w:p>
    <w:p w14:paraId="33165A2F"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Skin Sensitisation Category 1, H317;</w:t>
      </w:r>
    </w:p>
    <w:p w14:paraId="7B8E9EA1"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Serious Eye Damage Category 1, H318;</w:t>
      </w:r>
    </w:p>
    <w:p w14:paraId="2968735C"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Skin Irritation Category 2, H315;</w:t>
      </w:r>
    </w:p>
    <w:p w14:paraId="271E676A"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STOT SE Category 3, H336: may cause drowsiness or dizziness;</w:t>
      </w:r>
    </w:p>
    <w:p w14:paraId="547222ED"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STOT SE Category 1, H370: upper respiratory tract effects; and</w:t>
      </w:r>
    </w:p>
    <w:p w14:paraId="39B2BAA3" w14:textId="77777777" w:rsidR="0038254D" w:rsidRPr="0038254D" w:rsidRDefault="0038254D" w:rsidP="0038254D">
      <w:pPr>
        <w:numPr>
          <w:ilvl w:val="1"/>
          <w:numId w:val="8"/>
        </w:numPr>
        <w:spacing w:before="120" w:after="180" w:line="240" w:lineRule="atLeast"/>
        <w:rPr>
          <w:rFonts w:eastAsia="Cambria" w:cs="Times New Roman"/>
          <w:sz w:val="21"/>
          <w:szCs w:val="21"/>
        </w:rPr>
      </w:pPr>
      <w:r w:rsidRPr="0038254D">
        <w:rPr>
          <w:rFonts w:eastAsia="Cambria" w:cs="Times New Roman"/>
        </w:rPr>
        <w:t>STOT RE Category 2, H373: effects on the blood system through prolonged or repeated exposure.</w:t>
      </w:r>
    </w:p>
    <w:p w14:paraId="18AEBF35" w14:textId="77777777" w:rsidR="0038254D" w:rsidRPr="0038254D" w:rsidRDefault="0038254D" w:rsidP="0038254D">
      <w:pPr>
        <w:numPr>
          <w:ilvl w:val="0"/>
          <w:numId w:val="8"/>
        </w:numPr>
        <w:spacing w:before="120" w:after="180" w:line="240" w:lineRule="atLeast"/>
        <w:rPr>
          <w:rFonts w:eastAsia="Cambria" w:cs="Arial"/>
          <w:kern w:val="2"/>
          <w14:ligatures w14:val="standardContextual"/>
        </w:rPr>
      </w:pPr>
      <w:r w:rsidRPr="0038254D">
        <w:rPr>
          <w:rFonts w:eastAsia="Cambria" w:cs="Arial"/>
        </w:rPr>
        <w:t xml:space="preserve">Canada’s current Code of Practice recommends reducing the concentration of MEKO in interior and dual-use consumer alkyd paints and coating products to the lowest level feasible and </w:t>
      </w:r>
      <w:r w:rsidRPr="0038254D">
        <w:rPr>
          <w:rFonts w:eastAsia="Cambria" w:cs="Arial"/>
        </w:rPr>
        <w:lastRenderedPageBreak/>
        <w:t>increasing ventilation in the work area during and after painting. The limitation of the concentration is 0.0032–0.55% in paints and 0.2–0.42% in sealants.</w:t>
      </w:r>
      <w:r w:rsidRPr="0038254D">
        <w:rPr>
          <w:rFonts w:eastAsia="Cambria" w:cs="Arial"/>
          <w:vertAlign w:val="superscript"/>
        </w:rPr>
        <w:footnoteReference w:id="7"/>
      </w:r>
    </w:p>
    <w:p w14:paraId="02EA0C61" w14:textId="77777777" w:rsidR="0038254D" w:rsidRPr="0038254D" w:rsidRDefault="0038254D" w:rsidP="0038254D">
      <w:pPr>
        <w:numPr>
          <w:ilvl w:val="0"/>
          <w:numId w:val="8"/>
        </w:numPr>
        <w:spacing w:before="120" w:after="180" w:line="240" w:lineRule="atLeast"/>
        <w:rPr>
          <w:rFonts w:eastAsia="Cambria" w:cs="Arial"/>
          <w:kern w:val="2"/>
          <w14:ligatures w14:val="standardContextual"/>
        </w:rPr>
      </w:pPr>
      <w:r w:rsidRPr="0038254D">
        <w:rPr>
          <w:rFonts w:eastAsia="Cambria" w:cs="Arial"/>
        </w:rPr>
        <w:t>In New Zealand and ASEAN countries, cosmetic products are prohibited from containing MEKO.</w:t>
      </w:r>
      <w:r w:rsidRPr="0038254D">
        <w:rPr>
          <w:rFonts w:eastAsia="Cambria" w:cs="Arial"/>
          <w:vertAlign w:val="superscript"/>
        </w:rPr>
        <w:footnoteReference w:id="8"/>
      </w:r>
      <w:r w:rsidRPr="0038254D">
        <w:rPr>
          <w:rFonts w:eastAsia="Cambria" w:cs="Arial"/>
          <w:vertAlign w:val="superscript"/>
        </w:rPr>
        <w:t>,</w:t>
      </w:r>
      <w:r w:rsidRPr="0038254D">
        <w:rPr>
          <w:rFonts w:eastAsia="Cambria" w:cs="Arial"/>
          <w:vertAlign w:val="superscript"/>
        </w:rPr>
        <w:footnoteReference w:id="9"/>
      </w:r>
    </w:p>
    <w:p w14:paraId="67E99A96" w14:textId="77777777" w:rsidR="0038254D" w:rsidRPr="0038254D" w:rsidRDefault="0038254D" w:rsidP="0038254D">
      <w:pPr>
        <w:numPr>
          <w:ilvl w:val="1"/>
          <w:numId w:val="8"/>
        </w:numPr>
        <w:spacing w:before="120" w:after="180" w:line="240" w:lineRule="atLeast"/>
        <w:rPr>
          <w:rFonts w:eastAsia="Cambria" w:cs="Times New Roman"/>
          <w:kern w:val="2"/>
          <w14:ligatures w14:val="standardContextual"/>
        </w:rPr>
      </w:pPr>
      <w:r w:rsidRPr="0038254D">
        <w:rPr>
          <w:rFonts w:eastAsia="Cambria" w:cs="Times New Roman"/>
        </w:rPr>
        <w:t>According to the</w:t>
      </w:r>
      <w:r w:rsidRPr="0038254D">
        <w:rPr>
          <w:rFonts w:eastAsia="Cambria" w:cs="Times New Roman"/>
          <w:color w:val="333F48"/>
        </w:rPr>
        <w:t xml:space="preserve"> </w:t>
      </w:r>
      <w:hyperlink r:id="rId63">
        <w:r w:rsidRPr="0038254D">
          <w:rPr>
            <w:rFonts w:eastAsia="Cambria" w:cs="Times New Roman"/>
            <w:color w:val="0000FF"/>
            <w:u w:val="single"/>
          </w:rPr>
          <w:t>ASEAN-Japan Chemical Safety Database</w:t>
        </w:r>
      </w:hyperlink>
      <w:r w:rsidRPr="0038254D">
        <w:rPr>
          <w:rFonts w:eastAsia="Cambria" w:cs="Times New Roman"/>
          <w:color w:val="333F48"/>
        </w:rPr>
        <w:t xml:space="preserve">, </w:t>
      </w:r>
      <w:r w:rsidRPr="0038254D">
        <w:rPr>
          <w:rFonts w:eastAsia="Cambria" w:cs="Times New Roman"/>
        </w:rPr>
        <w:t>in ASEAN countries and Japan, products containing more than 0.1% MEKO are required to carry statements regarding skin irritation and workers must wear PPE.</w:t>
      </w:r>
    </w:p>
    <w:p w14:paraId="07DC52ED" w14:textId="77777777" w:rsidR="0038254D" w:rsidRPr="0038254D" w:rsidRDefault="0038254D" w:rsidP="0038254D">
      <w:pPr>
        <w:numPr>
          <w:ilvl w:val="1"/>
          <w:numId w:val="8"/>
        </w:numPr>
        <w:spacing w:before="120" w:after="180" w:line="240" w:lineRule="atLeast"/>
        <w:rPr>
          <w:rFonts w:eastAsia="Cambria" w:cs="Times New Roman"/>
          <w:color w:val="333F48"/>
          <w:kern w:val="2"/>
          <w14:ligatures w14:val="standardContextual"/>
        </w:rPr>
      </w:pPr>
      <w:r w:rsidRPr="0038254D">
        <w:rPr>
          <w:rFonts w:eastAsia="Cambria" w:cs="Times New Roman"/>
        </w:rPr>
        <w:t>In New Zealand, the Environmental Protection Authority has classified MEKO in Category 4 hazard for acute inhalation toxicity and in Category 1 for carcinogenicity</w:t>
      </w:r>
      <w:r w:rsidRPr="0038254D">
        <w:rPr>
          <w:rFonts w:eastAsia="Cambria" w:cs="Times New Roman"/>
          <w:color w:val="333F48"/>
        </w:rPr>
        <w:t xml:space="preserve">. </w:t>
      </w:r>
    </w:p>
    <w:p w14:paraId="2A65FDD4" w14:textId="77777777" w:rsidR="0038254D" w:rsidRPr="0038254D" w:rsidRDefault="0038254D" w:rsidP="0038254D">
      <w:pPr>
        <w:numPr>
          <w:ilvl w:val="0"/>
          <w:numId w:val="8"/>
        </w:numPr>
        <w:spacing w:before="120" w:after="180" w:line="240" w:lineRule="atLeast"/>
        <w:rPr>
          <w:rFonts w:eastAsia="Cambria" w:cs="Arial"/>
          <w:kern w:val="2"/>
          <w14:ligatures w14:val="standardContextual"/>
        </w:rPr>
      </w:pPr>
      <w:r w:rsidRPr="0038254D">
        <w:rPr>
          <w:rFonts w:eastAsia="Cambria" w:cs="Arial"/>
        </w:rPr>
        <w:t xml:space="preserve">In the </w:t>
      </w:r>
      <w:hyperlink r:id="rId64">
        <w:r w:rsidRPr="0038254D">
          <w:rPr>
            <w:rFonts w:eastAsia="Cambria" w:cs="Arial"/>
            <w:color w:val="0000FF"/>
            <w:u w:val="single"/>
          </w:rPr>
          <w:t>New Zealand Inventory of Chemicals (NZIoC),</w:t>
        </w:r>
      </w:hyperlink>
      <w:r w:rsidRPr="0038254D">
        <w:rPr>
          <w:rFonts w:eastAsia="Cambria" w:cs="Arial"/>
        </w:rPr>
        <w:t xml:space="preserve"> </w:t>
      </w:r>
    </w:p>
    <w:p w14:paraId="25C77C8B"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MEKO cannot be used as a pesticide or veterinary medicine but can be used in the formulation of pesticides, veterinary medicines, antifouling paints, or timber treatment preservatives.</w:t>
      </w:r>
    </w:p>
    <w:p w14:paraId="7101A1C2" w14:textId="77777777" w:rsidR="0038254D" w:rsidRP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CAS No. 2224-33-1, and CAS No. 22984-54-9 were listed as without having an individual approval but may be used under an appropriate group standard with similar GHS classification and toxicity data.</w:t>
      </w:r>
    </w:p>
    <w:p w14:paraId="3C3D6A2E" w14:textId="77777777" w:rsidR="0038254D" w:rsidRDefault="0038254D" w:rsidP="0038254D">
      <w:pPr>
        <w:numPr>
          <w:ilvl w:val="1"/>
          <w:numId w:val="8"/>
        </w:numPr>
        <w:spacing w:before="120" w:after="180" w:line="240" w:lineRule="atLeast"/>
        <w:rPr>
          <w:rFonts w:eastAsia="Cambria" w:cs="Times New Roman"/>
        </w:rPr>
      </w:pPr>
      <w:r w:rsidRPr="0038254D">
        <w:rPr>
          <w:rFonts w:eastAsia="Cambria" w:cs="Times New Roman"/>
        </w:rPr>
        <w:t>CAS No. 34036-80-1, CAS No. 34206-40-1, CAS No. 37843-26-8, CAS No. 83817-72-5, CAS No. 93917-75-0 and CAS No. 101371-00-0 were listed as not having individual approval but may be used as components in products covered by a group standard as well as not approved for use as chemicals in their own right.</w:t>
      </w:r>
    </w:p>
    <w:p w14:paraId="5BE6336E" w14:textId="1E79A862" w:rsidR="00014F75" w:rsidRPr="0038254D" w:rsidRDefault="0038254D" w:rsidP="0038254D">
      <w:pPr>
        <w:numPr>
          <w:ilvl w:val="1"/>
          <w:numId w:val="8"/>
        </w:numPr>
        <w:spacing w:before="120" w:after="180" w:line="240" w:lineRule="atLeast"/>
        <w:rPr>
          <w:rFonts w:eastAsia="Cambria" w:cs="Times New Roman"/>
        </w:rPr>
      </w:pPr>
      <w:r w:rsidRPr="0038254D">
        <w:t>CAS No. 69373-66-6 was not listed in the database.</w:t>
      </w:r>
    </w:p>
    <w:p w14:paraId="776E2F9C" w14:textId="77777777" w:rsidR="00BC06A8" w:rsidRPr="00C417B6" w:rsidRDefault="00BC06A8" w:rsidP="00BC06A8">
      <w:pPr>
        <w:pStyle w:val="Heading2"/>
      </w:pPr>
      <w:bookmarkStart w:id="75" w:name="_Toc122614249"/>
      <w:bookmarkStart w:id="76" w:name="_Toc238828149"/>
      <w:bookmarkStart w:id="77" w:name="_Toc239945910"/>
      <w:r w:rsidRPr="15BEC1D6">
        <w:t>How to respond</w:t>
      </w:r>
      <w:bookmarkEnd w:id="75"/>
      <w:bookmarkEnd w:id="76"/>
      <w:bookmarkEnd w:id="77"/>
    </w:p>
    <w:p w14:paraId="592578E5" w14:textId="0D438301" w:rsidR="00BC06A8" w:rsidRPr="00C417B6" w:rsidRDefault="00BC06A8" w:rsidP="00BC06A8">
      <w:r w:rsidRPr="15BEC1D6">
        <w:t xml:space="preserve">Submissions must be provided by the closing date </w:t>
      </w:r>
      <w:r w:rsidRPr="00293F98">
        <w:t xml:space="preserve">of </w:t>
      </w:r>
      <w:r w:rsidRPr="00293F98">
        <w:rPr>
          <w:b/>
          <w:bCs/>
        </w:rPr>
        <w:t>1</w:t>
      </w:r>
      <w:r w:rsidR="00293F98" w:rsidRPr="00293F98">
        <w:rPr>
          <w:b/>
          <w:bCs/>
        </w:rPr>
        <w:t>2</w:t>
      </w:r>
      <w:r w:rsidR="00EC5AD3">
        <w:rPr>
          <w:b/>
          <w:bCs/>
        </w:rPr>
        <w:t> </w:t>
      </w:r>
      <w:r w:rsidRPr="00293F98">
        <w:rPr>
          <w:b/>
          <w:bCs/>
        </w:rPr>
        <w:t>October</w:t>
      </w:r>
      <w:r w:rsidR="00EC5AD3">
        <w:rPr>
          <w:b/>
          <w:bCs/>
        </w:rPr>
        <w:t> </w:t>
      </w:r>
      <w:r w:rsidRPr="00293F98">
        <w:rPr>
          <w:b/>
          <w:bCs/>
        </w:rPr>
        <w:t>2026</w:t>
      </w:r>
      <w:r w:rsidRPr="00293F98">
        <w:t xml:space="preserve"> through</w:t>
      </w:r>
      <w:r w:rsidRPr="15BEC1D6">
        <w:t xml:space="preserve"> </w:t>
      </w:r>
      <w:r w:rsidRPr="00293F98">
        <w:t>our </w:t>
      </w:r>
      <w:hyperlink r:id="rId65" w:history="1">
        <w:r w:rsidRPr="004508C1">
          <w:rPr>
            <w:rStyle w:val="Hyperlink"/>
          </w:rPr>
          <w:t>consultation hub</w:t>
        </w:r>
      </w:hyperlink>
      <w:r w:rsidRPr="15BEC1D6">
        <w:t>. Any submission about any of the proposals to amend the Poisons Standard will be considered at the next meeting of the </w:t>
      </w:r>
      <w:hyperlink r:id="rId66">
        <w:r w:rsidRPr="15BEC1D6">
          <w:rPr>
            <w:rStyle w:val="Hyperlink"/>
          </w:rPr>
          <w:t>Advisory Committee on Chemicals Scheduling (ACCS)</w:t>
        </w:r>
      </w:hyperlink>
      <w:r w:rsidR="00A56F02">
        <w:t>.</w:t>
      </w:r>
    </w:p>
    <w:p w14:paraId="0D9BC189" w14:textId="77777777" w:rsidR="00BC06A8" w:rsidRPr="00C417B6" w:rsidRDefault="00BC06A8" w:rsidP="00BC06A8">
      <w:pPr>
        <w:pStyle w:val="Heading2"/>
      </w:pPr>
      <w:bookmarkStart w:id="78" w:name="_Toc122614250"/>
      <w:bookmarkStart w:id="79" w:name="_Toc238828150"/>
      <w:bookmarkStart w:id="80" w:name="_Toc239945911"/>
      <w:r w:rsidRPr="15BEC1D6">
        <w:t>What will happen</w:t>
      </w:r>
      <w:bookmarkEnd w:id="78"/>
      <w:bookmarkEnd w:id="79"/>
      <w:bookmarkEnd w:id="80"/>
    </w:p>
    <w:p w14:paraId="2B5C5E2B" w14:textId="1D70D324" w:rsidR="00BC06A8" w:rsidRPr="00C417B6" w:rsidRDefault="00BC06A8" w:rsidP="00BC06A8">
      <w:r w:rsidRPr="15BEC1D6">
        <w:t xml:space="preserve">All public submissions will be published on the </w:t>
      </w:r>
      <w:hyperlink r:id="rId67" w:history="1">
        <w:r w:rsidRPr="00A37AA5">
          <w:rPr>
            <w:rStyle w:val="Hyperlink"/>
          </w:rPr>
          <w:t>TGA website</w:t>
        </w:r>
      </w:hyperlink>
      <w:r w:rsidR="00E94AA0">
        <w:t xml:space="preserve">, </w:t>
      </w:r>
      <w:r w:rsidRPr="15BEC1D6">
        <w:t>unless marked confidentia</w:t>
      </w:r>
      <w:r w:rsidR="00E94AA0">
        <w:t>l.</w:t>
      </w:r>
    </w:p>
    <w:p w14:paraId="4145EC48" w14:textId="51DDECAC" w:rsidR="009C3C0E" w:rsidRPr="00E15F18" w:rsidRDefault="00BC06A8" w:rsidP="00BC06A8">
      <w:pPr>
        <w:rPr>
          <w:rFonts w:eastAsia="Cambria" w:cs="Times New Roman"/>
        </w:rPr>
      </w:pPr>
      <w:r w:rsidRPr="15BEC1D6">
        <w:t xml:space="preserve">Following consideration of public submissions received before the closing date and advice from the expert advisory committee/s, decisions on the proposed amendments will be published as </w:t>
      </w:r>
      <w:hyperlink r:id="rId68" w:history="1">
        <w:r w:rsidRPr="00A37AA5">
          <w:rPr>
            <w:rStyle w:val="Hyperlink"/>
          </w:rPr>
          <w:t>interim decisions on the TGA website</w:t>
        </w:r>
      </w:hyperlink>
      <w:r w:rsidR="00C817D3">
        <w:t>.</w:t>
      </w:r>
      <w:r w:rsidR="00A37AA5">
        <w:t xml:space="preserve"> </w:t>
      </w:r>
      <w:r w:rsidR="009C3C0E">
        <w:br w:type="page"/>
      </w:r>
    </w:p>
    <w:bookmarkEnd w:id="47"/>
    <w:p w14:paraId="7AFC3549" w14:textId="1860E5DF" w:rsidR="00F02AEC" w:rsidRPr="00C417B6" w:rsidRDefault="00F02AEC" w:rsidP="00C417B6">
      <w:pPr>
        <w:sectPr w:rsidR="00F02AEC" w:rsidRPr="00C417B6" w:rsidSect="002637F1">
          <w:headerReference w:type="default" r:id="rId69"/>
          <w:footerReference w:type="default" r:id="rId70"/>
          <w:pgSz w:w="11906" w:h="16838" w:code="9"/>
          <w:pgMar w:top="1134" w:right="1418" w:bottom="1361" w:left="1418" w:header="573" w:footer="567" w:gutter="0"/>
          <w:cols w:space="708"/>
          <w:docGrid w:linePitch="360"/>
        </w:sectPr>
      </w:pPr>
    </w:p>
    <w:tbl>
      <w:tblPr>
        <w:tblW w:w="9145" w:type="dxa"/>
        <w:jc w:val="center"/>
        <w:tblLayout w:type="fixed"/>
        <w:tblCellMar>
          <w:left w:w="0" w:type="dxa"/>
          <w:right w:w="0" w:type="dxa"/>
        </w:tblCellMar>
        <w:tblLook w:val="04A0" w:firstRow="1" w:lastRow="0" w:firstColumn="1" w:lastColumn="0" w:noHBand="0" w:noVBand="1"/>
      </w:tblPr>
      <w:tblGrid>
        <w:gridCol w:w="9145"/>
      </w:tblGrid>
      <w:tr w:rsidR="00F02AEC" w:rsidRPr="00C417B6" w14:paraId="4DF1FFEB" w14:textId="77777777" w:rsidTr="002637F1">
        <w:trPr>
          <w:trHeight w:hRule="exact" w:val="565"/>
          <w:jc w:val="center"/>
        </w:trPr>
        <w:tc>
          <w:tcPr>
            <w:tcW w:w="9145" w:type="dxa"/>
          </w:tcPr>
          <w:p w14:paraId="38952D27" w14:textId="77777777" w:rsidR="00F02AEC" w:rsidRPr="00C417B6" w:rsidRDefault="00F02AEC" w:rsidP="00E74709">
            <w:pPr>
              <w:pStyle w:val="TGASignoff"/>
            </w:pPr>
            <w:r w:rsidRPr="00C417B6">
              <w:lastRenderedPageBreak/>
              <w:t>Therapeutic Goods Administration</w:t>
            </w:r>
          </w:p>
        </w:tc>
      </w:tr>
      <w:tr w:rsidR="00F02AEC" w:rsidRPr="00C417B6" w14:paraId="61A096B8" w14:textId="77777777" w:rsidTr="002637F1">
        <w:trPr>
          <w:trHeight w:val="963"/>
          <w:jc w:val="center"/>
        </w:trPr>
        <w:tc>
          <w:tcPr>
            <w:tcW w:w="9145" w:type="dxa"/>
            <w:tcMar>
              <w:top w:w="28" w:type="dxa"/>
            </w:tcMar>
          </w:tcPr>
          <w:p w14:paraId="57F3B08A" w14:textId="77777777" w:rsidR="00F02AEC" w:rsidRPr="00C417B6" w:rsidRDefault="00F02AEC" w:rsidP="00E74709">
            <w:pPr>
              <w:pStyle w:val="Address"/>
              <w:jc w:val="center"/>
            </w:pPr>
            <w:r w:rsidRPr="00C417B6">
              <w:t>PO Box 100 Woden ACT 2606 Australia</w:t>
            </w:r>
          </w:p>
          <w:p w14:paraId="3AC873A0" w14:textId="77777777" w:rsidR="00F02AEC" w:rsidRPr="00C417B6" w:rsidRDefault="00F02AEC" w:rsidP="00E74709">
            <w:pPr>
              <w:pStyle w:val="Address"/>
              <w:jc w:val="center"/>
            </w:pPr>
            <w:r w:rsidRPr="00C417B6">
              <w:t xml:space="preserve">Email: </w:t>
            </w:r>
            <w:hyperlink r:id="rId71" w:history="1">
              <w:r w:rsidRPr="00C417B6">
                <w:rPr>
                  <w:rStyle w:val="Hyperlink"/>
                </w:rPr>
                <w:t>info@tga.gov.au</w:t>
              </w:r>
            </w:hyperlink>
            <w:r w:rsidRPr="00C417B6">
              <w:t xml:space="preserve">  Phone: 1800 020 653  Fax: 02 6203 1605</w:t>
            </w:r>
          </w:p>
          <w:p w14:paraId="3708A4A1" w14:textId="77777777" w:rsidR="00F02AEC" w:rsidRPr="00C417B6" w:rsidRDefault="00F02AEC" w:rsidP="00E74709">
            <w:pPr>
              <w:pStyle w:val="Address"/>
              <w:jc w:val="center"/>
            </w:pPr>
            <w:hyperlink r:id="rId72" w:history="1">
              <w:r w:rsidRPr="00C417B6">
                <w:rPr>
                  <w:rStyle w:val="Hyperlink"/>
                </w:rPr>
                <w:t>https://www.tga.gov.au</w:t>
              </w:r>
            </w:hyperlink>
          </w:p>
        </w:tc>
      </w:tr>
      <w:tr w:rsidR="00F02AEC" w:rsidRPr="00C417B6" w14:paraId="1972A495" w14:textId="77777777" w:rsidTr="002637F1">
        <w:trPr>
          <w:trHeight w:val="251"/>
          <w:jc w:val="center"/>
        </w:trPr>
        <w:tc>
          <w:tcPr>
            <w:tcW w:w="9145" w:type="dxa"/>
            <w:tcMar>
              <w:top w:w="28" w:type="dxa"/>
            </w:tcMar>
          </w:tcPr>
          <w:p w14:paraId="68C2EFB3" w14:textId="77777777" w:rsidR="00F02AEC" w:rsidRPr="00C417B6" w:rsidRDefault="00F02AEC" w:rsidP="00C417B6"/>
        </w:tc>
      </w:tr>
      <w:bookmarkEnd w:id="0"/>
    </w:tbl>
    <w:p w14:paraId="5E20B9F3" w14:textId="77777777" w:rsidR="009506FA" w:rsidRPr="00C417B6" w:rsidRDefault="009506FA" w:rsidP="00C417B6"/>
    <w:sectPr w:rsidR="009506FA" w:rsidRPr="00C417B6" w:rsidSect="002637F1">
      <w:headerReference w:type="first" r:id="rId73"/>
      <w:footerReference w:type="first" r:id="rId74"/>
      <w:pgSz w:w="11906" w:h="16838" w:code="9"/>
      <w:pgMar w:top="13571" w:right="1701" w:bottom="567" w:left="1701" w:header="1134" w:footer="7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3CF7B" w14:textId="77777777" w:rsidR="005A0BAA" w:rsidRDefault="005A0BAA" w:rsidP="00F02AEC">
      <w:pPr>
        <w:spacing w:after="0" w:line="240" w:lineRule="auto"/>
      </w:pPr>
      <w:r>
        <w:separator/>
      </w:r>
    </w:p>
  </w:endnote>
  <w:endnote w:type="continuationSeparator" w:id="0">
    <w:p w14:paraId="42D15A44" w14:textId="77777777" w:rsidR="005A0BAA" w:rsidRDefault="005A0BAA" w:rsidP="00F02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Bol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9FF3B" w14:textId="77777777" w:rsidR="00FD0841" w:rsidRDefault="00FD0841">
    <w:pPr>
      <w:pStyle w:val="Footer"/>
    </w:pPr>
    <w:r>
      <w:rPr>
        <w:noProof/>
      </w:rPr>
      <mc:AlternateContent>
        <mc:Choice Requires="wps">
          <w:drawing>
            <wp:anchor distT="0" distB="0" distL="0" distR="0" simplePos="0" relativeHeight="251657728" behindDoc="0" locked="0" layoutInCell="1" allowOverlap="1" wp14:anchorId="105EE639" wp14:editId="5828947D">
              <wp:simplePos x="635" y="635"/>
              <wp:positionH relativeFrom="page">
                <wp:align>center</wp:align>
              </wp:positionH>
              <wp:positionV relativeFrom="page">
                <wp:align>bottom</wp:align>
              </wp:positionV>
              <wp:extent cx="622300" cy="391160"/>
              <wp:effectExtent l="0" t="0" r="6350" b="0"/>
              <wp:wrapNone/>
              <wp:docPr id="546918426"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B00BC6D"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EE639" id="_x0000_t202" coordsize="21600,21600" o:spt="202" path="m,l,21600r21600,l21600,xe">
              <v:stroke joinstyle="miter"/>
              <v:path gradientshapeok="t" o:connecttype="rect"/>
            </v:shapetype>
            <v:shape id="Text Box 7" o:spid="_x0000_s1029" type="#_x0000_t202" alt="OFFICIAL" style="position:absolute;margin-left:0;margin-top:0;width:49pt;height:30.8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5B00BC6D"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360"/>
    </w:tblGrid>
    <w:tr w:rsidR="00F02AEC" w:rsidRPr="00257138" w14:paraId="16B0B2E7" w14:textId="77777777" w:rsidTr="002637F1">
      <w:trPr>
        <w:trHeight w:val="423"/>
      </w:trPr>
      <w:tc>
        <w:tcPr>
          <w:tcW w:w="4360" w:type="dxa"/>
          <w:tcBorders>
            <w:top w:val="single" w:sz="4" w:space="0" w:color="auto"/>
          </w:tcBorders>
        </w:tcPr>
        <w:p w14:paraId="1C7EFCAD" w14:textId="77777777" w:rsidR="00F02AEC" w:rsidRDefault="00FD0841" w:rsidP="002637F1">
          <w:pPr>
            <w:pStyle w:val="Footer"/>
          </w:pPr>
          <w:r>
            <w:rPr>
              <w:noProof/>
            </w:rPr>
            <mc:AlternateContent>
              <mc:Choice Requires="wps">
                <w:drawing>
                  <wp:anchor distT="0" distB="0" distL="0" distR="0" simplePos="0" relativeHeight="251658752" behindDoc="0" locked="0" layoutInCell="1" allowOverlap="1" wp14:anchorId="7F7E5471" wp14:editId="597FDB15">
                    <wp:simplePos x="635" y="635"/>
                    <wp:positionH relativeFrom="page">
                      <wp:align>center</wp:align>
                    </wp:positionH>
                    <wp:positionV relativeFrom="page">
                      <wp:align>bottom</wp:align>
                    </wp:positionV>
                    <wp:extent cx="622300" cy="391160"/>
                    <wp:effectExtent l="0" t="0" r="6350" b="0"/>
                    <wp:wrapNone/>
                    <wp:docPr id="1875503501"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CEE9F6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7E5471" id="_x0000_t202" coordsize="21600,21600" o:spt="202" path="m,l,21600r21600,l21600,xe">
                    <v:stroke joinstyle="miter"/>
                    <v:path gradientshapeok="t" o:connecttype="rect"/>
                  </v:shapetype>
                  <v:shape id="Text Box 8" o:spid="_x0000_s1030" type="#_x0000_t202" alt="OFFICIAL" style="position:absolute;margin-left:0;margin-top:0;width:49pt;height:30.8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0CEE9F6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p w14:paraId="4EB03EAE" w14:textId="77777777" w:rsidR="00F02AEC" w:rsidRPr="00257138" w:rsidRDefault="00F02AEC" w:rsidP="002637F1">
          <w:pPr>
            <w:pStyle w:val="Footer"/>
          </w:pPr>
          <w:r w:rsidRPr="00257138">
            <w:t>Document title</w:t>
          </w:r>
        </w:p>
      </w:tc>
      <w:tc>
        <w:tcPr>
          <w:tcW w:w="4360" w:type="dxa"/>
          <w:tcBorders>
            <w:top w:val="single" w:sz="4" w:space="0" w:color="auto"/>
          </w:tcBorders>
        </w:tcPr>
        <w:sdt>
          <w:sdtPr>
            <w:id w:val="1087729233"/>
            <w:docPartObj>
              <w:docPartGallery w:val="Page Numbers (Top of Page)"/>
              <w:docPartUnique/>
            </w:docPartObj>
          </w:sdtPr>
          <w:sdtContent>
            <w:p w14:paraId="5A617E23" w14:textId="77777777" w:rsidR="00F02AEC" w:rsidRDefault="00F02AEC" w:rsidP="002637F1">
              <w:pPr>
                <w:pStyle w:val="Footer"/>
                <w:jc w:val="right"/>
              </w:pPr>
            </w:p>
            <w:p w14:paraId="6930F841" w14:textId="77777777" w:rsidR="00F02AEC" w:rsidRPr="00257138" w:rsidRDefault="00F02AEC" w:rsidP="002637F1">
              <w:pPr>
                <w:pStyle w:val="Footer"/>
                <w:jc w:val="right"/>
              </w:pPr>
              <w:r w:rsidRPr="00257138">
                <w:t xml:space="preserve">Page </w:t>
              </w:r>
              <w:r>
                <w:fldChar w:fldCharType="begin"/>
              </w:r>
              <w:r>
                <w:instrText xml:space="preserve"> PAGE </w:instrText>
              </w:r>
              <w:r>
                <w:fldChar w:fldCharType="separate"/>
              </w:r>
              <w:r>
                <w:rPr>
                  <w:noProof/>
                </w:rPr>
                <w:t>2</w:t>
              </w:r>
              <w:r>
                <w:rPr>
                  <w:noProof/>
                </w:rPr>
                <w:fldChar w:fldCharType="end"/>
              </w:r>
              <w:r w:rsidRPr="00257138">
                <w:t xml:space="preserve"> of </w:t>
              </w:r>
              <w:r>
                <w:fldChar w:fldCharType="begin"/>
              </w:r>
              <w:r>
                <w:instrText>NUMPAGES</w:instrText>
              </w:r>
              <w:r>
                <w:fldChar w:fldCharType="separate"/>
              </w:r>
              <w:r>
                <w:rPr>
                  <w:noProof/>
                </w:rPr>
                <w:t>2</w:t>
              </w:r>
              <w:r>
                <w:fldChar w:fldCharType="end"/>
              </w:r>
            </w:p>
          </w:sdtContent>
        </w:sdt>
      </w:tc>
    </w:tr>
    <w:tr w:rsidR="00F02AEC" w:rsidRPr="00257138" w14:paraId="7505B231" w14:textId="77777777" w:rsidTr="002637F1">
      <w:trPr>
        <w:trHeight w:val="263"/>
      </w:trPr>
      <w:tc>
        <w:tcPr>
          <w:tcW w:w="4360" w:type="dxa"/>
        </w:tcPr>
        <w:p w14:paraId="13CC00DE" w14:textId="77777777" w:rsidR="00F02AEC" w:rsidRPr="00257138" w:rsidRDefault="00F02AEC" w:rsidP="002637F1">
          <w:pPr>
            <w:pStyle w:val="Footer"/>
          </w:pPr>
          <w:r w:rsidRPr="00257138">
            <w:t xml:space="preserve">V1.0 </w:t>
          </w:r>
          <w:r>
            <w:t>Month</w:t>
          </w:r>
          <w:r w:rsidRPr="00257138">
            <w:t xml:space="preserve"> 201</w:t>
          </w:r>
          <w:r>
            <w:t>2</w:t>
          </w:r>
        </w:p>
      </w:tc>
      <w:tc>
        <w:tcPr>
          <w:tcW w:w="4360" w:type="dxa"/>
        </w:tcPr>
        <w:p w14:paraId="1449F9ED" w14:textId="77777777" w:rsidR="00F02AEC" w:rsidRPr="00257138" w:rsidRDefault="00F02AEC" w:rsidP="002637F1">
          <w:pPr>
            <w:pStyle w:val="Footer"/>
            <w:jc w:val="right"/>
          </w:pPr>
        </w:p>
      </w:tc>
    </w:tr>
  </w:tbl>
  <w:p w14:paraId="7691EB5F" w14:textId="77777777" w:rsidR="00F02AEC" w:rsidRPr="00826007" w:rsidRDefault="00F02AEC" w:rsidP="002637F1">
    <w:pPr>
      <w:pStyle w:val="Footer"/>
      <w:tabs>
        <w:tab w:val="left" w:pos="7620"/>
        <w:tab w:val="right" w:pos="8504"/>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A55D8" w14:textId="77777777" w:rsidR="00F02AEC" w:rsidRDefault="3D7123B2" w:rsidP="002637F1">
    <w:pPr>
      <w:pStyle w:val="Footer"/>
      <w:ind w:left="-1701"/>
    </w:pPr>
    <w:r w:rsidRPr="002B29B2">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tblCellMar>
      <w:tblLook w:val="04A0" w:firstRow="1" w:lastRow="0" w:firstColumn="1" w:lastColumn="0" w:noHBand="0" w:noVBand="1"/>
    </w:tblPr>
    <w:tblGrid>
      <w:gridCol w:w="7338"/>
      <w:gridCol w:w="1734"/>
    </w:tblGrid>
    <w:tr w:rsidR="00F02AEC" w:rsidRPr="00520CD5" w14:paraId="5D5332F1" w14:textId="77777777" w:rsidTr="1B52F365">
      <w:trPr>
        <w:trHeight w:val="423"/>
      </w:trPr>
      <w:tc>
        <w:tcPr>
          <w:tcW w:w="7338" w:type="dxa"/>
          <w:tcBorders>
            <w:top w:val="single" w:sz="4" w:space="0" w:color="auto"/>
          </w:tcBorders>
        </w:tcPr>
        <w:p w14:paraId="44110592" w14:textId="6E708D4B" w:rsidR="00F02AEC" w:rsidRPr="00F41EC8" w:rsidRDefault="1B52F365" w:rsidP="00F41EC8">
          <w:pPr>
            <w:pStyle w:val="Footer"/>
          </w:pPr>
          <w:r>
            <w:t>Consultation: Proposed amendments to the Poisons Standard –</w:t>
          </w:r>
          <w:r w:rsidR="004C3D8D">
            <w:t xml:space="preserve"> </w:t>
          </w:r>
          <w:r>
            <w:t>ACCS #43</w:t>
          </w:r>
          <w:r w:rsidR="00A170DF">
            <w:t xml:space="preserve">, </w:t>
          </w:r>
          <w:r>
            <w:t>November 2026</w:t>
          </w:r>
          <w:r w:rsidR="00F41EC8">
            <w:br/>
          </w:r>
        </w:p>
      </w:tc>
      <w:tc>
        <w:tcPr>
          <w:tcW w:w="1734" w:type="dxa"/>
          <w:tcBorders>
            <w:top w:val="single" w:sz="4" w:space="0" w:color="auto"/>
          </w:tcBorders>
        </w:tcPr>
        <w:sdt>
          <w:sdtPr>
            <w:id w:val="11571659"/>
            <w:docPartObj>
              <w:docPartGallery w:val="Page Numbers (Top of Page)"/>
              <w:docPartUnique/>
            </w:docPartObj>
          </w:sdtPr>
          <w:sdtContent>
            <w:p w14:paraId="5C0F9851" w14:textId="77777777" w:rsidR="00F02AEC" w:rsidRPr="003575C3" w:rsidRDefault="00F02AEC" w:rsidP="00455705">
              <w:pPr>
                <w:pStyle w:val="Footer"/>
              </w:pPr>
              <w:r w:rsidRPr="003575C3">
                <w:t xml:space="preserve">Page </w:t>
              </w:r>
              <w:r w:rsidRPr="003575C3">
                <w:fldChar w:fldCharType="begin"/>
              </w:r>
              <w:r w:rsidRPr="003575C3">
                <w:instrText xml:space="preserve"> PAGE </w:instrText>
              </w:r>
              <w:r w:rsidRPr="003575C3">
                <w:fldChar w:fldCharType="separate"/>
              </w:r>
              <w:r w:rsidRPr="003575C3">
                <w:t>6</w:t>
              </w:r>
              <w:r w:rsidRPr="003575C3">
                <w:fldChar w:fldCharType="end"/>
              </w:r>
              <w:r w:rsidRPr="003575C3">
                <w:t xml:space="preserve"> of </w:t>
              </w:r>
              <w:r>
                <w:fldChar w:fldCharType="begin"/>
              </w:r>
              <w:r>
                <w:instrText>NUMPAGES</w:instrText>
              </w:r>
              <w:r>
                <w:fldChar w:fldCharType="separate"/>
              </w:r>
              <w:r w:rsidRPr="003575C3">
                <w:t>7</w:t>
              </w:r>
              <w:r>
                <w:fldChar w:fldCharType="end"/>
              </w:r>
            </w:p>
          </w:sdtContent>
        </w:sdt>
      </w:tc>
    </w:tr>
  </w:tbl>
  <w:p w14:paraId="5BD62762" w14:textId="77777777" w:rsidR="00F02AEC" w:rsidRPr="00B90A0A" w:rsidRDefault="00F02AEC" w:rsidP="002637F1">
    <w:pPr>
      <w:pStyle w:val="Footer"/>
      <w:tabs>
        <w:tab w:val="left" w:pos="7620"/>
        <w:tab w:val="right" w:pos="8504"/>
      </w:tabs>
      <w:rPr>
        <w:rFonts w:asciiTheme="minorHAnsi" w:hAnsiTheme="minorHAnsi" w:cstheme="minorHAnsi"/>
        <w:sz w:val="18"/>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1ADC" w14:textId="132B0710" w:rsidR="009506FA" w:rsidRPr="008E3C43" w:rsidRDefault="009506FA" w:rsidP="00263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96218" w14:textId="77777777" w:rsidR="005A0BAA" w:rsidRDefault="005A0BAA" w:rsidP="00F02AEC">
      <w:pPr>
        <w:spacing w:after="0" w:line="240" w:lineRule="auto"/>
      </w:pPr>
      <w:r>
        <w:separator/>
      </w:r>
    </w:p>
  </w:footnote>
  <w:footnote w:type="continuationSeparator" w:id="0">
    <w:p w14:paraId="093B064D" w14:textId="77777777" w:rsidR="005A0BAA" w:rsidRDefault="005A0BAA" w:rsidP="00F02AEC">
      <w:pPr>
        <w:spacing w:after="0" w:line="240" w:lineRule="auto"/>
      </w:pPr>
      <w:r>
        <w:continuationSeparator/>
      </w:r>
    </w:p>
  </w:footnote>
  <w:footnote w:id="1">
    <w:p w14:paraId="1C7BE88A" w14:textId="77777777" w:rsidR="00764438" w:rsidRPr="008007EB" w:rsidRDefault="00764438" w:rsidP="00764438">
      <w:pPr>
        <w:pStyle w:val="FootnoteText"/>
      </w:pPr>
      <w:r w:rsidRPr="008007EB">
        <w:rPr>
          <w:rStyle w:val="FootnoteReference"/>
          <w:rFonts w:asciiTheme="majorHAnsi" w:hAnsiTheme="majorHAnsi" w:cstheme="majorHAnsi"/>
          <w:sz w:val="17"/>
          <w:szCs w:val="17"/>
        </w:rPr>
        <w:footnoteRef/>
      </w:r>
      <w:r w:rsidRPr="008007EB">
        <w:t xml:space="preserve"> Proposed additions are shown in green underlined font, proposed deletions are shown in red strikethrough font, and text without this formatting represents the current text in the Poisons Standard.</w:t>
      </w:r>
    </w:p>
  </w:footnote>
  <w:footnote w:id="2">
    <w:p w14:paraId="3C02BA67" w14:textId="77777777" w:rsidR="00376657" w:rsidRPr="008007EB" w:rsidRDefault="00376657" w:rsidP="00376657">
      <w:pPr>
        <w:pStyle w:val="FootnoteText"/>
      </w:pPr>
      <w:r w:rsidRPr="008007EB">
        <w:rPr>
          <w:rStyle w:val="FootnoteReference"/>
          <w:rFonts w:asciiTheme="majorHAnsi" w:hAnsiTheme="majorHAnsi" w:cstheme="majorHAnsi"/>
          <w:sz w:val="17"/>
          <w:szCs w:val="17"/>
        </w:rPr>
        <w:footnoteRef/>
      </w:r>
      <w:r w:rsidRPr="008007EB">
        <w:t xml:space="preserve"> Proposed additions are shown in green underlined font, proposed deletions are shown in red strikethrough font, and text without this formatting represents the current text in the Poisons Standard.</w:t>
      </w:r>
    </w:p>
  </w:footnote>
  <w:footnote w:id="3">
    <w:p w14:paraId="4FB5C527" w14:textId="77777777" w:rsidR="00376657" w:rsidRDefault="00376657" w:rsidP="00376657">
      <w:pPr>
        <w:pStyle w:val="FootnoteText"/>
        <w:spacing w:before="120" w:after="120" w:line="240" w:lineRule="auto"/>
      </w:pPr>
      <w:r>
        <w:rPr>
          <w:rStyle w:val="FootnoteReference"/>
        </w:rPr>
        <w:footnoteRef/>
      </w:r>
      <w:r>
        <w:t xml:space="preserve"> </w:t>
      </w:r>
      <w:r w:rsidRPr="00971749">
        <w:t xml:space="preserve">This guidance level </w:t>
      </w:r>
      <w:r>
        <w:t xml:space="preserve">is </w:t>
      </w:r>
      <w:r w:rsidRPr="00971749">
        <w:t>set for a sub-population of individuals at greater risk of osteoporosis and bone fracture, particularly post-menopausal women.</w:t>
      </w:r>
    </w:p>
  </w:footnote>
  <w:footnote w:id="4">
    <w:p w14:paraId="0B594ACE" w14:textId="77777777" w:rsidR="00376657" w:rsidRDefault="00376657" w:rsidP="00376657">
      <w:pPr>
        <w:pStyle w:val="FootnoteText"/>
        <w:spacing w:before="120" w:after="120" w:line="240" w:lineRule="auto"/>
      </w:pPr>
      <w:r>
        <w:rPr>
          <w:rStyle w:val="FootnoteReference"/>
        </w:rPr>
        <w:footnoteRef/>
      </w:r>
      <w:r>
        <w:t xml:space="preserve"> </w:t>
      </w:r>
      <w:r w:rsidRPr="008F5F44">
        <w:t>European Commission Scientific Committee on Consumer Safety (2016</w:t>
      </w:r>
      <w:r>
        <w:t>; updated 1 December 2021</w:t>
      </w:r>
      <w:r w:rsidRPr="008F5F44">
        <w:t xml:space="preserve">) </w:t>
      </w:r>
      <w:hyperlink r:id="rId1" w:history="1">
        <w:r>
          <w:rPr>
            <w:rStyle w:val="Hyperlink"/>
          </w:rPr>
          <w:t>SCCS - Final opinion on vitamin A (Retinol, Retinyl Acetate, Retinyl Palmitate)</w:t>
        </w:r>
      </w:hyperlink>
      <w:r>
        <w:t>.</w:t>
      </w:r>
    </w:p>
  </w:footnote>
  <w:footnote w:id="5">
    <w:p w14:paraId="7B9767F2" w14:textId="77777777" w:rsidR="00376657" w:rsidRPr="0022138A" w:rsidRDefault="00376657" w:rsidP="00376657">
      <w:pPr>
        <w:pStyle w:val="FootnoteText"/>
        <w:spacing w:before="120" w:after="120"/>
        <w:rPr>
          <w:rFonts w:cs="Arial"/>
          <w:szCs w:val="16"/>
        </w:rPr>
      </w:pPr>
      <w:r>
        <w:rPr>
          <w:rStyle w:val="FootnoteReference"/>
        </w:rPr>
        <w:footnoteRef/>
      </w:r>
      <w:r>
        <w:t xml:space="preserve"> </w:t>
      </w:r>
      <w:r w:rsidRPr="0022138A">
        <w:rPr>
          <w:rFonts w:cs="Arial"/>
          <w:szCs w:val="16"/>
        </w:rPr>
        <w:t>Anyone can report an adverse event</w:t>
      </w:r>
      <w:r>
        <w:rPr>
          <w:rFonts w:cs="Arial"/>
          <w:szCs w:val="16"/>
        </w:rPr>
        <w:t>,</w:t>
      </w:r>
      <w:r w:rsidRPr="0022138A">
        <w:rPr>
          <w:rFonts w:cs="Arial"/>
          <w:szCs w:val="16"/>
        </w:rPr>
        <w:t xml:space="preserve"> including members of the public, health professionals and pharmaceutical companies. Adverse event reports reflect the </w:t>
      </w:r>
      <w:r w:rsidRPr="00B011FB">
        <w:rPr>
          <w:rFonts w:cs="Arial"/>
          <w:szCs w:val="16"/>
        </w:rPr>
        <w:t xml:space="preserve">observations of the people submitting them and can be incomplete or inaccurate. Inclusion of a medicine in </w:t>
      </w:r>
      <w:r>
        <w:rPr>
          <w:rFonts w:cs="Arial"/>
          <w:szCs w:val="16"/>
        </w:rPr>
        <w:t xml:space="preserve">the </w:t>
      </w:r>
      <w:r w:rsidRPr="00B011FB">
        <w:rPr>
          <w:rFonts w:cs="Arial"/>
          <w:szCs w:val="16"/>
        </w:rPr>
        <w:t>DAEN does not mean that the adverse event has been confirmed or that it was caused by a medicine or vaccine. The DEAN data also cannot be used on its own to assess the frequency of an adverse event, a product's safety or compare its safety to other products.</w:t>
      </w:r>
    </w:p>
  </w:footnote>
  <w:footnote w:id="6">
    <w:p w14:paraId="47EA0C83" w14:textId="77777777" w:rsidR="0038254D" w:rsidRDefault="0038254D" w:rsidP="0038254D">
      <w:pPr>
        <w:pStyle w:val="FootnoteText"/>
      </w:pPr>
      <w:r w:rsidRPr="15BEC1D6">
        <w:rPr>
          <w:rStyle w:val="FootnoteReference"/>
        </w:rPr>
        <w:footnoteRef/>
      </w:r>
      <w:r>
        <w:t xml:space="preserve"> </w:t>
      </w:r>
      <w:hyperlink r:id="rId2" w:history="1">
        <w:r w:rsidRPr="15BEC1D6">
          <w:rPr>
            <w:rStyle w:val="Hyperlink"/>
          </w:rPr>
          <w:t>Notice of final decisions to amend (or not amend) the current Poisons Standard - ACCS #40, Joint ACMS-ACCS #39</w:t>
        </w:r>
      </w:hyperlink>
    </w:p>
  </w:footnote>
  <w:footnote w:id="7">
    <w:p w14:paraId="78EEEBA8" w14:textId="77777777" w:rsidR="0038254D" w:rsidRDefault="0038254D" w:rsidP="0038254D">
      <w:pPr>
        <w:pStyle w:val="FootnoteText"/>
      </w:pPr>
      <w:r>
        <w:rPr>
          <w:rStyle w:val="FootnoteReference"/>
        </w:rPr>
        <w:footnoteRef/>
      </w:r>
      <w:r>
        <w:t xml:space="preserve"> </w:t>
      </w:r>
      <w:hyperlink r:id="rId3" w:history="1">
        <w:r w:rsidRPr="00D65312">
          <w:rPr>
            <w:rStyle w:val="Hyperlink"/>
          </w:rPr>
          <w:t>Butanone oxime - information sheet - Canada.ca</w:t>
        </w:r>
      </w:hyperlink>
      <w:r>
        <w:t>, accessed 4 September 2026</w:t>
      </w:r>
    </w:p>
  </w:footnote>
  <w:footnote w:id="8">
    <w:p w14:paraId="00D385B8" w14:textId="77777777" w:rsidR="0038254D" w:rsidRDefault="0038254D" w:rsidP="0038254D">
      <w:pPr>
        <w:pStyle w:val="FootnoteText"/>
      </w:pPr>
      <w:r>
        <w:rPr>
          <w:rStyle w:val="FootnoteReference"/>
        </w:rPr>
        <w:footnoteRef/>
      </w:r>
      <w:r>
        <w:t xml:space="preserve"> </w:t>
      </w:r>
      <w:r w:rsidRPr="00FF11E7">
        <w:t xml:space="preserve">HSA (Health Sciences Authority) (2019) </w:t>
      </w:r>
      <w:hyperlink r:id="rId4" w:history="1">
        <w:r w:rsidRPr="00A419E1">
          <w:rPr>
            <w:rStyle w:val="Hyperlink"/>
          </w:rPr>
          <w:t>Annexes of the ASEAN Cosmetic Directive – List of substances which must not form part of the composition of cosmetics.pdf</w:t>
        </w:r>
      </w:hyperlink>
    </w:p>
  </w:footnote>
  <w:footnote w:id="9">
    <w:p w14:paraId="4DBD96B8" w14:textId="77777777" w:rsidR="0038254D" w:rsidRDefault="0038254D" w:rsidP="0038254D">
      <w:pPr>
        <w:pStyle w:val="FootnoteText"/>
      </w:pPr>
      <w:r>
        <w:rPr>
          <w:rStyle w:val="FootnoteReference"/>
        </w:rPr>
        <w:footnoteRef/>
      </w:r>
      <w:r>
        <w:t xml:space="preserve"> </w:t>
      </w:r>
      <w:r w:rsidRPr="00FF11E7">
        <w:t xml:space="preserve">EPA - </w:t>
      </w:r>
      <w:hyperlink r:id="rId5" w:history="1">
        <w:r w:rsidRPr="00064BD8">
          <w:rPr>
            <w:rStyle w:val="Hyperlink"/>
          </w:rPr>
          <w:t>Cosmetic Products Group Standard 2020 (HSR002552)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FA577" w14:textId="77777777" w:rsidR="00FD0841" w:rsidRDefault="00FD0841">
    <w:pPr>
      <w:pStyle w:val="Header"/>
    </w:pPr>
    <w:r>
      <w:rPr>
        <w:noProof/>
      </w:rPr>
      <mc:AlternateContent>
        <mc:Choice Requires="wps">
          <w:drawing>
            <wp:anchor distT="0" distB="0" distL="0" distR="0" simplePos="0" relativeHeight="251654656" behindDoc="0" locked="0" layoutInCell="1" allowOverlap="1" wp14:anchorId="434A75CE" wp14:editId="790A69AB">
              <wp:simplePos x="635" y="635"/>
              <wp:positionH relativeFrom="page">
                <wp:align>center</wp:align>
              </wp:positionH>
              <wp:positionV relativeFrom="page">
                <wp:align>top</wp:align>
              </wp:positionV>
              <wp:extent cx="622300" cy="391160"/>
              <wp:effectExtent l="0" t="0" r="6350" b="8890"/>
              <wp:wrapNone/>
              <wp:docPr id="2262734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86B8D26"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4A75CE" id="_x0000_t202" coordsize="21600,21600" o:spt="202" path="m,l,21600r21600,l21600,xe">
              <v:stroke joinstyle="miter"/>
              <v:path gradientshapeok="t" o:connecttype="rect"/>
            </v:shapetype>
            <v:shape id="Text Box 2" o:spid="_x0000_s1027" type="#_x0000_t202" alt="OFFICIAL" style="position:absolute;left:0;text-align:left;margin-left:0;margin-top:0;width:49pt;height:30.8pt;z-index:2516546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586B8D26"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BDF7" w14:textId="77777777" w:rsidR="00F02AEC" w:rsidRPr="00CB0550" w:rsidRDefault="00FD0841" w:rsidP="00CB0550">
    <w:pPr>
      <w:pStyle w:val="Header"/>
      <w:jc w:val="left"/>
    </w:pPr>
    <w:r>
      <w:rPr>
        <w:noProof/>
      </w:rPr>
      <mc:AlternateContent>
        <mc:Choice Requires="wps">
          <w:drawing>
            <wp:anchor distT="0" distB="0" distL="0" distR="0" simplePos="0" relativeHeight="251655680" behindDoc="0" locked="0" layoutInCell="1" allowOverlap="1" wp14:anchorId="5AC40B50" wp14:editId="63724F45">
              <wp:simplePos x="635" y="635"/>
              <wp:positionH relativeFrom="page">
                <wp:align>center</wp:align>
              </wp:positionH>
              <wp:positionV relativeFrom="page">
                <wp:align>top</wp:align>
              </wp:positionV>
              <wp:extent cx="622300" cy="391160"/>
              <wp:effectExtent l="0" t="0" r="6350" b="8890"/>
              <wp:wrapNone/>
              <wp:docPr id="69588769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3742A8C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C40B50" id="_x0000_t202" coordsize="21600,21600" o:spt="202" path="m,l,21600r21600,l21600,xe">
              <v:stroke joinstyle="miter"/>
              <v:path gradientshapeok="t" o:connecttype="rect"/>
            </v:shapetype>
            <v:shape id="Text Box 3" o:spid="_x0000_s1028" type="#_x0000_t202" alt="OFFICIAL" style="position:absolute;margin-left:0;margin-top:0;width:49pt;height:30.8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3742A8C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1" w:rightFromText="181" w:vertAnchor="page" w:horzAnchor="page" w:tblpX="1" w:tblpY="8999"/>
      <w:tblOverlap w:val="never"/>
      <w:tblW w:w="11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64"/>
    </w:tblGrid>
    <w:tr w:rsidR="00F02AEC" w:rsidRPr="002B29B2" w14:paraId="75ADBA25" w14:textId="77777777" w:rsidTr="3D7123B2">
      <w:trPr>
        <w:trHeight w:hRule="exact" w:val="8845"/>
      </w:trPr>
      <w:tc>
        <w:tcPr>
          <w:tcW w:w="11964" w:type="dxa"/>
          <w:vAlign w:val="center"/>
        </w:tcPr>
        <w:p w14:paraId="26A3D1A0" w14:textId="77777777" w:rsidR="00F02AEC" w:rsidRPr="002B29B2" w:rsidRDefault="00F02AEC" w:rsidP="002637F1">
          <w:pPr>
            <w:ind w:left="-57"/>
            <w:rPr>
              <w:noProof/>
            </w:rPr>
          </w:pPr>
        </w:p>
      </w:tc>
    </w:tr>
  </w:tbl>
  <w:p w14:paraId="24CB012C" w14:textId="77777777" w:rsidR="00F02AEC" w:rsidRDefault="00220A37" w:rsidP="002637F1">
    <w:pPr>
      <w:rPr>
        <w:noProof/>
      </w:rPr>
    </w:pPr>
    <w:r>
      <w:rPr>
        <w:noProof/>
        <w:lang w:eastAsia="en-AU"/>
      </w:rPr>
      <w:drawing>
        <wp:anchor distT="0" distB="0" distL="114300" distR="114300" simplePos="0" relativeHeight="251660800" behindDoc="0" locked="0" layoutInCell="1" allowOverlap="1" wp14:anchorId="03EADE96" wp14:editId="0F130878">
          <wp:simplePos x="0" y="0"/>
          <wp:positionH relativeFrom="margin">
            <wp:posOffset>-480476</wp:posOffset>
          </wp:positionH>
          <wp:positionV relativeFrom="paragraph">
            <wp:posOffset>-118110</wp:posOffset>
          </wp:positionV>
          <wp:extent cx="2676525" cy="554355"/>
          <wp:effectExtent l="0" t="0" r="9525" b="0"/>
          <wp:wrapTopAndBottom/>
          <wp:docPr id="90283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76525" cy="554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2AEC" w:rsidRPr="002B29B2">
      <w:rPr>
        <w:noProof/>
        <w:lang w:eastAsia="en-AU"/>
      </w:rPr>
      <w:drawing>
        <wp:anchor distT="0" distB="0" distL="114300" distR="114300" simplePos="0" relativeHeight="251653632" behindDoc="0" locked="0" layoutInCell="0" allowOverlap="1" wp14:anchorId="2FCFED33" wp14:editId="68882ED3">
          <wp:simplePos x="0" y="0"/>
          <wp:positionH relativeFrom="page">
            <wp:align>left</wp:align>
          </wp:positionH>
          <wp:positionV relativeFrom="page">
            <wp:posOffset>3239495</wp:posOffset>
          </wp:positionV>
          <wp:extent cx="7663815" cy="4323091"/>
          <wp:effectExtent l="0" t="0" r="0" b="1270"/>
          <wp:wrapNone/>
          <wp:docPr id="301669747" name="Picture 301669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63815" cy="43230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18565" w14:textId="792BD882" w:rsidR="00F02AEC" w:rsidRPr="003575C3" w:rsidRDefault="00F02AEC" w:rsidP="003D48E4">
    <w:pPr>
      <w:pStyle w:val="Header"/>
    </w:pPr>
    <w:bookmarkStart w:id="81" w:name="_Hlk139891503"/>
    <w:bookmarkStart w:id="82" w:name="_Hlk139891504"/>
    <w:bookmarkStart w:id="83" w:name="_Hlk139891507"/>
    <w:bookmarkStart w:id="84" w:name="_Hlk139891508"/>
    <w:bookmarkStart w:id="85" w:name="_Hlk139891512"/>
    <w:bookmarkStart w:id="86" w:name="_Hlk139891513"/>
    <w:bookmarkStart w:id="87" w:name="_Hlk139891537"/>
    <w:bookmarkStart w:id="88" w:name="_Hlk139891538"/>
    <w:r w:rsidRPr="003575C3">
      <w:t>Therapeutic Goods Administration</w:t>
    </w:r>
    <w:bookmarkEnd w:id="81"/>
    <w:bookmarkEnd w:id="82"/>
    <w:bookmarkEnd w:id="83"/>
    <w:bookmarkEnd w:id="84"/>
    <w:bookmarkEnd w:id="85"/>
    <w:bookmarkEnd w:id="86"/>
    <w:bookmarkEnd w:id="87"/>
    <w:bookmarkEnd w:id="88"/>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8AFA4" w14:textId="74BA9C1E" w:rsidR="009506FA" w:rsidRPr="00FE501F" w:rsidRDefault="009506FA" w:rsidP="002637F1">
    <w:pPr>
      <w:pStyle w:val="Headerno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46F30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AF7A3E"/>
    <w:multiLevelType w:val="hybridMultilevel"/>
    <w:tmpl w:val="B9A81880"/>
    <w:lvl w:ilvl="0" w:tplc="7444C0B6">
      <w:start w:val="1"/>
      <w:numFmt w:val="lowerLetter"/>
      <w:pStyle w:val="Legislation-list"/>
      <w:lvlText w:val="(%1)"/>
      <w:lvlJc w:val="left"/>
      <w:pPr>
        <w:ind w:left="72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AA12ED"/>
    <w:multiLevelType w:val="hybridMultilevel"/>
    <w:tmpl w:val="93745144"/>
    <w:lvl w:ilvl="0" w:tplc="146024BE">
      <w:start w:val="1"/>
      <w:numFmt w:val="bullet"/>
      <w:lvlText w:val=""/>
      <w:lvlJc w:val="left"/>
      <w:pPr>
        <w:ind w:left="720" w:hanging="360"/>
      </w:pPr>
      <w:rPr>
        <w:rFonts w:ascii="Symbol" w:hAnsi="Symbol"/>
      </w:rPr>
    </w:lvl>
    <w:lvl w:ilvl="1" w:tplc="D800F328">
      <w:start w:val="1"/>
      <w:numFmt w:val="bullet"/>
      <w:lvlText w:val=""/>
      <w:lvlJc w:val="left"/>
      <w:pPr>
        <w:ind w:left="720" w:hanging="360"/>
      </w:pPr>
      <w:rPr>
        <w:rFonts w:ascii="Symbol" w:hAnsi="Symbol"/>
      </w:rPr>
    </w:lvl>
    <w:lvl w:ilvl="2" w:tplc="F47254FE">
      <w:start w:val="1"/>
      <w:numFmt w:val="bullet"/>
      <w:lvlText w:val=""/>
      <w:lvlJc w:val="left"/>
      <w:pPr>
        <w:ind w:left="720" w:hanging="360"/>
      </w:pPr>
      <w:rPr>
        <w:rFonts w:ascii="Symbol" w:hAnsi="Symbol"/>
      </w:rPr>
    </w:lvl>
    <w:lvl w:ilvl="3" w:tplc="F3B4D4DE">
      <w:start w:val="1"/>
      <w:numFmt w:val="bullet"/>
      <w:lvlText w:val=""/>
      <w:lvlJc w:val="left"/>
      <w:pPr>
        <w:ind w:left="720" w:hanging="360"/>
      </w:pPr>
      <w:rPr>
        <w:rFonts w:ascii="Symbol" w:hAnsi="Symbol"/>
      </w:rPr>
    </w:lvl>
    <w:lvl w:ilvl="4" w:tplc="C9822BF4">
      <w:start w:val="1"/>
      <w:numFmt w:val="bullet"/>
      <w:lvlText w:val=""/>
      <w:lvlJc w:val="left"/>
      <w:pPr>
        <w:ind w:left="720" w:hanging="360"/>
      </w:pPr>
      <w:rPr>
        <w:rFonts w:ascii="Symbol" w:hAnsi="Symbol"/>
      </w:rPr>
    </w:lvl>
    <w:lvl w:ilvl="5" w:tplc="85C6A0DE">
      <w:start w:val="1"/>
      <w:numFmt w:val="bullet"/>
      <w:lvlText w:val=""/>
      <w:lvlJc w:val="left"/>
      <w:pPr>
        <w:ind w:left="720" w:hanging="360"/>
      </w:pPr>
      <w:rPr>
        <w:rFonts w:ascii="Symbol" w:hAnsi="Symbol"/>
      </w:rPr>
    </w:lvl>
    <w:lvl w:ilvl="6" w:tplc="D8FA8A2C">
      <w:start w:val="1"/>
      <w:numFmt w:val="bullet"/>
      <w:lvlText w:val=""/>
      <w:lvlJc w:val="left"/>
      <w:pPr>
        <w:ind w:left="720" w:hanging="360"/>
      </w:pPr>
      <w:rPr>
        <w:rFonts w:ascii="Symbol" w:hAnsi="Symbol"/>
      </w:rPr>
    </w:lvl>
    <w:lvl w:ilvl="7" w:tplc="2C1CB020">
      <w:start w:val="1"/>
      <w:numFmt w:val="bullet"/>
      <w:lvlText w:val=""/>
      <w:lvlJc w:val="left"/>
      <w:pPr>
        <w:ind w:left="720" w:hanging="360"/>
      </w:pPr>
      <w:rPr>
        <w:rFonts w:ascii="Symbol" w:hAnsi="Symbol"/>
      </w:rPr>
    </w:lvl>
    <w:lvl w:ilvl="8" w:tplc="6B46F768">
      <w:start w:val="1"/>
      <w:numFmt w:val="bullet"/>
      <w:lvlText w:val=""/>
      <w:lvlJc w:val="left"/>
      <w:pPr>
        <w:ind w:left="720" w:hanging="360"/>
      </w:pPr>
      <w:rPr>
        <w:rFonts w:ascii="Symbol" w:hAnsi="Symbol"/>
      </w:rPr>
    </w:lvl>
  </w:abstractNum>
  <w:abstractNum w:abstractNumId="3" w15:restartNumberingAfterBreak="0">
    <w:nsid w:val="066759E6"/>
    <w:multiLevelType w:val="hybridMultilevel"/>
    <w:tmpl w:val="3B3E31F6"/>
    <w:lvl w:ilvl="0" w:tplc="01A2221C">
      <w:start w:val="1"/>
      <w:numFmt w:val="bullet"/>
      <w:lvlText w:val=""/>
      <w:lvlJc w:val="left"/>
      <w:pPr>
        <w:ind w:left="720" w:hanging="360"/>
      </w:pPr>
      <w:rPr>
        <w:rFonts w:ascii="Symbol" w:hAnsi="Symbol"/>
      </w:rPr>
    </w:lvl>
    <w:lvl w:ilvl="1" w:tplc="D690DDD8">
      <w:start w:val="1"/>
      <w:numFmt w:val="bullet"/>
      <w:lvlText w:val=""/>
      <w:lvlJc w:val="left"/>
      <w:pPr>
        <w:ind w:left="720" w:hanging="360"/>
      </w:pPr>
      <w:rPr>
        <w:rFonts w:ascii="Symbol" w:hAnsi="Symbol"/>
      </w:rPr>
    </w:lvl>
    <w:lvl w:ilvl="2" w:tplc="39B68528">
      <w:start w:val="1"/>
      <w:numFmt w:val="bullet"/>
      <w:lvlText w:val=""/>
      <w:lvlJc w:val="left"/>
      <w:pPr>
        <w:ind w:left="720" w:hanging="360"/>
      </w:pPr>
      <w:rPr>
        <w:rFonts w:ascii="Symbol" w:hAnsi="Symbol"/>
      </w:rPr>
    </w:lvl>
    <w:lvl w:ilvl="3" w:tplc="EC20412E">
      <w:start w:val="1"/>
      <w:numFmt w:val="bullet"/>
      <w:lvlText w:val=""/>
      <w:lvlJc w:val="left"/>
      <w:pPr>
        <w:ind w:left="720" w:hanging="360"/>
      </w:pPr>
      <w:rPr>
        <w:rFonts w:ascii="Symbol" w:hAnsi="Symbol"/>
      </w:rPr>
    </w:lvl>
    <w:lvl w:ilvl="4" w:tplc="DA300C0C">
      <w:start w:val="1"/>
      <w:numFmt w:val="bullet"/>
      <w:lvlText w:val=""/>
      <w:lvlJc w:val="left"/>
      <w:pPr>
        <w:ind w:left="720" w:hanging="360"/>
      </w:pPr>
      <w:rPr>
        <w:rFonts w:ascii="Symbol" w:hAnsi="Symbol"/>
      </w:rPr>
    </w:lvl>
    <w:lvl w:ilvl="5" w:tplc="7DB89B24">
      <w:start w:val="1"/>
      <w:numFmt w:val="bullet"/>
      <w:lvlText w:val=""/>
      <w:lvlJc w:val="left"/>
      <w:pPr>
        <w:ind w:left="720" w:hanging="360"/>
      </w:pPr>
      <w:rPr>
        <w:rFonts w:ascii="Symbol" w:hAnsi="Symbol"/>
      </w:rPr>
    </w:lvl>
    <w:lvl w:ilvl="6" w:tplc="39E682B0">
      <w:start w:val="1"/>
      <w:numFmt w:val="bullet"/>
      <w:lvlText w:val=""/>
      <w:lvlJc w:val="left"/>
      <w:pPr>
        <w:ind w:left="720" w:hanging="360"/>
      </w:pPr>
      <w:rPr>
        <w:rFonts w:ascii="Symbol" w:hAnsi="Symbol"/>
      </w:rPr>
    </w:lvl>
    <w:lvl w:ilvl="7" w:tplc="235AB908">
      <w:start w:val="1"/>
      <w:numFmt w:val="bullet"/>
      <w:lvlText w:val=""/>
      <w:lvlJc w:val="left"/>
      <w:pPr>
        <w:ind w:left="720" w:hanging="360"/>
      </w:pPr>
      <w:rPr>
        <w:rFonts w:ascii="Symbol" w:hAnsi="Symbol"/>
      </w:rPr>
    </w:lvl>
    <w:lvl w:ilvl="8" w:tplc="DCA0A522">
      <w:start w:val="1"/>
      <w:numFmt w:val="bullet"/>
      <w:lvlText w:val=""/>
      <w:lvlJc w:val="left"/>
      <w:pPr>
        <w:ind w:left="720" w:hanging="360"/>
      </w:pPr>
      <w:rPr>
        <w:rFonts w:ascii="Symbol" w:hAnsi="Symbol"/>
      </w:rPr>
    </w:lvl>
  </w:abstractNum>
  <w:abstractNum w:abstractNumId="4" w15:restartNumberingAfterBreak="0">
    <w:nsid w:val="06EE78C6"/>
    <w:multiLevelType w:val="hybridMultilevel"/>
    <w:tmpl w:val="407AE5A0"/>
    <w:lvl w:ilvl="0" w:tplc="DE20084A">
      <w:start w:val="1"/>
      <w:numFmt w:val="bullet"/>
      <w:lvlText w:val=""/>
      <w:lvlJc w:val="left"/>
      <w:pPr>
        <w:ind w:left="720" w:hanging="360"/>
      </w:pPr>
      <w:rPr>
        <w:rFonts w:ascii="Symbol" w:hAnsi="Symbol"/>
      </w:rPr>
    </w:lvl>
    <w:lvl w:ilvl="1" w:tplc="3B0CCB90">
      <w:start w:val="1"/>
      <w:numFmt w:val="bullet"/>
      <w:lvlText w:val=""/>
      <w:lvlJc w:val="left"/>
      <w:pPr>
        <w:ind w:left="720" w:hanging="360"/>
      </w:pPr>
      <w:rPr>
        <w:rFonts w:ascii="Symbol" w:hAnsi="Symbol"/>
      </w:rPr>
    </w:lvl>
    <w:lvl w:ilvl="2" w:tplc="0CDE1A02">
      <w:start w:val="1"/>
      <w:numFmt w:val="bullet"/>
      <w:lvlText w:val=""/>
      <w:lvlJc w:val="left"/>
      <w:pPr>
        <w:ind w:left="720" w:hanging="360"/>
      </w:pPr>
      <w:rPr>
        <w:rFonts w:ascii="Symbol" w:hAnsi="Symbol"/>
      </w:rPr>
    </w:lvl>
    <w:lvl w:ilvl="3" w:tplc="2E90D470">
      <w:start w:val="1"/>
      <w:numFmt w:val="bullet"/>
      <w:lvlText w:val=""/>
      <w:lvlJc w:val="left"/>
      <w:pPr>
        <w:ind w:left="720" w:hanging="360"/>
      </w:pPr>
      <w:rPr>
        <w:rFonts w:ascii="Symbol" w:hAnsi="Symbol"/>
      </w:rPr>
    </w:lvl>
    <w:lvl w:ilvl="4" w:tplc="7EDA1032">
      <w:start w:val="1"/>
      <w:numFmt w:val="bullet"/>
      <w:lvlText w:val=""/>
      <w:lvlJc w:val="left"/>
      <w:pPr>
        <w:ind w:left="720" w:hanging="360"/>
      </w:pPr>
      <w:rPr>
        <w:rFonts w:ascii="Symbol" w:hAnsi="Symbol"/>
      </w:rPr>
    </w:lvl>
    <w:lvl w:ilvl="5" w:tplc="936AB5EA">
      <w:start w:val="1"/>
      <w:numFmt w:val="bullet"/>
      <w:lvlText w:val=""/>
      <w:lvlJc w:val="left"/>
      <w:pPr>
        <w:ind w:left="720" w:hanging="360"/>
      </w:pPr>
      <w:rPr>
        <w:rFonts w:ascii="Symbol" w:hAnsi="Symbol"/>
      </w:rPr>
    </w:lvl>
    <w:lvl w:ilvl="6" w:tplc="631CC2CA">
      <w:start w:val="1"/>
      <w:numFmt w:val="bullet"/>
      <w:lvlText w:val=""/>
      <w:lvlJc w:val="left"/>
      <w:pPr>
        <w:ind w:left="720" w:hanging="360"/>
      </w:pPr>
      <w:rPr>
        <w:rFonts w:ascii="Symbol" w:hAnsi="Symbol"/>
      </w:rPr>
    </w:lvl>
    <w:lvl w:ilvl="7" w:tplc="53E6056A">
      <w:start w:val="1"/>
      <w:numFmt w:val="bullet"/>
      <w:lvlText w:val=""/>
      <w:lvlJc w:val="left"/>
      <w:pPr>
        <w:ind w:left="720" w:hanging="360"/>
      </w:pPr>
      <w:rPr>
        <w:rFonts w:ascii="Symbol" w:hAnsi="Symbol"/>
      </w:rPr>
    </w:lvl>
    <w:lvl w:ilvl="8" w:tplc="2BC80C16">
      <w:start w:val="1"/>
      <w:numFmt w:val="bullet"/>
      <w:lvlText w:val=""/>
      <w:lvlJc w:val="left"/>
      <w:pPr>
        <w:ind w:left="720" w:hanging="360"/>
      </w:pPr>
      <w:rPr>
        <w:rFonts w:ascii="Symbol" w:hAnsi="Symbol"/>
      </w:rPr>
    </w:lvl>
  </w:abstractNum>
  <w:abstractNum w:abstractNumId="5" w15:restartNumberingAfterBreak="0">
    <w:nsid w:val="10053F11"/>
    <w:multiLevelType w:val="multilevel"/>
    <w:tmpl w:val="E58A81F0"/>
    <w:styleLink w:val="NumberBullet"/>
    <w:lvl w:ilvl="0">
      <w:start w:val="1"/>
      <w:numFmt w:val="decimal"/>
      <w:pStyle w:val="Numberbullet0"/>
      <w:lvlText w:val="%1."/>
      <w:lvlJc w:val="left"/>
      <w:pPr>
        <w:ind w:left="360" w:hanging="360"/>
      </w:pPr>
      <w:rPr>
        <w:rFonts w:ascii="Arial" w:hAnsi="Arial" w:hint="default"/>
      </w:rPr>
    </w:lvl>
    <w:lvl w:ilvl="1">
      <w:start w:val="1"/>
      <w:numFmt w:val="lowerLetter"/>
      <w:pStyle w:val="Numberbullet2"/>
      <w:lvlText w:val="%2."/>
      <w:lvlJc w:val="left"/>
      <w:pPr>
        <w:ind w:left="851" w:hanging="426"/>
      </w:pPr>
      <w:rPr>
        <w:rFonts w:hint="default"/>
      </w:rPr>
    </w:lvl>
    <w:lvl w:ilvl="2">
      <w:start w:val="1"/>
      <w:numFmt w:val="lowerRoman"/>
      <w:lvlText w:val="%3."/>
      <w:lvlJc w:val="left"/>
      <w:pPr>
        <w:ind w:left="1276" w:hanging="425"/>
      </w:pPr>
      <w:rPr>
        <w:rFonts w:hint="default"/>
      </w:rPr>
    </w:lvl>
    <w:lvl w:ilvl="3">
      <w:start w:val="1"/>
      <w:numFmt w:val="none"/>
      <w:lvlText w:val=""/>
      <w:lvlJc w:val="left"/>
      <w:pPr>
        <w:ind w:left="1276" w:hanging="425"/>
      </w:pPr>
      <w:rPr>
        <w:rFonts w:hint="default"/>
      </w:rPr>
    </w:lvl>
    <w:lvl w:ilvl="4">
      <w:start w:val="1"/>
      <w:numFmt w:val="none"/>
      <w:lvlText w:val=""/>
      <w:lvlJc w:val="left"/>
      <w:pPr>
        <w:ind w:left="1276" w:hanging="425"/>
      </w:pPr>
      <w:rPr>
        <w:rFonts w:hint="default"/>
      </w:rPr>
    </w:lvl>
    <w:lvl w:ilvl="5">
      <w:start w:val="1"/>
      <w:numFmt w:val="none"/>
      <w:lvlText w:val=""/>
      <w:lvlJc w:val="left"/>
      <w:pPr>
        <w:ind w:left="1276" w:hanging="425"/>
      </w:pPr>
      <w:rPr>
        <w:rFonts w:hint="default"/>
      </w:rPr>
    </w:lvl>
    <w:lvl w:ilvl="6">
      <w:start w:val="1"/>
      <w:numFmt w:val="none"/>
      <w:lvlText w:val="%7"/>
      <w:lvlJc w:val="left"/>
      <w:pPr>
        <w:ind w:left="1276" w:hanging="425"/>
      </w:pPr>
      <w:rPr>
        <w:rFonts w:hint="default"/>
      </w:rPr>
    </w:lvl>
    <w:lvl w:ilvl="7">
      <w:start w:val="1"/>
      <w:numFmt w:val="none"/>
      <w:lvlText w:val=""/>
      <w:lvlJc w:val="left"/>
      <w:pPr>
        <w:ind w:left="1276" w:hanging="425"/>
      </w:pPr>
      <w:rPr>
        <w:rFonts w:hint="default"/>
      </w:rPr>
    </w:lvl>
    <w:lvl w:ilvl="8">
      <w:start w:val="1"/>
      <w:numFmt w:val="none"/>
      <w:lvlText w:val=""/>
      <w:lvlJc w:val="left"/>
      <w:pPr>
        <w:ind w:left="1276" w:hanging="425"/>
      </w:pPr>
      <w:rPr>
        <w:rFonts w:hint="default"/>
      </w:rPr>
    </w:lvl>
  </w:abstractNum>
  <w:abstractNum w:abstractNumId="6" w15:restartNumberingAfterBreak="0">
    <w:nsid w:val="10D60D5B"/>
    <w:multiLevelType w:val="hybridMultilevel"/>
    <w:tmpl w:val="17962574"/>
    <w:lvl w:ilvl="0" w:tplc="4D342CF8">
      <w:start w:val="1"/>
      <w:numFmt w:val="bullet"/>
      <w:lvlText w:val=""/>
      <w:lvlJc w:val="left"/>
      <w:pPr>
        <w:ind w:left="720" w:hanging="360"/>
      </w:pPr>
      <w:rPr>
        <w:rFonts w:ascii="Symbol" w:hAnsi="Symbol"/>
      </w:rPr>
    </w:lvl>
    <w:lvl w:ilvl="1" w:tplc="983E2D0C">
      <w:start w:val="1"/>
      <w:numFmt w:val="bullet"/>
      <w:lvlText w:val=""/>
      <w:lvlJc w:val="left"/>
      <w:pPr>
        <w:ind w:left="720" w:hanging="360"/>
      </w:pPr>
      <w:rPr>
        <w:rFonts w:ascii="Symbol" w:hAnsi="Symbol"/>
      </w:rPr>
    </w:lvl>
    <w:lvl w:ilvl="2" w:tplc="815897B8">
      <w:start w:val="1"/>
      <w:numFmt w:val="bullet"/>
      <w:lvlText w:val=""/>
      <w:lvlJc w:val="left"/>
      <w:pPr>
        <w:ind w:left="720" w:hanging="360"/>
      </w:pPr>
      <w:rPr>
        <w:rFonts w:ascii="Symbol" w:hAnsi="Symbol"/>
      </w:rPr>
    </w:lvl>
    <w:lvl w:ilvl="3" w:tplc="D28843C0">
      <w:start w:val="1"/>
      <w:numFmt w:val="bullet"/>
      <w:lvlText w:val=""/>
      <w:lvlJc w:val="left"/>
      <w:pPr>
        <w:ind w:left="720" w:hanging="360"/>
      </w:pPr>
      <w:rPr>
        <w:rFonts w:ascii="Symbol" w:hAnsi="Symbol"/>
      </w:rPr>
    </w:lvl>
    <w:lvl w:ilvl="4" w:tplc="694E725C">
      <w:start w:val="1"/>
      <w:numFmt w:val="bullet"/>
      <w:lvlText w:val=""/>
      <w:lvlJc w:val="left"/>
      <w:pPr>
        <w:ind w:left="720" w:hanging="360"/>
      </w:pPr>
      <w:rPr>
        <w:rFonts w:ascii="Symbol" w:hAnsi="Symbol"/>
      </w:rPr>
    </w:lvl>
    <w:lvl w:ilvl="5" w:tplc="92B8103A">
      <w:start w:val="1"/>
      <w:numFmt w:val="bullet"/>
      <w:lvlText w:val=""/>
      <w:lvlJc w:val="left"/>
      <w:pPr>
        <w:ind w:left="720" w:hanging="360"/>
      </w:pPr>
      <w:rPr>
        <w:rFonts w:ascii="Symbol" w:hAnsi="Symbol"/>
      </w:rPr>
    </w:lvl>
    <w:lvl w:ilvl="6" w:tplc="E2346C80">
      <w:start w:val="1"/>
      <w:numFmt w:val="bullet"/>
      <w:lvlText w:val=""/>
      <w:lvlJc w:val="left"/>
      <w:pPr>
        <w:ind w:left="720" w:hanging="360"/>
      </w:pPr>
      <w:rPr>
        <w:rFonts w:ascii="Symbol" w:hAnsi="Symbol"/>
      </w:rPr>
    </w:lvl>
    <w:lvl w:ilvl="7" w:tplc="0046B590">
      <w:start w:val="1"/>
      <w:numFmt w:val="bullet"/>
      <w:lvlText w:val=""/>
      <w:lvlJc w:val="left"/>
      <w:pPr>
        <w:ind w:left="720" w:hanging="360"/>
      </w:pPr>
      <w:rPr>
        <w:rFonts w:ascii="Symbol" w:hAnsi="Symbol"/>
      </w:rPr>
    </w:lvl>
    <w:lvl w:ilvl="8" w:tplc="DA4E9B2E">
      <w:start w:val="1"/>
      <w:numFmt w:val="bullet"/>
      <w:lvlText w:val=""/>
      <w:lvlJc w:val="left"/>
      <w:pPr>
        <w:ind w:left="720" w:hanging="360"/>
      </w:pPr>
      <w:rPr>
        <w:rFonts w:ascii="Symbol" w:hAnsi="Symbol"/>
      </w:rPr>
    </w:lvl>
  </w:abstractNum>
  <w:abstractNum w:abstractNumId="7" w15:restartNumberingAfterBreak="0">
    <w:nsid w:val="11175BA0"/>
    <w:multiLevelType w:val="hybridMultilevel"/>
    <w:tmpl w:val="A7C4BB38"/>
    <w:lvl w:ilvl="0" w:tplc="CDDE792E">
      <w:start w:val="1"/>
      <w:numFmt w:val="bullet"/>
      <w:lvlText w:val=""/>
      <w:lvlJc w:val="left"/>
      <w:pPr>
        <w:ind w:left="720" w:hanging="360"/>
      </w:pPr>
      <w:rPr>
        <w:rFonts w:ascii="Symbol" w:hAnsi="Symbol"/>
      </w:rPr>
    </w:lvl>
    <w:lvl w:ilvl="1" w:tplc="46FEE236">
      <w:start w:val="1"/>
      <w:numFmt w:val="bullet"/>
      <w:lvlText w:val=""/>
      <w:lvlJc w:val="left"/>
      <w:pPr>
        <w:ind w:left="720" w:hanging="360"/>
      </w:pPr>
      <w:rPr>
        <w:rFonts w:ascii="Symbol" w:hAnsi="Symbol"/>
      </w:rPr>
    </w:lvl>
    <w:lvl w:ilvl="2" w:tplc="B492B254">
      <w:start w:val="1"/>
      <w:numFmt w:val="bullet"/>
      <w:lvlText w:val=""/>
      <w:lvlJc w:val="left"/>
      <w:pPr>
        <w:ind w:left="720" w:hanging="360"/>
      </w:pPr>
      <w:rPr>
        <w:rFonts w:ascii="Symbol" w:hAnsi="Symbol"/>
      </w:rPr>
    </w:lvl>
    <w:lvl w:ilvl="3" w:tplc="F3B04604">
      <w:start w:val="1"/>
      <w:numFmt w:val="bullet"/>
      <w:lvlText w:val=""/>
      <w:lvlJc w:val="left"/>
      <w:pPr>
        <w:ind w:left="720" w:hanging="360"/>
      </w:pPr>
      <w:rPr>
        <w:rFonts w:ascii="Symbol" w:hAnsi="Symbol"/>
      </w:rPr>
    </w:lvl>
    <w:lvl w:ilvl="4" w:tplc="5D920230">
      <w:start w:val="1"/>
      <w:numFmt w:val="bullet"/>
      <w:lvlText w:val=""/>
      <w:lvlJc w:val="left"/>
      <w:pPr>
        <w:ind w:left="720" w:hanging="360"/>
      </w:pPr>
      <w:rPr>
        <w:rFonts w:ascii="Symbol" w:hAnsi="Symbol"/>
      </w:rPr>
    </w:lvl>
    <w:lvl w:ilvl="5" w:tplc="6BCE3B40">
      <w:start w:val="1"/>
      <w:numFmt w:val="bullet"/>
      <w:lvlText w:val=""/>
      <w:lvlJc w:val="left"/>
      <w:pPr>
        <w:ind w:left="720" w:hanging="360"/>
      </w:pPr>
      <w:rPr>
        <w:rFonts w:ascii="Symbol" w:hAnsi="Symbol"/>
      </w:rPr>
    </w:lvl>
    <w:lvl w:ilvl="6" w:tplc="71D463BE">
      <w:start w:val="1"/>
      <w:numFmt w:val="bullet"/>
      <w:lvlText w:val=""/>
      <w:lvlJc w:val="left"/>
      <w:pPr>
        <w:ind w:left="720" w:hanging="360"/>
      </w:pPr>
      <w:rPr>
        <w:rFonts w:ascii="Symbol" w:hAnsi="Symbol"/>
      </w:rPr>
    </w:lvl>
    <w:lvl w:ilvl="7" w:tplc="DECA9D60">
      <w:start w:val="1"/>
      <w:numFmt w:val="bullet"/>
      <w:lvlText w:val=""/>
      <w:lvlJc w:val="left"/>
      <w:pPr>
        <w:ind w:left="720" w:hanging="360"/>
      </w:pPr>
      <w:rPr>
        <w:rFonts w:ascii="Symbol" w:hAnsi="Symbol"/>
      </w:rPr>
    </w:lvl>
    <w:lvl w:ilvl="8" w:tplc="19680E5C">
      <w:start w:val="1"/>
      <w:numFmt w:val="bullet"/>
      <w:lvlText w:val=""/>
      <w:lvlJc w:val="left"/>
      <w:pPr>
        <w:ind w:left="720" w:hanging="360"/>
      </w:pPr>
      <w:rPr>
        <w:rFonts w:ascii="Symbol" w:hAnsi="Symbol"/>
      </w:rPr>
    </w:lvl>
  </w:abstractNum>
  <w:abstractNum w:abstractNumId="8" w15:restartNumberingAfterBreak="0">
    <w:nsid w:val="13DB7BF8"/>
    <w:multiLevelType w:val="hybridMultilevel"/>
    <w:tmpl w:val="647E8F2E"/>
    <w:lvl w:ilvl="0" w:tplc="4328CFE8">
      <w:start w:val="1"/>
      <w:numFmt w:val="bullet"/>
      <w:lvlText w:val=""/>
      <w:lvlJc w:val="left"/>
      <w:pPr>
        <w:ind w:left="720" w:hanging="360"/>
      </w:pPr>
      <w:rPr>
        <w:rFonts w:ascii="Symbol" w:hAnsi="Symbol"/>
      </w:rPr>
    </w:lvl>
    <w:lvl w:ilvl="1" w:tplc="6F0C884A">
      <w:start w:val="1"/>
      <w:numFmt w:val="bullet"/>
      <w:lvlText w:val=""/>
      <w:lvlJc w:val="left"/>
      <w:pPr>
        <w:ind w:left="720" w:hanging="360"/>
      </w:pPr>
      <w:rPr>
        <w:rFonts w:ascii="Symbol" w:hAnsi="Symbol"/>
      </w:rPr>
    </w:lvl>
    <w:lvl w:ilvl="2" w:tplc="09AAFF02">
      <w:start w:val="1"/>
      <w:numFmt w:val="bullet"/>
      <w:lvlText w:val=""/>
      <w:lvlJc w:val="left"/>
      <w:pPr>
        <w:ind w:left="720" w:hanging="360"/>
      </w:pPr>
      <w:rPr>
        <w:rFonts w:ascii="Symbol" w:hAnsi="Symbol"/>
      </w:rPr>
    </w:lvl>
    <w:lvl w:ilvl="3" w:tplc="A7F4C77A">
      <w:start w:val="1"/>
      <w:numFmt w:val="bullet"/>
      <w:lvlText w:val=""/>
      <w:lvlJc w:val="left"/>
      <w:pPr>
        <w:ind w:left="720" w:hanging="360"/>
      </w:pPr>
      <w:rPr>
        <w:rFonts w:ascii="Symbol" w:hAnsi="Symbol"/>
      </w:rPr>
    </w:lvl>
    <w:lvl w:ilvl="4" w:tplc="469AEF9A">
      <w:start w:val="1"/>
      <w:numFmt w:val="bullet"/>
      <w:lvlText w:val=""/>
      <w:lvlJc w:val="left"/>
      <w:pPr>
        <w:ind w:left="720" w:hanging="360"/>
      </w:pPr>
      <w:rPr>
        <w:rFonts w:ascii="Symbol" w:hAnsi="Symbol"/>
      </w:rPr>
    </w:lvl>
    <w:lvl w:ilvl="5" w:tplc="85C455E0">
      <w:start w:val="1"/>
      <w:numFmt w:val="bullet"/>
      <w:lvlText w:val=""/>
      <w:lvlJc w:val="left"/>
      <w:pPr>
        <w:ind w:left="720" w:hanging="360"/>
      </w:pPr>
      <w:rPr>
        <w:rFonts w:ascii="Symbol" w:hAnsi="Symbol"/>
      </w:rPr>
    </w:lvl>
    <w:lvl w:ilvl="6" w:tplc="075C8D88">
      <w:start w:val="1"/>
      <w:numFmt w:val="bullet"/>
      <w:lvlText w:val=""/>
      <w:lvlJc w:val="left"/>
      <w:pPr>
        <w:ind w:left="720" w:hanging="360"/>
      </w:pPr>
      <w:rPr>
        <w:rFonts w:ascii="Symbol" w:hAnsi="Symbol"/>
      </w:rPr>
    </w:lvl>
    <w:lvl w:ilvl="7" w:tplc="404880B6">
      <w:start w:val="1"/>
      <w:numFmt w:val="bullet"/>
      <w:lvlText w:val=""/>
      <w:lvlJc w:val="left"/>
      <w:pPr>
        <w:ind w:left="720" w:hanging="360"/>
      </w:pPr>
      <w:rPr>
        <w:rFonts w:ascii="Symbol" w:hAnsi="Symbol"/>
      </w:rPr>
    </w:lvl>
    <w:lvl w:ilvl="8" w:tplc="5A086AE0">
      <w:start w:val="1"/>
      <w:numFmt w:val="bullet"/>
      <w:lvlText w:val=""/>
      <w:lvlJc w:val="left"/>
      <w:pPr>
        <w:ind w:left="720" w:hanging="360"/>
      </w:pPr>
      <w:rPr>
        <w:rFonts w:ascii="Symbol" w:hAnsi="Symbol"/>
      </w:rPr>
    </w:lvl>
  </w:abstractNum>
  <w:abstractNum w:abstractNumId="9" w15:restartNumberingAfterBreak="0">
    <w:nsid w:val="163F187C"/>
    <w:multiLevelType w:val="hybridMultilevel"/>
    <w:tmpl w:val="20409048"/>
    <w:lvl w:ilvl="0" w:tplc="669A989C">
      <w:start w:val="4"/>
      <w:numFmt w:val="bullet"/>
      <w:pStyle w:val="ListBullet3"/>
      <w:lvlText w:val="▪"/>
      <w:lvlJc w:val="left"/>
      <w:pPr>
        <w:ind w:left="1571" w:hanging="360"/>
      </w:pPr>
      <w:rPr>
        <w:rFonts w:ascii="Arial" w:eastAsia="Cambria" w:hAnsi="Aria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0" w15:restartNumberingAfterBreak="0">
    <w:nsid w:val="168F13E9"/>
    <w:multiLevelType w:val="multilevel"/>
    <w:tmpl w:val="BDCE1BCC"/>
    <w:styleLink w:val="ListBullets"/>
    <w:lvl w:ilvl="0">
      <w:start w:val="4"/>
      <w:numFmt w:val="bullet"/>
      <w:pStyle w:val="ListBullet"/>
      <w:lvlText w:val="•"/>
      <w:lvlJc w:val="left"/>
      <w:pPr>
        <w:ind w:left="360" w:hanging="360"/>
      </w:pPr>
      <w:rPr>
        <w:rFonts w:ascii="Cambria" w:eastAsia="Cambria" w:hAnsi="Cambria" w:hint="default"/>
      </w:rPr>
    </w:lvl>
    <w:lvl w:ilvl="1">
      <w:start w:val="1"/>
      <w:numFmt w:val="bullet"/>
      <w:pStyle w:val="ListBullet2"/>
      <w:lvlText w:val="–"/>
      <w:lvlJc w:val="left"/>
      <w:pPr>
        <w:ind w:left="720" w:hanging="360"/>
      </w:pPr>
      <w:rPr>
        <w:rFonts w:ascii="Arial" w:hAnsi="Arial" w:hint="default"/>
      </w:rPr>
    </w:lvl>
    <w:lvl w:ilvl="2">
      <w:start w:val="1"/>
      <w:numFmt w:val="bullet"/>
      <w:lvlText w:val=""/>
      <w:lvlJc w:val="left"/>
      <w:pPr>
        <w:ind w:left="1080" w:hanging="360"/>
      </w:pPr>
      <w:rPr>
        <w:rFonts w:ascii="Wingdings" w:hAnsi="Wingding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19190DC6"/>
    <w:multiLevelType w:val="multilevel"/>
    <w:tmpl w:val="2C5E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F21EFC"/>
    <w:multiLevelType w:val="hybridMultilevel"/>
    <w:tmpl w:val="4EE4D6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ABD74D0"/>
    <w:multiLevelType w:val="hybridMultilevel"/>
    <w:tmpl w:val="64BE2784"/>
    <w:lvl w:ilvl="0" w:tplc="4BD20BAA">
      <w:start w:val="1"/>
      <w:numFmt w:val="lowerRoman"/>
      <w:pStyle w:val="ListBulleti"/>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4" w15:restartNumberingAfterBreak="0">
    <w:nsid w:val="1B7B7968"/>
    <w:multiLevelType w:val="hybridMultilevel"/>
    <w:tmpl w:val="C5CE109A"/>
    <w:lvl w:ilvl="0" w:tplc="3704ECDA">
      <w:start w:val="1"/>
      <w:numFmt w:val="bullet"/>
      <w:lvlText w:val=""/>
      <w:lvlJc w:val="left"/>
      <w:pPr>
        <w:ind w:left="720" w:hanging="360"/>
      </w:pPr>
      <w:rPr>
        <w:rFonts w:ascii="Symbol" w:hAnsi="Symbol"/>
      </w:rPr>
    </w:lvl>
    <w:lvl w:ilvl="1" w:tplc="E824347A">
      <w:start w:val="1"/>
      <w:numFmt w:val="bullet"/>
      <w:lvlText w:val=""/>
      <w:lvlJc w:val="left"/>
      <w:pPr>
        <w:ind w:left="720" w:hanging="360"/>
      </w:pPr>
      <w:rPr>
        <w:rFonts w:ascii="Symbol" w:hAnsi="Symbol"/>
      </w:rPr>
    </w:lvl>
    <w:lvl w:ilvl="2" w:tplc="924849DE">
      <w:start w:val="1"/>
      <w:numFmt w:val="bullet"/>
      <w:lvlText w:val=""/>
      <w:lvlJc w:val="left"/>
      <w:pPr>
        <w:ind w:left="720" w:hanging="360"/>
      </w:pPr>
      <w:rPr>
        <w:rFonts w:ascii="Symbol" w:hAnsi="Symbol"/>
      </w:rPr>
    </w:lvl>
    <w:lvl w:ilvl="3" w:tplc="5E76356C">
      <w:start w:val="1"/>
      <w:numFmt w:val="bullet"/>
      <w:lvlText w:val=""/>
      <w:lvlJc w:val="left"/>
      <w:pPr>
        <w:ind w:left="720" w:hanging="360"/>
      </w:pPr>
      <w:rPr>
        <w:rFonts w:ascii="Symbol" w:hAnsi="Symbol"/>
      </w:rPr>
    </w:lvl>
    <w:lvl w:ilvl="4" w:tplc="D97868D0">
      <w:start w:val="1"/>
      <w:numFmt w:val="bullet"/>
      <w:lvlText w:val=""/>
      <w:lvlJc w:val="left"/>
      <w:pPr>
        <w:ind w:left="720" w:hanging="360"/>
      </w:pPr>
      <w:rPr>
        <w:rFonts w:ascii="Symbol" w:hAnsi="Symbol"/>
      </w:rPr>
    </w:lvl>
    <w:lvl w:ilvl="5" w:tplc="6472F708">
      <w:start w:val="1"/>
      <w:numFmt w:val="bullet"/>
      <w:lvlText w:val=""/>
      <w:lvlJc w:val="left"/>
      <w:pPr>
        <w:ind w:left="720" w:hanging="360"/>
      </w:pPr>
      <w:rPr>
        <w:rFonts w:ascii="Symbol" w:hAnsi="Symbol"/>
      </w:rPr>
    </w:lvl>
    <w:lvl w:ilvl="6" w:tplc="AAAAC6F0">
      <w:start w:val="1"/>
      <w:numFmt w:val="bullet"/>
      <w:lvlText w:val=""/>
      <w:lvlJc w:val="left"/>
      <w:pPr>
        <w:ind w:left="720" w:hanging="360"/>
      </w:pPr>
      <w:rPr>
        <w:rFonts w:ascii="Symbol" w:hAnsi="Symbol"/>
      </w:rPr>
    </w:lvl>
    <w:lvl w:ilvl="7" w:tplc="9D3CA482">
      <w:start w:val="1"/>
      <w:numFmt w:val="bullet"/>
      <w:lvlText w:val=""/>
      <w:lvlJc w:val="left"/>
      <w:pPr>
        <w:ind w:left="720" w:hanging="360"/>
      </w:pPr>
      <w:rPr>
        <w:rFonts w:ascii="Symbol" w:hAnsi="Symbol"/>
      </w:rPr>
    </w:lvl>
    <w:lvl w:ilvl="8" w:tplc="9F9EEDFA">
      <w:start w:val="1"/>
      <w:numFmt w:val="bullet"/>
      <w:lvlText w:val=""/>
      <w:lvlJc w:val="left"/>
      <w:pPr>
        <w:ind w:left="720" w:hanging="360"/>
      </w:pPr>
      <w:rPr>
        <w:rFonts w:ascii="Symbol" w:hAnsi="Symbol"/>
      </w:rPr>
    </w:lvl>
  </w:abstractNum>
  <w:abstractNum w:abstractNumId="15" w15:restartNumberingAfterBreak="0">
    <w:nsid w:val="1D0468E0"/>
    <w:multiLevelType w:val="hybridMultilevel"/>
    <w:tmpl w:val="38AEE1D4"/>
    <w:lvl w:ilvl="0" w:tplc="1D1AD068">
      <w:start w:val="1"/>
      <w:numFmt w:val="bullet"/>
      <w:lvlText w:val=""/>
      <w:lvlJc w:val="left"/>
      <w:pPr>
        <w:ind w:left="720" w:hanging="360"/>
      </w:pPr>
      <w:rPr>
        <w:rFonts w:ascii="Symbol" w:hAnsi="Symbol"/>
      </w:rPr>
    </w:lvl>
    <w:lvl w:ilvl="1" w:tplc="D1BCAD4A">
      <w:start w:val="1"/>
      <w:numFmt w:val="bullet"/>
      <w:lvlText w:val=""/>
      <w:lvlJc w:val="left"/>
      <w:pPr>
        <w:ind w:left="720" w:hanging="360"/>
      </w:pPr>
      <w:rPr>
        <w:rFonts w:ascii="Symbol" w:hAnsi="Symbol"/>
      </w:rPr>
    </w:lvl>
    <w:lvl w:ilvl="2" w:tplc="9802F720">
      <w:start w:val="1"/>
      <w:numFmt w:val="bullet"/>
      <w:lvlText w:val=""/>
      <w:lvlJc w:val="left"/>
      <w:pPr>
        <w:ind w:left="720" w:hanging="360"/>
      </w:pPr>
      <w:rPr>
        <w:rFonts w:ascii="Symbol" w:hAnsi="Symbol"/>
      </w:rPr>
    </w:lvl>
    <w:lvl w:ilvl="3" w:tplc="416C4710">
      <w:start w:val="1"/>
      <w:numFmt w:val="bullet"/>
      <w:lvlText w:val=""/>
      <w:lvlJc w:val="left"/>
      <w:pPr>
        <w:ind w:left="720" w:hanging="360"/>
      </w:pPr>
      <w:rPr>
        <w:rFonts w:ascii="Symbol" w:hAnsi="Symbol"/>
      </w:rPr>
    </w:lvl>
    <w:lvl w:ilvl="4" w:tplc="C00C113E">
      <w:start w:val="1"/>
      <w:numFmt w:val="bullet"/>
      <w:lvlText w:val=""/>
      <w:lvlJc w:val="left"/>
      <w:pPr>
        <w:ind w:left="720" w:hanging="360"/>
      </w:pPr>
      <w:rPr>
        <w:rFonts w:ascii="Symbol" w:hAnsi="Symbol"/>
      </w:rPr>
    </w:lvl>
    <w:lvl w:ilvl="5" w:tplc="DA800346">
      <w:start w:val="1"/>
      <w:numFmt w:val="bullet"/>
      <w:lvlText w:val=""/>
      <w:lvlJc w:val="left"/>
      <w:pPr>
        <w:ind w:left="720" w:hanging="360"/>
      </w:pPr>
      <w:rPr>
        <w:rFonts w:ascii="Symbol" w:hAnsi="Symbol"/>
      </w:rPr>
    </w:lvl>
    <w:lvl w:ilvl="6" w:tplc="EB363582">
      <w:start w:val="1"/>
      <w:numFmt w:val="bullet"/>
      <w:lvlText w:val=""/>
      <w:lvlJc w:val="left"/>
      <w:pPr>
        <w:ind w:left="720" w:hanging="360"/>
      </w:pPr>
      <w:rPr>
        <w:rFonts w:ascii="Symbol" w:hAnsi="Symbol"/>
      </w:rPr>
    </w:lvl>
    <w:lvl w:ilvl="7" w:tplc="27D2098A">
      <w:start w:val="1"/>
      <w:numFmt w:val="bullet"/>
      <w:lvlText w:val=""/>
      <w:lvlJc w:val="left"/>
      <w:pPr>
        <w:ind w:left="720" w:hanging="360"/>
      </w:pPr>
      <w:rPr>
        <w:rFonts w:ascii="Symbol" w:hAnsi="Symbol"/>
      </w:rPr>
    </w:lvl>
    <w:lvl w:ilvl="8" w:tplc="33F4A8D8">
      <w:start w:val="1"/>
      <w:numFmt w:val="bullet"/>
      <w:lvlText w:val=""/>
      <w:lvlJc w:val="left"/>
      <w:pPr>
        <w:ind w:left="720" w:hanging="360"/>
      </w:pPr>
      <w:rPr>
        <w:rFonts w:ascii="Symbol" w:hAnsi="Symbol"/>
      </w:rPr>
    </w:lvl>
  </w:abstractNum>
  <w:abstractNum w:abstractNumId="16" w15:restartNumberingAfterBreak="0">
    <w:nsid w:val="23A77741"/>
    <w:multiLevelType w:val="hybridMultilevel"/>
    <w:tmpl w:val="51742E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B336E1"/>
    <w:multiLevelType w:val="hybridMultilevel"/>
    <w:tmpl w:val="0E9482AE"/>
    <w:lvl w:ilvl="0" w:tplc="B798CFB2">
      <w:start w:val="1"/>
      <w:numFmt w:val="bullet"/>
      <w:lvlText w:val=""/>
      <w:lvlJc w:val="left"/>
      <w:pPr>
        <w:ind w:left="720" w:hanging="360"/>
      </w:pPr>
      <w:rPr>
        <w:rFonts w:ascii="Symbol" w:hAnsi="Symbol"/>
      </w:rPr>
    </w:lvl>
    <w:lvl w:ilvl="1" w:tplc="654A312C">
      <w:start w:val="1"/>
      <w:numFmt w:val="bullet"/>
      <w:lvlText w:val=""/>
      <w:lvlJc w:val="left"/>
      <w:pPr>
        <w:ind w:left="720" w:hanging="360"/>
      </w:pPr>
      <w:rPr>
        <w:rFonts w:ascii="Symbol" w:hAnsi="Symbol"/>
      </w:rPr>
    </w:lvl>
    <w:lvl w:ilvl="2" w:tplc="EC04E74C">
      <w:start w:val="1"/>
      <w:numFmt w:val="bullet"/>
      <w:lvlText w:val=""/>
      <w:lvlJc w:val="left"/>
      <w:pPr>
        <w:ind w:left="720" w:hanging="360"/>
      </w:pPr>
      <w:rPr>
        <w:rFonts w:ascii="Symbol" w:hAnsi="Symbol"/>
      </w:rPr>
    </w:lvl>
    <w:lvl w:ilvl="3" w:tplc="E1CE2100">
      <w:start w:val="1"/>
      <w:numFmt w:val="bullet"/>
      <w:lvlText w:val=""/>
      <w:lvlJc w:val="left"/>
      <w:pPr>
        <w:ind w:left="720" w:hanging="360"/>
      </w:pPr>
      <w:rPr>
        <w:rFonts w:ascii="Symbol" w:hAnsi="Symbol"/>
      </w:rPr>
    </w:lvl>
    <w:lvl w:ilvl="4" w:tplc="762E2198">
      <w:start w:val="1"/>
      <w:numFmt w:val="bullet"/>
      <w:lvlText w:val=""/>
      <w:lvlJc w:val="left"/>
      <w:pPr>
        <w:ind w:left="720" w:hanging="360"/>
      </w:pPr>
      <w:rPr>
        <w:rFonts w:ascii="Symbol" w:hAnsi="Symbol"/>
      </w:rPr>
    </w:lvl>
    <w:lvl w:ilvl="5" w:tplc="114E6216">
      <w:start w:val="1"/>
      <w:numFmt w:val="bullet"/>
      <w:lvlText w:val=""/>
      <w:lvlJc w:val="left"/>
      <w:pPr>
        <w:ind w:left="720" w:hanging="360"/>
      </w:pPr>
      <w:rPr>
        <w:rFonts w:ascii="Symbol" w:hAnsi="Symbol"/>
      </w:rPr>
    </w:lvl>
    <w:lvl w:ilvl="6" w:tplc="52F88312">
      <w:start w:val="1"/>
      <w:numFmt w:val="bullet"/>
      <w:lvlText w:val=""/>
      <w:lvlJc w:val="left"/>
      <w:pPr>
        <w:ind w:left="720" w:hanging="360"/>
      </w:pPr>
      <w:rPr>
        <w:rFonts w:ascii="Symbol" w:hAnsi="Symbol"/>
      </w:rPr>
    </w:lvl>
    <w:lvl w:ilvl="7" w:tplc="B70E4284">
      <w:start w:val="1"/>
      <w:numFmt w:val="bullet"/>
      <w:lvlText w:val=""/>
      <w:lvlJc w:val="left"/>
      <w:pPr>
        <w:ind w:left="720" w:hanging="360"/>
      </w:pPr>
      <w:rPr>
        <w:rFonts w:ascii="Symbol" w:hAnsi="Symbol"/>
      </w:rPr>
    </w:lvl>
    <w:lvl w:ilvl="8" w:tplc="2B8CFA1E">
      <w:start w:val="1"/>
      <w:numFmt w:val="bullet"/>
      <w:lvlText w:val=""/>
      <w:lvlJc w:val="left"/>
      <w:pPr>
        <w:ind w:left="720" w:hanging="360"/>
      </w:pPr>
      <w:rPr>
        <w:rFonts w:ascii="Symbol" w:hAnsi="Symbol"/>
      </w:rPr>
    </w:lvl>
  </w:abstractNum>
  <w:abstractNum w:abstractNumId="18" w15:restartNumberingAfterBreak="0">
    <w:nsid w:val="2593285F"/>
    <w:multiLevelType w:val="hybridMultilevel"/>
    <w:tmpl w:val="017EA42E"/>
    <w:lvl w:ilvl="0" w:tplc="E076B0E6">
      <w:start w:val="1"/>
      <w:numFmt w:val="lowerRoman"/>
      <w:lvlText w:val="%1)"/>
      <w:lvlJc w:val="left"/>
      <w:pPr>
        <w:ind w:left="1146" w:hanging="72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9" w15:restartNumberingAfterBreak="0">
    <w:nsid w:val="286E3721"/>
    <w:multiLevelType w:val="hybridMultilevel"/>
    <w:tmpl w:val="5304519C"/>
    <w:lvl w:ilvl="0" w:tplc="3C48184C">
      <w:start w:val="1"/>
      <w:numFmt w:val="bullet"/>
      <w:lvlText w:val=""/>
      <w:lvlJc w:val="left"/>
      <w:pPr>
        <w:ind w:left="720" w:hanging="360"/>
      </w:pPr>
      <w:rPr>
        <w:rFonts w:ascii="Symbol" w:hAnsi="Symbol"/>
      </w:rPr>
    </w:lvl>
    <w:lvl w:ilvl="1" w:tplc="A094FEB2">
      <w:start w:val="1"/>
      <w:numFmt w:val="bullet"/>
      <w:lvlText w:val=""/>
      <w:lvlJc w:val="left"/>
      <w:pPr>
        <w:ind w:left="720" w:hanging="360"/>
      </w:pPr>
      <w:rPr>
        <w:rFonts w:ascii="Symbol" w:hAnsi="Symbol"/>
      </w:rPr>
    </w:lvl>
    <w:lvl w:ilvl="2" w:tplc="BC9887C4">
      <w:start w:val="1"/>
      <w:numFmt w:val="bullet"/>
      <w:lvlText w:val=""/>
      <w:lvlJc w:val="left"/>
      <w:pPr>
        <w:ind w:left="720" w:hanging="360"/>
      </w:pPr>
      <w:rPr>
        <w:rFonts w:ascii="Symbol" w:hAnsi="Symbol"/>
      </w:rPr>
    </w:lvl>
    <w:lvl w:ilvl="3" w:tplc="D414C4CC">
      <w:start w:val="1"/>
      <w:numFmt w:val="bullet"/>
      <w:lvlText w:val=""/>
      <w:lvlJc w:val="left"/>
      <w:pPr>
        <w:ind w:left="720" w:hanging="360"/>
      </w:pPr>
      <w:rPr>
        <w:rFonts w:ascii="Symbol" w:hAnsi="Symbol"/>
      </w:rPr>
    </w:lvl>
    <w:lvl w:ilvl="4" w:tplc="56C2BF26">
      <w:start w:val="1"/>
      <w:numFmt w:val="bullet"/>
      <w:lvlText w:val=""/>
      <w:lvlJc w:val="left"/>
      <w:pPr>
        <w:ind w:left="720" w:hanging="360"/>
      </w:pPr>
      <w:rPr>
        <w:rFonts w:ascii="Symbol" w:hAnsi="Symbol"/>
      </w:rPr>
    </w:lvl>
    <w:lvl w:ilvl="5" w:tplc="CBBEE3B0">
      <w:start w:val="1"/>
      <w:numFmt w:val="bullet"/>
      <w:lvlText w:val=""/>
      <w:lvlJc w:val="left"/>
      <w:pPr>
        <w:ind w:left="720" w:hanging="360"/>
      </w:pPr>
      <w:rPr>
        <w:rFonts w:ascii="Symbol" w:hAnsi="Symbol"/>
      </w:rPr>
    </w:lvl>
    <w:lvl w:ilvl="6" w:tplc="56428CDE">
      <w:start w:val="1"/>
      <w:numFmt w:val="bullet"/>
      <w:lvlText w:val=""/>
      <w:lvlJc w:val="left"/>
      <w:pPr>
        <w:ind w:left="720" w:hanging="360"/>
      </w:pPr>
      <w:rPr>
        <w:rFonts w:ascii="Symbol" w:hAnsi="Symbol"/>
      </w:rPr>
    </w:lvl>
    <w:lvl w:ilvl="7" w:tplc="CB90F778">
      <w:start w:val="1"/>
      <w:numFmt w:val="bullet"/>
      <w:lvlText w:val=""/>
      <w:lvlJc w:val="left"/>
      <w:pPr>
        <w:ind w:left="720" w:hanging="360"/>
      </w:pPr>
      <w:rPr>
        <w:rFonts w:ascii="Symbol" w:hAnsi="Symbol"/>
      </w:rPr>
    </w:lvl>
    <w:lvl w:ilvl="8" w:tplc="6D9465C6">
      <w:start w:val="1"/>
      <w:numFmt w:val="bullet"/>
      <w:lvlText w:val=""/>
      <w:lvlJc w:val="left"/>
      <w:pPr>
        <w:ind w:left="720" w:hanging="360"/>
      </w:pPr>
      <w:rPr>
        <w:rFonts w:ascii="Symbol" w:hAnsi="Symbol"/>
      </w:rPr>
    </w:lvl>
  </w:abstractNum>
  <w:abstractNum w:abstractNumId="20" w15:restartNumberingAfterBreak="0">
    <w:nsid w:val="2E924211"/>
    <w:multiLevelType w:val="hybridMultilevel"/>
    <w:tmpl w:val="34C493BE"/>
    <w:lvl w:ilvl="0" w:tplc="5E685644">
      <w:start w:val="1"/>
      <w:numFmt w:val="lowerLetter"/>
      <w:pStyle w:val="ListBulleta"/>
      <w:lvlText w:val="%1)"/>
      <w:lvlJc w:val="left"/>
      <w:pPr>
        <w:ind w:left="1146" w:hanging="360"/>
      </w:p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21" w15:restartNumberingAfterBreak="0">
    <w:nsid w:val="30921C10"/>
    <w:multiLevelType w:val="hybridMultilevel"/>
    <w:tmpl w:val="ABF4243C"/>
    <w:lvl w:ilvl="0" w:tplc="8000F866">
      <w:start w:val="1"/>
      <w:numFmt w:val="bullet"/>
      <w:lvlText w:val=""/>
      <w:lvlJc w:val="left"/>
      <w:pPr>
        <w:ind w:left="720" w:hanging="360"/>
      </w:pPr>
      <w:rPr>
        <w:rFonts w:ascii="Symbol" w:hAnsi="Symbol"/>
      </w:rPr>
    </w:lvl>
    <w:lvl w:ilvl="1" w:tplc="ED626854">
      <w:start w:val="1"/>
      <w:numFmt w:val="bullet"/>
      <w:lvlText w:val=""/>
      <w:lvlJc w:val="left"/>
      <w:pPr>
        <w:ind w:left="720" w:hanging="360"/>
      </w:pPr>
      <w:rPr>
        <w:rFonts w:ascii="Symbol" w:hAnsi="Symbol"/>
      </w:rPr>
    </w:lvl>
    <w:lvl w:ilvl="2" w:tplc="BEF675D2">
      <w:start w:val="1"/>
      <w:numFmt w:val="bullet"/>
      <w:lvlText w:val=""/>
      <w:lvlJc w:val="left"/>
      <w:pPr>
        <w:ind w:left="720" w:hanging="360"/>
      </w:pPr>
      <w:rPr>
        <w:rFonts w:ascii="Symbol" w:hAnsi="Symbol"/>
      </w:rPr>
    </w:lvl>
    <w:lvl w:ilvl="3" w:tplc="86E69764">
      <w:start w:val="1"/>
      <w:numFmt w:val="bullet"/>
      <w:lvlText w:val=""/>
      <w:lvlJc w:val="left"/>
      <w:pPr>
        <w:ind w:left="720" w:hanging="360"/>
      </w:pPr>
      <w:rPr>
        <w:rFonts w:ascii="Symbol" w:hAnsi="Symbol"/>
      </w:rPr>
    </w:lvl>
    <w:lvl w:ilvl="4" w:tplc="3EF46C78">
      <w:start w:val="1"/>
      <w:numFmt w:val="bullet"/>
      <w:lvlText w:val=""/>
      <w:lvlJc w:val="left"/>
      <w:pPr>
        <w:ind w:left="720" w:hanging="360"/>
      </w:pPr>
      <w:rPr>
        <w:rFonts w:ascii="Symbol" w:hAnsi="Symbol"/>
      </w:rPr>
    </w:lvl>
    <w:lvl w:ilvl="5" w:tplc="AC32A850">
      <w:start w:val="1"/>
      <w:numFmt w:val="bullet"/>
      <w:lvlText w:val=""/>
      <w:lvlJc w:val="left"/>
      <w:pPr>
        <w:ind w:left="720" w:hanging="360"/>
      </w:pPr>
      <w:rPr>
        <w:rFonts w:ascii="Symbol" w:hAnsi="Symbol"/>
      </w:rPr>
    </w:lvl>
    <w:lvl w:ilvl="6" w:tplc="70D89BBC">
      <w:start w:val="1"/>
      <w:numFmt w:val="bullet"/>
      <w:lvlText w:val=""/>
      <w:lvlJc w:val="left"/>
      <w:pPr>
        <w:ind w:left="720" w:hanging="360"/>
      </w:pPr>
      <w:rPr>
        <w:rFonts w:ascii="Symbol" w:hAnsi="Symbol"/>
      </w:rPr>
    </w:lvl>
    <w:lvl w:ilvl="7" w:tplc="F1B2D838">
      <w:start w:val="1"/>
      <w:numFmt w:val="bullet"/>
      <w:lvlText w:val=""/>
      <w:lvlJc w:val="left"/>
      <w:pPr>
        <w:ind w:left="720" w:hanging="360"/>
      </w:pPr>
      <w:rPr>
        <w:rFonts w:ascii="Symbol" w:hAnsi="Symbol"/>
      </w:rPr>
    </w:lvl>
    <w:lvl w:ilvl="8" w:tplc="8B025F4A">
      <w:start w:val="1"/>
      <w:numFmt w:val="bullet"/>
      <w:lvlText w:val=""/>
      <w:lvlJc w:val="left"/>
      <w:pPr>
        <w:ind w:left="720" w:hanging="360"/>
      </w:pPr>
      <w:rPr>
        <w:rFonts w:ascii="Symbol" w:hAnsi="Symbol"/>
      </w:rPr>
    </w:lvl>
  </w:abstractNum>
  <w:abstractNum w:abstractNumId="22" w15:restartNumberingAfterBreak="0">
    <w:nsid w:val="334E64D9"/>
    <w:multiLevelType w:val="hybridMultilevel"/>
    <w:tmpl w:val="3FA4FFB0"/>
    <w:lvl w:ilvl="0" w:tplc="C8E45002">
      <w:start w:val="1"/>
      <w:numFmt w:val="bullet"/>
      <w:lvlText w:val=""/>
      <w:lvlJc w:val="left"/>
      <w:pPr>
        <w:ind w:left="720" w:hanging="360"/>
      </w:pPr>
      <w:rPr>
        <w:rFonts w:ascii="Symbol" w:hAnsi="Symbol"/>
      </w:rPr>
    </w:lvl>
    <w:lvl w:ilvl="1" w:tplc="EA0EC7BA">
      <w:start w:val="1"/>
      <w:numFmt w:val="bullet"/>
      <w:lvlText w:val=""/>
      <w:lvlJc w:val="left"/>
      <w:pPr>
        <w:ind w:left="720" w:hanging="360"/>
      </w:pPr>
      <w:rPr>
        <w:rFonts w:ascii="Symbol" w:hAnsi="Symbol"/>
      </w:rPr>
    </w:lvl>
    <w:lvl w:ilvl="2" w:tplc="A09C2202">
      <w:start w:val="1"/>
      <w:numFmt w:val="bullet"/>
      <w:lvlText w:val=""/>
      <w:lvlJc w:val="left"/>
      <w:pPr>
        <w:ind w:left="720" w:hanging="360"/>
      </w:pPr>
      <w:rPr>
        <w:rFonts w:ascii="Symbol" w:hAnsi="Symbol"/>
      </w:rPr>
    </w:lvl>
    <w:lvl w:ilvl="3" w:tplc="223E20CA">
      <w:start w:val="1"/>
      <w:numFmt w:val="bullet"/>
      <w:lvlText w:val=""/>
      <w:lvlJc w:val="left"/>
      <w:pPr>
        <w:ind w:left="720" w:hanging="360"/>
      </w:pPr>
      <w:rPr>
        <w:rFonts w:ascii="Symbol" w:hAnsi="Symbol"/>
      </w:rPr>
    </w:lvl>
    <w:lvl w:ilvl="4" w:tplc="46E8BC8A">
      <w:start w:val="1"/>
      <w:numFmt w:val="bullet"/>
      <w:lvlText w:val=""/>
      <w:lvlJc w:val="left"/>
      <w:pPr>
        <w:ind w:left="720" w:hanging="360"/>
      </w:pPr>
      <w:rPr>
        <w:rFonts w:ascii="Symbol" w:hAnsi="Symbol"/>
      </w:rPr>
    </w:lvl>
    <w:lvl w:ilvl="5" w:tplc="9AB0E1E8">
      <w:start w:val="1"/>
      <w:numFmt w:val="bullet"/>
      <w:lvlText w:val=""/>
      <w:lvlJc w:val="left"/>
      <w:pPr>
        <w:ind w:left="720" w:hanging="360"/>
      </w:pPr>
      <w:rPr>
        <w:rFonts w:ascii="Symbol" w:hAnsi="Symbol"/>
      </w:rPr>
    </w:lvl>
    <w:lvl w:ilvl="6" w:tplc="3830F67A">
      <w:start w:val="1"/>
      <w:numFmt w:val="bullet"/>
      <w:lvlText w:val=""/>
      <w:lvlJc w:val="left"/>
      <w:pPr>
        <w:ind w:left="720" w:hanging="360"/>
      </w:pPr>
      <w:rPr>
        <w:rFonts w:ascii="Symbol" w:hAnsi="Symbol"/>
      </w:rPr>
    </w:lvl>
    <w:lvl w:ilvl="7" w:tplc="3410DB5E">
      <w:start w:val="1"/>
      <w:numFmt w:val="bullet"/>
      <w:lvlText w:val=""/>
      <w:lvlJc w:val="left"/>
      <w:pPr>
        <w:ind w:left="720" w:hanging="360"/>
      </w:pPr>
      <w:rPr>
        <w:rFonts w:ascii="Symbol" w:hAnsi="Symbol"/>
      </w:rPr>
    </w:lvl>
    <w:lvl w:ilvl="8" w:tplc="5ED20668">
      <w:start w:val="1"/>
      <w:numFmt w:val="bullet"/>
      <w:lvlText w:val=""/>
      <w:lvlJc w:val="left"/>
      <w:pPr>
        <w:ind w:left="720" w:hanging="360"/>
      </w:pPr>
      <w:rPr>
        <w:rFonts w:ascii="Symbol" w:hAnsi="Symbol"/>
      </w:rPr>
    </w:lvl>
  </w:abstractNum>
  <w:abstractNum w:abstractNumId="23" w15:restartNumberingAfterBreak="0">
    <w:nsid w:val="35941F7A"/>
    <w:multiLevelType w:val="hybridMultilevel"/>
    <w:tmpl w:val="720EE978"/>
    <w:lvl w:ilvl="0" w:tplc="3A461014">
      <w:start w:val="1"/>
      <w:numFmt w:val="bullet"/>
      <w:lvlText w:val=""/>
      <w:lvlJc w:val="left"/>
      <w:pPr>
        <w:ind w:left="720" w:hanging="360"/>
      </w:pPr>
      <w:rPr>
        <w:rFonts w:ascii="Symbol" w:hAnsi="Symbol"/>
      </w:rPr>
    </w:lvl>
    <w:lvl w:ilvl="1" w:tplc="1A6E5920">
      <w:start w:val="1"/>
      <w:numFmt w:val="bullet"/>
      <w:lvlText w:val=""/>
      <w:lvlJc w:val="left"/>
      <w:pPr>
        <w:ind w:left="720" w:hanging="360"/>
      </w:pPr>
      <w:rPr>
        <w:rFonts w:ascii="Symbol" w:hAnsi="Symbol"/>
      </w:rPr>
    </w:lvl>
    <w:lvl w:ilvl="2" w:tplc="911682B2">
      <w:start w:val="1"/>
      <w:numFmt w:val="bullet"/>
      <w:lvlText w:val=""/>
      <w:lvlJc w:val="left"/>
      <w:pPr>
        <w:ind w:left="720" w:hanging="360"/>
      </w:pPr>
      <w:rPr>
        <w:rFonts w:ascii="Symbol" w:hAnsi="Symbol"/>
      </w:rPr>
    </w:lvl>
    <w:lvl w:ilvl="3" w:tplc="6382D9D8">
      <w:start w:val="1"/>
      <w:numFmt w:val="bullet"/>
      <w:lvlText w:val=""/>
      <w:lvlJc w:val="left"/>
      <w:pPr>
        <w:ind w:left="720" w:hanging="360"/>
      </w:pPr>
      <w:rPr>
        <w:rFonts w:ascii="Symbol" w:hAnsi="Symbol"/>
      </w:rPr>
    </w:lvl>
    <w:lvl w:ilvl="4" w:tplc="EEC47F00">
      <w:start w:val="1"/>
      <w:numFmt w:val="bullet"/>
      <w:lvlText w:val=""/>
      <w:lvlJc w:val="left"/>
      <w:pPr>
        <w:ind w:left="720" w:hanging="360"/>
      </w:pPr>
      <w:rPr>
        <w:rFonts w:ascii="Symbol" w:hAnsi="Symbol"/>
      </w:rPr>
    </w:lvl>
    <w:lvl w:ilvl="5" w:tplc="C3D08162">
      <w:start w:val="1"/>
      <w:numFmt w:val="bullet"/>
      <w:lvlText w:val=""/>
      <w:lvlJc w:val="left"/>
      <w:pPr>
        <w:ind w:left="720" w:hanging="360"/>
      </w:pPr>
      <w:rPr>
        <w:rFonts w:ascii="Symbol" w:hAnsi="Symbol"/>
      </w:rPr>
    </w:lvl>
    <w:lvl w:ilvl="6" w:tplc="17A09F68">
      <w:start w:val="1"/>
      <w:numFmt w:val="bullet"/>
      <w:lvlText w:val=""/>
      <w:lvlJc w:val="left"/>
      <w:pPr>
        <w:ind w:left="720" w:hanging="360"/>
      </w:pPr>
      <w:rPr>
        <w:rFonts w:ascii="Symbol" w:hAnsi="Symbol"/>
      </w:rPr>
    </w:lvl>
    <w:lvl w:ilvl="7" w:tplc="CF4C5640">
      <w:start w:val="1"/>
      <w:numFmt w:val="bullet"/>
      <w:lvlText w:val=""/>
      <w:lvlJc w:val="left"/>
      <w:pPr>
        <w:ind w:left="720" w:hanging="360"/>
      </w:pPr>
      <w:rPr>
        <w:rFonts w:ascii="Symbol" w:hAnsi="Symbol"/>
      </w:rPr>
    </w:lvl>
    <w:lvl w:ilvl="8" w:tplc="40160772">
      <w:start w:val="1"/>
      <w:numFmt w:val="bullet"/>
      <w:lvlText w:val=""/>
      <w:lvlJc w:val="left"/>
      <w:pPr>
        <w:ind w:left="720" w:hanging="360"/>
      </w:pPr>
      <w:rPr>
        <w:rFonts w:ascii="Symbol" w:hAnsi="Symbol"/>
      </w:rPr>
    </w:lvl>
  </w:abstractNum>
  <w:abstractNum w:abstractNumId="24" w15:restartNumberingAfterBreak="0">
    <w:nsid w:val="35EC5112"/>
    <w:multiLevelType w:val="hybridMultilevel"/>
    <w:tmpl w:val="AFFCED10"/>
    <w:lvl w:ilvl="0" w:tplc="31BEAFA4">
      <w:start w:val="1"/>
      <w:numFmt w:val="bullet"/>
      <w:lvlText w:val=""/>
      <w:lvlJc w:val="left"/>
      <w:pPr>
        <w:ind w:left="720" w:hanging="360"/>
      </w:pPr>
      <w:rPr>
        <w:rFonts w:ascii="Symbol" w:hAnsi="Symbol"/>
      </w:rPr>
    </w:lvl>
    <w:lvl w:ilvl="1" w:tplc="A97A16FC">
      <w:start w:val="1"/>
      <w:numFmt w:val="bullet"/>
      <w:lvlText w:val=""/>
      <w:lvlJc w:val="left"/>
      <w:pPr>
        <w:ind w:left="720" w:hanging="360"/>
      </w:pPr>
      <w:rPr>
        <w:rFonts w:ascii="Symbol" w:hAnsi="Symbol"/>
      </w:rPr>
    </w:lvl>
    <w:lvl w:ilvl="2" w:tplc="2160D792">
      <w:start w:val="1"/>
      <w:numFmt w:val="bullet"/>
      <w:lvlText w:val=""/>
      <w:lvlJc w:val="left"/>
      <w:pPr>
        <w:ind w:left="720" w:hanging="360"/>
      </w:pPr>
      <w:rPr>
        <w:rFonts w:ascii="Symbol" w:hAnsi="Symbol"/>
      </w:rPr>
    </w:lvl>
    <w:lvl w:ilvl="3" w:tplc="7CA66D96">
      <w:start w:val="1"/>
      <w:numFmt w:val="bullet"/>
      <w:lvlText w:val=""/>
      <w:lvlJc w:val="left"/>
      <w:pPr>
        <w:ind w:left="720" w:hanging="360"/>
      </w:pPr>
      <w:rPr>
        <w:rFonts w:ascii="Symbol" w:hAnsi="Symbol"/>
      </w:rPr>
    </w:lvl>
    <w:lvl w:ilvl="4" w:tplc="A7F0373A">
      <w:start w:val="1"/>
      <w:numFmt w:val="bullet"/>
      <w:lvlText w:val=""/>
      <w:lvlJc w:val="left"/>
      <w:pPr>
        <w:ind w:left="720" w:hanging="360"/>
      </w:pPr>
      <w:rPr>
        <w:rFonts w:ascii="Symbol" w:hAnsi="Symbol"/>
      </w:rPr>
    </w:lvl>
    <w:lvl w:ilvl="5" w:tplc="2D903FF0">
      <w:start w:val="1"/>
      <w:numFmt w:val="bullet"/>
      <w:lvlText w:val=""/>
      <w:lvlJc w:val="left"/>
      <w:pPr>
        <w:ind w:left="720" w:hanging="360"/>
      </w:pPr>
      <w:rPr>
        <w:rFonts w:ascii="Symbol" w:hAnsi="Symbol"/>
      </w:rPr>
    </w:lvl>
    <w:lvl w:ilvl="6" w:tplc="35FC6CF8">
      <w:start w:val="1"/>
      <w:numFmt w:val="bullet"/>
      <w:lvlText w:val=""/>
      <w:lvlJc w:val="left"/>
      <w:pPr>
        <w:ind w:left="720" w:hanging="360"/>
      </w:pPr>
      <w:rPr>
        <w:rFonts w:ascii="Symbol" w:hAnsi="Symbol"/>
      </w:rPr>
    </w:lvl>
    <w:lvl w:ilvl="7" w:tplc="D03C3B4A">
      <w:start w:val="1"/>
      <w:numFmt w:val="bullet"/>
      <w:lvlText w:val=""/>
      <w:lvlJc w:val="left"/>
      <w:pPr>
        <w:ind w:left="720" w:hanging="360"/>
      </w:pPr>
      <w:rPr>
        <w:rFonts w:ascii="Symbol" w:hAnsi="Symbol"/>
      </w:rPr>
    </w:lvl>
    <w:lvl w:ilvl="8" w:tplc="04A8EF7E">
      <w:start w:val="1"/>
      <w:numFmt w:val="bullet"/>
      <w:lvlText w:val=""/>
      <w:lvlJc w:val="left"/>
      <w:pPr>
        <w:ind w:left="720" w:hanging="360"/>
      </w:pPr>
      <w:rPr>
        <w:rFonts w:ascii="Symbol" w:hAnsi="Symbol"/>
      </w:rPr>
    </w:lvl>
  </w:abstractNum>
  <w:abstractNum w:abstractNumId="25" w15:restartNumberingAfterBreak="0">
    <w:nsid w:val="36B621D4"/>
    <w:multiLevelType w:val="hybridMultilevel"/>
    <w:tmpl w:val="09600068"/>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6" w15:restartNumberingAfterBreak="0">
    <w:nsid w:val="385D16DB"/>
    <w:multiLevelType w:val="hybridMultilevel"/>
    <w:tmpl w:val="02D87574"/>
    <w:lvl w:ilvl="0" w:tplc="4378DFB4">
      <w:start w:val="1"/>
      <w:numFmt w:val="bullet"/>
      <w:lvlText w:val=""/>
      <w:lvlJc w:val="left"/>
      <w:pPr>
        <w:ind w:left="720" w:hanging="360"/>
      </w:pPr>
      <w:rPr>
        <w:rFonts w:ascii="Symbol" w:hAnsi="Symbol"/>
      </w:rPr>
    </w:lvl>
    <w:lvl w:ilvl="1" w:tplc="84A05C42">
      <w:start w:val="1"/>
      <w:numFmt w:val="bullet"/>
      <w:lvlText w:val=""/>
      <w:lvlJc w:val="left"/>
      <w:pPr>
        <w:ind w:left="720" w:hanging="360"/>
      </w:pPr>
      <w:rPr>
        <w:rFonts w:ascii="Symbol" w:hAnsi="Symbol"/>
      </w:rPr>
    </w:lvl>
    <w:lvl w:ilvl="2" w:tplc="A9AA5F92">
      <w:start w:val="1"/>
      <w:numFmt w:val="bullet"/>
      <w:lvlText w:val=""/>
      <w:lvlJc w:val="left"/>
      <w:pPr>
        <w:ind w:left="720" w:hanging="360"/>
      </w:pPr>
      <w:rPr>
        <w:rFonts w:ascii="Symbol" w:hAnsi="Symbol"/>
      </w:rPr>
    </w:lvl>
    <w:lvl w:ilvl="3" w:tplc="CBE24A28">
      <w:start w:val="1"/>
      <w:numFmt w:val="bullet"/>
      <w:lvlText w:val=""/>
      <w:lvlJc w:val="left"/>
      <w:pPr>
        <w:ind w:left="720" w:hanging="360"/>
      </w:pPr>
      <w:rPr>
        <w:rFonts w:ascii="Symbol" w:hAnsi="Symbol"/>
      </w:rPr>
    </w:lvl>
    <w:lvl w:ilvl="4" w:tplc="5BA89CBC">
      <w:start w:val="1"/>
      <w:numFmt w:val="bullet"/>
      <w:lvlText w:val=""/>
      <w:lvlJc w:val="left"/>
      <w:pPr>
        <w:ind w:left="720" w:hanging="360"/>
      </w:pPr>
      <w:rPr>
        <w:rFonts w:ascii="Symbol" w:hAnsi="Symbol"/>
      </w:rPr>
    </w:lvl>
    <w:lvl w:ilvl="5" w:tplc="89F88398">
      <w:start w:val="1"/>
      <w:numFmt w:val="bullet"/>
      <w:lvlText w:val=""/>
      <w:lvlJc w:val="left"/>
      <w:pPr>
        <w:ind w:left="720" w:hanging="360"/>
      </w:pPr>
      <w:rPr>
        <w:rFonts w:ascii="Symbol" w:hAnsi="Symbol"/>
      </w:rPr>
    </w:lvl>
    <w:lvl w:ilvl="6" w:tplc="F7C4AA64">
      <w:start w:val="1"/>
      <w:numFmt w:val="bullet"/>
      <w:lvlText w:val=""/>
      <w:lvlJc w:val="left"/>
      <w:pPr>
        <w:ind w:left="720" w:hanging="360"/>
      </w:pPr>
      <w:rPr>
        <w:rFonts w:ascii="Symbol" w:hAnsi="Symbol"/>
      </w:rPr>
    </w:lvl>
    <w:lvl w:ilvl="7" w:tplc="4270517E">
      <w:start w:val="1"/>
      <w:numFmt w:val="bullet"/>
      <w:lvlText w:val=""/>
      <w:lvlJc w:val="left"/>
      <w:pPr>
        <w:ind w:left="720" w:hanging="360"/>
      </w:pPr>
      <w:rPr>
        <w:rFonts w:ascii="Symbol" w:hAnsi="Symbol"/>
      </w:rPr>
    </w:lvl>
    <w:lvl w:ilvl="8" w:tplc="C2909C94">
      <w:start w:val="1"/>
      <w:numFmt w:val="bullet"/>
      <w:lvlText w:val=""/>
      <w:lvlJc w:val="left"/>
      <w:pPr>
        <w:ind w:left="720" w:hanging="360"/>
      </w:pPr>
      <w:rPr>
        <w:rFonts w:ascii="Symbol" w:hAnsi="Symbol"/>
      </w:rPr>
    </w:lvl>
  </w:abstractNum>
  <w:abstractNum w:abstractNumId="27" w15:restartNumberingAfterBreak="0">
    <w:nsid w:val="394C5EF3"/>
    <w:multiLevelType w:val="hybridMultilevel"/>
    <w:tmpl w:val="B5B8FC92"/>
    <w:lvl w:ilvl="0" w:tplc="02E6AD1C">
      <w:start w:val="1"/>
      <w:numFmt w:val="bullet"/>
      <w:lvlText w:val=""/>
      <w:lvlJc w:val="left"/>
      <w:pPr>
        <w:ind w:left="720" w:hanging="360"/>
      </w:pPr>
      <w:rPr>
        <w:rFonts w:ascii="Symbol" w:hAnsi="Symbol"/>
      </w:rPr>
    </w:lvl>
    <w:lvl w:ilvl="1" w:tplc="ACBC3290">
      <w:start w:val="1"/>
      <w:numFmt w:val="bullet"/>
      <w:lvlText w:val=""/>
      <w:lvlJc w:val="left"/>
      <w:pPr>
        <w:ind w:left="720" w:hanging="360"/>
      </w:pPr>
      <w:rPr>
        <w:rFonts w:ascii="Symbol" w:hAnsi="Symbol"/>
      </w:rPr>
    </w:lvl>
    <w:lvl w:ilvl="2" w:tplc="0D40AF20">
      <w:start w:val="1"/>
      <w:numFmt w:val="bullet"/>
      <w:lvlText w:val=""/>
      <w:lvlJc w:val="left"/>
      <w:pPr>
        <w:ind w:left="720" w:hanging="360"/>
      </w:pPr>
      <w:rPr>
        <w:rFonts w:ascii="Symbol" w:hAnsi="Symbol"/>
      </w:rPr>
    </w:lvl>
    <w:lvl w:ilvl="3" w:tplc="084CA1D0">
      <w:start w:val="1"/>
      <w:numFmt w:val="bullet"/>
      <w:lvlText w:val=""/>
      <w:lvlJc w:val="left"/>
      <w:pPr>
        <w:ind w:left="720" w:hanging="360"/>
      </w:pPr>
      <w:rPr>
        <w:rFonts w:ascii="Symbol" w:hAnsi="Symbol"/>
      </w:rPr>
    </w:lvl>
    <w:lvl w:ilvl="4" w:tplc="179625E0">
      <w:start w:val="1"/>
      <w:numFmt w:val="bullet"/>
      <w:lvlText w:val=""/>
      <w:lvlJc w:val="left"/>
      <w:pPr>
        <w:ind w:left="720" w:hanging="360"/>
      </w:pPr>
      <w:rPr>
        <w:rFonts w:ascii="Symbol" w:hAnsi="Symbol"/>
      </w:rPr>
    </w:lvl>
    <w:lvl w:ilvl="5" w:tplc="6BDA1372">
      <w:start w:val="1"/>
      <w:numFmt w:val="bullet"/>
      <w:lvlText w:val=""/>
      <w:lvlJc w:val="left"/>
      <w:pPr>
        <w:ind w:left="720" w:hanging="360"/>
      </w:pPr>
      <w:rPr>
        <w:rFonts w:ascii="Symbol" w:hAnsi="Symbol"/>
      </w:rPr>
    </w:lvl>
    <w:lvl w:ilvl="6" w:tplc="6054CE4C">
      <w:start w:val="1"/>
      <w:numFmt w:val="bullet"/>
      <w:lvlText w:val=""/>
      <w:lvlJc w:val="left"/>
      <w:pPr>
        <w:ind w:left="720" w:hanging="360"/>
      </w:pPr>
      <w:rPr>
        <w:rFonts w:ascii="Symbol" w:hAnsi="Symbol"/>
      </w:rPr>
    </w:lvl>
    <w:lvl w:ilvl="7" w:tplc="D8B4E97A">
      <w:start w:val="1"/>
      <w:numFmt w:val="bullet"/>
      <w:lvlText w:val=""/>
      <w:lvlJc w:val="left"/>
      <w:pPr>
        <w:ind w:left="720" w:hanging="360"/>
      </w:pPr>
      <w:rPr>
        <w:rFonts w:ascii="Symbol" w:hAnsi="Symbol"/>
      </w:rPr>
    </w:lvl>
    <w:lvl w:ilvl="8" w:tplc="6E66D886">
      <w:start w:val="1"/>
      <w:numFmt w:val="bullet"/>
      <w:lvlText w:val=""/>
      <w:lvlJc w:val="left"/>
      <w:pPr>
        <w:ind w:left="720" w:hanging="360"/>
      </w:pPr>
      <w:rPr>
        <w:rFonts w:ascii="Symbol" w:hAnsi="Symbol"/>
      </w:rPr>
    </w:lvl>
  </w:abstractNum>
  <w:abstractNum w:abstractNumId="28" w15:restartNumberingAfterBreak="0">
    <w:nsid w:val="3E3F2F2C"/>
    <w:multiLevelType w:val="hybridMultilevel"/>
    <w:tmpl w:val="E8883A54"/>
    <w:lvl w:ilvl="0" w:tplc="2E6A118A">
      <w:start w:val="1"/>
      <w:numFmt w:val="bullet"/>
      <w:lvlText w:val=""/>
      <w:lvlJc w:val="left"/>
      <w:pPr>
        <w:ind w:left="720" w:hanging="360"/>
      </w:pPr>
      <w:rPr>
        <w:rFonts w:ascii="Symbol" w:hAnsi="Symbol"/>
      </w:rPr>
    </w:lvl>
    <w:lvl w:ilvl="1" w:tplc="61185F66">
      <w:start w:val="1"/>
      <w:numFmt w:val="bullet"/>
      <w:lvlText w:val=""/>
      <w:lvlJc w:val="left"/>
      <w:pPr>
        <w:ind w:left="720" w:hanging="360"/>
      </w:pPr>
      <w:rPr>
        <w:rFonts w:ascii="Symbol" w:hAnsi="Symbol"/>
      </w:rPr>
    </w:lvl>
    <w:lvl w:ilvl="2" w:tplc="30D82A22">
      <w:start w:val="1"/>
      <w:numFmt w:val="bullet"/>
      <w:lvlText w:val=""/>
      <w:lvlJc w:val="left"/>
      <w:pPr>
        <w:ind w:left="720" w:hanging="360"/>
      </w:pPr>
      <w:rPr>
        <w:rFonts w:ascii="Symbol" w:hAnsi="Symbol"/>
      </w:rPr>
    </w:lvl>
    <w:lvl w:ilvl="3" w:tplc="DAD84B32">
      <w:start w:val="1"/>
      <w:numFmt w:val="bullet"/>
      <w:lvlText w:val=""/>
      <w:lvlJc w:val="left"/>
      <w:pPr>
        <w:ind w:left="720" w:hanging="360"/>
      </w:pPr>
      <w:rPr>
        <w:rFonts w:ascii="Symbol" w:hAnsi="Symbol"/>
      </w:rPr>
    </w:lvl>
    <w:lvl w:ilvl="4" w:tplc="4F783E48">
      <w:start w:val="1"/>
      <w:numFmt w:val="bullet"/>
      <w:lvlText w:val=""/>
      <w:lvlJc w:val="left"/>
      <w:pPr>
        <w:ind w:left="720" w:hanging="360"/>
      </w:pPr>
      <w:rPr>
        <w:rFonts w:ascii="Symbol" w:hAnsi="Symbol"/>
      </w:rPr>
    </w:lvl>
    <w:lvl w:ilvl="5" w:tplc="A5009E9E">
      <w:start w:val="1"/>
      <w:numFmt w:val="bullet"/>
      <w:lvlText w:val=""/>
      <w:lvlJc w:val="left"/>
      <w:pPr>
        <w:ind w:left="720" w:hanging="360"/>
      </w:pPr>
      <w:rPr>
        <w:rFonts w:ascii="Symbol" w:hAnsi="Symbol"/>
      </w:rPr>
    </w:lvl>
    <w:lvl w:ilvl="6" w:tplc="8D36E1DE">
      <w:start w:val="1"/>
      <w:numFmt w:val="bullet"/>
      <w:lvlText w:val=""/>
      <w:lvlJc w:val="left"/>
      <w:pPr>
        <w:ind w:left="720" w:hanging="360"/>
      </w:pPr>
      <w:rPr>
        <w:rFonts w:ascii="Symbol" w:hAnsi="Symbol"/>
      </w:rPr>
    </w:lvl>
    <w:lvl w:ilvl="7" w:tplc="C682060E">
      <w:start w:val="1"/>
      <w:numFmt w:val="bullet"/>
      <w:lvlText w:val=""/>
      <w:lvlJc w:val="left"/>
      <w:pPr>
        <w:ind w:left="720" w:hanging="360"/>
      </w:pPr>
      <w:rPr>
        <w:rFonts w:ascii="Symbol" w:hAnsi="Symbol"/>
      </w:rPr>
    </w:lvl>
    <w:lvl w:ilvl="8" w:tplc="9EEC6C42">
      <w:start w:val="1"/>
      <w:numFmt w:val="bullet"/>
      <w:lvlText w:val=""/>
      <w:lvlJc w:val="left"/>
      <w:pPr>
        <w:ind w:left="720" w:hanging="360"/>
      </w:pPr>
      <w:rPr>
        <w:rFonts w:ascii="Symbol" w:hAnsi="Symbol"/>
      </w:rPr>
    </w:lvl>
  </w:abstractNum>
  <w:abstractNum w:abstractNumId="29" w15:restartNumberingAfterBreak="0">
    <w:nsid w:val="3E7F4834"/>
    <w:multiLevelType w:val="hybridMultilevel"/>
    <w:tmpl w:val="5D0614D2"/>
    <w:lvl w:ilvl="0" w:tplc="0150A116">
      <w:start w:val="1"/>
      <w:numFmt w:val="bullet"/>
      <w:lvlText w:val=""/>
      <w:lvlJc w:val="left"/>
      <w:pPr>
        <w:ind w:left="720" w:hanging="360"/>
      </w:pPr>
      <w:rPr>
        <w:rFonts w:ascii="Symbol" w:hAnsi="Symbol"/>
      </w:rPr>
    </w:lvl>
    <w:lvl w:ilvl="1" w:tplc="65340CE6">
      <w:start w:val="1"/>
      <w:numFmt w:val="bullet"/>
      <w:lvlText w:val=""/>
      <w:lvlJc w:val="left"/>
      <w:pPr>
        <w:ind w:left="720" w:hanging="360"/>
      </w:pPr>
      <w:rPr>
        <w:rFonts w:ascii="Symbol" w:hAnsi="Symbol"/>
      </w:rPr>
    </w:lvl>
    <w:lvl w:ilvl="2" w:tplc="24CE4188">
      <w:start w:val="1"/>
      <w:numFmt w:val="bullet"/>
      <w:lvlText w:val=""/>
      <w:lvlJc w:val="left"/>
      <w:pPr>
        <w:ind w:left="720" w:hanging="360"/>
      </w:pPr>
      <w:rPr>
        <w:rFonts w:ascii="Symbol" w:hAnsi="Symbol"/>
      </w:rPr>
    </w:lvl>
    <w:lvl w:ilvl="3" w:tplc="75C8D322">
      <w:start w:val="1"/>
      <w:numFmt w:val="bullet"/>
      <w:lvlText w:val=""/>
      <w:lvlJc w:val="left"/>
      <w:pPr>
        <w:ind w:left="720" w:hanging="360"/>
      </w:pPr>
      <w:rPr>
        <w:rFonts w:ascii="Symbol" w:hAnsi="Symbol"/>
      </w:rPr>
    </w:lvl>
    <w:lvl w:ilvl="4" w:tplc="689CBC04">
      <w:start w:val="1"/>
      <w:numFmt w:val="bullet"/>
      <w:lvlText w:val=""/>
      <w:lvlJc w:val="left"/>
      <w:pPr>
        <w:ind w:left="720" w:hanging="360"/>
      </w:pPr>
      <w:rPr>
        <w:rFonts w:ascii="Symbol" w:hAnsi="Symbol"/>
      </w:rPr>
    </w:lvl>
    <w:lvl w:ilvl="5" w:tplc="8C46BB7E">
      <w:start w:val="1"/>
      <w:numFmt w:val="bullet"/>
      <w:lvlText w:val=""/>
      <w:lvlJc w:val="left"/>
      <w:pPr>
        <w:ind w:left="720" w:hanging="360"/>
      </w:pPr>
      <w:rPr>
        <w:rFonts w:ascii="Symbol" w:hAnsi="Symbol"/>
      </w:rPr>
    </w:lvl>
    <w:lvl w:ilvl="6" w:tplc="4732CB3A">
      <w:start w:val="1"/>
      <w:numFmt w:val="bullet"/>
      <w:lvlText w:val=""/>
      <w:lvlJc w:val="left"/>
      <w:pPr>
        <w:ind w:left="720" w:hanging="360"/>
      </w:pPr>
      <w:rPr>
        <w:rFonts w:ascii="Symbol" w:hAnsi="Symbol"/>
      </w:rPr>
    </w:lvl>
    <w:lvl w:ilvl="7" w:tplc="1250C31E">
      <w:start w:val="1"/>
      <w:numFmt w:val="bullet"/>
      <w:lvlText w:val=""/>
      <w:lvlJc w:val="left"/>
      <w:pPr>
        <w:ind w:left="720" w:hanging="360"/>
      </w:pPr>
      <w:rPr>
        <w:rFonts w:ascii="Symbol" w:hAnsi="Symbol"/>
      </w:rPr>
    </w:lvl>
    <w:lvl w:ilvl="8" w:tplc="08CCB7A6">
      <w:start w:val="1"/>
      <w:numFmt w:val="bullet"/>
      <w:lvlText w:val=""/>
      <w:lvlJc w:val="left"/>
      <w:pPr>
        <w:ind w:left="720" w:hanging="360"/>
      </w:pPr>
      <w:rPr>
        <w:rFonts w:ascii="Symbol" w:hAnsi="Symbol"/>
      </w:rPr>
    </w:lvl>
  </w:abstractNum>
  <w:abstractNum w:abstractNumId="30" w15:restartNumberingAfterBreak="0">
    <w:nsid w:val="477B74C4"/>
    <w:multiLevelType w:val="hybridMultilevel"/>
    <w:tmpl w:val="A9747058"/>
    <w:lvl w:ilvl="0" w:tplc="6DDE3DDA">
      <w:start w:val="1"/>
      <w:numFmt w:val="bullet"/>
      <w:lvlText w:val=""/>
      <w:lvlJc w:val="left"/>
      <w:pPr>
        <w:ind w:left="720" w:hanging="360"/>
      </w:pPr>
      <w:rPr>
        <w:rFonts w:ascii="Symbol" w:hAnsi="Symbol"/>
      </w:rPr>
    </w:lvl>
    <w:lvl w:ilvl="1" w:tplc="34E6DF92">
      <w:start w:val="1"/>
      <w:numFmt w:val="bullet"/>
      <w:lvlText w:val=""/>
      <w:lvlJc w:val="left"/>
      <w:pPr>
        <w:ind w:left="720" w:hanging="360"/>
      </w:pPr>
      <w:rPr>
        <w:rFonts w:ascii="Symbol" w:hAnsi="Symbol"/>
      </w:rPr>
    </w:lvl>
    <w:lvl w:ilvl="2" w:tplc="84345E84">
      <w:start w:val="1"/>
      <w:numFmt w:val="bullet"/>
      <w:lvlText w:val=""/>
      <w:lvlJc w:val="left"/>
      <w:pPr>
        <w:ind w:left="720" w:hanging="360"/>
      </w:pPr>
      <w:rPr>
        <w:rFonts w:ascii="Symbol" w:hAnsi="Symbol"/>
      </w:rPr>
    </w:lvl>
    <w:lvl w:ilvl="3" w:tplc="841CCA38">
      <w:start w:val="1"/>
      <w:numFmt w:val="bullet"/>
      <w:lvlText w:val=""/>
      <w:lvlJc w:val="left"/>
      <w:pPr>
        <w:ind w:left="720" w:hanging="360"/>
      </w:pPr>
      <w:rPr>
        <w:rFonts w:ascii="Symbol" w:hAnsi="Symbol"/>
      </w:rPr>
    </w:lvl>
    <w:lvl w:ilvl="4" w:tplc="7B304300">
      <w:start w:val="1"/>
      <w:numFmt w:val="bullet"/>
      <w:lvlText w:val=""/>
      <w:lvlJc w:val="left"/>
      <w:pPr>
        <w:ind w:left="720" w:hanging="360"/>
      </w:pPr>
      <w:rPr>
        <w:rFonts w:ascii="Symbol" w:hAnsi="Symbol"/>
      </w:rPr>
    </w:lvl>
    <w:lvl w:ilvl="5" w:tplc="E684FC36">
      <w:start w:val="1"/>
      <w:numFmt w:val="bullet"/>
      <w:lvlText w:val=""/>
      <w:lvlJc w:val="left"/>
      <w:pPr>
        <w:ind w:left="720" w:hanging="360"/>
      </w:pPr>
      <w:rPr>
        <w:rFonts w:ascii="Symbol" w:hAnsi="Symbol"/>
      </w:rPr>
    </w:lvl>
    <w:lvl w:ilvl="6" w:tplc="35A8C34A">
      <w:start w:val="1"/>
      <w:numFmt w:val="bullet"/>
      <w:lvlText w:val=""/>
      <w:lvlJc w:val="left"/>
      <w:pPr>
        <w:ind w:left="720" w:hanging="360"/>
      </w:pPr>
      <w:rPr>
        <w:rFonts w:ascii="Symbol" w:hAnsi="Symbol"/>
      </w:rPr>
    </w:lvl>
    <w:lvl w:ilvl="7" w:tplc="7C286F6E">
      <w:start w:val="1"/>
      <w:numFmt w:val="bullet"/>
      <w:lvlText w:val=""/>
      <w:lvlJc w:val="left"/>
      <w:pPr>
        <w:ind w:left="720" w:hanging="360"/>
      </w:pPr>
      <w:rPr>
        <w:rFonts w:ascii="Symbol" w:hAnsi="Symbol"/>
      </w:rPr>
    </w:lvl>
    <w:lvl w:ilvl="8" w:tplc="466CF45C">
      <w:start w:val="1"/>
      <w:numFmt w:val="bullet"/>
      <w:lvlText w:val=""/>
      <w:lvlJc w:val="left"/>
      <w:pPr>
        <w:ind w:left="720" w:hanging="360"/>
      </w:pPr>
      <w:rPr>
        <w:rFonts w:ascii="Symbol" w:hAnsi="Symbol"/>
      </w:rPr>
    </w:lvl>
  </w:abstractNum>
  <w:abstractNum w:abstractNumId="31" w15:restartNumberingAfterBreak="0">
    <w:nsid w:val="50336B0D"/>
    <w:multiLevelType w:val="hybridMultilevel"/>
    <w:tmpl w:val="5D54CD1A"/>
    <w:lvl w:ilvl="0" w:tplc="4EDE096A">
      <w:start w:val="1"/>
      <w:numFmt w:val="lowerRoman"/>
      <w:pStyle w:val="Numberbullet3"/>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0853B72"/>
    <w:multiLevelType w:val="hybridMultilevel"/>
    <w:tmpl w:val="863AEF5E"/>
    <w:lvl w:ilvl="0" w:tplc="9448068E">
      <w:start w:val="1"/>
      <w:numFmt w:val="bullet"/>
      <w:lvlText w:val=""/>
      <w:lvlJc w:val="left"/>
      <w:pPr>
        <w:ind w:left="720" w:hanging="360"/>
      </w:pPr>
      <w:rPr>
        <w:rFonts w:ascii="Symbol" w:hAnsi="Symbol"/>
      </w:rPr>
    </w:lvl>
    <w:lvl w:ilvl="1" w:tplc="EBE8C2A0">
      <w:start w:val="1"/>
      <w:numFmt w:val="bullet"/>
      <w:lvlText w:val=""/>
      <w:lvlJc w:val="left"/>
      <w:pPr>
        <w:ind w:left="720" w:hanging="360"/>
      </w:pPr>
      <w:rPr>
        <w:rFonts w:ascii="Symbol" w:hAnsi="Symbol"/>
      </w:rPr>
    </w:lvl>
    <w:lvl w:ilvl="2" w:tplc="056EAACE">
      <w:start w:val="1"/>
      <w:numFmt w:val="bullet"/>
      <w:lvlText w:val=""/>
      <w:lvlJc w:val="left"/>
      <w:pPr>
        <w:ind w:left="720" w:hanging="360"/>
      </w:pPr>
      <w:rPr>
        <w:rFonts w:ascii="Symbol" w:hAnsi="Symbol"/>
      </w:rPr>
    </w:lvl>
    <w:lvl w:ilvl="3" w:tplc="4622EA58">
      <w:start w:val="1"/>
      <w:numFmt w:val="bullet"/>
      <w:lvlText w:val=""/>
      <w:lvlJc w:val="left"/>
      <w:pPr>
        <w:ind w:left="720" w:hanging="360"/>
      </w:pPr>
      <w:rPr>
        <w:rFonts w:ascii="Symbol" w:hAnsi="Symbol"/>
      </w:rPr>
    </w:lvl>
    <w:lvl w:ilvl="4" w:tplc="CE063168">
      <w:start w:val="1"/>
      <w:numFmt w:val="bullet"/>
      <w:lvlText w:val=""/>
      <w:lvlJc w:val="left"/>
      <w:pPr>
        <w:ind w:left="720" w:hanging="360"/>
      </w:pPr>
      <w:rPr>
        <w:rFonts w:ascii="Symbol" w:hAnsi="Symbol"/>
      </w:rPr>
    </w:lvl>
    <w:lvl w:ilvl="5" w:tplc="C556FC78">
      <w:start w:val="1"/>
      <w:numFmt w:val="bullet"/>
      <w:lvlText w:val=""/>
      <w:lvlJc w:val="left"/>
      <w:pPr>
        <w:ind w:left="720" w:hanging="360"/>
      </w:pPr>
      <w:rPr>
        <w:rFonts w:ascii="Symbol" w:hAnsi="Symbol"/>
      </w:rPr>
    </w:lvl>
    <w:lvl w:ilvl="6" w:tplc="555C1D00">
      <w:start w:val="1"/>
      <w:numFmt w:val="bullet"/>
      <w:lvlText w:val=""/>
      <w:lvlJc w:val="left"/>
      <w:pPr>
        <w:ind w:left="720" w:hanging="360"/>
      </w:pPr>
      <w:rPr>
        <w:rFonts w:ascii="Symbol" w:hAnsi="Symbol"/>
      </w:rPr>
    </w:lvl>
    <w:lvl w:ilvl="7" w:tplc="DC46EE4C">
      <w:start w:val="1"/>
      <w:numFmt w:val="bullet"/>
      <w:lvlText w:val=""/>
      <w:lvlJc w:val="left"/>
      <w:pPr>
        <w:ind w:left="720" w:hanging="360"/>
      </w:pPr>
      <w:rPr>
        <w:rFonts w:ascii="Symbol" w:hAnsi="Symbol"/>
      </w:rPr>
    </w:lvl>
    <w:lvl w:ilvl="8" w:tplc="8A6843AA">
      <w:start w:val="1"/>
      <w:numFmt w:val="bullet"/>
      <w:lvlText w:val=""/>
      <w:lvlJc w:val="left"/>
      <w:pPr>
        <w:ind w:left="720" w:hanging="360"/>
      </w:pPr>
      <w:rPr>
        <w:rFonts w:ascii="Symbol" w:hAnsi="Symbol"/>
      </w:rPr>
    </w:lvl>
  </w:abstractNum>
  <w:abstractNum w:abstractNumId="33" w15:restartNumberingAfterBreak="0">
    <w:nsid w:val="55113885"/>
    <w:multiLevelType w:val="hybridMultilevel"/>
    <w:tmpl w:val="F7CE218E"/>
    <w:lvl w:ilvl="0" w:tplc="94D09322">
      <w:start w:val="1"/>
      <w:numFmt w:val="bullet"/>
      <w:lvlText w:val=""/>
      <w:lvlJc w:val="left"/>
      <w:pPr>
        <w:ind w:left="720" w:hanging="360"/>
      </w:pPr>
      <w:rPr>
        <w:rFonts w:ascii="Symbol" w:hAnsi="Symbol"/>
      </w:rPr>
    </w:lvl>
    <w:lvl w:ilvl="1" w:tplc="228A48C8">
      <w:start w:val="1"/>
      <w:numFmt w:val="bullet"/>
      <w:lvlText w:val=""/>
      <w:lvlJc w:val="left"/>
      <w:pPr>
        <w:ind w:left="720" w:hanging="360"/>
      </w:pPr>
      <w:rPr>
        <w:rFonts w:ascii="Symbol" w:hAnsi="Symbol"/>
      </w:rPr>
    </w:lvl>
    <w:lvl w:ilvl="2" w:tplc="A7889522">
      <w:start w:val="1"/>
      <w:numFmt w:val="bullet"/>
      <w:lvlText w:val=""/>
      <w:lvlJc w:val="left"/>
      <w:pPr>
        <w:ind w:left="720" w:hanging="360"/>
      </w:pPr>
      <w:rPr>
        <w:rFonts w:ascii="Symbol" w:hAnsi="Symbol"/>
      </w:rPr>
    </w:lvl>
    <w:lvl w:ilvl="3" w:tplc="CAA009EE">
      <w:start w:val="1"/>
      <w:numFmt w:val="bullet"/>
      <w:lvlText w:val=""/>
      <w:lvlJc w:val="left"/>
      <w:pPr>
        <w:ind w:left="720" w:hanging="360"/>
      </w:pPr>
      <w:rPr>
        <w:rFonts w:ascii="Symbol" w:hAnsi="Symbol"/>
      </w:rPr>
    </w:lvl>
    <w:lvl w:ilvl="4" w:tplc="634CAF4E">
      <w:start w:val="1"/>
      <w:numFmt w:val="bullet"/>
      <w:lvlText w:val=""/>
      <w:lvlJc w:val="left"/>
      <w:pPr>
        <w:ind w:left="720" w:hanging="360"/>
      </w:pPr>
      <w:rPr>
        <w:rFonts w:ascii="Symbol" w:hAnsi="Symbol"/>
      </w:rPr>
    </w:lvl>
    <w:lvl w:ilvl="5" w:tplc="CE8EB95C">
      <w:start w:val="1"/>
      <w:numFmt w:val="bullet"/>
      <w:lvlText w:val=""/>
      <w:lvlJc w:val="left"/>
      <w:pPr>
        <w:ind w:left="720" w:hanging="360"/>
      </w:pPr>
      <w:rPr>
        <w:rFonts w:ascii="Symbol" w:hAnsi="Symbol"/>
      </w:rPr>
    </w:lvl>
    <w:lvl w:ilvl="6" w:tplc="9C981FBE">
      <w:start w:val="1"/>
      <w:numFmt w:val="bullet"/>
      <w:lvlText w:val=""/>
      <w:lvlJc w:val="left"/>
      <w:pPr>
        <w:ind w:left="720" w:hanging="360"/>
      </w:pPr>
      <w:rPr>
        <w:rFonts w:ascii="Symbol" w:hAnsi="Symbol"/>
      </w:rPr>
    </w:lvl>
    <w:lvl w:ilvl="7" w:tplc="15D2663C">
      <w:start w:val="1"/>
      <w:numFmt w:val="bullet"/>
      <w:lvlText w:val=""/>
      <w:lvlJc w:val="left"/>
      <w:pPr>
        <w:ind w:left="720" w:hanging="360"/>
      </w:pPr>
      <w:rPr>
        <w:rFonts w:ascii="Symbol" w:hAnsi="Symbol"/>
      </w:rPr>
    </w:lvl>
    <w:lvl w:ilvl="8" w:tplc="A3CEBD18">
      <w:start w:val="1"/>
      <w:numFmt w:val="bullet"/>
      <w:lvlText w:val=""/>
      <w:lvlJc w:val="left"/>
      <w:pPr>
        <w:ind w:left="720" w:hanging="360"/>
      </w:pPr>
      <w:rPr>
        <w:rFonts w:ascii="Symbol" w:hAnsi="Symbol"/>
      </w:rPr>
    </w:lvl>
  </w:abstractNum>
  <w:abstractNum w:abstractNumId="34" w15:restartNumberingAfterBreak="0">
    <w:nsid w:val="5CF563C3"/>
    <w:multiLevelType w:val="hybridMultilevel"/>
    <w:tmpl w:val="1B563ADC"/>
    <w:lvl w:ilvl="0" w:tplc="8C18060A">
      <w:start w:val="1"/>
      <w:numFmt w:val="bullet"/>
      <w:lvlText w:val=""/>
      <w:lvlJc w:val="left"/>
      <w:pPr>
        <w:ind w:left="720" w:hanging="360"/>
      </w:pPr>
      <w:rPr>
        <w:rFonts w:ascii="Symbol" w:hAnsi="Symbol"/>
      </w:rPr>
    </w:lvl>
    <w:lvl w:ilvl="1" w:tplc="03EA6AF8">
      <w:start w:val="1"/>
      <w:numFmt w:val="bullet"/>
      <w:lvlText w:val=""/>
      <w:lvlJc w:val="left"/>
      <w:pPr>
        <w:ind w:left="720" w:hanging="360"/>
      </w:pPr>
      <w:rPr>
        <w:rFonts w:ascii="Symbol" w:hAnsi="Symbol"/>
      </w:rPr>
    </w:lvl>
    <w:lvl w:ilvl="2" w:tplc="0E38D4CE">
      <w:start w:val="1"/>
      <w:numFmt w:val="bullet"/>
      <w:lvlText w:val=""/>
      <w:lvlJc w:val="left"/>
      <w:pPr>
        <w:ind w:left="720" w:hanging="360"/>
      </w:pPr>
      <w:rPr>
        <w:rFonts w:ascii="Symbol" w:hAnsi="Symbol"/>
      </w:rPr>
    </w:lvl>
    <w:lvl w:ilvl="3" w:tplc="9618B776">
      <w:start w:val="1"/>
      <w:numFmt w:val="bullet"/>
      <w:lvlText w:val=""/>
      <w:lvlJc w:val="left"/>
      <w:pPr>
        <w:ind w:left="720" w:hanging="360"/>
      </w:pPr>
      <w:rPr>
        <w:rFonts w:ascii="Symbol" w:hAnsi="Symbol"/>
      </w:rPr>
    </w:lvl>
    <w:lvl w:ilvl="4" w:tplc="C14E86C8">
      <w:start w:val="1"/>
      <w:numFmt w:val="bullet"/>
      <w:lvlText w:val=""/>
      <w:lvlJc w:val="left"/>
      <w:pPr>
        <w:ind w:left="720" w:hanging="360"/>
      </w:pPr>
      <w:rPr>
        <w:rFonts w:ascii="Symbol" w:hAnsi="Symbol"/>
      </w:rPr>
    </w:lvl>
    <w:lvl w:ilvl="5" w:tplc="14F44760">
      <w:start w:val="1"/>
      <w:numFmt w:val="bullet"/>
      <w:lvlText w:val=""/>
      <w:lvlJc w:val="left"/>
      <w:pPr>
        <w:ind w:left="720" w:hanging="360"/>
      </w:pPr>
      <w:rPr>
        <w:rFonts w:ascii="Symbol" w:hAnsi="Symbol"/>
      </w:rPr>
    </w:lvl>
    <w:lvl w:ilvl="6" w:tplc="BD5017E4">
      <w:start w:val="1"/>
      <w:numFmt w:val="bullet"/>
      <w:lvlText w:val=""/>
      <w:lvlJc w:val="left"/>
      <w:pPr>
        <w:ind w:left="720" w:hanging="360"/>
      </w:pPr>
      <w:rPr>
        <w:rFonts w:ascii="Symbol" w:hAnsi="Symbol"/>
      </w:rPr>
    </w:lvl>
    <w:lvl w:ilvl="7" w:tplc="D01675D6">
      <w:start w:val="1"/>
      <w:numFmt w:val="bullet"/>
      <w:lvlText w:val=""/>
      <w:lvlJc w:val="left"/>
      <w:pPr>
        <w:ind w:left="720" w:hanging="360"/>
      </w:pPr>
      <w:rPr>
        <w:rFonts w:ascii="Symbol" w:hAnsi="Symbol"/>
      </w:rPr>
    </w:lvl>
    <w:lvl w:ilvl="8" w:tplc="064E4066">
      <w:start w:val="1"/>
      <w:numFmt w:val="bullet"/>
      <w:lvlText w:val=""/>
      <w:lvlJc w:val="left"/>
      <w:pPr>
        <w:ind w:left="720" w:hanging="360"/>
      </w:pPr>
      <w:rPr>
        <w:rFonts w:ascii="Symbol" w:hAnsi="Symbol"/>
      </w:rPr>
    </w:lvl>
  </w:abstractNum>
  <w:abstractNum w:abstractNumId="35" w15:restartNumberingAfterBreak="0">
    <w:nsid w:val="625D4B93"/>
    <w:multiLevelType w:val="hybridMultilevel"/>
    <w:tmpl w:val="0B2020C4"/>
    <w:lvl w:ilvl="0" w:tplc="853022B6">
      <w:start w:val="1"/>
      <w:numFmt w:val="bullet"/>
      <w:lvlText w:val=""/>
      <w:lvlJc w:val="left"/>
      <w:pPr>
        <w:ind w:left="720" w:hanging="360"/>
      </w:pPr>
      <w:rPr>
        <w:rFonts w:ascii="Symbol" w:hAnsi="Symbol"/>
      </w:rPr>
    </w:lvl>
    <w:lvl w:ilvl="1" w:tplc="1CFAF548">
      <w:start w:val="1"/>
      <w:numFmt w:val="bullet"/>
      <w:lvlText w:val=""/>
      <w:lvlJc w:val="left"/>
      <w:pPr>
        <w:ind w:left="720" w:hanging="360"/>
      </w:pPr>
      <w:rPr>
        <w:rFonts w:ascii="Symbol" w:hAnsi="Symbol"/>
      </w:rPr>
    </w:lvl>
    <w:lvl w:ilvl="2" w:tplc="6B868878">
      <w:start w:val="1"/>
      <w:numFmt w:val="bullet"/>
      <w:lvlText w:val=""/>
      <w:lvlJc w:val="left"/>
      <w:pPr>
        <w:ind w:left="720" w:hanging="360"/>
      </w:pPr>
      <w:rPr>
        <w:rFonts w:ascii="Symbol" w:hAnsi="Symbol"/>
      </w:rPr>
    </w:lvl>
    <w:lvl w:ilvl="3" w:tplc="E60050B8">
      <w:start w:val="1"/>
      <w:numFmt w:val="bullet"/>
      <w:lvlText w:val=""/>
      <w:lvlJc w:val="left"/>
      <w:pPr>
        <w:ind w:left="720" w:hanging="360"/>
      </w:pPr>
      <w:rPr>
        <w:rFonts w:ascii="Symbol" w:hAnsi="Symbol"/>
      </w:rPr>
    </w:lvl>
    <w:lvl w:ilvl="4" w:tplc="3B023C0C">
      <w:start w:val="1"/>
      <w:numFmt w:val="bullet"/>
      <w:lvlText w:val=""/>
      <w:lvlJc w:val="left"/>
      <w:pPr>
        <w:ind w:left="720" w:hanging="360"/>
      </w:pPr>
      <w:rPr>
        <w:rFonts w:ascii="Symbol" w:hAnsi="Symbol"/>
      </w:rPr>
    </w:lvl>
    <w:lvl w:ilvl="5" w:tplc="F4D085BE">
      <w:start w:val="1"/>
      <w:numFmt w:val="bullet"/>
      <w:lvlText w:val=""/>
      <w:lvlJc w:val="left"/>
      <w:pPr>
        <w:ind w:left="720" w:hanging="360"/>
      </w:pPr>
      <w:rPr>
        <w:rFonts w:ascii="Symbol" w:hAnsi="Symbol"/>
      </w:rPr>
    </w:lvl>
    <w:lvl w:ilvl="6" w:tplc="3F1459F6">
      <w:start w:val="1"/>
      <w:numFmt w:val="bullet"/>
      <w:lvlText w:val=""/>
      <w:lvlJc w:val="left"/>
      <w:pPr>
        <w:ind w:left="720" w:hanging="360"/>
      </w:pPr>
      <w:rPr>
        <w:rFonts w:ascii="Symbol" w:hAnsi="Symbol"/>
      </w:rPr>
    </w:lvl>
    <w:lvl w:ilvl="7" w:tplc="93F6DE68">
      <w:start w:val="1"/>
      <w:numFmt w:val="bullet"/>
      <w:lvlText w:val=""/>
      <w:lvlJc w:val="left"/>
      <w:pPr>
        <w:ind w:left="720" w:hanging="360"/>
      </w:pPr>
      <w:rPr>
        <w:rFonts w:ascii="Symbol" w:hAnsi="Symbol"/>
      </w:rPr>
    </w:lvl>
    <w:lvl w:ilvl="8" w:tplc="BE80AA70">
      <w:start w:val="1"/>
      <w:numFmt w:val="bullet"/>
      <w:lvlText w:val=""/>
      <w:lvlJc w:val="left"/>
      <w:pPr>
        <w:ind w:left="720" w:hanging="360"/>
      </w:pPr>
      <w:rPr>
        <w:rFonts w:ascii="Symbol" w:hAnsi="Symbol"/>
      </w:rPr>
    </w:lvl>
  </w:abstractNum>
  <w:abstractNum w:abstractNumId="36" w15:restartNumberingAfterBreak="0">
    <w:nsid w:val="67376854"/>
    <w:multiLevelType w:val="hybridMultilevel"/>
    <w:tmpl w:val="51742ED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834636A"/>
    <w:multiLevelType w:val="hybridMultilevel"/>
    <w:tmpl w:val="2CD06C3E"/>
    <w:lvl w:ilvl="0" w:tplc="28D4A748">
      <w:start w:val="1"/>
      <w:numFmt w:val="bullet"/>
      <w:lvlText w:val=""/>
      <w:lvlJc w:val="left"/>
      <w:pPr>
        <w:ind w:left="720" w:hanging="360"/>
      </w:pPr>
      <w:rPr>
        <w:rFonts w:ascii="Symbol" w:hAnsi="Symbol"/>
      </w:rPr>
    </w:lvl>
    <w:lvl w:ilvl="1" w:tplc="15D4B5AC">
      <w:start w:val="1"/>
      <w:numFmt w:val="bullet"/>
      <w:lvlText w:val=""/>
      <w:lvlJc w:val="left"/>
      <w:pPr>
        <w:ind w:left="720" w:hanging="360"/>
      </w:pPr>
      <w:rPr>
        <w:rFonts w:ascii="Symbol" w:hAnsi="Symbol"/>
      </w:rPr>
    </w:lvl>
    <w:lvl w:ilvl="2" w:tplc="12CEC29E">
      <w:start w:val="1"/>
      <w:numFmt w:val="bullet"/>
      <w:lvlText w:val=""/>
      <w:lvlJc w:val="left"/>
      <w:pPr>
        <w:ind w:left="720" w:hanging="360"/>
      </w:pPr>
      <w:rPr>
        <w:rFonts w:ascii="Symbol" w:hAnsi="Symbol"/>
      </w:rPr>
    </w:lvl>
    <w:lvl w:ilvl="3" w:tplc="9934DAF8">
      <w:start w:val="1"/>
      <w:numFmt w:val="bullet"/>
      <w:lvlText w:val=""/>
      <w:lvlJc w:val="left"/>
      <w:pPr>
        <w:ind w:left="720" w:hanging="360"/>
      </w:pPr>
      <w:rPr>
        <w:rFonts w:ascii="Symbol" w:hAnsi="Symbol"/>
      </w:rPr>
    </w:lvl>
    <w:lvl w:ilvl="4" w:tplc="D5B2A616">
      <w:start w:val="1"/>
      <w:numFmt w:val="bullet"/>
      <w:lvlText w:val=""/>
      <w:lvlJc w:val="left"/>
      <w:pPr>
        <w:ind w:left="720" w:hanging="360"/>
      </w:pPr>
      <w:rPr>
        <w:rFonts w:ascii="Symbol" w:hAnsi="Symbol"/>
      </w:rPr>
    </w:lvl>
    <w:lvl w:ilvl="5" w:tplc="3D928CCC">
      <w:start w:val="1"/>
      <w:numFmt w:val="bullet"/>
      <w:lvlText w:val=""/>
      <w:lvlJc w:val="left"/>
      <w:pPr>
        <w:ind w:left="720" w:hanging="360"/>
      </w:pPr>
      <w:rPr>
        <w:rFonts w:ascii="Symbol" w:hAnsi="Symbol"/>
      </w:rPr>
    </w:lvl>
    <w:lvl w:ilvl="6" w:tplc="1884C1FA">
      <w:start w:val="1"/>
      <w:numFmt w:val="bullet"/>
      <w:lvlText w:val=""/>
      <w:lvlJc w:val="left"/>
      <w:pPr>
        <w:ind w:left="720" w:hanging="360"/>
      </w:pPr>
      <w:rPr>
        <w:rFonts w:ascii="Symbol" w:hAnsi="Symbol"/>
      </w:rPr>
    </w:lvl>
    <w:lvl w:ilvl="7" w:tplc="262852BA">
      <w:start w:val="1"/>
      <w:numFmt w:val="bullet"/>
      <w:lvlText w:val=""/>
      <w:lvlJc w:val="left"/>
      <w:pPr>
        <w:ind w:left="720" w:hanging="360"/>
      </w:pPr>
      <w:rPr>
        <w:rFonts w:ascii="Symbol" w:hAnsi="Symbol"/>
      </w:rPr>
    </w:lvl>
    <w:lvl w:ilvl="8" w:tplc="3C864FF0">
      <w:start w:val="1"/>
      <w:numFmt w:val="bullet"/>
      <w:lvlText w:val=""/>
      <w:lvlJc w:val="left"/>
      <w:pPr>
        <w:ind w:left="720" w:hanging="360"/>
      </w:pPr>
      <w:rPr>
        <w:rFonts w:ascii="Symbol" w:hAnsi="Symbol"/>
      </w:rPr>
    </w:lvl>
  </w:abstractNum>
  <w:abstractNum w:abstractNumId="38" w15:restartNumberingAfterBreak="0">
    <w:nsid w:val="70FC37A3"/>
    <w:multiLevelType w:val="hybridMultilevel"/>
    <w:tmpl w:val="8C4828E0"/>
    <w:lvl w:ilvl="0" w:tplc="600AE75A">
      <w:start w:val="1"/>
      <w:numFmt w:val="lowerLetter"/>
      <w:lvlText w:val="(%1)"/>
      <w:lvlJc w:val="left"/>
      <w:pPr>
        <w:ind w:left="1440" w:hanging="360"/>
      </w:pPr>
      <w:rPr>
        <w:rFonts w:hint="default"/>
      </w:rPr>
    </w:lvl>
    <w:lvl w:ilvl="1" w:tplc="83F27CEC">
      <w:start w:val="1"/>
      <w:numFmt w:val="lowerRoman"/>
      <w:lvlText w:val="(%2)"/>
      <w:lvlJc w:val="left"/>
      <w:pPr>
        <w:ind w:left="2160" w:hanging="360"/>
      </w:pPr>
      <w:rPr>
        <w:rFonts w:hint="default"/>
      </w:r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9" w15:restartNumberingAfterBreak="0">
    <w:nsid w:val="71BD4248"/>
    <w:multiLevelType w:val="hybridMultilevel"/>
    <w:tmpl w:val="F25EC6BC"/>
    <w:lvl w:ilvl="0" w:tplc="C2FCC84A">
      <w:start w:val="1"/>
      <w:numFmt w:val="bullet"/>
      <w:lvlText w:val=""/>
      <w:lvlJc w:val="left"/>
      <w:pPr>
        <w:ind w:left="720" w:hanging="360"/>
      </w:pPr>
      <w:rPr>
        <w:rFonts w:ascii="Symbol" w:hAnsi="Symbol"/>
      </w:rPr>
    </w:lvl>
    <w:lvl w:ilvl="1" w:tplc="446C410A">
      <w:start w:val="1"/>
      <w:numFmt w:val="bullet"/>
      <w:lvlText w:val=""/>
      <w:lvlJc w:val="left"/>
      <w:pPr>
        <w:ind w:left="720" w:hanging="360"/>
      </w:pPr>
      <w:rPr>
        <w:rFonts w:ascii="Symbol" w:hAnsi="Symbol"/>
      </w:rPr>
    </w:lvl>
    <w:lvl w:ilvl="2" w:tplc="A33A77D8">
      <w:start w:val="1"/>
      <w:numFmt w:val="bullet"/>
      <w:lvlText w:val=""/>
      <w:lvlJc w:val="left"/>
      <w:pPr>
        <w:ind w:left="720" w:hanging="360"/>
      </w:pPr>
      <w:rPr>
        <w:rFonts w:ascii="Symbol" w:hAnsi="Symbol"/>
      </w:rPr>
    </w:lvl>
    <w:lvl w:ilvl="3" w:tplc="02A825E8">
      <w:start w:val="1"/>
      <w:numFmt w:val="bullet"/>
      <w:lvlText w:val=""/>
      <w:lvlJc w:val="left"/>
      <w:pPr>
        <w:ind w:left="720" w:hanging="360"/>
      </w:pPr>
      <w:rPr>
        <w:rFonts w:ascii="Symbol" w:hAnsi="Symbol"/>
      </w:rPr>
    </w:lvl>
    <w:lvl w:ilvl="4" w:tplc="AF0CEF70">
      <w:start w:val="1"/>
      <w:numFmt w:val="bullet"/>
      <w:lvlText w:val=""/>
      <w:lvlJc w:val="left"/>
      <w:pPr>
        <w:ind w:left="720" w:hanging="360"/>
      </w:pPr>
      <w:rPr>
        <w:rFonts w:ascii="Symbol" w:hAnsi="Symbol"/>
      </w:rPr>
    </w:lvl>
    <w:lvl w:ilvl="5" w:tplc="349EF0D6">
      <w:start w:val="1"/>
      <w:numFmt w:val="bullet"/>
      <w:lvlText w:val=""/>
      <w:lvlJc w:val="left"/>
      <w:pPr>
        <w:ind w:left="720" w:hanging="360"/>
      </w:pPr>
      <w:rPr>
        <w:rFonts w:ascii="Symbol" w:hAnsi="Symbol"/>
      </w:rPr>
    </w:lvl>
    <w:lvl w:ilvl="6" w:tplc="FB92B22E">
      <w:start w:val="1"/>
      <w:numFmt w:val="bullet"/>
      <w:lvlText w:val=""/>
      <w:lvlJc w:val="left"/>
      <w:pPr>
        <w:ind w:left="720" w:hanging="360"/>
      </w:pPr>
      <w:rPr>
        <w:rFonts w:ascii="Symbol" w:hAnsi="Symbol"/>
      </w:rPr>
    </w:lvl>
    <w:lvl w:ilvl="7" w:tplc="02421C50">
      <w:start w:val="1"/>
      <w:numFmt w:val="bullet"/>
      <w:lvlText w:val=""/>
      <w:lvlJc w:val="left"/>
      <w:pPr>
        <w:ind w:left="720" w:hanging="360"/>
      </w:pPr>
      <w:rPr>
        <w:rFonts w:ascii="Symbol" w:hAnsi="Symbol"/>
      </w:rPr>
    </w:lvl>
    <w:lvl w:ilvl="8" w:tplc="AE8A5F3E">
      <w:start w:val="1"/>
      <w:numFmt w:val="bullet"/>
      <w:lvlText w:val=""/>
      <w:lvlJc w:val="left"/>
      <w:pPr>
        <w:ind w:left="720" w:hanging="360"/>
      </w:pPr>
      <w:rPr>
        <w:rFonts w:ascii="Symbol" w:hAnsi="Symbol"/>
      </w:rPr>
    </w:lvl>
  </w:abstractNum>
  <w:abstractNum w:abstractNumId="40" w15:restartNumberingAfterBreak="0">
    <w:nsid w:val="75FA5A50"/>
    <w:multiLevelType w:val="hybridMultilevel"/>
    <w:tmpl w:val="0FB61DC8"/>
    <w:lvl w:ilvl="0" w:tplc="DCD6A4BC">
      <w:start w:val="1"/>
      <w:numFmt w:val="bullet"/>
      <w:lvlText w:val=""/>
      <w:lvlJc w:val="left"/>
      <w:pPr>
        <w:ind w:left="720" w:hanging="360"/>
      </w:pPr>
      <w:rPr>
        <w:rFonts w:ascii="Symbol" w:hAnsi="Symbol"/>
      </w:rPr>
    </w:lvl>
    <w:lvl w:ilvl="1" w:tplc="5640675A">
      <w:start w:val="1"/>
      <w:numFmt w:val="bullet"/>
      <w:lvlText w:val=""/>
      <w:lvlJc w:val="left"/>
      <w:pPr>
        <w:ind w:left="720" w:hanging="360"/>
      </w:pPr>
      <w:rPr>
        <w:rFonts w:ascii="Symbol" w:hAnsi="Symbol"/>
      </w:rPr>
    </w:lvl>
    <w:lvl w:ilvl="2" w:tplc="5BAEA6EE">
      <w:start w:val="1"/>
      <w:numFmt w:val="bullet"/>
      <w:lvlText w:val=""/>
      <w:lvlJc w:val="left"/>
      <w:pPr>
        <w:ind w:left="720" w:hanging="360"/>
      </w:pPr>
      <w:rPr>
        <w:rFonts w:ascii="Symbol" w:hAnsi="Symbol"/>
      </w:rPr>
    </w:lvl>
    <w:lvl w:ilvl="3" w:tplc="A0822FF8">
      <w:start w:val="1"/>
      <w:numFmt w:val="bullet"/>
      <w:lvlText w:val=""/>
      <w:lvlJc w:val="left"/>
      <w:pPr>
        <w:ind w:left="720" w:hanging="360"/>
      </w:pPr>
      <w:rPr>
        <w:rFonts w:ascii="Symbol" w:hAnsi="Symbol"/>
      </w:rPr>
    </w:lvl>
    <w:lvl w:ilvl="4" w:tplc="B3CC21DC">
      <w:start w:val="1"/>
      <w:numFmt w:val="bullet"/>
      <w:lvlText w:val=""/>
      <w:lvlJc w:val="left"/>
      <w:pPr>
        <w:ind w:left="720" w:hanging="360"/>
      </w:pPr>
      <w:rPr>
        <w:rFonts w:ascii="Symbol" w:hAnsi="Symbol"/>
      </w:rPr>
    </w:lvl>
    <w:lvl w:ilvl="5" w:tplc="3E14CEE8">
      <w:start w:val="1"/>
      <w:numFmt w:val="bullet"/>
      <w:lvlText w:val=""/>
      <w:lvlJc w:val="left"/>
      <w:pPr>
        <w:ind w:left="720" w:hanging="360"/>
      </w:pPr>
      <w:rPr>
        <w:rFonts w:ascii="Symbol" w:hAnsi="Symbol"/>
      </w:rPr>
    </w:lvl>
    <w:lvl w:ilvl="6" w:tplc="1ADA6E04">
      <w:start w:val="1"/>
      <w:numFmt w:val="bullet"/>
      <w:lvlText w:val=""/>
      <w:lvlJc w:val="left"/>
      <w:pPr>
        <w:ind w:left="720" w:hanging="360"/>
      </w:pPr>
      <w:rPr>
        <w:rFonts w:ascii="Symbol" w:hAnsi="Symbol"/>
      </w:rPr>
    </w:lvl>
    <w:lvl w:ilvl="7" w:tplc="17FA3FE6">
      <w:start w:val="1"/>
      <w:numFmt w:val="bullet"/>
      <w:lvlText w:val=""/>
      <w:lvlJc w:val="left"/>
      <w:pPr>
        <w:ind w:left="720" w:hanging="360"/>
      </w:pPr>
      <w:rPr>
        <w:rFonts w:ascii="Symbol" w:hAnsi="Symbol"/>
      </w:rPr>
    </w:lvl>
    <w:lvl w:ilvl="8" w:tplc="E54410DE">
      <w:start w:val="1"/>
      <w:numFmt w:val="bullet"/>
      <w:lvlText w:val=""/>
      <w:lvlJc w:val="left"/>
      <w:pPr>
        <w:ind w:left="720" w:hanging="360"/>
      </w:pPr>
      <w:rPr>
        <w:rFonts w:ascii="Symbol" w:hAnsi="Symbol"/>
      </w:rPr>
    </w:lvl>
  </w:abstractNum>
  <w:abstractNum w:abstractNumId="41" w15:restartNumberingAfterBreak="0">
    <w:nsid w:val="7CB87D8F"/>
    <w:multiLevelType w:val="hybridMultilevel"/>
    <w:tmpl w:val="4EB2872C"/>
    <w:lvl w:ilvl="0" w:tplc="20885778">
      <w:start w:val="1"/>
      <w:numFmt w:val="bullet"/>
      <w:lvlText w:val=""/>
      <w:lvlJc w:val="left"/>
      <w:pPr>
        <w:ind w:left="720" w:hanging="360"/>
      </w:pPr>
      <w:rPr>
        <w:rFonts w:ascii="Symbol" w:hAnsi="Symbol"/>
      </w:rPr>
    </w:lvl>
    <w:lvl w:ilvl="1" w:tplc="096E1990">
      <w:start w:val="1"/>
      <w:numFmt w:val="bullet"/>
      <w:lvlText w:val=""/>
      <w:lvlJc w:val="left"/>
      <w:pPr>
        <w:ind w:left="720" w:hanging="360"/>
      </w:pPr>
      <w:rPr>
        <w:rFonts w:ascii="Symbol" w:hAnsi="Symbol"/>
      </w:rPr>
    </w:lvl>
    <w:lvl w:ilvl="2" w:tplc="1EA4BEA6">
      <w:start w:val="1"/>
      <w:numFmt w:val="bullet"/>
      <w:lvlText w:val=""/>
      <w:lvlJc w:val="left"/>
      <w:pPr>
        <w:ind w:left="720" w:hanging="360"/>
      </w:pPr>
      <w:rPr>
        <w:rFonts w:ascii="Symbol" w:hAnsi="Symbol"/>
      </w:rPr>
    </w:lvl>
    <w:lvl w:ilvl="3" w:tplc="896A22EE">
      <w:start w:val="1"/>
      <w:numFmt w:val="bullet"/>
      <w:lvlText w:val=""/>
      <w:lvlJc w:val="left"/>
      <w:pPr>
        <w:ind w:left="720" w:hanging="360"/>
      </w:pPr>
      <w:rPr>
        <w:rFonts w:ascii="Symbol" w:hAnsi="Symbol"/>
      </w:rPr>
    </w:lvl>
    <w:lvl w:ilvl="4" w:tplc="69CC5076">
      <w:start w:val="1"/>
      <w:numFmt w:val="bullet"/>
      <w:lvlText w:val=""/>
      <w:lvlJc w:val="left"/>
      <w:pPr>
        <w:ind w:left="720" w:hanging="360"/>
      </w:pPr>
      <w:rPr>
        <w:rFonts w:ascii="Symbol" w:hAnsi="Symbol"/>
      </w:rPr>
    </w:lvl>
    <w:lvl w:ilvl="5" w:tplc="4C3AC4CA">
      <w:start w:val="1"/>
      <w:numFmt w:val="bullet"/>
      <w:lvlText w:val=""/>
      <w:lvlJc w:val="left"/>
      <w:pPr>
        <w:ind w:left="720" w:hanging="360"/>
      </w:pPr>
      <w:rPr>
        <w:rFonts w:ascii="Symbol" w:hAnsi="Symbol"/>
      </w:rPr>
    </w:lvl>
    <w:lvl w:ilvl="6" w:tplc="189697AE">
      <w:start w:val="1"/>
      <w:numFmt w:val="bullet"/>
      <w:lvlText w:val=""/>
      <w:lvlJc w:val="left"/>
      <w:pPr>
        <w:ind w:left="720" w:hanging="360"/>
      </w:pPr>
      <w:rPr>
        <w:rFonts w:ascii="Symbol" w:hAnsi="Symbol"/>
      </w:rPr>
    </w:lvl>
    <w:lvl w:ilvl="7" w:tplc="8CEA9144">
      <w:start w:val="1"/>
      <w:numFmt w:val="bullet"/>
      <w:lvlText w:val=""/>
      <w:lvlJc w:val="left"/>
      <w:pPr>
        <w:ind w:left="720" w:hanging="360"/>
      </w:pPr>
      <w:rPr>
        <w:rFonts w:ascii="Symbol" w:hAnsi="Symbol"/>
      </w:rPr>
    </w:lvl>
    <w:lvl w:ilvl="8" w:tplc="6CAEB1C6">
      <w:start w:val="1"/>
      <w:numFmt w:val="bullet"/>
      <w:lvlText w:val=""/>
      <w:lvlJc w:val="left"/>
      <w:pPr>
        <w:ind w:left="720" w:hanging="360"/>
      </w:pPr>
      <w:rPr>
        <w:rFonts w:ascii="Symbol" w:hAnsi="Symbol"/>
      </w:rPr>
    </w:lvl>
  </w:abstractNum>
  <w:num w:numId="1" w16cid:durableId="66651442">
    <w:abstractNumId w:val="5"/>
  </w:num>
  <w:num w:numId="2" w16cid:durableId="1839534886">
    <w:abstractNumId w:val="9"/>
  </w:num>
  <w:num w:numId="3" w16cid:durableId="429472673">
    <w:abstractNumId w:val="20"/>
  </w:num>
  <w:num w:numId="4" w16cid:durableId="1326128148">
    <w:abstractNumId w:val="13"/>
  </w:num>
  <w:num w:numId="5" w16cid:durableId="332490756">
    <w:abstractNumId w:val="10"/>
  </w:num>
  <w:num w:numId="6" w16cid:durableId="942761491">
    <w:abstractNumId w:val="1"/>
  </w:num>
  <w:num w:numId="7" w16cid:durableId="417361770">
    <w:abstractNumId w:val="9"/>
  </w:num>
  <w:num w:numId="8" w16cid:durableId="587933413">
    <w:abstractNumId w:val="10"/>
  </w:num>
  <w:num w:numId="9" w16cid:durableId="1693071593">
    <w:abstractNumId w:val="31"/>
  </w:num>
  <w:num w:numId="10" w16cid:durableId="1862011606">
    <w:abstractNumId w:val="5"/>
  </w:num>
  <w:num w:numId="11" w16cid:durableId="776102209">
    <w:abstractNumId w:val="24"/>
  </w:num>
  <w:num w:numId="12" w16cid:durableId="672489608">
    <w:abstractNumId w:val="14"/>
  </w:num>
  <w:num w:numId="13" w16cid:durableId="373236961">
    <w:abstractNumId w:val="7"/>
  </w:num>
  <w:num w:numId="14" w16cid:durableId="918946899">
    <w:abstractNumId w:val="41"/>
  </w:num>
  <w:num w:numId="15" w16cid:durableId="1773891428">
    <w:abstractNumId w:val="6"/>
  </w:num>
  <w:num w:numId="16" w16cid:durableId="814953752">
    <w:abstractNumId w:val="32"/>
  </w:num>
  <w:num w:numId="17" w16cid:durableId="1059984771">
    <w:abstractNumId w:val="8"/>
  </w:num>
  <w:num w:numId="18" w16cid:durableId="697971121">
    <w:abstractNumId w:val="40"/>
  </w:num>
  <w:num w:numId="19" w16cid:durableId="1905142093">
    <w:abstractNumId w:val="34"/>
  </w:num>
  <w:num w:numId="20" w16cid:durableId="1801722319">
    <w:abstractNumId w:val="19"/>
  </w:num>
  <w:num w:numId="21" w16cid:durableId="508561836">
    <w:abstractNumId w:val="39"/>
  </w:num>
  <w:num w:numId="22" w16cid:durableId="130484648">
    <w:abstractNumId w:val="27"/>
  </w:num>
  <w:num w:numId="23" w16cid:durableId="2014606710">
    <w:abstractNumId w:val="23"/>
  </w:num>
  <w:num w:numId="24" w16cid:durableId="51344625">
    <w:abstractNumId w:val="29"/>
  </w:num>
  <w:num w:numId="25" w16cid:durableId="33510228">
    <w:abstractNumId w:val="17"/>
  </w:num>
  <w:num w:numId="26" w16cid:durableId="332728302">
    <w:abstractNumId w:val="35"/>
  </w:num>
  <w:num w:numId="27" w16cid:durableId="1794669449">
    <w:abstractNumId w:val="15"/>
  </w:num>
  <w:num w:numId="28" w16cid:durableId="1086345883">
    <w:abstractNumId w:val="28"/>
  </w:num>
  <w:num w:numId="29" w16cid:durableId="456460322">
    <w:abstractNumId w:val="37"/>
  </w:num>
  <w:num w:numId="30" w16cid:durableId="2134327050">
    <w:abstractNumId w:val="2"/>
  </w:num>
  <w:num w:numId="31" w16cid:durableId="1580407416">
    <w:abstractNumId w:val="33"/>
  </w:num>
  <w:num w:numId="32" w16cid:durableId="29886128">
    <w:abstractNumId w:val="22"/>
  </w:num>
  <w:num w:numId="33" w16cid:durableId="394278283">
    <w:abstractNumId w:val="30"/>
  </w:num>
  <w:num w:numId="34" w16cid:durableId="1452897225">
    <w:abstractNumId w:val="3"/>
  </w:num>
  <w:num w:numId="35" w16cid:durableId="209191320">
    <w:abstractNumId w:val="21"/>
  </w:num>
  <w:num w:numId="36" w16cid:durableId="886339651">
    <w:abstractNumId w:val="26"/>
  </w:num>
  <w:num w:numId="37" w16cid:durableId="217788577">
    <w:abstractNumId w:val="4"/>
  </w:num>
  <w:num w:numId="38" w16cid:durableId="1074474337">
    <w:abstractNumId w:val="0"/>
  </w:num>
  <w:num w:numId="39" w16cid:durableId="298531369">
    <w:abstractNumId w:val="38"/>
  </w:num>
  <w:num w:numId="40" w16cid:durableId="1657227878">
    <w:abstractNumId w:val="18"/>
  </w:num>
  <w:num w:numId="41" w16cid:durableId="1635138222">
    <w:abstractNumId w:val="36"/>
  </w:num>
  <w:num w:numId="42" w16cid:durableId="1839074581">
    <w:abstractNumId w:val="11"/>
  </w:num>
  <w:num w:numId="43" w16cid:durableId="535892927">
    <w:abstractNumId w:val="25"/>
  </w:num>
  <w:num w:numId="44" w16cid:durableId="279453558">
    <w:abstractNumId w:val="12"/>
  </w:num>
  <w:num w:numId="45" w16cid:durableId="1474984729">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865"/>
    <w:rsid w:val="00000E5C"/>
    <w:rsid w:val="000012BC"/>
    <w:rsid w:val="000110EC"/>
    <w:rsid w:val="00013B27"/>
    <w:rsid w:val="00014DA4"/>
    <w:rsid w:val="00014F75"/>
    <w:rsid w:val="00015F8D"/>
    <w:rsid w:val="00017F43"/>
    <w:rsid w:val="000233C3"/>
    <w:rsid w:val="00025784"/>
    <w:rsid w:val="0003223F"/>
    <w:rsid w:val="000344B0"/>
    <w:rsid w:val="0004382A"/>
    <w:rsid w:val="00055660"/>
    <w:rsid w:val="000621E7"/>
    <w:rsid w:val="0007006A"/>
    <w:rsid w:val="0007046F"/>
    <w:rsid w:val="000712AE"/>
    <w:rsid w:val="00094B81"/>
    <w:rsid w:val="00097246"/>
    <w:rsid w:val="000A0664"/>
    <w:rsid w:val="000B0746"/>
    <w:rsid w:val="000B20AB"/>
    <w:rsid w:val="000B2E7B"/>
    <w:rsid w:val="000C4CF5"/>
    <w:rsid w:val="000D40E4"/>
    <w:rsid w:val="000D6BB2"/>
    <w:rsid w:val="000D782E"/>
    <w:rsid w:val="000E1705"/>
    <w:rsid w:val="000E2B43"/>
    <w:rsid w:val="00101B4C"/>
    <w:rsid w:val="00103EA2"/>
    <w:rsid w:val="00105EA7"/>
    <w:rsid w:val="00107552"/>
    <w:rsid w:val="001173E8"/>
    <w:rsid w:val="00121C35"/>
    <w:rsid w:val="0012473C"/>
    <w:rsid w:val="00125A8E"/>
    <w:rsid w:val="00145AE8"/>
    <w:rsid w:val="00155032"/>
    <w:rsid w:val="0016223C"/>
    <w:rsid w:val="00162447"/>
    <w:rsid w:val="00166A23"/>
    <w:rsid w:val="00166F3D"/>
    <w:rsid w:val="00175CD8"/>
    <w:rsid w:val="0018586F"/>
    <w:rsid w:val="001931A0"/>
    <w:rsid w:val="00196D82"/>
    <w:rsid w:val="001A1C5C"/>
    <w:rsid w:val="001B34A2"/>
    <w:rsid w:val="001B576A"/>
    <w:rsid w:val="001B668F"/>
    <w:rsid w:val="001C3775"/>
    <w:rsid w:val="001C7869"/>
    <w:rsid w:val="001D2BF2"/>
    <w:rsid w:val="001D378C"/>
    <w:rsid w:val="001F0BE2"/>
    <w:rsid w:val="001F382F"/>
    <w:rsid w:val="001F4D7D"/>
    <w:rsid w:val="001F5CBA"/>
    <w:rsid w:val="002136CD"/>
    <w:rsid w:val="00220A37"/>
    <w:rsid w:val="002232AE"/>
    <w:rsid w:val="00225656"/>
    <w:rsid w:val="00230D9E"/>
    <w:rsid w:val="002327B4"/>
    <w:rsid w:val="00235FEB"/>
    <w:rsid w:val="00245478"/>
    <w:rsid w:val="00253FBF"/>
    <w:rsid w:val="002606FA"/>
    <w:rsid w:val="002637F1"/>
    <w:rsid w:val="00263976"/>
    <w:rsid w:val="00263B67"/>
    <w:rsid w:val="00267C0D"/>
    <w:rsid w:val="00273F2D"/>
    <w:rsid w:val="0027478D"/>
    <w:rsid w:val="002835B3"/>
    <w:rsid w:val="00284111"/>
    <w:rsid w:val="0028532F"/>
    <w:rsid w:val="0028755E"/>
    <w:rsid w:val="00287ABB"/>
    <w:rsid w:val="00293F98"/>
    <w:rsid w:val="002A2C49"/>
    <w:rsid w:val="002A5C2F"/>
    <w:rsid w:val="002A6FBC"/>
    <w:rsid w:val="002B1879"/>
    <w:rsid w:val="002B223A"/>
    <w:rsid w:val="002B5C5C"/>
    <w:rsid w:val="002B71C9"/>
    <w:rsid w:val="002C1C4B"/>
    <w:rsid w:val="002C28CD"/>
    <w:rsid w:val="002C2B8A"/>
    <w:rsid w:val="002C3B5C"/>
    <w:rsid w:val="002C5216"/>
    <w:rsid w:val="002C7EB4"/>
    <w:rsid w:val="002D7438"/>
    <w:rsid w:val="002E07A6"/>
    <w:rsid w:val="002E25FA"/>
    <w:rsid w:val="002E2B68"/>
    <w:rsid w:val="002F4D70"/>
    <w:rsid w:val="003008D8"/>
    <w:rsid w:val="00301F4C"/>
    <w:rsid w:val="00316808"/>
    <w:rsid w:val="003254B7"/>
    <w:rsid w:val="003316C8"/>
    <w:rsid w:val="00332A69"/>
    <w:rsid w:val="003333B1"/>
    <w:rsid w:val="00336D34"/>
    <w:rsid w:val="0034400A"/>
    <w:rsid w:val="0035444D"/>
    <w:rsid w:val="003575C3"/>
    <w:rsid w:val="00357D55"/>
    <w:rsid w:val="00366D7E"/>
    <w:rsid w:val="00367C46"/>
    <w:rsid w:val="00370865"/>
    <w:rsid w:val="00370DB9"/>
    <w:rsid w:val="0037209F"/>
    <w:rsid w:val="00373F8F"/>
    <w:rsid w:val="00375882"/>
    <w:rsid w:val="00376657"/>
    <w:rsid w:val="0038254D"/>
    <w:rsid w:val="00385F90"/>
    <w:rsid w:val="00386BF7"/>
    <w:rsid w:val="00390803"/>
    <w:rsid w:val="0039205F"/>
    <w:rsid w:val="00394BE3"/>
    <w:rsid w:val="00395107"/>
    <w:rsid w:val="003A564A"/>
    <w:rsid w:val="003A5BAD"/>
    <w:rsid w:val="003A5F7E"/>
    <w:rsid w:val="003B2B55"/>
    <w:rsid w:val="003B4B98"/>
    <w:rsid w:val="003B71A6"/>
    <w:rsid w:val="003B79B4"/>
    <w:rsid w:val="003C01A4"/>
    <w:rsid w:val="003C6F67"/>
    <w:rsid w:val="003D0A65"/>
    <w:rsid w:val="003D1D83"/>
    <w:rsid w:val="003D48E4"/>
    <w:rsid w:val="003D51C5"/>
    <w:rsid w:val="003E4013"/>
    <w:rsid w:val="003F2E43"/>
    <w:rsid w:val="003F3320"/>
    <w:rsid w:val="003F624D"/>
    <w:rsid w:val="0040553F"/>
    <w:rsid w:val="004118B0"/>
    <w:rsid w:val="00414602"/>
    <w:rsid w:val="0041536E"/>
    <w:rsid w:val="00417062"/>
    <w:rsid w:val="004246B8"/>
    <w:rsid w:val="00424FA8"/>
    <w:rsid w:val="00431EDC"/>
    <w:rsid w:val="00432A83"/>
    <w:rsid w:val="00436AD1"/>
    <w:rsid w:val="00442DAF"/>
    <w:rsid w:val="00443677"/>
    <w:rsid w:val="004446F6"/>
    <w:rsid w:val="004508C1"/>
    <w:rsid w:val="004551E8"/>
    <w:rsid w:val="00455705"/>
    <w:rsid w:val="00461155"/>
    <w:rsid w:val="004647AA"/>
    <w:rsid w:val="00477ACC"/>
    <w:rsid w:val="0048084E"/>
    <w:rsid w:val="00481362"/>
    <w:rsid w:val="004815E7"/>
    <w:rsid w:val="0048208A"/>
    <w:rsid w:val="0048231F"/>
    <w:rsid w:val="00486C48"/>
    <w:rsid w:val="00487A14"/>
    <w:rsid w:val="0049352B"/>
    <w:rsid w:val="004935EF"/>
    <w:rsid w:val="00497432"/>
    <w:rsid w:val="00497ED4"/>
    <w:rsid w:val="004A4FA6"/>
    <w:rsid w:val="004A7A26"/>
    <w:rsid w:val="004B0184"/>
    <w:rsid w:val="004B4C3E"/>
    <w:rsid w:val="004C3D8D"/>
    <w:rsid w:val="004D5BAE"/>
    <w:rsid w:val="004D5DB6"/>
    <w:rsid w:val="004E0C56"/>
    <w:rsid w:val="004E4AFC"/>
    <w:rsid w:val="004E6A1C"/>
    <w:rsid w:val="004F4076"/>
    <w:rsid w:val="004F75BB"/>
    <w:rsid w:val="004F778D"/>
    <w:rsid w:val="005022B5"/>
    <w:rsid w:val="005043A9"/>
    <w:rsid w:val="005067E6"/>
    <w:rsid w:val="005078BC"/>
    <w:rsid w:val="005130A0"/>
    <w:rsid w:val="00513668"/>
    <w:rsid w:val="0051479B"/>
    <w:rsid w:val="00514DE8"/>
    <w:rsid w:val="00517110"/>
    <w:rsid w:val="00520CD5"/>
    <w:rsid w:val="00527FD9"/>
    <w:rsid w:val="005409B3"/>
    <w:rsid w:val="0054653D"/>
    <w:rsid w:val="0055050D"/>
    <w:rsid w:val="005505C0"/>
    <w:rsid w:val="00560C6D"/>
    <w:rsid w:val="00561481"/>
    <w:rsid w:val="0056266A"/>
    <w:rsid w:val="00573233"/>
    <w:rsid w:val="00573C00"/>
    <w:rsid w:val="0057557A"/>
    <w:rsid w:val="0058575E"/>
    <w:rsid w:val="00586D53"/>
    <w:rsid w:val="005A0BAA"/>
    <w:rsid w:val="005A368C"/>
    <w:rsid w:val="005A3A02"/>
    <w:rsid w:val="005A480D"/>
    <w:rsid w:val="005A5D61"/>
    <w:rsid w:val="005B53A8"/>
    <w:rsid w:val="005C2C64"/>
    <w:rsid w:val="005C7521"/>
    <w:rsid w:val="005C7AE1"/>
    <w:rsid w:val="005D387B"/>
    <w:rsid w:val="005E2370"/>
    <w:rsid w:val="005E34C6"/>
    <w:rsid w:val="005E510D"/>
    <w:rsid w:val="005F0CF7"/>
    <w:rsid w:val="005F23F3"/>
    <w:rsid w:val="005F327B"/>
    <w:rsid w:val="005F3B18"/>
    <w:rsid w:val="005F506F"/>
    <w:rsid w:val="005F544F"/>
    <w:rsid w:val="006060E0"/>
    <w:rsid w:val="00611C19"/>
    <w:rsid w:val="00615FF3"/>
    <w:rsid w:val="00625CBE"/>
    <w:rsid w:val="00637832"/>
    <w:rsid w:val="00643123"/>
    <w:rsid w:val="006533E1"/>
    <w:rsid w:val="00655749"/>
    <w:rsid w:val="0067499C"/>
    <w:rsid w:val="00675323"/>
    <w:rsid w:val="00685E72"/>
    <w:rsid w:val="006904E3"/>
    <w:rsid w:val="00691F62"/>
    <w:rsid w:val="00697086"/>
    <w:rsid w:val="006A0EA7"/>
    <w:rsid w:val="006A14E4"/>
    <w:rsid w:val="006A1F0B"/>
    <w:rsid w:val="006B08B3"/>
    <w:rsid w:val="006B0D38"/>
    <w:rsid w:val="006B4A31"/>
    <w:rsid w:val="006B5EDD"/>
    <w:rsid w:val="006B7FF5"/>
    <w:rsid w:val="006C3B67"/>
    <w:rsid w:val="006C6545"/>
    <w:rsid w:val="006D7385"/>
    <w:rsid w:val="006E3761"/>
    <w:rsid w:val="006F16B6"/>
    <w:rsid w:val="00701165"/>
    <w:rsid w:val="00702323"/>
    <w:rsid w:val="007048CE"/>
    <w:rsid w:val="0073194F"/>
    <w:rsid w:val="007330F2"/>
    <w:rsid w:val="00734FAC"/>
    <w:rsid w:val="00736B2D"/>
    <w:rsid w:val="00746990"/>
    <w:rsid w:val="00750E04"/>
    <w:rsid w:val="00750FC2"/>
    <w:rsid w:val="0075106C"/>
    <w:rsid w:val="0075589F"/>
    <w:rsid w:val="00764438"/>
    <w:rsid w:val="007738B0"/>
    <w:rsid w:val="007912ED"/>
    <w:rsid w:val="00794439"/>
    <w:rsid w:val="007A3530"/>
    <w:rsid w:val="007B6293"/>
    <w:rsid w:val="007B6644"/>
    <w:rsid w:val="007C1ADD"/>
    <w:rsid w:val="007C2A5E"/>
    <w:rsid w:val="007C5044"/>
    <w:rsid w:val="007C5840"/>
    <w:rsid w:val="007C7DF8"/>
    <w:rsid w:val="007D528E"/>
    <w:rsid w:val="007D7799"/>
    <w:rsid w:val="007E74A0"/>
    <w:rsid w:val="007F0A77"/>
    <w:rsid w:val="007F2CF9"/>
    <w:rsid w:val="007F437B"/>
    <w:rsid w:val="008007EB"/>
    <w:rsid w:val="0080196B"/>
    <w:rsid w:val="00801A38"/>
    <w:rsid w:val="00806427"/>
    <w:rsid w:val="008075AB"/>
    <w:rsid w:val="008104F3"/>
    <w:rsid w:val="00814202"/>
    <w:rsid w:val="00815B06"/>
    <w:rsid w:val="00817C78"/>
    <w:rsid w:val="00820515"/>
    <w:rsid w:val="008329DB"/>
    <w:rsid w:val="00840FB6"/>
    <w:rsid w:val="00847277"/>
    <w:rsid w:val="00847F19"/>
    <w:rsid w:val="00857C08"/>
    <w:rsid w:val="008700A7"/>
    <w:rsid w:val="00880E44"/>
    <w:rsid w:val="00881334"/>
    <w:rsid w:val="0088292E"/>
    <w:rsid w:val="00883230"/>
    <w:rsid w:val="00883537"/>
    <w:rsid w:val="008912DE"/>
    <w:rsid w:val="008A2131"/>
    <w:rsid w:val="008A7AAA"/>
    <w:rsid w:val="008D3756"/>
    <w:rsid w:val="008E5D12"/>
    <w:rsid w:val="008E5E25"/>
    <w:rsid w:val="008E7D4E"/>
    <w:rsid w:val="008F0740"/>
    <w:rsid w:val="008F6897"/>
    <w:rsid w:val="008F7DDA"/>
    <w:rsid w:val="00902F5A"/>
    <w:rsid w:val="0090301B"/>
    <w:rsid w:val="00904078"/>
    <w:rsid w:val="009059E7"/>
    <w:rsid w:val="00912E94"/>
    <w:rsid w:val="009161AB"/>
    <w:rsid w:val="00930D58"/>
    <w:rsid w:val="00933499"/>
    <w:rsid w:val="00935CE7"/>
    <w:rsid w:val="009408D3"/>
    <w:rsid w:val="009412DE"/>
    <w:rsid w:val="00943F93"/>
    <w:rsid w:val="009506FA"/>
    <w:rsid w:val="00963BE0"/>
    <w:rsid w:val="00966E05"/>
    <w:rsid w:val="00971B61"/>
    <w:rsid w:val="0098442D"/>
    <w:rsid w:val="00984D44"/>
    <w:rsid w:val="00992943"/>
    <w:rsid w:val="009965CC"/>
    <w:rsid w:val="009A5218"/>
    <w:rsid w:val="009B5ABF"/>
    <w:rsid w:val="009C09F6"/>
    <w:rsid w:val="009C3C0E"/>
    <w:rsid w:val="009C5E2A"/>
    <w:rsid w:val="009E18EA"/>
    <w:rsid w:val="009E2FD6"/>
    <w:rsid w:val="009F0C0A"/>
    <w:rsid w:val="009F1EB8"/>
    <w:rsid w:val="009F2B81"/>
    <w:rsid w:val="009F3365"/>
    <w:rsid w:val="009F3B79"/>
    <w:rsid w:val="00A05FD1"/>
    <w:rsid w:val="00A06C49"/>
    <w:rsid w:val="00A170DF"/>
    <w:rsid w:val="00A26571"/>
    <w:rsid w:val="00A326CB"/>
    <w:rsid w:val="00A3589D"/>
    <w:rsid w:val="00A37AA5"/>
    <w:rsid w:val="00A40E59"/>
    <w:rsid w:val="00A529B6"/>
    <w:rsid w:val="00A541DF"/>
    <w:rsid w:val="00A56F02"/>
    <w:rsid w:val="00A610A3"/>
    <w:rsid w:val="00A63AE9"/>
    <w:rsid w:val="00A77E72"/>
    <w:rsid w:val="00A8397C"/>
    <w:rsid w:val="00A87095"/>
    <w:rsid w:val="00A9668A"/>
    <w:rsid w:val="00A97981"/>
    <w:rsid w:val="00A97A0D"/>
    <w:rsid w:val="00AA2FED"/>
    <w:rsid w:val="00AB0979"/>
    <w:rsid w:val="00AB6EF2"/>
    <w:rsid w:val="00AB7CBF"/>
    <w:rsid w:val="00AC7B62"/>
    <w:rsid w:val="00AD7923"/>
    <w:rsid w:val="00AE03B4"/>
    <w:rsid w:val="00AE5DA5"/>
    <w:rsid w:val="00AF3F61"/>
    <w:rsid w:val="00B02073"/>
    <w:rsid w:val="00B10910"/>
    <w:rsid w:val="00B10FCC"/>
    <w:rsid w:val="00B22CBA"/>
    <w:rsid w:val="00B2645C"/>
    <w:rsid w:val="00B36153"/>
    <w:rsid w:val="00B46BC0"/>
    <w:rsid w:val="00B47BF5"/>
    <w:rsid w:val="00B47F6A"/>
    <w:rsid w:val="00B533A5"/>
    <w:rsid w:val="00B534F4"/>
    <w:rsid w:val="00B53E57"/>
    <w:rsid w:val="00B55281"/>
    <w:rsid w:val="00B57E33"/>
    <w:rsid w:val="00B61B03"/>
    <w:rsid w:val="00B667F3"/>
    <w:rsid w:val="00B70655"/>
    <w:rsid w:val="00B7492D"/>
    <w:rsid w:val="00B80D21"/>
    <w:rsid w:val="00B822BA"/>
    <w:rsid w:val="00B8582B"/>
    <w:rsid w:val="00B85C2F"/>
    <w:rsid w:val="00B90376"/>
    <w:rsid w:val="00B90A0A"/>
    <w:rsid w:val="00B961A9"/>
    <w:rsid w:val="00BA2EC6"/>
    <w:rsid w:val="00BA5CA5"/>
    <w:rsid w:val="00BB3F39"/>
    <w:rsid w:val="00BB4AD7"/>
    <w:rsid w:val="00BB74C3"/>
    <w:rsid w:val="00BC06A8"/>
    <w:rsid w:val="00BC49EF"/>
    <w:rsid w:val="00BC6B57"/>
    <w:rsid w:val="00BD7FF8"/>
    <w:rsid w:val="00BE6D66"/>
    <w:rsid w:val="00BF2FE0"/>
    <w:rsid w:val="00BF387E"/>
    <w:rsid w:val="00C417B6"/>
    <w:rsid w:val="00C44199"/>
    <w:rsid w:val="00C506F8"/>
    <w:rsid w:val="00C51BDF"/>
    <w:rsid w:val="00C64BEA"/>
    <w:rsid w:val="00C72B0F"/>
    <w:rsid w:val="00C743E3"/>
    <w:rsid w:val="00C74AD1"/>
    <w:rsid w:val="00C74B56"/>
    <w:rsid w:val="00C817D3"/>
    <w:rsid w:val="00C82B8A"/>
    <w:rsid w:val="00C83481"/>
    <w:rsid w:val="00C85443"/>
    <w:rsid w:val="00C934BA"/>
    <w:rsid w:val="00CA2105"/>
    <w:rsid w:val="00CB0550"/>
    <w:rsid w:val="00CB3535"/>
    <w:rsid w:val="00CB3A28"/>
    <w:rsid w:val="00CB6CAF"/>
    <w:rsid w:val="00CE0764"/>
    <w:rsid w:val="00CE2F12"/>
    <w:rsid w:val="00CE6D00"/>
    <w:rsid w:val="00CE719A"/>
    <w:rsid w:val="00CF221C"/>
    <w:rsid w:val="00CF29F5"/>
    <w:rsid w:val="00CF55F5"/>
    <w:rsid w:val="00CF5E21"/>
    <w:rsid w:val="00D078BE"/>
    <w:rsid w:val="00D10FD9"/>
    <w:rsid w:val="00D128D8"/>
    <w:rsid w:val="00D13F8A"/>
    <w:rsid w:val="00D149A2"/>
    <w:rsid w:val="00D235AF"/>
    <w:rsid w:val="00D24879"/>
    <w:rsid w:val="00D33523"/>
    <w:rsid w:val="00D37922"/>
    <w:rsid w:val="00D37F62"/>
    <w:rsid w:val="00D4218F"/>
    <w:rsid w:val="00D44E92"/>
    <w:rsid w:val="00D566A1"/>
    <w:rsid w:val="00D56AA3"/>
    <w:rsid w:val="00D61344"/>
    <w:rsid w:val="00D6337C"/>
    <w:rsid w:val="00D63DC6"/>
    <w:rsid w:val="00D67E9A"/>
    <w:rsid w:val="00D72EA9"/>
    <w:rsid w:val="00D7524E"/>
    <w:rsid w:val="00D77B8A"/>
    <w:rsid w:val="00D918D5"/>
    <w:rsid w:val="00D920A6"/>
    <w:rsid w:val="00D94172"/>
    <w:rsid w:val="00DC620B"/>
    <w:rsid w:val="00DC6584"/>
    <w:rsid w:val="00DD213D"/>
    <w:rsid w:val="00DD2783"/>
    <w:rsid w:val="00DD38BB"/>
    <w:rsid w:val="00DD7A72"/>
    <w:rsid w:val="00DE0CE6"/>
    <w:rsid w:val="00DF113C"/>
    <w:rsid w:val="00DF3233"/>
    <w:rsid w:val="00E018A2"/>
    <w:rsid w:val="00E07143"/>
    <w:rsid w:val="00E144BB"/>
    <w:rsid w:val="00E15F18"/>
    <w:rsid w:val="00E26289"/>
    <w:rsid w:val="00E30441"/>
    <w:rsid w:val="00E31919"/>
    <w:rsid w:val="00E530B1"/>
    <w:rsid w:val="00E53562"/>
    <w:rsid w:val="00E53BD9"/>
    <w:rsid w:val="00E53D3F"/>
    <w:rsid w:val="00E63746"/>
    <w:rsid w:val="00E65394"/>
    <w:rsid w:val="00E74709"/>
    <w:rsid w:val="00E74A47"/>
    <w:rsid w:val="00E80763"/>
    <w:rsid w:val="00E879B4"/>
    <w:rsid w:val="00E94AA0"/>
    <w:rsid w:val="00EA5875"/>
    <w:rsid w:val="00EA5FE9"/>
    <w:rsid w:val="00EB00EC"/>
    <w:rsid w:val="00EB233E"/>
    <w:rsid w:val="00EB43BB"/>
    <w:rsid w:val="00EC17C7"/>
    <w:rsid w:val="00EC5AD3"/>
    <w:rsid w:val="00ED39DA"/>
    <w:rsid w:val="00EE5E24"/>
    <w:rsid w:val="00EF7704"/>
    <w:rsid w:val="00F02AEC"/>
    <w:rsid w:val="00F206DC"/>
    <w:rsid w:val="00F22417"/>
    <w:rsid w:val="00F22C7A"/>
    <w:rsid w:val="00F258A8"/>
    <w:rsid w:val="00F27B56"/>
    <w:rsid w:val="00F30817"/>
    <w:rsid w:val="00F40172"/>
    <w:rsid w:val="00F41550"/>
    <w:rsid w:val="00F41EC8"/>
    <w:rsid w:val="00F420D7"/>
    <w:rsid w:val="00F42357"/>
    <w:rsid w:val="00F42F3A"/>
    <w:rsid w:val="00F451B3"/>
    <w:rsid w:val="00F46241"/>
    <w:rsid w:val="00F46DD3"/>
    <w:rsid w:val="00F5245E"/>
    <w:rsid w:val="00F53761"/>
    <w:rsid w:val="00F556CA"/>
    <w:rsid w:val="00F57320"/>
    <w:rsid w:val="00F61316"/>
    <w:rsid w:val="00F62AC9"/>
    <w:rsid w:val="00F65373"/>
    <w:rsid w:val="00F6745A"/>
    <w:rsid w:val="00F70EE0"/>
    <w:rsid w:val="00F7152C"/>
    <w:rsid w:val="00F741D8"/>
    <w:rsid w:val="00F75259"/>
    <w:rsid w:val="00F75DFB"/>
    <w:rsid w:val="00F76457"/>
    <w:rsid w:val="00F94AEA"/>
    <w:rsid w:val="00FA2656"/>
    <w:rsid w:val="00FA4949"/>
    <w:rsid w:val="00FA49C3"/>
    <w:rsid w:val="00FB28B2"/>
    <w:rsid w:val="00FC26E1"/>
    <w:rsid w:val="00FC5875"/>
    <w:rsid w:val="00FC7472"/>
    <w:rsid w:val="00FC7CDD"/>
    <w:rsid w:val="00FD0841"/>
    <w:rsid w:val="00FD43C6"/>
    <w:rsid w:val="00FE5B42"/>
    <w:rsid w:val="00FF19F7"/>
    <w:rsid w:val="04ED7664"/>
    <w:rsid w:val="084606FB"/>
    <w:rsid w:val="0E15EB3E"/>
    <w:rsid w:val="10727D35"/>
    <w:rsid w:val="14B62952"/>
    <w:rsid w:val="17AE00F7"/>
    <w:rsid w:val="19132036"/>
    <w:rsid w:val="1B52F365"/>
    <w:rsid w:val="1C73486F"/>
    <w:rsid w:val="20AF88CC"/>
    <w:rsid w:val="232BC715"/>
    <w:rsid w:val="236F1AB4"/>
    <w:rsid w:val="242B0665"/>
    <w:rsid w:val="28F2B77C"/>
    <w:rsid w:val="2A2741B3"/>
    <w:rsid w:val="2C6C3236"/>
    <w:rsid w:val="32C47EEE"/>
    <w:rsid w:val="33FDB977"/>
    <w:rsid w:val="381921D9"/>
    <w:rsid w:val="3D7123B2"/>
    <w:rsid w:val="409A8237"/>
    <w:rsid w:val="428FCFC9"/>
    <w:rsid w:val="430C92EC"/>
    <w:rsid w:val="468B0E1E"/>
    <w:rsid w:val="4BE5CF03"/>
    <w:rsid w:val="53526BFF"/>
    <w:rsid w:val="543A9D95"/>
    <w:rsid w:val="5516B0BD"/>
    <w:rsid w:val="5F019E5B"/>
    <w:rsid w:val="63A8C46E"/>
    <w:rsid w:val="6947D077"/>
    <w:rsid w:val="6A303BB8"/>
    <w:rsid w:val="7321CA04"/>
    <w:rsid w:val="76043DE7"/>
    <w:rsid w:val="7C96D180"/>
    <w:rsid w:val="7D2C88FB"/>
    <w:rsid w:val="7E858582"/>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CAA33"/>
  <w15:chartTrackingRefBased/>
  <w15:docId w15:val="{55D9E8CA-E12B-46EB-8D5E-6DA33C851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U"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5BB"/>
    <w:rPr>
      <w:rFonts w:ascii="Arial" w:hAnsi="Arial"/>
    </w:rPr>
  </w:style>
  <w:style w:type="paragraph" w:styleId="Heading1">
    <w:name w:val="heading 1"/>
    <w:basedOn w:val="Normal"/>
    <w:next w:val="Normal"/>
    <w:link w:val="Heading1Char"/>
    <w:uiPriority w:val="9"/>
    <w:qFormat/>
    <w:rsid w:val="004647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647AA"/>
    <w:pPr>
      <w:keepNext/>
      <w:keepLines/>
      <w:spacing w:before="480" w:line="240" w:lineRule="atLeast"/>
      <w:outlineLvl w:val="1"/>
    </w:pPr>
    <w:rPr>
      <w:rFonts w:eastAsia="Times New Roman" w:cs="Times New Roman"/>
      <w:b/>
      <w:bCs/>
      <w:color w:val="001871"/>
      <w:sz w:val="38"/>
      <w:szCs w:val="38"/>
    </w:rPr>
  </w:style>
  <w:style w:type="paragraph" w:styleId="Heading3">
    <w:name w:val="heading 3"/>
    <w:basedOn w:val="Normal"/>
    <w:next w:val="Normal"/>
    <w:link w:val="Heading3Char"/>
    <w:autoRedefine/>
    <w:uiPriority w:val="1"/>
    <w:qFormat/>
    <w:rsid w:val="00376657"/>
    <w:pPr>
      <w:keepNext/>
      <w:keepLines/>
      <w:spacing w:before="480" w:line="240" w:lineRule="atLeast"/>
      <w:outlineLvl w:val="2"/>
    </w:pPr>
    <w:rPr>
      <w:rFonts w:eastAsia="Times New Roman" w:cs="Times New Roman"/>
      <w:b/>
      <w:bCs/>
      <w:color w:val="001871"/>
      <w:sz w:val="32"/>
      <w:szCs w:val="32"/>
    </w:rPr>
  </w:style>
  <w:style w:type="paragraph" w:styleId="Heading4">
    <w:name w:val="heading 4"/>
    <w:basedOn w:val="Normal"/>
    <w:next w:val="Normal"/>
    <w:link w:val="Heading4Char"/>
    <w:autoRedefine/>
    <w:qFormat/>
    <w:rsid w:val="004647AA"/>
    <w:pPr>
      <w:keepNext/>
      <w:keepLines/>
      <w:spacing w:before="360" w:line="240" w:lineRule="atLeast"/>
      <w:outlineLvl w:val="3"/>
    </w:pPr>
    <w:rPr>
      <w:rFonts w:eastAsia="Cambria" w:cs="Times New Roman"/>
      <w:bCs/>
      <w:color w:val="001871"/>
      <w:sz w:val="28"/>
      <w:szCs w:val="26"/>
    </w:rPr>
  </w:style>
  <w:style w:type="paragraph" w:styleId="Heading5">
    <w:name w:val="heading 5"/>
    <w:basedOn w:val="Normal"/>
    <w:next w:val="Normal"/>
    <w:link w:val="Heading5Char"/>
    <w:autoRedefine/>
    <w:uiPriority w:val="9"/>
    <w:rsid w:val="004647AA"/>
    <w:pPr>
      <w:keepNext/>
      <w:keepLines/>
      <w:spacing w:before="240" w:line="240" w:lineRule="atLeast"/>
      <w:outlineLvl w:val="4"/>
    </w:pPr>
    <w:rPr>
      <w:rFonts w:eastAsia="Times New Roman" w:cs="Times New Roman"/>
      <w:bCs/>
      <w:i/>
      <w:color w:val="001871"/>
      <w:sz w:val="26"/>
      <w:szCs w:val="26"/>
    </w:rPr>
  </w:style>
  <w:style w:type="paragraph" w:styleId="Heading6">
    <w:name w:val="heading 6"/>
    <w:basedOn w:val="Normal"/>
    <w:next w:val="Normal"/>
    <w:link w:val="Heading6Char"/>
    <w:autoRedefine/>
    <w:uiPriority w:val="9"/>
    <w:rsid w:val="004647AA"/>
    <w:pPr>
      <w:keepNext/>
      <w:keepLines/>
      <w:spacing w:before="240" w:line="240" w:lineRule="atLeast"/>
      <w:outlineLvl w:val="5"/>
    </w:pPr>
    <w:rPr>
      <w:rFonts w:eastAsia="Times New Roman" w:cs="Times New Roman"/>
      <w:bCs/>
      <w:color w:val="001871"/>
      <w:sz w:val="24"/>
      <w:szCs w:val="21"/>
    </w:rPr>
  </w:style>
  <w:style w:type="paragraph" w:styleId="Heading7">
    <w:name w:val="heading 7"/>
    <w:basedOn w:val="Normal"/>
    <w:next w:val="Normal"/>
    <w:link w:val="Heading7Char"/>
    <w:uiPriority w:val="9"/>
    <w:rsid w:val="00685E72"/>
    <w:pPr>
      <w:keepNext/>
      <w:keepLines/>
      <w:spacing w:before="240" w:after="60" w:line="180" w:lineRule="atLeast"/>
      <w:ind w:left="1296" w:hanging="1296"/>
      <w:outlineLvl w:val="6"/>
    </w:pPr>
    <w:rPr>
      <w:rFonts w:ascii="Cambria" w:eastAsia="Times New Roman" w:hAnsi="Cambria" w:cs="Times New Roman"/>
      <w:bCs/>
      <w:i/>
      <w:szCs w:val="22"/>
    </w:rPr>
  </w:style>
  <w:style w:type="paragraph" w:styleId="Heading8">
    <w:name w:val="heading 8"/>
    <w:basedOn w:val="Normal"/>
    <w:next w:val="Normal"/>
    <w:link w:val="Heading8Char"/>
    <w:autoRedefine/>
    <w:uiPriority w:val="9"/>
    <w:semiHidden/>
    <w:unhideWhenUsed/>
    <w:qFormat/>
    <w:rsid w:val="00520CD5"/>
    <w:pPr>
      <w:keepNext/>
      <w:keepLines/>
      <w:spacing w:before="200" w:after="0" w:line="240" w:lineRule="atLeast"/>
      <w:ind w:left="1440" w:hanging="1440"/>
      <w:outlineLvl w:val="7"/>
    </w:pPr>
    <w:rPr>
      <w:rFonts w:eastAsiaTheme="majorEastAsia" w:cstheme="majorBidi"/>
    </w:rPr>
  </w:style>
  <w:style w:type="paragraph" w:styleId="Heading9">
    <w:name w:val="heading 9"/>
    <w:basedOn w:val="Normal"/>
    <w:next w:val="Normal"/>
    <w:link w:val="Heading9Char"/>
    <w:uiPriority w:val="9"/>
    <w:semiHidden/>
    <w:unhideWhenUsed/>
    <w:qFormat/>
    <w:rsid w:val="00685E72"/>
    <w:pPr>
      <w:keepNext/>
      <w:keepLines/>
      <w:spacing w:before="200" w:after="0" w:line="240" w:lineRule="atLeast"/>
      <w:ind w:left="1584" w:hanging="1584"/>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TGAblue2023">
    <w:name w:val="Table TGA blue 2023"/>
    <w:basedOn w:val="TableNormal"/>
    <w:uiPriority w:val="99"/>
    <w:qFormat/>
    <w:rsid w:val="004647AA"/>
    <w:pPr>
      <w:spacing w:before="80" w:after="40" w:line="264" w:lineRule="auto"/>
      <w:ind w:left="113"/>
    </w:pPr>
    <w:rPr>
      <w:rFonts w:ascii="Arial" w:eastAsia="Cambria" w:hAnsi="Arial" w:cs="Times New Roman"/>
      <w:color w:val="000000"/>
      <w:sz w:val="18"/>
      <w:szCs w:val="21"/>
      <w:lang w:eastAsia="en-AU"/>
    </w:rPr>
    <w:tblPr>
      <w:tblBorders>
        <w:top w:val="single" w:sz="4" w:space="0" w:color="263287"/>
        <w:left w:val="single" w:sz="4" w:space="0" w:color="263287"/>
        <w:bottom w:val="single" w:sz="4" w:space="0" w:color="263287"/>
        <w:right w:val="single" w:sz="4" w:space="0" w:color="263287"/>
        <w:insideH w:val="single" w:sz="4" w:space="0" w:color="263287"/>
        <w:insideV w:val="single" w:sz="4" w:space="0" w:color="263287"/>
      </w:tblBorders>
    </w:tblPr>
    <w:tcPr>
      <w:shd w:val="clear" w:color="auto" w:fill="FFFFFF" w:themeFill="background1"/>
    </w:tcPr>
    <w:tblStylePr w:type="firstRow">
      <w:pPr>
        <w:keepNext/>
        <w:wordWrap/>
      </w:pPr>
      <w:rPr>
        <w:rFonts w:ascii="Arial" w:hAnsi="Arial"/>
        <w:b/>
        <w:color w:val="263287"/>
        <w:sz w:val="22"/>
      </w:rPr>
      <w:tblPr/>
      <w:trPr>
        <w:tblHeader/>
      </w:trPr>
      <w:tcPr>
        <w:shd w:val="clear" w:color="auto" w:fill="B8CCEA"/>
      </w:tcPr>
    </w:tblStylePr>
    <w:tblStylePr w:type="firstCol">
      <w:pPr>
        <w:keepNext w:val="0"/>
        <w:wordWrap/>
      </w:pPr>
    </w:tblStylePr>
  </w:style>
  <w:style w:type="character" w:customStyle="1" w:styleId="Heading2Char">
    <w:name w:val="Heading 2 Char"/>
    <w:basedOn w:val="DefaultParagraphFont"/>
    <w:link w:val="Heading2"/>
    <w:rsid w:val="004647AA"/>
    <w:rPr>
      <w:rFonts w:ascii="Arial" w:eastAsia="Times New Roman" w:hAnsi="Arial" w:cs="Times New Roman"/>
      <w:b/>
      <w:bCs/>
      <w:color w:val="001871"/>
      <w:sz w:val="38"/>
      <w:szCs w:val="38"/>
    </w:rPr>
  </w:style>
  <w:style w:type="character" w:customStyle="1" w:styleId="Heading3Char">
    <w:name w:val="Heading 3 Char"/>
    <w:basedOn w:val="DefaultParagraphFont"/>
    <w:link w:val="Heading3"/>
    <w:rsid w:val="00376657"/>
    <w:rPr>
      <w:rFonts w:ascii="Arial" w:eastAsia="Times New Roman" w:hAnsi="Arial" w:cs="Times New Roman"/>
      <w:b/>
      <w:bCs/>
      <w:color w:val="001871"/>
      <w:sz w:val="32"/>
      <w:szCs w:val="32"/>
    </w:rPr>
  </w:style>
  <w:style w:type="character" w:customStyle="1" w:styleId="Heading4Char">
    <w:name w:val="Heading 4 Char"/>
    <w:basedOn w:val="DefaultParagraphFont"/>
    <w:link w:val="Heading4"/>
    <w:rsid w:val="004647AA"/>
    <w:rPr>
      <w:rFonts w:ascii="Arial" w:eastAsia="Cambria" w:hAnsi="Arial" w:cs="Times New Roman"/>
      <w:bCs/>
      <w:color w:val="001871"/>
      <w:sz w:val="28"/>
      <w:szCs w:val="26"/>
    </w:rPr>
  </w:style>
  <w:style w:type="character" w:customStyle="1" w:styleId="Heading5Char">
    <w:name w:val="Heading 5 Char"/>
    <w:basedOn w:val="DefaultParagraphFont"/>
    <w:link w:val="Heading5"/>
    <w:uiPriority w:val="9"/>
    <w:rsid w:val="004647AA"/>
    <w:rPr>
      <w:rFonts w:ascii="Arial" w:eastAsia="Times New Roman" w:hAnsi="Arial" w:cs="Times New Roman"/>
      <w:bCs/>
      <w:i/>
      <w:color w:val="001871"/>
      <w:sz w:val="26"/>
      <w:szCs w:val="26"/>
    </w:rPr>
  </w:style>
  <w:style w:type="character" w:customStyle="1" w:styleId="Heading6Char">
    <w:name w:val="Heading 6 Char"/>
    <w:basedOn w:val="DefaultParagraphFont"/>
    <w:link w:val="Heading6"/>
    <w:uiPriority w:val="9"/>
    <w:rsid w:val="004647AA"/>
    <w:rPr>
      <w:rFonts w:ascii="Arial" w:eastAsia="Times New Roman" w:hAnsi="Arial" w:cs="Times New Roman"/>
      <w:bCs/>
      <w:color w:val="001871"/>
      <w:sz w:val="24"/>
      <w:szCs w:val="21"/>
    </w:rPr>
  </w:style>
  <w:style w:type="paragraph" w:styleId="Date">
    <w:name w:val="Date"/>
    <w:basedOn w:val="Normal"/>
    <w:next w:val="Normal"/>
    <w:link w:val="DateChar"/>
    <w:uiPriority w:val="99"/>
    <w:rsid w:val="004647AA"/>
    <w:pPr>
      <w:spacing w:before="120" w:after="0" w:line="240" w:lineRule="atLeast"/>
    </w:pPr>
    <w:rPr>
      <w:rFonts w:eastAsia="Cambria" w:cs="Times New Roman"/>
      <w:color w:val="333F4A"/>
      <w:sz w:val="28"/>
    </w:rPr>
  </w:style>
  <w:style w:type="character" w:customStyle="1" w:styleId="DateChar">
    <w:name w:val="Date Char"/>
    <w:basedOn w:val="DefaultParagraphFont"/>
    <w:link w:val="Date"/>
    <w:uiPriority w:val="99"/>
    <w:rsid w:val="004647AA"/>
    <w:rPr>
      <w:rFonts w:ascii="Arial" w:eastAsia="Cambria" w:hAnsi="Arial" w:cs="Times New Roman"/>
      <w:color w:val="333F4A"/>
      <w:sz w:val="28"/>
    </w:rPr>
  </w:style>
  <w:style w:type="paragraph" w:styleId="Footer">
    <w:name w:val="footer"/>
    <w:basedOn w:val="Normal"/>
    <w:link w:val="FooterChar"/>
    <w:uiPriority w:val="99"/>
    <w:rsid w:val="004647AA"/>
    <w:pPr>
      <w:tabs>
        <w:tab w:val="center" w:pos="4513"/>
        <w:tab w:val="right" w:pos="9026"/>
      </w:tabs>
      <w:spacing w:after="0" w:line="240" w:lineRule="auto"/>
    </w:pPr>
    <w:rPr>
      <w:rFonts w:eastAsia="Cambria" w:cs="Times New Roman"/>
      <w:color w:val="333F4A"/>
      <w:sz w:val="17"/>
    </w:rPr>
  </w:style>
  <w:style w:type="character" w:customStyle="1" w:styleId="FooterChar">
    <w:name w:val="Footer Char"/>
    <w:basedOn w:val="DefaultParagraphFont"/>
    <w:link w:val="Footer"/>
    <w:uiPriority w:val="99"/>
    <w:rsid w:val="004647AA"/>
    <w:rPr>
      <w:rFonts w:ascii="Arial" w:eastAsia="Cambria" w:hAnsi="Arial" w:cs="Times New Roman"/>
      <w:color w:val="333F4A"/>
      <w:sz w:val="17"/>
    </w:rPr>
  </w:style>
  <w:style w:type="paragraph" w:styleId="Header">
    <w:name w:val="header"/>
    <w:basedOn w:val="Normal"/>
    <w:link w:val="HeaderChar"/>
    <w:uiPriority w:val="99"/>
    <w:rsid w:val="004647AA"/>
    <w:pPr>
      <w:pBdr>
        <w:bottom w:val="single" w:sz="4" w:space="3" w:color="auto"/>
      </w:pBdr>
      <w:tabs>
        <w:tab w:val="center" w:pos="4513"/>
        <w:tab w:val="right" w:pos="9026"/>
      </w:tabs>
      <w:spacing w:after="0" w:line="240" w:lineRule="auto"/>
      <w:jc w:val="right"/>
    </w:pPr>
    <w:rPr>
      <w:rFonts w:eastAsia="Cambria" w:cs="Times New Roman"/>
      <w:color w:val="333F4A"/>
      <w:sz w:val="17"/>
    </w:rPr>
  </w:style>
  <w:style w:type="character" w:customStyle="1" w:styleId="HeaderChar">
    <w:name w:val="Header Char"/>
    <w:basedOn w:val="DefaultParagraphFont"/>
    <w:link w:val="Header"/>
    <w:uiPriority w:val="99"/>
    <w:rsid w:val="004647AA"/>
    <w:rPr>
      <w:rFonts w:ascii="Arial" w:eastAsia="Cambria" w:hAnsi="Arial" w:cs="Times New Roman"/>
      <w:color w:val="333F4A"/>
      <w:sz w:val="17"/>
    </w:rPr>
  </w:style>
  <w:style w:type="character" w:styleId="Hyperlink">
    <w:name w:val="Hyperlink"/>
    <w:aliases w:val="OECD Hyperlink"/>
    <w:basedOn w:val="DefaultParagraphFont"/>
    <w:uiPriority w:val="99"/>
    <w:unhideWhenUsed/>
    <w:rsid w:val="004647AA"/>
    <w:rPr>
      <w:rFonts w:ascii="Arial" w:hAnsi="Arial"/>
      <w:color w:val="0000FF"/>
      <w:u w:val="single"/>
    </w:rPr>
  </w:style>
  <w:style w:type="paragraph" w:customStyle="1" w:styleId="LegalCopy">
    <w:name w:val="Legal Copy"/>
    <w:basedOn w:val="Footer"/>
    <w:rsid w:val="004647AA"/>
  </w:style>
  <w:style w:type="paragraph" w:customStyle="1" w:styleId="LegalSubheading">
    <w:name w:val="Legal Subheading"/>
    <w:basedOn w:val="Normal"/>
    <w:rsid w:val="004647AA"/>
    <w:pPr>
      <w:outlineLvl w:val="1"/>
    </w:pPr>
    <w:rPr>
      <w:sz w:val="17"/>
    </w:rPr>
  </w:style>
  <w:style w:type="paragraph" w:styleId="ListBullet">
    <w:name w:val="List Bullet"/>
    <w:basedOn w:val="Normal"/>
    <w:autoRedefine/>
    <w:uiPriority w:val="99"/>
    <w:qFormat/>
    <w:rsid w:val="004647AA"/>
    <w:pPr>
      <w:numPr>
        <w:numId w:val="8"/>
      </w:numPr>
      <w:spacing w:before="120" w:after="180" w:line="240" w:lineRule="atLeast"/>
    </w:pPr>
    <w:rPr>
      <w:rFonts w:eastAsia="Cambria" w:cs="Times New Roman"/>
    </w:rPr>
  </w:style>
  <w:style w:type="paragraph" w:styleId="ListBullet2">
    <w:name w:val="List Bullet 2"/>
    <w:basedOn w:val="Normal"/>
    <w:uiPriority w:val="2"/>
    <w:qFormat/>
    <w:rsid w:val="004647AA"/>
    <w:pPr>
      <w:numPr>
        <w:ilvl w:val="1"/>
        <w:numId w:val="8"/>
      </w:numPr>
      <w:spacing w:before="120" w:after="180" w:line="240" w:lineRule="atLeast"/>
    </w:pPr>
    <w:rPr>
      <w:rFonts w:eastAsia="Cambria" w:cs="Times New Roman"/>
      <w:color w:val="333F48"/>
    </w:rPr>
  </w:style>
  <w:style w:type="paragraph" w:styleId="ListBullet3">
    <w:name w:val="List Bullet 3"/>
    <w:basedOn w:val="Normal"/>
    <w:uiPriority w:val="2"/>
    <w:qFormat/>
    <w:rsid w:val="004647AA"/>
    <w:pPr>
      <w:numPr>
        <w:numId w:val="7"/>
      </w:numPr>
      <w:spacing w:before="120" w:after="180" w:line="240" w:lineRule="atLeast"/>
    </w:pPr>
    <w:rPr>
      <w:rFonts w:eastAsia="Cambria" w:cs="Times New Roman"/>
      <w:color w:val="333F48"/>
    </w:rPr>
  </w:style>
  <w:style w:type="numbering" w:customStyle="1" w:styleId="ListBullets">
    <w:name w:val="ListBullets"/>
    <w:uiPriority w:val="99"/>
    <w:locked/>
    <w:rsid w:val="004647AA"/>
    <w:pPr>
      <w:numPr>
        <w:numId w:val="5"/>
      </w:numPr>
    </w:pPr>
  </w:style>
  <w:style w:type="paragraph" w:customStyle="1" w:styleId="Numberbullet0">
    <w:name w:val="Number bullet"/>
    <w:basedOn w:val="ListBullet"/>
    <w:uiPriority w:val="3"/>
    <w:qFormat/>
    <w:rsid w:val="004647AA"/>
    <w:pPr>
      <w:numPr>
        <w:numId w:val="10"/>
      </w:numPr>
    </w:pPr>
  </w:style>
  <w:style w:type="paragraph" w:customStyle="1" w:styleId="Numberbullet2">
    <w:name w:val="Number bullet 2"/>
    <w:basedOn w:val="ListBullet2"/>
    <w:uiPriority w:val="3"/>
    <w:qFormat/>
    <w:rsid w:val="004647AA"/>
    <w:pPr>
      <w:numPr>
        <w:numId w:val="10"/>
      </w:numPr>
    </w:pPr>
  </w:style>
  <w:style w:type="paragraph" w:customStyle="1" w:styleId="Numberbullet3">
    <w:name w:val="Number bullet 3"/>
    <w:basedOn w:val="Normal"/>
    <w:uiPriority w:val="3"/>
    <w:qFormat/>
    <w:rsid w:val="004647AA"/>
    <w:pPr>
      <w:numPr>
        <w:numId w:val="9"/>
      </w:numPr>
      <w:spacing w:before="120" w:after="180" w:line="240" w:lineRule="atLeast"/>
    </w:pPr>
    <w:rPr>
      <w:rFonts w:eastAsia="Cambria" w:cs="Times New Roman"/>
      <w:color w:val="333F48"/>
    </w:rPr>
  </w:style>
  <w:style w:type="numbering" w:customStyle="1" w:styleId="NumberBullet">
    <w:name w:val="NumberBullet"/>
    <w:uiPriority w:val="99"/>
    <w:locked/>
    <w:rsid w:val="004647AA"/>
    <w:pPr>
      <w:numPr>
        <w:numId w:val="1"/>
      </w:numPr>
    </w:pPr>
  </w:style>
  <w:style w:type="paragraph" w:styleId="Subtitle">
    <w:name w:val="Subtitle"/>
    <w:basedOn w:val="Normal"/>
    <w:link w:val="SubtitleChar"/>
    <w:uiPriority w:val="11"/>
    <w:rsid w:val="004647AA"/>
    <w:pPr>
      <w:numPr>
        <w:ilvl w:val="1"/>
      </w:numPr>
      <w:spacing w:after="0" w:line="240" w:lineRule="atLeast"/>
      <w:ind w:left="170"/>
    </w:pPr>
    <w:rPr>
      <w:rFonts w:eastAsia="Times New Roman" w:cs="Times New Roman"/>
      <w:bCs/>
      <w:iCs/>
      <w:color w:val="006BA6"/>
      <w:sz w:val="40"/>
      <w:szCs w:val="24"/>
    </w:rPr>
  </w:style>
  <w:style w:type="character" w:customStyle="1" w:styleId="SubtitleChar">
    <w:name w:val="Subtitle Char"/>
    <w:basedOn w:val="DefaultParagraphFont"/>
    <w:link w:val="Subtitle"/>
    <w:uiPriority w:val="11"/>
    <w:rsid w:val="004647AA"/>
    <w:rPr>
      <w:rFonts w:ascii="Arial" w:eastAsia="Times New Roman" w:hAnsi="Arial" w:cs="Times New Roman"/>
      <w:bCs/>
      <w:iCs/>
      <w:color w:val="006BA6"/>
      <w:sz w:val="40"/>
      <w:szCs w:val="24"/>
    </w:rPr>
  </w:style>
  <w:style w:type="table" w:styleId="TableGrid">
    <w:name w:val="Table Grid"/>
    <w:basedOn w:val="TableNormal"/>
    <w:uiPriority w:val="59"/>
    <w:rsid w:val="004647AA"/>
    <w:pPr>
      <w:spacing w:after="0" w:line="240" w:lineRule="auto"/>
    </w:pPr>
    <w:rPr>
      <w:rFonts w:ascii="Cambria" w:eastAsia="Cambria" w:hAnsi="Cambria" w:cs="Times New Roman"/>
      <w:sz w:val="21"/>
      <w:szCs w:val="21"/>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GASignoff">
    <w:name w:val="TGA Signoff"/>
    <w:basedOn w:val="Normal"/>
    <w:rsid w:val="004647AA"/>
    <w:pPr>
      <w:spacing w:before="120" w:after="360" w:line="240" w:lineRule="atLeast"/>
      <w:jc w:val="center"/>
    </w:pPr>
    <w:rPr>
      <w:rFonts w:eastAsia="Cambria" w:cs="Times New Roman"/>
      <w:b/>
      <w:color w:val="333F48"/>
      <w:sz w:val="28"/>
    </w:rPr>
  </w:style>
  <w:style w:type="paragraph" w:styleId="Title">
    <w:name w:val="Title"/>
    <w:link w:val="TitleChar"/>
    <w:uiPriority w:val="10"/>
    <w:rsid w:val="004647AA"/>
    <w:pPr>
      <w:spacing w:line="240" w:lineRule="auto"/>
      <w:contextualSpacing/>
      <w:outlineLvl w:val="0"/>
    </w:pPr>
    <w:rPr>
      <w:rFonts w:ascii="Arial" w:eastAsia="Times New Roman" w:hAnsi="Arial" w:cs="Times New Roman"/>
      <w:color w:val="001871"/>
      <w:spacing w:val="5"/>
      <w:kern w:val="28"/>
      <w:sz w:val="52"/>
      <w:szCs w:val="52"/>
    </w:rPr>
  </w:style>
  <w:style w:type="character" w:customStyle="1" w:styleId="TitleChar">
    <w:name w:val="Title Char"/>
    <w:basedOn w:val="DefaultParagraphFont"/>
    <w:link w:val="Title"/>
    <w:uiPriority w:val="10"/>
    <w:rsid w:val="004647AA"/>
    <w:rPr>
      <w:rFonts w:ascii="Arial" w:eastAsia="Times New Roman" w:hAnsi="Arial" w:cs="Times New Roman"/>
      <w:color w:val="001871"/>
      <w:spacing w:val="5"/>
      <w:kern w:val="28"/>
      <w:sz w:val="52"/>
      <w:szCs w:val="52"/>
    </w:rPr>
  </w:style>
  <w:style w:type="paragraph" w:styleId="TOC1">
    <w:name w:val="toc 1"/>
    <w:basedOn w:val="Normal"/>
    <w:next w:val="Normal"/>
    <w:autoRedefine/>
    <w:uiPriority w:val="39"/>
    <w:unhideWhenUsed/>
    <w:rsid w:val="004647AA"/>
    <w:pPr>
      <w:keepNext/>
      <w:keepLines/>
      <w:tabs>
        <w:tab w:val="right" w:leader="underscore" w:pos="8505"/>
      </w:tabs>
      <w:spacing w:before="240" w:after="0" w:line="240" w:lineRule="atLeast"/>
    </w:pPr>
    <w:rPr>
      <w:rFonts w:eastAsia="Cambria" w:cs="Times New Roman"/>
      <w:b/>
      <w:color w:val="333F48"/>
      <w:sz w:val="32"/>
    </w:rPr>
  </w:style>
  <w:style w:type="paragraph" w:styleId="TOC2">
    <w:name w:val="toc 2"/>
    <w:basedOn w:val="Normal"/>
    <w:next w:val="Normal"/>
    <w:autoRedefine/>
    <w:uiPriority w:val="39"/>
    <w:unhideWhenUsed/>
    <w:rsid w:val="004647AA"/>
    <w:pPr>
      <w:keepNext/>
      <w:keepLines/>
      <w:tabs>
        <w:tab w:val="right" w:leader="underscore" w:pos="8505"/>
      </w:tabs>
      <w:spacing w:before="60" w:after="0" w:line="240" w:lineRule="atLeast"/>
      <w:ind w:left="425"/>
    </w:pPr>
    <w:rPr>
      <w:rFonts w:eastAsia="Cambria" w:cs="Times New Roman"/>
      <w:color w:val="333F48"/>
      <w:sz w:val="24"/>
    </w:rPr>
  </w:style>
  <w:style w:type="paragraph" w:styleId="TOC3">
    <w:name w:val="toc 3"/>
    <w:basedOn w:val="Normal"/>
    <w:next w:val="Normal"/>
    <w:autoRedefine/>
    <w:uiPriority w:val="39"/>
    <w:unhideWhenUsed/>
    <w:rsid w:val="004647AA"/>
    <w:pPr>
      <w:keepNext/>
      <w:keepLines/>
      <w:tabs>
        <w:tab w:val="right" w:leader="hyphen" w:pos="8505"/>
      </w:tabs>
      <w:spacing w:before="60" w:after="0" w:line="240" w:lineRule="atLeast"/>
      <w:ind w:left="851"/>
    </w:pPr>
    <w:rPr>
      <w:rFonts w:eastAsia="Cambria" w:cs="Times New Roman"/>
      <w:color w:val="333F48"/>
      <w:sz w:val="22"/>
    </w:rPr>
  </w:style>
  <w:style w:type="paragraph" w:styleId="FootnoteText">
    <w:name w:val="footnote text"/>
    <w:basedOn w:val="Normal"/>
    <w:link w:val="FootnoteTextChar"/>
    <w:rsid w:val="004647AA"/>
    <w:pPr>
      <w:keepLines/>
      <w:spacing w:after="0" w:line="240" w:lineRule="atLeast"/>
    </w:pPr>
    <w:rPr>
      <w:rFonts w:eastAsia="Cambria" w:cs="Times New Roman"/>
      <w:color w:val="333F48"/>
      <w:sz w:val="16"/>
    </w:rPr>
  </w:style>
  <w:style w:type="character" w:customStyle="1" w:styleId="FootnoteTextChar">
    <w:name w:val="Footnote Text Char"/>
    <w:basedOn w:val="DefaultParagraphFont"/>
    <w:link w:val="FootnoteText"/>
    <w:rsid w:val="004647AA"/>
    <w:rPr>
      <w:rFonts w:ascii="Arial" w:eastAsia="Cambria" w:hAnsi="Arial" w:cs="Times New Roman"/>
      <w:color w:val="333F48"/>
      <w:sz w:val="16"/>
    </w:rPr>
  </w:style>
  <w:style w:type="character" w:styleId="FootnoteReference">
    <w:name w:val="footnote reference"/>
    <w:basedOn w:val="DefaultParagraphFont"/>
    <w:uiPriority w:val="99"/>
    <w:unhideWhenUsed/>
    <w:rsid w:val="004647AA"/>
    <w:rPr>
      <w:vertAlign w:val="superscript"/>
    </w:rPr>
  </w:style>
  <w:style w:type="paragraph" w:customStyle="1" w:styleId="NonTOCheading2">
    <w:name w:val="Non TOC heading 2"/>
    <w:basedOn w:val="Normal"/>
    <w:next w:val="Normal"/>
    <w:rsid w:val="004647AA"/>
    <w:pPr>
      <w:keepNext/>
      <w:keepLines/>
      <w:pageBreakBefore/>
      <w:spacing w:after="180" w:line="240" w:lineRule="atLeast"/>
      <w:outlineLvl w:val="1"/>
    </w:pPr>
    <w:rPr>
      <w:rFonts w:eastAsia="Cambria" w:cs="Times New Roman"/>
      <w:b/>
      <w:color w:val="001871"/>
      <w:sz w:val="38"/>
    </w:rPr>
  </w:style>
  <w:style w:type="paragraph" w:customStyle="1" w:styleId="Headernoline">
    <w:name w:val="Header no line"/>
    <w:basedOn w:val="Header"/>
    <w:rsid w:val="004647AA"/>
    <w:pPr>
      <w:pBdr>
        <w:bottom w:val="none" w:sz="0" w:space="0" w:color="auto"/>
      </w:pBdr>
      <w:spacing w:line="240" w:lineRule="atLeast"/>
    </w:pPr>
  </w:style>
  <w:style w:type="paragraph" w:customStyle="1" w:styleId="Tabledescription">
    <w:name w:val="Table description"/>
    <w:basedOn w:val="Normal"/>
    <w:next w:val="Normal"/>
    <w:rsid w:val="004647AA"/>
    <w:pPr>
      <w:spacing w:before="120" w:after="240" w:line="180" w:lineRule="atLeast"/>
    </w:pPr>
    <w:rPr>
      <w:rFonts w:eastAsia="Cambria" w:cs="Times New Roman"/>
      <w:color w:val="333F48"/>
      <w:sz w:val="18"/>
    </w:rPr>
  </w:style>
  <w:style w:type="paragraph" w:customStyle="1" w:styleId="Tabletitle">
    <w:name w:val="Table title"/>
    <w:basedOn w:val="Normal"/>
    <w:next w:val="Normal"/>
    <w:rsid w:val="004647AA"/>
    <w:pPr>
      <w:keepNext/>
      <w:spacing w:before="120" w:after="180" w:line="240" w:lineRule="atLeast"/>
    </w:pPr>
    <w:rPr>
      <w:rFonts w:eastAsia="Cambria" w:cs="Times New Roman"/>
      <w:b/>
      <w:color w:val="333F48"/>
    </w:rPr>
  </w:style>
  <w:style w:type="paragraph" w:customStyle="1" w:styleId="Address">
    <w:name w:val="Address"/>
    <w:basedOn w:val="Normal"/>
    <w:rsid w:val="004647AA"/>
    <w:pPr>
      <w:spacing w:after="0" w:line="240" w:lineRule="auto"/>
    </w:pPr>
    <w:rPr>
      <w:rFonts w:eastAsia="Cambria" w:cs="Times New Roman"/>
      <w:color w:val="333F48"/>
      <w:sz w:val="21"/>
    </w:rPr>
  </w:style>
  <w:style w:type="paragraph" w:customStyle="1" w:styleId="ListBullet-dotick">
    <w:name w:val="List Bullet - do (tick)"/>
    <w:basedOn w:val="ListBullet"/>
    <w:autoRedefine/>
    <w:uiPriority w:val="1"/>
    <w:qFormat/>
    <w:rsid w:val="004647AA"/>
    <w:pPr>
      <w:tabs>
        <w:tab w:val="left" w:pos="425"/>
      </w:tabs>
    </w:pPr>
  </w:style>
  <w:style w:type="paragraph" w:customStyle="1" w:styleId="ListBullet-donotcross">
    <w:name w:val="List Bullet - do not (cross)"/>
    <w:basedOn w:val="ListBullet"/>
    <w:autoRedefine/>
    <w:uiPriority w:val="1"/>
    <w:qFormat/>
    <w:rsid w:val="004647AA"/>
    <w:pPr>
      <w:ind w:left="357" w:hanging="357"/>
    </w:pPr>
    <w:rPr>
      <w:rFonts w:eastAsiaTheme="minorHAnsi" w:cstheme="minorBidi"/>
      <w:szCs w:val="22"/>
    </w:rPr>
  </w:style>
  <w:style w:type="table" w:customStyle="1" w:styleId="TGABlack2023">
    <w:name w:val="TGA Black 2023"/>
    <w:basedOn w:val="TableTGAblue2023"/>
    <w:uiPriority w:val="99"/>
    <w:rsid w:val="004647AA"/>
    <w:pPr>
      <w:spacing w:line="240" w:lineRule="auto"/>
    </w:pPr>
    <w:tblPr>
      <w:tbl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insideH w:val="single" w:sz="4" w:space="0" w:color="0D0D0D" w:themeColor="text1" w:themeTint="F2"/>
        <w:insideV w:val="single" w:sz="4" w:space="0" w:color="0D0D0D" w:themeColor="text1" w:themeTint="F2"/>
      </w:tblBorders>
    </w:tblPr>
    <w:tblStylePr w:type="firstRow">
      <w:pPr>
        <w:keepNext/>
        <w:wordWrap/>
      </w:pPr>
      <w:rPr>
        <w:rFonts w:ascii="Arial" w:hAnsi="Arial"/>
        <w:b/>
        <w:color w:val="FFFFFF" w:themeColor="background1"/>
        <w:sz w:val="22"/>
      </w:rPr>
      <w:tblPr/>
      <w:trPr>
        <w:tblHeader/>
      </w:trPr>
      <w:tcPr>
        <w:shd w:val="clear" w:color="auto" w:fill="171717" w:themeFill="background2" w:themeFillShade="1A"/>
      </w:tcPr>
    </w:tblStylePr>
    <w:tblStylePr w:type="firstCol">
      <w:pPr>
        <w:keepNext w:val="0"/>
        <w:wordWrap/>
      </w:pPr>
    </w:tblStylePr>
  </w:style>
  <w:style w:type="character" w:customStyle="1" w:styleId="Heading1Char">
    <w:name w:val="Heading 1 Char"/>
    <w:basedOn w:val="DefaultParagraphFont"/>
    <w:link w:val="Heading1"/>
    <w:uiPriority w:val="9"/>
    <w:rsid w:val="004647AA"/>
    <w:rPr>
      <w:rFonts w:asciiTheme="majorHAnsi" w:eastAsiaTheme="majorEastAsia" w:hAnsiTheme="majorHAnsi" w:cstheme="majorBidi"/>
      <w:color w:val="2F5496" w:themeColor="accent1" w:themeShade="BF"/>
      <w:sz w:val="32"/>
      <w:szCs w:val="32"/>
    </w:rPr>
  </w:style>
  <w:style w:type="character" w:customStyle="1" w:styleId="Heading7Char">
    <w:name w:val="Heading 7 Char"/>
    <w:basedOn w:val="DefaultParagraphFont"/>
    <w:link w:val="Heading7"/>
    <w:uiPriority w:val="9"/>
    <w:rsid w:val="00685E72"/>
    <w:rPr>
      <w:rFonts w:ascii="Cambria" w:eastAsia="Times New Roman" w:hAnsi="Cambria" w:cs="Times New Roman"/>
      <w:bCs/>
      <w:i/>
      <w:sz w:val="22"/>
      <w:szCs w:val="22"/>
    </w:rPr>
  </w:style>
  <w:style w:type="character" w:customStyle="1" w:styleId="Heading8Char">
    <w:name w:val="Heading 8 Char"/>
    <w:basedOn w:val="DefaultParagraphFont"/>
    <w:link w:val="Heading8"/>
    <w:uiPriority w:val="9"/>
    <w:semiHidden/>
    <w:rsid w:val="00520CD5"/>
    <w:rPr>
      <w:rFonts w:ascii="Arial" w:eastAsiaTheme="majorEastAsia" w:hAnsi="Arial" w:cstheme="majorBidi"/>
      <w:color w:val="000000" w:themeColor="text1"/>
      <w:sz w:val="22"/>
    </w:rPr>
  </w:style>
  <w:style w:type="character" w:customStyle="1" w:styleId="Heading9Char">
    <w:name w:val="Heading 9 Char"/>
    <w:basedOn w:val="DefaultParagraphFont"/>
    <w:link w:val="Heading9"/>
    <w:uiPriority w:val="9"/>
    <w:semiHidden/>
    <w:rsid w:val="00685E72"/>
    <w:rPr>
      <w:rFonts w:asciiTheme="majorHAnsi" w:eastAsiaTheme="majorEastAsia" w:hAnsiTheme="majorHAnsi" w:cstheme="majorBidi"/>
      <w:i/>
      <w:iCs/>
      <w:color w:val="404040" w:themeColor="text1" w:themeTint="BF"/>
    </w:rPr>
  </w:style>
  <w:style w:type="paragraph" w:styleId="DocumentMap">
    <w:name w:val="Document Map"/>
    <w:basedOn w:val="Normal"/>
    <w:link w:val="DocumentMapChar"/>
    <w:uiPriority w:val="99"/>
    <w:semiHidden/>
    <w:unhideWhenUsed/>
    <w:rsid w:val="00685E72"/>
    <w:pPr>
      <w:spacing w:after="0" w:line="240" w:lineRule="auto"/>
    </w:pPr>
    <w:rPr>
      <w:rFonts w:ascii="Tahoma" w:eastAsia="Cambria" w:hAnsi="Tahoma" w:cs="Tahoma"/>
      <w:sz w:val="16"/>
      <w:szCs w:val="16"/>
    </w:rPr>
  </w:style>
  <w:style w:type="character" w:customStyle="1" w:styleId="DocumentMapChar">
    <w:name w:val="Document Map Char"/>
    <w:basedOn w:val="DefaultParagraphFont"/>
    <w:link w:val="DocumentMap"/>
    <w:uiPriority w:val="99"/>
    <w:semiHidden/>
    <w:rsid w:val="00685E72"/>
    <w:rPr>
      <w:rFonts w:ascii="Tahoma" w:eastAsia="Cambria" w:hAnsi="Tahoma" w:cs="Tahoma"/>
      <w:sz w:val="16"/>
      <w:szCs w:val="16"/>
    </w:rPr>
  </w:style>
  <w:style w:type="paragraph" w:styleId="BalloonText">
    <w:name w:val="Balloon Text"/>
    <w:basedOn w:val="Normal"/>
    <w:link w:val="BalloonTextChar"/>
    <w:uiPriority w:val="99"/>
    <w:semiHidden/>
    <w:unhideWhenUsed/>
    <w:rsid w:val="00685E72"/>
    <w:pPr>
      <w:spacing w:before="120" w:after="0" w:line="240" w:lineRule="atLeast"/>
    </w:pPr>
    <w:rPr>
      <w:rFonts w:ascii="Tahoma" w:eastAsia="Cambria" w:hAnsi="Tahoma" w:cs="Tahoma"/>
      <w:sz w:val="16"/>
      <w:szCs w:val="16"/>
    </w:rPr>
  </w:style>
  <w:style w:type="character" w:customStyle="1" w:styleId="BalloonTextChar">
    <w:name w:val="Balloon Text Char"/>
    <w:basedOn w:val="DefaultParagraphFont"/>
    <w:link w:val="BalloonText"/>
    <w:uiPriority w:val="99"/>
    <w:semiHidden/>
    <w:rsid w:val="00685E72"/>
    <w:rPr>
      <w:rFonts w:ascii="Tahoma" w:eastAsia="Cambria" w:hAnsi="Tahoma" w:cs="Tahoma"/>
      <w:sz w:val="16"/>
      <w:szCs w:val="16"/>
    </w:rPr>
  </w:style>
  <w:style w:type="paragraph" w:styleId="TOC4">
    <w:name w:val="toc 4"/>
    <w:basedOn w:val="Normal"/>
    <w:next w:val="Normal"/>
    <w:autoRedefine/>
    <w:uiPriority w:val="39"/>
    <w:semiHidden/>
    <w:unhideWhenUsed/>
    <w:rsid w:val="00685E72"/>
    <w:pPr>
      <w:tabs>
        <w:tab w:val="right" w:leader="hyphen" w:pos="8505"/>
      </w:tabs>
      <w:spacing w:before="120" w:after="100" w:line="240" w:lineRule="atLeast"/>
      <w:ind w:left="1276"/>
    </w:pPr>
    <w:rPr>
      <w:rFonts w:ascii="Cambria" w:eastAsia="Cambria" w:hAnsi="Cambria" w:cs="Times New Roman"/>
    </w:rPr>
  </w:style>
  <w:style w:type="paragraph" w:styleId="TOC5">
    <w:name w:val="toc 5"/>
    <w:basedOn w:val="Normal"/>
    <w:next w:val="Normal"/>
    <w:autoRedefine/>
    <w:uiPriority w:val="39"/>
    <w:semiHidden/>
    <w:unhideWhenUsed/>
    <w:rsid w:val="00685E72"/>
    <w:pPr>
      <w:tabs>
        <w:tab w:val="right" w:leader="dot" w:pos="8505"/>
      </w:tabs>
      <w:spacing w:before="120" w:after="100" w:line="240" w:lineRule="atLeast"/>
      <w:ind w:left="1701"/>
    </w:pPr>
    <w:rPr>
      <w:rFonts w:ascii="Cambria" w:eastAsia="Cambria" w:hAnsi="Cambria" w:cs="Times New Roman"/>
      <w:noProof/>
    </w:rPr>
  </w:style>
  <w:style w:type="paragraph" w:styleId="TOC6">
    <w:name w:val="toc 6"/>
    <w:basedOn w:val="Normal"/>
    <w:next w:val="Normal"/>
    <w:autoRedefine/>
    <w:uiPriority w:val="39"/>
    <w:semiHidden/>
    <w:unhideWhenUsed/>
    <w:rsid w:val="00685E72"/>
    <w:pPr>
      <w:tabs>
        <w:tab w:val="right" w:pos="8505"/>
      </w:tabs>
      <w:spacing w:before="120" w:after="100" w:line="240" w:lineRule="atLeast"/>
      <w:ind w:left="2126"/>
    </w:pPr>
    <w:rPr>
      <w:rFonts w:ascii="Cambria" w:eastAsia="Cambria" w:hAnsi="Cambria" w:cs="Times New Roman"/>
    </w:rPr>
  </w:style>
  <w:style w:type="paragraph" w:styleId="TOC7">
    <w:name w:val="toc 7"/>
    <w:basedOn w:val="Normal"/>
    <w:next w:val="Normal"/>
    <w:autoRedefine/>
    <w:uiPriority w:val="39"/>
    <w:semiHidden/>
    <w:unhideWhenUsed/>
    <w:rsid w:val="00685E72"/>
    <w:pPr>
      <w:spacing w:before="120" w:after="100" w:line="240" w:lineRule="atLeast"/>
      <w:ind w:left="2211"/>
    </w:pPr>
    <w:rPr>
      <w:rFonts w:ascii="Cambria" w:eastAsia="Cambria" w:hAnsi="Cambria" w:cs="Times New Roman"/>
    </w:rPr>
  </w:style>
  <w:style w:type="character" w:styleId="FollowedHyperlink">
    <w:name w:val="FollowedHyperlink"/>
    <w:basedOn w:val="DefaultParagraphFont"/>
    <w:semiHidden/>
    <w:unhideWhenUsed/>
    <w:rsid w:val="00685E72"/>
    <w:rPr>
      <w:color w:val="800080"/>
      <w:u w:val="single"/>
    </w:rPr>
  </w:style>
  <w:style w:type="paragraph" w:customStyle="1" w:styleId="HeaderNoLine0">
    <w:name w:val="Header No Line"/>
    <w:basedOn w:val="Header"/>
    <w:rsid w:val="00685E72"/>
    <w:pPr>
      <w:pBdr>
        <w:bottom w:val="none" w:sz="0" w:space="0" w:color="auto"/>
      </w:pBdr>
    </w:pPr>
    <w:rPr>
      <w:rFonts w:ascii="Cambria" w:hAnsi="Cambria"/>
      <w:color w:val="auto"/>
    </w:rPr>
  </w:style>
  <w:style w:type="table" w:styleId="LightShading-Accent2">
    <w:name w:val="Light Shading Accent 2"/>
    <w:basedOn w:val="TableNormal"/>
    <w:uiPriority w:val="60"/>
    <w:rsid w:val="00685E72"/>
    <w:pPr>
      <w:spacing w:after="0" w:line="240" w:lineRule="auto"/>
    </w:pPr>
    <w:rPr>
      <w:rFonts w:ascii="Cambria" w:eastAsia="Calibri" w:hAnsi="Cambria" w:cs="Times New Roman"/>
      <w:color w:val="943634"/>
      <w:sz w:val="21"/>
      <w:szCs w:val="21"/>
      <w:lang w:eastAsia="en-A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Grid2-Accent5">
    <w:name w:val="Medium Grid 2 Accent 5"/>
    <w:basedOn w:val="TableNormal"/>
    <w:uiPriority w:val="68"/>
    <w:rsid w:val="00685E72"/>
    <w:pPr>
      <w:spacing w:after="0" w:line="240" w:lineRule="auto"/>
    </w:pPr>
    <w:rPr>
      <w:rFonts w:ascii="Cambria" w:eastAsia="Times New Roman" w:hAnsi="Cambria" w:cs="Times New Roman"/>
      <w:color w:val="000000"/>
      <w:sz w:val="21"/>
      <w:szCs w:val="21"/>
      <w:lang w:eastAsia="en-A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character" w:styleId="PlaceholderText">
    <w:name w:val="Placeholder Text"/>
    <w:basedOn w:val="DefaultParagraphFont"/>
    <w:uiPriority w:val="99"/>
    <w:semiHidden/>
    <w:rsid w:val="004647AA"/>
    <w:rPr>
      <w:color w:val="808080"/>
    </w:rPr>
  </w:style>
  <w:style w:type="paragraph" w:customStyle="1" w:styleId="Reference">
    <w:name w:val="Reference"/>
    <w:basedOn w:val="Normal"/>
    <w:rsid w:val="00685E72"/>
    <w:pPr>
      <w:spacing w:before="40" w:after="0" w:line="240" w:lineRule="atLeast"/>
      <w:ind w:left="170" w:hanging="170"/>
    </w:pPr>
    <w:rPr>
      <w:rFonts w:ascii="Cambria" w:eastAsia="Cambria" w:hAnsi="Cambria" w:cs="Times New Roman"/>
      <w:sz w:val="19"/>
    </w:rPr>
  </w:style>
  <w:style w:type="paragraph" w:styleId="EndnoteText">
    <w:name w:val="endnote text"/>
    <w:basedOn w:val="FootnoteText"/>
    <w:link w:val="EndnoteTextChar"/>
    <w:semiHidden/>
    <w:unhideWhenUsed/>
    <w:rsid w:val="00685E72"/>
    <w:rPr>
      <w:rFonts w:asciiTheme="minorHAnsi" w:hAnsiTheme="minorHAnsi" w:cstheme="minorBidi"/>
      <w:color w:val="auto"/>
      <w:szCs w:val="22"/>
    </w:rPr>
  </w:style>
  <w:style w:type="character" w:customStyle="1" w:styleId="EndnoteTextChar">
    <w:name w:val="Endnote Text Char"/>
    <w:basedOn w:val="DefaultParagraphFont"/>
    <w:link w:val="EndnoteText"/>
    <w:semiHidden/>
    <w:rsid w:val="00685E72"/>
    <w:rPr>
      <w:rFonts w:eastAsia="Cambria"/>
      <w:szCs w:val="22"/>
    </w:rPr>
  </w:style>
  <w:style w:type="table" w:customStyle="1" w:styleId="TableTGAblue">
    <w:name w:val="Table TGA blue"/>
    <w:basedOn w:val="TableNormal"/>
    <w:uiPriority w:val="99"/>
    <w:qFormat/>
    <w:rsid w:val="00685E72"/>
    <w:pPr>
      <w:spacing w:after="0" w:line="240" w:lineRule="auto"/>
    </w:pPr>
    <w:rPr>
      <w:rFonts w:ascii="Cambria" w:eastAsia="Cambria" w:hAnsi="Cambria" w:cs="Times New Roman"/>
      <w:color w:val="000000"/>
      <w:sz w:val="22"/>
      <w:szCs w:val="21"/>
      <w:lang w:eastAsia="en-AU"/>
    </w:rPr>
    <w:tblPr>
      <w:tblBorders>
        <w:top w:val="single" w:sz="8" w:space="0" w:color="002C47"/>
        <w:left w:val="single" w:sz="8" w:space="0" w:color="002C47"/>
        <w:bottom w:val="single" w:sz="8" w:space="0" w:color="002C47"/>
        <w:right w:val="single" w:sz="8" w:space="0" w:color="002C47"/>
        <w:insideH w:val="single" w:sz="8" w:space="0" w:color="002C47"/>
        <w:insideV w:val="single" w:sz="8" w:space="0" w:color="002C47"/>
      </w:tblBorders>
    </w:tblPr>
    <w:trPr>
      <w:cantSplit/>
    </w:trPr>
    <w:tcPr>
      <w:shd w:val="clear" w:color="auto" w:fill="auto"/>
    </w:tcPr>
    <w:tblStylePr w:type="firstRow">
      <w:pPr>
        <w:keepNext/>
        <w:wordWrap/>
      </w:pPr>
      <w:rPr>
        <w:rFonts w:ascii="Cambria" w:hAnsi="Cambria"/>
        <w:b/>
        <w:color w:val="FFFFFF"/>
        <w:sz w:val="22"/>
      </w:rPr>
      <w:tblPr/>
      <w:tcPr>
        <w:tcBorders>
          <w:top w:val="single" w:sz="8" w:space="0" w:color="002C47"/>
          <w:left w:val="single" w:sz="8" w:space="0" w:color="002C47"/>
          <w:bottom w:val="single" w:sz="8" w:space="0" w:color="002C47"/>
          <w:right w:val="single" w:sz="8" w:space="0" w:color="002C47"/>
          <w:insideH w:val="nil"/>
          <w:insideV w:val="nil"/>
          <w:tl2br w:val="nil"/>
          <w:tr2bl w:val="nil"/>
        </w:tcBorders>
        <w:shd w:val="clear" w:color="auto" w:fill="006DA7"/>
      </w:tcPr>
    </w:tblStylePr>
    <w:tblStylePr w:type="firstCol">
      <w:pPr>
        <w:keepNext w:val="0"/>
        <w:wordWrap/>
      </w:pPr>
    </w:tblStylePr>
  </w:style>
  <w:style w:type="table" w:customStyle="1" w:styleId="TableTGAblack">
    <w:name w:val="Table TGA black"/>
    <w:basedOn w:val="TableNormal"/>
    <w:uiPriority w:val="99"/>
    <w:rsid w:val="00685E72"/>
    <w:pPr>
      <w:spacing w:before="60" w:after="0" w:line="240" w:lineRule="auto"/>
    </w:pPr>
    <w:rPr>
      <w:rFonts w:ascii="Cambria" w:eastAsia="Cambria" w:hAnsi="Cambria" w:cs="Times New Roman"/>
      <w:color w:val="000000"/>
      <w:sz w:val="22"/>
      <w:szCs w:val="21"/>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cantSplit/>
    </w:trPr>
    <w:tcPr>
      <w:shd w:val="clear" w:color="auto" w:fill="auto"/>
    </w:tcPr>
    <w:tblStylePr w:type="firstRow">
      <w:pPr>
        <w:keepNext/>
        <w:wordWrap/>
      </w:pPr>
      <w:rPr>
        <w:rFonts w:ascii="Cambria" w:hAnsi="Cambria"/>
        <w:b/>
        <w:color w:val="FFFFFF"/>
        <w:sz w:val="22"/>
      </w:rPr>
      <w:tblPr/>
      <w:tcPr>
        <w:shd w:val="clear" w:color="auto" w:fill="000000"/>
      </w:tcPr>
    </w:tblStylePr>
    <w:tblStylePr w:type="lastRow">
      <w:rPr>
        <w:b w:val="0"/>
      </w:rPr>
    </w:tblStylePr>
    <w:tblStylePr w:type="firstCol">
      <w:pPr>
        <w:keepNext w:val="0"/>
        <w:wordWrap/>
      </w:pPr>
    </w:tblStylePr>
    <w:tblStylePr w:type="neCell">
      <w:rPr>
        <w:b w:val="0"/>
        <w:i w:val="0"/>
      </w:rPr>
    </w:tblStylePr>
    <w:tblStylePr w:type="nwCell">
      <w:rPr>
        <w:rFonts w:ascii="Cambria" w:hAnsi="Cambria"/>
        <w:b/>
        <w:i w:val="0"/>
        <w:color w:val="FFFFFF"/>
        <w:sz w:val="22"/>
      </w:rPr>
    </w:tblStylePr>
  </w:style>
  <w:style w:type="paragraph" w:styleId="TOCHeading">
    <w:name w:val="TOC Heading"/>
    <w:basedOn w:val="Heading1"/>
    <w:next w:val="Normal"/>
    <w:uiPriority w:val="39"/>
    <w:unhideWhenUsed/>
    <w:qFormat/>
    <w:rsid w:val="004647AA"/>
    <w:pPr>
      <w:outlineLvl w:val="9"/>
    </w:pPr>
    <w:rPr>
      <w:lang w:val="en-US"/>
    </w:rPr>
  </w:style>
  <w:style w:type="numbering" w:customStyle="1" w:styleId="NumberBullet1">
    <w:name w:val="NumberBullet1"/>
    <w:uiPriority w:val="99"/>
    <w:rsid w:val="00685E72"/>
  </w:style>
  <w:style w:type="numbering" w:customStyle="1" w:styleId="ListBullets1">
    <w:name w:val="ListBullets1"/>
    <w:uiPriority w:val="99"/>
    <w:rsid w:val="00685E72"/>
  </w:style>
  <w:style w:type="character" w:styleId="EndnoteReference">
    <w:name w:val="endnote reference"/>
    <w:basedOn w:val="DefaultParagraphFont"/>
    <w:uiPriority w:val="99"/>
    <w:semiHidden/>
    <w:unhideWhenUsed/>
    <w:rsid w:val="00685E72"/>
    <w:rPr>
      <w:vertAlign w:val="superscript"/>
    </w:rPr>
  </w:style>
  <w:style w:type="table" w:customStyle="1" w:styleId="LightShading1">
    <w:name w:val="Light Shading1"/>
    <w:basedOn w:val="TableNormal"/>
    <w:uiPriority w:val="60"/>
    <w:rsid w:val="00685E72"/>
    <w:pPr>
      <w:spacing w:after="0" w:line="240" w:lineRule="auto"/>
    </w:pPr>
    <w:rPr>
      <w:rFonts w:ascii="Cambria" w:eastAsia="Cambria" w:hAnsi="Cambria" w:cs="Times New Roman"/>
      <w:color w:val="000000" w:themeColor="text1" w:themeShade="BF"/>
      <w:lang w:eastAsia="en-AU"/>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uotation">
    <w:name w:val="Quotation"/>
    <w:basedOn w:val="Normal"/>
    <w:next w:val="Normal"/>
    <w:autoRedefine/>
    <w:uiPriority w:val="4"/>
    <w:qFormat/>
    <w:rsid w:val="00B90A0A"/>
    <w:pPr>
      <w:spacing w:before="120" w:after="180" w:line="240" w:lineRule="atLeast"/>
      <w:ind w:left="425"/>
    </w:pPr>
    <w:rPr>
      <w:rFonts w:eastAsia="Cambria" w:cs="Times New Roman"/>
    </w:rPr>
  </w:style>
  <w:style w:type="character" w:styleId="CommentReference">
    <w:name w:val="annotation reference"/>
    <w:basedOn w:val="DefaultParagraphFont"/>
    <w:uiPriority w:val="99"/>
    <w:semiHidden/>
    <w:unhideWhenUsed/>
    <w:rsid w:val="00685E72"/>
    <w:rPr>
      <w:sz w:val="16"/>
      <w:szCs w:val="16"/>
    </w:rPr>
  </w:style>
  <w:style w:type="paragraph" w:styleId="CommentText">
    <w:name w:val="annotation text"/>
    <w:basedOn w:val="Normal"/>
    <w:link w:val="CommentTextChar"/>
    <w:uiPriority w:val="99"/>
    <w:unhideWhenUsed/>
    <w:rsid w:val="00685E72"/>
    <w:pPr>
      <w:spacing w:before="120" w:after="180" w:line="240" w:lineRule="auto"/>
    </w:pPr>
    <w:rPr>
      <w:rFonts w:ascii="Cambria" w:eastAsia="Cambria" w:hAnsi="Cambria" w:cs="Times New Roman"/>
    </w:rPr>
  </w:style>
  <w:style w:type="character" w:customStyle="1" w:styleId="CommentTextChar">
    <w:name w:val="Comment Text Char"/>
    <w:basedOn w:val="DefaultParagraphFont"/>
    <w:link w:val="CommentText"/>
    <w:uiPriority w:val="99"/>
    <w:rsid w:val="00685E72"/>
    <w:rPr>
      <w:rFonts w:ascii="Cambria" w:eastAsia="Cambria" w:hAnsi="Cambria" w:cs="Times New Roman"/>
    </w:rPr>
  </w:style>
  <w:style w:type="paragraph" w:styleId="CommentSubject">
    <w:name w:val="annotation subject"/>
    <w:basedOn w:val="CommentText"/>
    <w:next w:val="CommentText"/>
    <w:link w:val="CommentSubjectChar"/>
    <w:uiPriority w:val="99"/>
    <w:semiHidden/>
    <w:unhideWhenUsed/>
    <w:rsid w:val="00685E72"/>
    <w:rPr>
      <w:b/>
      <w:bCs/>
    </w:rPr>
  </w:style>
  <w:style w:type="character" w:customStyle="1" w:styleId="CommentSubjectChar">
    <w:name w:val="Comment Subject Char"/>
    <w:basedOn w:val="CommentTextChar"/>
    <w:link w:val="CommentSubject"/>
    <w:uiPriority w:val="99"/>
    <w:semiHidden/>
    <w:rsid w:val="00685E72"/>
    <w:rPr>
      <w:rFonts w:ascii="Cambria" w:eastAsia="Cambria" w:hAnsi="Cambria" w:cs="Times New Roman"/>
      <w:b/>
      <w:bCs/>
    </w:rPr>
  </w:style>
  <w:style w:type="paragraph" w:styleId="ListParagraph">
    <w:name w:val="List Paragraph"/>
    <w:basedOn w:val="ListBullet"/>
    <w:autoRedefine/>
    <w:uiPriority w:val="34"/>
    <w:qFormat/>
    <w:rsid w:val="004647AA"/>
    <w:pPr>
      <w:ind w:left="357" w:hanging="357"/>
      <w:contextualSpacing/>
    </w:pPr>
  </w:style>
  <w:style w:type="table" w:styleId="LightList-Accent1">
    <w:name w:val="Light List Accent 1"/>
    <w:basedOn w:val="TableNormal"/>
    <w:uiPriority w:val="61"/>
    <w:rsid w:val="00685E72"/>
    <w:pPr>
      <w:spacing w:after="0" w:line="240" w:lineRule="auto"/>
    </w:pPr>
    <w:rPr>
      <w:rFonts w:eastAsiaTheme="minorEastAsia"/>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OC9">
    <w:name w:val="toc 9"/>
    <w:basedOn w:val="Normal"/>
    <w:next w:val="Normal"/>
    <w:autoRedefine/>
    <w:uiPriority w:val="39"/>
    <w:semiHidden/>
    <w:unhideWhenUsed/>
    <w:rsid w:val="00685E72"/>
    <w:pPr>
      <w:spacing w:before="120" w:after="100" w:line="240" w:lineRule="atLeast"/>
      <w:ind w:left="1760"/>
    </w:pPr>
    <w:rPr>
      <w:rFonts w:ascii="Cambria" w:eastAsia="Cambria" w:hAnsi="Cambria" w:cs="Times New Roman"/>
    </w:rPr>
  </w:style>
  <w:style w:type="paragraph" w:customStyle="1" w:styleId="TableTitle0">
    <w:name w:val="Table Title"/>
    <w:basedOn w:val="Normal"/>
    <w:next w:val="Normal"/>
    <w:autoRedefine/>
    <w:qFormat/>
    <w:rsid w:val="00B90A0A"/>
    <w:pPr>
      <w:spacing w:before="180" w:after="180" w:line="240" w:lineRule="atLeast"/>
    </w:pPr>
    <w:rPr>
      <w:rFonts w:eastAsia="Cambria" w:cs="Times New Roman"/>
      <w:b/>
    </w:rPr>
  </w:style>
  <w:style w:type="character" w:styleId="Strong">
    <w:name w:val="Strong"/>
    <w:basedOn w:val="DefaultParagraphFont"/>
    <w:uiPriority w:val="22"/>
    <w:qFormat/>
    <w:rsid w:val="00520CD5"/>
    <w:rPr>
      <w:rFonts w:ascii="Arial" w:hAnsi="Arial"/>
      <w:b/>
      <w:bCs/>
      <w:color w:val="000000" w:themeColor="text1"/>
    </w:rPr>
  </w:style>
  <w:style w:type="paragraph" w:customStyle="1" w:styleId="Default">
    <w:name w:val="Default"/>
    <w:rsid w:val="00685E72"/>
    <w:pPr>
      <w:autoSpaceDE w:val="0"/>
      <w:autoSpaceDN w:val="0"/>
      <w:adjustRightInd w:val="0"/>
      <w:spacing w:after="0" w:line="240" w:lineRule="auto"/>
    </w:pPr>
    <w:rPr>
      <w:rFonts w:ascii="Times New Roman" w:eastAsia="Cambria" w:hAnsi="Times New Roman" w:cs="Times New Roman"/>
      <w:color w:val="000000"/>
      <w:sz w:val="24"/>
      <w:szCs w:val="24"/>
      <w:lang w:eastAsia="en-AU"/>
    </w:rPr>
  </w:style>
  <w:style w:type="character" w:customStyle="1" w:styleId="fontstyle01">
    <w:name w:val="fontstyle01"/>
    <w:basedOn w:val="DefaultParagraphFont"/>
    <w:rsid w:val="00685E72"/>
    <w:rPr>
      <w:rFonts w:ascii="Cambria" w:hAnsi="Cambria" w:hint="default"/>
      <w:b w:val="0"/>
      <w:bCs w:val="0"/>
      <w:i w:val="0"/>
      <w:iCs w:val="0"/>
      <w:color w:val="000000"/>
      <w:sz w:val="22"/>
      <w:szCs w:val="22"/>
    </w:rPr>
  </w:style>
  <w:style w:type="character" w:customStyle="1" w:styleId="fontstyle21">
    <w:name w:val="fontstyle21"/>
    <w:basedOn w:val="DefaultParagraphFont"/>
    <w:rsid w:val="00685E72"/>
    <w:rPr>
      <w:rFonts w:ascii="Cambria-Bold" w:hAnsi="Cambria-Bold" w:hint="default"/>
      <w:b/>
      <w:bCs/>
      <w:i w:val="0"/>
      <w:iCs w:val="0"/>
      <w:color w:val="000000"/>
      <w:sz w:val="22"/>
      <w:szCs w:val="22"/>
    </w:rPr>
  </w:style>
  <w:style w:type="paragraph" w:styleId="Revision">
    <w:name w:val="Revision"/>
    <w:hidden/>
    <w:uiPriority w:val="99"/>
    <w:semiHidden/>
    <w:rsid w:val="00685E72"/>
    <w:pPr>
      <w:spacing w:after="0" w:line="240" w:lineRule="auto"/>
    </w:pPr>
    <w:rPr>
      <w:rFonts w:ascii="Cambria" w:eastAsia="Cambria" w:hAnsi="Cambria" w:cs="Times New Roman"/>
      <w:sz w:val="22"/>
    </w:rPr>
  </w:style>
  <w:style w:type="paragraph" w:customStyle="1" w:styleId="ListBulleta">
    <w:name w:val="List Bullet a)"/>
    <w:basedOn w:val="ListBullet"/>
    <w:autoRedefine/>
    <w:uiPriority w:val="1"/>
    <w:qFormat/>
    <w:rsid w:val="00520CD5"/>
    <w:pPr>
      <w:numPr>
        <w:numId w:val="3"/>
      </w:numPr>
    </w:pPr>
  </w:style>
  <w:style w:type="paragraph" w:customStyle="1" w:styleId="ListBulleti">
    <w:name w:val="List Bullet i)"/>
    <w:basedOn w:val="ListBullet"/>
    <w:autoRedefine/>
    <w:uiPriority w:val="1"/>
    <w:qFormat/>
    <w:rsid w:val="00520CD5"/>
    <w:pPr>
      <w:numPr>
        <w:numId w:val="4"/>
      </w:numPr>
    </w:pPr>
  </w:style>
  <w:style w:type="character" w:customStyle="1" w:styleId="Style1">
    <w:name w:val="Style1"/>
    <w:basedOn w:val="DefaultParagraphFont"/>
    <w:uiPriority w:val="1"/>
    <w:rsid w:val="00685E72"/>
    <w:rPr>
      <w:rFonts w:ascii="Cambria" w:hAnsi="Cambria"/>
      <w:sz w:val="22"/>
    </w:rPr>
  </w:style>
  <w:style w:type="paragraph" w:styleId="NormalWeb">
    <w:name w:val="Normal (Web)"/>
    <w:basedOn w:val="Normal"/>
    <w:uiPriority w:val="99"/>
    <w:semiHidden/>
    <w:unhideWhenUsed/>
    <w:rsid w:val="00685E7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685E72"/>
    <w:rPr>
      <w:color w:val="605E5C"/>
      <w:shd w:val="clear" w:color="auto" w:fill="E1DFDD"/>
    </w:rPr>
  </w:style>
  <w:style w:type="paragraph" w:styleId="NoSpacing">
    <w:name w:val="No Spacing"/>
    <w:autoRedefine/>
    <w:uiPriority w:val="1"/>
    <w:qFormat/>
    <w:rsid w:val="00520CD5"/>
    <w:pPr>
      <w:spacing w:after="0" w:line="240" w:lineRule="auto"/>
    </w:pPr>
    <w:rPr>
      <w:rFonts w:ascii="Arial" w:hAnsi="Arial"/>
      <w:color w:val="000000" w:themeColor="text1"/>
      <w:sz w:val="22"/>
    </w:rPr>
  </w:style>
  <w:style w:type="character" w:styleId="SubtleReference">
    <w:name w:val="Subtle Reference"/>
    <w:basedOn w:val="DefaultParagraphFont"/>
    <w:uiPriority w:val="31"/>
    <w:qFormat/>
    <w:rsid w:val="00520CD5"/>
    <w:rPr>
      <w:rFonts w:ascii="Arial" w:hAnsi="Arial"/>
      <w:smallCaps/>
      <w:color w:val="0D0D0D" w:themeColor="text1" w:themeTint="F2"/>
    </w:rPr>
  </w:style>
  <w:style w:type="paragraph" w:styleId="Quote">
    <w:name w:val="Quote"/>
    <w:basedOn w:val="Normal"/>
    <w:next w:val="Normal"/>
    <w:link w:val="QuoteChar"/>
    <w:autoRedefine/>
    <w:uiPriority w:val="29"/>
    <w:qFormat/>
    <w:rsid w:val="00E530B1"/>
    <w:pPr>
      <w:spacing w:before="200" w:after="160"/>
      <w:ind w:left="864" w:right="864"/>
      <w:jc w:val="center"/>
    </w:pPr>
    <w:rPr>
      <w:i/>
      <w:iCs/>
    </w:rPr>
  </w:style>
  <w:style w:type="character" w:customStyle="1" w:styleId="QuoteChar">
    <w:name w:val="Quote Char"/>
    <w:basedOn w:val="DefaultParagraphFont"/>
    <w:link w:val="Quote"/>
    <w:uiPriority w:val="29"/>
    <w:rsid w:val="00E530B1"/>
    <w:rPr>
      <w:i/>
      <w:iCs/>
      <w:color w:val="000000" w:themeColor="text1"/>
      <w:sz w:val="22"/>
    </w:rPr>
  </w:style>
  <w:style w:type="character" w:styleId="SubtleEmphasis">
    <w:name w:val="Subtle Emphasis"/>
    <w:basedOn w:val="DefaultParagraphFont"/>
    <w:uiPriority w:val="19"/>
    <w:qFormat/>
    <w:rsid w:val="00520CD5"/>
    <w:rPr>
      <w:rFonts w:ascii="Arial" w:hAnsi="Arial"/>
      <w:i/>
      <w:iCs/>
      <w:color w:val="000000" w:themeColor="text1"/>
    </w:rPr>
  </w:style>
  <w:style w:type="character" w:styleId="IntenseEmphasis">
    <w:name w:val="Intense Emphasis"/>
    <w:basedOn w:val="DefaultParagraphFont"/>
    <w:uiPriority w:val="21"/>
    <w:qFormat/>
    <w:rsid w:val="00520CD5"/>
    <w:rPr>
      <w:rFonts w:ascii="Arial" w:hAnsi="Arial"/>
      <w:i/>
      <w:iCs/>
      <w:color w:val="auto"/>
    </w:rPr>
  </w:style>
  <w:style w:type="character" w:styleId="Emphasis">
    <w:name w:val="Emphasis"/>
    <w:basedOn w:val="DefaultParagraphFont"/>
    <w:uiPriority w:val="20"/>
    <w:qFormat/>
    <w:rsid w:val="00520CD5"/>
    <w:rPr>
      <w:rFonts w:ascii="Arial" w:hAnsi="Arial"/>
      <w:i/>
      <w:iCs/>
    </w:rPr>
  </w:style>
  <w:style w:type="character" w:styleId="IntenseReference">
    <w:name w:val="Intense Reference"/>
    <w:basedOn w:val="DefaultParagraphFont"/>
    <w:uiPriority w:val="32"/>
    <w:qFormat/>
    <w:rsid w:val="00520CD5"/>
    <w:rPr>
      <w:rFonts w:ascii="Arial" w:hAnsi="Arial"/>
      <w:b/>
      <w:bCs/>
      <w:smallCaps/>
      <w:color w:val="1F3864" w:themeColor="accent1" w:themeShade="80"/>
      <w:spacing w:val="5"/>
    </w:rPr>
  </w:style>
  <w:style w:type="character" w:styleId="BookTitle">
    <w:name w:val="Book Title"/>
    <w:basedOn w:val="DefaultParagraphFont"/>
    <w:uiPriority w:val="33"/>
    <w:qFormat/>
    <w:rsid w:val="00520CD5"/>
    <w:rPr>
      <w:rFonts w:ascii="Arial" w:hAnsi="Arial"/>
      <w:b/>
      <w:bCs/>
      <w:i/>
      <w:iCs/>
      <w:spacing w:val="5"/>
    </w:rPr>
  </w:style>
  <w:style w:type="paragraph" w:customStyle="1" w:styleId="Legislation">
    <w:name w:val="Legislation"/>
    <w:basedOn w:val="Normal"/>
    <w:qFormat/>
    <w:rsid w:val="004647AA"/>
    <w:pPr>
      <w:jc w:val="center"/>
    </w:pPr>
    <w:rPr>
      <w:i/>
      <w:color w:val="333F48"/>
    </w:rPr>
  </w:style>
  <w:style w:type="paragraph" w:customStyle="1" w:styleId="Legislation-list">
    <w:name w:val="Legislation-list"/>
    <w:basedOn w:val="Numberbullet0"/>
    <w:rsid w:val="004647AA"/>
    <w:pPr>
      <w:numPr>
        <w:numId w:val="6"/>
      </w:numPr>
      <w:jc w:val="center"/>
    </w:pPr>
    <w:rPr>
      <w:i/>
    </w:rPr>
  </w:style>
  <w:style w:type="numbering" w:customStyle="1" w:styleId="ListBullets2">
    <w:name w:val="ListBullets2"/>
    <w:uiPriority w:val="99"/>
    <w:locked/>
    <w:rsid w:val="00382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219203">
      <w:bodyDiv w:val="1"/>
      <w:marLeft w:val="0"/>
      <w:marRight w:val="0"/>
      <w:marTop w:val="0"/>
      <w:marBottom w:val="0"/>
      <w:divBdr>
        <w:top w:val="none" w:sz="0" w:space="0" w:color="auto"/>
        <w:left w:val="none" w:sz="0" w:space="0" w:color="auto"/>
        <w:bottom w:val="none" w:sz="0" w:space="0" w:color="auto"/>
        <w:right w:val="none" w:sz="0" w:space="0" w:color="auto"/>
      </w:divBdr>
    </w:div>
    <w:div w:id="1207181011">
      <w:bodyDiv w:val="1"/>
      <w:marLeft w:val="0"/>
      <w:marRight w:val="0"/>
      <w:marTop w:val="0"/>
      <w:marBottom w:val="0"/>
      <w:divBdr>
        <w:top w:val="none" w:sz="0" w:space="0" w:color="auto"/>
        <w:left w:val="none" w:sz="0" w:space="0" w:color="auto"/>
        <w:bottom w:val="none" w:sz="0" w:space="0" w:color="auto"/>
        <w:right w:val="none" w:sz="0" w:space="0" w:color="auto"/>
      </w:divBdr>
    </w:div>
    <w:div w:id="1619141667">
      <w:bodyDiv w:val="1"/>
      <w:marLeft w:val="0"/>
      <w:marRight w:val="0"/>
      <w:marTop w:val="0"/>
      <w:marBottom w:val="0"/>
      <w:divBdr>
        <w:top w:val="none" w:sz="0" w:space="0" w:color="auto"/>
        <w:left w:val="none" w:sz="0" w:space="0" w:color="auto"/>
        <w:bottom w:val="none" w:sz="0" w:space="0" w:color="auto"/>
        <w:right w:val="none" w:sz="0" w:space="0" w:color="auto"/>
      </w:divBdr>
    </w:div>
    <w:div w:id="214211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ga.gov.au/artg" TargetMode="External"/><Relationship Id="rId21" Type="http://schemas.openxmlformats.org/officeDocument/2006/relationships/hyperlink" Target="https://consultations.tga.gov.au/tga/pre-meeting-consultation-on-accs-43-november-26" TargetMode="External"/><Relationship Id="rId42" Type="http://schemas.openxmlformats.org/officeDocument/2006/relationships/hyperlink" Target="https://cdnservices.industrialchemicals.gov.au/statements/EVA00187%20-%20Evaluation%20Statement%20-%2026%20June%202026.pdf" TargetMode="External"/><Relationship Id="rId47" Type="http://schemas.openxmlformats.org/officeDocument/2006/relationships/hyperlink" Target="https://www.legislation.gov.au/Details/F2021L01888" TargetMode="External"/><Relationship Id="rId63" Type="http://schemas.openxmlformats.org/officeDocument/2006/relationships/hyperlink" Target="https://www.ajcsd.org/chrip_search/cmpInfDsp?cid=C005-148-23A&amp;bcPtn=1&amp;shMd=0&amp;txNumSh=&amp;ltNumTp=1&amp;ltNumMh=0&amp;txNmSh=YnV0YW5vbmUgb3hpbWU=&amp;ltNmTp=&amp;ltNmMh=1&amp;txNmSh1=&amp;ltNmTp1=&amp;txNmSh2=&amp;ltNmTp2=&amp;txNmSh3=&amp;ltNmTp3=&amp;txMlSh=&amp;ltMlMh=0&amp;ltScDp=0&amp;ltPgCtSt=10&amp;rbDp=0&amp;txScSML=&amp;txScSML2=&amp;ltScTp=&amp;txUpScFl=null&amp;hdUpScPh=&amp;hdUpHash=&amp;rbScMh=&amp;txScNyMh=&amp;txMlWtSt=&amp;txMlWtEd=&amp;err=" TargetMode="External"/><Relationship Id="rId68" Type="http://schemas.openxmlformats.org/officeDocument/2006/relationships/hyperlink" Target="https://www.tga.gov.au/resources/publication/scheduling-decisions-interim" TargetMode="Externa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legislation.gov.au/Details/F2021L01888" TargetMode="External"/><Relationship Id="rId11" Type="http://schemas.openxmlformats.org/officeDocument/2006/relationships/header" Target="header1.xml"/><Relationship Id="rId24" Type="http://schemas.openxmlformats.org/officeDocument/2006/relationships/hyperlink" Target="https://www.industrialchemicals.gov.au/sites/default/files/2026-06/EVA00191-%20Evaluation%20Statement%20-%2026%20June%202026.pdf" TargetMode="External"/><Relationship Id="rId32" Type="http://schemas.openxmlformats.org/officeDocument/2006/relationships/hyperlink" Target="https://www.accessdata.fda.gov/scripts/cder/daf/" TargetMode="External"/><Relationship Id="rId37" Type="http://schemas.openxmlformats.org/officeDocument/2006/relationships/hyperlink" Target="https://echa.europa.eu/registry-of-clh-intentions-until-outcome/-/dislist/details/0b0236e18810a4c6?_disslists_WAR_disslistsportlet_businessIdentifier=0b0236e18810a4c6" TargetMode="External"/><Relationship Id="rId40" Type="http://schemas.openxmlformats.org/officeDocument/2006/relationships/hyperlink" Target="https://pesticide-registry.canada.ca/en/active-ingredient-search.html" TargetMode="External"/><Relationship Id="rId45" Type="http://schemas.openxmlformats.org/officeDocument/2006/relationships/hyperlink" Target="https://www.legislation.gov.au/Search/Therapeutic%20Goods%20$LB$Permissible%20Ingredients$RB$%20Determination" TargetMode="External"/><Relationship Id="rId53" Type="http://schemas.openxmlformats.org/officeDocument/2006/relationships/hyperlink" Target="https://www.accessdata.fda.gov/scripts/cder/daf/index.cfm?event=BasicSearch.process" TargetMode="External"/><Relationship Id="rId58" Type="http://schemas.openxmlformats.org/officeDocument/2006/relationships/hyperlink" Target="https://portal.apvma.gov.au/pubcris" TargetMode="External"/><Relationship Id="rId66" Type="http://schemas.openxmlformats.org/officeDocument/2006/relationships/hyperlink" Target="https://www.tga.gov.au/about-tga/advisory-bodies-and-committees/advisory-committee-chemicals-scheduling-accs" TargetMode="External"/><Relationship Id="rId74" Type="http://schemas.openxmlformats.org/officeDocument/2006/relationships/footer" Target="footer5.xml"/><Relationship Id="rId5" Type="http://schemas.openxmlformats.org/officeDocument/2006/relationships/numbering" Target="numbering.xml"/><Relationship Id="rId61" Type="http://schemas.openxmlformats.org/officeDocument/2006/relationships/hyperlink" Target="https://echa.europa.eu/documents/10162/10a0a6ce-f5d9-c853-4786-b0c68c672246" TargetMode="External"/><Relationship Id="rId19" Type="http://schemas.openxmlformats.org/officeDocument/2006/relationships/hyperlink" Target="https://www.tga.gov.au/committee/advisory-committee-chemicals-scheduling-accs" TargetMode="External"/><Relationship Id="rId14" Type="http://schemas.openxmlformats.org/officeDocument/2006/relationships/footer" Target="footer2.xml"/><Relationship Id="rId22" Type="http://schemas.openxmlformats.org/officeDocument/2006/relationships/hyperlink" Target="https://www.tga.gov.au/committee/advisory-committee-chemicals-scheduling-accs" TargetMode="External"/><Relationship Id="rId27" Type="http://schemas.openxmlformats.org/officeDocument/2006/relationships/hyperlink" Target="https://www.legislation.gov.au/F2026L00707/asmade/text" TargetMode="External"/><Relationship Id="rId30" Type="http://schemas.openxmlformats.org/officeDocument/2006/relationships/hyperlink" Target="https://portal.apvma.gov.au/pubcris" TargetMode="External"/><Relationship Id="rId35" Type="http://schemas.openxmlformats.org/officeDocument/2006/relationships/hyperlink" Target="https://echa.europa.eu/search-for-chemicals" TargetMode="External"/><Relationship Id="rId43" Type="http://schemas.openxmlformats.org/officeDocument/2006/relationships/hyperlink" Target="https://www.ebs.tga.gov.au/" TargetMode="External"/><Relationship Id="rId48" Type="http://schemas.openxmlformats.org/officeDocument/2006/relationships/hyperlink" Target="https://aems.tga.gov.au/daen-medicines-terms-condition/" TargetMode="External"/><Relationship Id="rId56" Type="http://schemas.openxmlformats.org/officeDocument/2006/relationships/hyperlink" Target="https://www.industrialchemicals.gov.au/sites/default/files/2025-06/EVA00181%20-%20Evaluation%20statement%20-%2026%20June%202025.pdf" TargetMode="External"/><Relationship Id="rId64" Type="http://schemas.openxmlformats.org/officeDocument/2006/relationships/hyperlink" Target="https://www.epa.govt.nz/database-search/new-zealand-inventory-of-chemicals-nzioc/DatabaseSearchForm/?SiteDatabaseSearchFilters=36&amp;Keyword=acequinocyl&amp;DatabaseType=NZIOC" TargetMode="External"/><Relationship Id="rId69"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health-products.canada.ca/dpd-bdpp/" TargetMode="External"/><Relationship Id="rId72" Type="http://schemas.openxmlformats.org/officeDocument/2006/relationships/hyperlink" Target="https://www.tga.gov.au"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mailto:tga.copyright@tga.gov.au" TargetMode="External"/><Relationship Id="rId25" Type="http://schemas.openxmlformats.org/officeDocument/2006/relationships/hyperlink" Target="https://www.ebs.tga.gov.au/" TargetMode="External"/><Relationship Id="rId33" Type="http://schemas.openxmlformats.org/officeDocument/2006/relationships/hyperlink" Target="https://iaspub.epa.gov/apex/pesticides/f?p=CHEMICALSEARCH:1:" TargetMode="External"/><Relationship Id="rId38" Type="http://schemas.openxmlformats.org/officeDocument/2006/relationships/hyperlink" Target="https://www.epa.govt.nz/database-search/new-zealand-inventory-of-chemicals-nzioc/DatabaseSearchForm/?SiteDatabaseSearchFilters=36&amp;Keyword=acequinocyl&amp;DatabaseType=NZIOC" TargetMode="External"/><Relationship Id="rId46" Type="http://schemas.openxmlformats.org/officeDocument/2006/relationships/hyperlink" Target="https://www.tga.gov.au/prescribing-medicines-pregnancy-database" TargetMode="External"/><Relationship Id="rId59" Type="http://schemas.openxmlformats.org/officeDocument/2006/relationships/hyperlink" Target="https://services.industrialchemicals.gov.au/search-inventory/" TargetMode="External"/><Relationship Id="rId67" Type="http://schemas.openxmlformats.org/officeDocument/2006/relationships/hyperlink" Target="https://www.tga.gov.au/resources/publication/scheduling-submissions" TargetMode="External"/><Relationship Id="rId20" Type="http://schemas.openxmlformats.org/officeDocument/2006/relationships/hyperlink" Target="mailto:medicines.scheduling@health.gov.au" TargetMode="External"/><Relationship Id="rId41" Type="http://schemas.openxmlformats.org/officeDocument/2006/relationships/hyperlink" Target="https://health-products.canada.ca/dpd-bdpp/index-eng.jsp" TargetMode="External"/><Relationship Id="rId54" Type="http://schemas.openxmlformats.org/officeDocument/2006/relationships/hyperlink" Target="https://www.accessdata.fda.gov/scripts/cder/ob/search_product.cfm" TargetMode="External"/><Relationship Id="rId62" Type="http://schemas.openxmlformats.org/officeDocument/2006/relationships/hyperlink" Target="https://echa.europa.eu/documents/10162/634ce255-96b0-475a-2ba5-619701d39d33" TargetMode="External"/><Relationship Id="rId70" Type="http://schemas.openxmlformats.org/officeDocument/2006/relationships/footer" Target="footer4.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mailto:medicines.scheduling@health.gov.au" TargetMode="External"/><Relationship Id="rId28" Type="http://schemas.openxmlformats.org/officeDocument/2006/relationships/hyperlink" Target="https://www.tga.gov.au/prescribing-medicines-pregnancy-database" TargetMode="External"/><Relationship Id="rId36" Type="http://schemas.openxmlformats.org/officeDocument/2006/relationships/hyperlink" Target="https://psvak.gr/wp-content/uploads/2026/05/EU-SCCS-Opinion-on-Acetophenone-May-2026.pdf" TargetMode="External"/><Relationship Id="rId49" Type="http://schemas.openxmlformats.org/officeDocument/2006/relationships/hyperlink" Target="https://portal.apvma.gov.au/pubcris" TargetMode="External"/><Relationship Id="rId57" Type="http://schemas.openxmlformats.org/officeDocument/2006/relationships/hyperlink" Target="https://www.ebs.tga.gov.au/" TargetMode="External"/><Relationship Id="rId10" Type="http://schemas.openxmlformats.org/officeDocument/2006/relationships/endnotes" Target="endnotes.xml"/><Relationship Id="rId31" Type="http://schemas.openxmlformats.org/officeDocument/2006/relationships/hyperlink" Target="https://apvma.gov.au/node/10946" TargetMode="External"/><Relationship Id="rId44" Type="http://schemas.openxmlformats.org/officeDocument/2006/relationships/hyperlink" Target="https://www.tga.gov.au/artg" TargetMode="External"/><Relationship Id="rId52" Type="http://schemas.openxmlformats.org/officeDocument/2006/relationships/hyperlink" Target="https://www.medsafe.govt.nz/profs/class/classintro.asp" TargetMode="External"/><Relationship Id="rId60" Type="http://schemas.openxmlformats.org/officeDocument/2006/relationships/hyperlink" Target="https://ec.europa.eu/growth/tools-databases/cosing/details/30151" TargetMode="External"/><Relationship Id="rId65" Type="http://schemas.openxmlformats.org/officeDocument/2006/relationships/hyperlink" Target="https://consultations.tga.gov.au/" TargetMode="External"/><Relationship Id="rId73"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consultations.tga.gov.au/tga/pre-meeting-consultation-on-accs-43-november-26" TargetMode="External"/><Relationship Id="rId39" Type="http://schemas.openxmlformats.org/officeDocument/2006/relationships/hyperlink" Target="https://www.medsafe.govt.nz/profs/class/classintro.asp" TargetMode="External"/><Relationship Id="rId34" Type="http://schemas.openxmlformats.org/officeDocument/2006/relationships/hyperlink" Target="https://ec.europa.eu/growth/tools-databases/cosing/" TargetMode="External"/><Relationship Id="rId50" Type="http://schemas.openxmlformats.org/officeDocument/2006/relationships/hyperlink" Target="https://apvma.gov.au/node/10946" TargetMode="External"/><Relationship Id="rId55" Type="http://schemas.openxmlformats.org/officeDocument/2006/relationships/hyperlink" Target="https://products.mhra.gov.uk/"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mailto:info@tga.gov.a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anada.ca/en/health-canada/services/chemical-substances/challenge/batch-7/butanone-oxime.html" TargetMode="External"/><Relationship Id="rId2" Type="http://schemas.openxmlformats.org/officeDocument/2006/relationships/hyperlink" Target="https://www.tga.gov.au/sites/default/files/2026-05/notice-final-decisions-amend-not-current-poisons-standard-accs-40-joint-acms-accs-39.pdf" TargetMode="External"/><Relationship Id="rId1" Type="http://schemas.openxmlformats.org/officeDocument/2006/relationships/hyperlink" Target="https://health.ec.europa.eu/latest-updates/sccs-final-opinion-vitamin-retinol-retinyl-acetate-retinyl-palmitate-2016-10-14_en" TargetMode="External"/><Relationship Id="rId5" Type="http://schemas.openxmlformats.org/officeDocument/2006/relationships/hyperlink" Target="https://www.epa.govt.nz/assets/RecordsAPI/Cosmetic-Products-Group-Standard-2020-HSR002552-Consolidated-and-current.pdf" TargetMode="External"/><Relationship Id="rId4" Type="http://schemas.openxmlformats.org/officeDocument/2006/relationships/hyperlink" Target="https://aseancosmetics.org/wp-content/uploads/2019/11/Annex-II_Release_29102019.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Q\AppData\Roaming\Micro%20Focus\Content%20Manager\TRIM\TEMP\HPTRIM.19296\D25-1412300%20%20Template%20-%20Pre-meeting%20public%20notice%20-%20May%20202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10a292-e042-440d-aef8-ab5a9bd10e41" xsi:nil="true"/>
    <_Flow_SignoffStatus xmlns="f482729e-2cfb-42d6-a767-262eef245714" xsi:nil="true"/>
    <lcf76f155ced4ddcb4097134ff3c332f xmlns="f482729e-2cfb-42d6-a767-262eef2457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E0E35EFD4F464680E6AF1C0D13EB20" ma:contentTypeVersion="17" ma:contentTypeDescription="Create a new document." ma:contentTypeScope="" ma:versionID="63445b0f5962617af566cb45de4dbe26">
  <xsd:schema xmlns:xsd="http://www.w3.org/2001/XMLSchema" xmlns:xs="http://www.w3.org/2001/XMLSchema" xmlns:p="http://schemas.microsoft.com/office/2006/metadata/properties" xmlns:ns2="f482729e-2cfb-42d6-a767-262eef245714" xmlns:ns3="2410a292-e042-440d-aef8-ab5a9bd10e41" targetNamespace="http://schemas.microsoft.com/office/2006/metadata/properties" ma:root="true" ma:fieldsID="7b06c7d5b72df4158dfdbec0f239ccff" ns2:_="" ns3:_="">
    <xsd:import namespace="f482729e-2cfb-42d6-a767-262eef245714"/>
    <xsd:import namespace="2410a292-e042-440d-aef8-ab5a9bd10e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82729e-2cfb-42d6-a767-262eef2457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Flow_SignoffStatus" ma:index="22" nillable="true" ma:displayName="Sign-off status" ma:internalName="Sign_x002d_off_x0020_status">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10a292-e042-440d-aef8-ab5a9bd10e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62ffbc-183f-4805-a010-07f79be95aa9}" ma:internalName="TaxCatchAll" ma:showField="CatchAllData" ma:web="2410a292-e042-440d-aef8-ab5a9bd10e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550ACF-65C8-4017-945A-22D9F06B4DD6}">
  <ds:schemaRefs>
    <ds:schemaRef ds:uri="http://schemas.microsoft.com/office/2006/metadata/properties"/>
    <ds:schemaRef ds:uri="http://schemas.microsoft.com/office/infopath/2007/PartnerControls"/>
    <ds:schemaRef ds:uri="2410a292-e042-440d-aef8-ab5a9bd10e41"/>
    <ds:schemaRef ds:uri="f482729e-2cfb-42d6-a767-262eef245714"/>
  </ds:schemaRefs>
</ds:datastoreItem>
</file>

<file path=customXml/itemProps2.xml><?xml version="1.0" encoding="utf-8"?>
<ds:datastoreItem xmlns:ds="http://schemas.openxmlformats.org/officeDocument/2006/customXml" ds:itemID="{EECD446C-922B-4AE6-9394-BC5D173E6328}">
  <ds:schemaRefs>
    <ds:schemaRef ds:uri="http://schemas.microsoft.com/sharepoint/v3/contenttype/forms"/>
  </ds:schemaRefs>
</ds:datastoreItem>
</file>

<file path=customXml/itemProps3.xml><?xml version="1.0" encoding="utf-8"?>
<ds:datastoreItem xmlns:ds="http://schemas.openxmlformats.org/officeDocument/2006/customXml" ds:itemID="{269A8CBC-B2FD-424B-98E3-6D577660883A}">
  <ds:schemaRefs>
    <ds:schemaRef ds:uri="http://schemas.openxmlformats.org/officeDocument/2006/bibliography"/>
  </ds:schemaRefs>
</ds:datastoreItem>
</file>

<file path=customXml/itemProps4.xml><?xml version="1.0" encoding="utf-8"?>
<ds:datastoreItem xmlns:ds="http://schemas.openxmlformats.org/officeDocument/2006/customXml" ds:itemID="{91D170EB-0E0B-4BC4-816A-11B2C2145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82729e-2cfb-42d6-a767-262eef245714"/>
    <ds:schemaRef ds:uri="2410a292-e042-440d-aef8-ab5a9bd10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D25-1412300  Template - Pre-meeting public notice - May 2024.DOTM</Template>
  <TotalTime>7</TotalTime>
  <Pages>19</Pages>
  <Words>6739</Words>
  <Characters>39698</Characters>
  <Application>Microsoft Office Word</Application>
  <DocSecurity>0</DocSecurity>
  <Lines>827</Lines>
  <Paragraphs>459</Paragraphs>
  <ScaleCrop>false</ScaleCrop>
  <Company/>
  <LinksUpToDate>false</LinksUpToDate>
  <CharactersWithSpaces>45978</CharactersWithSpaces>
  <SharedDoc>false</SharedDoc>
  <HLinks>
    <vt:vector size="600" baseType="variant">
      <vt:variant>
        <vt:i4>3473445</vt:i4>
      </vt:variant>
      <vt:variant>
        <vt:i4>318</vt:i4>
      </vt:variant>
      <vt:variant>
        <vt:i4>0</vt:i4>
      </vt:variant>
      <vt:variant>
        <vt:i4>5</vt:i4>
      </vt:variant>
      <vt:variant>
        <vt:lpwstr>https://www.tga.gov.au/</vt:lpwstr>
      </vt:variant>
      <vt:variant>
        <vt:lpwstr/>
      </vt:variant>
      <vt:variant>
        <vt:i4>5242926</vt:i4>
      </vt:variant>
      <vt:variant>
        <vt:i4>315</vt:i4>
      </vt:variant>
      <vt:variant>
        <vt:i4>0</vt:i4>
      </vt:variant>
      <vt:variant>
        <vt:i4>5</vt:i4>
      </vt:variant>
      <vt:variant>
        <vt:lpwstr>mailto:info@tga.gov.au</vt:lpwstr>
      </vt:variant>
      <vt:variant>
        <vt:lpwstr/>
      </vt:variant>
      <vt:variant>
        <vt:i4>720902</vt:i4>
      </vt:variant>
      <vt:variant>
        <vt:i4>312</vt:i4>
      </vt:variant>
      <vt:variant>
        <vt:i4>0</vt:i4>
      </vt:variant>
      <vt:variant>
        <vt:i4>5</vt:i4>
      </vt:variant>
      <vt:variant>
        <vt:lpwstr>https://www.tga.gov.au/resources/publication/scheduling-decisions-interim/notice-interim-decisions-proposed-amendments-poisons-standard-acms-accs-and-joint-acms-accs-meetings-november-2020/41-azelaic-acid</vt:lpwstr>
      </vt:variant>
      <vt:variant>
        <vt:lpwstr/>
      </vt:variant>
      <vt:variant>
        <vt:i4>7012462</vt:i4>
      </vt:variant>
      <vt:variant>
        <vt:i4>309</vt:i4>
      </vt:variant>
      <vt:variant>
        <vt:i4>0</vt:i4>
      </vt:variant>
      <vt:variant>
        <vt:i4>5</vt:i4>
      </vt:variant>
      <vt:variant>
        <vt:lpwstr>https://www.tga.gov.au/resources/resource/forms/scheduling-consultation-coversheets</vt:lpwstr>
      </vt:variant>
      <vt:variant>
        <vt:lpwstr/>
      </vt:variant>
      <vt:variant>
        <vt:i4>7340143</vt:i4>
      </vt:variant>
      <vt:variant>
        <vt:i4>306</vt:i4>
      </vt:variant>
      <vt:variant>
        <vt:i4>0</vt:i4>
      </vt:variant>
      <vt:variant>
        <vt:i4>5</vt:i4>
      </vt:variant>
      <vt:variant>
        <vt:lpwstr>https://www.tga.gov.au/resources/publication/scheduling-submissions</vt:lpwstr>
      </vt:variant>
      <vt:variant>
        <vt:lpwstr/>
      </vt:variant>
      <vt:variant>
        <vt:i4>1572947</vt:i4>
      </vt:variant>
      <vt:variant>
        <vt:i4>303</vt:i4>
      </vt:variant>
      <vt:variant>
        <vt:i4>0</vt:i4>
      </vt:variant>
      <vt:variant>
        <vt:i4>5</vt:i4>
      </vt:variant>
      <vt:variant>
        <vt:lpwstr>https://www.tga.gov.au/about-tga/advisory-bodies-and-committees/advisory-committee-chemicals-scheduling-accs</vt:lpwstr>
      </vt:variant>
      <vt:variant>
        <vt:lpwstr/>
      </vt:variant>
      <vt:variant>
        <vt:i4>1179735</vt:i4>
      </vt:variant>
      <vt:variant>
        <vt:i4>300</vt:i4>
      </vt:variant>
      <vt:variant>
        <vt:i4>0</vt:i4>
      </vt:variant>
      <vt:variant>
        <vt:i4>5</vt:i4>
      </vt:variant>
      <vt:variant>
        <vt:lpwstr>https://www.tga.gov.au/about-tga/advisory-bodies-and-committees/advisory-committee-medicines-scheduling-acms</vt:lpwstr>
      </vt:variant>
      <vt:variant>
        <vt:lpwstr/>
      </vt:variant>
      <vt:variant>
        <vt:i4>4784152</vt:i4>
      </vt:variant>
      <vt:variant>
        <vt:i4>297</vt:i4>
      </vt:variant>
      <vt:variant>
        <vt:i4>0</vt:i4>
      </vt:variant>
      <vt:variant>
        <vt:i4>5</vt:i4>
      </vt:variant>
      <vt:variant>
        <vt:lpwstr>https://health-products.canada.ca/dpd-bdpp/index-eng.jsp</vt:lpwstr>
      </vt:variant>
      <vt:variant>
        <vt:lpwstr/>
      </vt:variant>
      <vt:variant>
        <vt:i4>1245267</vt:i4>
      </vt:variant>
      <vt:variant>
        <vt:i4>294</vt:i4>
      </vt:variant>
      <vt:variant>
        <vt:i4>0</vt:i4>
      </vt:variant>
      <vt:variant>
        <vt:i4>5</vt:i4>
      </vt:variant>
      <vt:variant>
        <vt:lpwstr>https://pesticide-registry.canada.ca/en/active-ingredient-search.html</vt:lpwstr>
      </vt:variant>
      <vt:variant>
        <vt:lpwstr/>
      </vt:variant>
      <vt:variant>
        <vt:i4>3866661</vt:i4>
      </vt:variant>
      <vt:variant>
        <vt:i4>291</vt:i4>
      </vt:variant>
      <vt:variant>
        <vt:i4>0</vt:i4>
      </vt:variant>
      <vt:variant>
        <vt:i4>5</vt:i4>
      </vt:variant>
      <vt:variant>
        <vt:lpwstr>https://www.medsafe.govt.nz/profs/class/classintro.asp</vt:lpwstr>
      </vt:variant>
      <vt:variant>
        <vt:lpwstr/>
      </vt:variant>
      <vt:variant>
        <vt:i4>1310748</vt:i4>
      </vt:variant>
      <vt:variant>
        <vt:i4>288</vt:i4>
      </vt:variant>
      <vt:variant>
        <vt:i4>0</vt:i4>
      </vt:variant>
      <vt:variant>
        <vt:i4>5</vt:i4>
      </vt:variant>
      <vt:variant>
        <vt:lpwstr>https://www.epa.govt.nz/database-search/new-zealand-inventory-of-chemicals-nzioc/DatabaseSearchForm/?SiteDatabaseSearchFilters=36&amp;Keyword=acequinocyl&amp;DatabaseType=NZIOC</vt:lpwstr>
      </vt:variant>
      <vt:variant>
        <vt:lpwstr/>
      </vt:variant>
      <vt:variant>
        <vt:i4>6225988</vt:i4>
      </vt:variant>
      <vt:variant>
        <vt:i4>285</vt:i4>
      </vt:variant>
      <vt:variant>
        <vt:i4>0</vt:i4>
      </vt:variant>
      <vt:variant>
        <vt:i4>5</vt:i4>
      </vt:variant>
      <vt:variant>
        <vt:lpwstr>https://www.ema.europa.eu/en/about-us/what-we-do/authorisation-medicines</vt:lpwstr>
      </vt:variant>
      <vt:variant>
        <vt:lpwstr/>
      </vt:variant>
      <vt:variant>
        <vt:i4>7798908</vt:i4>
      </vt:variant>
      <vt:variant>
        <vt:i4>282</vt:i4>
      </vt:variant>
      <vt:variant>
        <vt:i4>0</vt:i4>
      </vt:variant>
      <vt:variant>
        <vt:i4>5</vt:i4>
      </vt:variant>
      <vt:variant>
        <vt:lpwstr>https://ec.europa.eu/health/documents/community-register/html/reg_index_inn.htm</vt:lpwstr>
      </vt:variant>
      <vt:variant>
        <vt:lpwstr/>
      </vt:variant>
      <vt:variant>
        <vt:i4>7929907</vt:i4>
      </vt:variant>
      <vt:variant>
        <vt:i4>279</vt:i4>
      </vt:variant>
      <vt:variant>
        <vt:i4>0</vt:i4>
      </vt:variant>
      <vt:variant>
        <vt:i4>5</vt:i4>
      </vt:variant>
      <vt:variant>
        <vt:lpwstr>https://ec.europa.eu/growth/tools-databases/cosing/</vt:lpwstr>
      </vt:variant>
      <vt:variant>
        <vt:lpwstr/>
      </vt:variant>
      <vt:variant>
        <vt:i4>6029404</vt:i4>
      </vt:variant>
      <vt:variant>
        <vt:i4>276</vt:i4>
      </vt:variant>
      <vt:variant>
        <vt:i4>0</vt:i4>
      </vt:variant>
      <vt:variant>
        <vt:i4>5</vt:i4>
      </vt:variant>
      <vt:variant>
        <vt:lpwstr>https://ec.europa.eu/food/plant/pesticides/eu-pesticides-database/public/?event=activesubstance.selection&amp;language=EN</vt:lpwstr>
      </vt:variant>
      <vt:variant>
        <vt:lpwstr/>
      </vt:variant>
      <vt:variant>
        <vt:i4>6291583</vt:i4>
      </vt:variant>
      <vt:variant>
        <vt:i4>273</vt:i4>
      </vt:variant>
      <vt:variant>
        <vt:i4>0</vt:i4>
      </vt:variant>
      <vt:variant>
        <vt:i4>5</vt:i4>
      </vt:variant>
      <vt:variant>
        <vt:lpwstr>https://ec.europa.eu/transparency/regcomitology/index.cfm?do=Search.archive&amp;reset=1</vt:lpwstr>
      </vt:variant>
      <vt:variant>
        <vt:lpwstr/>
      </vt:variant>
      <vt:variant>
        <vt:i4>7929907</vt:i4>
      </vt:variant>
      <vt:variant>
        <vt:i4>270</vt:i4>
      </vt:variant>
      <vt:variant>
        <vt:i4>0</vt:i4>
      </vt:variant>
      <vt:variant>
        <vt:i4>5</vt:i4>
      </vt:variant>
      <vt:variant>
        <vt:lpwstr>https://ec.europa.eu/growth/tools-databases/cosing/</vt:lpwstr>
      </vt:variant>
      <vt:variant>
        <vt:lpwstr/>
      </vt:variant>
      <vt:variant>
        <vt:i4>3866679</vt:i4>
      </vt:variant>
      <vt:variant>
        <vt:i4>267</vt:i4>
      </vt:variant>
      <vt:variant>
        <vt:i4>0</vt:i4>
      </vt:variant>
      <vt:variant>
        <vt:i4>5</vt:i4>
      </vt:variant>
      <vt:variant>
        <vt:lpwstr>https://echa.europa.eu/search-for-chemicals</vt:lpwstr>
      </vt:variant>
      <vt:variant>
        <vt:lpwstr/>
      </vt:variant>
      <vt:variant>
        <vt:i4>1638465</vt:i4>
      </vt:variant>
      <vt:variant>
        <vt:i4>264</vt:i4>
      </vt:variant>
      <vt:variant>
        <vt:i4>0</vt:i4>
      </vt:variant>
      <vt:variant>
        <vt:i4>5</vt:i4>
      </vt:variant>
      <vt:variant>
        <vt:lpwstr>https://www.accessdata.fda.gov/scripts/cder/ob/index.cfm</vt:lpwstr>
      </vt:variant>
      <vt:variant>
        <vt:lpwstr/>
      </vt:variant>
      <vt:variant>
        <vt:i4>4194368</vt:i4>
      </vt:variant>
      <vt:variant>
        <vt:i4>261</vt:i4>
      </vt:variant>
      <vt:variant>
        <vt:i4>0</vt:i4>
      </vt:variant>
      <vt:variant>
        <vt:i4>5</vt:i4>
      </vt:variant>
      <vt:variant>
        <vt:lpwstr>https://precision.fda.gov/uniisearch</vt:lpwstr>
      </vt:variant>
      <vt:variant>
        <vt:lpwstr/>
      </vt:variant>
      <vt:variant>
        <vt:i4>2555949</vt:i4>
      </vt:variant>
      <vt:variant>
        <vt:i4>258</vt:i4>
      </vt:variant>
      <vt:variant>
        <vt:i4>0</vt:i4>
      </vt:variant>
      <vt:variant>
        <vt:i4>5</vt:i4>
      </vt:variant>
      <vt:variant>
        <vt:lpwstr>https://www.ecfr.gov/cgi-bin/ECFR?SID=6ceaf63b7e24cd5dd2b946f53106b6d0&amp;mc=true&amp;page=boolean</vt:lpwstr>
      </vt:variant>
      <vt:variant>
        <vt:lpwstr/>
      </vt:variant>
      <vt:variant>
        <vt:i4>5111872</vt:i4>
      </vt:variant>
      <vt:variant>
        <vt:i4>255</vt:i4>
      </vt:variant>
      <vt:variant>
        <vt:i4>0</vt:i4>
      </vt:variant>
      <vt:variant>
        <vt:i4>5</vt:i4>
      </vt:variant>
      <vt:variant>
        <vt:lpwstr>https://www.accessdata.fda.gov/scripts/cder/daf/</vt:lpwstr>
      </vt:variant>
      <vt:variant>
        <vt:lpwstr/>
      </vt:variant>
      <vt:variant>
        <vt:i4>5242904</vt:i4>
      </vt:variant>
      <vt:variant>
        <vt:i4>252</vt:i4>
      </vt:variant>
      <vt:variant>
        <vt:i4>0</vt:i4>
      </vt:variant>
      <vt:variant>
        <vt:i4>5</vt:i4>
      </vt:variant>
      <vt:variant>
        <vt:lpwstr>https://iaspub.epa.gov/apex/pesticides/f?p=CHEMICALSEARCH:1:</vt:lpwstr>
      </vt:variant>
      <vt:variant>
        <vt:lpwstr/>
      </vt:variant>
      <vt:variant>
        <vt:i4>3866661</vt:i4>
      </vt:variant>
      <vt:variant>
        <vt:i4>249</vt:i4>
      </vt:variant>
      <vt:variant>
        <vt:i4>0</vt:i4>
      </vt:variant>
      <vt:variant>
        <vt:i4>5</vt:i4>
      </vt:variant>
      <vt:variant>
        <vt:lpwstr>https://www.medsafe.govt.nz/profs/class/classintro.asp</vt:lpwstr>
      </vt:variant>
      <vt:variant>
        <vt:lpwstr/>
      </vt:variant>
      <vt:variant>
        <vt:i4>2359330</vt:i4>
      </vt:variant>
      <vt:variant>
        <vt:i4>246</vt:i4>
      </vt:variant>
      <vt:variant>
        <vt:i4>0</vt:i4>
      </vt:variant>
      <vt:variant>
        <vt:i4>5</vt:i4>
      </vt:variant>
      <vt:variant>
        <vt:lpwstr>https://health-products.canada.ca/dpd-bdpp/</vt:lpwstr>
      </vt:variant>
      <vt:variant>
        <vt:lpwstr/>
      </vt:variant>
      <vt:variant>
        <vt:i4>3604587</vt:i4>
      </vt:variant>
      <vt:variant>
        <vt:i4>243</vt:i4>
      </vt:variant>
      <vt:variant>
        <vt:i4>0</vt:i4>
      </vt:variant>
      <vt:variant>
        <vt:i4>5</vt:i4>
      </vt:variant>
      <vt:variant>
        <vt:lpwstr>https://apvma.gov.au/node/10946</vt:lpwstr>
      </vt:variant>
      <vt:variant>
        <vt:lpwstr/>
      </vt:variant>
      <vt:variant>
        <vt:i4>3145834</vt:i4>
      </vt:variant>
      <vt:variant>
        <vt:i4>240</vt:i4>
      </vt:variant>
      <vt:variant>
        <vt:i4>0</vt:i4>
      </vt:variant>
      <vt:variant>
        <vt:i4>5</vt:i4>
      </vt:variant>
      <vt:variant>
        <vt:lpwstr>https://portal.apvma.gov.au/pubcris</vt:lpwstr>
      </vt:variant>
      <vt:variant>
        <vt:lpwstr/>
      </vt:variant>
      <vt:variant>
        <vt:i4>1441872</vt:i4>
      </vt:variant>
      <vt:variant>
        <vt:i4>237</vt:i4>
      </vt:variant>
      <vt:variant>
        <vt:i4>0</vt:i4>
      </vt:variant>
      <vt:variant>
        <vt:i4>5</vt:i4>
      </vt:variant>
      <vt:variant>
        <vt:lpwstr>https://apps.tga.gov.au/Prod/daen/daen-entry.aspx</vt:lpwstr>
      </vt:variant>
      <vt:variant>
        <vt:lpwstr/>
      </vt:variant>
      <vt:variant>
        <vt:i4>7602211</vt:i4>
      </vt:variant>
      <vt:variant>
        <vt:i4>234</vt:i4>
      </vt:variant>
      <vt:variant>
        <vt:i4>0</vt:i4>
      </vt:variant>
      <vt:variant>
        <vt:i4>5</vt:i4>
      </vt:variant>
      <vt:variant>
        <vt:lpwstr>https://www.legislation.gov.au/Details/F2021L01888</vt:lpwstr>
      </vt:variant>
      <vt:variant>
        <vt:lpwstr/>
      </vt:variant>
      <vt:variant>
        <vt:i4>7602211</vt:i4>
      </vt:variant>
      <vt:variant>
        <vt:i4>231</vt:i4>
      </vt:variant>
      <vt:variant>
        <vt:i4>0</vt:i4>
      </vt:variant>
      <vt:variant>
        <vt:i4>5</vt:i4>
      </vt:variant>
      <vt:variant>
        <vt:lpwstr>https://www.legislation.gov.au/Details/F2021L01888</vt:lpwstr>
      </vt:variant>
      <vt:variant>
        <vt:lpwstr/>
      </vt:variant>
      <vt:variant>
        <vt:i4>4063278</vt:i4>
      </vt:variant>
      <vt:variant>
        <vt:i4>228</vt:i4>
      </vt:variant>
      <vt:variant>
        <vt:i4>0</vt:i4>
      </vt:variant>
      <vt:variant>
        <vt:i4>5</vt:i4>
      </vt:variant>
      <vt:variant>
        <vt:lpwstr>https://www.tga.gov.au/prescribing-medicines-pregnancy-database</vt:lpwstr>
      </vt:variant>
      <vt:variant>
        <vt:lpwstr/>
      </vt:variant>
      <vt:variant>
        <vt:i4>720916</vt:i4>
      </vt:variant>
      <vt:variant>
        <vt:i4>225</vt:i4>
      </vt:variant>
      <vt:variant>
        <vt:i4>0</vt:i4>
      </vt:variant>
      <vt:variant>
        <vt:i4>5</vt:i4>
      </vt:variant>
      <vt:variant>
        <vt:lpwstr>https://www.legislation.gov.au/Search/Therapeutic Goods $LB$Permissible Ingredients$RB$ Determination</vt:lpwstr>
      </vt:variant>
      <vt:variant>
        <vt:lpwstr/>
      </vt:variant>
      <vt:variant>
        <vt:i4>720916</vt:i4>
      </vt:variant>
      <vt:variant>
        <vt:i4>222</vt:i4>
      </vt:variant>
      <vt:variant>
        <vt:i4>0</vt:i4>
      </vt:variant>
      <vt:variant>
        <vt:i4>5</vt:i4>
      </vt:variant>
      <vt:variant>
        <vt:lpwstr>https://www.legislation.gov.au/Search/Therapeutic Goods $LB$Permissible Ingredients$RB$ Determination</vt:lpwstr>
      </vt:variant>
      <vt:variant>
        <vt:lpwstr/>
      </vt:variant>
      <vt:variant>
        <vt:i4>2097272</vt:i4>
      </vt:variant>
      <vt:variant>
        <vt:i4>219</vt:i4>
      </vt:variant>
      <vt:variant>
        <vt:i4>0</vt:i4>
      </vt:variant>
      <vt:variant>
        <vt:i4>5</vt:i4>
      </vt:variant>
      <vt:variant>
        <vt:lpwstr>https://www.tga.gov.au/artg</vt:lpwstr>
      </vt:variant>
      <vt:variant>
        <vt:lpwstr/>
      </vt:variant>
      <vt:variant>
        <vt:i4>7929907</vt:i4>
      </vt:variant>
      <vt:variant>
        <vt:i4>216</vt:i4>
      </vt:variant>
      <vt:variant>
        <vt:i4>0</vt:i4>
      </vt:variant>
      <vt:variant>
        <vt:i4>5</vt:i4>
      </vt:variant>
      <vt:variant>
        <vt:lpwstr>https://www.ebs.tga.gov.au/</vt:lpwstr>
      </vt:variant>
      <vt:variant>
        <vt:lpwstr/>
      </vt:variant>
      <vt:variant>
        <vt:i4>4784152</vt:i4>
      </vt:variant>
      <vt:variant>
        <vt:i4>213</vt:i4>
      </vt:variant>
      <vt:variant>
        <vt:i4>0</vt:i4>
      </vt:variant>
      <vt:variant>
        <vt:i4>5</vt:i4>
      </vt:variant>
      <vt:variant>
        <vt:lpwstr>https://health-products.canada.ca/dpd-bdpp/index-eng.jsp</vt:lpwstr>
      </vt:variant>
      <vt:variant>
        <vt:lpwstr/>
      </vt:variant>
      <vt:variant>
        <vt:i4>1245267</vt:i4>
      </vt:variant>
      <vt:variant>
        <vt:i4>210</vt:i4>
      </vt:variant>
      <vt:variant>
        <vt:i4>0</vt:i4>
      </vt:variant>
      <vt:variant>
        <vt:i4>5</vt:i4>
      </vt:variant>
      <vt:variant>
        <vt:lpwstr>https://pesticide-registry.canada.ca/en/active-ingredient-search.html</vt:lpwstr>
      </vt:variant>
      <vt:variant>
        <vt:lpwstr/>
      </vt:variant>
      <vt:variant>
        <vt:i4>3866661</vt:i4>
      </vt:variant>
      <vt:variant>
        <vt:i4>207</vt:i4>
      </vt:variant>
      <vt:variant>
        <vt:i4>0</vt:i4>
      </vt:variant>
      <vt:variant>
        <vt:i4>5</vt:i4>
      </vt:variant>
      <vt:variant>
        <vt:lpwstr>https://www.medsafe.govt.nz/profs/class/classintro.asp</vt:lpwstr>
      </vt:variant>
      <vt:variant>
        <vt:lpwstr/>
      </vt:variant>
      <vt:variant>
        <vt:i4>1310748</vt:i4>
      </vt:variant>
      <vt:variant>
        <vt:i4>204</vt:i4>
      </vt:variant>
      <vt:variant>
        <vt:i4>0</vt:i4>
      </vt:variant>
      <vt:variant>
        <vt:i4>5</vt:i4>
      </vt:variant>
      <vt:variant>
        <vt:lpwstr>https://www.epa.govt.nz/database-search/new-zealand-inventory-of-chemicals-nzioc/DatabaseSearchForm/?SiteDatabaseSearchFilters=36&amp;Keyword=acequinocyl&amp;DatabaseType=NZIOC</vt:lpwstr>
      </vt:variant>
      <vt:variant>
        <vt:lpwstr/>
      </vt:variant>
      <vt:variant>
        <vt:i4>196619</vt:i4>
      </vt:variant>
      <vt:variant>
        <vt:i4>201</vt:i4>
      </vt:variant>
      <vt:variant>
        <vt:i4>0</vt:i4>
      </vt:variant>
      <vt:variant>
        <vt:i4>5</vt:i4>
      </vt:variant>
      <vt:variant>
        <vt:lpwstr>https://echa.europa.eu/registry-of-clh-intentions-until-outcome/-/dislist/details/0b0236e18810a4c6?_disslists_WAR_disslistsportlet_businessIdentifier=0b0236e18810a4c6</vt:lpwstr>
      </vt:variant>
      <vt:variant>
        <vt:lpwstr/>
      </vt:variant>
      <vt:variant>
        <vt:i4>1704021</vt:i4>
      </vt:variant>
      <vt:variant>
        <vt:i4>198</vt:i4>
      </vt:variant>
      <vt:variant>
        <vt:i4>0</vt:i4>
      </vt:variant>
      <vt:variant>
        <vt:i4>5</vt:i4>
      </vt:variant>
      <vt:variant>
        <vt:lpwstr>https://psvak.gr/wp-content/uploads/2026/05/EU-SCCS-Opinion-on-Acetophenone-May-2026.pdf</vt:lpwstr>
      </vt:variant>
      <vt:variant>
        <vt:lpwstr/>
      </vt:variant>
      <vt:variant>
        <vt:i4>3866679</vt:i4>
      </vt:variant>
      <vt:variant>
        <vt:i4>195</vt:i4>
      </vt:variant>
      <vt:variant>
        <vt:i4>0</vt:i4>
      </vt:variant>
      <vt:variant>
        <vt:i4>5</vt:i4>
      </vt:variant>
      <vt:variant>
        <vt:lpwstr>https://echa.europa.eu/search-for-chemicals</vt:lpwstr>
      </vt:variant>
      <vt:variant>
        <vt:lpwstr/>
      </vt:variant>
      <vt:variant>
        <vt:i4>7929907</vt:i4>
      </vt:variant>
      <vt:variant>
        <vt:i4>192</vt:i4>
      </vt:variant>
      <vt:variant>
        <vt:i4>0</vt:i4>
      </vt:variant>
      <vt:variant>
        <vt:i4>5</vt:i4>
      </vt:variant>
      <vt:variant>
        <vt:lpwstr>https://ec.europa.eu/growth/tools-databases/cosing/</vt:lpwstr>
      </vt:variant>
      <vt:variant>
        <vt:lpwstr/>
      </vt:variant>
      <vt:variant>
        <vt:i4>5242904</vt:i4>
      </vt:variant>
      <vt:variant>
        <vt:i4>189</vt:i4>
      </vt:variant>
      <vt:variant>
        <vt:i4>0</vt:i4>
      </vt:variant>
      <vt:variant>
        <vt:i4>5</vt:i4>
      </vt:variant>
      <vt:variant>
        <vt:lpwstr>https://iaspub.epa.gov/apex/pesticides/f?p=CHEMICALSEARCH:1:</vt:lpwstr>
      </vt:variant>
      <vt:variant>
        <vt:lpwstr/>
      </vt:variant>
      <vt:variant>
        <vt:i4>5111872</vt:i4>
      </vt:variant>
      <vt:variant>
        <vt:i4>186</vt:i4>
      </vt:variant>
      <vt:variant>
        <vt:i4>0</vt:i4>
      </vt:variant>
      <vt:variant>
        <vt:i4>5</vt:i4>
      </vt:variant>
      <vt:variant>
        <vt:lpwstr>https://www.accessdata.fda.gov/scripts/cder/daf/</vt:lpwstr>
      </vt:variant>
      <vt:variant>
        <vt:lpwstr/>
      </vt:variant>
      <vt:variant>
        <vt:i4>3604587</vt:i4>
      </vt:variant>
      <vt:variant>
        <vt:i4>183</vt:i4>
      </vt:variant>
      <vt:variant>
        <vt:i4>0</vt:i4>
      </vt:variant>
      <vt:variant>
        <vt:i4>5</vt:i4>
      </vt:variant>
      <vt:variant>
        <vt:lpwstr>https://apvma.gov.au/node/10946</vt:lpwstr>
      </vt:variant>
      <vt:variant>
        <vt:lpwstr/>
      </vt:variant>
      <vt:variant>
        <vt:i4>3145834</vt:i4>
      </vt:variant>
      <vt:variant>
        <vt:i4>180</vt:i4>
      </vt:variant>
      <vt:variant>
        <vt:i4>0</vt:i4>
      </vt:variant>
      <vt:variant>
        <vt:i4>5</vt:i4>
      </vt:variant>
      <vt:variant>
        <vt:lpwstr>https://portal.apvma.gov.au/pubcris</vt:lpwstr>
      </vt:variant>
      <vt:variant>
        <vt:lpwstr/>
      </vt:variant>
      <vt:variant>
        <vt:i4>7602211</vt:i4>
      </vt:variant>
      <vt:variant>
        <vt:i4>177</vt:i4>
      </vt:variant>
      <vt:variant>
        <vt:i4>0</vt:i4>
      </vt:variant>
      <vt:variant>
        <vt:i4>5</vt:i4>
      </vt:variant>
      <vt:variant>
        <vt:lpwstr>https://www.legislation.gov.au/Details/F2021L01888</vt:lpwstr>
      </vt:variant>
      <vt:variant>
        <vt:lpwstr/>
      </vt:variant>
      <vt:variant>
        <vt:i4>4063278</vt:i4>
      </vt:variant>
      <vt:variant>
        <vt:i4>174</vt:i4>
      </vt:variant>
      <vt:variant>
        <vt:i4>0</vt:i4>
      </vt:variant>
      <vt:variant>
        <vt:i4>5</vt:i4>
      </vt:variant>
      <vt:variant>
        <vt:lpwstr>https://www.tga.gov.au/prescribing-medicines-pregnancy-database</vt:lpwstr>
      </vt:variant>
      <vt:variant>
        <vt:lpwstr/>
      </vt:variant>
      <vt:variant>
        <vt:i4>3080249</vt:i4>
      </vt:variant>
      <vt:variant>
        <vt:i4>171</vt:i4>
      </vt:variant>
      <vt:variant>
        <vt:i4>0</vt:i4>
      </vt:variant>
      <vt:variant>
        <vt:i4>5</vt:i4>
      </vt:variant>
      <vt:variant>
        <vt:lpwstr>https://www.legislation.gov.au/F2026L00707/asmade/text</vt:lpwstr>
      </vt:variant>
      <vt:variant>
        <vt:lpwstr/>
      </vt:variant>
      <vt:variant>
        <vt:i4>2097272</vt:i4>
      </vt:variant>
      <vt:variant>
        <vt:i4>168</vt:i4>
      </vt:variant>
      <vt:variant>
        <vt:i4>0</vt:i4>
      </vt:variant>
      <vt:variant>
        <vt:i4>5</vt:i4>
      </vt:variant>
      <vt:variant>
        <vt:lpwstr>https://www.tga.gov.au/artg</vt:lpwstr>
      </vt:variant>
      <vt:variant>
        <vt:lpwstr/>
      </vt:variant>
      <vt:variant>
        <vt:i4>7929907</vt:i4>
      </vt:variant>
      <vt:variant>
        <vt:i4>165</vt:i4>
      </vt:variant>
      <vt:variant>
        <vt:i4>0</vt:i4>
      </vt:variant>
      <vt:variant>
        <vt:i4>5</vt:i4>
      </vt:variant>
      <vt:variant>
        <vt:lpwstr>https://www.ebs.tga.gov.au/</vt:lpwstr>
      </vt:variant>
      <vt:variant>
        <vt:lpwstr/>
      </vt:variant>
      <vt:variant>
        <vt:i4>4980808</vt:i4>
      </vt:variant>
      <vt:variant>
        <vt:i4>162</vt:i4>
      </vt:variant>
      <vt:variant>
        <vt:i4>0</vt:i4>
      </vt:variant>
      <vt:variant>
        <vt:i4>5</vt:i4>
      </vt:variant>
      <vt:variant>
        <vt:lpwstr>https://www.industrialchemicals.gov.au/sites/default/files/2026-06/EVA00191- Evaluation Statement - 26 June 2026.pdf</vt:lpwstr>
      </vt:variant>
      <vt:variant>
        <vt:lpwstr/>
      </vt:variant>
      <vt:variant>
        <vt:i4>1638457</vt:i4>
      </vt:variant>
      <vt:variant>
        <vt:i4>155</vt:i4>
      </vt:variant>
      <vt:variant>
        <vt:i4>0</vt:i4>
      </vt:variant>
      <vt:variant>
        <vt:i4>5</vt:i4>
      </vt:variant>
      <vt:variant>
        <vt:lpwstr/>
      </vt:variant>
      <vt:variant>
        <vt:lpwstr>_Toc239276595</vt:lpwstr>
      </vt:variant>
      <vt:variant>
        <vt:i4>1638457</vt:i4>
      </vt:variant>
      <vt:variant>
        <vt:i4>149</vt:i4>
      </vt:variant>
      <vt:variant>
        <vt:i4>0</vt:i4>
      </vt:variant>
      <vt:variant>
        <vt:i4>5</vt:i4>
      </vt:variant>
      <vt:variant>
        <vt:lpwstr/>
      </vt:variant>
      <vt:variant>
        <vt:lpwstr>_Toc239276594</vt:lpwstr>
      </vt:variant>
      <vt:variant>
        <vt:i4>1638457</vt:i4>
      </vt:variant>
      <vt:variant>
        <vt:i4>143</vt:i4>
      </vt:variant>
      <vt:variant>
        <vt:i4>0</vt:i4>
      </vt:variant>
      <vt:variant>
        <vt:i4>5</vt:i4>
      </vt:variant>
      <vt:variant>
        <vt:lpwstr/>
      </vt:variant>
      <vt:variant>
        <vt:lpwstr>_Toc239276593</vt:lpwstr>
      </vt:variant>
      <vt:variant>
        <vt:i4>1638457</vt:i4>
      </vt:variant>
      <vt:variant>
        <vt:i4>137</vt:i4>
      </vt:variant>
      <vt:variant>
        <vt:i4>0</vt:i4>
      </vt:variant>
      <vt:variant>
        <vt:i4>5</vt:i4>
      </vt:variant>
      <vt:variant>
        <vt:lpwstr/>
      </vt:variant>
      <vt:variant>
        <vt:lpwstr>_Toc239276592</vt:lpwstr>
      </vt:variant>
      <vt:variant>
        <vt:i4>1638457</vt:i4>
      </vt:variant>
      <vt:variant>
        <vt:i4>131</vt:i4>
      </vt:variant>
      <vt:variant>
        <vt:i4>0</vt:i4>
      </vt:variant>
      <vt:variant>
        <vt:i4>5</vt:i4>
      </vt:variant>
      <vt:variant>
        <vt:lpwstr/>
      </vt:variant>
      <vt:variant>
        <vt:lpwstr>_Toc239276591</vt:lpwstr>
      </vt:variant>
      <vt:variant>
        <vt:i4>1638457</vt:i4>
      </vt:variant>
      <vt:variant>
        <vt:i4>125</vt:i4>
      </vt:variant>
      <vt:variant>
        <vt:i4>0</vt:i4>
      </vt:variant>
      <vt:variant>
        <vt:i4>5</vt:i4>
      </vt:variant>
      <vt:variant>
        <vt:lpwstr/>
      </vt:variant>
      <vt:variant>
        <vt:lpwstr>_Toc239276590</vt:lpwstr>
      </vt:variant>
      <vt:variant>
        <vt:i4>1572921</vt:i4>
      </vt:variant>
      <vt:variant>
        <vt:i4>119</vt:i4>
      </vt:variant>
      <vt:variant>
        <vt:i4>0</vt:i4>
      </vt:variant>
      <vt:variant>
        <vt:i4>5</vt:i4>
      </vt:variant>
      <vt:variant>
        <vt:lpwstr/>
      </vt:variant>
      <vt:variant>
        <vt:lpwstr>_Toc239276589</vt:lpwstr>
      </vt:variant>
      <vt:variant>
        <vt:i4>1572921</vt:i4>
      </vt:variant>
      <vt:variant>
        <vt:i4>113</vt:i4>
      </vt:variant>
      <vt:variant>
        <vt:i4>0</vt:i4>
      </vt:variant>
      <vt:variant>
        <vt:i4>5</vt:i4>
      </vt:variant>
      <vt:variant>
        <vt:lpwstr/>
      </vt:variant>
      <vt:variant>
        <vt:lpwstr>_Toc239276588</vt:lpwstr>
      </vt:variant>
      <vt:variant>
        <vt:i4>1572921</vt:i4>
      </vt:variant>
      <vt:variant>
        <vt:i4>107</vt:i4>
      </vt:variant>
      <vt:variant>
        <vt:i4>0</vt:i4>
      </vt:variant>
      <vt:variant>
        <vt:i4>5</vt:i4>
      </vt:variant>
      <vt:variant>
        <vt:lpwstr/>
      </vt:variant>
      <vt:variant>
        <vt:lpwstr>_Toc239276587</vt:lpwstr>
      </vt:variant>
      <vt:variant>
        <vt:i4>1572921</vt:i4>
      </vt:variant>
      <vt:variant>
        <vt:i4>101</vt:i4>
      </vt:variant>
      <vt:variant>
        <vt:i4>0</vt:i4>
      </vt:variant>
      <vt:variant>
        <vt:i4>5</vt:i4>
      </vt:variant>
      <vt:variant>
        <vt:lpwstr/>
      </vt:variant>
      <vt:variant>
        <vt:lpwstr>_Toc239276586</vt:lpwstr>
      </vt:variant>
      <vt:variant>
        <vt:i4>1572921</vt:i4>
      </vt:variant>
      <vt:variant>
        <vt:i4>95</vt:i4>
      </vt:variant>
      <vt:variant>
        <vt:i4>0</vt:i4>
      </vt:variant>
      <vt:variant>
        <vt:i4>5</vt:i4>
      </vt:variant>
      <vt:variant>
        <vt:lpwstr/>
      </vt:variant>
      <vt:variant>
        <vt:lpwstr>_Toc239276585</vt:lpwstr>
      </vt:variant>
      <vt:variant>
        <vt:i4>1572921</vt:i4>
      </vt:variant>
      <vt:variant>
        <vt:i4>89</vt:i4>
      </vt:variant>
      <vt:variant>
        <vt:i4>0</vt:i4>
      </vt:variant>
      <vt:variant>
        <vt:i4>5</vt:i4>
      </vt:variant>
      <vt:variant>
        <vt:lpwstr/>
      </vt:variant>
      <vt:variant>
        <vt:lpwstr>_Toc239276584</vt:lpwstr>
      </vt:variant>
      <vt:variant>
        <vt:i4>1572921</vt:i4>
      </vt:variant>
      <vt:variant>
        <vt:i4>83</vt:i4>
      </vt:variant>
      <vt:variant>
        <vt:i4>0</vt:i4>
      </vt:variant>
      <vt:variant>
        <vt:i4>5</vt:i4>
      </vt:variant>
      <vt:variant>
        <vt:lpwstr/>
      </vt:variant>
      <vt:variant>
        <vt:lpwstr>_Toc239276583</vt:lpwstr>
      </vt:variant>
      <vt:variant>
        <vt:i4>1572921</vt:i4>
      </vt:variant>
      <vt:variant>
        <vt:i4>77</vt:i4>
      </vt:variant>
      <vt:variant>
        <vt:i4>0</vt:i4>
      </vt:variant>
      <vt:variant>
        <vt:i4>5</vt:i4>
      </vt:variant>
      <vt:variant>
        <vt:lpwstr/>
      </vt:variant>
      <vt:variant>
        <vt:lpwstr>_Toc239276582</vt:lpwstr>
      </vt:variant>
      <vt:variant>
        <vt:i4>1572921</vt:i4>
      </vt:variant>
      <vt:variant>
        <vt:i4>71</vt:i4>
      </vt:variant>
      <vt:variant>
        <vt:i4>0</vt:i4>
      </vt:variant>
      <vt:variant>
        <vt:i4>5</vt:i4>
      </vt:variant>
      <vt:variant>
        <vt:lpwstr/>
      </vt:variant>
      <vt:variant>
        <vt:lpwstr>_Toc239276581</vt:lpwstr>
      </vt:variant>
      <vt:variant>
        <vt:i4>1572921</vt:i4>
      </vt:variant>
      <vt:variant>
        <vt:i4>65</vt:i4>
      </vt:variant>
      <vt:variant>
        <vt:i4>0</vt:i4>
      </vt:variant>
      <vt:variant>
        <vt:i4>5</vt:i4>
      </vt:variant>
      <vt:variant>
        <vt:lpwstr/>
      </vt:variant>
      <vt:variant>
        <vt:lpwstr>_Toc239276580</vt:lpwstr>
      </vt:variant>
      <vt:variant>
        <vt:i4>1507385</vt:i4>
      </vt:variant>
      <vt:variant>
        <vt:i4>59</vt:i4>
      </vt:variant>
      <vt:variant>
        <vt:i4>0</vt:i4>
      </vt:variant>
      <vt:variant>
        <vt:i4>5</vt:i4>
      </vt:variant>
      <vt:variant>
        <vt:lpwstr/>
      </vt:variant>
      <vt:variant>
        <vt:lpwstr>_Toc239276579</vt:lpwstr>
      </vt:variant>
      <vt:variant>
        <vt:i4>1507385</vt:i4>
      </vt:variant>
      <vt:variant>
        <vt:i4>53</vt:i4>
      </vt:variant>
      <vt:variant>
        <vt:i4>0</vt:i4>
      </vt:variant>
      <vt:variant>
        <vt:i4>5</vt:i4>
      </vt:variant>
      <vt:variant>
        <vt:lpwstr/>
      </vt:variant>
      <vt:variant>
        <vt:lpwstr>_Toc239276578</vt:lpwstr>
      </vt:variant>
      <vt:variant>
        <vt:i4>1507385</vt:i4>
      </vt:variant>
      <vt:variant>
        <vt:i4>47</vt:i4>
      </vt:variant>
      <vt:variant>
        <vt:i4>0</vt:i4>
      </vt:variant>
      <vt:variant>
        <vt:i4>5</vt:i4>
      </vt:variant>
      <vt:variant>
        <vt:lpwstr/>
      </vt:variant>
      <vt:variant>
        <vt:lpwstr>_Toc239276577</vt:lpwstr>
      </vt:variant>
      <vt:variant>
        <vt:i4>1507385</vt:i4>
      </vt:variant>
      <vt:variant>
        <vt:i4>41</vt:i4>
      </vt:variant>
      <vt:variant>
        <vt:i4>0</vt:i4>
      </vt:variant>
      <vt:variant>
        <vt:i4>5</vt:i4>
      </vt:variant>
      <vt:variant>
        <vt:lpwstr/>
      </vt:variant>
      <vt:variant>
        <vt:lpwstr>_Toc239276576</vt:lpwstr>
      </vt:variant>
      <vt:variant>
        <vt:i4>1507385</vt:i4>
      </vt:variant>
      <vt:variant>
        <vt:i4>35</vt:i4>
      </vt:variant>
      <vt:variant>
        <vt:i4>0</vt:i4>
      </vt:variant>
      <vt:variant>
        <vt:i4>5</vt:i4>
      </vt:variant>
      <vt:variant>
        <vt:lpwstr/>
      </vt:variant>
      <vt:variant>
        <vt:lpwstr>_Toc239276575</vt:lpwstr>
      </vt:variant>
      <vt:variant>
        <vt:i4>1507385</vt:i4>
      </vt:variant>
      <vt:variant>
        <vt:i4>29</vt:i4>
      </vt:variant>
      <vt:variant>
        <vt:i4>0</vt:i4>
      </vt:variant>
      <vt:variant>
        <vt:i4>5</vt:i4>
      </vt:variant>
      <vt:variant>
        <vt:lpwstr/>
      </vt:variant>
      <vt:variant>
        <vt:lpwstr>_Toc239276574</vt:lpwstr>
      </vt:variant>
      <vt:variant>
        <vt:i4>1507385</vt:i4>
      </vt:variant>
      <vt:variant>
        <vt:i4>23</vt:i4>
      </vt:variant>
      <vt:variant>
        <vt:i4>0</vt:i4>
      </vt:variant>
      <vt:variant>
        <vt:i4>5</vt:i4>
      </vt:variant>
      <vt:variant>
        <vt:lpwstr/>
      </vt:variant>
      <vt:variant>
        <vt:lpwstr>_Toc239276573</vt:lpwstr>
      </vt:variant>
      <vt:variant>
        <vt:i4>1507385</vt:i4>
      </vt:variant>
      <vt:variant>
        <vt:i4>17</vt:i4>
      </vt:variant>
      <vt:variant>
        <vt:i4>0</vt:i4>
      </vt:variant>
      <vt:variant>
        <vt:i4>5</vt:i4>
      </vt:variant>
      <vt:variant>
        <vt:lpwstr/>
      </vt:variant>
      <vt:variant>
        <vt:lpwstr>_Toc239276572</vt:lpwstr>
      </vt:variant>
      <vt:variant>
        <vt:i4>1507385</vt:i4>
      </vt:variant>
      <vt:variant>
        <vt:i4>11</vt:i4>
      </vt:variant>
      <vt:variant>
        <vt:i4>0</vt:i4>
      </vt:variant>
      <vt:variant>
        <vt:i4>5</vt:i4>
      </vt:variant>
      <vt:variant>
        <vt:lpwstr/>
      </vt:variant>
      <vt:variant>
        <vt:lpwstr>_Toc239276571</vt:lpwstr>
      </vt:variant>
      <vt:variant>
        <vt:i4>1507385</vt:i4>
      </vt:variant>
      <vt:variant>
        <vt:i4>5</vt:i4>
      </vt:variant>
      <vt:variant>
        <vt:i4>0</vt:i4>
      </vt:variant>
      <vt:variant>
        <vt:i4>5</vt:i4>
      </vt:variant>
      <vt:variant>
        <vt:lpwstr/>
      </vt:variant>
      <vt:variant>
        <vt:lpwstr>_Toc239276570</vt:lpwstr>
      </vt:variant>
      <vt:variant>
        <vt:i4>6291548</vt:i4>
      </vt:variant>
      <vt:variant>
        <vt:i4>0</vt:i4>
      </vt:variant>
      <vt:variant>
        <vt:i4>0</vt:i4>
      </vt:variant>
      <vt:variant>
        <vt:i4>5</vt:i4>
      </vt:variant>
      <vt:variant>
        <vt:lpwstr>mailto:tga.copyright@tga.gov.au</vt:lpwstr>
      </vt:variant>
      <vt:variant>
        <vt:lpwstr/>
      </vt:variant>
      <vt:variant>
        <vt:i4>1572887</vt:i4>
      </vt:variant>
      <vt:variant>
        <vt:i4>45</vt:i4>
      </vt:variant>
      <vt:variant>
        <vt:i4>0</vt:i4>
      </vt:variant>
      <vt:variant>
        <vt:i4>5</vt:i4>
      </vt:variant>
      <vt:variant>
        <vt:lpwstr>el://D19-5476222/?db=A7&amp;open</vt:lpwstr>
      </vt:variant>
      <vt:variant>
        <vt:lpwstr/>
      </vt:variant>
      <vt:variant>
        <vt:i4>1114131</vt:i4>
      </vt:variant>
      <vt:variant>
        <vt:i4>42</vt:i4>
      </vt:variant>
      <vt:variant>
        <vt:i4>0</vt:i4>
      </vt:variant>
      <vt:variant>
        <vt:i4>5</vt:i4>
      </vt:variant>
      <vt:variant>
        <vt:lpwstr>el://D19-5585046/?db=A7&amp;open</vt:lpwstr>
      </vt:variant>
      <vt:variant>
        <vt:lpwstr/>
      </vt:variant>
      <vt:variant>
        <vt:i4>1900570</vt:i4>
      </vt:variant>
      <vt:variant>
        <vt:i4>39</vt:i4>
      </vt:variant>
      <vt:variant>
        <vt:i4>0</vt:i4>
      </vt:variant>
      <vt:variant>
        <vt:i4>5</vt:i4>
      </vt:variant>
      <vt:variant>
        <vt:lpwstr>el://D19-5846533/?db=A7&amp;open</vt:lpwstr>
      </vt:variant>
      <vt:variant>
        <vt:lpwstr/>
      </vt:variant>
      <vt:variant>
        <vt:i4>2031639</vt:i4>
      </vt:variant>
      <vt:variant>
        <vt:i4>36</vt:i4>
      </vt:variant>
      <vt:variant>
        <vt:i4>0</vt:i4>
      </vt:variant>
      <vt:variant>
        <vt:i4>5</vt:i4>
      </vt:variant>
      <vt:variant>
        <vt:lpwstr>el://D19-5868701/?db=A7&amp;open</vt:lpwstr>
      </vt:variant>
      <vt:variant>
        <vt:lpwstr/>
      </vt:variant>
      <vt:variant>
        <vt:i4>1769493</vt:i4>
      </vt:variant>
      <vt:variant>
        <vt:i4>33</vt:i4>
      </vt:variant>
      <vt:variant>
        <vt:i4>0</vt:i4>
      </vt:variant>
      <vt:variant>
        <vt:i4>5</vt:i4>
      </vt:variant>
      <vt:variant>
        <vt:lpwstr>el://D19-5833295/?db=A7&amp;open</vt:lpwstr>
      </vt:variant>
      <vt:variant>
        <vt:lpwstr/>
      </vt:variant>
      <vt:variant>
        <vt:i4>1572887</vt:i4>
      </vt:variant>
      <vt:variant>
        <vt:i4>30</vt:i4>
      </vt:variant>
      <vt:variant>
        <vt:i4>0</vt:i4>
      </vt:variant>
      <vt:variant>
        <vt:i4>5</vt:i4>
      </vt:variant>
      <vt:variant>
        <vt:lpwstr>el://D19-5476222/?db=A7&amp;open</vt:lpwstr>
      </vt:variant>
      <vt:variant>
        <vt:lpwstr/>
      </vt:variant>
      <vt:variant>
        <vt:i4>1114131</vt:i4>
      </vt:variant>
      <vt:variant>
        <vt:i4>27</vt:i4>
      </vt:variant>
      <vt:variant>
        <vt:i4>0</vt:i4>
      </vt:variant>
      <vt:variant>
        <vt:i4>5</vt:i4>
      </vt:variant>
      <vt:variant>
        <vt:lpwstr>el://D19-5585046/?db=A7&amp;open</vt:lpwstr>
      </vt:variant>
      <vt:variant>
        <vt:lpwstr/>
      </vt:variant>
      <vt:variant>
        <vt:i4>1900570</vt:i4>
      </vt:variant>
      <vt:variant>
        <vt:i4>24</vt:i4>
      </vt:variant>
      <vt:variant>
        <vt:i4>0</vt:i4>
      </vt:variant>
      <vt:variant>
        <vt:i4>5</vt:i4>
      </vt:variant>
      <vt:variant>
        <vt:lpwstr>el://D19-5846533/?db=A7&amp;open</vt:lpwstr>
      </vt:variant>
      <vt:variant>
        <vt:lpwstr/>
      </vt:variant>
      <vt:variant>
        <vt:i4>2031639</vt:i4>
      </vt:variant>
      <vt:variant>
        <vt:i4>21</vt:i4>
      </vt:variant>
      <vt:variant>
        <vt:i4>0</vt:i4>
      </vt:variant>
      <vt:variant>
        <vt:i4>5</vt:i4>
      </vt:variant>
      <vt:variant>
        <vt:lpwstr>el://D19-5868701/?db=A7&amp;open</vt:lpwstr>
      </vt:variant>
      <vt:variant>
        <vt:lpwstr/>
      </vt:variant>
      <vt:variant>
        <vt:i4>1769493</vt:i4>
      </vt:variant>
      <vt:variant>
        <vt:i4>18</vt:i4>
      </vt:variant>
      <vt:variant>
        <vt:i4>0</vt:i4>
      </vt:variant>
      <vt:variant>
        <vt:i4>5</vt:i4>
      </vt:variant>
      <vt:variant>
        <vt:lpwstr>el://D19-5833295/?db=A7&amp;open</vt:lpwstr>
      </vt:variant>
      <vt:variant>
        <vt:lpwstr/>
      </vt:variant>
      <vt:variant>
        <vt:i4>3145834</vt:i4>
      </vt:variant>
      <vt:variant>
        <vt:i4>15</vt:i4>
      </vt:variant>
      <vt:variant>
        <vt:i4>0</vt:i4>
      </vt:variant>
      <vt:variant>
        <vt:i4>5</vt:i4>
      </vt:variant>
      <vt:variant>
        <vt:lpwstr>https://portal.apvma.gov.au/pubcris</vt:lpwstr>
      </vt:variant>
      <vt:variant>
        <vt:lpwstr/>
      </vt:variant>
      <vt:variant>
        <vt:i4>3604601</vt:i4>
      </vt:variant>
      <vt:variant>
        <vt:i4>12</vt:i4>
      </vt:variant>
      <vt:variant>
        <vt:i4>0</vt:i4>
      </vt:variant>
      <vt:variant>
        <vt:i4>5</vt:i4>
      </vt:variant>
      <vt:variant>
        <vt:lpwstr>el://R14%2f1105441/?db=A7&amp;open</vt:lpwstr>
      </vt:variant>
      <vt:variant>
        <vt:lpwstr/>
      </vt:variant>
      <vt:variant>
        <vt:i4>1114131</vt:i4>
      </vt:variant>
      <vt:variant>
        <vt:i4>9</vt:i4>
      </vt:variant>
      <vt:variant>
        <vt:i4>0</vt:i4>
      </vt:variant>
      <vt:variant>
        <vt:i4>5</vt:i4>
      </vt:variant>
      <vt:variant>
        <vt:lpwstr>el://D19-5585046/?db=A7&amp;open</vt:lpwstr>
      </vt:variant>
      <vt:variant>
        <vt:lpwstr/>
      </vt:variant>
      <vt:variant>
        <vt:i4>720916</vt:i4>
      </vt:variant>
      <vt:variant>
        <vt:i4>6</vt:i4>
      </vt:variant>
      <vt:variant>
        <vt:i4>0</vt:i4>
      </vt:variant>
      <vt:variant>
        <vt:i4>5</vt:i4>
      </vt:variant>
      <vt:variant>
        <vt:lpwstr>https://www.legislation.gov.au/Search/Therapeutic Goods $LB$Permissible Ingredients$RB$ Determination</vt:lpwstr>
      </vt:variant>
      <vt:variant>
        <vt:lpwstr/>
      </vt:variant>
      <vt:variant>
        <vt:i4>7929907</vt:i4>
      </vt:variant>
      <vt:variant>
        <vt:i4>3</vt:i4>
      </vt:variant>
      <vt:variant>
        <vt:i4>0</vt:i4>
      </vt:variant>
      <vt:variant>
        <vt:i4>5</vt:i4>
      </vt:variant>
      <vt:variant>
        <vt:lpwstr>https://www.ebs.tga.gov.au/</vt:lpwstr>
      </vt:variant>
      <vt:variant>
        <vt:lpwstr/>
      </vt:variant>
      <vt:variant>
        <vt:i4>1835012</vt:i4>
      </vt:variant>
      <vt:variant>
        <vt:i4>0</vt:i4>
      </vt:variant>
      <vt:variant>
        <vt:i4>0</vt:i4>
      </vt:variant>
      <vt:variant>
        <vt:i4>5</vt:i4>
      </vt:variant>
      <vt:variant>
        <vt:lpwstr>https://www.tga.gov.au/publication/poisons-standard-susmp</vt:lpwstr>
      </vt:variant>
      <vt:variant>
        <vt:lpwstr/>
      </vt:variant>
      <vt:variant>
        <vt:i4>3735563</vt:i4>
      </vt:variant>
      <vt:variant>
        <vt:i4>9</vt:i4>
      </vt:variant>
      <vt:variant>
        <vt:i4>0</vt:i4>
      </vt:variant>
      <vt:variant>
        <vt:i4>5</vt:i4>
      </vt:variant>
      <vt:variant>
        <vt:lpwstr>mailto:medicines.scheduling@health.gov.au</vt:lpwstr>
      </vt:variant>
      <vt:variant>
        <vt:lpwstr/>
      </vt:variant>
      <vt:variant>
        <vt:i4>1966101</vt:i4>
      </vt:variant>
      <vt:variant>
        <vt:i4>6</vt:i4>
      </vt:variant>
      <vt:variant>
        <vt:i4>0</vt:i4>
      </vt:variant>
      <vt:variant>
        <vt:i4>5</vt:i4>
      </vt:variant>
      <vt:variant>
        <vt:lpwstr>https://www.tga.gov.au/committee/advisory-committee-chemicals-scheduling-accs</vt:lpwstr>
      </vt:variant>
      <vt:variant>
        <vt:lpwstr/>
      </vt:variant>
      <vt:variant>
        <vt:i4>1703967</vt:i4>
      </vt:variant>
      <vt:variant>
        <vt:i4>3</vt:i4>
      </vt:variant>
      <vt:variant>
        <vt:i4>0</vt:i4>
      </vt:variant>
      <vt:variant>
        <vt:i4>5</vt:i4>
      </vt:variant>
      <vt:variant>
        <vt:lpwstr>https://www.tga.gov.au/committee/advisory-committee-medicines-scheduling-acms</vt:lpwstr>
      </vt:variant>
      <vt:variant>
        <vt:lpwstr/>
      </vt:variant>
      <vt:variant>
        <vt:i4>851969</vt:i4>
      </vt:variant>
      <vt:variant>
        <vt:i4>0</vt:i4>
      </vt:variant>
      <vt:variant>
        <vt:i4>0</vt:i4>
      </vt:variant>
      <vt:variant>
        <vt:i4>5</vt:i4>
      </vt:variant>
      <vt:variant>
        <vt:lpwstr>https://consultations.tga.gov.au/tga/november_2021_interim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Quinn</dc:creator>
  <cp:keywords/>
  <dc:description/>
  <cp:lastModifiedBy>GARNER, James</cp:lastModifiedBy>
  <cp:revision>3</cp:revision>
  <dcterms:created xsi:type="dcterms:W3CDTF">2026-09-11T00:55:00Z</dcterms:created>
  <dcterms:modified xsi:type="dcterms:W3CDTF">2026-09-11T02:18:00Z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69e909bb,d7ca87d,297a6753,22d011b9,6d41b1b3</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4a0019cc,2099501a,6fc9e98d,204e41f1,41c5844</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2025-12-18T03:42:46Z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92f55ec8-0538-448a-b48c-962024cf906f</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y fmtid="{D5CDD505-2E9C-101B-9397-08002B2CF9AE}" pid="16" name="ContentTypeId">
    <vt:lpwstr>0x010100EFE0E35EFD4F464680E6AF1C0D13EB20</vt:lpwstr>
  </property>
  <property fmtid="{D5CDD505-2E9C-101B-9397-08002B2CF9AE}" pid="17" name="MediaServiceImageTags">
    <vt:lpwstr/>
  </property>
  <property fmtid="{D5CDD505-2E9C-101B-9397-08002B2CF9AE}" pid="18" name="docLang">
    <vt:lpwstr>en</vt:lpwstr>
  </property>
</Properties>
</file>