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page" w:horzAnchor="margin" w:tblpY="31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6EA59E4B" w14:textId="77777777" w:rsidTr="001B6ACF">
        <w:tc>
          <w:tcPr>
            <w:tcW w:w="8720" w:type="dxa"/>
          </w:tcPr>
          <w:p w14:paraId="3084B878" w14:textId="4DA8B672" w:rsidR="001D480A" w:rsidRPr="009401F6" w:rsidRDefault="00207FDD" w:rsidP="001B6ACF">
            <w:pPr>
              <w:pStyle w:val="Title"/>
            </w:pPr>
            <w:r>
              <w:t>Consultation: Proposed amendments to the Poisons Standard – A</w:t>
            </w:r>
            <w:r w:rsidR="003B3CD7">
              <w:t>CM</w:t>
            </w:r>
            <w:r>
              <w:t>S, AC</w:t>
            </w:r>
            <w:r w:rsidR="003B3CD7">
              <w:t>C</w:t>
            </w:r>
            <w:r>
              <w:t xml:space="preserve">S and joint </w:t>
            </w:r>
            <w:r w:rsidR="003B3CD7">
              <w:t>ACMS-ACCS</w:t>
            </w:r>
            <w:r>
              <w:t xml:space="preserve"> meetings, </w:t>
            </w:r>
            <w:r w:rsidR="009A4A5D">
              <w:t>March</w:t>
            </w:r>
            <w:r>
              <w:t xml:space="preserve"> 20</w:t>
            </w:r>
            <w:r w:rsidR="009A4A5D">
              <w:t>23</w:t>
            </w:r>
          </w:p>
        </w:tc>
      </w:tr>
      <w:tr w:rsidR="00ED0C8B" w:rsidRPr="009401F6" w14:paraId="14361E1D" w14:textId="77777777" w:rsidTr="001B6ACF">
        <w:trPr>
          <w:trHeight w:val="1387"/>
        </w:trPr>
        <w:tc>
          <w:tcPr>
            <w:tcW w:w="8720" w:type="dxa"/>
          </w:tcPr>
          <w:p w14:paraId="62B6A71E" w14:textId="6A0A2E37" w:rsidR="001D480A" w:rsidRPr="009401F6" w:rsidRDefault="00520E48" w:rsidP="001B6ACF">
            <w:pPr>
              <w:pStyle w:val="Subtitle"/>
              <w:ind w:left="0"/>
              <w:rPr>
                <w:lang w:eastAsia="en-AU"/>
              </w:rPr>
            </w:pPr>
            <w:r>
              <w:rPr>
                <w:lang w:eastAsia="en-AU"/>
              </w:rPr>
              <w:t>5</w:t>
            </w:r>
            <w:r w:rsidR="002C1070">
              <w:rPr>
                <w:lang w:eastAsia="en-AU"/>
              </w:rPr>
              <w:t xml:space="preserve"> </w:t>
            </w:r>
            <w:r w:rsidR="00423BB3">
              <w:rPr>
                <w:lang w:eastAsia="en-AU"/>
              </w:rPr>
              <w:t>January</w:t>
            </w:r>
            <w:r w:rsidR="002C1070">
              <w:rPr>
                <w:lang w:eastAsia="en-AU"/>
              </w:rPr>
              <w:t xml:space="preserve"> </w:t>
            </w:r>
            <w:r w:rsidR="00423BB3">
              <w:rPr>
                <w:lang w:eastAsia="en-AU"/>
              </w:rPr>
              <w:t>202</w:t>
            </w:r>
            <w:r>
              <w:rPr>
                <w:lang w:eastAsia="en-AU"/>
              </w:rPr>
              <w:t>3</w:t>
            </w:r>
          </w:p>
        </w:tc>
      </w:tr>
      <w:tr w:rsidR="00ED0C8B" w:rsidRPr="009401F6" w14:paraId="30D49EC8" w14:textId="77777777" w:rsidTr="001B6ACF">
        <w:tc>
          <w:tcPr>
            <w:tcW w:w="8720" w:type="dxa"/>
          </w:tcPr>
          <w:p w14:paraId="7B2E0DCE" w14:textId="6B0EC81D" w:rsidR="00ED0C8B" w:rsidRPr="009401F6" w:rsidRDefault="00ED0C8B" w:rsidP="001B6ACF">
            <w:pPr>
              <w:pStyle w:val="Date"/>
              <w:rPr>
                <w:lang w:eastAsia="en-AU"/>
              </w:rPr>
            </w:pPr>
          </w:p>
        </w:tc>
      </w:tr>
    </w:tbl>
    <w:p w14:paraId="67DC3DBD" w14:textId="43C716DA" w:rsidR="00BA6FF1" w:rsidRDefault="00C419A3" w:rsidP="007C7B5B">
      <w:pPr>
        <w:rPr>
          <w:lang w:eastAsia="en-AU"/>
        </w:rPr>
      </w:pPr>
      <w:r>
        <w:rPr>
          <w:noProof/>
          <w:lang w:eastAsia="en-AU"/>
        </w:rPr>
        <w:drawing>
          <wp:anchor distT="0" distB="0" distL="114300" distR="114300" simplePos="0" relativeHeight="251661312" behindDoc="0" locked="0" layoutInCell="0" allowOverlap="1" wp14:anchorId="47A7CFEA" wp14:editId="47C48492">
            <wp:simplePos x="0" y="0"/>
            <wp:positionH relativeFrom="page">
              <wp:align>right</wp:align>
            </wp:positionH>
            <wp:positionV relativeFrom="margin">
              <wp:align>center</wp:align>
            </wp:positionV>
            <wp:extent cx="7599600" cy="2458800"/>
            <wp:effectExtent l="0" t="0" r="1905" b="0"/>
            <wp:wrapNone/>
            <wp:docPr id="37"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8" cstate="print"/>
                    <a:srcRect/>
                    <a:stretch>
                      <a:fillRect/>
                    </a:stretch>
                  </pic:blipFill>
                  <pic:spPr bwMode="auto">
                    <a:xfrm>
                      <a:off x="0" y="0"/>
                      <a:ext cx="7599600" cy="245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EA9E9EC" w14:textId="4DD900CF" w:rsidR="00C419A3" w:rsidRPr="00C419A3" w:rsidRDefault="00C419A3" w:rsidP="00C419A3">
      <w:pPr>
        <w:rPr>
          <w:lang w:eastAsia="en-AU"/>
        </w:rPr>
      </w:pPr>
    </w:p>
    <w:p w14:paraId="0A4385FC" w14:textId="2A44BDC0" w:rsidR="00C419A3" w:rsidRPr="00C419A3" w:rsidRDefault="00C419A3" w:rsidP="00C419A3">
      <w:pPr>
        <w:rPr>
          <w:lang w:eastAsia="en-AU"/>
        </w:rPr>
      </w:pPr>
    </w:p>
    <w:p w14:paraId="2027157B" w14:textId="3CCE61C0" w:rsidR="00C419A3" w:rsidRPr="00C419A3" w:rsidRDefault="00C419A3" w:rsidP="00C419A3">
      <w:pPr>
        <w:rPr>
          <w:lang w:eastAsia="en-AU"/>
        </w:rPr>
      </w:pPr>
    </w:p>
    <w:p w14:paraId="5C4AC347" w14:textId="0D9C6478" w:rsidR="00C419A3" w:rsidRPr="00C419A3" w:rsidRDefault="00C419A3" w:rsidP="00C419A3">
      <w:pPr>
        <w:ind w:firstLine="720"/>
        <w:rPr>
          <w:lang w:eastAsia="en-AU"/>
        </w:rPr>
      </w:pPr>
    </w:p>
    <w:p w14:paraId="141985B5" w14:textId="322B3BD5" w:rsidR="00C419A3" w:rsidRPr="00C419A3" w:rsidRDefault="00C419A3" w:rsidP="00C419A3">
      <w:pPr>
        <w:rPr>
          <w:lang w:eastAsia="en-AU"/>
        </w:rPr>
      </w:pPr>
    </w:p>
    <w:p w14:paraId="3FA3345E" w14:textId="731CD9C1" w:rsidR="00C419A3" w:rsidRPr="00C419A3" w:rsidRDefault="00C419A3" w:rsidP="00C419A3">
      <w:pPr>
        <w:rPr>
          <w:lang w:eastAsia="en-AU"/>
        </w:rPr>
      </w:pPr>
    </w:p>
    <w:p w14:paraId="34DAB8A0" w14:textId="45E9A12D" w:rsidR="00C419A3" w:rsidRPr="00C419A3" w:rsidRDefault="00C419A3" w:rsidP="00C419A3">
      <w:pPr>
        <w:rPr>
          <w:lang w:eastAsia="en-AU"/>
        </w:rPr>
      </w:pPr>
    </w:p>
    <w:p w14:paraId="2ED90707" w14:textId="56EF5C8D" w:rsidR="00C419A3" w:rsidRPr="00C419A3" w:rsidRDefault="00C419A3" w:rsidP="00C419A3">
      <w:pPr>
        <w:rPr>
          <w:lang w:eastAsia="en-AU"/>
        </w:rPr>
      </w:pPr>
    </w:p>
    <w:p w14:paraId="37BE723A" w14:textId="2030EF38" w:rsidR="00C419A3" w:rsidRPr="00C419A3" w:rsidRDefault="00C419A3" w:rsidP="00C419A3">
      <w:pPr>
        <w:rPr>
          <w:lang w:eastAsia="en-AU"/>
        </w:rPr>
      </w:pPr>
    </w:p>
    <w:p w14:paraId="1055EA26" w14:textId="4B046D20" w:rsidR="00C419A3" w:rsidRPr="00C419A3" w:rsidRDefault="00C419A3" w:rsidP="00C419A3">
      <w:pPr>
        <w:rPr>
          <w:lang w:eastAsia="en-AU"/>
        </w:rPr>
      </w:pPr>
    </w:p>
    <w:p w14:paraId="03DB3CBF" w14:textId="0CB60FE1" w:rsidR="00C419A3" w:rsidRPr="00C419A3" w:rsidRDefault="00C419A3" w:rsidP="00C419A3">
      <w:pPr>
        <w:rPr>
          <w:lang w:eastAsia="en-AU"/>
        </w:rPr>
      </w:pPr>
    </w:p>
    <w:p w14:paraId="3F8BEFD3" w14:textId="767C3742" w:rsidR="00C419A3" w:rsidRPr="00C419A3" w:rsidRDefault="00C419A3" w:rsidP="00C419A3">
      <w:pPr>
        <w:rPr>
          <w:lang w:eastAsia="en-AU"/>
        </w:rPr>
      </w:pPr>
    </w:p>
    <w:p w14:paraId="1660D55E" w14:textId="1BE62A54" w:rsidR="00C419A3" w:rsidRPr="00C419A3" w:rsidRDefault="00C419A3" w:rsidP="00C419A3">
      <w:pPr>
        <w:rPr>
          <w:lang w:eastAsia="en-AU"/>
        </w:rPr>
      </w:pPr>
    </w:p>
    <w:p w14:paraId="67F28E50" w14:textId="77777777" w:rsidR="00C419A3" w:rsidRPr="00C419A3" w:rsidRDefault="00C419A3" w:rsidP="00C419A3">
      <w:pPr>
        <w:rPr>
          <w:lang w:eastAsia="en-AU"/>
        </w:rPr>
      </w:pPr>
    </w:p>
    <w:p w14:paraId="56E22E3F" w14:textId="03F1BD8A" w:rsidR="00B92537" w:rsidRPr="005D4EA1" w:rsidRDefault="00B92537" w:rsidP="00B92537">
      <w:pPr>
        <w:pStyle w:val="LegalSubheading"/>
        <w:pageBreakBefore/>
      </w:pPr>
      <w:bookmarkStart w:id="0" w:name="_Toc323738670"/>
      <w:r>
        <w:lastRenderedPageBreak/>
        <w:t>C</w:t>
      </w:r>
      <w:r w:rsidRPr="00691723">
        <w:t>opyright</w:t>
      </w:r>
    </w:p>
    <w:p w14:paraId="3E151A80" w14:textId="7C4709FC" w:rsidR="00B92537" w:rsidRDefault="00B92537" w:rsidP="00B92537">
      <w:pPr>
        <w:pStyle w:val="LegalCopy"/>
        <w:spacing w:after="0"/>
      </w:pPr>
      <w:r w:rsidRPr="009401F6">
        <w:t>© Commonwealth of Australia 20</w:t>
      </w:r>
      <w:r>
        <w:t>2</w:t>
      </w:r>
      <w:r w:rsidR="00C419A3">
        <w:t>3</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w:t>
      </w:r>
      <w:proofErr w:type="gramStart"/>
      <w:r w:rsidRPr="009401F6">
        <w:t>reserved</w:t>
      </w:r>
      <w:proofErr w:type="gramEnd"/>
      <w:r w:rsidRPr="009401F6">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9401F6">
          <w:rPr>
            <w:rStyle w:val="Hyperlink"/>
            <w:rFonts w:cs="Arial"/>
          </w:rPr>
          <w:t>tga.copyright@tga.gov.au</w:t>
        </w:r>
      </w:hyperlink>
      <w:r w:rsidRPr="009401F6">
        <w:t>&gt;</w:t>
      </w:r>
    </w:p>
    <w:p w14:paraId="4AA684C1" w14:textId="77777777" w:rsidR="00B92537" w:rsidRPr="009401F6" w:rsidRDefault="00B92537" w:rsidP="00B92537">
      <w:pPr>
        <w:pStyle w:val="LegalSubheading"/>
      </w:pPr>
      <w:r w:rsidRPr="009401F6">
        <w:t>Confidentiality</w:t>
      </w:r>
    </w:p>
    <w:p w14:paraId="2F01D208" w14:textId="606145F9" w:rsidR="00F8365F" w:rsidRDefault="00B92537" w:rsidP="00B92537">
      <w:pPr>
        <w:pStyle w:val="LegalCopy"/>
        <w:rPr>
          <w:lang w:eastAsia="en-AU"/>
        </w:rPr>
      </w:pPr>
      <w:r w:rsidRPr="00EB182C">
        <w:rPr>
          <w:lang w:eastAsia="en-AU"/>
        </w:rP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p w14:paraId="38F8C3FE" w14:textId="77777777" w:rsidR="00B92537" w:rsidRPr="00B92537" w:rsidRDefault="00B92537" w:rsidP="00B92537"/>
    <w:sdt>
      <w:sdtPr>
        <w:rPr>
          <w:rFonts w:ascii="Cambria" w:hAnsi="Cambria"/>
          <w:b w:val="0"/>
          <w:sz w:val="22"/>
        </w:rPr>
        <w:id w:val="3701955"/>
        <w:docPartObj>
          <w:docPartGallery w:val="Table of Contents"/>
          <w:docPartUnique/>
        </w:docPartObj>
      </w:sdtPr>
      <w:sdtEndPr/>
      <w:sdtContent>
        <w:p w14:paraId="73E34775" w14:textId="77777777" w:rsidR="00B92C72" w:rsidRPr="009401F6" w:rsidRDefault="00B92C72" w:rsidP="00B92C72">
          <w:pPr>
            <w:pStyle w:val="NonTOCheading2"/>
          </w:pPr>
          <w:r w:rsidRPr="009401F6">
            <w:t>Contents</w:t>
          </w:r>
        </w:p>
        <w:p w14:paraId="0104B162" w14:textId="3208D3AD" w:rsidR="00520E48" w:rsidRDefault="006C626D">
          <w:pPr>
            <w:pStyle w:val="TOC1"/>
            <w:tabs>
              <w:tab w:val="left" w:pos="425"/>
            </w:tabs>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122676175" w:history="1">
            <w:r w:rsidR="00520E48" w:rsidRPr="00FC7890">
              <w:rPr>
                <w:rStyle w:val="Hyperlink"/>
                <w:noProof/>
                <w:lang w:val="en"/>
              </w:rPr>
              <w:t>1</w:t>
            </w:r>
            <w:r w:rsidR="00520E48">
              <w:rPr>
                <w:rFonts w:asciiTheme="minorHAnsi" w:eastAsiaTheme="minorEastAsia" w:hAnsiTheme="minorHAnsi" w:cstheme="minorBidi"/>
                <w:b w:val="0"/>
                <w:noProof/>
                <w:sz w:val="22"/>
                <w:szCs w:val="22"/>
                <w:lang w:eastAsia="en-AU"/>
              </w:rPr>
              <w:tab/>
            </w:r>
            <w:r w:rsidR="00520E48" w:rsidRPr="00FC7890">
              <w:rPr>
                <w:rStyle w:val="Hyperlink"/>
                <w:noProof/>
                <w:lang w:val="en"/>
              </w:rPr>
              <w:t>About this consultation</w:t>
            </w:r>
            <w:r w:rsidR="00520E48">
              <w:rPr>
                <w:noProof/>
                <w:webHidden/>
              </w:rPr>
              <w:tab/>
            </w:r>
            <w:r w:rsidR="00520E48">
              <w:rPr>
                <w:noProof/>
                <w:webHidden/>
              </w:rPr>
              <w:fldChar w:fldCharType="begin"/>
            </w:r>
            <w:r w:rsidR="00520E48">
              <w:rPr>
                <w:noProof/>
                <w:webHidden/>
              </w:rPr>
              <w:instrText xml:space="preserve"> PAGEREF _Toc122676175 \h </w:instrText>
            </w:r>
            <w:r w:rsidR="00520E48">
              <w:rPr>
                <w:noProof/>
                <w:webHidden/>
              </w:rPr>
            </w:r>
            <w:r w:rsidR="00520E48">
              <w:rPr>
                <w:noProof/>
                <w:webHidden/>
              </w:rPr>
              <w:fldChar w:fldCharType="separate"/>
            </w:r>
            <w:r w:rsidR="00520E48">
              <w:rPr>
                <w:noProof/>
                <w:webHidden/>
              </w:rPr>
              <w:t>5</w:t>
            </w:r>
            <w:r w:rsidR="00520E48">
              <w:rPr>
                <w:noProof/>
                <w:webHidden/>
              </w:rPr>
              <w:fldChar w:fldCharType="end"/>
            </w:r>
          </w:hyperlink>
        </w:p>
        <w:p w14:paraId="2C15A630" w14:textId="434ABEDE" w:rsidR="00520E48" w:rsidRDefault="004A5464">
          <w:pPr>
            <w:pStyle w:val="TOC1"/>
            <w:tabs>
              <w:tab w:val="left" w:pos="425"/>
            </w:tabs>
            <w:rPr>
              <w:rFonts w:asciiTheme="minorHAnsi" w:eastAsiaTheme="minorEastAsia" w:hAnsiTheme="minorHAnsi" w:cstheme="minorBidi"/>
              <w:b w:val="0"/>
              <w:noProof/>
              <w:sz w:val="22"/>
              <w:szCs w:val="22"/>
              <w:lang w:eastAsia="en-AU"/>
            </w:rPr>
          </w:pPr>
          <w:hyperlink w:anchor="_Toc122676176" w:history="1">
            <w:r w:rsidR="00520E48" w:rsidRPr="00FC7890">
              <w:rPr>
                <w:rStyle w:val="Hyperlink"/>
                <w:noProof/>
              </w:rPr>
              <w:t>2</w:t>
            </w:r>
            <w:r w:rsidR="00520E48">
              <w:rPr>
                <w:rFonts w:asciiTheme="minorHAnsi" w:eastAsiaTheme="minorEastAsia" w:hAnsiTheme="minorHAnsi" w:cstheme="minorBidi"/>
                <w:b w:val="0"/>
                <w:noProof/>
                <w:sz w:val="22"/>
                <w:szCs w:val="22"/>
                <w:lang w:eastAsia="en-AU"/>
              </w:rPr>
              <w:tab/>
            </w:r>
            <w:r w:rsidR="00520E48" w:rsidRPr="00FC7890">
              <w:rPr>
                <w:rStyle w:val="Hyperlink"/>
                <w:noProof/>
              </w:rPr>
              <w:t>Proposed amendments referred for scheduling advice to ACMS meeting #41</w:t>
            </w:r>
            <w:r w:rsidR="00520E48">
              <w:rPr>
                <w:noProof/>
                <w:webHidden/>
              </w:rPr>
              <w:tab/>
            </w:r>
            <w:r w:rsidR="00520E48">
              <w:rPr>
                <w:noProof/>
                <w:webHidden/>
              </w:rPr>
              <w:fldChar w:fldCharType="begin"/>
            </w:r>
            <w:r w:rsidR="00520E48">
              <w:rPr>
                <w:noProof/>
                <w:webHidden/>
              </w:rPr>
              <w:instrText xml:space="preserve"> PAGEREF _Toc122676176 \h </w:instrText>
            </w:r>
            <w:r w:rsidR="00520E48">
              <w:rPr>
                <w:noProof/>
                <w:webHidden/>
              </w:rPr>
            </w:r>
            <w:r w:rsidR="00520E48">
              <w:rPr>
                <w:noProof/>
                <w:webHidden/>
              </w:rPr>
              <w:fldChar w:fldCharType="separate"/>
            </w:r>
            <w:r w:rsidR="00520E48">
              <w:rPr>
                <w:noProof/>
                <w:webHidden/>
              </w:rPr>
              <w:t>6</w:t>
            </w:r>
            <w:r w:rsidR="00520E48">
              <w:rPr>
                <w:noProof/>
                <w:webHidden/>
              </w:rPr>
              <w:fldChar w:fldCharType="end"/>
            </w:r>
          </w:hyperlink>
        </w:p>
        <w:p w14:paraId="55955202" w14:textId="7DAA3720" w:rsidR="00520E48" w:rsidRDefault="004A5464">
          <w:pPr>
            <w:pStyle w:val="TOC2"/>
            <w:tabs>
              <w:tab w:val="left" w:pos="1276"/>
            </w:tabs>
            <w:rPr>
              <w:rFonts w:asciiTheme="minorHAnsi" w:eastAsiaTheme="minorEastAsia" w:hAnsiTheme="minorHAnsi" w:cstheme="minorBidi"/>
              <w:b w:val="0"/>
              <w:noProof/>
              <w:sz w:val="22"/>
              <w:szCs w:val="22"/>
              <w:lang w:eastAsia="en-AU"/>
            </w:rPr>
          </w:pPr>
          <w:hyperlink w:anchor="_Toc122676177" w:history="1">
            <w:r w:rsidR="00520E48" w:rsidRPr="00FC7890">
              <w:rPr>
                <w:rStyle w:val="Hyperlink"/>
                <w:noProof/>
              </w:rPr>
              <w:t>2.1</w:t>
            </w:r>
            <w:r w:rsidR="00520E48">
              <w:rPr>
                <w:rFonts w:asciiTheme="minorHAnsi" w:eastAsiaTheme="minorEastAsia" w:hAnsiTheme="minorHAnsi" w:cstheme="minorBidi"/>
                <w:b w:val="0"/>
                <w:noProof/>
                <w:sz w:val="22"/>
                <w:szCs w:val="22"/>
                <w:lang w:eastAsia="en-AU"/>
              </w:rPr>
              <w:tab/>
            </w:r>
            <w:r w:rsidR="00520E48" w:rsidRPr="00FC7890">
              <w:rPr>
                <w:rStyle w:val="Hyperlink"/>
                <w:noProof/>
              </w:rPr>
              <w:t>Celecoxib</w:t>
            </w:r>
            <w:r w:rsidR="00520E48">
              <w:rPr>
                <w:noProof/>
                <w:webHidden/>
              </w:rPr>
              <w:tab/>
            </w:r>
            <w:r w:rsidR="00520E48">
              <w:rPr>
                <w:noProof/>
                <w:webHidden/>
              </w:rPr>
              <w:fldChar w:fldCharType="begin"/>
            </w:r>
            <w:r w:rsidR="00520E48">
              <w:rPr>
                <w:noProof/>
                <w:webHidden/>
              </w:rPr>
              <w:instrText xml:space="preserve"> PAGEREF _Toc122676177 \h </w:instrText>
            </w:r>
            <w:r w:rsidR="00520E48">
              <w:rPr>
                <w:noProof/>
                <w:webHidden/>
              </w:rPr>
            </w:r>
            <w:r w:rsidR="00520E48">
              <w:rPr>
                <w:noProof/>
                <w:webHidden/>
              </w:rPr>
              <w:fldChar w:fldCharType="separate"/>
            </w:r>
            <w:r w:rsidR="00520E48">
              <w:rPr>
                <w:noProof/>
                <w:webHidden/>
              </w:rPr>
              <w:t>6</w:t>
            </w:r>
            <w:r w:rsidR="00520E48">
              <w:rPr>
                <w:noProof/>
                <w:webHidden/>
              </w:rPr>
              <w:fldChar w:fldCharType="end"/>
            </w:r>
          </w:hyperlink>
        </w:p>
        <w:p w14:paraId="5C780282" w14:textId="07A8B75F" w:rsidR="00520E48" w:rsidRDefault="004A5464">
          <w:pPr>
            <w:pStyle w:val="TOC3"/>
            <w:rPr>
              <w:rFonts w:asciiTheme="minorHAnsi" w:eastAsiaTheme="minorEastAsia" w:hAnsiTheme="minorHAnsi" w:cstheme="minorBidi"/>
              <w:b w:val="0"/>
              <w:noProof/>
              <w:szCs w:val="22"/>
              <w:lang w:eastAsia="en-AU"/>
            </w:rPr>
          </w:pPr>
          <w:hyperlink w:anchor="_Toc122676178" w:history="1">
            <w:r w:rsidR="00520E48" w:rsidRPr="00FC7890">
              <w:rPr>
                <w:rStyle w:val="Hyperlink"/>
                <w:noProof/>
              </w:rPr>
              <w:t>Proposal</w:t>
            </w:r>
            <w:r w:rsidR="00520E48">
              <w:rPr>
                <w:noProof/>
                <w:webHidden/>
              </w:rPr>
              <w:tab/>
            </w:r>
            <w:r w:rsidR="00520E48">
              <w:rPr>
                <w:noProof/>
                <w:webHidden/>
              </w:rPr>
              <w:fldChar w:fldCharType="begin"/>
            </w:r>
            <w:r w:rsidR="00520E48">
              <w:rPr>
                <w:noProof/>
                <w:webHidden/>
              </w:rPr>
              <w:instrText xml:space="preserve"> PAGEREF _Toc122676178 \h </w:instrText>
            </w:r>
            <w:r w:rsidR="00520E48">
              <w:rPr>
                <w:noProof/>
                <w:webHidden/>
              </w:rPr>
            </w:r>
            <w:r w:rsidR="00520E48">
              <w:rPr>
                <w:noProof/>
                <w:webHidden/>
              </w:rPr>
              <w:fldChar w:fldCharType="separate"/>
            </w:r>
            <w:r w:rsidR="00520E48">
              <w:rPr>
                <w:noProof/>
                <w:webHidden/>
              </w:rPr>
              <w:t>6</w:t>
            </w:r>
            <w:r w:rsidR="00520E48">
              <w:rPr>
                <w:noProof/>
                <w:webHidden/>
              </w:rPr>
              <w:fldChar w:fldCharType="end"/>
            </w:r>
          </w:hyperlink>
        </w:p>
        <w:p w14:paraId="03052D6A" w14:textId="4B5840E6" w:rsidR="00520E48" w:rsidRDefault="004A5464">
          <w:pPr>
            <w:pStyle w:val="TOC3"/>
            <w:rPr>
              <w:rFonts w:asciiTheme="minorHAnsi" w:eastAsiaTheme="minorEastAsia" w:hAnsiTheme="minorHAnsi" w:cstheme="minorBidi"/>
              <w:b w:val="0"/>
              <w:noProof/>
              <w:szCs w:val="22"/>
              <w:lang w:eastAsia="en-AU"/>
            </w:rPr>
          </w:pPr>
          <w:hyperlink w:anchor="_Toc122676179" w:history="1">
            <w:r w:rsidR="00520E48" w:rsidRPr="00FC7890">
              <w:rPr>
                <w:rStyle w:val="Hyperlink"/>
                <w:noProof/>
              </w:rPr>
              <w:t>CAS number</w:t>
            </w:r>
            <w:r w:rsidR="00520E48">
              <w:rPr>
                <w:noProof/>
                <w:webHidden/>
              </w:rPr>
              <w:tab/>
            </w:r>
            <w:r w:rsidR="00520E48">
              <w:rPr>
                <w:noProof/>
                <w:webHidden/>
              </w:rPr>
              <w:fldChar w:fldCharType="begin"/>
            </w:r>
            <w:r w:rsidR="00520E48">
              <w:rPr>
                <w:noProof/>
                <w:webHidden/>
              </w:rPr>
              <w:instrText xml:space="preserve"> PAGEREF _Toc122676179 \h </w:instrText>
            </w:r>
            <w:r w:rsidR="00520E48">
              <w:rPr>
                <w:noProof/>
                <w:webHidden/>
              </w:rPr>
            </w:r>
            <w:r w:rsidR="00520E48">
              <w:rPr>
                <w:noProof/>
                <w:webHidden/>
              </w:rPr>
              <w:fldChar w:fldCharType="separate"/>
            </w:r>
            <w:r w:rsidR="00520E48">
              <w:rPr>
                <w:noProof/>
                <w:webHidden/>
              </w:rPr>
              <w:t>6</w:t>
            </w:r>
            <w:r w:rsidR="00520E48">
              <w:rPr>
                <w:noProof/>
                <w:webHidden/>
              </w:rPr>
              <w:fldChar w:fldCharType="end"/>
            </w:r>
          </w:hyperlink>
        </w:p>
        <w:p w14:paraId="78ABFC78" w14:textId="7A80FAE5" w:rsidR="00520E48" w:rsidRDefault="004A5464">
          <w:pPr>
            <w:pStyle w:val="TOC3"/>
            <w:rPr>
              <w:rFonts w:asciiTheme="minorHAnsi" w:eastAsiaTheme="minorEastAsia" w:hAnsiTheme="minorHAnsi" w:cstheme="minorBidi"/>
              <w:b w:val="0"/>
              <w:noProof/>
              <w:szCs w:val="22"/>
              <w:lang w:eastAsia="en-AU"/>
            </w:rPr>
          </w:pPr>
          <w:hyperlink w:anchor="_Toc122676180" w:history="1">
            <w:r w:rsidR="00520E48" w:rsidRPr="00FC7890">
              <w:rPr>
                <w:rStyle w:val="Hyperlink"/>
                <w:noProof/>
              </w:rPr>
              <w:t>Alternative names</w:t>
            </w:r>
            <w:r w:rsidR="00520E48">
              <w:rPr>
                <w:noProof/>
                <w:webHidden/>
              </w:rPr>
              <w:tab/>
            </w:r>
            <w:r w:rsidR="00520E48">
              <w:rPr>
                <w:noProof/>
                <w:webHidden/>
              </w:rPr>
              <w:fldChar w:fldCharType="begin"/>
            </w:r>
            <w:r w:rsidR="00520E48">
              <w:rPr>
                <w:noProof/>
                <w:webHidden/>
              </w:rPr>
              <w:instrText xml:space="preserve"> PAGEREF _Toc122676180 \h </w:instrText>
            </w:r>
            <w:r w:rsidR="00520E48">
              <w:rPr>
                <w:noProof/>
                <w:webHidden/>
              </w:rPr>
            </w:r>
            <w:r w:rsidR="00520E48">
              <w:rPr>
                <w:noProof/>
                <w:webHidden/>
              </w:rPr>
              <w:fldChar w:fldCharType="separate"/>
            </w:r>
            <w:r w:rsidR="00520E48">
              <w:rPr>
                <w:noProof/>
                <w:webHidden/>
              </w:rPr>
              <w:t>6</w:t>
            </w:r>
            <w:r w:rsidR="00520E48">
              <w:rPr>
                <w:noProof/>
                <w:webHidden/>
              </w:rPr>
              <w:fldChar w:fldCharType="end"/>
            </w:r>
          </w:hyperlink>
        </w:p>
        <w:p w14:paraId="790173F0" w14:textId="790F38ED" w:rsidR="00520E48" w:rsidRDefault="004A5464">
          <w:pPr>
            <w:pStyle w:val="TOC3"/>
            <w:rPr>
              <w:rFonts w:asciiTheme="minorHAnsi" w:eastAsiaTheme="minorEastAsia" w:hAnsiTheme="minorHAnsi" w:cstheme="minorBidi"/>
              <w:b w:val="0"/>
              <w:noProof/>
              <w:szCs w:val="22"/>
              <w:lang w:eastAsia="en-AU"/>
            </w:rPr>
          </w:pPr>
          <w:hyperlink w:anchor="_Toc122676181" w:history="1">
            <w:r w:rsidR="00520E48" w:rsidRPr="00FC7890">
              <w:rPr>
                <w:rStyle w:val="Hyperlink"/>
                <w:noProof/>
              </w:rPr>
              <w:t>Applicant</w:t>
            </w:r>
            <w:r w:rsidR="00520E48">
              <w:rPr>
                <w:noProof/>
                <w:webHidden/>
              </w:rPr>
              <w:tab/>
            </w:r>
            <w:r w:rsidR="00520E48">
              <w:rPr>
                <w:noProof/>
                <w:webHidden/>
              </w:rPr>
              <w:fldChar w:fldCharType="begin"/>
            </w:r>
            <w:r w:rsidR="00520E48">
              <w:rPr>
                <w:noProof/>
                <w:webHidden/>
              </w:rPr>
              <w:instrText xml:space="preserve"> PAGEREF _Toc122676181 \h </w:instrText>
            </w:r>
            <w:r w:rsidR="00520E48">
              <w:rPr>
                <w:noProof/>
                <w:webHidden/>
              </w:rPr>
            </w:r>
            <w:r w:rsidR="00520E48">
              <w:rPr>
                <w:noProof/>
                <w:webHidden/>
              </w:rPr>
              <w:fldChar w:fldCharType="separate"/>
            </w:r>
            <w:r w:rsidR="00520E48">
              <w:rPr>
                <w:noProof/>
                <w:webHidden/>
              </w:rPr>
              <w:t>6</w:t>
            </w:r>
            <w:r w:rsidR="00520E48">
              <w:rPr>
                <w:noProof/>
                <w:webHidden/>
              </w:rPr>
              <w:fldChar w:fldCharType="end"/>
            </w:r>
          </w:hyperlink>
        </w:p>
        <w:p w14:paraId="47C9C821" w14:textId="6CD4E95C" w:rsidR="00520E48" w:rsidRDefault="004A5464">
          <w:pPr>
            <w:pStyle w:val="TOC3"/>
            <w:rPr>
              <w:rFonts w:asciiTheme="minorHAnsi" w:eastAsiaTheme="minorEastAsia" w:hAnsiTheme="minorHAnsi" w:cstheme="minorBidi"/>
              <w:b w:val="0"/>
              <w:noProof/>
              <w:szCs w:val="22"/>
              <w:lang w:eastAsia="en-AU"/>
            </w:rPr>
          </w:pPr>
          <w:hyperlink w:anchor="_Toc122676182" w:history="1">
            <w:r w:rsidR="00520E48" w:rsidRPr="00FC7890">
              <w:rPr>
                <w:rStyle w:val="Hyperlink"/>
                <w:noProof/>
              </w:rPr>
              <w:t>Proposed scheduling</w:t>
            </w:r>
            <w:r w:rsidR="00520E48">
              <w:rPr>
                <w:noProof/>
                <w:webHidden/>
              </w:rPr>
              <w:tab/>
            </w:r>
            <w:r w:rsidR="00520E48">
              <w:rPr>
                <w:noProof/>
                <w:webHidden/>
              </w:rPr>
              <w:fldChar w:fldCharType="begin"/>
            </w:r>
            <w:r w:rsidR="00520E48">
              <w:rPr>
                <w:noProof/>
                <w:webHidden/>
              </w:rPr>
              <w:instrText xml:space="preserve"> PAGEREF _Toc122676182 \h </w:instrText>
            </w:r>
            <w:r w:rsidR="00520E48">
              <w:rPr>
                <w:noProof/>
                <w:webHidden/>
              </w:rPr>
            </w:r>
            <w:r w:rsidR="00520E48">
              <w:rPr>
                <w:noProof/>
                <w:webHidden/>
              </w:rPr>
              <w:fldChar w:fldCharType="separate"/>
            </w:r>
            <w:r w:rsidR="00520E48">
              <w:rPr>
                <w:noProof/>
                <w:webHidden/>
              </w:rPr>
              <w:t>6</w:t>
            </w:r>
            <w:r w:rsidR="00520E48">
              <w:rPr>
                <w:noProof/>
                <w:webHidden/>
              </w:rPr>
              <w:fldChar w:fldCharType="end"/>
            </w:r>
          </w:hyperlink>
        </w:p>
        <w:p w14:paraId="230F8344" w14:textId="1134C8AE" w:rsidR="00520E48" w:rsidRDefault="004A5464">
          <w:pPr>
            <w:pStyle w:val="TOC3"/>
            <w:rPr>
              <w:rFonts w:asciiTheme="minorHAnsi" w:eastAsiaTheme="minorEastAsia" w:hAnsiTheme="minorHAnsi" w:cstheme="minorBidi"/>
              <w:b w:val="0"/>
              <w:noProof/>
              <w:szCs w:val="22"/>
              <w:lang w:eastAsia="en-AU"/>
            </w:rPr>
          </w:pPr>
          <w:hyperlink w:anchor="_Toc122676183" w:history="1">
            <w:r w:rsidR="00520E48" w:rsidRPr="00FC7890">
              <w:rPr>
                <w:rStyle w:val="Hyperlink"/>
                <w:noProof/>
              </w:rPr>
              <w:t>Background</w:t>
            </w:r>
            <w:r w:rsidR="00520E48">
              <w:rPr>
                <w:noProof/>
                <w:webHidden/>
              </w:rPr>
              <w:tab/>
            </w:r>
            <w:r w:rsidR="00520E48">
              <w:rPr>
                <w:noProof/>
                <w:webHidden/>
              </w:rPr>
              <w:fldChar w:fldCharType="begin"/>
            </w:r>
            <w:r w:rsidR="00520E48">
              <w:rPr>
                <w:noProof/>
                <w:webHidden/>
              </w:rPr>
              <w:instrText xml:space="preserve"> PAGEREF _Toc122676183 \h </w:instrText>
            </w:r>
            <w:r w:rsidR="00520E48">
              <w:rPr>
                <w:noProof/>
                <w:webHidden/>
              </w:rPr>
            </w:r>
            <w:r w:rsidR="00520E48">
              <w:rPr>
                <w:noProof/>
                <w:webHidden/>
              </w:rPr>
              <w:fldChar w:fldCharType="separate"/>
            </w:r>
            <w:r w:rsidR="00520E48">
              <w:rPr>
                <w:noProof/>
                <w:webHidden/>
              </w:rPr>
              <w:t>7</w:t>
            </w:r>
            <w:r w:rsidR="00520E48">
              <w:rPr>
                <w:noProof/>
                <w:webHidden/>
              </w:rPr>
              <w:fldChar w:fldCharType="end"/>
            </w:r>
          </w:hyperlink>
        </w:p>
        <w:p w14:paraId="252B830C" w14:textId="1BCEC331" w:rsidR="00520E48" w:rsidRDefault="004A5464">
          <w:pPr>
            <w:pStyle w:val="TOC3"/>
            <w:rPr>
              <w:rFonts w:asciiTheme="minorHAnsi" w:eastAsiaTheme="minorEastAsia" w:hAnsiTheme="minorHAnsi" w:cstheme="minorBidi"/>
              <w:b w:val="0"/>
              <w:noProof/>
              <w:szCs w:val="22"/>
              <w:lang w:eastAsia="en-AU"/>
            </w:rPr>
          </w:pPr>
          <w:hyperlink w:anchor="_Toc122676184" w:history="1">
            <w:r w:rsidR="00520E48" w:rsidRPr="00FC7890">
              <w:rPr>
                <w:rStyle w:val="Hyperlink"/>
                <w:noProof/>
              </w:rPr>
              <w:t>Summary of applicant’s reasons for the proposal</w:t>
            </w:r>
            <w:r w:rsidR="00520E48">
              <w:rPr>
                <w:noProof/>
                <w:webHidden/>
              </w:rPr>
              <w:tab/>
            </w:r>
            <w:r w:rsidR="00520E48">
              <w:rPr>
                <w:noProof/>
                <w:webHidden/>
              </w:rPr>
              <w:fldChar w:fldCharType="begin"/>
            </w:r>
            <w:r w:rsidR="00520E48">
              <w:rPr>
                <w:noProof/>
                <w:webHidden/>
              </w:rPr>
              <w:instrText xml:space="preserve"> PAGEREF _Toc122676184 \h </w:instrText>
            </w:r>
            <w:r w:rsidR="00520E48">
              <w:rPr>
                <w:noProof/>
                <w:webHidden/>
              </w:rPr>
            </w:r>
            <w:r w:rsidR="00520E48">
              <w:rPr>
                <w:noProof/>
                <w:webHidden/>
              </w:rPr>
              <w:fldChar w:fldCharType="separate"/>
            </w:r>
            <w:r w:rsidR="00520E48">
              <w:rPr>
                <w:noProof/>
                <w:webHidden/>
              </w:rPr>
              <w:t>7</w:t>
            </w:r>
            <w:r w:rsidR="00520E48">
              <w:rPr>
                <w:noProof/>
                <w:webHidden/>
              </w:rPr>
              <w:fldChar w:fldCharType="end"/>
            </w:r>
          </w:hyperlink>
        </w:p>
        <w:p w14:paraId="114F37CF" w14:textId="4683644F" w:rsidR="00520E48" w:rsidRDefault="004A5464">
          <w:pPr>
            <w:pStyle w:val="TOC3"/>
            <w:rPr>
              <w:rFonts w:asciiTheme="minorHAnsi" w:eastAsiaTheme="minorEastAsia" w:hAnsiTheme="minorHAnsi" w:cstheme="minorBidi"/>
              <w:b w:val="0"/>
              <w:noProof/>
              <w:szCs w:val="22"/>
              <w:lang w:eastAsia="en-AU"/>
            </w:rPr>
          </w:pPr>
          <w:hyperlink w:anchor="_Toc122676185" w:history="1">
            <w:r w:rsidR="00520E48" w:rsidRPr="00FC7890">
              <w:rPr>
                <w:rStyle w:val="Hyperlink"/>
                <w:noProof/>
              </w:rPr>
              <w:t>Key uses / expected use</w:t>
            </w:r>
            <w:r w:rsidR="00520E48">
              <w:rPr>
                <w:noProof/>
                <w:webHidden/>
              </w:rPr>
              <w:tab/>
            </w:r>
            <w:r w:rsidR="00520E48">
              <w:rPr>
                <w:noProof/>
                <w:webHidden/>
              </w:rPr>
              <w:fldChar w:fldCharType="begin"/>
            </w:r>
            <w:r w:rsidR="00520E48">
              <w:rPr>
                <w:noProof/>
                <w:webHidden/>
              </w:rPr>
              <w:instrText xml:space="preserve"> PAGEREF _Toc122676185 \h </w:instrText>
            </w:r>
            <w:r w:rsidR="00520E48">
              <w:rPr>
                <w:noProof/>
                <w:webHidden/>
              </w:rPr>
            </w:r>
            <w:r w:rsidR="00520E48">
              <w:rPr>
                <w:noProof/>
                <w:webHidden/>
              </w:rPr>
              <w:fldChar w:fldCharType="separate"/>
            </w:r>
            <w:r w:rsidR="00520E48">
              <w:rPr>
                <w:noProof/>
                <w:webHidden/>
              </w:rPr>
              <w:t>7</w:t>
            </w:r>
            <w:r w:rsidR="00520E48">
              <w:rPr>
                <w:noProof/>
                <w:webHidden/>
              </w:rPr>
              <w:fldChar w:fldCharType="end"/>
            </w:r>
          </w:hyperlink>
        </w:p>
        <w:p w14:paraId="271CA883" w14:textId="6FFFEB12" w:rsidR="00520E48" w:rsidRDefault="004A5464">
          <w:pPr>
            <w:pStyle w:val="TOC3"/>
            <w:rPr>
              <w:rFonts w:asciiTheme="minorHAnsi" w:eastAsiaTheme="minorEastAsia" w:hAnsiTheme="minorHAnsi" w:cstheme="minorBidi"/>
              <w:b w:val="0"/>
              <w:noProof/>
              <w:szCs w:val="22"/>
              <w:lang w:eastAsia="en-AU"/>
            </w:rPr>
          </w:pPr>
          <w:hyperlink w:anchor="_Toc122676186" w:history="1">
            <w:r w:rsidR="00520E48" w:rsidRPr="00FC7890">
              <w:rPr>
                <w:rStyle w:val="Hyperlink"/>
                <w:noProof/>
              </w:rPr>
              <w:t>Australian regulations</w:t>
            </w:r>
            <w:r w:rsidR="00520E48">
              <w:rPr>
                <w:noProof/>
                <w:webHidden/>
              </w:rPr>
              <w:tab/>
            </w:r>
            <w:r w:rsidR="00520E48">
              <w:rPr>
                <w:noProof/>
                <w:webHidden/>
              </w:rPr>
              <w:fldChar w:fldCharType="begin"/>
            </w:r>
            <w:r w:rsidR="00520E48">
              <w:rPr>
                <w:noProof/>
                <w:webHidden/>
              </w:rPr>
              <w:instrText xml:space="preserve"> PAGEREF _Toc122676186 \h </w:instrText>
            </w:r>
            <w:r w:rsidR="00520E48">
              <w:rPr>
                <w:noProof/>
                <w:webHidden/>
              </w:rPr>
            </w:r>
            <w:r w:rsidR="00520E48">
              <w:rPr>
                <w:noProof/>
                <w:webHidden/>
              </w:rPr>
              <w:fldChar w:fldCharType="separate"/>
            </w:r>
            <w:r w:rsidR="00520E48">
              <w:rPr>
                <w:noProof/>
                <w:webHidden/>
              </w:rPr>
              <w:t>7</w:t>
            </w:r>
            <w:r w:rsidR="00520E48">
              <w:rPr>
                <w:noProof/>
                <w:webHidden/>
              </w:rPr>
              <w:fldChar w:fldCharType="end"/>
            </w:r>
          </w:hyperlink>
        </w:p>
        <w:p w14:paraId="117978CB" w14:textId="0D113307" w:rsidR="00520E48" w:rsidRDefault="004A5464">
          <w:pPr>
            <w:pStyle w:val="TOC3"/>
            <w:rPr>
              <w:rFonts w:asciiTheme="minorHAnsi" w:eastAsiaTheme="minorEastAsia" w:hAnsiTheme="minorHAnsi" w:cstheme="minorBidi"/>
              <w:b w:val="0"/>
              <w:noProof/>
              <w:szCs w:val="22"/>
              <w:lang w:eastAsia="en-AU"/>
            </w:rPr>
          </w:pPr>
          <w:hyperlink w:anchor="_Toc122676187" w:history="1">
            <w:r w:rsidR="00520E48" w:rsidRPr="00FC7890">
              <w:rPr>
                <w:rStyle w:val="Hyperlink"/>
                <w:noProof/>
              </w:rPr>
              <w:t>International regulations</w:t>
            </w:r>
            <w:r w:rsidR="00520E48">
              <w:rPr>
                <w:noProof/>
                <w:webHidden/>
              </w:rPr>
              <w:tab/>
            </w:r>
            <w:r w:rsidR="00520E48">
              <w:rPr>
                <w:noProof/>
                <w:webHidden/>
              </w:rPr>
              <w:fldChar w:fldCharType="begin"/>
            </w:r>
            <w:r w:rsidR="00520E48">
              <w:rPr>
                <w:noProof/>
                <w:webHidden/>
              </w:rPr>
              <w:instrText xml:space="preserve"> PAGEREF _Toc122676187 \h </w:instrText>
            </w:r>
            <w:r w:rsidR="00520E48">
              <w:rPr>
                <w:noProof/>
                <w:webHidden/>
              </w:rPr>
            </w:r>
            <w:r w:rsidR="00520E48">
              <w:rPr>
                <w:noProof/>
                <w:webHidden/>
              </w:rPr>
              <w:fldChar w:fldCharType="separate"/>
            </w:r>
            <w:r w:rsidR="00520E48">
              <w:rPr>
                <w:noProof/>
                <w:webHidden/>
              </w:rPr>
              <w:t>9</w:t>
            </w:r>
            <w:r w:rsidR="00520E48">
              <w:rPr>
                <w:noProof/>
                <w:webHidden/>
              </w:rPr>
              <w:fldChar w:fldCharType="end"/>
            </w:r>
          </w:hyperlink>
        </w:p>
        <w:p w14:paraId="7C1BB6FE" w14:textId="71E6434C" w:rsidR="00520E48" w:rsidRDefault="004A5464">
          <w:pPr>
            <w:pStyle w:val="TOC1"/>
            <w:tabs>
              <w:tab w:val="left" w:pos="425"/>
            </w:tabs>
            <w:rPr>
              <w:rFonts w:asciiTheme="minorHAnsi" w:eastAsiaTheme="minorEastAsia" w:hAnsiTheme="minorHAnsi" w:cstheme="minorBidi"/>
              <w:b w:val="0"/>
              <w:noProof/>
              <w:sz w:val="22"/>
              <w:szCs w:val="22"/>
              <w:lang w:eastAsia="en-AU"/>
            </w:rPr>
          </w:pPr>
          <w:hyperlink w:anchor="_Toc122676188" w:history="1">
            <w:r w:rsidR="00520E48" w:rsidRPr="00FC7890">
              <w:rPr>
                <w:rStyle w:val="Hyperlink"/>
                <w:noProof/>
              </w:rPr>
              <w:t>3</w:t>
            </w:r>
            <w:r w:rsidR="00520E48">
              <w:rPr>
                <w:rFonts w:asciiTheme="minorHAnsi" w:eastAsiaTheme="minorEastAsia" w:hAnsiTheme="minorHAnsi" w:cstheme="minorBidi"/>
                <w:b w:val="0"/>
                <w:noProof/>
                <w:sz w:val="22"/>
                <w:szCs w:val="22"/>
                <w:lang w:eastAsia="en-AU"/>
              </w:rPr>
              <w:tab/>
            </w:r>
            <w:r w:rsidR="00520E48" w:rsidRPr="00FC7890">
              <w:rPr>
                <w:rStyle w:val="Hyperlink"/>
                <w:noProof/>
              </w:rPr>
              <w:t xml:space="preserve">Proposed amendments referred for scheduling advice to the Joint </w:t>
            </w:r>
            <w:r w:rsidR="003B3CD7">
              <w:rPr>
                <w:rStyle w:val="Hyperlink"/>
                <w:noProof/>
              </w:rPr>
              <w:t xml:space="preserve">ACMS-ACCS </w:t>
            </w:r>
            <w:r w:rsidR="00520E48" w:rsidRPr="00FC7890">
              <w:rPr>
                <w:rStyle w:val="Hyperlink"/>
                <w:noProof/>
              </w:rPr>
              <w:t>meeting #33</w:t>
            </w:r>
            <w:r w:rsidR="00520E48">
              <w:rPr>
                <w:noProof/>
                <w:webHidden/>
              </w:rPr>
              <w:tab/>
            </w:r>
            <w:r w:rsidR="00520E48">
              <w:rPr>
                <w:noProof/>
                <w:webHidden/>
              </w:rPr>
              <w:fldChar w:fldCharType="begin"/>
            </w:r>
            <w:r w:rsidR="00520E48">
              <w:rPr>
                <w:noProof/>
                <w:webHidden/>
              </w:rPr>
              <w:instrText xml:space="preserve"> PAGEREF _Toc122676188 \h </w:instrText>
            </w:r>
            <w:r w:rsidR="00520E48">
              <w:rPr>
                <w:noProof/>
                <w:webHidden/>
              </w:rPr>
            </w:r>
            <w:r w:rsidR="00520E48">
              <w:rPr>
                <w:noProof/>
                <w:webHidden/>
              </w:rPr>
              <w:fldChar w:fldCharType="separate"/>
            </w:r>
            <w:r w:rsidR="00520E48">
              <w:rPr>
                <w:noProof/>
                <w:webHidden/>
              </w:rPr>
              <w:t>10</w:t>
            </w:r>
            <w:r w:rsidR="00520E48">
              <w:rPr>
                <w:noProof/>
                <w:webHidden/>
              </w:rPr>
              <w:fldChar w:fldCharType="end"/>
            </w:r>
          </w:hyperlink>
        </w:p>
        <w:p w14:paraId="4E4837C4" w14:textId="18D46F9E" w:rsidR="00520E48" w:rsidRDefault="004A5464">
          <w:pPr>
            <w:pStyle w:val="TOC2"/>
            <w:tabs>
              <w:tab w:val="left" w:pos="1276"/>
            </w:tabs>
            <w:rPr>
              <w:rFonts w:asciiTheme="minorHAnsi" w:eastAsiaTheme="minorEastAsia" w:hAnsiTheme="minorHAnsi" w:cstheme="minorBidi"/>
              <w:b w:val="0"/>
              <w:noProof/>
              <w:sz w:val="22"/>
              <w:szCs w:val="22"/>
              <w:lang w:eastAsia="en-AU"/>
            </w:rPr>
          </w:pPr>
          <w:hyperlink w:anchor="_Toc122676189" w:history="1">
            <w:r w:rsidR="00520E48" w:rsidRPr="00FC7890">
              <w:rPr>
                <w:rStyle w:val="Hyperlink"/>
                <w:noProof/>
              </w:rPr>
              <w:t>3.1</w:t>
            </w:r>
            <w:r w:rsidR="00520E48">
              <w:rPr>
                <w:rFonts w:asciiTheme="minorHAnsi" w:eastAsiaTheme="minorEastAsia" w:hAnsiTheme="minorHAnsi" w:cstheme="minorBidi"/>
                <w:b w:val="0"/>
                <w:noProof/>
                <w:sz w:val="22"/>
                <w:szCs w:val="22"/>
                <w:lang w:eastAsia="en-AU"/>
              </w:rPr>
              <w:tab/>
            </w:r>
            <w:r w:rsidR="00520E48" w:rsidRPr="00FC7890">
              <w:rPr>
                <w:rStyle w:val="Hyperlink"/>
                <w:noProof/>
              </w:rPr>
              <w:t>Azelaic acid</w:t>
            </w:r>
            <w:r w:rsidR="00520E48">
              <w:rPr>
                <w:noProof/>
                <w:webHidden/>
              </w:rPr>
              <w:tab/>
            </w:r>
            <w:r w:rsidR="00520E48">
              <w:rPr>
                <w:noProof/>
                <w:webHidden/>
              </w:rPr>
              <w:fldChar w:fldCharType="begin"/>
            </w:r>
            <w:r w:rsidR="00520E48">
              <w:rPr>
                <w:noProof/>
                <w:webHidden/>
              </w:rPr>
              <w:instrText xml:space="preserve"> PAGEREF _Toc122676189 \h </w:instrText>
            </w:r>
            <w:r w:rsidR="00520E48">
              <w:rPr>
                <w:noProof/>
                <w:webHidden/>
              </w:rPr>
            </w:r>
            <w:r w:rsidR="00520E48">
              <w:rPr>
                <w:noProof/>
                <w:webHidden/>
              </w:rPr>
              <w:fldChar w:fldCharType="separate"/>
            </w:r>
            <w:r w:rsidR="00520E48">
              <w:rPr>
                <w:noProof/>
                <w:webHidden/>
              </w:rPr>
              <w:t>10</w:t>
            </w:r>
            <w:r w:rsidR="00520E48">
              <w:rPr>
                <w:noProof/>
                <w:webHidden/>
              </w:rPr>
              <w:fldChar w:fldCharType="end"/>
            </w:r>
          </w:hyperlink>
        </w:p>
        <w:p w14:paraId="43904008" w14:textId="5B835A41" w:rsidR="00520E48" w:rsidRDefault="004A5464">
          <w:pPr>
            <w:pStyle w:val="TOC3"/>
            <w:rPr>
              <w:rFonts w:asciiTheme="minorHAnsi" w:eastAsiaTheme="minorEastAsia" w:hAnsiTheme="minorHAnsi" w:cstheme="minorBidi"/>
              <w:b w:val="0"/>
              <w:noProof/>
              <w:szCs w:val="22"/>
              <w:lang w:eastAsia="en-AU"/>
            </w:rPr>
          </w:pPr>
          <w:hyperlink w:anchor="_Toc122676190" w:history="1">
            <w:r w:rsidR="00520E48" w:rsidRPr="00FC7890">
              <w:rPr>
                <w:rStyle w:val="Hyperlink"/>
                <w:noProof/>
              </w:rPr>
              <w:t>Proposal</w:t>
            </w:r>
            <w:r w:rsidR="00520E48">
              <w:rPr>
                <w:noProof/>
                <w:webHidden/>
              </w:rPr>
              <w:tab/>
            </w:r>
            <w:r w:rsidR="00520E48">
              <w:rPr>
                <w:noProof/>
                <w:webHidden/>
              </w:rPr>
              <w:fldChar w:fldCharType="begin"/>
            </w:r>
            <w:r w:rsidR="00520E48">
              <w:rPr>
                <w:noProof/>
                <w:webHidden/>
              </w:rPr>
              <w:instrText xml:space="preserve"> PAGEREF _Toc122676190 \h </w:instrText>
            </w:r>
            <w:r w:rsidR="00520E48">
              <w:rPr>
                <w:noProof/>
                <w:webHidden/>
              </w:rPr>
            </w:r>
            <w:r w:rsidR="00520E48">
              <w:rPr>
                <w:noProof/>
                <w:webHidden/>
              </w:rPr>
              <w:fldChar w:fldCharType="separate"/>
            </w:r>
            <w:r w:rsidR="00520E48">
              <w:rPr>
                <w:noProof/>
                <w:webHidden/>
              </w:rPr>
              <w:t>10</w:t>
            </w:r>
            <w:r w:rsidR="00520E48">
              <w:rPr>
                <w:noProof/>
                <w:webHidden/>
              </w:rPr>
              <w:fldChar w:fldCharType="end"/>
            </w:r>
          </w:hyperlink>
        </w:p>
        <w:p w14:paraId="0FF546FB" w14:textId="16E7B294" w:rsidR="00520E48" w:rsidRDefault="004A5464">
          <w:pPr>
            <w:pStyle w:val="TOC3"/>
            <w:rPr>
              <w:rFonts w:asciiTheme="minorHAnsi" w:eastAsiaTheme="minorEastAsia" w:hAnsiTheme="minorHAnsi" w:cstheme="minorBidi"/>
              <w:b w:val="0"/>
              <w:noProof/>
              <w:szCs w:val="22"/>
              <w:lang w:eastAsia="en-AU"/>
            </w:rPr>
          </w:pPr>
          <w:hyperlink w:anchor="_Toc122676191" w:history="1">
            <w:r w:rsidR="00520E48" w:rsidRPr="00FC7890">
              <w:rPr>
                <w:rStyle w:val="Hyperlink"/>
                <w:noProof/>
              </w:rPr>
              <w:t>CAS Number:</w:t>
            </w:r>
            <w:r w:rsidR="00520E48">
              <w:rPr>
                <w:noProof/>
                <w:webHidden/>
              </w:rPr>
              <w:tab/>
            </w:r>
            <w:r w:rsidR="00520E48">
              <w:rPr>
                <w:noProof/>
                <w:webHidden/>
              </w:rPr>
              <w:fldChar w:fldCharType="begin"/>
            </w:r>
            <w:r w:rsidR="00520E48">
              <w:rPr>
                <w:noProof/>
                <w:webHidden/>
              </w:rPr>
              <w:instrText xml:space="preserve"> PAGEREF _Toc122676191 \h </w:instrText>
            </w:r>
            <w:r w:rsidR="00520E48">
              <w:rPr>
                <w:noProof/>
                <w:webHidden/>
              </w:rPr>
            </w:r>
            <w:r w:rsidR="00520E48">
              <w:rPr>
                <w:noProof/>
                <w:webHidden/>
              </w:rPr>
              <w:fldChar w:fldCharType="separate"/>
            </w:r>
            <w:r w:rsidR="00520E48">
              <w:rPr>
                <w:noProof/>
                <w:webHidden/>
              </w:rPr>
              <w:t>10</w:t>
            </w:r>
            <w:r w:rsidR="00520E48">
              <w:rPr>
                <w:noProof/>
                <w:webHidden/>
              </w:rPr>
              <w:fldChar w:fldCharType="end"/>
            </w:r>
          </w:hyperlink>
        </w:p>
        <w:p w14:paraId="4FB0B704" w14:textId="6FE6F0F5" w:rsidR="00520E48" w:rsidRDefault="004A5464">
          <w:pPr>
            <w:pStyle w:val="TOC3"/>
            <w:rPr>
              <w:rFonts w:asciiTheme="minorHAnsi" w:eastAsiaTheme="minorEastAsia" w:hAnsiTheme="minorHAnsi" w:cstheme="minorBidi"/>
              <w:b w:val="0"/>
              <w:noProof/>
              <w:szCs w:val="22"/>
              <w:lang w:eastAsia="en-AU"/>
            </w:rPr>
          </w:pPr>
          <w:hyperlink w:anchor="_Toc122676192" w:history="1">
            <w:r w:rsidR="00520E48" w:rsidRPr="00FC7890">
              <w:rPr>
                <w:rStyle w:val="Hyperlink"/>
                <w:noProof/>
              </w:rPr>
              <w:t>Alternative names</w:t>
            </w:r>
            <w:r w:rsidR="00520E48">
              <w:rPr>
                <w:noProof/>
                <w:webHidden/>
              </w:rPr>
              <w:tab/>
            </w:r>
            <w:r w:rsidR="00520E48">
              <w:rPr>
                <w:noProof/>
                <w:webHidden/>
              </w:rPr>
              <w:fldChar w:fldCharType="begin"/>
            </w:r>
            <w:r w:rsidR="00520E48">
              <w:rPr>
                <w:noProof/>
                <w:webHidden/>
              </w:rPr>
              <w:instrText xml:space="preserve"> PAGEREF _Toc122676192 \h </w:instrText>
            </w:r>
            <w:r w:rsidR="00520E48">
              <w:rPr>
                <w:noProof/>
                <w:webHidden/>
              </w:rPr>
            </w:r>
            <w:r w:rsidR="00520E48">
              <w:rPr>
                <w:noProof/>
                <w:webHidden/>
              </w:rPr>
              <w:fldChar w:fldCharType="separate"/>
            </w:r>
            <w:r w:rsidR="00520E48">
              <w:rPr>
                <w:noProof/>
                <w:webHidden/>
              </w:rPr>
              <w:t>10</w:t>
            </w:r>
            <w:r w:rsidR="00520E48">
              <w:rPr>
                <w:noProof/>
                <w:webHidden/>
              </w:rPr>
              <w:fldChar w:fldCharType="end"/>
            </w:r>
          </w:hyperlink>
        </w:p>
        <w:p w14:paraId="4969F842" w14:textId="76349FFA" w:rsidR="00520E48" w:rsidRDefault="004A5464">
          <w:pPr>
            <w:pStyle w:val="TOC3"/>
            <w:rPr>
              <w:rFonts w:asciiTheme="minorHAnsi" w:eastAsiaTheme="minorEastAsia" w:hAnsiTheme="minorHAnsi" w:cstheme="minorBidi"/>
              <w:b w:val="0"/>
              <w:noProof/>
              <w:szCs w:val="22"/>
              <w:lang w:eastAsia="en-AU"/>
            </w:rPr>
          </w:pPr>
          <w:hyperlink w:anchor="_Toc122676193" w:history="1">
            <w:r w:rsidR="00520E48" w:rsidRPr="00FC7890">
              <w:rPr>
                <w:rStyle w:val="Hyperlink"/>
                <w:noProof/>
              </w:rPr>
              <w:t>Applicant</w:t>
            </w:r>
            <w:r w:rsidR="00520E48">
              <w:rPr>
                <w:noProof/>
                <w:webHidden/>
              </w:rPr>
              <w:tab/>
            </w:r>
            <w:r w:rsidR="00520E48">
              <w:rPr>
                <w:noProof/>
                <w:webHidden/>
              </w:rPr>
              <w:fldChar w:fldCharType="begin"/>
            </w:r>
            <w:r w:rsidR="00520E48">
              <w:rPr>
                <w:noProof/>
                <w:webHidden/>
              </w:rPr>
              <w:instrText xml:space="preserve"> PAGEREF _Toc122676193 \h </w:instrText>
            </w:r>
            <w:r w:rsidR="00520E48">
              <w:rPr>
                <w:noProof/>
                <w:webHidden/>
              </w:rPr>
            </w:r>
            <w:r w:rsidR="00520E48">
              <w:rPr>
                <w:noProof/>
                <w:webHidden/>
              </w:rPr>
              <w:fldChar w:fldCharType="separate"/>
            </w:r>
            <w:r w:rsidR="00520E48">
              <w:rPr>
                <w:noProof/>
                <w:webHidden/>
              </w:rPr>
              <w:t>10</w:t>
            </w:r>
            <w:r w:rsidR="00520E48">
              <w:rPr>
                <w:noProof/>
                <w:webHidden/>
              </w:rPr>
              <w:fldChar w:fldCharType="end"/>
            </w:r>
          </w:hyperlink>
        </w:p>
        <w:p w14:paraId="0165D3B9" w14:textId="40DE76C5" w:rsidR="00520E48" w:rsidRDefault="004A5464">
          <w:pPr>
            <w:pStyle w:val="TOC3"/>
            <w:rPr>
              <w:rFonts w:asciiTheme="minorHAnsi" w:eastAsiaTheme="minorEastAsia" w:hAnsiTheme="minorHAnsi" w:cstheme="minorBidi"/>
              <w:b w:val="0"/>
              <w:noProof/>
              <w:szCs w:val="22"/>
              <w:lang w:eastAsia="en-AU"/>
            </w:rPr>
          </w:pPr>
          <w:hyperlink w:anchor="_Toc122676194" w:history="1">
            <w:r w:rsidR="00520E48" w:rsidRPr="00FC7890">
              <w:rPr>
                <w:rStyle w:val="Hyperlink"/>
                <w:noProof/>
              </w:rPr>
              <w:t>Proposed scheduling</w:t>
            </w:r>
            <w:r w:rsidR="00520E48">
              <w:rPr>
                <w:noProof/>
                <w:webHidden/>
              </w:rPr>
              <w:tab/>
            </w:r>
            <w:r w:rsidR="00520E48">
              <w:rPr>
                <w:noProof/>
                <w:webHidden/>
              </w:rPr>
              <w:fldChar w:fldCharType="begin"/>
            </w:r>
            <w:r w:rsidR="00520E48">
              <w:rPr>
                <w:noProof/>
                <w:webHidden/>
              </w:rPr>
              <w:instrText xml:space="preserve"> PAGEREF _Toc122676194 \h </w:instrText>
            </w:r>
            <w:r w:rsidR="00520E48">
              <w:rPr>
                <w:noProof/>
                <w:webHidden/>
              </w:rPr>
            </w:r>
            <w:r w:rsidR="00520E48">
              <w:rPr>
                <w:noProof/>
                <w:webHidden/>
              </w:rPr>
              <w:fldChar w:fldCharType="separate"/>
            </w:r>
            <w:r w:rsidR="00520E48">
              <w:rPr>
                <w:noProof/>
                <w:webHidden/>
              </w:rPr>
              <w:t>10</w:t>
            </w:r>
            <w:r w:rsidR="00520E48">
              <w:rPr>
                <w:noProof/>
                <w:webHidden/>
              </w:rPr>
              <w:fldChar w:fldCharType="end"/>
            </w:r>
          </w:hyperlink>
        </w:p>
        <w:p w14:paraId="3A780838" w14:textId="2174036B" w:rsidR="00520E48" w:rsidRDefault="004A5464">
          <w:pPr>
            <w:pStyle w:val="TOC3"/>
            <w:rPr>
              <w:rFonts w:asciiTheme="minorHAnsi" w:eastAsiaTheme="minorEastAsia" w:hAnsiTheme="minorHAnsi" w:cstheme="minorBidi"/>
              <w:b w:val="0"/>
              <w:noProof/>
              <w:szCs w:val="22"/>
              <w:lang w:eastAsia="en-AU"/>
            </w:rPr>
          </w:pPr>
          <w:hyperlink w:anchor="_Toc122676195" w:history="1">
            <w:r w:rsidR="00520E48" w:rsidRPr="00FC7890">
              <w:rPr>
                <w:rStyle w:val="Hyperlink"/>
                <w:noProof/>
              </w:rPr>
              <w:t>Background</w:t>
            </w:r>
            <w:r w:rsidR="00520E48">
              <w:rPr>
                <w:noProof/>
                <w:webHidden/>
              </w:rPr>
              <w:tab/>
            </w:r>
            <w:r w:rsidR="00520E48">
              <w:rPr>
                <w:noProof/>
                <w:webHidden/>
              </w:rPr>
              <w:fldChar w:fldCharType="begin"/>
            </w:r>
            <w:r w:rsidR="00520E48">
              <w:rPr>
                <w:noProof/>
                <w:webHidden/>
              </w:rPr>
              <w:instrText xml:space="preserve"> PAGEREF _Toc122676195 \h </w:instrText>
            </w:r>
            <w:r w:rsidR="00520E48">
              <w:rPr>
                <w:noProof/>
                <w:webHidden/>
              </w:rPr>
            </w:r>
            <w:r w:rsidR="00520E48">
              <w:rPr>
                <w:noProof/>
                <w:webHidden/>
              </w:rPr>
              <w:fldChar w:fldCharType="separate"/>
            </w:r>
            <w:r w:rsidR="00520E48">
              <w:rPr>
                <w:noProof/>
                <w:webHidden/>
              </w:rPr>
              <w:t>11</w:t>
            </w:r>
            <w:r w:rsidR="00520E48">
              <w:rPr>
                <w:noProof/>
                <w:webHidden/>
              </w:rPr>
              <w:fldChar w:fldCharType="end"/>
            </w:r>
          </w:hyperlink>
        </w:p>
        <w:p w14:paraId="29E02609" w14:textId="454B78F3" w:rsidR="00520E48" w:rsidRDefault="004A5464">
          <w:pPr>
            <w:pStyle w:val="TOC3"/>
            <w:rPr>
              <w:rFonts w:asciiTheme="minorHAnsi" w:eastAsiaTheme="minorEastAsia" w:hAnsiTheme="minorHAnsi" w:cstheme="minorBidi"/>
              <w:b w:val="0"/>
              <w:noProof/>
              <w:szCs w:val="22"/>
              <w:lang w:eastAsia="en-AU"/>
            </w:rPr>
          </w:pPr>
          <w:hyperlink w:anchor="_Toc122676196" w:history="1">
            <w:r w:rsidR="00520E48" w:rsidRPr="00FC7890">
              <w:rPr>
                <w:rStyle w:val="Hyperlink"/>
                <w:noProof/>
              </w:rPr>
              <w:t>Summary of the reasons for the proposal</w:t>
            </w:r>
            <w:r w:rsidR="00520E48">
              <w:rPr>
                <w:noProof/>
                <w:webHidden/>
              </w:rPr>
              <w:tab/>
            </w:r>
            <w:r w:rsidR="00520E48">
              <w:rPr>
                <w:noProof/>
                <w:webHidden/>
              </w:rPr>
              <w:fldChar w:fldCharType="begin"/>
            </w:r>
            <w:r w:rsidR="00520E48">
              <w:rPr>
                <w:noProof/>
                <w:webHidden/>
              </w:rPr>
              <w:instrText xml:space="preserve"> PAGEREF _Toc122676196 \h </w:instrText>
            </w:r>
            <w:r w:rsidR="00520E48">
              <w:rPr>
                <w:noProof/>
                <w:webHidden/>
              </w:rPr>
            </w:r>
            <w:r w:rsidR="00520E48">
              <w:rPr>
                <w:noProof/>
                <w:webHidden/>
              </w:rPr>
              <w:fldChar w:fldCharType="separate"/>
            </w:r>
            <w:r w:rsidR="00520E48">
              <w:rPr>
                <w:noProof/>
                <w:webHidden/>
              </w:rPr>
              <w:t>11</w:t>
            </w:r>
            <w:r w:rsidR="00520E48">
              <w:rPr>
                <w:noProof/>
                <w:webHidden/>
              </w:rPr>
              <w:fldChar w:fldCharType="end"/>
            </w:r>
          </w:hyperlink>
        </w:p>
        <w:p w14:paraId="171FF679" w14:textId="2795ED16" w:rsidR="00520E48" w:rsidRDefault="004A5464">
          <w:pPr>
            <w:pStyle w:val="TOC3"/>
            <w:rPr>
              <w:rFonts w:asciiTheme="minorHAnsi" w:eastAsiaTheme="minorEastAsia" w:hAnsiTheme="minorHAnsi" w:cstheme="minorBidi"/>
              <w:b w:val="0"/>
              <w:noProof/>
              <w:szCs w:val="22"/>
              <w:lang w:eastAsia="en-AU"/>
            </w:rPr>
          </w:pPr>
          <w:hyperlink w:anchor="_Toc122676197" w:history="1">
            <w:r w:rsidR="00520E48" w:rsidRPr="00FC7890">
              <w:rPr>
                <w:rStyle w:val="Hyperlink"/>
                <w:noProof/>
              </w:rPr>
              <w:t>Key uses / expected use</w:t>
            </w:r>
            <w:r w:rsidR="00520E48">
              <w:rPr>
                <w:noProof/>
                <w:webHidden/>
              </w:rPr>
              <w:tab/>
            </w:r>
            <w:r w:rsidR="00520E48">
              <w:rPr>
                <w:noProof/>
                <w:webHidden/>
              </w:rPr>
              <w:fldChar w:fldCharType="begin"/>
            </w:r>
            <w:r w:rsidR="00520E48">
              <w:rPr>
                <w:noProof/>
                <w:webHidden/>
              </w:rPr>
              <w:instrText xml:space="preserve"> PAGEREF _Toc122676197 \h </w:instrText>
            </w:r>
            <w:r w:rsidR="00520E48">
              <w:rPr>
                <w:noProof/>
                <w:webHidden/>
              </w:rPr>
            </w:r>
            <w:r w:rsidR="00520E48">
              <w:rPr>
                <w:noProof/>
                <w:webHidden/>
              </w:rPr>
              <w:fldChar w:fldCharType="separate"/>
            </w:r>
            <w:r w:rsidR="00520E48">
              <w:rPr>
                <w:noProof/>
                <w:webHidden/>
              </w:rPr>
              <w:t>11</w:t>
            </w:r>
            <w:r w:rsidR="00520E48">
              <w:rPr>
                <w:noProof/>
                <w:webHidden/>
              </w:rPr>
              <w:fldChar w:fldCharType="end"/>
            </w:r>
          </w:hyperlink>
        </w:p>
        <w:p w14:paraId="403F3335" w14:textId="03F9B98C" w:rsidR="00520E48" w:rsidRDefault="004A5464">
          <w:pPr>
            <w:pStyle w:val="TOC3"/>
            <w:rPr>
              <w:rFonts w:asciiTheme="minorHAnsi" w:eastAsiaTheme="minorEastAsia" w:hAnsiTheme="minorHAnsi" w:cstheme="minorBidi"/>
              <w:b w:val="0"/>
              <w:noProof/>
              <w:szCs w:val="22"/>
              <w:lang w:eastAsia="en-AU"/>
            </w:rPr>
          </w:pPr>
          <w:hyperlink w:anchor="_Toc122676198" w:history="1">
            <w:r w:rsidR="00520E48" w:rsidRPr="00FC7890">
              <w:rPr>
                <w:rStyle w:val="Hyperlink"/>
                <w:noProof/>
              </w:rPr>
              <w:t>Australian regulations</w:t>
            </w:r>
            <w:r w:rsidR="00520E48">
              <w:rPr>
                <w:noProof/>
                <w:webHidden/>
              </w:rPr>
              <w:tab/>
            </w:r>
            <w:r w:rsidR="00520E48">
              <w:rPr>
                <w:noProof/>
                <w:webHidden/>
              </w:rPr>
              <w:fldChar w:fldCharType="begin"/>
            </w:r>
            <w:r w:rsidR="00520E48">
              <w:rPr>
                <w:noProof/>
                <w:webHidden/>
              </w:rPr>
              <w:instrText xml:space="preserve"> PAGEREF _Toc122676198 \h </w:instrText>
            </w:r>
            <w:r w:rsidR="00520E48">
              <w:rPr>
                <w:noProof/>
                <w:webHidden/>
              </w:rPr>
            </w:r>
            <w:r w:rsidR="00520E48">
              <w:rPr>
                <w:noProof/>
                <w:webHidden/>
              </w:rPr>
              <w:fldChar w:fldCharType="separate"/>
            </w:r>
            <w:r w:rsidR="00520E48">
              <w:rPr>
                <w:noProof/>
                <w:webHidden/>
              </w:rPr>
              <w:t>11</w:t>
            </w:r>
            <w:r w:rsidR="00520E48">
              <w:rPr>
                <w:noProof/>
                <w:webHidden/>
              </w:rPr>
              <w:fldChar w:fldCharType="end"/>
            </w:r>
          </w:hyperlink>
        </w:p>
        <w:p w14:paraId="539C5B62" w14:textId="247BCC90" w:rsidR="00520E48" w:rsidRDefault="004A5464">
          <w:pPr>
            <w:pStyle w:val="TOC3"/>
            <w:rPr>
              <w:rFonts w:asciiTheme="minorHAnsi" w:eastAsiaTheme="minorEastAsia" w:hAnsiTheme="minorHAnsi" w:cstheme="minorBidi"/>
              <w:b w:val="0"/>
              <w:noProof/>
              <w:szCs w:val="22"/>
              <w:lang w:eastAsia="en-AU"/>
            </w:rPr>
          </w:pPr>
          <w:hyperlink w:anchor="_Toc122676199" w:history="1">
            <w:r w:rsidR="00520E48" w:rsidRPr="00FC7890">
              <w:rPr>
                <w:rStyle w:val="Hyperlink"/>
                <w:noProof/>
              </w:rPr>
              <w:t>International regulations</w:t>
            </w:r>
            <w:r w:rsidR="00520E48">
              <w:rPr>
                <w:noProof/>
                <w:webHidden/>
              </w:rPr>
              <w:tab/>
            </w:r>
            <w:r w:rsidR="00520E48">
              <w:rPr>
                <w:noProof/>
                <w:webHidden/>
              </w:rPr>
              <w:fldChar w:fldCharType="begin"/>
            </w:r>
            <w:r w:rsidR="00520E48">
              <w:rPr>
                <w:noProof/>
                <w:webHidden/>
              </w:rPr>
              <w:instrText xml:space="preserve"> PAGEREF _Toc122676199 \h </w:instrText>
            </w:r>
            <w:r w:rsidR="00520E48">
              <w:rPr>
                <w:noProof/>
                <w:webHidden/>
              </w:rPr>
            </w:r>
            <w:r w:rsidR="00520E48">
              <w:rPr>
                <w:noProof/>
                <w:webHidden/>
              </w:rPr>
              <w:fldChar w:fldCharType="separate"/>
            </w:r>
            <w:r w:rsidR="00520E48">
              <w:rPr>
                <w:noProof/>
                <w:webHidden/>
              </w:rPr>
              <w:t>13</w:t>
            </w:r>
            <w:r w:rsidR="00520E48">
              <w:rPr>
                <w:noProof/>
                <w:webHidden/>
              </w:rPr>
              <w:fldChar w:fldCharType="end"/>
            </w:r>
          </w:hyperlink>
        </w:p>
        <w:p w14:paraId="306AA45B" w14:textId="56072E7F" w:rsidR="00520E48" w:rsidRDefault="004A5464">
          <w:pPr>
            <w:pStyle w:val="TOC1"/>
            <w:tabs>
              <w:tab w:val="left" w:pos="425"/>
            </w:tabs>
            <w:rPr>
              <w:rFonts w:asciiTheme="minorHAnsi" w:eastAsiaTheme="minorEastAsia" w:hAnsiTheme="minorHAnsi" w:cstheme="minorBidi"/>
              <w:b w:val="0"/>
              <w:noProof/>
              <w:sz w:val="22"/>
              <w:szCs w:val="22"/>
              <w:lang w:eastAsia="en-AU"/>
            </w:rPr>
          </w:pPr>
          <w:hyperlink w:anchor="_Toc122676200" w:history="1">
            <w:r w:rsidR="00520E48" w:rsidRPr="00FC7890">
              <w:rPr>
                <w:rStyle w:val="Hyperlink"/>
                <w:noProof/>
              </w:rPr>
              <w:t>4</w:t>
            </w:r>
            <w:r w:rsidR="00520E48">
              <w:rPr>
                <w:rFonts w:asciiTheme="minorHAnsi" w:eastAsiaTheme="minorEastAsia" w:hAnsiTheme="minorHAnsi" w:cstheme="minorBidi"/>
                <w:b w:val="0"/>
                <w:noProof/>
                <w:sz w:val="22"/>
                <w:szCs w:val="22"/>
                <w:lang w:eastAsia="en-AU"/>
              </w:rPr>
              <w:tab/>
            </w:r>
            <w:r w:rsidR="00520E48" w:rsidRPr="00FC7890">
              <w:rPr>
                <w:rStyle w:val="Hyperlink"/>
                <w:noProof/>
              </w:rPr>
              <w:t>Proposed amendments referred for scheduling advice to ACCS #37</w:t>
            </w:r>
            <w:r w:rsidR="00520E48">
              <w:rPr>
                <w:noProof/>
                <w:webHidden/>
              </w:rPr>
              <w:tab/>
            </w:r>
            <w:r w:rsidR="00520E48">
              <w:rPr>
                <w:noProof/>
                <w:webHidden/>
              </w:rPr>
              <w:fldChar w:fldCharType="begin"/>
            </w:r>
            <w:r w:rsidR="00520E48">
              <w:rPr>
                <w:noProof/>
                <w:webHidden/>
              </w:rPr>
              <w:instrText xml:space="preserve"> PAGEREF _Toc122676200 \h </w:instrText>
            </w:r>
            <w:r w:rsidR="00520E48">
              <w:rPr>
                <w:noProof/>
                <w:webHidden/>
              </w:rPr>
            </w:r>
            <w:r w:rsidR="00520E48">
              <w:rPr>
                <w:noProof/>
                <w:webHidden/>
              </w:rPr>
              <w:fldChar w:fldCharType="separate"/>
            </w:r>
            <w:r w:rsidR="00520E48">
              <w:rPr>
                <w:noProof/>
                <w:webHidden/>
              </w:rPr>
              <w:t>14</w:t>
            </w:r>
            <w:r w:rsidR="00520E48">
              <w:rPr>
                <w:noProof/>
                <w:webHidden/>
              </w:rPr>
              <w:fldChar w:fldCharType="end"/>
            </w:r>
          </w:hyperlink>
        </w:p>
        <w:p w14:paraId="0630042A" w14:textId="05938F8C" w:rsidR="00520E48" w:rsidRDefault="004A5464">
          <w:pPr>
            <w:pStyle w:val="TOC2"/>
            <w:tabs>
              <w:tab w:val="left" w:pos="1276"/>
            </w:tabs>
            <w:rPr>
              <w:rFonts w:asciiTheme="minorHAnsi" w:eastAsiaTheme="minorEastAsia" w:hAnsiTheme="minorHAnsi" w:cstheme="minorBidi"/>
              <w:b w:val="0"/>
              <w:noProof/>
              <w:sz w:val="22"/>
              <w:szCs w:val="22"/>
              <w:lang w:eastAsia="en-AU"/>
            </w:rPr>
          </w:pPr>
          <w:hyperlink w:anchor="_Toc122676201" w:history="1">
            <w:r w:rsidR="00520E48" w:rsidRPr="00FC7890">
              <w:rPr>
                <w:rStyle w:val="Hyperlink"/>
                <w:noProof/>
              </w:rPr>
              <w:t>4.1</w:t>
            </w:r>
            <w:r w:rsidR="00520E48">
              <w:rPr>
                <w:rFonts w:asciiTheme="minorHAnsi" w:eastAsiaTheme="minorEastAsia" w:hAnsiTheme="minorHAnsi" w:cstheme="minorBidi"/>
                <w:b w:val="0"/>
                <w:noProof/>
                <w:sz w:val="22"/>
                <w:szCs w:val="22"/>
                <w:lang w:eastAsia="en-AU"/>
              </w:rPr>
              <w:tab/>
            </w:r>
            <w:r w:rsidR="00520E48" w:rsidRPr="00FC7890">
              <w:rPr>
                <w:rStyle w:val="Hyperlink"/>
                <w:noProof/>
              </w:rPr>
              <w:t>Bromoxynil</w:t>
            </w:r>
            <w:r w:rsidR="00520E48">
              <w:rPr>
                <w:noProof/>
                <w:webHidden/>
              </w:rPr>
              <w:tab/>
            </w:r>
            <w:r w:rsidR="00520E48">
              <w:rPr>
                <w:noProof/>
                <w:webHidden/>
              </w:rPr>
              <w:fldChar w:fldCharType="begin"/>
            </w:r>
            <w:r w:rsidR="00520E48">
              <w:rPr>
                <w:noProof/>
                <w:webHidden/>
              </w:rPr>
              <w:instrText xml:space="preserve"> PAGEREF _Toc122676201 \h </w:instrText>
            </w:r>
            <w:r w:rsidR="00520E48">
              <w:rPr>
                <w:noProof/>
                <w:webHidden/>
              </w:rPr>
            </w:r>
            <w:r w:rsidR="00520E48">
              <w:rPr>
                <w:noProof/>
                <w:webHidden/>
              </w:rPr>
              <w:fldChar w:fldCharType="separate"/>
            </w:r>
            <w:r w:rsidR="00520E48">
              <w:rPr>
                <w:noProof/>
                <w:webHidden/>
              </w:rPr>
              <w:t>14</w:t>
            </w:r>
            <w:r w:rsidR="00520E48">
              <w:rPr>
                <w:noProof/>
                <w:webHidden/>
              </w:rPr>
              <w:fldChar w:fldCharType="end"/>
            </w:r>
          </w:hyperlink>
        </w:p>
        <w:p w14:paraId="7B1C6F35" w14:textId="43B1FE28" w:rsidR="00520E48" w:rsidRDefault="004A5464">
          <w:pPr>
            <w:pStyle w:val="TOC3"/>
            <w:rPr>
              <w:rFonts w:asciiTheme="minorHAnsi" w:eastAsiaTheme="minorEastAsia" w:hAnsiTheme="minorHAnsi" w:cstheme="minorBidi"/>
              <w:b w:val="0"/>
              <w:noProof/>
              <w:szCs w:val="22"/>
              <w:lang w:eastAsia="en-AU"/>
            </w:rPr>
          </w:pPr>
          <w:hyperlink w:anchor="_Toc122676202" w:history="1">
            <w:r w:rsidR="00520E48" w:rsidRPr="00FC7890">
              <w:rPr>
                <w:rStyle w:val="Hyperlink"/>
                <w:noProof/>
              </w:rPr>
              <w:t>Proposal</w:t>
            </w:r>
            <w:r w:rsidR="00520E48">
              <w:rPr>
                <w:noProof/>
                <w:webHidden/>
              </w:rPr>
              <w:tab/>
            </w:r>
            <w:r w:rsidR="00520E48">
              <w:rPr>
                <w:noProof/>
                <w:webHidden/>
              </w:rPr>
              <w:fldChar w:fldCharType="begin"/>
            </w:r>
            <w:r w:rsidR="00520E48">
              <w:rPr>
                <w:noProof/>
                <w:webHidden/>
              </w:rPr>
              <w:instrText xml:space="preserve"> PAGEREF _Toc122676202 \h </w:instrText>
            </w:r>
            <w:r w:rsidR="00520E48">
              <w:rPr>
                <w:noProof/>
                <w:webHidden/>
              </w:rPr>
            </w:r>
            <w:r w:rsidR="00520E48">
              <w:rPr>
                <w:noProof/>
                <w:webHidden/>
              </w:rPr>
              <w:fldChar w:fldCharType="separate"/>
            </w:r>
            <w:r w:rsidR="00520E48">
              <w:rPr>
                <w:noProof/>
                <w:webHidden/>
              </w:rPr>
              <w:t>14</w:t>
            </w:r>
            <w:r w:rsidR="00520E48">
              <w:rPr>
                <w:noProof/>
                <w:webHidden/>
              </w:rPr>
              <w:fldChar w:fldCharType="end"/>
            </w:r>
          </w:hyperlink>
        </w:p>
        <w:p w14:paraId="0CE34E0D" w14:textId="1FE7FD44" w:rsidR="00520E48" w:rsidRDefault="004A5464">
          <w:pPr>
            <w:pStyle w:val="TOC3"/>
            <w:rPr>
              <w:rFonts w:asciiTheme="minorHAnsi" w:eastAsiaTheme="minorEastAsia" w:hAnsiTheme="minorHAnsi" w:cstheme="minorBidi"/>
              <w:b w:val="0"/>
              <w:noProof/>
              <w:szCs w:val="22"/>
              <w:lang w:eastAsia="en-AU"/>
            </w:rPr>
          </w:pPr>
          <w:hyperlink w:anchor="_Toc122676203" w:history="1">
            <w:r w:rsidR="00520E48" w:rsidRPr="00FC7890">
              <w:rPr>
                <w:rStyle w:val="Hyperlink"/>
                <w:noProof/>
              </w:rPr>
              <w:t>CAS Number</w:t>
            </w:r>
            <w:r w:rsidR="00520E48">
              <w:rPr>
                <w:noProof/>
                <w:webHidden/>
              </w:rPr>
              <w:tab/>
            </w:r>
            <w:r w:rsidR="00520E48">
              <w:rPr>
                <w:noProof/>
                <w:webHidden/>
              </w:rPr>
              <w:fldChar w:fldCharType="begin"/>
            </w:r>
            <w:r w:rsidR="00520E48">
              <w:rPr>
                <w:noProof/>
                <w:webHidden/>
              </w:rPr>
              <w:instrText xml:space="preserve"> PAGEREF _Toc122676203 \h </w:instrText>
            </w:r>
            <w:r w:rsidR="00520E48">
              <w:rPr>
                <w:noProof/>
                <w:webHidden/>
              </w:rPr>
            </w:r>
            <w:r w:rsidR="00520E48">
              <w:rPr>
                <w:noProof/>
                <w:webHidden/>
              </w:rPr>
              <w:fldChar w:fldCharType="separate"/>
            </w:r>
            <w:r w:rsidR="00520E48">
              <w:rPr>
                <w:noProof/>
                <w:webHidden/>
              </w:rPr>
              <w:t>14</w:t>
            </w:r>
            <w:r w:rsidR="00520E48">
              <w:rPr>
                <w:noProof/>
                <w:webHidden/>
              </w:rPr>
              <w:fldChar w:fldCharType="end"/>
            </w:r>
          </w:hyperlink>
        </w:p>
        <w:p w14:paraId="0735FDB3" w14:textId="50FC6131" w:rsidR="00520E48" w:rsidRDefault="004A5464">
          <w:pPr>
            <w:pStyle w:val="TOC3"/>
            <w:rPr>
              <w:rFonts w:asciiTheme="minorHAnsi" w:eastAsiaTheme="minorEastAsia" w:hAnsiTheme="minorHAnsi" w:cstheme="minorBidi"/>
              <w:b w:val="0"/>
              <w:noProof/>
              <w:szCs w:val="22"/>
              <w:lang w:eastAsia="en-AU"/>
            </w:rPr>
          </w:pPr>
          <w:hyperlink w:anchor="_Toc122676204" w:history="1">
            <w:r w:rsidR="00520E48" w:rsidRPr="00FC7890">
              <w:rPr>
                <w:rStyle w:val="Hyperlink"/>
                <w:noProof/>
              </w:rPr>
              <w:t>Alternative names</w:t>
            </w:r>
            <w:r w:rsidR="00520E48">
              <w:rPr>
                <w:noProof/>
                <w:webHidden/>
              </w:rPr>
              <w:tab/>
            </w:r>
            <w:r w:rsidR="00520E48">
              <w:rPr>
                <w:noProof/>
                <w:webHidden/>
              </w:rPr>
              <w:fldChar w:fldCharType="begin"/>
            </w:r>
            <w:r w:rsidR="00520E48">
              <w:rPr>
                <w:noProof/>
                <w:webHidden/>
              </w:rPr>
              <w:instrText xml:space="preserve"> PAGEREF _Toc122676204 \h </w:instrText>
            </w:r>
            <w:r w:rsidR="00520E48">
              <w:rPr>
                <w:noProof/>
                <w:webHidden/>
              </w:rPr>
            </w:r>
            <w:r w:rsidR="00520E48">
              <w:rPr>
                <w:noProof/>
                <w:webHidden/>
              </w:rPr>
              <w:fldChar w:fldCharType="separate"/>
            </w:r>
            <w:r w:rsidR="00520E48">
              <w:rPr>
                <w:noProof/>
                <w:webHidden/>
              </w:rPr>
              <w:t>14</w:t>
            </w:r>
            <w:r w:rsidR="00520E48">
              <w:rPr>
                <w:noProof/>
                <w:webHidden/>
              </w:rPr>
              <w:fldChar w:fldCharType="end"/>
            </w:r>
          </w:hyperlink>
        </w:p>
        <w:p w14:paraId="3D527F9D" w14:textId="4E58DCCB" w:rsidR="00520E48" w:rsidRDefault="004A5464">
          <w:pPr>
            <w:pStyle w:val="TOC3"/>
            <w:rPr>
              <w:rFonts w:asciiTheme="minorHAnsi" w:eastAsiaTheme="minorEastAsia" w:hAnsiTheme="minorHAnsi" w:cstheme="minorBidi"/>
              <w:b w:val="0"/>
              <w:noProof/>
              <w:szCs w:val="22"/>
              <w:lang w:eastAsia="en-AU"/>
            </w:rPr>
          </w:pPr>
          <w:hyperlink w:anchor="_Toc122676205" w:history="1">
            <w:r w:rsidR="00520E48" w:rsidRPr="00FC7890">
              <w:rPr>
                <w:rStyle w:val="Hyperlink"/>
                <w:rFonts w:cs="Arial"/>
                <w:noProof/>
                <w:shd w:val="clear" w:color="auto" w:fill="FFFFFF"/>
              </w:rPr>
              <w:t>2,6-dibromo-4-cyanophenol broxynil</w:t>
            </w:r>
            <w:r w:rsidR="00520E48" w:rsidRPr="00FC7890">
              <w:rPr>
                <w:rStyle w:val="Hyperlink"/>
                <w:noProof/>
              </w:rPr>
              <w:t>Applicant</w:t>
            </w:r>
            <w:r w:rsidR="00520E48">
              <w:rPr>
                <w:noProof/>
                <w:webHidden/>
              </w:rPr>
              <w:tab/>
            </w:r>
            <w:r w:rsidR="00520E48">
              <w:rPr>
                <w:noProof/>
                <w:webHidden/>
              </w:rPr>
              <w:fldChar w:fldCharType="begin"/>
            </w:r>
            <w:r w:rsidR="00520E48">
              <w:rPr>
                <w:noProof/>
                <w:webHidden/>
              </w:rPr>
              <w:instrText xml:space="preserve"> PAGEREF _Toc122676205 \h </w:instrText>
            </w:r>
            <w:r w:rsidR="00520E48">
              <w:rPr>
                <w:noProof/>
                <w:webHidden/>
              </w:rPr>
            </w:r>
            <w:r w:rsidR="00520E48">
              <w:rPr>
                <w:noProof/>
                <w:webHidden/>
              </w:rPr>
              <w:fldChar w:fldCharType="separate"/>
            </w:r>
            <w:r w:rsidR="00520E48">
              <w:rPr>
                <w:noProof/>
                <w:webHidden/>
              </w:rPr>
              <w:t>14</w:t>
            </w:r>
            <w:r w:rsidR="00520E48">
              <w:rPr>
                <w:noProof/>
                <w:webHidden/>
              </w:rPr>
              <w:fldChar w:fldCharType="end"/>
            </w:r>
          </w:hyperlink>
        </w:p>
        <w:p w14:paraId="20F67DBB" w14:textId="36027EA2" w:rsidR="00520E48" w:rsidRDefault="004A5464">
          <w:pPr>
            <w:pStyle w:val="TOC3"/>
            <w:rPr>
              <w:rFonts w:asciiTheme="minorHAnsi" w:eastAsiaTheme="minorEastAsia" w:hAnsiTheme="minorHAnsi" w:cstheme="minorBidi"/>
              <w:b w:val="0"/>
              <w:noProof/>
              <w:szCs w:val="22"/>
              <w:lang w:eastAsia="en-AU"/>
            </w:rPr>
          </w:pPr>
          <w:hyperlink w:anchor="_Toc122676206" w:history="1">
            <w:r w:rsidR="00520E48" w:rsidRPr="00FC7890">
              <w:rPr>
                <w:rStyle w:val="Hyperlink"/>
                <w:noProof/>
              </w:rPr>
              <w:t>Proposed scheduling</w:t>
            </w:r>
            <w:r w:rsidR="00520E48">
              <w:rPr>
                <w:noProof/>
                <w:webHidden/>
              </w:rPr>
              <w:tab/>
            </w:r>
            <w:r w:rsidR="00520E48">
              <w:rPr>
                <w:noProof/>
                <w:webHidden/>
              </w:rPr>
              <w:fldChar w:fldCharType="begin"/>
            </w:r>
            <w:r w:rsidR="00520E48">
              <w:rPr>
                <w:noProof/>
                <w:webHidden/>
              </w:rPr>
              <w:instrText xml:space="preserve"> PAGEREF _Toc122676206 \h </w:instrText>
            </w:r>
            <w:r w:rsidR="00520E48">
              <w:rPr>
                <w:noProof/>
                <w:webHidden/>
              </w:rPr>
            </w:r>
            <w:r w:rsidR="00520E48">
              <w:rPr>
                <w:noProof/>
                <w:webHidden/>
              </w:rPr>
              <w:fldChar w:fldCharType="separate"/>
            </w:r>
            <w:r w:rsidR="00520E48">
              <w:rPr>
                <w:noProof/>
                <w:webHidden/>
              </w:rPr>
              <w:t>15</w:t>
            </w:r>
            <w:r w:rsidR="00520E48">
              <w:rPr>
                <w:noProof/>
                <w:webHidden/>
              </w:rPr>
              <w:fldChar w:fldCharType="end"/>
            </w:r>
          </w:hyperlink>
        </w:p>
        <w:p w14:paraId="2B4244A7" w14:textId="57E541A8" w:rsidR="00520E48" w:rsidRDefault="004A5464">
          <w:pPr>
            <w:pStyle w:val="TOC3"/>
            <w:rPr>
              <w:rFonts w:asciiTheme="minorHAnsi" w:eastAsiaTheme="minorEastAsia" w:hAnsiTheme="minorHAnsi" w:cstheme="minorBidi"/>
              <w:b w:val="0"/>
              <w:noProof/>
              <w:szCs w:val="22"/>
              <w:lang w:eastAsia="en-AU"/>
            </w:rPr>
          </w:pPr>
          <w:hyperlink w:anchor="_Toc122676207" w:history="1">
            <w:r w:rsidR="00520E48" w:rsidRPr="00FC7890">
              <w:rPr>
                <w:rStyle w:val="Hyperlink"/>
                <w:noProof/>
              </w:rPr>
              <w:t>Key uses / expected use</w:t>
            </w:r>
            <w:r w:rsidR="00520E48">
              <w:rPr>
                <w:noProof/>
                <w:webHidden/>
              </w:rPr>
              <w:tab/>
            </w:r>
            <w:r w:rsidR="00520E48">
              <w:rPr>
                <w:noProof/>
                <w:webHidden/>
              </w:rPr>
              <w:fldChar w:fldCharType="begin"/>
            </w:r>
            <w:r w:rsidR="00520E48">
              <w:rPr>
                <w:noProof/>
                <w:webHidden/>
              </w:rPr>
              <w:instrText xml:space="preserve"> PAGEREF _Toc122676207 \h </w:instrText>
            </w:r>
            <w:r w:rsidR="00520E48">
              <w:rPr>
                <w:noProof/>
                <w:webHidden/>
              </w:rPr>
            </w:r>
            <w:r w:rsidR="00520E48">
              <w:rPr>
                <w:noProof/>
                <w:webHidden/>
              </w:rPr>
              <w:fldChar w:fldCharType="separate"/>
            </w:r>
            <w:r w:rsidR="00520E48">
              <w:rPr>
                <w:noProof/>
                <w:webHidden/>
              </w:rPr>
              <w:t>15</w:t>
            </w:r>
            <w:r w:rsidR="00520E48">
              <w:rPr>
                <w:noProof/>
                <w:webHidden/>
              </w:rPr>
              <w:fldChar w:fldCharType="end"/>
            </w:r>
          </w:hyperlink>
        </w:p>
        <w:p w14:paraId="28508CB7" w14:textId="6171E8F0" w:rsidR="00520E48" w:rsidRDefault="004A5464">
          <w:pPr>
            <w:pStyle w:val="TOC3"/>
            <w:rPr>
              <w:rFonts w:asciiTheme="minorHAnsi" w:eastAsiaTheme="minorEastAsia" w:hAnsiTheme="minorHAnsi" w:cstheme="minorBidi"/>
              <w:b w:val="0"/>
              <w:noProof/>
              <w:szCs w:val="22"/>
              <w:lang w:eastAsia="en-AU"/>
            </w:rPr>
          </w:pPr>
          <w:hyperlink w:anchor="_Toc122676208" w:history="1">
            <w:r w:rsidR="00520E48" w:rsidRPr="00FC7890">
              <w:rPr>
                <w:rStyle w:val="Hyperlink"/>
                <w:noProof/>
              </w:rPr>
              <w:t>Background</w:t>
            </w:r>
            <w:r w:rsidR="00520E48">
              <w:rPr>
                <w:noProof/>
                <w:webHidden/>
              </w:rPr>
              <w:tab/>
            </w:r>
            <w:r w:rsidR="00520E48">
              <w:rPr>
                <w:noProof/>
                <w:webHidden/>
              </w:rPr>
              <w:fldChar w:fldCharType="begin"/>
            </w:r>
            <w:r w:rsidR="00520E48">
              <w:rPr>
                <w:noProof/>
                <w:webHidden/>
              </w:rPr>
              <w:instrText xml:space="preserve"> PAGEREF _Toc122676208 \h </w:instrText>
            </w:r>
            <w:r w:rsidR="00520E48">
              <w:rPr>
                <w:noProof/>
                <w:webHidden/>
              </w:rPr>
            </w:r>
            <w:r w:rsidR="00520E48">
              <w:rPr>
                <w:noProof/>
                <w:webHidden/>
              </w:rPr>
              <w:fldChar w:fldCharType="separate"/>
            </w:r>
            <w:r w:rsidR="00520E48">
              <w:rPr>
                <w:noProof/>
                <w:webHidden/>
              </w:rPr>
              <w:t>15</w:t>
            </w:r>
            <w:r w:rsidR="00520E48">
              <w:rPr>
                <w:noProof/>
                <w:webHidden/>
              </w:rPr>
              <w:fldChar w:fldCharType="end"/>
            </w:r>
          </w:hyperlink>
        </w:p>
        <w:p w14:paraId="35331E59" w14:textId="3A8CE430" w:rsidR="00520E48" w:rsidRDefault="004A5464">
          <w:pPr>
            <w:pStyle w:val="TOC3"/>
            <w:rPr>
              <w:rFonts w:asciiTheme="minorHAnsi" w:eastAsiaTheme="minorEastAsia" w:hAnsiTheme="minorHAnsi" w:cstheme="minorBidi"/>
              <w:b w:val="0"/>
              <w:noProof/>
              <w:szCs w:val="22"/>
              <w:lang w:eastAsia="en-AU"/>
            </w:rPr>
          </w:pPr>
          <w:hyperlink w:anchor="_Toc122676209" w:history="1">
            <w:r w:rsidR="00520E48" w:rsidRPr="00FC7890">
              <w:rPr>
                <w:rStyle w:val="Hyperlink"/>
                <w:noProof/>
              </w:rPr>
              <w:t>Summary of applicant’s reasons for the proposal</w:t>
            </w:r>
            <w:r w:rsidR="00520E48">
              <w:rPr>
                <w:noProof/>
                <w:webHidden/>
              </w:rPr>
              <w:tab/>
            </w:r>
            <w:r w:rsidR="00520E48">
              <w:rPr>
                <w:noProof/>
                <w:webHidden/>
              </w:rPr>
              <w:fldChar w:fldCharType="begin"/>
            </w:r>
            <w:r w:rsidR="00520E48">
              <w:rPr>
                <w:noProof/>
                <w:webHidden/>
              </w:rPr>
              <w:instrText xml:space="preserve"> PAGEREF _Toc122676209 \h </w:instrText>
            </w:r>
            <w:r w:rsidR="00520E48">
              <w:rPr>
                <w:noProof/>
                <w:webHidden/>
              </w:rPr>
            </w:r>
            <w:r w:rsidR="00520E48">
              <w:rPr>
                <w:noProof/>
                <w:webHidden/>
              </w:rPr>
              <w:fldChar w:fldCharType="separate"/>
            </w:r>
            <w:r w:rsidR="00520E48">
              <w:rPr>
                <w:noProof/>
                <w:webHidden/>
              </w:rPr>
              <w:t>15</w:t>
            </w:r>
            <w:r w:rsidR="00520E48">
              <w:rPr>
                <w:noProof/>
                <w:webHidden/>
              </w:rPr>
              <w:fldChar w:fldCharType="end"/>
            </w:r>
          </w:hyperlink>
        </w:p>
        <w:p w14:paraId="05201C52" w14:textId="505F3CDB" w:rsidR="00520E48" w:rsidRDefault="004A5464">
          <w:pPr>
            <w:pStyle w:val="TOC3"/>
            <w:rPr>
              <w:rFonts w:asciiTheme="minorHAnsi" w:eastAsiaTheme="minorEastAsia" w:hAnsiTheme="minorHAnsi" w:cstheme="minorBidi"/>
              <w:b w:val="0"/>
              <w:noProof/>
              <w:szCs w:val="22"/>
              <w:lang w:eastAsia="en-AU"/>
            </w:rPr>
          </w:pPr>
          <w:hyperlink w:anchor="_Toc122676210" w:history="1">
            <w:r w:rsidR="00520E48" w:rsidRPr="00FC7890">
              <w:rPr>
                <w:rStyle w:val="Hyperlink"/>
                <w:noProof/>
              </w:rPr>
              <w:t>Australian regulations</w:t>
            </w:r>
            <w:r w:rsidR="00520E48">
              <w:rPr>
                <w:noProof/>
                <w:webHidden/>
              </w:rPr>
              <w:tab/>
            </w:r>
            <w:r w:rsidR="00520E48">
              <w:rPr>
                <w:noProof/>
                <w:webHidden/>
              </w:rPr>
              <w:fldChar w:fldCharType="begin"/>
            </w:r>
            <w:r w:rsidR="00520E48">
              <w:rPr>
                <w:noProof/>
                <w:webHidden/>
              </w:rPr>
              <w:instrText xml:space="preserve"> PAGEREF _Toc122676210 \h </w:instrText>
            </w:r>
            <w:r w:rsidR="00520E48">
              <w:rPr>
                <w:noProof/>
                <w:webHidden/>
              </w:rPr>
            </w:r>
            <w:r w:rsidR="00520E48">
              <w:rPr>
                <w:noProof/>
                <w:webHidden/>
              </w:rPr>
              <w:fldChar w:fldCharType="separate"/>
            </w:r>
            <w:r w:rsidR="00520E48">
              <w:rPr>
                <w:noProof/>
                <w:webHidden/>
              </w:rPr>
              <w:t>16</w:t>
            </w:r>
            <w:r w:rsidR="00520E48">
              <w:rPr>
                <w:noProof/>
                <w:webHidden/>
              </w:rPr>
              <w:fldChar w:fldCharType="end"/>
            </w:r>
          </w:hyperlink>
        </w:p>
        <w:p w14:paraId="3BEB1D0D" w14:textId="20EC3CE5" w:rsidR="00520E48" w:rsidRDefault="004A5464">
          <w:pPr>
            <w:pStyle w:val="TOC3"/>
            <w:rPr>
              <w:rFonts w:asciiTheme="minorHAnsi" w:eastAsiaTheme="minorEastAsia" w:hAnsiTheme="minorHAnsi" w:cstheme="minorBidi"/>
              <w:b w:val="0"/>
              <w:noProof/>
              <w:szCs w:val="22"/>
              <w:lang w:eastAsia="en-AU"/>
            </w:rPr>
          </w:pPr>
          <w:hyperlink w:anchor="_Toc122676211" w:history="1">
            <w:r w:rsidR="00520E48" w:rsidRPr="00FC7890">
              <w:rPr>
                <w:rStyle w:val="Hyperlink"/>
                <w:noProof/>
              </w:rPr>
              <w:t>International regulations</w:t>
            </w:r>
            <w:r w:rsidR="00520E48">
              <w:rPr>
                <w:noProof/>
                <w:webHidden/>
              </w:rPr>
              <w:tab/>
            </w:r>
            <w:r w:rsidR="00520E48">
              <w:rPr>
                <w:noProof/>
                <w:webHidden/>
              </w:rPr>
              <w:fldChar w:fldCharType="begin"/>
            </w:r>
            <w:r w:rsidR="00520E48">
              <w:rPr>
                <w:noProof/>
                <w:webHidden/>
              </w:rPr>
              <w:instrText xml:space="preserve"> PAGEREF _Toc122676211 \h </w:instrText>
            </w:r>
            <w:r w:rsidR="00520E48">
              <w:rPr>
                <w:noProof/>
                <w:webHidden/>
              </w:rPr>
            </w:r>
            <w:r w:rsidR="00520E48">
              <w:rPr>
                <w:noProof/>
                <w:webHidden/>
              </w:rPr>
              <w:fldChar w:fldCharType="separate"/>
            </w:r>
            <w:r w:rsidR="00520E48">
              <w:rPr>
                <w:noProof/>
                <w:webHidden/>
              </w:rPr>
              <w:t>16</w:t>
            </w:r>
            <w:r w:rsidR="00520E48">
              <w:rPr>
                <w:noProof/>
                <w:webHidden/>
              </w:rPr>
              <w:fldChar w:fldCharType="end"/>
            </w:r>
          </w:hyperlink>
        </w:p>
        <w:p w14:paraId="45C65C74" w14:textId="7CD2681D" w:rsidR="00520E48" w:rsidRDefault="004A5464">
          <w:pPr>
            <w:pStyle w:val="TOC2"/>
            <w:tabs>
              <w:tab w:val="left" w:pos="1276"/>
            </w:tabs>
            <w:rPr>
              <w:rFonts w:asciiTheme="minorHAnsi" w:eastAsiaTheme="minorEastAsia" w:hAnsiTheme="minorHAnsi" w:cstheme="minorBidi"/>
              <w:b w:val="0"/>
              <w:noProof/>
              <w:sz w:val="22"/>
              <w:szCs w:val="22"/>
              <w:lang w:eastAsia="en-AU"/>
            </w:rPr>
          </w:pPr>
          <w:hyperlink w:anchor="_Toc122676212" w:history="1">
            <w:r w:rsidR="00520E48" w:rsidRPr="00FC7890">
              <w:rPr>
                <w:rStyle w:val="Hyperlink"/>
                <w:noProof/>
              </w:rPr>
              <w:t>4.2</w:t>
            </w:r>
            <w:r w:rsidR="00520E48">
              <w:rPr>
                <w:rFonts w:asciiTheme="minorHAnsi" w:eastAsiaTheme="minorEastAsia" w:hAnsiTheme="minorHAnsi" w:cstheme="minorBidi"/>
                <w:b w:val="0"/>
                <w:noProof/>
                <w:sz w:val="22"/>
                <w:szCs w:val="22"/>
                <w:lang w:eastAsia="en-AU"/>
              </w:rPr>
              <w:tab/>
            </w:r>
            <w:r w:rsidR="00520E48" w:rsidRPr="00FC7890">
              <w:rPr>
                <w:rStyle w:val="Hyperlink"/>
                <w:noProof/>
              </w:rPr>
              <w:t>Dioxane</w:t>
            </w:r>
            <w:r w:rsidR="00520E48">
              <w:rPr>
                <w:noProof/>
                <w:webHidden/>
              </w:rPr>
              <w:tab/>
            </w:r>
            <w:r w:rsidR="00520E48">
              <w:rPr>
                <w:noProof/>
                <w:webHidden/>
              </w:rPr>
              <w:fldChar w:fldCharType="begin"/>
            </w:r>
            <w:r w:rsidR="00520E48">
              <w:rPr>
                <w:noProof/>
                <w:webHidden/>
              </w:rPr>
              <w:instrText xml:space="preserve"> PAGEREF _Toc122676212 \h </w:instrText>
            </w:r>
            <w:r w:rsidR="00520E48">
              <w:rPr>
                <w:noProof/>
                <w:webHidden/>
              </w:rPr>
            </w:r>
            <w:r w:rsidR="00520E48">
              <w:rPr>
                <w:noProof/>
                <w:webHidden/>
              </w:rPr>
              <w:fldChar w:fldCharType="separate"/>
            </w:r>
            <w:r w:rsidR="00520E48">
              <w:rPr>
                <w:noProof/>
                <w:webHidden/>
              </w:rPr>
              <w:t>17</w:t>
            </w:r>
            <w:r w:rsidR="00520E48">
              <w:rPr>
                <w:noProof/>
                <w:webHidden/>
              </w:rPr>
              <w:fldChar w:fldCharType="end"/>
            </w:r>
          </w:hyperlink>
        </w:p>
        <w:p w14:paraId="65D5BB16" w14:textId="28CE23F2" w:rsidR="00520E48" w:rsidRDefault="004A5464">
          <w:pPr>
            <w:pStyle w:val="TOC3"/>
            <w:rPr>
              <w:rFonts w:asciiTheme="minorHAnsi" w:eastAsiaTheme="minorEastAsia" w:hAnsiTheme="minorHAnsi" w:cstheme="minorBidi"/>
              <w:b w:val="0"/>
              <w:noProof/>
              <w:szCs w:val="22"/>
              <w:lang w:eastAsia="en-AU"/>
            </w:rPr>
          </w:pPr>
          <w:hyperlink w:anchor="_Toc122676213" w:history="1">
            <w:r w:rsidR="00520E48" w:rsidRPr="00FC7890">
              <w:rPr>
                <w:rStyle w:val="Hyperlink"/>
                <w:noProof/>
              </w:rPr>
              <w:t>Proposal</w:t>
            </w:r>
            <w:r w:rsidR="00520E48">
              <w:rPr>
                <w:noProof/>
                <w:webHidden/>
              </w:rPr>
              <w:tab/>
            </w:r>
            <w:r w:rsidR="00520E48">
              <w:rPr>
                <w:noProof/>
                <w:webHidden/>
              </w:rPr>
              <w:fldChar w:fldCharType="begin"/>
            </w:r>
            <w:r w:rsidR="00520E48">
              <w:rPr>
                <w:noProof/>
                <w:webHidden/>
              </w:rPr>
              <w:instrText xml:space="preserve"> PAGEREF _Toc122676213 \h </w:instrText>
            </w:r>
            <w:r w:rsidR="00520E48">
              <w:rPr>
                <w:noProof/>
                <w:webHidden/>
              </w:rPr>
            </w:r>
            <w:r w:rsidR="00520E48">
              <w:rPr>
                <w:noProof/>
                <w:webHidden/>
              </w:rPr>
              <w:fldChar w:fldCharType="separate"/>
            </w:r>
            <w:r w:rsidR="00520E48">
              <w:rPr>
                <w:noProof/>
                <w:webHidden/>
              </w:rPr>
              <w:t>17</w:t>
            </w:r>
            <w:r w:rsidR="00520E48">
              <w:rPr>
                <w:noProof/>
                <w:webHidden/>
              </w:rPr>
              <w:fldChar w:fldCharType="end"/>
            </w:r>
          </w:hyperlink>
        </w:p>
        <w:p w14:paraId="537718E0" w14:textId="5EB0EF11" w:rsidR="00520E48" w:rsidRDefault="004A5464">
          <w:pPr>
            <w:pStyle w:val="TOC3"/>
            <w:rPr>
              <w:rFonts w:asciiTheme="minorHAnsi" w:eastAsiaTheme="minorEastAsia" w:hAnsiTheme="minorHAnsi" w:cstheme="minorBidi"/>
              <w:b w:val="0"/>
              <w:noProof/>
              <w:szCs w:val="22"/>
              <w:lang w:eastAsia="en-AU"/>
            </w:rPr>
          </w:pPr>
          <w:hyperlink w:anchor="_Toc122676214" w:history="1">
            <w:r w:rsidR="00520E48" w:rsidRPr="00FC7890">
              <w:rPr>
                <w:rStyle w:val="Hyperlink"/>
                <w:noProof/>
              </w:rPr>
              <w:t>CAS Number</w:t>
            </w:r>
            <w:r w:rsidR="00520E48">
              <w:rPr>
                <w:noProof/>
                <w:webHidden/>
              </w:rPr>
              <w:tab/>
            </w:r>
            <w:r w:rsidR="00520E48">
              <w:rPr>
                <w:noProof/>
                <w:webHidden/>
              </w:rPr>
              <w:fldChar w:fldCharType="begin"/>
            </w:r>
            <w:r w:rsidR="00520E48">
              <w:rPr>
                <w:noProof/>
                <w:webHidden/>
              </w:rPr>
              <w:instrText xml:space="preserve"> PAGEREF _Toc122676214 \h </w:instrText>
            </w:r>
            <w:r w:rsidR="00520E48">
              <w:rPr>
                <w:noProof/>
                <w:webHidden/>
              </w:rPr>
            </w:r>
            <w:r w:rsidR="00520E48">
              <w:rPr>
                <w:noProof/>
                <w:webHidden/>
              </w:rPr>
              <w:fldChar w:fldCharType="separate"/>
            </w:r>
            <w:r w:rsidR="00520E48">
              <w:rPr>
                <w:noProof/>
                <w:webHidden/>
              </w:rPr>
              <w:t>17</w:t>
            </w:r>
            <w:r w:rsidR="00520E48">
              <w:rPr>
                <w:noProof/>
                <w:webHidden/>
              </w:rPr>
              <w:fldChar w:fldCharType="end"/>
            </w:r>
          </w:hyperlink>
        </w:p>
        <w:p w14:paraId="1B023A12" w14:textId="77F1A453" w:rsidR="00520E48" w:rsidRDefault="004A5464">
          <w:pPr>
            <w:pStyle w:val="TOC3"/>
            <w:rPr>
              <w:rFonts w:asciiTheme="minorHAnsi" w:eastAsiaTheme="minorEastAsia" w:hAnsiTheme="minorHAnsi" w:cstheme="minorBidi"/>
              <w:b w:val="0"/>
              <w:noProof/>
              <w:szCs w:val="22"/>
              <w:lang w:eastAsia="en-AU"/>
            </w:rPr>
          </w:pPr>
          <w:hyperlink w:anchor="_Toc122676215" w:history="1">
            <w:r w:rsidR="00520E48" w:rsidRPr="00FC7890">
              <w:rPr>
                <w:rStyle w:val="Hyperlink"/>
                <w:noProof/>
              </w:rPr>
              <w:t>Alternative names</w:t>
            </w:r>
            <w:r w:rsidR="00520E48">
              <w:rPr>
                <w:noProof/>
                <w:webHidden/>
              </w:rPr>
              <w:tab/>
            </w:r>
            <w:r w:rsidR="00520E48">
              <w:rPr>
                <w:noProof/>
                <w:webHidden/>
              </w:rPr>
              <w:fldChar w:fldCharType="begin"/>
            </w:r>
            <w:r w:rsidR="00520E48">
              <w:rPr>
                <w:noProof/>
                <w:webHidden/>
              </w:rPr>
              <w:instrText xml:space="preserve"> PAGEREF _Toc122676215 \h </w:instrText>
            </w:r>
            <w:r w:rsidR="00520E48">
              <w:rPr>
                <w:noProof/>
                <w:webHidden/>
              </w:rPr>
            </w:r>
            <w:r w:rsidR="00520E48">
              <w:rPr>
                <w:noProof/>
                <w:webHidden/>
              </w:rPr>
              <w:fldChar w:fldCharType="separate"/>
            </w:r>
            <w:r w:rsidR="00520E48">
              <w:rPr>
                <w:noProof/>
                <w:webHidden/>
              </w:rPr>
              <w:t>17</w:t>
            </w:r>
            <w:r w:rsidR="00520E48">
              <w:rPr>
                <w:noProof/>
                <w:webHidden/>
              </w:rPr>
              <w:fldChar w:fldCharType="end"/>
            </w:r>
          </w:hyperlink>
        </w:p>
        <w:p w14:paraId="3F7A7F35" w14:textId="29656EAA" w:rsidR="00520E48" w:rsidRDefault="004A5464">
          <w:pPr>
            <w:pStyle w:val="TOC3"/>
            <w:rPr>
              <w:rFonts w:asciiTheme="minorHAnsi" w:eastAsiaTheme="minorEastAsia" w:hAnsiTheme="minorHAnsi" w:cstheme="minorBidi"/>
              <w:b w:val="0"/>
              <w:noProof/>
              <w:szCs w:val="22"/>
              <w:lang w:eastAsia="en-AU"/>
            </w:rPr>
          </w:pPr>
          <w:hyperlink w:anchor="_Toc122676216" w:history="1">
            <w:r w:rsidR="00520E48" w:rsidRPr="00FC7890">
              <w:rPr>
                <w:rStyle w:val="Hyperlink"/>
                <w:noProof/>
              </w:rPr>
              <w:t>Applicant</w:t>
            </w:r>
            <w:r w:rsidR="00520E48">
              <w:rPr>
                <w:noProof/>
                <w:webHidden/>
              </w:rPr>
              <w:tab/>
            </w:r>
            <w:r w:rsidR="00520E48">
              <w:rPr>
                <w:noProof/>
                <w:webHidden/>
              </w:rPr>
              <w:fldChar w:fldCharType="begin"/>
            </w:r>
            <w:r w:rsidR="00520E48">
              <w:rPr>
                <w:noProof/>
                <w:webHidden/>
              </w:rPr>
              <w:instrText xml:space="preserve"> PAGEREF _Toc122676216 \h </w:instrText>
            </w:r>
            <w:r w:rsidR="00520E48">
              <w:rPr>
                <w:noProof/>
                <w:webHidden/>
              </w:rPr>
            </w:r>
            <w:r w:rsidR="00520E48">
              <w:rPr>
                <w:noProof/>
                <w:webHidden/>
              </w:rPr>
              <w:fldChar w:fldCharType="separate"/>
            </w:r>
            <w:r w:rsidR="00520E48">
              <w:rPr>
                <w:noProof/>
                <w:webHidden/>
              </w:rPr>
              <w:t>17</w:t>
            </w:r>
            <w:r w:rsidR="00520E48">
              <w:rPr>
                <w:noProof/>
                <w:webHidden/>
              </w:rPr>
              <w:fldChar w:fldCharType="end"/>
            </w:r>
          </w:hyperlink>
        </w:p>
        <w:p w14:paraId="596EF6B5" w14:textId="43863AEB" w:rsidR="00520E48" w:rsidRDefault="004A5464">
          <w:pPr>
            <w:pStyle w:val="TOC3"/>
            <w:rPr>
              <w:rFonts w:asciiTheme="minorHAnsi" w:eastAsiaTheme="minorEastAsia" w:hAnsiTheme="minorHAnsi" w:cstheme="minorBidi"/>
              <w:b w:val="0"/>
              <w:noProof/>
              <w:szCs w:val="22"/>
              <w:lang w:eastAsia="en-AU"/>
            </w:rPr>
          </w:pPr>
          <w:hyperlink w:anchor="_Toc122676217" w:history="1">
            <w:r w:rsidR="00520E48" w:rsidRPr="00FC7890">
              <w:rPr>
                <w:rStyle w:val="Hyperlink"/>
                <w:noProof/>
              </w:rPr>
              <w:t>Proposed scheduling</w:t>
            </w:r>
            <w:r w:rsidR="00520E48">
              <w:rPr>
                <w:noProof/>
                <w:webHidden/>
              </w:rPr>
              <w:tab/>
            </w:r>
            <w:r w:rsidR="00520E48">
              <w:rPr>
                <w:noProof/>
                <w:webHidden/>
              </w:rPr>
              <w:fldChar w:fldCharType="begin"/>
            </w:r>
            <w:r w:rsidR="00520E48">
              <w:rPr>
                <w:noProof/>
                <w:webHidden/>
              </w:rPr>
              <w:instrText xml:space="preserve"> PAGEREF _Toc122676217 \h </w:instrText>
            </w:r>
            <w:r w:rsidR="00520E48">
              <w:rPr>
                <w:noProof/>
                <w:webHidden/>
              </w:rPr>
            </w:r>
            <w:r w:rsidR="00520E48">
              <w:rPr>
                <w:noProof/>
                <w:webHidden/>
              </w:rPr>
              <w:fldChar w:fldCharType="separate"/>
            </w:r>
            <w:r w:rsidR="00520E48">
              <w:rPr>
                <w:noProof/>
                <w:webHidden/>
              </w:rPr>
              <w:t>17</w:t>
            </w:r>
            <w:r w:rsidR="00520E48">
              <w:rPr>
                <w:noProof/>
                <w:webHidden/>
              </w:rPr>
              <w:fldChar w:fldCharType="end"/>
            </w:r>
          </w:hyperlink>
        </w:p>
        <w:p w14:paraId="10FB7185" w14:textId="10FD595C" w:rsidR="00520E48" w:rsidRDefault="004A5464">
          <w:pPr>
            <w:pStyle w:val="TOC3"/>
            <w:rPr>
              <w:rFonts w:asciiTheme="minorHAnsi" w:eastAsiaTheme="minorEastAsia" w:hAnsiTheme="minorHAnsi" w:cstheme="minorBidi"/>
              <w:b w:val="0"/>
              <w:noProof/>
              <w:szCs w:val="22"/>
              <w:lang w:eastAsia="en-AU"/>
            </w:rPr>
          </w:pPr>
          <w:hyperlink w:anchor="_Toc122676218" w:history="1">
            <w:r w:rsidR="00520E48" w:rsidRPr="00FC7890">
              <w:rPr>
                <w:rStyle w:val="Hyperlink"/>
                <w:noProof/>
              </w:rPr>
              <w:t>Key uses / expected use</w:t>
            </w:r>
            <w:r w:rsidR="00520E48">
              <w:rPr>
                <w:noProof/>
                <w:webHidden/>
              </w:rPr>
              <w:tab/>
            </w:r>
            <w:r w:rsidR="00520E48">
              <w:rPr>
                <w:noProof/>
                <w:webHidden/>
              </w:rPr>
              <w:fldChar w:fldCharType="begin"/>
            </w:r>
            <w:r w:rsidR="00520E48">
              <w:rPr>
                <w:noProof/>
                <w:webHidden/>
              </w:rPr>
              <w:instrText xml:space="preserve"> PAGEREF _Toc122676218 \h </w:instrText>
            </w:r>
            <w:r w:rsidR="00520E48">
              <w:rPr>
                <w:noProof/>
                <w:webHidden/>
              </w:rPr>
            </w:r>
            <w:r w:rsidR="00520E48">
              <w:rPr>
                <w:noProof/>
                <w:webHidden/>
              </w:rPr>
              <w:fldChar w:fldCharType="separate"/>
            </w:r>
            <w:r w:rsidR="00520E48">
              <w:rPr>
                <w:noProof/>
                <w:webHidden/>
              </w:rPr>
              <w:t>19</w:t>
            </w:r>
            <w:r w:rsidR="00520E48">
              <w:rPr>
                <w:noProof/>
                <w:webHidden/>
              </w:rPr>
              <w:fldChar w:fldCharType="end"/>
            </w:r>
          </w:hyperlink>
        </w:p>
        <w:p w14:paraId="193EC726" w14:textId="666DF827" w:rsidR="00520E48" w:rsidRDefault="004A5464">
          <w:pPr>
            <w:pStyle w:val="TOC3"/>
            <w:rPr>
              <w:rFonts w:asciiTheme="minorHAnsi" w:eastAsiaTheme="minorEastAsia" w:hAnsiTheme="minorHAnsi" w:cstheme="minorBidi"/>
              <w:b w:val="0"/>
              <w:noProof/>
              <w:szCs w:val="22"/>
              <w:lang w:eastAsia="en-AU"/>
            </w:rPr>
          </w:pPr>
          <w:hyperlink w:anchor="_Toc122676219" w:history="1">
            <w:r w:rsidR="00520E48" w:rsidRPr="00FC7890">
              <w:rPr>
                <w:rStyle w:val="Hyperlink"/>
                <w:noProof/>
              </w:rPr>
              <w:t>Background</w:t>
            </w:r>
            <w:r w:rsidR="00520E48">
              <w:rPr>
                <w:noProof/>
                <w:webHidden/>
              </w:rPr>
              <w:tab/>
            </w:r>
            <w:r w:rsidR="00520E48">
              <w:rPr>
                <w:noProof/>
                <w:webHidden/>
              </w:rPr>
              <w:fldChar w:fldCharType="begin"/>
            </w:r>
            <w:r w:rsidR="00520E48">
              <w:rPr>
                <w:noProof/>
                <w:webHidden/>
              </w:rPr>
              <w:instrText xml:space="preserve"> PAGEREF _Toc122676219 \h </w:instrText>
            </w:r>
            <w:r w:rsidR="00520E48">
              <w:rPr>
                <w:noProof/>
                <w:webHidden/>
              </w:rPr>
            </w:r>
            <w:r w:rsidR="00520E48">
              <w:rPr>
                <w:noProof/>
                <w:webHidden/>
              </w:rPr>
              <w:fldChar w:fldCharType="separate"/>
            </w:r>
            <w:r w:rsidR="00520E48">
              <w:rPr>
                <w:noProof/>
                <w:webHidden/>
              </w:rPr>
              <w:t>19</w:t>
            </w:r>
            <w:r w:rsidR="00520E48">
              <w:rPr>
                <w:noProof/>
                <w:webHidden/>
              </w:rPr>
              <w:fldChar w:fldCharType="end"/>
            </w:r>
          </w:hyperlink>
        </w:p>
        <w:p w14:paraId="186AA964" w14:textId="292319C5" w:rsidR="00520E48" w:rsidRDefault="004A5464">
          <w:pPr>
            <w:pStyle w:val="TOC3"/>
            <w:rPr>
              <w:rFonts w:asciiTheme="minorHAnsi" w:eastAsiaTheme="minorEastAsia" w:hAnsiTheme="minorHAnsi" w:cstheme="minorBidi"/>
              <w:b w:val="0"/>
              <w:noProof/>
              <w:szCs w:val="22"/>
              <w:lang w:eastAsia="en-AU"/>
            </w:rPr>
          </w:pPr>
          <w:hyperlink w:anchor="_Toc122676220" w:history="1">
            <w:r w:rsidR="00520E48" w:rsidRPr="00FC7890">
              <w:rPr>
                <w:rStyle w:val="Hyperlink"/>
                <w:noProof/>
              </w:rPr>
              <w:t>Summary of reasons for the proposal</w:t>
            </w:r>
            <w:r w:rsidR="00520E48">
              <w:rPr>
                <w:noProof/>
                <w:webHidden/>
              </w:rPr>
              <w:tab/>
            </w:r>
            <w:r w:rsidR="00520E48">
              <w:rPr>
                <w:noProof/>
                <w:webHidden/>
              </w:rPr>
              <w:fldChar w:fldCharType="begin"/>
            </w:r>
            <w:r w:rsidR="00520E48">
              <w:rPr>
                <w:noProof/>
                <w:webHidden/>
              </w:rPr>
              <w:instrText xml:space="preserve"> PAGEREF _Toc122676220 \h </w:instrText>
            </w:r>
            <w:r w:rsidR="00520E48">
              <w:rPr>
                <w:noProof/>
                <w:webHidden/>
              </w:rPr>
            </w:r>
            <w:r w:rsidR="00520E48">
              <w:rPr>
                <w:noProof/>
                <w:webHidden/>
              </w:rPr>
              <w:fldChar w:fldCharType="separate"/>
            </w:r>
            <w:r w:rsidR="00520E48">
              <w:rPr>
                <w:noProof/>
                <w:webHidden/>
              </w:rPr>
              <w:t>19</w:t>
            </w:r>
            <w:r w:rsidR="00520E48">
              <w:rPr>
                <w:noProof/>
                <w:webHidden/>
              </w:rPr>
              <w:fldChar w:fldCharType="end"/>
            </w:r>
          </w:hyperlink>
        </w:p>
        <w:p w14:paraId="4EF117BA" w14:textId="0C545F3B" w:rsidR="00520E48" w:rsidRDefault="004A5464">
          <w:pPr>
            <w:pStyle w:val="TOC3"/>
            <w:rPr>
              <w:rFonts w:asciiTheme="minorHAnsi" w:eastAsiaTheme="minorEastAsia" w:hAnsiTheme="minorHAnsi" w:cstheme="minorBidi"/>
              <w:b w:val="0"/>
              <w:noProof/>
              <w:szCs w:val="22"/>
              <w:lang w:eastAsia="en-AU"/>
            </w:rPr>
          </w:pPr>
          <w:hyperlink w:anchor="_Toc122676221" w:history="1">
            <w:r w:rsidR="00520E48" w:rsidRPr="00FC7890">
              <w:rPr>
                <w:rStyle w:val="Hyperlink"/>
                <w:noProof/>
              </w:rPr>
              <w:t>Australian regulations</w:t>
            </w:r>
            <w:r w:rsidR="00520E48">
              <w:rPr>
                <w:noProof/>
                <w:webHidden/>
              </w:rPr>
              <w:tab/>
            </w:r>
            <w:r w:rsidR="00520E48">
              <w:rPr>
                <w:noProof/>
                <w:webHidden/>
              </w:rPr>
              <w:fldChar w:fldCharType="begin"/>
            </w:r>
            <w:r w:rsidR="00520E48">
              <w:rPr>
                <w:noProof/>
                <w:webHidden/>
              </w:rPr>
              <w:instrText xml:space="preserve"> PAGEREF _Toc122676221 \h </w:instrText>
            </w:r>
            <w:r w:rsidR="00520E48">
              <w:rPr>
                <w:noProof/>
                <w:webHidden/>
              </w:rPr>
            </w:r>
            <w:r w:rsidR="00520E48">
              <w:rPr>
                <w:noProof/>
                <w:webHidden/>
              </w:rPr>
              <w:fldChar w:fldCharType="separate"/>
            </w:r>
            <w:r w:rsidR="00520E48">
              <w:rPr>
                <w:noProof/>
                <w:webHidden/>
              </w:rPr>
              <w:t>20</w:t>
            </w:r>
            <w:r w:rsidR="00520E48">
              <w:rPr>
                <w:noProof/>
                <w:webHidden/>
              </w:rPr>
              <w:fldChar w:fldCharType="end"/>
            </w:r>
          </w:hyperlink>
        </w:p>
        <w:p w14:paraId="12280F78" w14:textId="2F365CFC" w:rsidR="00520E48" w:rsidRDefault="004A5464">
          <w:pPr>
            <w:pStyle w:val="TOC3"/>
            <w:rPr>
              <w:rFonts w:asciiTheme="minorHAnsi" w:eastAsiaTheme="minorEastAsia" w:hAnsiTheme="minorHAnsi" w:cstheme="minorBidi"/>
              <w:b w:val="0"/>
              <w:noProof/>
              <w:szCs w:val="22"/>
              <w:lang w:eastAsia="en-AU"/>
            </w:rPr>
          </w:pPr>
          <w:hyperlink w:anchor="_Toc122676222" w:history="1">
            <w:r w:rsidR="00520E48" w:rsidRPr="00FC7890">
              <w:rPr>
                <w:rStyle w:val="Hyperlink"/>
                <w:noProof/>
              </w:rPr>
              <w:t>International regulations</w:t>
            </w:r>
            <w:r w:rsidR="00520E48">
              <w:rPr>
                <w:noProof/>
                <w:webHidden/>
              </w:rPr>
              <w:tab/>
            </w:r>
            <w:r w:rsidR="00520E48">
              <w:rPr>
                <w:noProof/>
                <w:webHidden/>
              </w:rPr>
              <w:fldChar w:fldCharType="begin"/>
            </w:r>
            <w:r w:rsidR="00520E48">
              <w:rPr>
                <w:noProof/>
                <w:webHidden/>
              </w:rPr>
              <w:instrText xml:space="preserve"> PAGEREF _Toc122676222 \h </w:instrText>
            </w:r>
            <w:r w:rsidR="00520E48">
              <w:rPr>
                <w:noProof/>
                <w:webHidden/>
              </w:rPr>
            </w:r>
            <w:r w:rsidR="00520E48">
              <w:rPr>
                <w:noProof/>
                <w:webHidden/>
              </w:rPr>
              <w:fldChar w:fldCharType="separate"/>
            </w:r>
            <w:r w:rsidR="00520E48">
              <w:rPr>
                <w:noProof/>
                <w:webHidden/>
              </w:rPr>
              <w:t>21</w:t>
            </w:r>
            <w:r w:rsidR="00520E48">
              <w:rPr>
                <w:noProof/>
                <w:webHidden/>
              </w:rPr>
              <w:fldChar w:fldCharType="end"/>
            </w:r>
          </w:hyperlink>
        </w:p>
        <w:p w14:paraId="25E61A5B" w14:textId="4643A863" w:rsidR="00520E48" w:rsidRDefault="004A5464">
          <w:pPr>
            <w:pStyle w:val="TOC1"/>
            <w:tabs>
              <w:tab w:val="left" w:pos="425"/>
            </w:tabs>
            <w:rPr>
              <w:rFonts w:asciiTheme="minorHAnsi" w:eastAsiaTheme="minorEastAsia" w:hAnsiTheme="minorHAnsi" w:cstheme="minorBidi"/>
              <w:b w:val="0"/>
              <w:noProof/>
              <w:sz w:val="22"/>
              <w:szCs w:val="22"/>
              <w:lang w:eastAsia="en-AU"/>
            </w:rPr>
          </w:pPr>
          <w:hyperlink w:anchor="_Toc122676223" w:history="1">
            <w:r w:rsidR="00520E48" w:rsidRPr="00FC7890">
              <w:rPr>
                <w:rStyle w:val="Hyperlink"/>
                <w:noProof/>
              </w:rPr>
              <w:t>5</w:t>
            </w:r>
            <w:r w:rsidR="00520E48">
              <w:rPr>
                <w:rFonts w:asciiTheme="minorHAnsi" w:eastAsiaTheme="minorEastAsia" w:hAnsiTheme="minorHAnsi" w:cstheme="minorBidi"/>
                <w:b w:val="0"/>
                <w:noProof/>
                <w:sz w:val="22"/>
                <w:szCs w:val="22"/>
                <w:lang w:eastAsia="en-AU"/>
              </w:rPr>
              <w:tab/>
            </w:r>
            <w:r w:rsidR="00520E48" w:rsidRPr="00FC7890">
              <w:rPr>
                <w:rStyle w:val="Hyperlink"/>
                <w:noProof/>
              </w:rPr>
              <w:t>How to respond</w:t>
            </w:r>
            <w:r w:rsidR="00520E48">
              <w:rPr>
                <w:noProof/>
                <w:webHidden/>
              </w:rPr>
              <w:tab/>
            </w:r>
            <w:r w:rsidR="00520E48">
              <w:rPr>
                <w:noProof/>
                <w:webHidden/>
              </w:rPr>
              <w:fldChar w:fldCharType="begin"/>
            </w:r>
            <w:r w:rsidR="00520E48">
              <w:rPr>
                <w:noProof/>
                <w:webHidden/>
              </w:rPr>
              <w:instrText xml:space="preserve"> PAGEREF _Toc122676223 \h </w:instrText>
            </w:r>
            <w:r w:rsidR="00520E48">
              <w:rPr>
                <w:noProof/>
                <w:webHidden/>
              </w:rPr>
            </w:r>
            <w:r w:rsidR="00520E48">
              <w:rPr>
                <w:noProof/>
                <w:webHidden/>
              </w:rPr>
              <w:fldChar w:fldCharType="separate"/>
            </w:r>
            <w:r w:rsidR="00520E48">
              <w:rPr>
                <w:noProof/>
                <w:webHidden/>
              </w:rPr>
              <w:t>22</w:t>
            </w:r>
            <w:r w:rsidR="00520E48">
              <w:rPr>
                <w:noProof/>
                <w:webHidden/>
              </w:rPr>
              <w:fldChar w:fldCharType="end"/>
            </w:r>
          </w:hyperlink>
        </w:p>
        <w:p w14:paraId="078DCB89" w14:textId="46C5AD8E" w:rsidR="00520E48" w:rsidRDefault="004A5464">
          <w:pPr>
            <w:pStyle w:val="TOC1"/>
            <w:tabs>
              <w:tab w:val="left" w:pos="425"/>
            </w:tabs>
            <w:rPr>
              <w:rFonts w:asciiTheme="minorHAnsi" w:eastAsiaTheme="minorEastAsia" w:hAnsiTheme="minorHAnsi" w:cstheme="minorBidi"/>
              <w:b w:val="0"/>
              <w:noProof/>
              <w:sz w:val="22"/>
              <w:szCs w:val="22"/>
              <w:lang w:eastAsia="en-AU"/>
            </w:rPr>
          </w:pPr>
          <w:hyperlink w:anchor="_Toc122676224" w:history="1">
            <w:r w:rsidR="00520E48" w:rsidRPr="00FC7890">
              <w:rPr>
                <w:rStyle w:val="Hyperlink"/>
                <w:noProof/>
              </w:rPr>
              <w:t>6</w:t>
            </w:r>
            <w:r w:rsidR="00520E48">
              <w:rPr>
                <w:rFonts w:asciiTheme="minorHAnsi" w:eastAsiaTheme="minorEastAsia" w:hAnsiTheme="minorHAnsi" w:cstheme="minorBidi"/>
                <w:b w:val="0"/>
                <w:noProof/>
                <w:sz w:val="22"/>
                <w:szCs w:val="22"/>
                <w:lang w:eastAsia="en-AU"/>
              </w:rPr>
              <w:tab/>
            </w:r>
            <w:r w:rsidR="00520E48" w:rsidRPr="00FC7890">
              <w:rPr>
                <w:rStyle w:val="Hyperlink"/>
                <w:noProof/>
              </w:rPr>
              <w:t>What will happen</w:t>
            </w:r>
            <w:r w:rsidR="00520E48">
              <w:rPr>
                <w:noProof/>
                <w:webHidden/>
              </w:rPr>
              <w:tab/>
            </w:r>
            <w:r w:rsidR="00520E48">
              <w:rPr>
                <w:noProof/>
                <w:webHidden/>
              </w:rPr>
              <w:fldChar w:fldCharType="begin"/>
            </w:r>
            <w:r w:rsidR="00520E48">
              <w:rPr>
                <w:noProof/>
                <w:webHidden/>
              </w:rPr>
              <w:instrText xml:space="preserve"> PAGEREF _Toc122676224 \h </w:instrText>
            </w:r>
            <w:r w:rsidR="00520E48">
              <w:rPr>
                <w:noProof/>
                <w:webHidden/>
              </w:rPr>
            </w:r>
            <w:r w:rsidR="00520E48">
              <w:rPr>
                <w:noProof/>
                <w:webHidden/>
              </w:rPr>
              <w:fldChar w:fldCharType="separate"/>
            </w:r>
            <w:r w:rsidR="00520E48">
              <w:rPr>
                <w:noProof/>
                <w:webHidden/>
              </w:rPr>
              <w:t>22</w:t>
            </w:r>
            <w:r w:rsidR="00520E48">
              <w:rPr>
                <w:noProof/>
                <w:webHidden/>
              </w:rPr>
              <w:fldChar w:fldCharType="end"/>
            </w:r>
          </w:hyperlink>
        </w:p>
        <w:p w14:paraId="7CBED58D" w14:textId="65C5FC44" w:rsidR="00B92C72" w:rsidRPr="009401F6" w:rsidRDefault="006C626D" w:rsidP="0023397F">
          <w:r w:rsidRPr="009401F6">
            <w:fldChar w:fldCharType="end"/>
          </w:r>
        </w:p>
      </w:sdtContent>
    </w:sdt>
    <w:p w14:paraId="3A13C90F" w14:textId="77777777" w:rsidR="006807F5" w:rsidRDefault="006807F5">
      <w:pPr>
        <w:spacing w:before="0" w:after="0" w:line="240" w:lineRule="auto"/>
      </w:pPr>
      <w:r>
        <w:br w:type="page"/>
      </w:r>
    </w:p>
    <w:p w14:paraId="6DE911EE" w14:textId="2B1812D3" w:rsidR="00D371A8" w:rsidRDefault="00D371A8" w:rsidP="00D371A8">
      <w:pPr>
        <w:pStyle w:val="Heading2"/>
        <w:rPr>
          <w:lang w:val="en"/>
        </w:rPr>
      </w:pPr>
      <w:bookmarkStart w:id="1" w:name="_Toc122676175"/>
      <w:r>
        <w:rPr>
          <w:lang w:val="en"/>
        </w:rPr>
        <w:lastRenderedPageBreak/>
        <w:t>About this consultation</w:t>
      </w:r>
      <w:bookmarkEnd w:id="1"/>
    </w:p>
    <w:p w14:paraId="41C4D5ED" w14:textId="430013F3" w:rsidR="006807F5" w:rsidRPr="006807F5" w:rsidRDefault="006807F5" w:rsidP="006807F5">
      <w:r w:rsidRPr="006807F5">
        <w:t>Subdivision 3D.2 of the </w:t>
      </w:r>
      <w:r w:rsidRPr="006807F5">
        <w:rPr>
          <w:i/>
          <w:iCs/>
        </w:rPr>
        <w:t>Therapeutic Goods Regulations 1990</w:t>
      </w:r>
      <w:r w:rsidRPr="006807F5">
        <w:t xml:space="preserve"> (the </w:t>
      </w:r>
      <w:r w:rsidRPr="00105CEE">
        <w:rPr>
          <w:b/>
          <w:bCs/>
        </w:rPr>
        <w:t>Regulations</w:t>
      </w:r>
      <w:r w:rsidRPr="006807F5">
        <w:t>) sets out the procedure to be followed where the Secretary</w:t>
      </w:r>
      <w:r w:rsidR="000D295C">
        <w:t xml:space="preserve"> of the Department of Health and Aged Care</w:t>
      </w:r>
      <w:r w:rsidRPr="006807F5">
        <w:t xml:space="preserve"> receives an application under section 52EAA of the </w:t>
      </w:r>
      <w:r w:rsidRPr="006807F5">
        <w:rPr>
          <w:i/>
          <w:iCs/>
        </w:rPr>
        <w:t>Therapeutic Goods Act 1989</w:t>
      </w:r>
      <w:r w:rsidRPr="006807F5">
        <w:t xml:space="preserve"> (the </w:t>
      </w:r>
      <w:r w:rsidRPr="00105CEE">
        <w:rPr>
          <w:b/>
          <w:bCs/>
        </w:rPr>
        <w:t>Act</w:t>
      </w:r>
      <w:r w:rsidRPr="006807F5">
        <w:t>) to amend the current Poisons Standard or decides to amend the Poisons Standard on his or her own initiative and decides to refer the proposed amendment to an expert advisory committee. These include, under regulation 42ZCZK, that the Secretary publish (in a manner the Secretary considers appropriate) the proposed amendment to be referred to an expert advisory committee, the committee to which the proposed amendment will be referred, and the date of the committee meeting. The Secretary must also invite public submissions to be made to the expert advisory committee by a date mentioned in the notice as the closing date, allowing at least 20 business days after publication of the notice.</w:t>
      </w:r>
    </w:p>
    <w:p w14:paraId="374FB426" w14:textId="6B6B9574" w:rsidR="006807F5" w:rsidRDefault="00D371A8" w:rsidP="006807F5">
      <w:r>
        <w:rPr>
          <w:noProof/>
        </w:rPr>
        <mc:AlternateContent>
          <mc:Choice Requires="wps">
            <w:drawing>
              <wp:anchor distT="0" distB="0" distL="114300" distR="114300" simplePos="0" relativeHeight="251659264" behindDoc="0" locked="0" layoutInCell="1" allowOverlap="1" wp14:anchorId="63008A7C" wp14:editId="07BA8C2A">
                <wp:simplePos x="0" y="0"/>
                <wp:positionH relativeFrom="margin">
                  <wp:align>left</wp:align>
                </wp:positionH>
                <wp:positionV relativeFrom="paragraph">
                  <wp:posOffset>778510</wp:posOffset>
                </wp:positionV>
                <wp:extent cx="1828800" cy="1828800"/>
                <wp:effectExtent l="0" t="0" r="25400" b="1333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C6D0E9"/>
                        </a:solidFill>
                        <a:ln w="6350">
                          <a:solidFill>
                            <a:prstClr val="black"/>
                          </a:solidFill>
                        </a:ln>
                      </wps:spPr>
                      <wps:txbx>
                        <w:txbxContent>
                          <w:p w14:paraId="02861CED" w14:textId="062180B5" w:rsidR="00D371A8" w:rsidRPr="006807F5" w:rsidRDefault="00D371A8" w:rsidP="00D371A8">
                            <w:pPr>
                              <w:rPr>
                                <w:lang w:val="en"/>
                              </w:rPr>
                            </w:pPr>
                            <w:r w:rsidRPr="006807F5">
                              <w:t xml:space="preserve">Submissions should be provided through </w:t>
                            </w:r>
                            <w:r w:rsidRPr="00C6072C">
                              <w:t>our</w:t>
                            </w:r>
                            <w:r w:rsidRPr="00C6072C">
                              <w:rPr>
                                <w:lang w:val="en"/>
                              </w:rPr>
                              <w:t xml:space="preserve"> </w:t>
                            </w:r>
                            <w:hyperlink r:id="rId10" w:history="1">
                              <w:r w:rsidRPr="00C6072C">
                                <w:rPr>
                                  <w:rStyle w:val="Hyperlink"/>
                                </w:rPr>
                                <w:t>consultation hub</w:t>
                              </w:r>
                            </w:hyperlink>
                            <w:r w:rsidRPr="00C6072C">
                              <w:rPr>
                                <w:lang w:val="en"/>
                              </w:rPr>
                              <w:t>.</w:t>
                            </w:r>
                            <w:r w:rsidRPr="006807F5">
                              <w:rPr>
                                <w:lang w:val="en"/>
                              </w:rPr>
                              <w:t xml:space="preserve"> </w:t>
                            </w:r>
                            <w:r w:rsidRPr="006807F5">
                              <w:t>Any submission about any of the proposals to amend the Poisons Standard will be considered at the next meeting of the</w:t>
                            </w:r>
                            <w:r w:rsidRPr="006807F5">
                              <w:rPr>
                                <w:lang w:val="en"/>
                              </w:rPr>
                              <w:t xml:space="preserve"> </w:t>
                            </w:r>
                            <w:hyperlink r:id="rId11" w:history="1">
                              <w:r w:rsidRPr="006807F5">
                                <w:rPr>
                                  <w:rStyle w:val="Hyperlink"/>
                                </w:rPr>
                                <w:t>Advisory Committee on Medicines Scheduling (ACMS)</w:t>
                              </w:r>
                            </w:hyperlink>
                            <w:r w:rsidRPr="006807F5">
                              <w:rPr>
                                <w:lang w:val="en"/>
                              </w:rPr>
                              <w:t xml:space="preserve">, </w:t>
                            </w:r>
                            <w:r w:rsidRPr="006807F5">
                              <w:t>meeting of the</w:t>
                            </w:r>
                            <w:r w:rsidRPr="006807F5">
                              <w:rPr>
                                <w:lang w:val="en"/>
                              </w:rPr>
                              <w:t xml:space="preserve"> </w:t>
                            </w:r>
                            <w:hyperlink r:id="rId12" w:history="1">
                              <w:r w:rsidRPr="006807F5">
                                <w:rPr>
                                  <w:rStyle w:val="Hyperlink"/>
                                </w:rPr>
                                <w:t>Advisory Committee on Chemicals Scheduling (ACCS)</w:t>
                              </w:r>
                            </w:hyperlink>
                            <w:r w:rsidRPr="006807F5">
                              <w:rPr>
                                <w:lang w:val="en"/>
                              </w:rPr>
                              <w:t xml:space="preserve">, </w:t>
                            </w:r>
                            <w:r w:rsidRPr="006807F5">
                              <w:t>or a joint meeting of these two committees</w:t>
                            </w:r>
                            <w:r w:rsidR="003A1B1F">
                              <w:t xml:space="preserve"> (Joint ACMS-ACCS)</w:t>
                            </w:r>
                            <w:r w:rsidRPr="006807F5">
                              <w:t>.</w:t>
                            </w:r>
                          </w:p>
                          <w:p w14:paraId="6E106106" w14:textId="002053F5" w:rsidR="00D371A8" w:rsidRPr="006807F5" w:rsidRDefault="00D371A8" w:rsidP="00D371A8">
                            <w:pPr>
                              <w:rPr>
                                <w:b/>
                                <w:lang w:val="en"/>
                              </w:rPr>
                            </w:pPr>
                            <w:r>
                              <w:rPr>
                                <w:b/>
                                <w:lang w:val="en"/>
                              </w:rPr>
                              <w:t xml:space="preserve">This consultation closes on </w:t>
                            </w:r>
                            <w:r w:rsidR="004616EC" w:rsidRPr="00520E48">
                              <w:rPr>
                                <w:b/>
                                <w:lang w:val="en"/>
                              </w:rPr>
                              <w:t>3</w:t>
                            </w:r>
                            <w:r w:rsidRPr="00520E48">
                              <w:rPr>
                                <w:b/>
                                <w:lang w:val="en"/>
                              </w:rPr>
                              <w:t xml:space="preserve"> </w:t>
                            </w:r>
                            <w:r w:rsidR="00B238DA" w:rsidRPr="00520E48">
                              <w:rPr>
                                <w:b/>
                                <w:lang w:val="en"/>
                              </w:rPr>
                              <w:t>February</w:t>
                            </w:r>
                            <w:r w:rsidRPr="00520E48">
                              <w:rPr>
                                <w:b/>
                                <w:lang w:val="en"/>
                              </w:rPr>
                              <w:t xml:space="preserve"> </w:t>
                            </w:r>
                            <w:r w:rsidR="00B238DA" w:rsidRPr="00520E48">
                              <w:rPr>
                                <w:b/>
                                <w:lang w:val="en"/>
                              </w:rPr>
                              <w:t>2023</w:t>
                            </w:r>
                            <w:r w:rsidRPr="006807F5">
                              <w:rPr>
                                <w:b/>
                                <w:lang w:val="en"/>
                              </w:rPr>
                              <w:t>.</w:t>
                            </w:r>
                          </w:p>
                          <w:p w14:paraId="0567147A" w14:textId="77777777" w:rsidR="00D371A8" w:rsidRPr="00C356C4" w:rsidRDefault="00D371A8" w:rsidP="00D371A8">
                            <w:r w:rsidRPr="0010179A">
                              <w:t>We aim to provide documents in an accessible format. If you're having problems using this document, please contact </w:t>
                            </w:r>
                            <w:hyperlink r:id="rId13" w:history="1">
                              <w:r w:rsidRPr="0010179A">
                                <w:rPr>
                                  <w:rStyle w:val="Hyperlink"/>
                                </w:rPr>
                                <w:t>medicines.scheduling@health.gov.au</w:t>
                              </w:r>
                            </w:hyperlink>
                            <w:r w:rsidRPr="0010179A">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3008A7C" id="_x0000_t202" coordsize="21600,21600" o:spt="202" path="m,l,21600r21600,l21600,xe">
                <v:stroke joinstyle="miter"/>
                <v:path gradientshapeok="t" o:connecttype="rect"/>
              </v:shapetype>
              <v:shape id="Text Box 1" o:spid="_x0000_s1026" type="#_x0000_t202" style="position:absolute;margin-left:0;margin-top:61.3pt;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" fillcolor="#c6d0e9" strokeweight=".5pt">
                <v:textbox style="mso-fit-shape-to-text:t">
                  <w:txbxContent>
                    <w:p w14:paraId="02861CED" w14:textId="062180B5" w:rsidR="00D371A8" w:rsidRPr="006807F5" w:rsidRDefault="00D371A8" w:rsidP="00D371A8">
                      <w:pPr>
                        <w:rPr>
                          <w:lang w:val="en"/>
                        </w:rPr>
                      </w:pPr>
                      <w:r w:rsidRPr="006807F5">
                        <w:t xml:space="preserve">Submissions should be provided through </w:t>
                      </w:r>
                      <w:r w:rsidRPr="00C6072C">
                        <w:t>our</w:t>
                      </w:r>
                      <w:r w:rsidRPr="00C6072C">
                        <w:rPr>
                          <w:lang w:val="en"/>
                        </w:rPr>
                        <w:t xml:space="preserve"> </w:t>
                      </w:r>
                      <w:hyperlink r:id="rId14" w:history="1">
                        <w:r w:rsidRPr="00C6072C">
                          <w:rPr>
                            <w:rStyle w:val="Hyperlink"/>
                          </w:rPr>
                          <w:t>consultation hub</w:t>
                        </w:r>
                      </w:hyperlink>
                      <w:r w:rsidRPr="00C6072C">
                        <w:rPr>
                          <w:lang w:val="en"/>
                        </w:rPr>
                        <w:t>.</w:t>
                      </w:r>
                      <w:r w:rsidRPr="006807F5">
                        <w:rPr>
                          <w:lang w:val="en"/>
                        </w:rPr>
                        <w:t xml:space="preserve"> </w:t>
                      </w:r>
                      <w:r w:rsidRPr="006807F5">
                        <w:t>Any submission about any of the proposals to amend the Poisons Standard will be considered at the next meeting of the</w:t>
                      </w:r>
                      <w:r w:rsidRPr="006807F5">
                        <w:rPr>
                          <w:lang w:val="en"/>
                        </w:rPr>
                        <w:t xml:space="preserve"> </w:t>
                      </w:r>
                      <w:hyperlink r:id="rId15" w:history="1">
                        <w:r w:rsidRPr="006807F5">
                          <w:rPr>
                            <w:rStyle w:val="Hyperlink"/>
                          </w:rPr>
                          <w:t>Advisory Committee on Medicines Scheduling (ACMS)</w:t>
                        </w:r>
                      </w:hyperlink>
                      <w:r w:rsidRPr="006807F5">
                        <w:rPr>
                          <w:lang w:val="en"/>
                        </w:rPr>
                        <w:t xml:space="preserve">, </w:t>
                      </w:r>
                      <w:r w:rsidRPr="006807F5">
                        <w:t>meeting of the</w:t>
                      </w:r>
                      <w:r w:rsidRPr="006807F5">
                        <w:rPr>
                          <w:lang w:val="en"/>
                        </w:rPr>
                        <w:t xml:space="preserve"> </w:t>
                      </w:r>
                      <w:hyperlink r:id="rId16" w:history="1">
                        <w:r w:rsidRPr="006807F5">
                          <w:rPr>
                            <w:rStyle w:val="Hyperlink"/>
                          </w:rPr>
                          <w:t>Advisory Committee on Chemicals Scheduling (ACCS)</w:t>
                        </w:r>
                      </w:hyperlink>
                      <w:r w:rsidRPr="006807F5">
                        <w:rPr>
                          <w:lang w:val="en"/>
                        </w:rPr>
                        <w:t xml:space="preserve">, </w:t>
                      </w:r>
                      <w:r w:rsidRPr="006807F5">
                        <w:t>or a joint meeting of these two committees</w:t>
                      </w:r>
                      <w:r w:rsidR="003A1B1F">
                        <w:t xml:space="preserve"> (Joint ACMS-ACCS)</w:t>
                      </w:r>
                      <w:r w:rsidRPr="006807F5">
                        <w:t>.</w:t>
                      </w:r>
                    </w:p>
                    <w:p w14:paraId="6E106106" w14:textId="002053F5" w:rsidR="00D371A8" w:rsidRPr="006807F5" w:rsidRDefault="00D371A8" w:rsidP="00D371A8">
                      <w:pPr>
                        <w:rPr>
                          <w:b/>
                          <w:lang w:val="en"/>
                        </w:rPr>
                      </w:pPr>
                      <w:r>
                        <w:rPr>
                          <w:b/>
                          <w:lang w:val="en"/>
                        </w:rPr>
                        <w:t xml:space="preserve">This consultation closes on </w:t>
                      </w:r>
                      <w:r w:rsidR="004616EC" w:rsidRPr="00520E48">
                        <w:rPr>
                          <w:b/>
                          <w:lang w:val="en"/>
                        </w:rPr>
                        <w:t>3</w:t>
                      </w:r>
                      <w:r w:rsidRPr="00520E48">
                        <w:rPr>
                          <w:b/>
                          <w:lang w:val="en"/>
                        </w:rPr>
                        <w:t xml:space="preserve"> </w:t>
                      </w:r>
                      <w:r w:rsidR="00B238DA" w:rsidRPr="00520E48">
                        <w:rPr>
                          <w:b/>
                          <w:lang w:val="en"/>
                        </w:rPr>
                        <w:t>February</w:t>
                      </w:r>
                      <w:r w:rsidRPr="00520E48">
                        <w:rPr>
                          <w:b/>
                          <w:lang w:val="en"/>
                        </w:rPr>
                        <w:t xml:space="preserve"> </w:t>
                      </w:r>
                      <w:r w:rsidR="00B238DA" w:rsidRPr="00520E48">
                        <w:rPr>
                          <w:b/>
                          <w:lang w:val="en"/>
                        </w:rPr>
                        <w:t>2023</w:t>
                      </w:r>
                      <w:r w:rsidRPr="006807F5">
                        <w:rPr>
                          <w:b/>
                          <w:lang w:val="en"/>
                        </w:rPr>
                        <w:t>.</w:t>
                      </w:r>
                    </w:p>
                    <w:p w14:paraId="0567147A" w14:textId="77777777" w:rsidR="00D371A8" w:rsidRPr="00C356C4" w:rsidRDefault="00D371A8" w:rsidP="00D371A8">
                      <w:r w:rsidRPr="0010179A">
                        <w:t>We aim to provide documents in an accessible format. If you're having problems using this document, please contact </w:t>
                      </w:r>
                      <w:hyperlink r:id="rId17" w:history="1">
                        <w:r w:rsidRPr="0010179A">
                          <w:rPr>
                            <w:rStyle w:val="Hyperlink"/>
                          </w:rPr>
                          <w:t>medicines.scheduling@health.gov.au</w:t>
                        </w:r>
                      </w:hyperlink>
                      <w:r w:rsidRPr="0010179A">
                        <w:t>.</w:t>
                      </w:r>
                    </w:p>
                  </w:txbxContent>
                </v:textbox>
                <w10:wrap type="square" anchorx="margin"/>
              </v:shape>
            </w:pict>
          </mc:Fallback>
        </mc:AlternateContent>
      </w:r>
      <w:r w:rsidR="006807F5" w:rsidRPr="006807F5">
        <w:t xml:space="preserve">In accordance with regulation 42ZCZK of the Regulations, the Secretary invites public submissions on scheduling proposals referred to the </w:t>
      </w:r>
      <w:r w:rsidR="00375863" w:rsidRPr="00375863">
        <w:t>March 2023</w:t>
      </w:r>
      <w:r w:rsidR="006807F5" w:rsidRPr="006807F5">
        <w:t xml:space="preserve"> meeting</w:t>
      </w:r>
      <w:r w:rsidR="00375863">
        <w:t>s</w:t>
      </w:r>
      <w:r w:rsidR="006807F5" w:rsidRPr="006807F5">
        <w:t xml:space="preserve"> of the Advisory Committee</w:t>
      </w:r>
      <w:r w:rsidR="00375863">
        <w:t>s</w:t>
      </w:r>
      <w:r w:rsidR="006807F5" w:rsidRPr="006807F5">
        <w:t xml:space="preserve"> on </w:t>
      </w:r>
      <w:r w:rsidR="006807F5" w:rsidRPr="00375863">
        <w:t>Medicines</w:t>
      </w:r>
      <w:r w:rsidR="00375863" w:rsidRPr="00375863">
        <w:t xml:space="preserve"> and </w:t>
      </w:r>
      <w:r w:rsidR="006807F5" w:rsidRPr="00375863">
        <w:t>Chemicals</w:t>
      </w:r>
      <w:r w:rsidR="006807F5" w:rsidRPr="006807F5">
        <w:t xml:space="preserve"> Scheduling. Submissions must be received by close of business</w:t>
      </w:r>
      <w:r w:rsidR="00520E48">
        <w:t xml:space="preserve"> </w:t>
      </w:r>
      <w:r w:rsidR="004616EC" w:rsidRPr="00520E48">
        <w:rPr>
          <w:b/>
          <w:lang w:val="en"/>
        </w:rPr>
        <w:t xml:space="preserve">3 </w:t>
      </w:r>
      <w:r w:rsidR="00B238DA" w:rsidRPr="00520E48">
        <w:rPr>
          <w:b/>
          <w:lang w:val="en"/>
        </w:rPr>
        <w:t>February</w:t>
      </w:r>
      <w:r w:rsidR="006807F5" w:rsidRPr="00520E48">
        <w:rPr>
          <w:b/>
          <w:lang w:val="en"/>
        </w:rPr>
        <w:t xml:space="preserve"> </w:t>
      </w:r>
      <w:r w:rsidR="00B238DA" w:rsidRPr="00520E48">
        <w:rPr>
          <w:b/>
          <w:lang w:val="en"/>
        </w:rPr>
        <w:t>2023</w:t>
      </w:r>
      <w:r w:rsidR="006807F5" w:rsidRPr="006807F5">
        <w:t>.</w:t>
      </w:r>
    </w:p>
    <w:p w14:paraId="40137743" w14:textId="7C692BD4" w:rsidR="00F8365F" w:rsidRPr="009401F6" w:rsidRDefault="00F8365F" w:rsidP="006807F5">
      <w:r w:rsidRPr="009401F6">
        <w:br w:type="page"/>
      </w:r>
    </w:p>
    <w:p w14:paraId="45D314B0" w14:textId="32D7D4D5" w:rsidR="002C1070" w:rsidRPr="00BC2009" w:rsidRDefault="002C1070" w:rsidP="002C1070">
      <w:pPr>
        <w:pStyle w:val="Heading2"/>
      </w:pPr>
      <w:bookmarkStart w:id="2" w:name="_Toc46751744"/>
      <w:bookmarkStart w:id="3" w:name="_Toc122676176"/>
      <w:bookmarkStart w:id="4" w:name="_Toc323738671"/>
      <w:bookmarkStart w:id="5" w:name="_Toc356305157"/>
      <w:bookmarkEnd w:id="0"/>
      <w:r>
        <w:lastRenderedPageBreak/>
        <w:t>Proposed amendments referred for scheduling advice to ACMS</w:t>
      </w:r>
      <w:r w:rsidR="00105CEE">
        <w:t xml:space="preserve"> meeting</w:t>
      </w:r>
      <w:r>
        <w:t xml:space="preserve"> #</w:t>
      </w:r>
      <w:r w:rsidR="00AE0E0B">
        <w:t>41</w:t>
      </w:r>
      <w:bookmarkEnd w:id="2"/>
      <w:bookmarkEnd w:id="3"/>
    </w:p>
    <w:p w14:paraId="2524A2BB" w14:textId="37B7DA65" w:rsidR="002924DB" w:rsidRPr="00A84EF5" w:rsidRDefault="002924DB" w:rsidP="00AF65C4">
      <w:pPr>
        <w:pStyle w:val="Heading3"/>
      </w:pPr>
      <w:bookmarkStart w:id="6" w:name="_Toc122676177"/>
      <w:bookmarkEnd w:id="4"/>
      <w:bookmarkEnd w:id="5"/>
      <w:r w:rsidRPr="00A84EF5">
        <w:t>Celecoxib</w:t>
      </w:r>
      <w:bookmarkEnd w:id="6"/>
    </w:p>
    <w:p w14:paraId="0983A8B1" w14:textId="77777777" w:rsidR="002924DB" w:rsidRPr="00A84EF5" w:rsidRDefault="002924DB" w:rsidP="00AF08B6">
      <w:pPr>
        <w:pStyle w:val="Heading4"/>
      </w:pPr>
      <w:bookmarkStart w:id="7" w:name="_Toc74743257"/>
      <w:bookmarkStart w:id="8" w:name="_Toc122676178"/>
      <w:r w:rsidRPr="00AF08B6">
        <w:t>Proposal</w:t>
      </w:r>
      <w:bookmarkEnd w:id="7"/>
      <w:bookmarkEnd w:id="8"/>
    </w:p>
    <w:p w14:paraId="1AEB5017" w14:textId="10964E07" w:rsidR="002924DB" w:rsidRPr="00A84EF5" w:rsidRDefault="00B03486" w:rsidP="002924DB">
      <w:pPr>
        <w:rPr>
          <w:rFonts w:cstheme="minorHAnsi"/>
        </w:rPr>
      </w:pPr>
      <w:r>
        <w:rPr>
          <w:rFonts w:cstheme="minorHAnsi"/>
        </w:rPr>
        <w:t>The applicant has proposed creation of a new Schedule 3 entry for c</w:t>
      </w:r>
      <w:r w:rsidR="002924DB" w:rsidRPr="00A84EF5">
        <w:rPr>
          <w:rFonts w:cstheme="minorHAnsi"/>
        </w:rPr>
        <w:t xml:space="preserve">elecoxib </w:t>
      </w:r>
      <w:r>
        <w:rPr>
          <w:rFonts w:cstheme="minorHAnsi"/>
        </w:rPr>
        <w:t>f</w:t>
      </w:r>
      <w:r w:rsidRPr="00A84EF5">
        <w:rPr>
          <w:rFonts w:cstheme="minorHAnsi"/>
        </w:rPr>
        <w:t>or oral use in capsules containing 200</w:t>
      </w:r>
      <w:r w:rsidR="00423BB3">
        <w:rPr>
          <w:rFonts w:cstheme="minorHAnsi"/>
        </w:rPr>
        <w:t xml:space="preserve"> </w:t>
      </w:r>
      <w:r w:rsidRPr="00A84EF5">
        <w:rPr>
          <w:rFonts w:cstheme="minorHAnsi"/>
        </w:rPr>
        <w:t>mg or less per capsule when in pack</w:t>
      </w:r>
      <w:r w:rsidR="000D295C">
        <w:rPr>
          <w:rFonts w:cstheme="minorHAnsi"/>
        </w:rPr>
        <w:t>s</w:t>
      </w:r>
      <w:r w:rsidRPr="00A84EF5">
        <w:rPr>
          <w:rFonts w:cstheme="minorHAnsi"/>
        </w:rPr>
        <w:t xml:space="preserve"> containing not more than 10 dosage units</w:t>
      </w:r>
      <w:r>
        <w:rPr>
          <w:rFonts w:cstheme="minorHAnsi"/>
        </w:rPr>
        <w:t xml:space="preserve">. The new Schedule 3 entry would </w:t>
      </w:r>
      <w:r w:rsidR="000D295C">
        <w:rPr>
          <w:rFonts w:cstheme="minorHAnsi"/>
        </w:rPr>
        <w:t xml:space="preserve">pertain to celecoxib for </w:t>
      </w:r>
      <w:r w:rsidRPr="00A84EF5">
        <w:rPr>
          <w:rFonts w:cstheme="minorHAnsi"/>
        </w:rPr>
        <w:t>short-term treatment of period pain in adults and for the short-term treatment of acute pain in adults with muscle and joint injuries.</w:t>
      </w:r>
      <w:r>
        <w:rPr>
          <w:rFonts w:cstheme="minorHAnsi"/>
        </w:rPr>
        <w:t xml:space="preserve"> </w:t>
      </w:r>
      <w:r w:rsidR="00C057B3">
        <w:rPr>
          <w:rFonts w:cstheme="minorHAnsi"/>
        </w:rPr>
        <w:t xml:space="preserve">The proposal also includes a new Appendix H entry for celecoxib to permit advertising of Schedule 3 preparations. </w:t>
      </w:r>
      <w:r>
        <w:rPr>
          <w:rFonts w:cstheme="minorHAnsi"/>
        </w:rPr>
        <w:t xml:space="preserve">Celecoxib is </w:t>
      </w:r>
      <w:r w:rsidR="002924DB" w:rsidRPr="00A84EF5">
        <w:rPr>
          <w:rFonts w:cstheme="minorHAnsi"/>
        </w:rPr>
        <w:t>an anti-inflammatory medication currently captured in Schedule 4</w:t>
      </w:r>
      <w:r w:rsidR="000816BB">
        <w:rPr>
          <w:rFonts w:cstheme="minorHAnsi"/>
        </w:rPr>
        <w:t xml:space="preserve"> of the Poisons Standard</w:t>
      </w:r>
      <w:r w:rsidR="002924DB" w:rsidRPr="00A84EF5">
        <w:rPr>
          <w:rFonts w:cstheme="minorHAnsi"/>
        </w:rPr>
        <w:t>.</w:t>
      </w:r>
    </w:p>
    <w:p w14:paraId="651D1E3C" w14:textId="45F1C111" w:rsidR="002924DB" w:rsidRPr="00B03486" w:rsidRDefault="002924DB" w:rsidP="00B03486">
      <w:pPr>
        <w:pStyle w:val="Heading4"/>
        <w:rPr>
          <w:rStyle w:val="Strong"/>
          <w:b/>
          <w:bCs/>
        </w:rPr>
      </w:pPr>
      <w:bookmarkStart w:id="9" w:name="_Toc74743258"/>
      <w:bookmarkStart w:id="10" w:name="_Toc122676179"/>
      <w:r w:rsidRPr="00A84EF5">
        <w:t xml:space="preserve">CAS </w:t>
      </w:r>
      <w:r w:rsidRPr="00B92537">
        <w:t>number</w:t>
      </w:r>
      <w:bookmarkEnd w:id="9"/>
      <w:bookmarkEnd w:id="10"/>
    </w:p>
    <w:p w14:paraId="291DD338" w14:textId="60159D57" w:rsidR="002924DB" w:rsidRPr="00C6072C" w:rsidRDefault="002924DB" w:rsidP="002924DB">
      <w:pPr>
        <w:shd w:val="clear" w:color="auto" w:fill="FFFFFF"/>
        <w:spacing w:before="0" w:after="0" w:line="240" w:lineRule="auto"/>
        <w:rPr>
          <w:rFonts w:cstheme="minorHAnsi"/>
          <w:szCs w:val="22"/>
          <w:lang w:eastAsia="en-AU"/>
        </w:rPr>
      </w:pPr>
      <w:r w:rsidRPr="00C6072C">
        <w:rPr>
          <w:rFonts w:cstheme="minorHAnsi"/>
          <w:szCs w:val="22"/>
          <w:shd w:val="clear" w:color="auto" w:fill="FFFFFF"/>
        </w:rPr>
        <w:t>169590-42-5</w:t>
      </w:r>
    </w:p>
    <w:p w14:paraId="783CC2A3" w14:textId="77777777" w:rsidR="002924DB" w:rsidRPr="00A84EF5" w:rsidRDefault="002924DB" w:rsidP="00B92537">
      <w:pPr>
        <w:pStyle w:val="Heading4"/>
      </w:pPr>
      <w:bookmarkStart w:id="11" w:name="_Toc74743259"/>
      <w:bookmarkStart w:id="12" w:name="_Toc122676180"/>
      <w:r w:rsidRPr="00A84EF5">
        <w:t xml:space="preserve">Alternative </w:t>
      </w:r>
      <w:r w:rsidRPr="00B92537">
        <w:t>names</w:t>
      </w:r>
      <w:bookmarkEnd w:id="11"/>
      <w:bookmarkEnd w:id="12"/>
    </w:p>
    <w:p w14:paraId="071C8242" w14:textId="56E462E2" w:rsidR="002924DB" w:rsidRPr="00C6072C" w:rsidRDefault="002924DB" w:rsidP="002924DB">
      <w:pPr>
        <w:shd w:val="clear" w:color="auto" w:fill="FFFFFF"/>
        <w:rPr>
          <w:rFonts w:cstheme="minorHAnsi"/>
          <w:szCs w:val="22"/>
        </w:rPr>
      </w:pPr>
      <w:r w:rsidRPr="00C6072C">
        <w:rPr>
          <w:rFonts w:cstheme="minorHAnsi"/>
          <w:szCs w:val="22"/>
          <w:shd w:val="clear" w:color="auto" w:fill="FFFFFF"/>
        </w:rPr>
        <w:t>4-[5-(4-Methylphenyl)-3-(trifluoromethyl)-1</w:t>
      </w:r>
      <w:r w:rsidRPr="00C6072C">
        <w:rPr>
          <w:rStyle w:val="Emphasis"/>
          <w:rFonts w:cstheme="minorHAnsi"/>
          <w:szCs w:val="22"/>
          <w:shd w:val="clear" w:color="auto" w:fill="FFFFFF"/>
        </w:rPr>
        <w:t>H</w:t>
      </w:r>
      <w:r w:rsidRPr="00C6072C">
        <w:rPr>
          <w:rFonts w:cstheme="minorHAnsi"/>
          <w:szCs w:val="22"/>
          <w:shd w:val="clear" w:color="auto" w:fill="FFFFFF"/>
        </w:rPr>
        <w:t>-pyrazol-1-</w:t>
      </w:r>
      <w:proofErr w:type="gramStart"/>
      <w:r w:rsidRPr="00C6072C">
        <w:rPr>
          <w:rFonts w:cstheme="minorHAnsi"/>
          <w:szCs w:val="22"/>
          <w:shd w:val="clear" w:color="auto" w:fill="FFFFFF"/>
        </w:rPr>
        <w:t>yl]benzenesulfonamide</w:t>
      </w:r>
      <w:proofErr w:type="gramEnd"/>
      <w:r w:rsidRPr="00C6072C">
        <w:rPr>
          <w:rStyle w:val="Strong"/>
          <w:rFonts w:cstheme="minorHAnsi"/>
          <w:szCs w:val="22"/>
        </w:rPr>
        <w:t xml:space="preserve"> </w:t>
      </w:r>
      <w:r w:rsidRPr="00C6072C">
        <w:rPr>
          <w:rFonts w:cstheme="minorHAnsi"/>
          <w:b/>
        </w:rPr>
        <w:t> </w:t>
      </w:r>
    </w:p>
    <w:p w14:paraId="6BBDDFE9" w14:textId="77777777" w:rsidR="002924DB" w:rsidRPr="00A84EF5" w:rsidRDefault="002924DB" w:rsidP="00B92537">
      <w:pPr>
        <w:pStyle w:val="Heading4"/>
      </w:pPr>
      <w:bookmarkStart w:id="13" w:name="_Toc74743260"/>
      <w:bookmarkStart w:id="14" w:name="_Toc122676181"/>
      <w:r w:rsidRPr="00B92537">
        <w:t>Applicant</w:t>
      </w:r>
      <w:bookmarkEnd w:id="13"/>
      <w:bookmarkEnd w:id="14"/>
    </w:p>
    <w:p w14:paraId="6E43E7DA" w14:textId="77777777" w:rsidR="002924DB" w:rsidRPr="00A84EF5" w:rsidRDefault="002924DB" w:rsidP="002924DB">
      <w:pPr>
        <w:rPr>
          <w:rFonts w:cstheme="minorHAnsi"/>
        </w:rPr>
      </w:pPr>
      <w:r w:rsidRPr="00A84EF5">
        <w:rPr>
          <w:rFonts w:cstheme="minorHAnsi"/>
        </w:rPr>
        <w:t xml:space="preserve">Private applicant </w:t>
      </w:r>
    </w:p>
    <w:p w14:paraId="0160C1F6" w14:textId="118FD1B5" w:rsidR="002924DB" w:rsidRDefault="002924DB" w:rsidP="00B92537">
      <w:pPr>
        <w:pStyle w:val="Heading4"/>
      </w:pPr>
      <w:bookmarkStart w:id="15" w:name="_Toc74743261"/>
      <w:bookmarkStart w:id="16" w:name="_Toc122676182"/>
      <w:r w:rsidRPr="00A84EF5">
        <w:t xml:space="preserve">Proposed </w:t>
      </w:r>
      <w:r w:rsidRPr="00B92537">
        <w:t>scheduling</w:t>
      </w:r>
      <w:bookmarkEnd w:id="15"/>
      <w:bookmarkEnd w:id="16"/>
    </w:p>
    <w:p w14:paraId="556CCB18" w14:textId="7F768619" w:rsidR="000D295C" w:rsidRPr="000D295C" w:rsidRDefault="000D295C" w:rsidP="000D295C">
      <w:bookmarkStart w:id="17" w:name="_Hlk117672749"/>
      <w:r w:rsidRPr="00286224">
        <w:t xml:space="preserve">The applicant’s proposed amendments to the </w:t>
      </w:r>
      <w:r w:rsidRPr="00F54B87">
        <w:t>Poisons Standard</w:t>
      </w:r>
      <w:r w:rsidRPr="00286224">
        <w:t xml:space="preserve"> are</w:t>
      </w:r>
      <w:r>
        <w:t>:</w:t>
      </w:r>
      <w:r>
        <w:rPr>
          <w:rStyle w:val="FootnoteReference"/>
        </w:rPr>
        <w:footnoteReference w:id="1"/>
      </w:r>
      <w:bookmarkEnd w:id="17"/>
    </w:p>
    <w:p w14:paraId="77FDA05A" w14:textId="76B5F998" w:rsidR="002924DB" w:rsidRPr="00A84EF5" w:rsidRDefault="002924DB" w:rsidP="00C057B3">
      <w:pPr>
        <w:spacing w:before="180"/>
        <w:ind w:left="425"/>
        <w:rPr>
          <w:rFonts w:cstheme="minorHAnsi"/>
          <w:b/>
          <w:bCs/>
        </w:rPr>
      </w:pPr>
      <w:r w:rsidRPr="00A84EF5">
        <w:rPr>
          <w:rFonts w:cstheme="minorHAnsi"/>
          <w:b/>
          <w:bCs/>
        </w:rPr>
        <w:t>Schedule 4</w:t>
      </w:r>
    </w:p>
    <w:p w14:paraId="57FDA06B" w14:textId="13F5307F" w:rsidR="002924DB" w:rsidRPr="00A84EF5" w:rsidRDefault="002924DB" w:rsidP="00C057B3">
      <w:pPr>
        <w:spacing w:before="180"/>
        <w:ind w:left="426" w:firstLine="294"/>
        <w:rPr>
          <w:rFonts w:cstheme="minorHAnsi"/>
        </w:rPr>
      </w:pPr>
      <w:r w:rsidRPr="00A84EF5">
        <w:rPr>
          <w:rFonts w:cstheme="minorHAnsi"/>
        </w:rPr>
        <w:t xml:space="preserve">CELECOXIB </w:t>
      </w:r>
      <w:r w:rsidRPr="00B829A8">
        <w:rPr>
          <w:rFonts w:cstheme="minorHAnsi"/>
          <w:b/>
          <w:bCs/>
          <w:color w:val="00B050"/>
          <w:u w:val="single"/>
        </w:rPr>
        <w:t>except</w:t>
      </w:r>
      <w:r w:rsidRPr="00B829A8">
        <w:rPr>
          <w:rFonts w:cstheme="minorHAnsi"/>
          <w:color w:val="00B050"/>
          <w:u w:val="single"/>
        </w:rPr>
        <w:t xml:space="preserve"> when included in Schedule 3</w:t>
      </w:r>
      <w:r w:rsidR="00B03486" w:rsidRPr="00B829A8">
        <w:rPr>
          <w:rFonts w:cstheme="minorHAnsi"/>
        </w:rPr>
        <w:t>.</w:t>
      </w:r>
    </w:p>
    <w:p w14:paraId="38001AB0" w14:textId="66084DBB" w:rsidR="002924DB" w:rsidRPr="00A84EF5" w:rsidRDefault="002924DB" w:rsidP="00C057B3">
      <w:pPr>
        <w:spacing w:before="180"/>
        <w:ind w:left="426"/>
        <w:rPr>
          <w:rFonts w:cstheme="minorHAnsi"/>
          <w:b/>
          <w:bCs/>
          <w:color w:val="00B050"/>
        </w:rPr>
      </w:pPr>
      <w:r w:rsidRPr="00B03486">
        <w:rPr>
          <w:rFonts w:cstheme="minorHAnsi"/>
          <w:b/>
          <w:bCs/>
        </w:rPr>
        <w:t>Schedule 3</w:t>
      </w:r>
    </w:p>
    <w:p w14:paraId="420D46CF" w14:textId="259D9267" w:rsidR="00B03486" w:rsidRPr="00B829A8" w:rsidRDefault="00B03486" w:rsidP="00C057B3">
      <w:pPr>
        <w:spacing w:before="180"/>
        <w:ind w:left="720"/>
        <w:rPr>
          <w:u w:val="single"/>
        </w:rPr>
      </w:pPr>
      <w:r w:rsidRPr="00B829A8">
        <w:rPr>
          <w:color w:val="00B050"/>
          <w:u w:val="single"/>
        </w:rPr>
        <w:t>CELECOXIB for oral use in capsules containing 200</w:t>
      </w:r>
      <w:r w:rsidR="000816BB" w:rsidRPr="00B829A8">
        <w:rPr>
          <w:color w:val="00B050"/>
          <w:u w:val="single"/>
        </w:rPr>
        <w:t xml:space="preserve"> </w:t>
      </w:r>
      <w:r w:rsidRPr="00B829A8">
        <w:rPr>
          <w:color w:val="00B050"/>
          <w:u w:val="single"/>
        </w:rPr>
        <w:t>mg or less per capsule and when in pack containing not more than 10 dosage units for the short-term treatment of period pain in adults and for the short-term treatment of acute pain in adults with muscle and joint injuries.</w:t>
      </w:r>
    </w:p>
    <w:p w14:paraId="3BA568C9" w14:textId="679AECED" w:rsidR="002924DB" w:rsidRPr="00A84EF5" w:rsidRDefault="002924DB" w:rsidP="00C057B3">
      <w:pPr>
        <w:spacing w:before="180"/>
        <w:ind w:left="426"/>
        <w:rPr>
          <w:rFonts w:cstheme="minorHAnsi"/>
          <w:lang w:eastAsia="en-AU"/>
        </w:rPr>
      </w:pPr>
      <w:r w:rsidRPr="00A84EF5">
        <w:rPr>
          <w:rFonts w:cstheme="minorHAnsi"/>
          <w:b/>
          <w:bCs/>
        </w:rPr>
        <w:t>Appendix H</w:t>
      </w:r>
    </w:p>
    <w:p w14:paraId="53B1BA1D" w14:textId="77777777" w:rsidR="002924DB" w:rsidRPr="00B829A8" w:rsidRDefault="002924DB" w:rsidP="00C057B3">
      <w:pPr>
        <w:spacing w:before="180"/>
        <w:ind w:left="426" w:firstLine="294"/>
        <w:rPr>
          <w:rFonts w:cstheme="minorHAnsi"/>
          <w:color w:val="00B050"/>
          <w:u w:val="single"/>
        </w:rPr>
      </w:pPr>
      <w:r w:rsidRPr="00B829A8">
        <w:rPr>
          <w:rFonts w:cstheme="minorHAnsi"/>
          <w:color w:val="00B050"/>
          <w:u w:val="single"/>
        </w:rPr>
        <w:t>CELECOXIB</w:t>
      </w:r>
    </w:p>
    <w:p w14:paraId="643DD53B" w14:textId="3D8032D0" w:rsidR="002924DB" w:rsidRPr="00A84EF5" w:rsidRDefault="002924DB" w:rsidP="00520E48">
      <w:pPr>
        <w:keepNext/>
        <w:spacing w:before="180"/>
        <w:ind w:left="425"/>
        <w:rPr>
          <w:rFonts w:cstheme="minorHAnsi"/>
          <w:color w:val="00B050"/>
        </w:rPr>
      </w:pPr>
      <w:r w:rsidRPr="00A84EF5">
        <w:rPr>
          <w:rFonts w:cstheme="minorHAnsi"/>
          <w:b/>
          <w:bCs/>
        </w:rPr>
        <w:lastRenderedPageBreak/>
        <w:t>Index</w:t>
      </w:r>
    </w:p>
    <w:p w14:paraId="332A2B73" w14:textId="77777777" w:rsidR="002924DB" w:rsidRPr="00C057B3" w:rsidRDefault="002924DB" w:rsidP="00520E48">
      <w:pPr>
        <w:keepNext/>
        <w:spacing w:before="180"/>
        <w:ind w:left="425" w:firstLine="294"/>
        <w:rPr>
          <w:rFonts w:cstheme="minorHAnsi"/>
          <w:b/>
          <w:bCs/>
        </w:rPr>
      </w:pPr>
      <w:r w:rsidRPr="00C057B3">
        <w:rPr>
          <w:rFonts w:cstheme="minorHAnsi"/>
          <w:b/>
          <w:bCs/>
        </w:rPr>
        <w:t xml:space="preserve">CELECOXIB </w:t>
      </w:r>
    </w:p>
    <w:p w14:paraId="60218B2C" w14:textId="15E163DE" w:rsidR="002924DB" w:rsidRPr="00C057B3" w:rsidRDefault="002924DB" w:rsidP="00C057B3">
      <w:pPr>
        <w:spacing w:before="180"/>
        <w:ind w:left="720"/>
        <w:rPr>
          <w:rFonts w:cstheme="minorHAnsi"/>
        </w:rPr>
      </w:pPr>
      <w:r w:rsidRPr="00A84EF5">
        <w:rPr>
          <w:rFonts w:cstheme="minorHAnsi"/>
        </w:rPr>
        <w:t>Schedule 4</w:t>
      </w:r>
      <w:r w:rsidR="00C057B3">
        <w:rPr>
          <w:rFonts w:cstheme="minorHAnsi"/>
        </w:rPr>
        <w:br/>
      </w:r>
      <w:r w:rsidRPr="00B829A8">
        <w:rPr>
          <w:rFonts w:cstheme="minorHAnsi"/>
          <w:color w:val="00B050"/>
          <w:u w:val="single"/>
        </w:rPr>
        <w:t>Schedule 3</w:t>
      </w:r>
      <w:r w:rsidR="00C057B3" w:rsidRPr="00B829A8">
        <w:rPr>
          <w:rFonts w:cstheme="minorHAnsi"/>
          <w:u w:val="single"/>
        </w:rPr>
        <w:br/>
      </w:r>
      <w:r w:rsidRPr="00B829A8">
        <w:rPr>
          <w:rFonts w:cstheme="minorHAnsi"/>
          <w:color w:val="00B050"/>
          <w:szCs w:val="22"/>
          <w:u w:val="single"/>
        </w:rPr>
        <w:t>Appendix H</w:t>
      </w:r>
      <w:r w:rsidRPr="00A84EF5">
        <w:rPr>
          <w:rFonts w:cstheme="minorHAnsi"/>
          <w:szCs w:val="22"/>
        </w:rPr>
        <w:t xml:space="preserve"> </w:t>
      </w:r>
    </w:p>
    <w:p w14:paraId="01E4EFB4" w14:textId="77777777" w:rsidR="002924DB" w:rsidRPr="00A84EF5" w:rsidRDefault="002924DB" w:rsidP="00B92537">
      <w:pPr>
        <w:pStyle w:val="Heading4"/>
      </w:pPr>
      <w:bookmarkStart w:id="19" w:name="_Toc122676183"/>
      <w:r w:rsidRPr="00B92537">
        <w:t>Background</w:t>
      </w:r>
      <w:bookmarkEnd w:id="19"/>
    </w:p>
    <w:p w14:paraId="79106DA3" w14:textId="30DDECF8" w:rsidR="002924DB" w:rsidRPr="007B1D41" w:rsidRDefault="002924DB" w:rsidP="007B1D41">
      <w:pPr>
        <w:spacing w:before="180"/>
        <w:rPr>
          <w:rFonts w:cstheme="minorHAnsi"/>
          <w:szCs w:val="22"/>
        </w:rPr>
      </w:pPr>
      <w:r w:rsidRPr="007B1D41">
        <w:rPr>
          <w:rFonts w:cstheme="minorHAnsi"/>
          <w:szCs w:val="22"/>
        </w:rPr>
        <w:t>Celecoxib is a</w:t>
      </w:r>
      <w:r w:rsidR="007B1D41">
        <w:rPr>
          <w:rFonts w:cstheme="minorHAnsi"/>
          <w:szCs w:val="22"/>
        </w:rPr>
        <w:t xml:space="preserve"> </w:t>
      </w:r>
      <w:r w:rsidR="007B1D41" w:rsidRPr="007B1D41">
        <w:rPr>
          <w:rFonts w:cstheme="minorHAnsi"/>
          <w:szCs w:val="22"/>
        </w:rPr>
        <w:t>nonsteroid</w:t>
      </w:r>
      <w:r w:rsidR="007B1D41">
        <w:rPr>
          <w:rFonts w:cstheme="minorHAnsi"/>
          <w:szCs w:val="22"/>
        </w:rPr>
        <w:t>al</w:t>
      </w:r>
      <w:r w:rsidRPr="007B1D41">
        <w:rPr>
          <w:rFonts w:cstheme="minorHAnsi"/>
          <w:szCs w:val="22"/>
        </w:rPr>
        <w:t xml:space="preserve"> anti-inflammatory </w:t>
      </w:r>
      <w:r w:rsidR="007B1D41">
        <w:rPr>
          <w:rFonts w:cstheme="minorHAnsi"/>
          <w:szCs w:val="22"/>
        </w:rPr>
        <w:t xml:space="preserve">drug (NSAID) from </w:t>
      </w:r>
      <w:r w:rsidR="007B1D41" w:rsidRPr="000816BB">
        <w:rPr>
          <w:rFonts w:cstheme="minorHAnsi"/>
          <w:szCs w:val="22"/>
        </w:rPr>
        <w:t>the</w:t>
      </w:r>
      <w:r w:rsidRPr="000816BB">
        <w:rPr>
          <w:rFonts w:cstheme="minorHAnsi"/>
          <w:szCs w:val="22"/>
        </w:rPr>
        <w:t xml:space="preserve"> selective </w:t>
      </w:r>
      <w:r w:rsidRPr="00C6072C">
        <w:rPr>
          <w:rFonts w:cstheme="minorHAnsi"/>
          <w:szCs w:val="22"/>
          <w:shd w:val="clear" w:color="auto" w:fill="FFFFFF"/>
        </w:rPr>
        <w:t>cyclooxygenase-2 (</w:t>
      </w:r>
      <w:r w:rsidRPr="000816BB">
        <w:rPr>
          <w:rFonts w:cstheme="minorHAnsi"/>
          <w:szCs w:val="22"/>
        </w:rPr>
        <w:t>COX-2) inhibitor</w:t>
      </w:r>
      <w:r w:rsidR="007B1D41" w:rsidRPr="000816BB">
        <w:rPr>
          <w:rFonts w:cstheme="minorHAnsi"/>
          <w:szCs w:val="22"/>
        </w:rPr>
        <w:t xml:space="preserve"> class</w:t>
      </w:r>
      <w:r w:rsidRPr="000816BB">
        <w:rPr>
          <w:rFonts w:cstheme="minorHAnsi"/>
          <w:szCs w:val="22"/>
        </w:rPr>
        <w:t xml:space="preserve">. Indications for use </w:t>
      </w:r>
      <w:r w:rsidR="007B1D41" w:rsidRPr="000816BB">
        <w:rPr>
          <w:rFonts w:cstheme="minorHAnsi"/>
          <w:szCs w:val="22"/>
        </w:rPr>
        <w:t xml:space="preserve">of celecoxib </w:t>
      </w:r>
      <w:r w:rsidRPr="000816BB">
        <w:rPr>
          <w:rFonts w:cstheme="minorHAnsi"/>
          <w:szCs w:val="22"/>
        </w:rPr>
        <w:t xml:space="preserve">include rheumatoid arthritis, osteoarthritis, ankylosing spondylitis, </w:t>
      </w:r>
      <w:r w:rsidR="007B1D41" w:rsidRPr="000816BB">
        <w:rPr>
          <w:rFonts w:cstheme="minorHAnsi"/>
          <w:szCs w:val="22"/>
        </w:rPr>
        <w:t xml:space="preserve">and </w:t>
      </w:r>
      <w:r w:rsidRPr="000816BB">
        <w:rPr>
          <w:rFonts w:cstheme="minorHAnsi"/>
          <w:szCs w:val="22"/>
        </w:rPr>
        <w:t xml:space="preserve">pain due to dysmenorrhoea </w:t>
      </w:r>
      <w:r w:rsidRPr="007B1D41">
        <w:rPr>
          <w:rFonts w:cstheme="minorHAnsi"/>
          <w:szCs w:val="22"/>
        </w:rPr>
        <w:t>or injury (post-operative musculoskeletal or soft tissue).</w:t>
      </w:r>
      <w:r w:rsidR="007B1D41">
        <w:rPr>
          <w:rFonts w:cstheme="minorHAnsi"/>
          <w:szCs w:val="22"/>
        </w:rPr>
        <w:t xml:space="preserve"> Celecoxib</w:t>
      </w:r>
      <w:r w:rsidRPr="007B1D41">
        <w:rPr>
          <w:rFonts w:cstheme="minorHAnsi"/>
          <w:szCs w:val="22"/>
        </w:rPr>
        <w:t xml:space="preserve"> is </w:t>
      </w:r>
      <w:r w:rsidR="007B1D41">
        <w:rPr>
          <w:rFonts w:cstheme="minorHAnsi"/>
          <w:szCs w:val="22"/>
        </w:rPr>
        <w:t xml:space="preserve">presently </w:t>
      </w:r>
      <w:r w:rsidRPr="007B1D41">
        <w:rPr>
          <w:rFonts w:cstheme="minorHAnsi"/>
          <w:szCs w:val="22"/>
        </w:rPr>
        <w:t xml:space="preserve">available </w:t>
      </w:r>
      <w:r w:rsidR="007B1D41">
        <w:rPr>
          <w:rFonts w:cstheme="minorHAnsi"/>
          <w:szCs w:val="22"/>
        </w:rPr>
        <w:t xml:space="preserve">on prescription in </w:t>
      </w:r>
      <w:r w:rsidRPr="007B1D41">
        <w:rPr>
          <w:rFonts w:cstheme="minorHAnsi"/>
          <w:szCs w:val="22"/>
        </w:rPr>
        <w:t>immediate release capsule</w:t>
      </w:r>
      <w:r w:rsidR="007B1D41">
        <w:rPr>
          <w:rFonts w:cstheme="minorHAnsi"/>
          <w:szCs w:val="22"/>
        </w:rPr>
        <w:t>s</w:t>
      </w:r>
      <w:r w:rsidRPr="007B1D41">
        <w:rPr>
          <w:rFonts w:cstheme="minorHAnsi"/>
          <w:szCs w:val="22"/>
        </w:rPr>
        <w:t xml:space="preserve"> </w:t>
      </w:r>
      <w:r w:rsidR="007B1D41">
        <w:rPr>
          <w:rFonts w:cstheme="minorHAnsi"/>
          <w:szCs w:val="22"/>
        </w:rPr>
        <w:t xml:space="preserve">in </w:t>
      </w:r>
      <w:r w:rsidRPr="007B1D41">
        <w:rPr>
          <w:rFonts w:cstheme="minorHAnsi"/>
          <w:szCs w:val="22"/>
        </w:rPr>
        <w:t>100</w:t>
      </w:r>
      <w:r w:rsidR="007B1D41">
        <w:rPr>
          <w:rFonts w:cstheme="minorHAnsi"/>
          <w:szCs w:val="22"/>
        </w:rPr>
        <w:t xml:space="preserve"> </w:t>
      </w:r>
      <w:r w:rsidRPr="007B1D41">
        <w:rPr>
          <w:rFonts w:cstheme="minorHAnsi"/>
          <w:szCs w:val="22"/>
        </w:rPr>
        <w:t>mg</w:t>
      </w:r>
      <w:r w:rsidR="007B1D41">
        <w:rPr>
          <w:rFonts w:cstheme="minorHAnsi"/>
          <w:szCs w:val="22"/>
        </w:rPr>
        <w:t xml:space="preserve"> or 200 mg dosages</w:t>
      </w:r>
      <w:r w:rsidRPr="007B1D41">
        <w:rPr>
          <w:rFonts w:cstheme="minorHAnsi"/>
          <w:szCs w:val="22"/>
        </w:rPr>
        <w:t>.</w:t>
      </w:r>
    </w:p>
    <w:p w14:paraId="064AF7A9" w14:textId="77777777" w:rsidR="002924DB" w:rsidRPr="00A84EF5" w:rsidRDefault="002924DB" w:rsidP="007B1D41">
      <w:pPr>
        <w:pStyle w:val="Heading4"/>
        <w:spacing w:before="240"/>
        <w:rPr>
          <w:highlight w:val="green"/>
        </w:rPr>
      </w:pPr>
      <w:bookmarkStart w:id="20" w:name="_Toc122676184"/>
      <w:r w:rsidRPr="00A84EF5">
        <w:t xml:space="preserve">Summary of applicant’s </w:t>
      </w:r>
      <w:r w:rsidRPr="00B92537">
        <w:t>reasons</w:t>
      </w:r>
      <w:r w:rsidRPr="00A84EF5">
        <w:t xml:space="preserve"> for the proposal</w:t>
      </w:r>
      <w:bookmarkEnd w:id="20"/>
    </w:p>
    <w:p w14:paraId="6ADC7DC4" w14:textId="792AB8C0" w:rsidR="002924DB" w:rsidRDefault="002924DB" w:rsidP="00F56311">
      <w:pPr>
        <w:pStyle w:val="ListBullet"/>
        <w:rPr>
          <w:lang w:eastAsia="en-AU"/>
        </w:rPr>
      </w:pPr>
      <w:r w:rsidRPr="00A84EF5">
        <w:t xml:space="preserve">Down-scheduling celecoxib to </w:t>
      </w:r>
      <w:r w:rsidR="00C6072C">
        <w:t>Schedule 3 (</w:t>
      </w:r>
      <w:r w:rsidRPr="00A84EF5">
        <w:t>Pharmacist Only Medicine</w:t>
      </w:r>
      <w:r w:rsidR="002F3315">
        <w:t xml:space="preserve">) </w:t>
      </w:r>
      <w:r w:rsidRPr="00A84EF5">
        <w:t>would provide an alternative therapeutic agent to be supplied by pharmacists after patient counselling to treat acute pain symptoms.</w:t>
      </w:r>
    </w:p>
    <w:p w14:paraId="7CF5BF88" w14:textId="1C4EE898" w:rsidR="002F3315" w:rsidRPr="00A84EF5" w:rsidRDefault="002F3315" w:rsidP="002F3315">
      <w:pPr>
        <w:pStyle w:val="ListBullet"/>
      </w:pPr>
      <w:r>
        <w:t xml:space="preserve">Down-scheduling of celecoxib </w:t>
      </w:r>
      <w:r w:rsidRPr="00F5029A">
        <w:t>will facilitate better patient access to an effective medicine, support appropriate self-care, minimise the pill burden on the patient and aid compliance.</w:t>
      </w:r>
    </w:p>
    <w:p w14:paraId="27D1AC3C" w14:textId="76FE958F" w:rsidR="002924DB" w:rsidRPr="00A84EF5" w:rsidRDefault="002924DB" w:rsidP="00F56311">
      <w:pPr>
        <w:pStyle w:val="ListBullet"/>
      </w:pPr>
      <w:r w:rsidRPr="00A84EF5">
        <w:t xml:space="preserve">A comparative overview of celecoxib with other anti-inflammatory substances concluded that celecoxib presents a safety profile similar to ibuprofen, </w:t>
      </w:r>
      <w:proofErr w:type="gramStart"/>
      <w:r w:rsidRPr="00A84EF5">
        <w:t>naproxen</w:t>
      </w:r>
      <w:proofErr w:type="gramEnd"/>
      <w:r w:rsidRPr="00A84EF5">
        <w:t xml:space="preserve"> and diclofenac (non-selective COX-2 inhibitors) currently available in the Australian market.</w:t>
      </w:r>
    </w:p>
    <w:p w14:paraId="31C94028" w14:textId="6B606675" w:rsidR="002924DB" w:rsidRPr="00A84EF5" w:rsidRDefault="002924DB" w:rsidP="00F56311">
      <w:pPr>
        <w:pStyle w:val="ListBullet"/>
        <w:rPr>
          <w:lang w:val="en-US"/>
        </w:rPr>
      </w:pPr>
      <w:r w:rsidRPr="00A84EF5">
        <w:rPr>
          <w:lang w:val="en-US"/>
        </w:rPr>
        <w:t>Established associated risks with celecoxib use include</w:t>
      </w:r>
      <w:r w:rsidR="007B1D41">
        <w:rPr>
          <w:lang w:val="en-US"/>
        </w:rPr>
        <w:t xml:space="preserve"> c</w:t>
      </w:r>
      <w:r w:rsidRPr="00A84EF5">
        <w:rPr>
          <w:lang w:val="en-US"/>
        </w:rPr>
        <w:t>ardiovascular events, gastrointestinal ulceration-related events, renal toxicity, fluid retention and edema, hypertension, hypersensitivity, skin reactions</w:t>
      </w:r>
      <w:r w:rsidR="007B1D41">
        <w:rPr>
          <w:lang w:val="en-US"/>
        </w:rPr>
        <w:t xml:space="preserve"> and</w:t>
      </w:r>
      <w:r w:rsidRPr="00A84EF5">
        <w:rPr>
          <w:lang w:val="en-US"/>
        </w:rPr>
        <w:t xml:space="preserve"> hepatic reactions. These risks are expected to be adequately addressed through:</w:t>
      </w:r>
    </w:p>
    <w:p w14:paraId="25C00349" w14:textId="2848A2CA" w:rsidR="002924DB" w:rsidRPr="00A84EF5" w:rsidRDefault="007B1D41" w:rsidP="007B1D41">
      <w:pPr>
        <w:pStyle w:val="ListBullet2"/>
        <w:rPr>
          <w:lang w:val="en-US"/>
        </w:rPr>
      </w:pPr>
      <w:r>
        <w:rPr>
          <w:lang w:val="en-US"/>
        </w:rPr>
        <w:t xml:space="preserve">Limitation on </w:t>
      </w:r>
      <w:r w:rsidR="002924DB" w:rsidRPr="00A84EF5">
        <w:rPr>
          <w:lang w:val="en-US"/>
        </w:rPr>
        <w:t>pack size to ensure short-term use</w:t>
      </w:r>
      <w:r>
        <w:rPr>
          <w:lang w:val="en-US"/>
        </w:rPr>
        <w:t xml:space="preserve"> of Schedule 3 preparations</w:t>
      </w:r>
    </w:p>
    <w:p w14:paraId="524AC110" w14:textId="4584FDC8" w:rsidR="002924DB" w:rsidRPr="00A84EF5" w:rsidRDefault="002924DB" w:rsidP="007B1D41">
      <w:pPr>
        <w:pStyle w:val="ListBullet2"/>
        <w:rPr>
          <w:lang w:val="en-US"/>
        </w:rPr>
      </w:pPr>
      <w:r w:rsidRPr="00A84EF5">
        <w:rPr>
          <w:lang w:val="en-US"/>
        </w:rPr>
        <w:t xml:space="preserve">Consultation with </w:t>
      </w:r>
      <w:r w:rsidR="007B1D41">
        <w:rPr>
          <w:lang w:val="en-US"/>
        </w:rPr>
        <w:t xml:space="preserve">a trained </w:t>
      </w:r>
      <w:r w:rsidRPr="00A84EF5">
        <w:rPr>
          <w:lang w:val="en-US"/>
        </w:rPr>
        <w:t>pharmacist before purchase</w:t>
      </w:r>
    </w:p>
    <w:p w14:paraId="4D56B44A" w14:textId="1A3DDE92" w:rsidR="000816BB" w:rsidRPr="00A84EF5" w:rsidRDefault="002924DB" w:rsidP="002F3315">
      <w:pPr>
        <w:pStyle w:val="ListBullet2"/>
        <w:rPr>
          <w:lang w:val="en-US"/>
        </w:rPr>
      </w:pPr>
      <w:r w:rsidRPr="00A84EF5">
        <w:rPr>
          <w:lang w:val="en-US"/>
        </w:rPr>
        <w:t>Product labelin</w:t>
      </w:r>
      <w:r>
        <w:rPr>
          <w:lang w:val="en-US"/>
        </w:rPr>
        <w:t>g</w:t>
      </w:r>
    </w:p>
    <w:p w14:paraId="0218233D" w14:textId="77777777" w:rsidR="002924DB" w:rsidRPr="00A84EF5" w:rsidRDefault="002924DB" w:rsidP="00B92537">
      <w:pPr>
        <w:pStyle w:val="Heading4"/>
      </w:pPr>
      <w:bookmarkStart w:id="21" w:name="_Toc74743263"/>
      <w:bookmarkStart w:id="22" w:name="_Toc122676185"/>
      <w:r w:rsidRPr="00A84EF5">
        <w:t xml:space="preserve">Key uses / </w:t>
      </w:r>
      <w:r w:rsidRPr="00B92537">
        <w:t>expected</w:t>
      </w:r>
      <w:r w:rsidRPr="00A84EF5">
        <w:t xml:space="preserve"> use</w:t>
      </w:r>
      <w:bookmarkEnd w:id="21"/>
      <w:bookmarkEnd w:id="22"/>
    </w:p>
    <w:p w14:paraId="730C7B00" w14:textId="33CAA20D" w:rsidR="002924DB" w:rsidRPr="00A84EF5" w:rsidRDefault="00F56311" w:rsidP="002924DB">
      <w:pPr>
        <w:rPr>
          <w:rFonts w:cstheme="minorHAnsi"/>
        </w:rPr>
      </w:pPr>
      <w:r>
        <w:rPr>
          <w:rFonts w:cstheme="minorHAnsi"/>
          <w:szCs w:val="22"/>
        </w:rPr>
        <w:t>Medicines</w:t>
      </w:r>
    </w:p>
    <w:p w14:paraId="40D7B6C6" w14:textId="3F910C91" w:rsidR="002924DB" w:rsidRPr="00A84EF5" w:rsidRDefault="00F56311" w:rsidP="00F56311">
      <w:pPr>
        <w:pStyle w:val="Heading4"/>
      </w:pPr>
      <w:bookmarkStart w:id="23" w:name="_Toc122676186"/>
      <w:r>
        <w:t>Australian regulations</w:t>
      </w:r>
      <w:bookmarkEnd w:id="23"/>
    </w:p>
    <w:p w14:paraId="2E8B9994" w14:textId="77777777" w:rsidR="002924DB" w:rsidRPr="00A84EF5" w:rsidRDefault="002924DB" w:rsidP="00F56311">
      <w:pPr>
        <w:pStyle w:val="ListBullet"/>
      </w:pPr>
      <w:r w:rsidRPr="00F56311">
        <w:t>According</w:t>
      </w:r>
      <w:r w:rsidRPr="00A84EF5">
        <w:t xml:space="preserve"> to the </w:t>
      </w:r>
      <w:hyperlink r:id="rId18" w:history="1">
        <w:r w:rsidRPr="00A84EF5">
          <w:rPr>
            <w:rStyle w:val="Hyperlink"/>
            <w:rFonts w:cstheme="minorHAnsi"/>
          </w:rPr>
          <w:t>TGA Ingredient Database</w:t>
        </w:r>
      </w:hyperlink>
      <w:r w:rsidRPr="00A84EF5">
        <w:t>,</w:t>
      </w:r>
      <w:r w:rsidRPr="00A84EF5">
        <w:rPr>
          <w:rStyle w:val="FootnoteReference"/>
          <w:rFonts w:cstheme="minorHAnsi"/>
        </w:rPr>
        <w:footnoteReference w:id="2"/>
      </w:r>
      <w:r w:rsidRPr="00A84EF5">
        <w:t xml:space="preserve"> celecoxib is:</w:t>
      </w:r>
    </w:p>
    <w:p w14:paraId="3C8F9FD4" w14:textId="76B7709D" w:rsidR="002924DB" w:rsidRPr="00A84EF5" w:rsidRDefault="002924DB" w:rsidP="00F56311">
      <w:pPr>
        <w:pStyle w:val="ListBullet2"/>
      </w:pPr>
      <w:r w:rsidRPr="00A84EF5">
        <w:t xml:space="preserve">Available for use as an Active Ingredient in Biologicals, Export Only, Over the Counter, </w:t>
      </w:r>
      <w:r w:rsidR="00F56311">
        <w:t xml:space="preserve">and </w:t>
      </w:r>
      <w:r w:rsidRPr="00A84EF5">
        <w:t>Prescription Medicines</w:t>
      </w:r>
      <w:r w:rsidR="00F56311">
        <w:t>;</w:t>
      </w:r>
    </w:p>
    <w:p w14:paraId="6CF3526B" w14:textId="159222B4" w:rsidR="002924DB" w:rsidRPr="00A84EF5" w:rsidRDefault="002924DB" w:rsidP="00F56311">
      <w:pPr>
        <w:pStyle w:val="ListBullet2"/>
      </w:pPr>
      <w:r w:rsidRPr="00A84EF5">
        <w:t>Available for use as an Excipient Ingredient in Biologicals, Devices</w:t>
      </w:r>
      <w:r w:rsidR="00F56311">
        <w:t xml:space="preserve"> and</w:t>
      </w:r>
      <w:r w:rsidRPr="00A84EF5">
        <w:t xml:space="preserve"> Prescription Medicines</w:t>
      </w:r>
      <w:r w:rsidR="00F56311">
        <w:t>;</w:t>
      </w:r>
    </w:p>
    <w:p w14:paraId="1CE6DB59" w14:textId="0BDB8747" w:rsidR="002924DB" w:rsidRPr="00EB20F7" w:rsidRDefault="002924DB" w:rsidP="00EB20F7">
      <w:pPr>
        <w:pStyle w:val="ListBullet2"/>
        <w:rPr>
          <w:rStyle w:val="Hyperlink"/>
          <w:color w:val="auto"/>
          <w:u w:val="none"/>
        </w:rPr>
      </w:pPr>
      <w:r w:rsidRPr="00A84EF5">
        <w:lastRenderedPageBreak/>
        <w:t>Not available as an Equivalent Ingredient in any application</w:t>
      </w:r>
      <w:r w:rsidR="00F56311">
        <w:t>.</w:t>
      </w:r>
    </w:p>
    <w:p w14:paraId="5AD9017A" w14:textId="4B281FD4" w:rsidR="002924DB" w:rsidRPr="00EB20F7" w:rsidRDefault="002924DB" w:rsidP="00EB20F7">
      <w:pPr>
        <w:pStyle w:val="ListBullet"/>
      </w:pPr>
      <w:r w:rsidRPr="00A84EF5">
        <w:t xml:space="preserve">As of December 2022, there were 56 medicines currently active on the </w:t>
      </w:r>
      <w:hyperlink r:id="rId19" w:history="1">
        <w:r w:rsidRPr="00A84EF5">
          <w:rPr>
            <w:rStyle w:val="Hyperlink"/>
            <w:rFonts w:cstheme="minorHAnsi"/>
          </w:rPr>
          <w:t>Australian Register of Therapeutic Goods (ARTG)</w:t>
        </w:r>
      </w:hyperlink>
      <w:r w:rsidRPr="00A84EF5">
        <w:rPr>
          <w:rStyle w:val="FootnoteReference"/>
          <w:rFonts w:cstheme="minorHAnsi"/>
        </w:rPr>
        <w:footnoteReference w:id="3"/>
      </w:r>
      <w:r w:rsidRPr="00A84EF5">
        <w:t xml:space="preserve"> that contain celecoxib as an active ingredient. These include 50 prescription </w:t>
      </w:r>
      <w:r w:rsidR="00EB20F7">
        <w:t xml:space="preserve">medicines </w:t>
      </w:r>
      <w:r w:rsidRPr="00A84EF5">
        <w:t xml:space="preserve">and </w:t>
      </w:r>
      <w:r w:rsidR="00EB20F7">
        <w:t>6</w:t>
      </w:r>
      <w:r w:rsidRPr="00A84EF5">
        <w:t xml:space="preserve"> medicines</w:t>
      </w:r>
      <w:r w:rsidR="00EB20F7">
        <w:t xml:space="preserve"> for export only</w:t>
      </w:r>
      <w:r w:rsidRPr="00A84EF5">
        <w:t>.</w:t>
      </w:r>
    </w:p>
    <w:p w14:paraId="521A8A06" w14:textId="1BD4999F" w:rsidR="002924DB" w:rsidRPr="00A84EF5" w:rsidRDefault="002924DB" w:rsidP="00EB20F7">
      <w:pPr>
        <w:pStyle w:val="ListBullet"/>
      </w:pPr>
      <w:r w:rsidRPr="00A84EF5">
        <w:t xml:space="preserve">Celecoxib is not permitted to be included in listed medicines as it is </w:t>
      </w:r>
      <w:r w:rsidRPr="00EB20F7">
        <w:t>not</w:t>
      </w:r>
      <w:r w:rsidRPr="00A84EF5">
        <w:t xml:space="preserve"> included in the </w:t>
      </w:r>
      <w:hyperlink r:id="rId20" w:history="1">
        <w:r w:rsidRPr="00A84EF5">
          <w:rPr>
            <w:rStyle w:val="Hyperlink"/>
            <w:rFonts w:cstheme="minorHAnsi"/>
          </w:rPr>
          <w:t>Therapeutic Goods (Permissible Ingredients) Determination</w:t>
        </w:r>
      </w:hyperlink>
      <w:r w:rsidRPr="00A84EF5">
        <w:rPr>
          <w:rStyle w:val="FootnoteReference"/>
          <w:rFonts w:cstheme="minorHAnsi"/>
        </w:rPr>
        <w:footnoteReference w:id="4"/>
      </w:r>
      <w:r w:rsidRPr="00A84EF5">
        <w:t xml:space="preserve"> No.5 of 2022. </w:t>
      </w:r>
    </w:p>
    <w:p w14:paraId="5F2DE6D0" w14:textId="226086B7" w:rsidR="002924DB" w:rsidRPr="00A84EF5" w:rsidRDefault="002924DB" w:rsidP="00EB20F7">
      <w:pPr>
        <w:pStyle w:val="ListBullet"/>
      </w:pPr>
      <w:r w:rsidRPr="00A84EF5">
        <w:t xml:space="preserve">The </w:t>
      </w:r>
      <w:hyperlink r:id="rId21" w:history="1">
        <w:r w:rsidRPr="00A84EF5">
          <w:rPr>
            <w:rStyle w:val="Hyperlink"/>
            <w:rFonts w:cstheme="minorHAnsi"/>
          </w:rPr>
          <w:t>TGA prescribing medicines in pregnancy database</w:t>
        </w:r>
      </w:hyperlink>
      <w:r w:rsidR="007628D1" w:rsidRPr="007628D1">
        <w:rPr>
          <w:rStyle w:val="FootnoteReference"/>
          <w:rFonts w:cstheme="minorHAnsi"/>
          <w:color w:val="0000FF"/>
        </w:rPr>
        <w:footnoteReference w:id="5"/>
      </w:r>
      <w:r w:rsidR="007628D1">
        <w:t xml:space="preserve"> </w:t>
      </w:r>
      <w:r w:rsidRPr="00A84EF5">
        <w:t xml:space="preserve">classifies </w:t>
      </w:r>
      <w:r w:rsidRPr="00EB20F7">
        <w:t>celecoxib</w:t>
      </w:r>
      <w:r w:rsidRPr="00A84EF5">
        <w:t xml:space="preserve"> as:</w:t>
      </w:r>
    </w:p>
    <w:tbl>
      <w:tblPr>
        <w:tblStyle w:val="TableTGAblue"/>
        <w:tblW w:w="8549" w:type="dxa"/>
        <w:tblInd w:w="392" w:type="dxa"/>
        <w:tblLook w:val="04A0" w:firstRow="1" w:lastRow="0" w:firstColumn="1" w:lastColumn="0" w:noHBand="0" w:noVBand="1"/>
      </w:tblPr>
      <w:tblGrid>
        <w:gridCol w:w="1699"/>
        <w:gridCol w:w="1701"/>
        <w:gridCol w:w="1733"/>
        <w:gridCol w:w="1708"/>
        <w:gridCol w:w="1708"/>
      </w:tblGrid>
      <w:tr w:rsidR="002924DB" w:rsidRPr="00EB20F7" w14:paraId="700784D2" w14:textId="77777777" w:rsidTr="00EB20F7">
        <w:trPr>
          <w:cnfStyle w:val="100000000000" w:firstRow="1" w:lastRow="0" w:firstColumn="0" w:lastColumn="0" w:oddVBand="0" w:evenVBand="0" w:oddHBand="0"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1709" w:type="dxa"/>
          </w:tcPr>
          <w:p w14:paraId="7EFCA335" w14:textId="77777777" w:rsidR="002924DB" w:rsidRPr="00EB20F7" w:rsidRDefault="002924DB" w:rsidP="002C5179">
            <w:pPr>
              <w:keepLines/>
              <w:rPr>
                <w:rFonts w:cstheme="minorHAnsi"/>
                <w:szCs w:val="22"/>
              </w:rPr>
            </w:pPr>
            <w:r w:rsidRPr="00EB20F7">
              <w:rPr>
                <w:rFonts w:cstheme="minorHAnsi"/>
                <w:szCs w:val="22"/>
              </w:rPr>
              <w:t>Drug name</w:t>
            </w:r>
          </w:p>
        </w:tc>
        <w:tc>
          <w:tcPr>
            <w:tcW w:w="1710" w:type="dxa"/>
          </w:tcPr>
          <w:p w14:paraId="3D0E2CCD" w14:textId="77777777" w:rsidR="002924DB" w:rsidRPr="00EB20F7" w:rsidRDefault="002924DB" w:rsidP="002C5179">
            <w:pPr>
              <w:keepLines/>
              <w:cnfStyle w:val="100000000000" w:firstRow="1" w:lastRow="0" w:firstColumn="0" w:lastColumn="0" w:oddVBand="0" w:evenVBand="0" w:oddHBand="0" w:evenHBand="0" w:firstRowFirstColumn="0" w:firstRowLastColumn="0" w:lastRowFirstColumn="0" w:lastRowLastColumn="0"/>
              <w:rPr>
                <w:rFonts w:cstheme="minorHAnsi"/>
                <w:szCs w:val="22"/>
              </w:rPr>
            </w:pPr>
            <w:r w:rsidRPr="00EB20F7">
              <w:rPr>
                <w:rFonts w:cstheme="minorHAnsi"/>
                <w:szCs w:val="22"/>
              </w:rPr>
              <w:t>Category</w:t>
            </w:r>
          </w:p>
        </w:tc>
        <w:tc>
          <w:tcPr>
            <w:tcW w:w="1710" w:type="dxa"/>
          </w:tcPr>
          <w:p w14:paraId="63D99ABF" w14:textId="77777777" w:rsidR="002924DB" w:rsidRPr="00EB20F7" w:rsidRDefault="002924DB" w:rsidP="002C5179">
            <w:pPr>
              <w:keepLines/>
              <w:cnfStyle w:val="100000000000" w:firstRow="1" w:lastRow="0" w:firstColumn="0" w:lastColumn="0" w:oddVBand="0" w:evenVBand="0" w:oddHBand="0" w:evenHBand="0" w:firstRowFirstColumn="0" w:firstRowLastColumn="0" w:lastRowFirstColumn="0" w:lastRowLastColumn="0"/>
              <w:rPr>
                <w:rFonts w:cstheme="minorHAnsi"/>
                <w:szCs w:val="22"/>
              </w:rPr>
            </w:pPr>
            <w:r w:rsidRPr="00EB20F7">
              <w:rPr>
                <w:rFonts w:cstheme="minorHAnsi"/>
                <w:szCs w:val="22"/>
              </w:rPr>
              <w:t>Classification Level 1</w:t>
            </w:r>
          </w:p>
        </w:tc>
        <w:tc>
          <w:tcPr>
            <w:tcW w:w="1710" w:type="dxa"/>
          </w:tcPr>
          <w:p w14:paraId="2E128F45" w14:textId="77777777" w:rsidR="002924DB" w:rsidRPr="00EB20F7" w:rsidRDefault="002924DB" w:rsidP="002C5179">
            <w:pPr>
              <w:keepLines/>
              <w:cnfStyle w:val="100000000000" w:firstRow="1" w:lastRow="0" w:firstColumn="0" w:lastColumn="0" w:oddVBand="0" w:evenVBand="0" w:oddHBand="0" w:evenHBand="0" w:firstRowFirstColumn="0" w:firstRowLastColumn="0" w:lastRowFirstColumn="0" w:lastRowLastColumn="0"/>
              <w:rPr>
                <w:rFonts w:cstheme="minorHAnsi"/>
                <w:szCs w:val="22"/>
              </w:rPr>
            </w:pPr>
            <w:r w:rsidRPr="00EB20F7">
              <w:rPr>
                <w:rFonts w:cstheme="minorHAnsi"/>
                <w:szCs w:val="22"/>
              </w:rPr>
              <w:t>Classification Level 2</w:t>
            </w:r>
          </w:p>
        </w:tc>
        <w:tc>
          <w:tcPr>
            <w:tcW w:w="1710" w:type="dxa"/>
          </w:tcPr>
          <w:p w14:paraId="190F038A" w14:textId="77777777" w:rsidR="002924DB" w:rsidRPr="00EB20F7" w:rsidRDefault="002924DB" w:rsidP="002C5179">
            <w:pPr>
              <w:keepLines/>
              <w:cnfStyle w:val="100000000000" w:firstRow="1" w:lastRow="0" w:firstColumn="0" w:lastColumn="0" w:oddVBand="0" w:evenVBand="0" w:oddHBand="0" w:evenHBand="0" w:firstRowFirstColumn="0" w:firstRowLastColumn="0" w:lastRowFirstColumn="0" w:lastRowLastColumn="0"/>
              <w:rPr>
                <w:rFonts w:cstheme="minorHAnsi"/>
                <w:szCs w:val="22"/>
              </w:rPr>
            </w:pPr>
            <w:r w:rsidRPr="00EB20F7">
              <w:rPr>
                <w:rFonts w:cstheme="minorHAnsi"/>
                <w:szCs w:val="22"/>
              </w:rPr>
              <w:t>Classification Level 3</w:t>
            </w:r>
          </w:p>
        </w:tc>
      </w:tr>
      <w:tr w:rsidR="002924DB" w:rsidRPr="00EB20F7" w14:paraId="0FBC103B" w14:textId="77777777" w:rsidTr="00EB20F7">
        <w:trPr>
          <w:trHeight w:val="1006"/>
        </w:trPr>
        <w:tc>
          <w:tcPr>
            <w:cnfStyle w:val="001000000000" w:firstRow="0" w:lastRow="0" w:firstColumn="1" w:lastColumn="0" w:oddVBand="0" w:evenVBand="0" w:oddHBand="0" w:evenHBand="0" w:firstRowFirstColumn="0" w:firstRowLastColumn="0" w:lastRowFirstColumn="0" w:lastRowLastColumn="0"/>
            <w:tcW w:w="1709" w:type="dxa"/>
          </w:tcPr>
          <w:p w14:paraId="6B7F5543" w14:textId="77777777" w:rsidR="002924DB" w:rsidRPr="00EB20F7" w:rsidRDefault="002924DB" w:rsidP="002C5179">
            <w:pPr>
              <w:keepNext/>
              <w:keepLines/>
              <w:rPr>
                <w:rFonts w:cstheme="minorHAnsi"/>
                <w:szCs w:val="22"/>
              </w:rPr>
            </w:pPr>
            <w:r w:rsidRPr="00EB20F7">
              <w:rPr>
                <w:rFonts w:cstheme="minorHAnsi"/>
                <w:color w:val="313131"/>
                <w:szCs w:val="22"/>
                <w:shd w:val="clear" w:color="auto" w:fill="FFFFFF"/>
              </w:rPr>
              <w:t>Celecoxib</w:t>
            </w:r>
          </w:p>
        </w:tc>
        <w:tc>
          <w:tcPr>
            <w:tcW w:w="1710" w:type="dxa"/>
          </w:tcPr>
          <w:p w14:paraId="0EF6D79D" w14:textId="77777777" w:rsidR="002924DB" w:rsidRPr="00EB20F7" w:rsidRDefault="002924DB" w:rsidP="002C5179">
            <w:pPr>
              <w:keepNext/>
              <w:keepLines/>
              <w:cnfStyle w:val="000000000000" w:firstRow="0" w:lastRow="0" w:firstColumn="0" w:lastColumn="0" w:oddVBand="0" w:evenVBand="0" w:oddHBand="0" w:evenHBand="0" w:firstRowFirstColumn="0" w:firstRowLastColumn="0" w:lastRowFirstColumn="0" w:lastRowLastColumn="0"/>
              <w:rPr>
                <w:rFonts w:cstheme="minorHAnsi"/>
                <w:szCs w:val="22"/>
              </w:rPr>
            </w:pPr>
            <w:r w:rsidRPr="00EB20F7">
              <w:rPr>
                <w:rFonts w:cstheme="minorHAnsi"/>
                <w:szCs w:val="22"/>
              </w:rPr>
              <w:t>B3</w:t>
            </w:r>
          </w:p>
        </w:tc>
        <w:tc>
          <w:tcPr>
            <w:tcW w:w="1710" w:type="dxa"/>
          </w:tcPr>
          <w:p w14:paraId="2EBA67A5" w14:textId="77777777" w:rsidR="002924DB" w:rsidRPr="00EB20F7" w:rsidRDefault="002924DB" w:rsidP="002C5179">
            <w:pPr>
              <w:keepNext/>
              <w:keepLines/>
              <w:cnfStyle w:val="000000000000" w:firstRow="0" w:lastRow="0" w:firstColumn="0" w:lastColumn="0" w:oddVBand="0" w:evenVBand="0" w:oddHBand="0" w:evenHBand="0" w:firstRowFirstColumn="0" w:firstRowLastColumn="0" w:lastRowFirstColumn="0" w:lastRowLastColumn="0"/>
              <w:rPr>
                <w:rFonts w:cstheme="minorHAnsi"/>
                <w:szCs w:val="22"/>
              </w:rPr>
            </w:pPr>
            <w:r w:rsidRPr="00EB20F7">
              <w:rPr>
                <w:rFonts w:cstheme="minorHAnsi"/>
                <w:color w:val="313131"/>
                <w:szCs w:val="22"/>
                <w:shd w:val="clear" w:color="auto" w:fill="FFFFFF"/>
              </w:rPr>
              <w:t>Musculoskeletal System</w:t>
            </w:r>
          </w:p>
        </w:tc>
        <w:tc>
          <w:tcPr>
            <w:tcW w:w="1710" w:type="dxa"/>
          </w:tcPr>
          <w:p w14:paraId="4026F4F7" w14:textId="77777777" w:rsidR="002924DB" w:rsidRPr="00EB20F7" w:rsidRDefault="002924DB" w:rsidP="002C5179">
            <w:pPr>
              <w:keepNext/>
              <w:keepLines/>
              <w:cnfStyle w:val="000000000000" w:firstRow="0" w:lastRow="0" w:firstColumn="0" w:lastColumn="0" w:oddVBand="0" w:evenVBand="0" w:oddHBand="0" w:evenHBand="0" w:firstRowFirstColumn="0" w:firstRowLastColumn="0" w:lastRowFirstColumn="0" w:lastRowLastColumn="0"/>
              <w:rPr>
                <w:rFonts w:cstheme="minorHAnsi"/>
                <w:szCs w:val="22"/>
              </w:rPr>
            </w:pPr>
            <w:r w:rsidRPr="00EB20F7">
              <w:rPr>
                <w:rFonts w:cstheme="minorHAnsi"/>
                <w:color w:val="313131"/>
                <w:szCs w:val="22"/>
                <w:shd w:val="clear" w:color="auto" w:fill="FFFFFF"/>
              </w:rPr>
              <w:t>Non-steroidal anti-inflammatory drugs (NSAIDS)</w:t>
            </w:r>
          </w:p>
        </w:tc>
        <w:tc>
          <w:tcPr>
            <w:tcW w:w="1710" w:type="dxa"/>
          </w:tcPr>
          <w:p w14:paraId="31908145" w14:textId="77777777" w:rsidR="002924DB" w:rsidRPr="00EB20F7" w:rsidRDefault="002924DB" w:rsidP="002C5179">
            <w:pPr>
              <w:keepNext/>
              <w:keepLines/>
              <w:cnfStyle w:val="000000000000" w:firstRow="0" w:lastRow="0" w:firstColumn="0" w:lastColumn="0" w:oddVBand="0" w:evenVBand="0" w:oddHBand="0" w:evenHBand="0" w:firstRowFirstColumn="0" w:firstRowLastColumn="0" w:lastRowFirstColumn="0" w:lastRowLastColumn="0"/>
              <w:rPr>
                <w:rFonts w:cstheme="minorHAnsi"/>
                <w:szCs w:val="22"/>
              </w:rPr>
            </w:pPr>
          </w:p>
        </w:tc>
      </w:tr>
      <w:tr w:rsidR="002924DB" w:rsidRPr="00EB20F7" w14:paraId="60EE158B" w14:textId="77777777" w:rsidTr="00EB20F7">
        <w:trPr>
          <w:trHeight w:val="1435"/>
        </w:trPr>
        <w:tc>
          <w:tcPr>
            <w:cnfStyle w:val="001000000000" w:firstRow="0" w:lastRow="0" w:firstColumn="1" w:lastColumn="0" w:oddVBand="0" w:evenVBand="0" w:oddHBand="0" w:evenHBand="0" w:firstRowFirstColumn="0" w:firstRowLastColumn="0" w:lastRowFirstColumn="0" w:lastRowLastColumn="0"/>
            <w:tcW w:w="8549" w:type="dxa"/>
            <w:gridSpan w:val="5"/>
          </w:tcPr>
          <w:p w14:paraId="3CC76AF2" w14:textId="77777777" w:rsidR="002924DB" w:rsidRPr="00EB20F7" w:rsidRDefault="002924DB" w:rsidP="002C5179">
            <w:pPr>
              <w:keepNext/>
              <w:keepLines/>
              <w:rPr>
                <w:rFonts w:cstheme="minorHAnsi"/>
                <w:sz w:val="16"/>
                <w:szCs w:val="16"/>
              </w:rPr>
            </w:pPr>
            <w:r w:rsidRPr="00EB20F7">
              <w:rPr>
                <w:rFonts w:cstheme="minorHAnsi"/>
                <w:b/>
                <w:sz w:val="16"/>
                <w:szCs w:val="16"/>
              </w:rPr>
              <w:t>Category B3</w:t>
            </w:r>
            <w:r w:rsidRPr="00EB20F7">
              <w:rPr>
                <w:rFonts w:cstheme="minorHAnsi"/>
                <w:sz w:val="16"/>
                <w:szCs w:val="16"/>
              </w:rPr>
              <w:t xml:space="preserve"> – Drugs which have been taken by only a limited number of pregnant women and women of childbearing age, without an increase in the frequency of malformation or other direct or indirect harmful effects on the human foetus having been observed.</w:t>
            </w:r>
          </w:p>
          <w:p w14:paraId="4C2C776B" w14:textId="5D59E8D2" w:rsidR="002924DB" w:rsidRPr="00EB20F7" w:rsidRDefault="002924DB" w:rsidP="002C5179">
            <w:pPr>
              <w:keepNext/>
              <w:keepLines/>
              <w:rPr>
                <w:rFonts w:cstheme="minorHAnsi"/>
                <w:sz w:val="16"/>
                <w:szCs w:val="16"/>
              </w:rPr>
            </w:pPr>
            <w:r w:rsidRPr="00EB20F7">
              <w:rPr>
                <w:rFonts w:cstheme="minorHAnsi"/>
                <w:sz w:val="16"/>
                <w:szCs w:val="16"/>
              </w:rPr>
              <w:t>Studies in animals have shown evidence of an increased occurrence of foetal damage, the significance of which is considered uncertain in humans.</w:t>
            </w:r>
          </w:p>
        </w:tc>
      </w:tr>
    </w:tbl>
    <w:p w14:paraId="018828B2" w14:textId="55CBD387" w:rsidR="002924DB" w:rsidRPr="00A84EF5" w:rsidRDefault="002924DB" w:rsidP="007010C3">
      <w:pPr>
        <w:pStyle w:val="ListBullet"/>
        <w:spacing w:before="240"/>
        <w:ind w:left="357" w:hanging="357"/>
        <w:rPr>
          <w:vertAlign w:val="superscript"/>
        </w:rPr>
      </w:pPr>
      <w:r w:rsidRPr="00A84EF5">
        <w:t xml:space="preserve">There </w:t>
      </w:r>
      <w:r w:rsidRPr="00EB20F7">
        <w:t>are</w:t>
      </w:r>
      <w:r w:rsidRPr="00A84EF5">
        <w:t xml:space="preserve"> no warning statements pertaining to </w:t>
      </w:r>
      <w:r w:rsidRPr="00EB20F7">
        <w:t>celecoxib</w:t>
      </w:r>
      <w:r w:rsidRPr="00A84EF5">
        <w:t xml:space="preserve"> in the </w:t>
      </w:r>
      <w:hyperlink r:id="rId22" w:history="1">
        <w:r w:rsidR="00555032">
          <w:rPr>
            <w:rStyle w:val="Hyperlink"/>
            <w:rFonts w:cstheme="minorHAnsi"/>
          </w:rPr>
          <w:t>Therapeutic Goods (Medicines Advisory Statements) Specification 2021</w:t>
        </w:r>
      </w:hyperlink>
      <w:r w:rsidR="007628D1">
        <w:rPr>
          <w:rStyle w:val="Hyperlink"/>
          <w:rFonts w:cstheme="minorHAnsi"/>
          <w:color w:val="auto"/>
          <w:u w:val="none"/>
        </w:rPr>
        <w:t>.</w:t>
      </w:r>
      <w:r w:rsidR="007628D1">
        <w:rPr>
          <w:rStyle w:val="FootnoteReference"/>
          <w:rFonts w:cstheme="minorHAnsi"/>
        </w:rPr>
        <w:footnoteReference w:id="6"/>
      </w:r>
    </w:p>
    <w:p w14:paraId="44DCE0B3" w14:textId="2282B239" w:rsidR="00F177E4" w:rsidRDefault="00EB20F7" w:rsidP="00F177E4">
      <w:pPr>
        <w:pStyle w:val="ListBullet"/>
      </w:pPr>
      <w:r>
        <w:t>Since January 2013</w:t>
      </w:r>
      <w:r w:rsidR="002924DB" w:rsidRPr="00A84EF5">
        <w:t xml:space="preserve">, there </w:t>
      </w:r>
      <w:r>
        <w:t>have been 261</w:t>
      </w:r>
      <w:r w:rsidR="002924DB" w:rsidRPr="00A84EF5">
        <w:t xml:space="preserve"> reports of adverse events for products containing celecoxib as an active ingredient on the </w:t>
      </w:r>
      <w:hyperlink r:id="rId23" w:history="1">
        <w:r w:rsidR="002924DB" w:rsidRPr="00A84EF5">
          <w:rPr>
            <w:rStyle w:val="Hyperlink"/>
            <w:rFonts w:cstheme="minorHAnsi"/>
          </w:rPr>
          <w:t>Database of Adverse Event Notifications (DAEN)</w:t>
        </w:r>
      </w:hyperlink>
      <w:r w:rsidR="007628D1">
        <w:rPr>
          <w:rStyle w:val="Hyperlink"/>
          <w:rFonts w:cstheme="minorHAnsi"/>
          <w:color w:val="auto"/>
          <w:u w:val="none"/>
        </w:rPr>
        <w:t>,</w:t>
      </w:r>
      <w:r w:rsidR="007628D1">
        <w:rPr>
          <w:rStyle w:val="FootnoteReference"/>
          <w:rFonts w:cstheme="minorHAnsi"/>
        </w:rPr>
        <w:footnoteReference w:id="7"/>
      </w:r>
      <w:r w:rsidR="007628D1" w:rsidRPr="00A84EF5">
        <w:t xml:space="preserve"> </w:t>
      </w:r>
      <w:r w:rsidR="002924DB" w:rsidRPr="00A84EF5">
        <w:t xml:space="preserve">with </w:t>
      </w:r>
      <w:r>
        <w:t>142</w:t>
      </w:r>
      <w:r w:rsidR="002924DB" w:rsidRPr="00A84EF5">
        <w:t xml:space="preserve"> reports where celecoxib was the single suspected medicine. </w:t>
      </w:r>
    </w:p>
    <w:p w14:paraId="7126534A" w14:textId="77777777" w:rsidR="00F177E4" w:rsidRDefault="00426777" w:rsidP="00F177E4">
      <w:pPr>
        <w:pStyle w:val="ListBullet2"/>
      </w:pPr>
      <w:r>
        <w:t>Reported a</w:t>
      </w:r>
      <w:r w:rsidR="002924DB" w:rsidRPr="00A84EF5">
        <w:t xml:space="preserve">dverse events </w:t>
      </w:r>
      <w:r w:rsidR="00EB20F7">
        <w:t xml:space="preserve">related mostly to allergic reactions, </w:t>
      </w:r>
      <w:r w:rsidR="002924DB" w:rsidRPr="00A84EF5">
        <w:t xml:space="preserve">with </w:t>
      </w:r>
      <w:r w:rsidR="00EB20F7">
        <w:t>symptoms including anaphylaxis, rash, urticaria and pruritus</w:t>
      </w:r>
      <w:r w:rsidR="002924DB" w:rsidRPr="00A84EF5">
        <w:t>.</w:t>
      </w:r>
      <w:r w:rsidR="00555032">
        <w:t xml:space="preserve"> </w:t>
      </w:r>
    </w:p>
    <w:p w14:paraId="5F8DDA0D" w14:textId="684A8687" w:rsidR="002924DB" w:rsidRPr="00A84EF5" w:rsidRDefault="00555032" w:rsidP="00C6072C">
      <w:pPr>
        <w:pStyle w:val="ListBullet2"/>
      </w:pPr>
      <w:r>
        <w:t xml:space="preserve">Death was </w:t>
      </w:r>
      <w:r w:rsidR="00F177E4">
        <w:t>the</w:t>
      </w:r>
      <w:r>
        <w:t xml:space="preserve"> reported outcome in </w:t>
      </w:r>
      <w:r w:rsidR="00F177E4">
        <w:t>17 cases due to cerebral infarction, cardiomegaly, hypopnoea, hepatic steatosis, hepatomegaly, intracranial haemorrhage, kidney fibrosis, and respiratory depression. Cerebral infarction (</w:t>
      </w:r>
      <w:r w:rsidR="001B78D5">
        <w:t>one</w:t>
      </w:r>
      <w:r w:rsidR="00F177E4">
        <w:t xml:space="preserve"> case) was the only report where celecoxib was the single suspected medicine.</w:t>
      </w:r>
    </w:p>
    <w:p w14:paraId="5FF31710" w14:textId="4558D89B" w:rsidR="002924DB" w:rsidRPr="00A84EF5" w:rsidRDefault="002924DB" w:rsidP="004F1478">
      <w:pPr>
        <w:pStyle w:val="ListBullet"/>
        <w:rPr>
          <w:vertAlign w:val="superscript"/>
        </w:rPr>
      </w:pPr>
      <w:r w:rsidRPr="00A84EF5">
        <w:lastRenderedPageBreak/>
        <w:t xml:space="preserve">As of December 2022, there were no products </w:t>
      </w:r>
      <w:r w:rsidRPr="00426777">
        <w:t>containing</w:t>
      </w:r>
      <w:r w:rsidRPr="00A84EF5">
        <w:t xml:space="preserve"> celecoxib as an active ingredient/</w:t>
      </w:r>
      <w:r w:rsidRPr="004F1478">
        <w:t>constituent</w:t>
      </w:r>
      <w:r w:rsidRPr="00A84EF5">
        <w:t xml:space="preserve"> or scheduled substance listed on the </w:t>
      </w:r>
      <w:hyperlink r:id="rId24" w:history="1">
        <w:r w:rsidRPr="00A84EF5">
          <w:rPr>
            <w:color w:val="0000FF"/>
            <w:u w:val="single"/>
          </w:rPr>
          <w:t>Public Chemical Registration Information System Search (</w:t>
        </w:r>
        <w:proofErr w:type="spellStart"/>
        <w:r w:rsidRPr="00A84EF5">
          <w:rPr>
            <w:color w:val="0000FF"/>
            <w:u w:val="single"/>
          </w:rPr>
          <w:t>PubCRIS</w:t>
        </w:r>
        <w:proofErr w:type="spellEnd"/>
        <w:r w:rsidRPr="00A84EF5">
          <w:t>)</w:t>
        </w:r>
      </w:hyperlink>
      <w:r w:rsidRPr="00A84EF5">
        <w:t>.</w:t>
      </w:r>
      <w:r w:rsidR="007628D1">
        <w:rPr>
          <w:rStyle w:val="FootnoteReference"/>
        </w:rPr>
        <w:footnoteReference w:id="8"/>
      </w:r>
    </w:p>
    <w:p w14:paraId="3C0C6FFD" w14:textId="77777777" w:rsidR="002924DB" w:rsidRPr="00A84EF5" w:rsidRDefault="002924DB" w:rsidP="007628D1">
      <w:pPr>
        <w:pStyle w:val="Heading4"/>
      </w:pPr>
      <w:bookmarkStart w:id="24" w:name="_Toc74743266"/>
      <w:bookmarkStart w:id="25" w:name="_Toc122676187"/>
      <w:r w:rsidRPr="00A84EF5">
        <w:t>International regulations</w:t>
      </w:r>
      <w:bookmarkEnd w:id="24"/>
      <w:bookmarkEnd w:id="25"/>
    </w:p>
    <w:p w14:paraId="44311AF2" w14:textId="55631586" w:rsidR="002924DB" w:rsidRPr="00A84EF5" w:rsidRDefault="002924DB" w:rsidP="002924DB">
      <w:pPr>
        <w:pStyle w:val="ListBullet"/>
        <w:numPr>
          <w:ilvl w:val="0"/>
          <w:numId w:val="24"/>
        </w:numPr>
        <w:rPr>
          <w:rFonts w:cstheme="minorHAnsi"/>
        </w:rPr>
      </w:pPr>
      <w:r w:rsidRPr="00A84EF5">
        <w:rPr>
          <w:rFonts w:cstheme="minorHAnsi"/>
        </w:rPr>
        <w:t xml:space="preserve">The </w:t>
      </w:r>
      <w:hyperlink r:id="rId25" w:history="1">
        <w:r w:rsidRPr="00226885">
          <w:rPr>
            <w:rStyle w:val="Hyperlink"/>
            <w:rFonts w:cstheme="minorHAnsi"/>
          </w:rPr>
          <w:t>United States Food and Drug Administration Database</w:t>
        </w:r>
      </w:hyperlink>
      <w:r w:rsidR="00226885" w:rsidRPr="00226885">
        <w:rPr>
          <w:rStyle w:val="FootnoteReference"/>
          <w:rFonts w:cstheme="minorHAnsi"/>
          <w:color w:val="0F17B1"/>
        </w:rPr>
        <w:footnoteReference w:id="9"/>
      </w:r>
      <w:r w:rsidRPr="00226885">
        <w:rPr>
          <w:rFonts w:cstheme="minorHAnsi"/>
          <w:vertAlign w:val="superscript"/>
        </w:rPr>
        <w:t xml:space="preserve"> </w:t>
      </w:r>
      <w:r w:rsidR="007628D1">
        <w:rPr>
          <w:rFonts w:cstheme="minorHAnsi"/>
          <w:vertAlign w:val="superscript"/>
        </w:rPr>
        <w:t xml:space="preserve"> </w:t>
      </w:r>
      <w:r w:rsidR="00226885">
        <w:rPr>
          <w:rFonts w:cstheme="minorHAnsi"/>
        </w:rPr>
        <w:t xml:space="preserve">includes </w:t>
      </w:r>
      <w:r w:rsidRPr="00A84EF5">
        <w:rPr>
          <w:rFonts w:cstheme="minorHAnsi"/>
        </w:rPr>
        <w:t>2</w:t>
      </w:r>
      <w:r w:rsidR="00C6072C">
        <w:rPr>
          <w:rFonts w:cstheme="minorHAnsi"/>
        </w:rPr>
        <w:t>3 active</w:t>
      </w:r>
      <w:r w:rsidRPr="00A84EF5">
        <w:rPr>
          <w:rFonts w:cstheme="minorHAnsi"/>
        </w:rPr>
        <w:t xml:space="preserve"> products containing celecoxib</w:t>
      </w:r>
      <w:r w:rsidR="00226885">
        <w:rPr>
          <w:rFonts w:cstheme="minorHAnsi"/>
        </w:rPr>
        <w:t>.</w:t>
      </w:r>
      <w:r w:rsidRPr="00A84EF5">
        <w:rPr>
          <w:rFonts w:cstheme="minorHAnsi"/>
        </w:rPr>
        <w:t xml:space="preserve"> </w:t>
      </w:r>
      <w:r w:rsidR="00226885">
        <w:rPr>
          <w:rFonts w:cstheme="minorHAnsi"/>
        </w:rPr>
        <w:t>A</w:t>
      </w:r>
      <w:r w:rsidRPr="00A84EF5">
        <w:rPr>
          <w:rFonts w:cstheme="minorHAnsi"/>
        </w:rPr>
        <w:t xml:space="preserve">ll </w:t>
      </w:r>
      <w:r w:rsidR="00226885">
        <w:rPr>
          <w:rFonts w:cstheme="minorHAnsi"/>
        </w:rPr>
        <w:t xml:space="preserve">are </w:t>
      </w:r>
      <w:r w:rsidRPr="00A84EF5">
        <w:rPr>
          <w:rFonts w:cstheme="minorHAnsi"/>
        </w:rPr>
        <w:t>prescription</w:t>
      </w:r>
      <w:r w:rsidR="00226885">
        <w:rPr>
          <w:rFonts w:cstheme="minorHAnsi"/>
        </w:rPr>
        <w:t>-</w:t>
      </w:r>
      <w:r w:rsidRPr="00A84EF5">
        <w:rPr>
          <w:rFonts w:cstheme="minorHAnsi"/>
        </w:rPr>
        <w:t>only medicines</w:t>
      </w:r>
      <w:r w:rsidR="00226885">
        <w:rPr>
          <w:rFonts w:cstheme="minorHAnsi"/>
        </w:rPr>
        <w:t>.</w:t>
      </w:r>
    </w:p>
    <w:p w14:paraId="2AE38E2E" w14:textId="46161CFD" w:rsidR="002924DB" w:rsidRPr="00A84EF5" w:rsidRDefault="002924DB" w:rsidP="002924DB">
      <w:pPr>
        <w:pStyle w:val="ListBullet"/>
        <w:numPr>
          <w:ilvl w:val="0"/>
          <w:numId w:val="24"/>
        </w:numPr>
        <w:rPr>
          <w:rFonts w:cstheme="minorHAnsi"/>
        </w:rPr>
      </w:pPr>
      <w:r w:rsidRPr="00A84EF5">
        <w:rPr>
          <w:rFonts w:cstheme="minorHAnsi"/>
        </w:rPr>
        <w:t xml:space="preserve">The </w:t>
      </w:r>
      <w:hyperlink r:id="rId26" w:history="1">
        <w:r w:rsidRPr="00BD7C3F">
          <w:rPr>
            <w:rStyle w:val="Hyperlink"/>
            <w:rFonts w:cstheme="minorHAnsi"/>
          </w:rPr>
          <w:t>New Zealand Medicines and Medical Devices Safety Authority (</w:t>
        </w:r>
        <w:proofErr w:type="spellStart"/>
        <w:r w:rsidRPr="00BD7C3F">
          <w:rPr>
            <w:rStyle w:val="Hyperlink"/>
            <w:rFonts w:cstheme="minorHAnsi"/>
          </w:rPr>
          <w:t>MedSafe</w:t>
        </w:r>
        <w:proofErr w:type="spellEnd"/>
        <w:r w:rsidR="00226885" w:rsidRPr="00BD7C3F">
          <w:rPr>
            <w:rStyle w:val="Hyperlink"/>
            <w:rFonts w:cstheme="minorHAnsi"/>
          </w:rPr>
          <w:t>)</w:t>
        </w:r>
      </w:hyperlink>
      <w:r w:rsidR="00226885">
        <w:rPr>
          <w:rStyle w:val="FootnoteReference"/>
          <w:rFonts w:cstheme="minorHAnsi"/>
        </w:rPr>
        <w:footnoteReference w:id="10"/>
      </w:r>
      <w:r w:rsidRPr="00A84EF5">
        <w:rPr>
          <w:rFonts w:cstheme="minorHAnsi"/>
        </w:rPr>
        <w:t xml:space="preserve"> lists celecoxib as prescription only medicine</w:t>
      </w:r>
      <w:r w:rsidR="003A1B1F">
        <w:rPr>
          <w:rFonts w:cstheme="minorHAnsi"/>
        </w:rPr>
        <w:t>.</w:t>
      </w:r>
    </w:p>
    <w:p w14:paraId="1DD031CB" w14:textId="2A49E704" w:rsidR="00BD7C3F" w:rsidRDefault="00BD7C3F" w:rsidP="002924DB">
      <w:pPr>
        <w:pStyle w:val="ListBullet"/>
        <w:numPr>
          <w:ilvl w:val="0"/>
          <w:numId w:val="24"/>
        </w:numPr>
        <w:rPr>
          <w:rFonts w:cstheme="minorHAnsi"/>
        </w:rPr>
      </w:pPr>
      <w:r>
        <w:rPr>
          <w:rFonts w:cstheme="minorHAnsi"/>
        </w:rPr>
        <w:t xml:space="preserve">The </w:t>
      </w:r>
      <w:hyperlink r:id="rId27" w:history="1">
        <w:r w:rsidRPr="00BD7C3F">
          <w:rPr>
            <w:rStyle w:val="Hyperlink"/>
            <w:rFonts w:cstheme="minorHAnsi"/>
          </w:rPr>
          <w:t>Health Product Regulatory Authority of Ireland</w:t>
        </w:r>
      </w:hyperlink>
      <w:r>
        <w:rPr>
          <w:rStyle w:val="FootnoteReference"/>
          <w:rFonts w:cstheme="minorHAnsi"/>
        </w:rPr>
        <w:footnoteReference w:id="11"/>
      </w:r>
      <w:r>
        <w:rPr>
          <w:rFonts w:cstheme="minorHAnsi"/>
        </w:rPr>
        <w:t xml:space="preserve"> regulates 9 products containing celecoxib in 100 mg and 200 mg capsules. All are listed as prescription-only medicines.</w:t>
      </w:r>
    </w:p>
    <w:p w14:paraId="728DF58A" w14:textId="4AC52C5A" w:rsidR="00BD7C3F" w:rsidRDefault="00BD7C3F" w:rsidP="002924DB">
      <w:pPr>
        <w:pStyle w:val="ListBullet"/>
        <w:numPr>
          <w:ilvl w:val="0"/>
          <w:numId w:val="24"/>
        </w:numPr>
        <w:rPr>
          <w:rFonts w:cstheme="minorHAnsi"/>
        </w:rPr>
      </w:pPr>
      <w:r>
        <w:rPr>
          <w:rFonts w:cstheme="minorHAnsi"/>
        </w:rPr>
        <w:t xml:space="preserve">The </w:t>
      </w:r>
      <w:hyperlink r:id="rId28" w:history="1">
        <w:r w:rsidRPr="004F1478">
          <w:rPr>
            <w:rStyle w:val="Hyperlink"/>
            <w:rFonts w:cstheme="minorHAnsi"/>
          </w:rPr>
          <w:t>United Kingdom electronic medicines compendium</w:t>
        </w:r>
      </w:hyperlink>
      <w:r w:rsidR="004F1478">
        <w:rPr>
          <w:rStyle w:val="FootnoteReference"/>
          <w:rFonts w:cstheme="minorHAnsi"/>
        </w:rPr>
        <w:footnoteReference w:id="12"/>
      </w:r>
      <w:r>
        <w:rPr>
          <w:rFonts w:cstheme="minorHAnsi"/>
        </w:rPr>
        <w:t xml:space="preserve"> (</w:t>
      </w:r>
      <w:proofErr w:type="spellStart"/>
      <w:r>
        <w:rPr>
          <w:rFonts w:cstheme="minorHAnsi"/>
        </w:rPr>
        <w:t>emc</w:t>
      </w:r>
      <w:proofErr w:type="spellEnd"/>
      <w:r>
        <w:rPr>
          <w:rFonts w:cstheme="minorHAnsi"/>
        </w:rPr>
        <w:t>) regulates 8 products containing celecoxib in 100 mg and 200 mg capsules. All are listed as prescription-only medicines.</w:t>
      </w:r>
    </w:p>
    <w:p w14:paraId="5185B169" w14:textId="280E1E7A" w:rsidR="004F1478" w:rsidRDefault="004F1478" w:rsidP="002924DB">
      <w:pPr>
        <w:pStyle w:val="ListBullet"/>
        <w:numPr>
          <w:ilvl w:val="0"/>
          <w:numId w:val="24"/>
        </w:numPr>
        <w:rPr>
          <w:rFonts w:cstheme="minorHAnsi"/>
        </w:rPr>
      </w:pPr>
      <w:r>
        <w:rPr>
          <w:rFonts w:cstheme="minorHAnsi"/>
        </w:rPr>
        <w:t xml:space="preserve">The </w:t>
      </w:r>
      <w:hyperlink r:id="rId29" w:history="1">
        <w:r w:rsidRPr="004F1478">
          <w:rPr>
            <w:rStyle w:val="Hyperlink"/>
            <w:rFonts w:cstheme="minorHAnsi"/>
          </w:rPr>
          <w:t>Health Canada Drug Product Database</w:t>
        </w:r>
      </w:hyperlink>
      <w:r>
        <w:rPr>
          <w:rStyle w:val="FootnoteReference"/>
          <w:rFonts w:cstheme="minorHAnsi"/>
        </w:rPr>
        <w:footnoteReference w:id="13"/>
      </w:r>
      <w:r>
        <w:rPr>
          <w:rFonts w:cstheme="minorHAnsi"/>
        </w:rPr>
        <w:t xml:space="preserve"> includes 32 currently marketed products that contain celecoxib. All are prescription-only medicines.</w:t>
      </w:r>
    </w:p>
    <w:p w14:paraId="37BE3E1D" w14:textId="77777777" w:rsidR="002924DB" w:rsidRDefault="002924DB" w:rsidP="002924DB">
      <w:pPr>
        <w:pStyle w:val="ListBullet"/>
        <w:numPr>
          <w:ilvl w:val="0"/>
          <w:numId w:val="0"/>
        </w:numPr>
        <w:ind w:left="360" w:hanging="360"/>
        <w:rPr>
          <w:rFonts w:cstheme="minorHAnsi"/>
        </w:rPr>
      </w:pPr>
    </w:p>
    <w:p w14:paraId="538E990B" w14:textId="253F9D1B" w:rsidR="0008464B" w:rsidRPr="003A5D61" w:rsidRDefault="0008464B" w:rsidP="0008464B">
      <w:pPr>
        <w:pStyle w:val="Heading2"/>
      </w:pPr>
      <w:bookmarkStart w:id="26" w:name="_Toc122676188"/>
      <w:r>
        <w:lastRenderedPageBreak/>
        <w:t>Proposed amendments referred for scheduling advice to the Joint ACMS-</w:t>
      </w:r>
      <w:r w:rsidRPr="003A5D61">
        <w:t xml:space="preserve">ACCS </w:t>
      </w:r>
      <w:r w:rsidR="003A1B1F">
        <w:t xml:space="preserve">meeting </w:t>
      </w:r>
      <w:r w:rsidRPr="003A5D61">
        <w:t>#33</w:t>
      </w:r>
      <w:bookmarkEnd w:id="26"/>
    </w:p>
    <w:p w14:paraId="2092288B" w14:textId="1C02BC33" w:rsidR="0008464B" w:rsidRDefault="0008464B" w:rsidP="00AF65C4">
      <w:pPr>
        <w:pStyle w:val="Heading3"/>
      </w:pPr>
      <w:bookmarkStart w:id="27" w:name="_Toc122676189"/>
      <w:r w:rsidRPr="003A5D61">
        <w:t>Azelaic acid</w:t>
      </w:r>
      <w:bookmarkEnd w:id="27"/>
      <w:r w:rsidRPr="003A5D61">
        <w:t xml:space="preserve"> </w:t>
      </w:r>
    </w:p>
    <w:p w14:paraId="222A2567" w14:textId="77777777" w:rsidR="0008464B" w:rsidRDefault="0008464B" w:rsidP="0008464B">
      <w:pPr>
        <w:pStyle w:val="Heading4"/>
      </w:pPr>
      <w:bookmarkStart w:id="28" w:name="_Toc122676190"/>
      <w:r>
        <w:t>Proposal</w:t>
      </w:r>
      <w:bookmarkEnd w:id="28"/>
    </w:p>
    <w:p w14:paraId="45E9B024" w14:textId="09436618" w:rsidR="0008464B" w:rsidRDefault="0008464B" w:rsidP="0008464B">
      <w:r w:rsidRPr="00286224">
        <w:t>The</w:t>
      </w:r>
      <w:r>
        <w:t xml:space="preserve"> delegates of the Secretary of the Department of Health and Aged Care responsible for medicines and chemicals scheduling have</w:t>
      </w:r>
      <w:r w:rsidRPr="00286224">
        <w:t xml:space="preserve"> proposed amendments to the </w:t>
      </w:r>
      <w:r w:rsidRPr="00F54B87">
        <w:t>Poisons Standard</w:t>
      </w:r>
      <w:r>
        <w:t xml:space="preserve"> with regards to azelaic acid. The amendments are intended to address non-therapeutic use of the substance, as well as clarify the existing entries in Schedules 2 and 4.</w:t>
      </w:r>
    </w:p>
    <w:p w14:paraId="3117391C" w14:textId="77777777" w:rsidR="0008464B" w:rsidRDefault="0008464B" w:rsidP="0008464B">
      <w:pPr>
        <w:pStyle w:val="Heading4"/>
      </w:pPr>
      <w:bookmarkStart w:id="29" w:name="_Toc122676191"/>
      <w:r>
        <w:t>CAS Number:</w:t>
      </w:r>
      <w:bookmarkEnd w:id="29"/>
    </w:p>
    <w:p w14:paraId="62F6AD74" w14:textId="788E8FBF" w:rsidR="0008464B" w:rsidRDefault="0008464B" w:rsidP="0008464B">
      <w:r w:rsidRPr="009A4A5D">
        <w:t>123-99-9</w:t>
      </w:r>
    </w:p>
    <w:p w14:paraId="2C692384" w14:textId="77777777" w:rsidR="0008464B" w:rsidRDefault="0008464B" w:rsidP="0008464B">
      <w:pPr>
        <w:pStyle w:val="Heading4"/>
      </w:pPr>
      <w:bookmarkStart w:id="30" w:name="_Toc122676192"/>
      <w:r>
        <w:t>Alternative names</w:t>
      </w:r>
      <w:bookmarkEnd w:id="30"/>
    </w:p>
    <w:p w14:paraId="588459C4" w14:textId="77777777" w:rsidR="0008464B" w:rsidRPr="009A4A5D" w:rsidRDefault="0008464B" w:rsidP="0008464B">
      <w:pPr>
        <w:keepNext/>
        <w:keepLines/>
        <w:spacing w:after="0" w:line="240" w:lineRule="auto"/>
        <w:rPr>
          <w:szCs w:val="22"/>
        </w:rPr>
      </w:pPr>
      <w:proofErr w:type="spellStart"/>
      <w:r>
        <w:rPr>
          <w:szCs w:val="22"/>
        </w:rPr>
        <w:t>N</w:t>
      </w:r>
      <w:r w:rsidRPr="009A4A5D">
        <w:rPr>
          <w:szCs w:val="22"/>
        </w:rPr>
        <w:t>onanedioic</w:t>
      </w:r>
      <w:proofErr w:type="spellEnd"/>
      <w:r w:rsidRPr="009A4A5D">
        <w:rPr>
          <w:szCs w:val="22"/>
        </w:rPr>
        <w:t xml:space="preserve"> acid</w:t>
      </w:r>
    </w:p>
    <w:p w14:paraId="687493BC" w14:textId="77777777" w:rsidR="0008464B" w:rsidRDefault="0008464B" w:rsidP="0008464B">
      <w:pPr>
        <w:pStyle w:val="Heading4"/>
      </w:pPr>
      <w:bookmarkStart w:id="31" w:name="_Toc122676193"/>
      <w:r>
        <w:t>Applicant</w:t>
      </w:r>
      <w:bookmarkEnd w:id="31"/>
    </w:p>
    <w:p w14:paraId="5B5483D6" w14:textId="77777777" w:rsidR="0008464B" w:rsidRDefault="0008464B" w:rsidP="0008464B">
      <w:r w:rsidRPr="00204A7B">
        <w:t>Delegate-initiated</w:t>
      </w:r>
      <w:r>
        <w:t xml:space="preserve"> </w:t>
      </w:r>
    </w:p>
    <w:p w14:paraId="5452A233" w14:textId="76963559" w:rsidR="0008464B" w:rsidRDefault="003A1B1F" w:rsidP="0008464B">
      <w:pPr>
        <w:pStyle w:val="Heading4"/>
      </w:pPr>
      <w:bookmarkStart w:id="32" w:name="_Toc122676194"/>
      <w:r>
        <w:t xml:space="preserve">Proposed </w:t>
      </w:r>
      <w:r w:rsidR="0008464B">
        <w:t>scheduling</w:t>
      </w:r>
      <w:bookmarkEnd w:id="32"/>
    </w:p>
    <w:p w14:paraId="3F39EAEB" w14:textId="77777777" w:rsidR="003A1B1F" w:rsidRDefault="0008464B" w:rsidP="0008464B">
      <w:r>
        <w:t>Azelaic acid</w:t>
      </w:r>
      <w:r w:rsidRPr="00AF12F6">
        <w:t xml:space="preserve"> is currently listed in Schedules </w:t>
      </w:r>
      <w:r>
        <w:t>2 and 4 of the Poisons Standard</w:t>
      </w:r>
      <w:r w:rsidR="003A1B1F">
        <w:t>.</w:t>
      </w:r>
    </w:p>
    <w:p w14:paraId="0125693B" w14:textId="05707413" w:rsidR="0008464B" w:rsidRDefault="003A1B1F" w:rsidP="0008464B">
      <w:r w:rsidRPr="00286224">
        <w:t xml:space="preserve">The applicant’s proposed amendments to the </w:t>
      </w:r>
      <w:r w:rsidRPr="00F54B87">
        <w:t>Poisons Standard</w:t>
      </w:r>
      <w:r w:rsidRPr="00286224">
        <w:t xml:space="preserve"> are</w:t>
      </w:r>
      <w:r>
        <w:t>:</w:t>
      </w:r>
      <w:r>
        <w:rPr>
          <w:rStyle w:val="FootnoteReference"/>
        </w:rPr>
        <w:footnoteReference w:id="14"/>
      </w:r>
    </w:p>
    <w:p w14:paraId="2979ADDE" w14:textId="4621BE51" w:rsidR="003A1B1F" w:rsidRPr="00AF65C4" w:rsidRDefault="003A1B1F" w:rsidP="003A1B1F">
      <w:pPr>
        <w:pStyle w:val="Heading6"/>
        <w:numPr>
          <w:ilvl w:val="0"/>
          <w:numId w:val="0"/>
        </w:numPr>
        <w:spacing w:before="180" w:after="180"/>
        <w:ind w:left="426"/>
        <w:rPr>
          <w:i w:val="0"/>
          <w:iCs/>
        </w:rPr>
      </w:pPr>
      <w:r w:rsidRPr="00AF65C4">
        <w:rPr>
          <w:i w:val="0"/>
          <w:iCs/>
        </w:rPr>
        <w:t>Schedule 5</w:t>
      </w:r>
    </w:p>
    <w:p w14:paraId="119C0508" w14:textId="178EFE5B" w:rsidR="003A1B1F" w:rsidRPr="00AF65C4" w:rsidRDefault="003A1B1F" w:rsidP="00AF65C4">
      <w:pPr>
        <w:spacing w:before="180"/>
        <w:ind w:left="567" w:firstLine="284"/>
        <w:rPr>
          <w:i/>
          <w:u w:val="single"/>
        </w:rPr>
      </w:pPr>
      <w:r w:rsidRPr="00AF65C4">
        <w:rPr>
          <w:color w:val="00B050"/>
          <w:u w:val="single"/>
        </w:rPr>
        <w:t xml:space="preserve">AZELAIC ACID (excluding its derivatives) </w:t>
      </w:r>
      <w:r w:rsidRPr="00AF65C4">
        <w:rPr>
          <w:b/>
          <w:bCs/>
          <w:color w:val="00B050"/>
          <w:u w:val="single"/>
        </w:rPr>
        <w:t>except</w:t>
      </w:r>
      <w:r w:rsidRPr="00AF65C4">
        <w:rPr>
          <w:color w:val="00B050"/>
          <w:u w:val="single"/>
        </w:rPr>
        <w:t xml:space="preserve"> when included in Schedules 2 or 4. </w:t>
      </w:r>
    </w:p>
    <w:p w14:paraId="46742549" w14:textId="77777777" w:rsidR="003A1B1F" w:rsidRPr="009A4A5D" w:rsidRDefault="003A1B1F" w:rsidP="003A1B1F">
      <w:pPr>
        <w:pStyle w:val="Heading6"/>
        <w:numPr>
          <w:ilvl w:val="0"/>
          <w:numId w:val="0"/>
        </w:numPr>
        <w:ind w:left="426"/>
        <w:rPr>
          <w:i w:val="0"/>
          <w:iCs/>
          <w:szCs w:val="20"/>
        </w:rPr>
      </w:pPr>
      <w:r w:rsidRPr="009A4A5D">
        <w:rPr>
          <w:i w:val="0"/>
          <w:iCs/>
          <w:szCs w:val="20"/>
        </w:rPr>
        <w:t xml:space="preserve">Schedule 4 </w:t>
      </w:r>
    </w:p>
    <w:p w14:paraId="70C7391C" w14:textId="77777777" w:rsidR="003A1B1F" w:rsidRPr="008C2541" w:rsidRDefault="003A1B1F" w:rsidP="003A1B1F">
      <w:pPr>
        <w:shd w:val="clear" w:color="auto" w:fill="FFFFFF"/>
        <w:spacing w:before="180"/>
        <w:ind w:left="567" w:firstLine="284"/>
        <w:rPr>
          <w:rFonts w:asciiTheme="minorHAnsi" w:eastAsia="Times New Roman" w:hAnsiTheme="minorHAnsi"/>
          <w:strike/>
          <w:color w:val="FF0000"/>
          <w:szCs w:val="22"/>
          <w:lang w:eastAsia="en-AU"/>
        </w:rPr>
      </w:pPr>
      <w:r w:rsidRPr="00DC71ED">
        <w:rPr>
          <w:rFonts w:asciiTheme="minorHAnsi" w:eastAsia="Times New Roman" w:hAnsiTheme="minorHAnsi"/>
          <w:color w:val="000000"/>
          <w:szCs w:val="22"/>
          <w:lang w:eastAsia="en-AU"/>
        </w:rPr>
        <w:t>AZELAIC ACID</w:t>
      </w:r>
      <w:r>
        <w:rPr>
          <w:rFonts w:asciiTheme="minorHAnsi" w:eastAsia="Times New Roman" w:hAnsiTheme="minorHAnsi"/>
          <w:color w:val="000000"/>
          <w:szCs w:val="22"/>
          <w:lang w:eastAsia="en-AU"/>
        </w:rPr>
        <w:t xml:space="preserve"> </w:t>
      </w:r>
      <w:r w:rsidRPr="00B829A8">
        <w:rPr>
          <w:rFonts w:asciiTheme="minorHAnsi" w:eastAsia="Times New Roman" w:hAnsiTheme="minorHAnsi"/>
          <w:color w:val="00B050"/>
          <w:szCs w:val="22"/>
          <w:u w:val="single"/>
          <w:lang w:eastAsia="en-AU"/>
        </w:rPr>
        <w:t>(excluding its derivatives)</w:t>
      </w:r>
      <w:r w:rsidRPr="00B829A8">
        <w:rPr>
          <w:rFonts w:asciiTheme="minorHAnsi" w:eastAsia="Times New Roman" w:hAnsiTheme="minorHAnsi"/>
          <w:color w:val="000000"/>
          <w:szCs w:val="22"/>
          <w:u w:val="single"/>
          <w:lang w:eastAsia="en-AU"/>
        </w:rPr>
        <w:t xml:space="preserve"> </w:t>
      </w:r>
      <w:r w:rsidRPr="00B829A8">
        <w:rPr>
          <w:rFonts w:asciiTheme="minorHAnsi" w:eastAsia="Times New Roman" w:hAnsiTheme="minorHAnsi"/>
          <w:color w:val="00B050"/>
          <w:szCs w:val="22"/>
          <w:u w:val="single"/>
          <w:lang w:eastAsia="en-AU"/>
        </w:rPr>
        <w:t>for therapeutic use</w:t>
      </w:r>
      <w:r>
        <w:rPr>
          <w:rFonts w:asciiTheme="minorHAnsi" w:eastAsia="Times New Roman" w:hAnsiTheme="minorHAnsi"/>
          <w:color w:val="00B050"/>
          <w:szCs w:val="22"/>
          <w:lang w:eastAsia="en-AU"/>
        </w:rPr>
        <w:t xml:space="preserve"> </w:t>
      </w:r>
      <w:r w:rsidRPr="00DC71ED">
        <w:rPr>
          <w:rFonts w:asciiTheme="minorHAnsi" w:eastAsia="Times New Roman" w:hAnsiTheme="minorHAnsi"/>
          <w:b/>
          <w:bCs/>
          <w:color w:val="000000"/>
          <w:szCs w:val="22"/>
          <w:lang w:eastAsia="en-AU"/>
        </w:rPr>
        <w:t>except</w:t>
      </w:r>
      <w:r w:rsidRPr="008C2541">
        <w:rPr>
          <w:rFonts w:asciiTheme="minorHAnsi" w:eastAsia="Times New Roman" w:hAnsiTheme="minorHAnsi"/>
          <w:szCs w:val="22"/>
          <w:lang w:eastAsia="en-AU"/>
        </w:rPr>
        <w:t>:</w:t>
      </w:r>
    </w:p>
    <w:p w14:paraId="25E6CDFA" w14:textId="77777777" w:rsidR="003A1B1F" w:rsidRPr="008C2541" w:rsidRDefault="003A1B1F" w:rsidP="003A1B1F">
      <w:pPr>
        <w:shd w:val="clear" w:color="auto" w:fill="FFFFFF"/>
        <w:spacing w:before="0" w:after="120" w:line="240" w:lineRule="auto"/>
        <w:ind w:left="1134"/>
        <w:rPr>
          <w:rFonts w:asciiTheme="minorHAnsi" w:eastAsia="Times New Roman" w:hAnsiTheme="minorHAnsi"/>
          <w:szCs w:val="22"/>
          <w:lang w:eastAsia="en-AU"/>
        </w:rPr>
      </w:pPr>
      <w:r w:rsidRPr="008C2541">
        <w:rPr>
          <w:rFonts w:asciiTheme="minorHAnsi" w:eastAsia="Times New Roman" w:hAnsiTheme="minorHAnsi"/>
          <w:szCs w:val="22"/>
          <w:lang w:eastAsia="en-AU"/>
        </w:rPr>
        <w:t>a)</w:t>
      </w:r>
      <w:r>
        <w:rPr>
          <w:rFonts w:asciiTheme="minorHAnsi" w:eastAsia="Times New Roman" w:hAnsiTheme="minorHAnsi"/>
          <w:sz w:val="14"/>
          <w:szCs w:val="14"/>
          <w:lang w:eastAsia="en-AU"/>
        </w:rPr>
        <w:t xml:space="preserve">      </w:t>
      </w:r>
      <w:r w:rsidRPr="00DC71ED">
        <w:rPr>
          <w:rFonts w:asciiTheme="minorHAnsi" w:eastAsia="Times New Roman" w:hAnsiTheme="minorHAnsi"/>
          <w:color w:val="000000"/>
          <w:szCs w:val="22"/>
          <w:lang w:eastAsia="en-AU"/>
        </w:rPr>
        <w:t>when included in Schedule 2</w:t>
      </w:r>
      <w:r w:rsidRPr="008C2541">
        <w:rPr>
          <w:rFonts w:asciiTheme="minorHAnsi" w:eastAsia="Times New Roman" w:hAnsiTheme="minorHAnsi"/>
          <w:szCs w:val="22"/>
          <w:lang w:eastAsia="en-AU"/>
        </w:rPr>
        <w:t>; or</w:t>
      </w:r>
    </w:p>
    <w:p w14:paraId="2278AB64" w14:textId="77777777" w:rsidR="003A1B1F" w:rsidRDefault="003A1B1F" w:rsidP="003A1B1F">
      <w:pPr>
        <w:shd w:val="clear" w:color="auto" w:fill="FFFFFF"/>
        <w:spacing w:before="0" w:after="120" w:line="240" w:lineRule="auto"/>
        <w:ind w:left="1134"/>
        <w:rPr>
          <w:rFonts w:asciiTheme="minorHAnsi" w:eastAsia="Times New Roman" w:hAnsiTheme="minorHAnsi"/>
          <w:strike/>
          <w:color w:val="000000"/>
          <w:szCs w:val="22"/>
          <w:lang w:eastAsia="en-AU"/>
        </w:rPr>
      </w:pPr>
      <w:r w:rsidRPr="008C2541">
        <w:rPr>
          <w:rFonts w:asciiTheme="minorHAnsi" w:eastAsia="Times New Roman" w:hAnsiTheme="minorHAnsi"/>
          <w:szCs w:val="22"/>
          <w:lang w:eastAsia="en-AU"/>
        </w:rPr>
        <w:t>b)</w:t>
      </w:r>
      <w:r w:rsidRPr="008C2541">
        <w:rPr>
          <w:rFonts w:asciiTheme="minorHAnsi" w:eastAsia="Times New Roman" w:hAnsiTheme="minorHAnsi"/>
          <w:sz w:val="14"/>
          <w:szCs w:val="14"/>
          <w:lang w:eastAsia="en-AU"/>
        </w:rPr>
        <w:t>      </w:t>
      </w:r>
      <w:r w:rsidRPr="008C2541">
        <w:rPr>
          <w:rFonts w:asciiTheme="minorHAnsi" w:eastAsia="Times New Roman" w:hAnsiTheme="minorHAnsi"/>
          <w:szCs w:val="22"/>
          <w:lang w:eastAsia="en-AU"/>
        </w:rPr>
        <w:t>in preparations containing 1</w:t>
      </w:r>
      <w:r w:rsidRPr="00B829A8">
        <w:rPr>
          <w:rFonts w:asciiTheme="minorHAnsi" w:eastAsia="Times New Roman" w:hAnsiTheme="minorHAnsi"/>
          <w:color w:val="00B050"/>
          <w:szCs w:val="22"/>
          <w:u w:val="single"/>
          <w:lang w:eastAsia="en-AU"/>
        </w:rPr>
        <w:t>%</w:t>
      </w:r>
      <w:r w:rsidRPr="00B829A8">
        <w:rPr>
          <w:rFonts w:asciiTheme="minorHAnsi" w:eastAsia="Times New Roman" w:hAnsiTheme="minorHAnsi"/>
          <w:strike/>
          <w:color w:val="FF0000"/>
          <w:szCs w:val="22"/>
          <w:lang w:eastAsia="en-AU"/>
        </w:rPr>
        <w:t>per cent</w:t>
      </w:r>
      <w:r w:rsidRPr="008C2541">
        <w:rPr>
          <w:rFonts w:asciiTheme="minorHAnsi" w:eastAsia="Times New Roman" w:hAnsiTheme="minorHAnsi"/>
          <w:szCs w:val="22"/>
          <w:lang w:eastAsia="en-AU"/>
        </w:rPr>
        <w:t xml:space="preserve"> or less of azelaic acid for non-human use</w:t>
      </w:r>
      <w:r w:rsidRPr="008C2541">
        <w:rPr>
          <w:rFonts w:asciiTheme="minorHAnsi" w:eastAsia="Times New Roman" w:hAnsiTheme="minorHAnsi"/>
          <w:color w:val="000000"/>
          <w:szCs w:val="22"/>
          <w:lang w:eastAsia="en-AU"/>
        </w:rPr>
        <w:t>.</w:t>
      </w:r>
    </w:p>
    <w:p w14:paraId="0A53DE51" w14:textId="77777777" w:rsidR="003A1B1F" w:rsidRPr="00670074" w:rsidRDefault="003A1B1F" w:rsidP="003A1B1F">
      <w:pPr>
        <w:pStyle w:val="Heading6"/>
        <w:numPr>
          <w:ilvl w:val="0"/>
          <w:numId w:val="0"/>
        </w:numPr>
        <w:ind w:left="426"/>
        <w:rPr>
          <w:i w:val="0"/>
          <w:iCs/>
        </w:rPr>
      </w:pPr>
      <w:r w:rsidRPr="00670074">
        <w:rPr>
          <w:i w:val="0"/>
          <w:iCs/>
        </w:rPr>
        <w:t>Schedule 2</w:t>
      </w:r>
    </w:p>
    <w:p w14:paraId="4E848BBD" w14:textId="77777777" w:rsidR="003A1B1F" w:rsidRDefault="003A1B1F" w:rsidP="003A1B1F">
      <w:pPr>
        <w:spacing w:before="180"/>
        <w:ind w:left="851"/>
      </w:pPr>
      <w:r>
        <w:t xml:space="preserve">AZELAIC ACID </w:t>
      </w:r>
      <w:r w:rsidRPr="00B829A8">
        <w:rPr>
          <w:color w:val="00B050"/>
          <w:u w:val="single"/>
        </w:rPr>
        <w:t>(excluding its derivatives)</w:t>
      </w:r>
      <w:r>
        <w:t xml:space="preserve"> in dermal preparations </w:t>
      </w:r>
      <w:r w:rsidRPr="008C2541">
        <w:rPr>
          <w:color w:val="00B050"/>
        </w:rPr>
        <w:t>for therapeutic use</w:t>
      </w:r>
      <w:r>
        <w:rPr>
          <w:color w:val="00B050"/>
        </w:rPr>
        <w:t xml:space="preserve"> </w:t>
      </w:r>
      <w:r w:rsidRPr="00CF0258">
        <w:rPr>
          <w:b/>
          <w:bCs/>
          <w:color w:val="00B050"/>
        </w:rPr>
        <w:t>except</w:t>
      </w:r>
      <w:r>
        <w:t xml:space="preserve"> </w:t>
      </w:r>
      <w:r w:rsidRPr="00CF0258">
        <w:rPr>
          <w:color w:val="00B050"/>
        </w:rPr>
        <w:t>in preparations containing 1</w:t>
      </w:r>
      <w:r w:rsidRPr="00B829A8">
        <w:rPr>
          <w:color w:val="00B050"/>
          <w:u w:val="single"/>
        </w:rPr>
        <w:t>%</w:t>
      </w:r>
      <w:r w:rsidRPr="00B829A8">
        <w:rPr>
          <w:strike/>
          <w:color w:val="FF0000"/>
        </w:rPr>
        <w:t xml:space="preserve"> per cent</w:t>
      </w:r>
      <w:r w:rsidRPr="00CF0258">
        <w:rPr>
          <w:color w:val="00B050"/>
        </w:rPr>
        <w:t xml:space="preserve"> or less of azelaic acid for non-human use</w:t>
      </w:r>
      <w:r>
        <w:t>.</w:t>
      </w:r>
    </w:p>
    <w:p w14:paraId="6C700642" w14:textId="77777777" w:rsidR="0008464B" w:rsidRPr="00801ADC" w:rsidRDefault="0008464B" w:rsidP="0008464B">
      <w:pPr>
        <w:pStyle w:val="Heading6"/>
        <w:numPr>
          <w:ilvl w:val="0"/>
          <w:numId w:val="0"/>
        </w:numPr>
        <w:ind w:left="426"/>
        <w:rPr>
          <w:i w:val="0"/>
          <w:iCs/>
        </w:rPr>
      </w:pPr>
      <w:r w:rsidRPr="00801ADC">
        <w:rPr>
          <w:i w:val="0"/>
          <w:iCs/>
        </w:rPr>
        <w:lastRenderedPageBreak/>
        <w:t>Index</w:t>
      </w:r>
    </w:p>
    <w:p w14:paraId="20AD0166" w14:textId="77777777" w:rsidR="0008464B" w:rsidRDefault="0008464B" w:rsidP="0008464B">
      <w:pPr>
        <w:ind w:firstLine="851"/>
        <w:rPr>
          <w:b/>
          <w:bCs/>
        </w:rPr>
      </w:pPr>
      <w:r>
        <w:rPr>
          <w:b/>
          <w:bCs/>
        </w:rPr>
        <w:t xml:space="preserve">AZELAIC ACID </w:t>
      </w:r>
    </w:p>
    <w:p w14:paraId="281B5D6E" w14:textId="77777777" w:rsidR="0008464B" w:rsidRDefault="0008464B" w:rsidP="0008464B">
      <w:pPr>
        <w:ind w:left="851"/>
        <w:contextualSpacing/>
      </w:pPr>
      <w:r>
        <w:t>Schedule 4</w:t>
      </w:r>
    </w:p>
    <w:p w14:paraId="6AFC1056" w14:textId="384FC722" w:rsidR="003A1B1F" w:rsidRPr="00743E52" w:rsidRDefault="0008464B" w:rsidP="005135BC">
      <w:pPr>
        <w:ind w:left="851"/>
        <w:contextualSpacing/>
      </w:pPr>
      <w:r>
        <w:t>Schedule 2</w:t>
      </w:r>
    </w:p>
    <w:p w14:paraId="7BD96650" w14:textId="77777777" w:rsidR="0008464B" w:rsidRDefault="0008464B" w:rsidP="0008464B">
      <w:pPr>
        <w:pStyle w:val="Heading4"/>
      </w:pPr>
      <w:bookmarkStart w:id="33" w:name="_Toc122676195"/>
      <w:r>
        <w:t>Background</w:t>
      </w:r>
      <w:bookmarkEnd w:id="33"/>
    </w:p>
    <w:p w14:paraId="5E37189A" w14:textId="77777777" w:rsidR="0008464B" w:rsidRDefault="0008464B" w:rsidP="0008464B">
      <w:pPr>
        <w:pBdr>
          <w:top w:val="nil"/>
          <w:left w:val="nil"/>
          <w:bottom w:val="nil"/>
          <w:right w:val="nil"/>
          <w:between w:val="nil"/>
        </w:pBdr>
        <w:tabs>
          <w:tab w:val="left" w:pos="2977"/>
        </w:tabs>
        <w:ind w:right="210"/>
      </w:pPr>
      <w:r>
        <w:t xml:space="preserve">Azelaic acid, also known as </w:t>
      </w:r>
      <w:proofErr w:type="spellStart"/>
      <w:r>
        <w:t>nonanedioic</w:t>
      </w:r>
      <w:proofErr w:type="spellEnd"/>
      <w:r>
        <w:t xml:space="preserve"> acid, is a naturally occurring dicarboxylic acid produced by the yeast </w:t>
      </w:r>
      <w:r w:rsidRPr="001C6C7F">
        <w:rPr>
          <w:i/>
          <w:iCs/>
        </w:rPr>
        <w:t>Malassezia furfur</w:t>
      </w:r>
      <w:r>
        <w:t xml:space="preserve"> and found in whole grain cereals, rye, </w:t>
      </w:r>
      <w:proofErr w:type="gramStart"/>
      <w:r>
        <w:t>barley</w:t>
      </w:r>
      <w:proofErr w:type="gramEnd"/>
      <w:r>
        <w:t xml:space="preserve"> and animal products. Azelaic acid is claimed to possess anti-inflammatory, antibacterial, keratolytic, comedolytic, and antioxidant activity. </w:t>
      </w:r>
    </w:p>
    <w:p w14:paraId="02B7AA6F" w14:textId="5E0404E6" w:rsidR="0008464B" w:rsidRDefault="0008464B" w:rsidP="0008464B">
      <w:pPr>
        <w:tabs>
          <w:tab w:val="left" w:pos="2977"/>
        </w:tabs>
        <w:spacing w:after="240"/>
      </w:pPr>
      <w:r>
        <w:t xml:space="preserve">Current regulatory controls in Australia only allow the sale and supply of </w:t>
      </w:r>
      <w:r w:rsidR="00B829A8">
        <w:t>Schedule 2 (P</w:t>
      </w:r>
      <w:r>
        <w:t xml:space="preserve">harmacy </w:t>
      </w:r>
      <w:r w:rsidR="00B829A8">
        <w:t xml:space="preserve">Medicine) </w:t>
      </w:r>
      <w:r>
        <w:t xml:space="preserve">or </w:t>
      </w:r>
      <w:r w:rsidR="00B829A8">
        <w:t>Schedule 4 (P</w:t>
      </w:r>
      <w:r>
        <w:t xml:space="preserve">rescription </w:t>
      </w:r>
      <w:r w:rsidR="00B829A8">
        <w:t>Only M</w:t>
      </w:r>
      <w:r>
        <w:t>edicine</w:t>
      </w:r>
      <w:r w:rsidR="00B829A8">
        <w:t>)</w:t>
      </w:r>
      <w:r w:rsidR="0090374A">
        <w:t xml:space="preserve"> </w:t>
      </w:r>
      <w:r w:rsidR="00B829A8">
        <w:t xml:space="preserve">products </w:t>
      </w:r>
      <w:r>
        <w:t>containing azelaic acid, with an exemption for non-human use at &lt;1% concentration. Although no information is available on the non-therapeutic use of azelaic acid in Australia, the chemical is reported internationally to be present in consumer products for domestic use. Incidental dermal and ocular exposure may occur from using these products. However, based on the available hazard information (skin and eye irritation), there are no identified risks to the public that require management where use of the chemical as a dermal or topical application is not intentional.</w:t>
      </w:r>
    </w:p>
    <w:p w14:paraId="5B1219AC" w14:textId="5B3CD26E" w:rsidR="0008464B" w:rsidRDefault="0008464B" w:rsidP="0008464B">
      <w:pPr>
        <w:tabs>
          <w:tab w:val="left" w:pos="2977"/>
        </w:tabs>
        <w:spacing w:after="240"/>
      </w:pPr>
      <w:r>
        <w:t xml:space="preserve">The </w:t>
      </w:r>
      <w:hyperlink r:id="rId30" w:history="1">
        <w:r w:rsidRPr="009E50F6">
          <w:rPr>
            <w:rStyle w:val="Hyperlink"/>
          </w:rPr>
          <w:t>AICIS evaluation statement on azelaic acid</w:t>
        </w:r>
      </w:hyperlink>
      <w:r>
        <w:t>,</w:t>
      </w:r>
      <w:r>
        <w:rPr>
          <w:rStyle w:val="FootnoteReference"/>
        </w:rPr>
        <w:footnoteReference w:id="15"/>
      </w:r>
      <w:r>
        <w:t xml:space="preserve"> completed in September 2021, recommends that the Poisons Standard entry for azelaic acid be amended to recognise the range of identified industrial uses of the chemical which are not captured by the existing entries. The list of factors included for consideration in the statement include the existence of several derivatives of the substance which are utilised in various applications, the limited identified health hazards associated with exposure, and the limitations of the current scheduling.</w:t>
      </w:r>
    </w:p>
    <w:p w14:paraId="606FC1E9" w14:textId="77777777" w:rsidR="0008464B" w:rsidRDefault="0008464B" w:rsidP="0008464B">
      <w:pPr>
        <w:pStyle w:val="Heading4"/>
      </w:pPr>
      <w:bookmarkStart w:id="34" w:name="_Toc122676196"/>
      <w:r>
        <w:t>Summary of the reasons for the proposal</w:t>
      </w:r>
      <w:bookmarkEnd w:id="34"/>
    </w:p>
    <w:p w14:paraId="3A6F041A" w14:textId="5FC06EE9" w:rsidR="0008464B" w:rsidRDefault="0008464B" w:rsidP="0008464B">
      <w:pPr>
        <w:pStyle w:val="ListBullet"/>
      </w:pPr>
      <w:r w:rsidRPr="005339C8">
        <w:t xml:space="preserve">The chemical is currently listed in Schedules 2 and 4 of the </w:t>
      </w:r>
      <w:r w:rsidRPr="0069128E">
        <w:t>Poisons Standard</w:t>
      </w:r>
      <w:r w:rsidRPr="005339C8">
        <w:t xml:space="preserve">. There </w:t>
      </w:r>
      <w:r>
        <w:t>is</w:t>
      </w:r>
      <w:r w:rsidRPr="005339C8">
        <w:t xml:space="preserve"> a range of legitimate industrial uses for the chemical and its derivatives which are not allowed under the current listings</w:t>
      </w:r>
      <w:r>
        <w:t>, a</w:t>
      </w:r>
      <w:r w:rsidRPr="005339C8">
        <w:t>lthough it is probable that industrial users of this chemical are not aware of th</w:t>
      </w:r>
      <w:r w:rsidR="00B829A8">
        <w:t>e</w:t>
      </w:r>
      <w:r w:rsidRPr="005339C8">
        <w:t xml:space="preserve"> restriction</w:t>
      </w:r>
      <w:r w:rsidR="00B829A8">
        <w:t>s associated with the current scheduling</w:t>
      </w:r>
      <w:r w:rsidRPr="005339C8">
        <w:t>.</w:t>
      </w:r>
    </w:p>
    <w:p w14:paraId="4FFD27F8" w14:textId="7E2CF6B2" w:rsidR="0008464B" w:rsidRPr="009A4A5D" w:rsidRDefault="0008464B" w:rsidP="0008464B">
      <w:pPr>
        <w:pStyle w:val="ListBullet"/>
      </w:pPr>
      <w:r w:rsidRPr="005339C8">
        <w:t>The</w:t>
      </w:r>
      <w:r w:rsidR="000402D0">
        <w:t xml:space="preserve"> existing </w:t>
      </w:r>
      <w:r>
        <w:t>S</w:t>
      </w:r>
      <w:r w:rsidRPr="005339C8">
        <w:t xml:space="preserve">chedule </w:t>
      </w:r>
      <w:r>
        <w:t xml:space="preserve">2 and </w:t>
      </w:r>
      <w:r w:rsidRPr="005339C8">
        <w:t>4 listing</w:t>
      </w:r>
      <w:r>
        <w:t>s</w:t>
      </w:r>
      <w:r w:rsidRPr="005339C8">
        <w:t xml:space="preserve"> should be amended so that </w:t>
      </w:r>
      <w:r>
        <w:t xml:space="preserve">they are </w:t>
      </w:r>
      <w:r w:rsidRPr="005339C8">
        <w:t>limited to therapeutic use of azelaic acid</w:t>
      </w:r>
      <w:r>
        <w:t>,</w:t>
      </w:r>
      <w:r w:rsidRPr="005339C8">
        <w:t xml:space="preserve"> to allow industrial use</w:t>
      </w:r>
      <w:r>
        <w:t xml:space="preserve"> of the substance</w:t>
      </w:r>
      <w:r w:rsidRPr="005339C8">
        <w:t>.</w:t>
      </w:r>
      <w:r>
        <w:t xml:space="preserve"> Due to its simple chemical structure, the entries for azelaic acid should also exclude derivatives to avoid inadvertently capturing unrelated substances.</w:t>
      </w:r>
    </w:p>
    <w:p w14:paraId="3DF33CB8" w14:textId="77777777" w:rsidR="0008464B" w:rsidRDefault="0008464B" w:rsidP="0008464B">
      <w:pPr>
        <w:pStyle w:val="Heading4"/>
      </w:pPr>
      <w:bookmarkStart w:id="35" w:name="_Toc122676197"/>
      <w:r>
        <w:t>Key uses / expected use</w:t>
      </w:r>
      <w:bookmarkEnd w:id="35"/>
    </w:p>
    <w:p w14:paraId="376D40B3" w14:textId="77777777" w:rsidR="0008464B" w:rsidRPr="00A34337" w:rsidRDefault="0008464B" w:rsidP="0008464B">
      <w:pPr>
        <w:pStyle w:val="ListBullet"/>
        <w:numPr>
          <w:ilvl w:val="0"/>
          <w:numId w:val="0"/>
        </w:numPr>
        <w:spacing w:before="180"/>
      </w:pPr>
      <w:r>
        <w:t xml:space="preserve">Medicines, cosmetics, industrial uses. </w:t>
      </w:r>
    </w:p>
    <w:p w14:paraId="7557F568" w14:textId="77777777" w:rsidR="0008464B" w:rsidRPr="00CC003B" w:rsidRDefault="0008464B" w:rsidP="0008464B">
      <w:pPr>
        <w:pStyle w:val="Heading4"/>
      </w:pPr>
      <w:bookmarkStart w:id="36" w:name="_Toc122676198"/>
      <w:r w:rsidRPr="00CC003B">
        <w:t>Australian regulations</w:t>
      </w:r>
      <w:bookmarkEnd w:id="36"/>
      <w:r w:rsidRPr="00CC003B">
        <w:t xml:space="preserve"> </w:t>
      </w:r>
    </w:p>
    <w:p w14:paraId="4A6E8394" w14:textId="77777777" w:rsidR="0008464B" w:rsidRDefault="0008464B" w:rsidP="0008464B">
      <w:pPr>
        <w:pStyle w:val="ListBullet"/>
        <w:numPr>
          <w:ilvl w:val="0"/>
          <w:numId w:val="1"/>
        </w:numPr>
        <w:spacing w:before="180"/>
      </w:pPr>
      <w:r>
        <w:t xml:space="preserve">According to the </w:t>
      </w:r>
      <w:hyperlink r:id="rId31"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16"/>
      </w:r>
      <w:r>
        <w:t xml:space="preserve"> azelaic acid is:</w:t>
      </w:r>
    </w:p>
    <w:p w14:paraId="0CBA94B8" w14:textId="77777777" w:rsidR="0008464B" w:rsidRPr="002A3861" w:rsidRDefault="0008464B" w:rsidP="0008464B">
      <w:pPr>
        <w:pStyle w:val="ListBullet2"/>
        <w:numPr>
          <w:ilvl w:val="1"/>
          <w:numId w:val="1"/>
        </w:numPr>
        <w:spacing w:before="180"/>
        <w:ind w:left="850" w:hanging="425"/>
        <w:rPr>
          <w:i/>
          <w:color w:val="002C47" w:themeColor="text2"/>
          <w:sz w:val="20"/>
        </w:rPr>
      </w:pPr>
      <w:r>
        <w:lastRenderedPageBreak/>
        <w:t xml:space="preserve">Available for use as an Active Ingredient in Biologicals, Export Only, Over the Counter and Prescription Medicines; </w:t>
      </w:r>
    </w:p>
    <w:p w14:paraId="6CE8030D" w14:textId="77777777" w:rsidR="0008464B" w:rsidRPr="002A3861" w:rsidRDefault="0008464B" w:rsidP="0008464B">
      <w:pPr>
        <w:pStyle w:val="ListBullet2"/>
        <w:numPr>
          <w:ilvl w:val="1"/>
          <w:numId w:val="1"/>
        </w:numPr>
        <w:spacing w:before="180"/>
        <w:ind w:left="850" w:hanging="425"/>
        <w:rPr>
          <w:i/>
          <w:color w:val="002C47" w:themeColor="text2"/>
          <w:sz w:val="20"/>
        </w:rPr>
      </w:pPr>
      <w:r>
        <w:t xml:space="preserve">Available for use as an Excipient Ingredient in Biologicals, Devices and Prescription Medicines; </w:t>
      </w:r>
    </w:p>
    <w:p w14:paraId="1BC9EA02" w14:textId="77777777" w:rsidR="0008464B" w:rsidRPr="00BD6520" w:rsidRDefault="0008464B" w:rsidP="0008464B">
      <w:pPr>
        <w:pStyle w:val="ListBullet2"/>
        <w:numPr>
          <w:ilvl w:val="1"/>
          <w:numId w:val="1"/>
        </w:numPr>
        <w:spacing w:before="180"/>
        <w:ind w:left="850" w:hanging="425"/>
        <w:rPr>
          <w:i/>
          <w:color w:val="002C47" w:themeColor="text2"/>
          <w:sz w:val="20"/>
        </w:rPr>
      </w:pPr>
      <w:r>
        <w:t>Not available as an Equivalent Ingredient in any application.</w:t>
      </w:r>
    </w:p>
    <w:p w14:paraId="2C2311F0" w14:textId="186CB22C" w:rsidR="0008464B" w:rsidRDefault="0008464B" w:rsidP="0008464B">
      <w:pPr>
        <w:pStyle w:val="ListBullet"/>
        <w:numPr>
          <w:ilvl w:val="0"/>
          <w:numId w:val="1"/>
        </w:numPr>
        <w:spacing w:before="180"/>
      </w:pPr>
      <w:r>
        <w:t xml:space="preserve">As of </w:t>
      </w:r>
      <w:r w:rsidR="00BF3CD4">
        <w:t>December</w:t>
      </w:r>
      <w:r w:rsidRPr="00BD6520">
        <w:t xml:space="preserve"> 2022, there were 4</w:t>
      </w:r>
      <w:r>
        <w:t xml:space="preserve"> medicine</w:t>
      </w:r>
      <w:r w:rsidRPr="00881DFE">
        <w:t xml:space="preserve">s currently active on the </w:t>
      </w:r>
      <w:hyperlink r:id="rId32" w:history="1">
        <w:r w:rsidRPr="00293CCA">
          <w:rPr>
            <w:rStyle w:val="Hyperlink"/>
          </w:rPr>
          <w:t>Australian Register of Therapeutic Goods (ARTG)</w:t>
        </w:r>
      </w:hyperlink>
      <w:r>
        <w:rPr>
          <w:rStyle w:val="FootnoteReference"/>
        </w:rPr>
        <w:footnoteReference w:id="17"/>
      </w:r>
      <w:r>
        <w:t xml:space="preserve"> that contain</w:t>
      </w:r>
      <w:r w:rsidRPr="00881DFE">
        <w:t xml:space="preserve"> </w:t>
      </w:r>
      <w:r>
        <w:t>azelaic acid as an active ingredient</w:t>
      </w:r>
      <w:r w:rsidRPr="00881DFE">
        <w:t>.</w:t>
      </w:r>
      <w:r>
        <w:t xml:space="preserve"> These include 2 export-only products and 2 non-prescription medicines (one lotion containing 20% azelaic acid, and one gel containing 15% azelaic acid).</w:t>
      </w:r>
    </w:p>
    <w:p w14:paraId="5873FB67" w14:textId="50E7D0BF" w:rsidR="0008464B" w:rsidRDefault="0008464B" w:rsidP="0008464B">
      <w:pPr>
        <w:pStyle w:val="ListBullet"/>
        <w:numPr>
          <w:ilvl w:val="0"/>
          <w:numId w:val="1"/>
        </w:numPr>
        <w:spacing w:after="120"/>
        <w:ind w:left="357" w:hanging="357"/>
      </w:pPr>
      <w:r>
        <w:t>Azelaic acid</w:t>
      </w:r>
      <w:r w:rsidRPr="009C55D5">
        <w:t xml:space="preserve"> is not permitted to be included in listed medicines </w:t>
      </w:r>
      <w:r>
        <w:t xml:space="preserve">as it is not included in the </w:t>
      </w:r>
      <w:hyperlink r:id="rId33" w:history="1">
        <w:r w:rsidRPr="00824CAC">
          <w:rPr>
            <w:rStyle w:val="Hyperlink"/>
          </w:rPr>
          <w:t>Therapeutic Goods (Permissible Ingredients) Determination</w:t>
        </w:r>
      </w:hyperlink>
      <w:r>
        <w:rPr>
          <w:rStyle w:val="FootnoteReference"/>
        </w:rPr>
        <w:footnoteReference w:id="18"/>
      </w:r>
      <w:r w:rsidRPr="009C55D5">
        <w:t xml:space="preserve"> No.</w:t>
      </w:r>
      <w:r>
        <w:t>5</w:t>
      </w:r>
      <w:r w:rsidRPr="009C55D5">
        <w:t xml:space="preserve"> of </w:t>
      </w:r>
      <w:r>
        <w:t>2022</w:t>
      </w:r>
      <w:r w:rsidRPr="009C55D5">
        <w:t xml:space="preserve">. </w:t>
      </w:r>
    </w:p>
    <w:p w14:paraId="748088BD" w14:textId="68400627" w:rsidR="0008464B" w:rsidRDefault="0008464B" w:rsidP="00520E48">
      <w:pPr>
        <w:pStyle w:val="ListBullet"/>
        <w:numPr>
          <w:ilvl w:val="0"/>
          <w:numId w:val="1"/>
        </w:numPr>
        <w:spacing w:after="0"/>
        <w:ind w:left="357" w:hanging="357"/>
      </w:pPr>
      <w:r>
        <w:t xml:space="preserve">The </w:t>
      </w:r>
      <w:hyperlink r:id="rId34"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19"/>
      </w:r>
      <w:r>
        <w:t xml:space="preserve"> classifies azelaic acid as:</w:t>
      </w:r>
    </w:p>
    <w:tbl>
      <w:tblPr>
        <w:tblStyle w:val="TableTGAblue"/>
        <w:tblpPr w:leftFromText="180" w:rightFromText="180" w:vertAnchor="text" w:horzAnchor="margin" w:tblpX="416" w:tblpY="200"/>
        <w:tblW w:w="8637" w:type="dxa"/>
        <w:tblLayout w:type="fixed"/>
        <w:tblLook w:val="04A0" w:firstRow="1" w:lastRow="0" w:firstColumn="1" w:lastColumn="0" w:noHBand="0" w:noVBand="1"/>
      </w:tblPr>
      <w:tblGrid>
        <w:gridCol w:w="1691"/>
        <w:gridCol w:w="1560"/>
        <w:gridCol w:w="1701"/>
        <w:gridCol w:w="1842"/>
        <w:gridCol w:w="1843"/>
      </w:tblGrid>
      <w:tr w:rsidR="00AF65C4" w:rsidRPr="00E8732C" w14:paraId="002C9DBD" w14:textId="77777777" w:rsidTr="00AF65C4">
        <w:trPr>
          <w:cnfStyle w:val="100000000000" w:firstRow="1" w:lastRow="0" w:firstColumn="0" w:lastColumn="0" w:oddVBand="0" w:evenVBand="0" w:oddHBand="0" w:evenHBand="0" w:firstRowFirstColumn="0" w:firstRowLastColumn="0" w:lastRowFirstColumn="0" w:lastRowLastColumn="0"/>
          <w:cantSplit w:val="0"/>
          <w:trHeight w:val="193"/>
        </w:trPr>
        <w:tc>
          <w:tcPr>
            <w:cnfStyle w:val="001000000000" w:firstRow="0" w:lastRow="0" w:firstColumn="1" w:lastColumn="0" w:oddVBand="0" w:evenVBand="0" w:oddHBand="0" w:evenHBand="0" w:firstRowFirstColumn="0" w:firstRowLastColumn="0" w:lastRowFirstColumn="0" w:lastRowLastColumn="0"/>
            <w:tcW w:w="1691" w:type="dxa"/>
          </w:tcPr>
          <w:p w14:paraId="020AB133" w14:textId="77777777" w:rsidR="0008464B" w:rsidRPr="00E8732C" w:rsidRDefault="0008464B" w:rsidP="00520E48">
            <w:pPr>
              <w:keepNext w:val="0"/>
              <w:rPr>
                <w:sz w:val="20"/>
              </w:rPr>
            </w:pPr>
            <w:r w:rsidRPr="00E8732C">
              <w:rPr>
                <w:sz w:val="20"/>
              </w:rPr>
              <w:t>Drug name</w:t>
            </w:r>
          </w:p>
        </w:tc>
        <w:tc>
          <w:tcPr>
            <w:tcW w:w="1560" w:type="dxa"/>
          </w:tcPr>
          <w:p w14:paraId="6F3CB2CA" w14:textId="77777777" w:rsidR="0008464B" w:rsidRPr="00E8732C" w:rsidRDefault="0008464B" w:rsidP="00520E48">
            <w:pPr>
              <w:keepNext w:val="0"/>
              <w:cnfStyle w:val="100000000000" w:firstRow="1" w:lastRow="0" w:firstColumn="0" w:lastColumn="0" w:oddVBand="0" w:evenVBand="0" w:oddHBand="0" w:evenHBand="0" w:firstRowFirstColumn="0" w:firstRowLastColumn="0" w:lastRowFirstColumn="0" w:lastRowLastColumn="0"/>
              <w:rPr>
                <w:sz w:val="20"/>
              </w:rPr>
            </w:pPr>
            <w:r w:rsidRPr="00E8732C">
              <w:rPr>
                <w:sz w:val="20"/>
              </w:rPr>
              <w:t>Category</w:t>
            </w:r>
          </w:p>
        </w:tc>
        <w:tc>
          <w:tcPr>
            <w:tcW w:w="1701" w:type="dxa"/>
          </w:tcPr>
          <w:p w14:paraId="06A3D13F" w14:textId="77777777" w:rsidR="0008464B" w:rsidRPr="00E8732C" w:rsidRDefault="0008464B" w:rsidP="00520E48">
            <w:pPr>
              <w:keepNext w:val="0"/>
              <w:cnfStyle w:val="100000000000" w:firstRow="1" w:lastRow="0" w:firstColumn="0" w:lastColumn="0" w:oddVBand="0" w:evenVBand="0" w:oddHBand="0" w:evenHBand="0" w:firstRowFirstColumn="0" w:firstRowLastColumn="0" w:lastRowFirstColumn="0" w:lastRowLastColumn="0"/>
              <w:rPr>
                <w:sz w:val="20"/>
              </w:rPr>
            </w:pPr>
            <w:r w:rsidRPr="00E8732C">
              <w:rPr>
                <w:sz w:val="20"/>
              </w:rPr>
              <w:t>Classification Level 1</w:t>
            </w:r>
          </w:p>
        </w:tc>
        <w:tc>
          <w:tcPr>
            <w:tcW w:w="1842" w:type="dxa"/>
          </w:tcPr>
          <w:p w14:paraId="559F0A9E" w14:textId="77777777" w:rsidR="0008464B" w:rsidRPr="00E8732C" w:rsidRDefault="0008464B" w:rsidP="00520E48">
            <w:pPr>
              <w:keepNext w:val="0"/>
              <w:cnfStyle w:val="100000000000" w:firstRow="1" w:lastRow="0" w:firstColumn="0" w:lastColumn="0" w:oddVBand="0" w:evenVBand="0" w:oddHBand="0" w:evenHBand="0" w:firstRowFirstColumn="0" w:firstRowLastColumn="0" w:lastRowFirstColumn="0" w:lastRowLastColumn="0"/>
              <w:rPr>
                <w:sz w:val="20"/>
              </w:rPr>
            </w:pPr>
            <w:r w:rsidRPr="00E8732C">
              <w:rPr>
                <w:sz w:val="20"/>
              </w:rPr>
              <w:t>Classification Level 2</w:t>
            </w:r>
          </w:p>
        </w:tc>
        <w:tc>
          <w:tcPr>
            <w:tcW w:w="1843" w:type="dxa"/>
          </w:tcPr>
          <w:p w14:paraId="51673A18" w14:textId="77777777" w:rsidR="0008464B" w:rsidRPr="00E8732C" w:rsidRDefault="0008464B" w:rsidP="00520E48">
            <w:pPr>
              <w:keepNext w:val="0"/>
              <w:cnfStyle w:val="100000000000" w:firstRow="1" w:lastRow="0" w:firstColumn="0" w:lastColumn="0" w:oddVBand="0" w:evenVBand="0" w:oddHBand="0" w:evenHBand="0" w:firstRowFirstColumn="0" w:firstRowLastColumn="0" w:lastRowFirstColumn="0" w:lastRowLastColumn="0"/>
              <w:rPr>
                <w:sz w:val="20"/>
              </w:rPr>
            </w:pPr>
            <w:r w:rsidRPr="00E8732C">
              <w:rPr>
                <w:sz w:val="20"/>
              </w:rPr>
              <w:t>Classification Level 3</w:t>
            </w:r>
          </w:p>
        </w:tc>
      </w:tr>
      <w:tr w:rsidR="00D971AC" w:rsidRPr="00E8732C" w14:paraId="32A3850A" w14:textId="77777777" w:rsidTr="00AF65C4">
        <w:trPr>
          <w:trHeight w:val="190"/>
        </w:trPr>
        <w:tc>
          <w:tcPr>
            <w:cnfStyle w:val="001000000000" w:firstRow="0" w:lastRow="0" w:firstColumn="1" w:lastColumn="0" w:oddVBand="0" w:evenVBand="0" w:oddHBand="0" w:evenHBand="0" w:firstRowFirstColumn="0" w:firstRowLastColumn="0" w:lastRowFirstColumn="0" w:lastRowLastColumn="0"/>
            <w:tcW w:w="1691" w:type="dxa"/>
          </w:tcPr>
          <w:p w14:paraId="4AAC082B" w14:textId="77777777" w:rsidR="0008464B" w:rsidRPr="00E8732C" w:rsidRDefault="0008464B" w:rsidP="00520E48">
            <w:pPr>
              <w:rPr>
                <w:sz w:val="20"/>
              </w:rPr>
            </w:pPr>
            <w:r w:rsidRPr="00E8732C">
              <w:rPr>
                <w:sz w:val="20"/>
              </w:rPr>
              <w:t>Azelaic acid</w:t>
            </w:r>
          </w:p>
        </w:tc>
        <w:tc>
          <w:tcPr>
            <w:tcW w:w="1560" w:type="dxa"/>
          </w:tcPr>
          <w:p w14:paraId="44C22F6A" w14:textId="77777777" w:rsidR="0008464B" w:rsidRPr="00E8732C" w:rsidRDefault="0008464B" w:rsidP="00520E48">
            <w:pPr>
              <w:cnfStyle w:val="000000000000" w:firstRow="0" w:lastRow="0" w:firstColumn="0" w:lastColumn="0" w:oddVBand="0" w:evenVBand="0" w:oddHBand="0" w:evenHBand="0" w:firstRowFirstColumn="0" w:firstRowLastColumn="0" w:lastRowFirstColumn="0" w:lastRowLastColumn="0"/>
              <w:rPr>
                <w:sz w:val="20"/>
              </w:rPr>
            </w:pPr>
            <w:r w:rsidRPr="00E8732C">
              <w:rPr>
                <w:sz w:val="20"/>
              </w:rPr>
              <w:t>B1</w:t>
            </w:r>
          </w:p>
        </w:tc>
        <w:tc>
          <w:tcPr>
            <w:tcW w:w="1701" w:type="dxa"/>
          </w:tcPr>
          <w:p w14:paraId="68A1DCE8" w14:textId="77777777" w:rsidR="0008464B" w:rsidRPr="00E8732C" w:rsidRDefault="0008464B" w:rsidP="00520E48">
            <w:pPr>
              <w:cnfStyle w:val="000000000000" w:firstRow="0" w:lastRow="0" w:firstColumn="0" w:lastColumn="0" w:oddVBand="0" w:evenVBand="0" w:oddHBand="0" w:evenHBand="0" w:firstRowFirstColumn="0" w:firstRowLastColumn="0" w:lastRowFirstColumn="0" w:lastRowLastColumn="0"/>
              <w:rPr>
                <w:sz w:val="20"/>
              </w:rPr>
            </w:pPr>
            <w:r w:rsidRPr="00E8732C">
              <w:rPr>
                <w:sz w:val="20"/>
              </w:rPr>
              <w:t>Drugs used in dermatology</w:t>
            </w:r>
          </w:p>
        </w:tc>
        <w:tc>
          <w:tcPr>
            <w:tcW w:w="1842" w:type="dxa"/>
          </w:tcPr>
          <w:p w14:paraId="24A4A399" w14:textId="77777777" w:rsidR="0008464B" w:rsidRPr="00E8732C" w:rsidRDefault="0008464B" w:rsidP="00520E48">
            <w:pPr>
              <w:cnfStyle w:val="000000000000" w:firstRow="0" w:lastRow="0" w:firstColumn="0" w:lastColumn="0" w:oddVBand="0" w:evenVBand="0" w:oddHBand="0" w:evenHBand="0" w:firstRowFirstColumn="0" w:firstRowLastColumn="0" w:lastRowFirstColumn="0" w:lastRowLastColumn="0"/>
              <w:rPr>
                <w:sz w:val="20"/>
              </w:rPr>
            </w:pPr>
            <w:r w:rsidRPr="00E8732C">
              <w:rPr>
                <w:sz w:val="20"/>
              </w:rPr>
              <w:t xml:space="preserve">Topical </w:t>
            </w:r>
          </w:p>
        </w:tc>
        <w:tc>
          <w:tcPr>
            <w:tcW w:w="1843" w:type="dxa"/>
          </w:tcPr>
          <w:p w14:paraId="5B24ECF6" w14:textId="77777777" w:rsidR="0008464B" w:rsidRPr="00E8732C" w:rsidRDefault="0008464B" w:rsidP="00520E48">
            <w:pPr>
              <w:cnfStyle w:val="000000000000" w:firstRow="0" w:lastRow="0" w:firstColumn="0" w:lastColumn="0" w:oddVBand="0" w:evenVBand="0" w:oddHBand="0" w:evenHBand="0" w:firstRowFirstColumn="0" w:firstRowLastColumn="0" w:lastRowFirstColumn="0" w:lastRowLastColumn="0"/>
              <w:rPr>
                <w:sz w:val="20"/>
              </w:rPr>
            </w:pPr>
          </w:p>
        </w:tc>
      </w:tr>
      <w:tr w:rsidR="0008464B" w:rsidRPr="00E8732C" w14:paraId="070173E6" w14:textId="77777777" w:rsidTr="00AF65C4">
        <w:trPr>
          <w:trHeight w:val="1273"/>
        </w:trPr>
        <w:tc>
          <w:tcPr>
            <w:cnfStyle w:val="001000000000" w:firstRow="0" w:lastRow="0" w:firstColumn="1" w:lastColumn="0" w:oddVBand="0" w:evenVBand="0" w:oddHBand="0" w:evenHBand="0" w:firstRowFirstColumn="0" w:firstRowLastColumn="0" w:lastRowFirstColumn="0" w:lastRowLastColumn="0"/>
            <w:tcW w:w="8637" w:type="dxa"/>
            <w:gridSpan w:val="5"/>
          </w:tcPr>
          <w:p w14:paraId="4633AB25" w14:textId="77777777" w:rsidR="0008464B" w:rsidRPr="00E8732C" w:rsidRDefault="0008464B" w:rsidP="00520E48">
            <w:pPr>
              <w:spacing w:after="0"/>
              <w:rPr>
                <w:sz w:val="18"/>
                <w:szCs w:val="18"/>
              </w:rPr>
            </w:pPr>
            <w:r w:rsidRPr="00E8732C">
              <w:rPr>
                <w:sz w:val="18"/>
                <w:szCs w:val="18"/>
              </w:rPr>
              <w:t>Category B1 – Drugs which have been taken by only a limited number of pregnant women and women of childbearing age, without an increase in the frequency of malformation or other direct or indirect harmful effects on the human foetus having been observed.</w:t>
            </w:r>
          </w:p>
          <w:p w14:paraId="47399477" w14:textId="77777777" w:rsidR="0008464B" w:rsidRPr="00E8732C" w:rsidRDefault="0008464B" w:rsidP="00520E48">
            <w:pPr>
              <w:spacing w:after="120"/>
              <w:rPr>
                <w:sz w:val="20"/>
              </w:rPr>
            </w:pPr>
            <w:r w:rsidRPr="00E8732C">
              <w:rPr>
                <w:sz w:val="18"/>
                <w:szCs w:val="18"/>
              </w:rPr>
              <w:t>Studies in animals have not shown evidence of an increased occurrence of foetal damage.</w:t>
            </w:r>
          </w:p>
        </w:tc>
      </w:tr>
    </w:tbl>
    <w:p w14:paraId="5DC7E9C9" w14:textId="7B38ED0B" w:rsidR="0008464B" w:rsidRDefault="0008464B" w:rsidP="00520E48">
      <w:pPr>
        <w:pStyle w:val="ListBullet"/>
        <w:numPr>
          <w:ilvl w:val="0"/>
          <w:numId w:val="1"/>
        </w:numPr>
        <w:spacing w:before="180"/>
      </w:pPr>
      <w:r>
        <w:t xml:space="preserve">There are no </w:t>
      </w:r>
      <w:r w:rsidRPr="00A30084">
        <w:t xml:space="preserve">warning statements pertaining </w:t>
      </w:r>
      <w:r>
        <w:t xml:space="preserve">to azelaic acid in the </w:t>
      </w:r>
      <w:hyperlink r:id="rId35" w:history="1">
        <w:r w:rsidR="00BF3CD4">
          <w:rPr>
            <w:rStyle w:val="Hyperlink"/>
            <w:rFonts w:cstheme="minorHAnsi"/>
          </w:rPr>
          <w:t>Therapeutic Goods (Medicines Advisory Statements) Specification 2021</w:t>
        </w:r>
      </w:hyperlink>
      <w:r w:rsidR="00BF3CD4">
        <w:rPr>
          <w:rStyle w:val="Hyperlink"/>
          <w:rFonts w:cstheme="minorHAnsi"/>
          <w:color w:val="auto"/>
          <w:u w:val="none"/>
        </w:rPr>
        <w:t>.</w:t>
      </w:r>
      <w:r w:rsidR="00BF3CD4">
        <w:rPr>
          <w:rStyle w:val="FootnoteReference"/>
          <w:rFonts w:cstheme="minorHAnsi"/>
        </w:rPr>
        <w:footnoteReference w:id="20"/>
      </w:r>
    </w:p>
    <w:p w14:paraId="5960BCCD" w14:textId="5C630C77" w:rsidR="0008464B" w:rsidRPr="009C55D5" w:rsidRDefault="0008464B" w:rsidP="00520E48">
      <w:pPr>
        <w:pStyle w:val="ListBullet"/>
        <w:numPr>
          <w:ilvl w:val="0"/>
          <w:numId w:val="1"/>
        </w:numPr>
        <w:spacing w:before="180"/>
      </w:pPr>
      <w:r>
        <w:t>From January</w:t>
      </w:r>
      <w:r w:rsidRPr="00D03188">
        <w:t xml:space="preserve"> </w:t>
      </w:r>
      <w:r>
        <w:t>1971 to December 2022</w:t>
      </w:r>
      <w:r w:rsidRPr="00D03188">
        <w:t>,</w:t>
      </w:r>
      <w:r>
        <w:t xml:space="preserve"> there have been 6</w:t>
      </w:r>
      <w:r w:rsidRPr="009C55D5">
        <w:t xml:space="preserve"> reports of adverse events for products containing </w:t>
      </w:r>
      <w:r>
        <w:t>azelaic acid</w:t>
      </w:r>
      <w:r w:rsidRPr="009C55D5">
        <w:t xml:space="preserve"> as an active ingredient</w:t>
      </w:r>
      <w:r>
        <w:t xml:space="preserve"> on the </w:t>
      </w:r>
      <w:hyperlink r:id="rId36" w:history="1">
        <w:r w:rsidRPr="00F0449C">
          <w:rPr>
            <w:rStyle w:val="Hyperlink"/>
          </w:rPr>
          <w:t>Database of Adverse Event Notifications (DAEN)</w:t>
        </w:r>
      </w:hyperlink>
      <w:r w:rsidR="000402D0">
        <w:t>.</w:t>
      </w:r>
      <w:r w:rsidRPr="00F0449C">
        <w:rPr>
          <w:rStyle w:val="FootnoteReference"/>
        </w:rPr>
        <w:footnoteReference w:id="21"/>
      </w:r>
      <w:r w:rsidRPr="009C55D5">
        <w:t xml:space="preserve"> </w:t>
      </w:r>
      <w:r w:rsidR="00BF3CD4">
        <w:t>In all cases</w:t>
      </w:r>
      <w:r w:rsidRPr="009C55D5">
        <w:t xml:space="preserve"> </w:t>
      </w:r>
      <w:r>
        <w:t>azelaic acid</w:t>
      </w:r>
      <w:r w:rsidRPr="009C55D5">
        <w:t xml:space="preserve"> was the single suspected medicine. </w:t>
      </w:r>
      <w:r>
        <w:t>The events were diverse in nature and affected a range of organ classes.</w:t>
      </w:r>
    </w:p>
    <w:p w14:paraId="6F37FD2E" w14:textId="77777777" w:rsidR="0008464B" w:rsidRPr="00390FE4" w:rsidRDefault="0008464B" w:rsidP="00520E48">
      <w:pPr>
        <w:pStyle w:val="ListBullet"/>
        <w:numPr>
          <w:ilvl w:val="0"/>
          <w:numId w:val="1"/>
        </w:numPr>
        <w:spacing w:before="180"/>
      </w:pPr>
      <w:r>
        <w:t>As of Dec</w:t>
      </w:r>
      <w:r w:rsidRPr="00D03188">
        <w:t>ember 2022</w:t>
      </w:r>
      <w:r>
        <w:t>, t</w:t>
      </w:r>
      <w:r w:rsidRPr="00F0449C">
        <w:t xml:space="preserve">here </w:t>
      </w:r>
      <w:r>
        <w:t>was no</w:t>
      </w:r>
      <w:r w:rsidRPr="00F0449C">
        <w:t xml:space="preserve"> product</w:t>
      </w:r>
      <w:r>
        <w:t>s</w:t>
      </w:r>
      <w:r w:rsidRPr="00F0449C">
        <w:t xml:space="preserve"> containing </w:t>
      </w:r>
      <w:r>
        <w:t>azelaic acid</w:t>
      </w:r>
      <w:r w:rsidRPr="00F0449C">
        <w:t xml:space="preserve"> </w:t>
      </w:r>
      <w:r>
        <w:t xml:space="preserve">as an active constituent </w:t>
      </w:r>
      <w:r w:rsidRPr="00F0449C">
        <w:t xml:space="preserve">listed on the </w:t>
      </w:r>
      <w:hyperlink r:id="rId37" w:history="1">
        <w:r w:rsidRPr="00F0449C">
          <w:rPr>
            <w:rStyle w:val="Hyperlink"/>
          </w:rPr>
          <w:t>Public Chemical Registration Information System Search (</w:t>
        </w:r>
        <w:proofErr w:type="spellStart"/>
        <w:r w:rsidRPr="00F0449C">
          <w:rPr>
            <w:rStyle w:val="Hyperlink"/>
          </w:rPr>
          <w:t>P</w:t>
        </w:r>
        <w:r>
          <w:rPr>
            <w:rStyle w:val="Hyperlink"/>
          </w:rPr>
          <w:t>ub</w:t>
        </w:r>
        <w:r w:rsidRPr="00F0449C">
          <w:rPr>
            <w:rStyle w:val="Hyperlink"/>
          </w:rPr>
          <w:t>CRIS</w:t>
        </w:r>
        <w:proofErr w:type="spellEnd"/>
        <w:r w:rsidRPr="00F0449C">
          <w:rPr>
            <w:rStyle w:val="Hyperlink"/>
          </w:rPr>
          <w:t>)</w:t>
        </w:r>
      </w:hyperlink>
      <w:r w:rsidRPr="00F0449C">
        <w:t>.</w:t>
      </w:r>
      <w:r>
        <w:rPr>
          <w:rStyle w:val="FootnoteReference"/>
        </w:rPr>
        <w:footnoteReference w:id="22"/>
      </w:r>
      <w:r>
        <w:t xml:space="preserve"> </w:t>
      </w:r>
    </w:p>
    <w:p w14:paraId="51F8BF74" w14:textId="77777777" w:rsidR="0008464B" w:rsidRPr="00CB687C" w:rsidRDefault="0008464B" w:rsidP="0008464B">
      <w:pPr>
        <w:pStyle w:val="Heading4"/>
      </w:pPr>
      <w:bookmarkStart w:id="37" w:name="_How_to_respond"/>
      <w:bookmarkStart w:id="38" w:name="_Toc122676199"/>
      <w:bookmarkEnd w:id="37"/>
      <w:r>
        <w:lastRenderedPageBreak/>
        <w:t>International regulations</w:t>
      </w:r>
      <w:bookmarkEnd w:id="38"/>
    </w:p>
    <w:p w14:paraId="4ED594CA" w14:textId="260C2BE7" w:rsidR="0008464B" w:rsidRPr="00766DD4" w:rsidRDefault="0008464B" w:rsidP="0008464B">
      <w:pPr>
        <w:pStyle w:val="ListBullet"/>
      </w:pPr>
      <w:r>
        <w:t xml:space="preserve">The United States </w:t>
      </w:r>
      <w:hyperlink r:id="rId38" w:history="1">
        <w:r w:rsidRPr="001C6C7F">
          <w:rPr>
            <w:rStyle w:val="Hyperlink"/>
          </w:rPr>
          <w:t>Food and Drug Administration</w:t>
        </w:r>
      </w:hyperlink>
      <w:r>
        <w:rPr>
          <w:rStyle w:val="FootnoteReference"/>
        </w:rPr>
        <w:footnoteReference w:id="23"/>
      </w:r>
      <w:r>
        <w:t xml:space="preserve"> lists 7 preparations of azelaic acid, all of which are </w:t>
      </w:r>
      <w:r w:rsidR="001B78D5">
        <w:t xml:space="preserve">Prescription Only </w:t>
      </w:r>
      <w:r>
        <w:t>topical gel</w:t>
      </w:r>
      <w:r w:rsidR="000402D0">
        <w:t>s</w:t>
      </w:r>
      <w:r>
        <w:t xml:space="preserve"> or foams containing 15% or more of azelaic acid. </w:t>
      </w:r>
    </w:p>
    <w:p w14:paraId="72B9E671" w14:textId="77777777" w:rsidR="0008464B" w:rsidRDefault="0008464B" w:rsidP="0008464B">
      <w:pPr>
        <w:pStyle w:val="ListBullet"/>
      </w:pPr>
      <w:r>
        <w:t xml:space="preserve">Ireland’s </w:t>
      </w:r>
      <w:hyperlink r:id="rId39" w:history="1">
        <w:r w:rsidRPr="001C6C7F">
          <w:rPr>
            <w:rStyle w:val="Hyperlink"/>
          </w:rPr>
          <w:t>Health Products Regulation Authority</w:t>
        </w:r>
      </w:hyperlink>
      <w:r>
        <w:rPr>
          <w:rStyle w:val="FootnoteReference"/>
        </w:rPr>
        <w:footnoteReference w:id="24"/>
      </w:r>
      <w:r>
        <w:t xml:space="preserve"> lists one product containing azelaic acid, a topical gel containing 15% azelaic acid which is a prescription-only medicine. </w:t>
      </w:r>
      <w:r w:rsidRPr="00766DD4">
        <w:t xml:space="preserve"> </w:t>
      </w:r>
    </w:p>
    <w:p w14:paraId="60CA6DD1" w14:textId="77777777" w:rsidR="0008464B" w:rsidRPr="006431D1" w:rsidRDefault="0008464B" w:rsidP="0008464B">
      <w:pPr>
        <w:pStyle w:val="ListBullet"/>
        <w:rPr>
          <w:rStyle w:val="Hyperlink"/>
          <w:color w:val="auto"/>
          <w:u w:val="none"/>
        </w:rPr>
      </w:pPr>
      <w:r>
        <w:rPr>
          <w:rStyle w:val="Hyperlink"/>
        </w:rPr>
        <w:t xml:space="preserve">New Zealand </w:t>
      </w:r>
      <w:proofErr w:type="spellStart"/>
      <w:r>
        <w:rPr>
          <w:rStyle w:val="Hyperlink"/>
        </w:rPr>
        <w:t>MedSafe’s</w:t>
      </w:r>
      <w:proofErr w:type="spellEnd"/>
      <w:r>
        <w:rPr>
          <w:rStyle w:val="Hyperlink"/>
        </w:rPr>
        <w:t xml:space="preserve"> </w:t>
      </w:r>
      <w:hyperlink r:id="rId40" w:history="1">
        <w:r w:rsidRPr="001C6C7F">
          <w:rPr>
            <w:rStyle w:val="Hyperlink"/>
          </w:rPr>
          <w:t>Classification Database</w:t>
        </w:r>
      </w:hyperlink>
      <w:r>
        <w:rPr>
          <w:rStyle w:val="FootnoteReference"/>
        </w:rPr>
        <w:footnoteReference w:id="25"/>
      </w:r>
      <w:r w:rsidRPr="006431D1">
        <w:rPr>
          <w:rStyle w:val="Hyperlink"/>
          <w:color w:val="auto"/>
          <w:u w:val="none"/>
        </w:rPr>
        <w:t xml:space="preserve"> lists azelaic acid as a prescription-only medicine except in preparations for dermal use, which are pharmacy only medicines. </w:t>
      </w:r>
    </w:p>
    <w:p w14:paraId="50E3D300" w14:textId="77777777" w:rsidR="0008464B" w:rsidRDefault="0008464B" w:rsidP="0008464B">
      <w:pPr>
        <w:pStyle w:val="ListBullet"/>
        <w:rPr>
          <w:rStyle w:val="Hyperlink"/>
        </w:rPr>
      </w:pPr>
      <w:r>
        <w:rPr>
          <w:rStyle w:val="Hyperlink"/>
        </w:rPr>
        <w:t xml:space="preserve">The </w:t>
      </w:r>
      <w:hyperlink r:id="rId41" w:history="1">
        <w:r w:rsidRPr="002D3D5F">
          <w:rPr>
            <w:rStyle w:val="Hyperlink"/>
          </w:rPr>
          <w:t>European Commission</w:t>
        </w:r>
      </w:hyperlink>
      <w:r>
        <w:rPr>
          <w:rStyle w:val="FootnoteReference"/>
        </w:rPr>
        <w:footnoteReference w:id="26"/>
      </w:r>
      <w:r w:rsidRPr="006431D1">
        <w:rPr>
          <w:rStyle w:val="Hyperlink"/>
          <w:color w:val="auto"/>
          <w:u w:val="none"/>
        </w:rPr>
        <w:t xml:space="preserve"> database of cosmetics and ingredients lists the functions of azelaic acid as a buffer and in fragrances. </w:t>
      </w:r>
    </w:p>
    <w:p w14:paraId="1861A798" w14:textId="77777777" w:rsidR="002924DB" w:rsidRDefault="002924DB" w:rsidP="002924DB">
      <w:pPr>
        <w:pStyle w:val="ListBullet"/>
        <w:numPr>
          <w:ilvl w:val="0"/>
          <w:numId w:val="0"/>
        </w:numPr>
        <w:ind w:left="360" w:hanging="360"/>
        <w:rPr>
          <w:rFonts w:cstheme="minorHAnsi"/>
        </w:rPr>
      </w:pPr>
    </w:p>
    <w:p w14:paraId="613F945B" w14:textId="407243FA" w:rsidR="003C02CB" w:rsidRPr="00AE0E0B" w:rsidRDefault="003C02CB" w:rsidP="003C02CB">
      <w:pPr>
        <w:pStyle w:val="Heading2"/>
      </w:pPr>
      <w:bookmarkStart w:id="39" w:name="_Toc122676200"/>
      <w:r>
        <w:lastRenderedPageBreak/>
        <w:t xml:space="preserve">Proposed amendments referred for scheduling </w:t>
      </w:r>
      <w:r w:rsidRPr="00AE0E0B">
        <w:t>advice to ACCS #</w:t>
      </w:r>
      <w:r w:rsidR="001976F8">
        <w:t>3</w:t>
      </w:r>
      <w:r w:rsidR="00AB4234">
        <w:t>7</w:t>
      </w:r>
      <w:bookmarkEnd w:id="39"/>
    </w:p>
    <w:p w14:paraId="19231F3E" w14:textId="51EAA7E5" w:rsidR="00E978F9" w:rsidRDefault="00E978F9" w:rsidP="00AF65C4">
      <w:pPr>
        <w:pStyle w:val="Heading3"/>
      </w:pPr>
      <w:bookmarkStart w:id="40" w:name="_Toc122676201"/>
      <w:r>
        <w:t>Bromoxynil</w:t>
      </w:r>
      <w:bookmarkEnd w:id="40"/>
    </w:p>
    <w:p w14:paraId="621271E9" w14:textId="18E01C5C" w:rsidR="00CB4E24" w:rsidRPr="00AF65C4" w:rsidRDefault="00CB4E24" w:rsidP="00AF65C4">
      <w:pPr>
        <w:spacing w:before="0"/>
        <w:rPr>
          <w:b/>
          <w:bCs/>
        </w:rPr>
      </w:pPr>
      <w:bookmarkStart w:id="41" w:name="_Toc74743269"/>
      <w:r w:rsidRPr="00AF65C4">
        <w:rPr>
          <w:b/>
          <w:bCs/>
        </w:rPr>
        <w:t xml:space="preserve">CONTENT WARNING </w:t>
      </w:r>
    </w:p>
    <w:p w14:paraId="63A46D21" w14:textId="09C6E171" w:rsidR="00CB4E24" w:rsidRDefault="00CB4E24" w:rsidP="00CB4E24">
      <w:r>
        <w:t xml:space="preserve">The information below contains </w:t>
      </w:r>
      <w:r w:rsidR="007F4AAD">
        <w:t xml:space="preserve">information regarding </w:t>
      </w:r>
      <w:r>
        <w:t>self-poisoning</w:t>
      </w:r>
      <w:r w:rsidR="007F4AAD">
        <w:t xml:space="preserve"> that</w:t>
      </w:r>
      <w:r>
        <w:t xml:space="preserve"> some people may find distressing. </w:t>
      </w:r>
    </w:p>
    <w:p w14:paraId="195C82DA" w14:textId="77777777" w:rsidR="00CB4E24" w:rsidRDefault="00CB4E24" w:rsidP="00CB4E24">
      <w:r>
        <w:t xml:space="preserve">The Department of Health and Aged Care acknowledges the devastating effects associated with acts of self-harm on individuals, their families, </w:t>
      </w:r>
      <w:proofErr w:type="gramStart"/>
      <w:r>
        <w:t>friends</w:t>
      </w:r>
      <w:proofErr w:type="gramEnd"/>
      <w:r>
        <w:t xml:space="preserve"> and communities. </w:t>
      </w:r>
    </w:p>
    <w:p w14:paraId="69B355D8" w14:textId="77777777" w:rsidR="00CB4E24" w:rsidRDefault="00CB4E24" w:rsidP="00CB4E24">
      <w:r>
        <w:t xml:space="preserve">If you or someone you know needs additional support, please contact any of the below crisis support helplines: </w:t>
      </w:r>
    </w:p>
    <w:p w14:paraId="7F6D22E1" w14:textId="77777777" w:rsidR="00CB4E24" w:rsidRPr="00AF65C4" w:rsidRDefault="00CB4E24" w:rsidP="00CB4E24">
      <w:pPr>
        <w:rPr>
          <w:b/>
          <w:bCs/>
          <w:i/>
          <w:iCs/>
        </w:rPr>
      </w:pPr>
      <w:r w:rsidRPr="00AF65C4">
        <w:rPr>
          <w:b/>
          <w:bCs/>
          <w:i/>
          <w:iCs/>
        </w:rPr>
        <w:t>Support services and information sources</w:t>
      </w:r>
    </w:p>
    <w:p w14:paraId="5E7284CF" w14:textId="77777777" w:rsidR="00CB4E24" w:rsidRDefault="00CB4E24" w:rsidP="00CB4E24">
      <w:r>
        <w:t>Adult</w:t>
      </w:r>
    </w:p>
    <w:p w14:paraId="65C66AF3" w14:textId="6126C881" w:rsidR="00CB4E24" w:rsidRDefault="004A5464" w:rsidP="00CB4E24">
      <w:pPr>
        <w:pStyle w:val="ListParagraph"/>
        <w:numPr>
          <w:ilvl w:val="0"/>
          <w:numId w:val="44"/>
        </w:numPr>
      </w:pPr>
      <w:hyperlink r:id="rId42" w:history="1">
        <w:r w:rsidR="00CB4E24" w:rsidRPr="00CB4E24">
          <w:rPr>
            <w:rStyle w:val="Hyperlink"/>
          </w:rPr>
          <w:t>Lifeline</w:t>
        </w:r>
      </w:hyperlink>
      <w:r w:rsidR="00CB4E24">
        <w:t>: 13 11 14</w:t>
      </w:r>
    </w:p>
    <w:p w14:paraId="1916A667" w14:textId="64F281DD" w:rsidR="00CB4E24" w:rsidRDefault="004A5464" w:rsidP="00CB4E24">
      <w:pPr>
        <w:pStyle w:val="ListParagraph"/>
        <w:numPr>
          <w:ilvl w:val="0"/>
          <w:numId w:val="44"/>
        </w:numPr>
      </w:pPr>
      <w:hyperlink r:id="rId43" w:history="1">
        <w:r w:rsidR="00CB4E24" w:rsidRPr="00CB4E24">
          <w:rPr>
            <w:rStyle w:val="Hyperlink"/>
          </w:rPr>
          <w:t>Suicide Call Back Service</w:t>
        </w:r>
      </w:hyperlink>
      <w:r w:rsidR="00CB4E24">
        <w:t>: 1300 659 467</w:t>
      </w:r>
    </w:p>
    <w:p w14:paraId="4304CB66" w14:textId="682079BE" w:rsidR="00CB4E24" w:rsidRDefault="004A5464" w:rsidP="00CB4E24">
      <w:pPr>
        <w:pStyle w:val="ListParagraph"/>
        <w:numPr>
          <w:ilvl w:val="0"/>
          <w:numId w:val="44"/>
        </w:numPr>
      </w:pPr>
      <w:hyperlink r:id="rId44" w:history="1">
        <w:r w:rsidR="00CB4E24" w:rsidRPr="00CB4E24">
          <w:rPr>
            <w:rStyle w:val="Hyperlink"/>
          </w:rPr>
          <w:t>Beyond Blue</w:t>
        </w:r>
      </w:hyperlink>
      <w:r w:rsidR="00CB4E24">
        <w:t>: 1800 512 348</w:t>
      </w:r>
    </w:p>
    <w:p w14:paraId="3DD3EE59" w14:textId="69EB28C5" w:rsidR="00CB4E24" w:rsidRDefault="004A5464" w:rsidP="00CB4E24">
      <w:pPr>
        <w:pStyle w:val="ListParagraph"/>
        <w:numPr>
          <w:ilvl w:val="0"/>
          <w:numId w:val="44"/>
        </w:numPr>
      </w:pPr>
      <w:hyperlink r:id="rId45" w:history="1">
        <w:proofErr w:type="spellStart"/>
        <w:r w:rsidR="00CB4E24" w:rsidRPr="00CB4E24">
          <w:rPr>
            <w:rStyle w:val="Hyperlink"/>
          </w:rPr>
          <w:t>MensLine</w:t>
        </w:r>
        <w:proofErr w:type="spellEnd"/>
        <w:r w:rsidR="00CB4E24" w:rsidRPr="00CB4E24">
          <w:rPr>
            <w:rStyle w:val="Hyperlink"/>
          </w:rPr>
          <w:t xml:space="preserve"> Australia</w:t>
        </w:r>
      </w:hyperlink>
      <w:r w:rsidR="00CB4E24">
        <w:t xml:space="preserve">: 1300 789 978 </w:t>
      </w:r>
    </w:p>
    <w:p w14:paraId="7CE63861" w14:textId="77777777" w:rsidR="00CB4E24" w:rsidRDefault="00CB4E24" w:rsidP="00CB4E24">
      <w:r>
        <w:t>Youth</w:t>
      </w:r>
    </w:p>
    <w:p w14:paraId="75953B75" w14:textId="00FB5E66" w:rsidR="00CB4E24" w:rsidRDefault="004A5464" w:rsidP="00CB4E24">
      <w:pPr>
        <w:pStyle w:val="ListParagraph"/>
        <w:numPr>
          <w:ilvl w:val="0"/>
          <w:numId w:val="45"/>
        </w:numPr>
      </w:pPr>
      <w:hyperlink r:id="rId46" w:history="1">
        <w:r w:rsidR="00CB4E24" w:rsidRPr="00CB4E24">
          <w:rPr>
            <w:rStyle w:val="Hyperlink"/>
          </w:rPr>
          <w:t>Kids Helpline</w:t>
        </w:r>
      </w:hyperlink>
      <w:r w:rsidR="00CB4E24">
        <w:t xml:space="preserve"> (5-25 years): 1800 551 800</w:t>
      </w:r>
    </w:p>
    <w:p w14:paraId="6587E952" w14:textId="77777777" w:rsidR="00CB4E24" w:rsidRDefault="004A5464" w:rsidP="00CB4E24">
      <w:pPr>
        <w:pStyle w:val="ListParagraph"/>
        <w:numPr>
          <w:ilvl w:val="0"/>
          <w:numId w:val="45"/>
        </w:numPr>
      </w:pPr>
      <w:hyperlink r:id="rId47" w:history="1">
        <w:r w:rsidR="00CB4E24" w:rsidRPr="00CB4E24">
          <w:rPr>
            <w:rStyle w:val="Hyperlink"/>
          </w:rPr>
          <w:t>Headspace</w:t>
        </w:r>
      </w:hyperlink>
      <w:r w:rsidR="00CB4E24">
        <w:t>: 1800 650 890</w:t>
      </w:r>
    </w:p>
    <w:p w14:paraId="3B6EF224" w14:textId="3237E16C" w:rsidR="00CB4E24" w:rsidRDefault="004A5464" w:rsidP="00AF65C4">
      <w:pPr>
        <w:pStyle w:val="ListParagraph"/>
        <w:numPr>
          <w:ilvl w:val="0"/>
          <w:numId w:val="45"/>
        </w:numPr>
      </w:pPr>
      <w:hyperlink r:id="rId48" w:history="1">
        <w:proofErr w:type="spellStart"/>
        <w:r w:rsidR="00CB4E24" w:rsidRPr="00CB4E24">
          <w:rPr>
            <w:rStyle w:val="Hyperlink"/>
          </w:rPr>
          <w:t>ReachOut</w:t>
        </w:r>
        <w:proofErr w:type="spellEnd"/>
      </w:hyperlink>
    </w:p>
    <w:p w14:paraId="73725501" w14:textId="2453BC63" w:rsidR="00E978F9" w:rsidRDefault="00E978F9" w:rsidP="00E978F9">
      <w:pPr>
        <w:pStyle w:val="Heading4"/>
      </w:pPr>
      <w:bookmarkStart w:id="42" w:name="_Toc122676202"/>
      <w:r>
        <w:t>Proposal</w:t>
      </w:r>
      <w:bookmarkEnd w:id="41"/>
      <w:bookmarkEnd w:id="42"/>
    </w:p>
    <w:p w14:paraId="0433EC25" w14:textId="7B871781" w:rsidR="00E978F9" w:rsidRDefault="00E978F9" w:rsidP="00E978F9">
      <w:r>
        <w:t xml:space="preserve">The </w:t>
      </w:r>
      <w:r w:rsidR="007010C3">
        <w:t>applicant is</w:t>
      </w:r>
      <w:r>
        <w:t xml:space="preserve"> request</w:t>
      </w:r>
      <w:r w:rsidR="007010C3">
        <w:t>ing</w:t>
      </w:r>
      <w:r>
        <w:t xml:space="preserve"> a </w:t>
      </w:r>
      <w:r w:rsidR="007010C3">
        <w:t xml:space="preserve">new entry in </w:t>
      </w:r>
      <w:r>
        <w:t xml:space="preserve">Schedule 7 </w:t>
      </w:r>
      <w:r w:rsidR="007010C3">
        <w:t xml:space="preserve">of the Poisons Standard for bromoxynil. Preparations containing greater than 1% of bromoxynil will be captured by the new entry, while all other preparations will </w:t>
      </w:r>
      <w:r w:rsidR="0008464B">
        <w:t>continue to be captured by</w:t>
      </w:r>
      <w:r w:rsidR="007010C3">
        <w:t xml:space="preserve"> </w:t>
      </w:r>
      <w:r w:rsidR="0008464B">
        <w:t xml:space="preserve">the existing </w:t>
      </w:r>
      <w:r w:rsidR="007010C3">
        <w:t>Schedule 6</w:t>
      </w:r>
      <w:r w:rsidR="0008464B">
        <w:t xml:space="preserve"> entry</w:t>
      </w:r>
      <w:r w:rsidR="007010C3">
        <w:t>.</w:t>
      </w:r>
    </w:p>
    <w:p w14:paraId="56F706C1" w14:textId="231F09B6" w:rsidR="00E978F9" w:rsidRDefault="00E978F9" w:rsidP="00E978F9">
      <w:pPr>
        <w:pStyle w:val="Heading4"/>
        <w:rPr>
          <w:shd w:val="clear" w:color="auto" w:fill="FFFFFF"/>
        </w:rPr>
      </w:pPr>
      <w:bookmarkStart w:id="43" w:name="_Toc74743270"/>
      <w:bookmarkStart w:id="44" w:name="_Toc122676203"/>
      <w:r>
        <w:t>CAS Number</w:t>
      </w:r>
      <w:bookmarkEnd w:id="43"/>
      <w:bookmarkEnd w:id="44"/>
    </w:p>
    <w:p w14:paraId="5DCB069C" w14:textId="28C74D87" w:rsidR="00E978F9" w:rsidRDefault="00E978F9" w:rsidP="00E978F9">
      <w:r>
        <w:t xml:space="preserve">1689-84-5 </w:t>
      </w:r>
      <w:r w:rsidR="007010C3">
        <w:t>(b</w:t>
      </w:r>
      <w:r>
        <w:t>romoxynil</w:t>
      </w:r>
      <w:r w:rsidR="007010C3">
        <w:t>)</w:t>
      </w:r>
    </w:p>
    <w:p w14:paraId="50C9691C" w14:textId="2145CB4C" w:rsidR="00E978F9" w:rsidRDefault="00E978F9" w:rsidP="00E978F9">
      <w:r>
        <w:t>1689-99-2 (</w:t>
      </w:r>
      <w:r w:rsidR="007010C3">
        <w:t>b</w:t>
      </w:r>
      <w:r>
        <w:t>romoxynil octanoate</w:t>
      </w:r>
      <w:r w:rsidR="007010C3">
        <w:t>)</w:t>
      </w:r>
    </w:p>
    <w:p w14:paraId="0D94F3E9" w14:textId="2E0DC463" w:rsidR="00405929" w:rsidRDefault="00405929" w:rsidP="00E978F9">
      <w:r>
        <w:t>56634-95-8 (bromoxynil heptanoate)</w:t>
      </w:r>
    </w:p>
    <w:p w14:paraId="59D23A3A" w14:textId="77777777" w:rsidR="00E978F9" w:rsidRDefault="00E978F9" w:rsidP="00E978F9">
      <w:pPr>
        <w:pStyle w:val="Heading4"/>
      </w:pPr>
      <w:bookmarkStart w:id="45" w:name="_Toc74743271"/>
      <w:bookmarkStart w:id="46" w:name="_Toc122676204"/>
      <w:r>
        <w:t>Alternative names</w:t>
      </w:r>
      <w:bookmarkEnd w:id="45"/>
      <w:bookmarkEnd w:id="46"/>
    </w:p>
    <w:p w14:paraId="7110A1DA" w14:textId="56E88E64" w:rsidR="00E978F9" w:rsidRPr="000402D0" w:rsidRDefault="00E978F9" w:rsidP="00B92537">
      <w:pPr>
        <w:shd w:val="clear" w:color="auto" w:fill="FFFFFF"/>
        <w:spacing w:before="0" w:after="0" w:line="240" w:lineRule="auto"/>
        <w:rPr>
          <w:rFonts w:asciiTheme="minorHAnsi" w:hAnsiTheme="minorHAnsi" w:cs="Arial"/>
          <w:szCs w:val="22"/>
          <w:shd w:val="clear" w:color="auto" w:fill="FFFFFF"/>
        </w:rPr>
      </w:pPr>
      <w:r w:rsidRPr="000402D0">
        <w:rPr>
          <w:rFonts w:asciiTheme="minorHAnsi" w:eastAsia="Times New Roman" w:hAnsiTheme="minorHAnsi" w:cs="Arial"/>
          <w:szCs w:val="22"/>
          <w:lang w:eastAsia="en-AU"/>
        </w:rPr>
        <w:t>3,5-Dibromo-4-hydroxybenzonitrile</w:t>
      </w:r>
    </w:p>
    <w:p w14:paraId="261E1FC8" w14:textId="00EE7419" w:rsidR="00E978F9" w:rsidRPr="000402D0" w:rsidRDefault="00E978F9" w:rsidP="007010C3">
      <w:pPr>
        <w:shd w:val="clear" w:color="auto" w:fill="FFFFFF"/>
        <w:spacing w:after="0" w:line="240" w:lineRule="auto"/>
        <w:rPr>
          <w:rFonts w:asciiTheme="minorHAnsi" w:hAnsiTheme="minorHAnsi" w:cs="Arial"/>
          <w:szCs w:val="22"/>
          <w:shd w:val="clear" w:color="auto" w:fill="FFFFFF"/>
        </w:rPr>
      </w:pPr>
      <w:r w:rsidRPr="000402D0">
        <w:rPr>
          <w:rFonts w:asciiTheme="minorHAnsi" w:hAnsiTheme="minorHAnsi" w:cs="Arial"/>
          <w:szCs w:val="22"/>
          <w:shd w:val="clear" w:color="auto" w:fill="FFFFFF"/>
        </w:rPr>
        <w:t>3,5-dibromo-4-hydroxyphenyl cyanide</w:t>
      </w:r>
    </w:p>
    <w:p w14:paraId="6728AE9D" w14:textId="77777777" w:rsidR="00D245E5" w:rsidRDefault="00E978F9" w:rsidP="00D245E5">
      <w:pPr>
        <w:rPr>
          <w:shd w:val="clear" w:color="auto" w:fill="FFFFFF"/>
        </w:rPr>
      </w:pPr>
      <w:bookmarkStart w:id="47" w:name="_Toc122676205"/>
      <w:r w:rsidRPr="000402D0">
        <w:rPr>
          <w:shd w:val="clear" w:color="auto" w:fill="FFFFFF"/>
        </w:rPr>
        <w:t>2,6-dibromo-4-cyanophenol</w:t>
      </w:r>
      <w:r w:rsidR="00CA7A1E">
        <w:rPr>
          <w:shd w:val="clear" w:color="auto" w:fill="FFFFFF"/>
        </w:rPr>
        <w:t xml:space="preserve"> </w:t>
      </w:r>
      <w:proofErr w:type="spellStart"/>
      <w:r w:rsidR="00CA7A1E" w:rsidRPr="000402D0">
        <w:rPr>
          <w:shd w:val="clear" w:color="auto" w:fill="FFFFFF"/>
        </w:rPr>
        <w:t>broxynil</w:t>
      </w:r>
      <w:bookmarkStart w:id="48" w:name="_Toc74743272"/>
      <w:proofErr w:type="spellEnd"/>
    </w:p>
    <w:p w14:paraId="36B95447" w14:textId="3E15D8BD" w:rsidR="00E978F9" w:rsidRPr="002C5179" w:rsidRDefault="00E978F9" w:rsidP="00E978F9">
      <w:pPr>
        <w:pStyle w:val="Heading4"/>
      </w:pPr>
      <w:r>
        <w:lastRenderedPageBreak/>
        <w:t>Applicant</w:t>
      </w:r>
      <w:bookmarkEnd w:id="47"/>
      <w:bookmarkEnd w:id="48"/>
    </w:p>
    <w:p w14:paraId="7EE308F9" w14:textId="1B9A1373" w:rsidR="00E978F9" w:rsidRPr="002C5179" w:rsidRDefault="00162412" w:rsidP="00E978F9">
      <w:pPr>
        <w:rPr>
          <w:rFonts w:ascii="Arial" w:hAnsi="Arial"/>
          <w:sz w:val="26"/>
          <w:szCs w:val="26"/>
        </w:rPr>
      </w:pPr>
      <w:r>
        <w:rPr>
          <w:rFonts w:asciiTheme="minorHAnsi" w:hAnsiTheme="minorHAnsi"/>
          <w:szCs w:val="22"/>
        </w:rPr>
        <w:t>Private</w:t>
      </w:r>
      <w:r w:rsidR="00E978F9" w:rsidRPr="002C5179">
        <w:rPr>
          <w:rFonts w:asciiTheme="minorHAnsi" w:hAnsiTheme="minorHAnsi"/>
          <w:szCs w:val="22"/>
        </w:rPr>
        <w:t xml:space="preserve"> </w:t>
      </w:r>
    </w:p>
    <w:p w14:paraId="4F10803C" w14:textId="316DC92F" w:rsidR="00E978F9" w:rsidRDefault="00E978F9" w:rsidP="00E978F9">
      <w:pPr>
        <w:pStyle w:val="Heading4"/>
      </w:pPr>
      <w:bookmarkStart w:id="49" w:name="_Toc74743273"/>
      <w:bookmarkStart w:id="50" w:name="_Toc122676206"/>
      <w:r>
        <w:t>Proposed scheduling</w:t>
      </w:r>
      <w:bookmarkEnd w:id="49"/>
      <w:bookmarkEnd w:id="50"/>
      <w:r>
        <w:t xml:space="preserve"> </w:t>
      </w:r>
    </w:p>
    <w:p w14:paraId="5BCBE9D6" w14:textId="46A36ACA" w:rsidR="00CB4E24" w:rsidRDefault="00CB4E24" w:rsidP="00CB4E24">
      <w:pPr>
        <w:rPr>
          <w:rFonts w:asciiTheme="minorHAnsi" w:hAnsiTheme="minorHAnsi" w:cstheme="minorHAnsi"/>
        </w:rPr>
      </w:pPr>
      <w:r>
        <w:t>Bromoxynil</w:t>
      </w:r>
      <w:r w:rsidRPr="00AF12F6">
        <w:rPr>
          <w:rFonts w:asciiTheme="minorHAnsi" w:hAnsiTheme="minorHAnsi" w:cstheme="minorHAnsi"/>
        </w:rPr>
        <w:t xml:space="preserve"> is currently listed in Schedule </w:t>
      </w:r>
      <w:r>
        <w:rPr>
          <w:rFonts w:asciiTheme="minorHAnsi" w:hAnsiTheme="minorHAnsi" w:cstheme="minorHAnsi"/>
        </w:rPr>
        <w:t>6 of the Poisons Standard.</w:t>
      </w:r>
    </w:p>
    <w:p w14:paraId="07CBC912" w14:textId="3E7EA9DE" w:rsidR="00CB4E24" w:rsidRDefault="00CB4E24" w:rsidP="00CB4E24">
      <w:r w:rsidRPr="00286224">
        <w:t xml:space="preserve">The proposed amendments to the </w:t>
      </w:r>
      <w:r w:rsidRPr="00F54B87">
        <w:t>Poisons Standard</w:t>
      </w:r>
      <w:r w:rsidRPr="00286224">
        <w:t xml:space="preserve"> are</w:t>
      </w:r>
      <w:r>
        <w:t>:</w:t>
      </w:r>
      <w:r>
        <w:rPr>
          <w:rStyle w:val="FootnoteReference"/>
        </w:rPr>
        <w:footnoteReference w:id="27"/>
      </w:r>
    </w:p>
    <w:p w14:paraId="4714535D" w14:textId="00E03C32" w:rsidR="00E978F9" w:rsidRPr="00162412" w:rsidRDefault="00E978F9" w:rsidP="00162412">
      <w:pPr>
        <w:ind w:left="426"/>
      </w:pPr>
      <w:bookmarkStart w:id="51" w:name="_Toc74743274"/>
      <w:r w:rsidRPr="00162412">
        <w:rPr>
          <w:b/>
          <w:bCs/>
        </w:rPr>
        <w:t>Schedule 7</w:t>
      </w:r>
      <w:r w:rsidRPr="00162412">
        <w:t xml:space="preserve"> </w:t>
      </w:r>
    </w:p>
    <w:p w14:paraId="71CF0141" w14:textId="17432018" w:rsidR="00E978F9" w:rsidRPr="000402D0" w:rsidRDefault="00E978F9" w:rsidP="00162412">
      <w:pPr>
        <w:ind w:left="720"/>
        <w:rPr>
          <w:color w:val="00B050"/>
          <w:u w:val="single"/>
        </w:rPr>
      </w:pPr>
      <w:r w:rsidRPr="000402D0">
        <w:rPr>
          <w:color w:val="00B050"/>
          <w:u w:val="single"/>
        </w:rPr>
        <w:t>BROMOXYNIL in preparation</w:t>
      </w:r>
      <w:r w:rsidR="00162412" w:rsidRPr="000402D0">
        <w:rPr>
          <w:color w:val="00B050"/>
          <w:u w:val="single"/>
        </w:rPr>
        <w:t>s</w:t>
      </w:r>
      <w:r w:rsidRPr="000402D0">
        <w:rPr>
          <w:color w:val="00B050"/>
          <w:u w:val="single"/>
        </w:rPr>
        <w:t xml:space="preserve"> containing more than 1</w:t>
      </w:r>
      <w:r w:rsidR="00162412" w:rsidRPr="000402D0">
        <w:rPr>
          <w:color w:val="00B050"/>
          <w:u w:val="single"/>
        </w:rPr>
        <w:t>% of bromoxynil.</w:t>
      </w:r>
    </w:p>
    <w:p w14:paraId="2D701F17" w14:textId="44284FBC" w:rsidR="00E978F9" w:rsidRDefault="00E978F9" w:rsidP="00162412">
      <w:pPr>
        <w:ind w:left="426"/>
      </w:pPr>
      <w:r w:rsidRPr="002C5179">
        <w:rPr>
          <w:b/>
          <w:bCs/>
        </w:rPr>
        <w:t>Schedule 6</w:t>
      </w:r>
      <w:r>
        <w:t xml:space="preserve"> </w:t>
      </w:r>
    </w:p>
    <w:p w14:paraId="41656E3A" w14:textId="07A7A8FC" w:rsidR="00E978F9" w:rsidRDefault="00E978F9" w:rsidP="00162412">
      <w:pPr>
        <w:ind w:firstLine="720"/>
        <w:rPr>
          <w:color w:val="00B050"/>
        </w:rPr>
      </w:pPr>
      <w:r>
        <w:t xml:space="preserve">BROMOXYNIL </w:t>
      </w:r>
      <w:r w:rsidRPr="000402D0">
        <w:rPr>
          <w:b/>
          <w:bCs/>
          <w:color w:val="00B050"/>
          <w:u w:val="single"/>
        </w:rPr>
        <w:t>except</w:t>
      </w:r>
      <w:r w:rsidRPr="000402D0">
        <w:rPr>
          <w:color w:val="00B050"/>
          <w:u w:val="single"/>
        </w:rPr>
        <w:t xml:space="preserve"> when in Schedule 7</w:t>
      </w:r>
      <w:r w:rsidR="00162412" w:rsidRPr="000402D0">
        <w:rPr>
          <w:color w:val="00B050"/>
          <w:u w:val="single"/>
        </w:rPr>
        <w:t>.</w:t>
      </w:r>
      <w:r w:rsidRPr="002C5179">
        <w:rPr>
          <w:color w:val="00B050"/>
        </w:rPr>
        <w:t xml:space="preserve"> </w:t>
      </w:r>
    </w:p>
    <w:p w14:paraId="1B812888" w14:textId="5987BE3B" w:rsidR="003F4401" w:rsidRPr="00A84EF5" w:rsidRDefault="003F4401" w:rsidP="003F4401">
      <w:pPr>
        <w:spacing w:before="180"/>
        <w:ind w:left="426"/>
        <w:rPr>
          <w:rFonts w:cstheme="minorHAnsi"/>
          <w:color w:val="00B050"/>
        </w:rPr>
      </w:pPr>
      <w:r w:rsidRPr="00A84EF5">
        <w:rPr>
          <w:rFonts w:cstheme="minorHAnsi"/>
          <w:b/>
          <w:bCs/>
        </w:rPr>
        <w:t>Index</w:t>
      </w:r>
    </w:p>
    <w:p w14:paraId="44FCA9FF" w14:textId="6B3A724A" w:rsidR="003F4401" w:rsidRPr="00C057B3" w:rsidRDefault="003F4401" w:rsidP="003F4401">
      <w:pPr>
        <w:spacing w:before="180"/>
        <w:ind w:left="426" w:firstLine="294"/>
        <w:rPr>
          <w:rFonts w:cstheme="minorHAnsi"/>
          <w:b/>
          <w:bCs/>
        </w:rPr>
      </w:pPr>
      <w:r>
        <w:rPr>
          <w:rFonts w:cstheme="minorHAnsi"/>
          <w:b/>
          <w:bCs/>
        </w:rPr>
        <w:t>BROMOXYNIL</w:t>
      </w:r>
      <w:r w:rsidRPr="00C057B3">
        <w:rPr>
          <w:rFonts w:cstheme="minorHAnsi"/>
          <w:b/>
          <w:bCs/>
        </w:rPr>
        <w:t xml:space="preserve"> </w:t>
      </w:r>
    </w:p>
    <w:p w14:paraId="2C126525" w14:textId="757BF7DF" w:rsidR="003F4401" w:rsidRPr="00C057B3" w:rsidRDefault="003F4401" w:rsidP="003F4401">
      <w:pPr>
        <w:spacing w:before="180"/>
        <w:ind w:left="720"/>
        <w:rPr>
          <w:rFonts w:cstheme="minorHAnsi"/>
        </w:rPr>
      </w:pPr>
      <w:r w:rsidRPr="000402D0">
        <w:rPr>
          <w:rFonts w:cstheme="minorHAnsi"/>
          <w:color w:val="00B050"/>
          <w:u w:val="single"/>
        </w:rPr>
        <w:t>Schedule 7</w:t>
      </w:r>
      <w:r>
        <w:rPr>
          <w:rFonts w:cstheme="minorHAnsi"/>
        </w:rPr>
        <w:br/>
      </w:r>
      <w:r w:rsidRPr="000402D0">
        <w:rPr>
          <w:rFonts w:cstheme="minorHAnsi"/>
        </w:rPr>
        <w:t>Schedule 6</w:t>
      </w:r>
    </w:p>
    <w:p w14:paraId="7091E53D" w14:textId="77777777" w:rsidR="00E978F9" w:rsidRDefault="00E978F9" w:rsidP="00E978F9">
      <w:pPr>
        <w:pStyle w:val="Heading4"/>
      </w:pPr>
      <w:bookmarkStart w:id="52" w:name="_Toc63261304"/>
      <w:bookmarkStart w:id="53" w:name="_Toc122676207"/>
      <w:r>
        <w:t>Key uses / expected use</w:t>
      </w:r>
      <w:bookmarkEnd w:id="52"/>
      <w:bookmarkEnd w:id="53"/>
    </w:p>
    <w:p w14:paraId="28143E70" w14:textId="5AA5BB07" w:rsidR="00E978F9" w:rsidRDefault="0071503D" w:rsidP="00E978F9">
      <w:r>
        <w:t>Herbicide</w:t>
      </w:r>
      <w:r w:rsidR="00E978F9">
        <w:t xml:space="preserve"> </w:t>
      </w:r>
    </w:p>
    <w:p w14:paraId="2BAC0A1B" w14:textId="77777777" w:rsidR="00E978F9" w:rsidRDefault="00E978F9" w:rsidP="00E978F9">
      <w:pPr>
        <w:pStyle w:val="Heading4"/>
      </w:pPr>
      <w:bookmarkStart w:id="54" w:name="_Toc122676208"/>
      <w:r>
        <w:t>Background</w:t>
      </w:r>
      <w:bookmarkEnd w:id="54"/>
    </w:p>
    <w:p w14:paraId="3D86FA45" w14:textId="4494944E" w:rsidR="00E978F9" w:rsidRDefault="00E978F9" w:rsidP="0071503D">
      <w:pPr>
        <w:spacing w:before="0" w:after="0" w:line="240" w:lineRule="auto"/>
        <w:jc w:val="both"/>
      </w:pPr>
      <w:r>
        <w:t>Bromoxynil is a nitrile and organic cyanide compound used as a selective herbicide. It is used by spraying broadleaf plants and most effective when used post-emergently on broad leaf annual weeds. Bromoxynil is used in both domestic and commercial settings</w:t>
      </w:r>
      <w:r w:rsidR="0071503D">
        <w:t>, with preparations intended for domestic use typically containing significantly lower concentrations of the substance. Concerns regarding increasing incidence of deliberate</w:t>
      </w:r>
      <w:r>
        <w:t xml:space="preserve"> </w:t>
      </w:r>
      <w:r w:rsidR="0071503D">
        <w:t>self-poisoning involving bromoxynil have prompted this proposed change in scheduling.</w:t>
      </w:r>
    </w:p>
    <w:p w14:paraId="518F5D0A" w14:textId="77777777" w:rsidR="0071503D" w:rsidRDefault="0071503D" w:rsidP="0071503D">
      <w:pPr>
        <w:pStyle w:val="Heading4"/>
      </w:pPr>
      <w:bookmarkStart w:id="55" w:name="_Toc112833663"/>
      <w:bookmarkStart w:id="56" w:name="_Toc122676209"/>
      <w:bookmarkStart w:id="57" w:name="_Toc74743275"/>
      <w:bookmarkEnd w:id="51"/>
      <w:r w:rsidRPr="00936C36">
        <w:t>Summary of applicant’s reasons for the proposal</w:t>
      </w:r>
      <w:bookmarkEnd w:id="55"/>
      <w:bookmarkEnd w:id="56"/>
    </w:p>
    <w:p w14:paraId="5F5A19B9" w14:textId="73BFFC47" w:rsidR="00E978F9" w:rsidRPr="00943FFE" w:rsidRDefault="0071503D" w:rsidP="00E978F9">
      <w:pPr>
        <w:pStyle w:val="ListBullet"/>
        <w:numPr>
          <w:ilvl w:val="0"/>
          <w:numId w:val="1"/>
        </w:numPr>
        <w:spacing w:after="0"/>
        <w:ind w:left="357" w:hanging="357"/>
      </w:pPr>
      <w:r>
        <w:t>C</w:t>
      </w:r>
      <w:r w:rsidR="00E978F9" w:rsidRPr="00943FFE">
        <w:t xml:space="preserve">ombination </w:t>
      </w:r>
      <w:r>
        <w:t xml:space="preserve">herbicides containing </w:t>
      </w:r>
      <w:r w:rsidR="00E978F9" w:rsidRPr="00943FFE">
        <w:t>bromoxynil and MCPA have become more popular domestically with the development of soft leaf buffalo grasses which cannot tolerate other combination herbicides. Th</w:t>
      </w:r>
      <w:r>
        <w:t>e</w:t>
      </w:r>
      <w:r w:rsidR="00E978F9" w:rsidRPr="00943FFE">
        <w:t xml:space="preserve"> increase in the use of </w:t>
      </w:r>
      <w:r>
        <w:t xml:space="preserve">this </w:t>
      </w:r>
      <w:r w:rsidR="00E978F9" w:rsidRPr="00943FFE">
        <w:t>combination herbicide has been accompanied by an increase in deliberate self-poisoning</w:t>
      </w:r>
      <w:r w:rsidR="00B238DA">
        <w:t>s</w:t>
      </w:r>
      <w:r w:rsidR="00E978F9" w:rsidRPr="00943FFE">
        <w:t>.</w:t>
      </w:r>
    </w:p>
    <w:p w14:paraId="1E99C007" w14:textId="34D20C6B" w:rsidR="00E978F9" w:rsidRPr="00943FFE" w:rsidRDefault="003C1DE8" w:rsidP="00E978F9">
      <w:pPr>
        <w:pStyle w:val="ListBullet"/>
        <w:numPr>
          <w:ilvl w:val="0"/>
          <w:numId w:val="1"/>
        </w:numPr>
        <w:spacing w:after="0"/>
        <w:ind w:left="357" w:hanging="357"/>
      </w:pPr>
      <w:r>
        <w:rPr>
          <w:szCs w:val="22"/>
        </w:rPr>
        <w:t>The</w:t>
      </w:r>
      <w:r w:rsidR="00E978F9" w:rsidRPr="005C3045">
        <w:rPr>
          <w:szCs w:val="22"/>
        </w:rPr>
        <w:t xml:space="preserve"> </w:t>
      </w:r>
      <w:r>
        <w:rPr>
          <w:szCs w:val="22"/>
        </w:rPr>
        <w:t>proposal</w:t>
      </w:r>
      <w:r w:rsidR="00E978F9" w:rsidRPr="005C3045">
        <w:rPr>
          <w:szCs w:val="22"/>
        </w:rPr>
        <w:t xml:space="preserve"> aims to reduce the rate of </w:t>
      </w:r>
      <w:r w:rsidR="0071503D">
        <w:rPr>
          <w:szCs w:val="22"/>
        </w:rPr>
        <w:t xml:space="preserve">self-harm </w:t>
      </w:r>
      <w:r w:rsidR="00E978F9" w:rsidRPr="005C3045">
        <w:rPr>
          <w:szCs w:val="22"/>
        </w:rPr>
        <w:t xml:space="preserve">by limiting public access. </w:t>
      </w:r>
      <w:bookmarkEnd w:id="57"/>
      <w:r w:rsidR="002D70C4">
        <w:rPr>
          <w:szCs w:val="22"/>
        </w:rPr>
        <w:t xml:space="preserve">Evidence suggests that </w:t>
      </w:r>
      <w:r w:rsidR="000402D0">
        <w:rPr>
          <w:szCs w:val="22"/>
        </w:rPr>
        <w:t>means restriction</w:t>
      </w:r>
      <w:r w:rsidR="002D70C4">
        <w:rPr>
          <w:szCs w:val="22"/>
        </w:rPr>
        <w:t xml:space="preserve"> is effective in preventing deaths by self-harm without an equivalent shift to the use of other methods.</w:t>
      </w:r>
    </w:p>
    <w:p w14:paraId="4282B74F" w14:textId="5D720C17" w:rsidR="00E978F9" w:rsidRPr="00943FFE" w:rsidRDefault="002D70C4" w:rsidP="00E978F9">
      <w:pPr>
        <w:pStyle w:val="ListBullet"/>
        <w:numPr>
          <w:ilvl w:val="0"/>
          <w:numId w:val="1"/>
        </w:numPr>
        <w:spacing w:after="0"/>
        <w:ind w:left="357" w:hanging="357"/>
      </w:pPr>
      <w:r>
        <w:t>B</w:t>
      </w:r>
      <w:r w:rsidR="00E978F9" w:rsidRPr="00943FFE">
        <w:t>romoxynil pose</w:t>
      </w:r>
      <w:r>
        <w:t>s</w:t>
      </w:r>
      <w:r w:rsidR="00E978F9" w:rsidRPr="00943FFE">
        <w:t xml:space="preserve"> a significant health risk</w:t>
      </w:r>
      <w:r>
        <w:t>, with</w:t>
      </w:r>
      <w:r w:rsidR="00E978F9" w:rsidRPr="00943FFE">
        <w:t xml:space="preserve"> a high mortality rate despite appropriate and timely expert medical care. There is no specific antidote for this poisoning.</w:t>
      </w:r>
    </w:p>
    <w:p w14:paraId="398A62D8" w14:textId="6BB79B66" w:rsidR="00E978F9" w:rsidRPr="00943FFE" w:rsidRDefault="003C1DE8" w:rsidP="002D70C4">
      <w:pPr>
        <w:pStyle w:val="ListBullet"/>
        <w:numPr>
          <w:ilvl w:val="0"/>
          <w:numId w:val="1"/>
        </w:numPr>
        <w:spacing w:after="0"/>
        <w:ind w:left="357" w:hanging="357"/>
      </w:pPr>
      <w:r>
        <w:t>Products containing a lower concentration of bromoxynil for domestic use</w:t>
      </w:r>
      <w:r w:rsidR="00E978F9" w:rsidRPr="00943FFE">
        <w:t xml:space="preserve"> will be available for general purchase, thus maintaining access to this effective weedkiller in a safer formulation. The concentrated formulation will be available in Schedule 7 for use by </w:t>
      </w:r>
      <w:r w:rsidR="002D70C4" w:rsidRPr="00943FFE">
        <w:lastRenderedPageBreak/>
        <w:t xml:space="preserve">registered </w:t>
      </w:r>
      <w:r w:rsidR="00E978F9" w:rsidRPr="00943FFE">
        <w:t>commercial users</w:t>
      </w:r>
      <w:r w:rsidR="002D70C4">
        <w:t>,</w:t>
      </w:r>
      <w:r w:rsidR="00E978F9" w:rsidRPr="00943FFE">
        <w:t xml:space="preserve"> who will benefit most from the convenience </w:t>
      </w:r>
      <w:r w:rsidR="002D70C4">
        <w:t xml:space="preserve">and </w:t>
      </w:r>
      <w:r w:rsidR="00E978F9" w:rsidRPr="00943FFE">
        <w:t xml:space="preserve">cost saving of transporting a concentrated product for dilution on use. </w:t>
      </w:r>
    </w:p>
    <w:p w14:paraId="0CFED1C9" w14:textId="77777777" w:rsidR="00E978F9" w:rsidRDefault="00E978F9" w:rsidP="00E978F9">
      <w:pPr>
        <w:pStyle w:val="Heading4"/>
      </w:pPr>
      <w:bookmarkStart w:id="58" w:name="_Toc74743277"/>
      <w:bookmarkStart w:id="59" w:name="_Toc122676210"/>
      <w:r w:rsidRPr="00DC5AE0">
        <w:t xml:space="preserve">Australian </w:t>
      </w:r>
      <w:r>
        <w:t>regulations</w:t>
      </w:r>
      <w:bookmarkEnd w:id="58"/>
      <w:bookmarkEnd w:id="59"/>
      <w:r w:rsidRPr="00DC5AE0">
        <w:t xml:space="preserve"> </w:t>
      </w:r>
    </w:p>
    <w:p w14:paraId="0F5EFD50" w14:textId="7B46C4D0" w:rsidR="00E978F9" w:rsidRDefault="00532578" w:rsidP="00532578">
      <w:pPr>
        <w:pStyle w:val="ListBullet"/>
      </w:pPr>
      <w:r>
        <w:t xml:space="preserve">Bromoxynil is not </w:t>
      </w:r>
      <w:r w:rsidRPr="00532578">
        <w:t>included</w:t>
      </w:r>
      <w:r>
        <w:t xml:space="preserve"> in </w:t>
      </w:r>
      <w:r w:rsidR="00E978F9" w:rsidRPr="00532578">
        <w:t>the</w:t>
      </w:r>
      <w:r w:rsidR="00E978F9">
        <w:t xml:space="preserve"> </w:t>
      </w:r>
      <w:hyperlink r:id="rId49" w:history="1">
        <w:r w:rsidR="00E978F9" w:rsidRPr="00C66C5E">
          <w:rPr>
            <w:rStyle w:val="Hyperlink"/>
          </w:rPr>
          <w:t xml:space="preserve">TGA </w:t>
        </w:r>
        <w:r w:rsidR="00E978F9">
          <w:rPr>
            <w:rStyle w:val="Hyperlink"/>
          </w:rPr>
          <w:t xml:space="preserve">Ingredient </w:t>
        </w:r>
        <w:r w:rsidR="00E978F9" w:rsidRPr="00C66C5E">
          <w:rPr>
            <w:rStyle w:val="Hyperlink"/>
          </w:rPr>
          <w:t>Database</w:t>
        </w:r>
      </w:hyperlink>
      <w:r w:rsidR="00E978F9">
        <w:t>,</w:t>
      </w:r>
      <w:r w:rsidR="00E978F9">
        <w:rPr>
          <w:rStyle w:val="FootnoteReference"/>
        </w:rPr>
        <w:footnoteReference w:id="28"/>
      </w:r>
      <w:r w:rsidR="00E978F9">
        <w:t xml:space="preserve"> </w:t>
      </w:r>
      <w:r w:rsidR="00E978F9" w:rsidRPr="00881DFE">
        <w:t xml:space="preserve">the </w:t>
      </w:r>
      <w:hyperlink r:id="rId50" w:history="1">
        <w:r w:rsidR="00E978F9" w:rsidRPr="00293CCA">
          <w:rPr>
            <w:rStyle w:val="Hyperlink"/>
          </w:rPr>
          <w:t>Australian Register of Therapeutic Goods (ARTG)</w:t>
        </w:r>
      </w:hyperlink>
      <w:r w:rsidRPr="00532578">
        <w:rPr>
          <w:rStyle w:val="Hyperlink"/>
          <w:u w:val="none"/>
        </w:rPr>
        <w:t>,</w:t>
      </w:r>
      <w:r w:rsidR="00E978F9">
        <w:rPr>
          <w:rStyle w:val="FootnoteReference"/>
        </w:rPr>
        <w:footnoteReference w:id="29"/>
      </w:r>
      <w:r w:rsidRPr="00532578">
        <w:t xml:space="preserve"> </w:t>
      </w:r>
      <w:r w:rsidR="00E978F9">
        <w:t xml:space="preserve">the </w:t>
      </w:r>
      <w:hyperlink r:id="rId51" w:history="1">
        <w:r w:rsidR="00E978F9" w:rsidRPr="00824CAC">
          <w:rPr>
            <w:rStyle w:val="Hyperlink"/>
          </w:rPr>
          <w:t>Therapeutic Goods (Permissible Ingredients) Determination</w:t>
        </w:r>
      </w:hyperlink>
      <w:r w:rsidR="00E978F9">
        <w:rPr>
          <w:rStyle w:val="FootnoteReference"/>
        </w:rPr>
        <w:footnoteReference w:id="30"/>
      </w:r>
      <w:r w:rsidR="00E978F9" w:rsidRPr="009C55D5">
        <w:t xml:space="preserve"> No.</w:t>
      </w:r>
      <w:r w:rsidR="00E978F9">
        <w:t>5</w:t>
      </w:r>
      <w:r w:rsidR="00E978F9" w:rsidRPr="009C55D5">
        <w:t xml:space="preserve"> of 20</w:t>
      </w:r>
      <w:r w:rsidR="00E978F9">
        <w:t>22</w:t>
      </w:r>
      <w:r>
        <w:t>, t</w:t>
      </w:r>
      <w:r w:rsidR="00E978F9">
        <w:t xml:space="preserve">he </w:t>
      </w:r>
      <w:hyperlink r:id="rId52" w:history="1">
        <w:r w:rsidR="00E978F9" w:rsidRPr="00C81411">
          <w:rPr>
            <w:rStyle w:val="Hyperlink"/>
          </w:rPr>
          <w:t xml:space="preserve">TGA </w:t>
        </w:r>
        <w:r w:rsidR="00E978F9">
          <w:rPr>
            <w:rStyle w:val="Hyperlink"/>
          </w:rPr>
          <w:t>p</w:t>
        </w:r>
        <w:r w:rsidR="00E978F9" w:rsidRPr="00C81411">
          <w:rPr>
            <w:rStyle w:val="Hyperlink"/>
          </w:rPr>
          <w:t>rescribing medicines in pregnancy database</w:t>
        </w:r>
      </w:hyperlink>
      <w:r w:rsidRPr="00532578">
        <w:rPr>
          <w:rStyle w:val="Hyperlink"/>
          <w:color w:val="auto"/>
          <w:u w:val="none"/>
        </w:rPr>
        <w:t>,</w:t>
      </w:r>
      <w:r w:rsidR="00E978F9">
        <w:rPr>
          <w:rStyle w:val="FootnoteReference"/>
        </w:rPr>
        <w:footnoteReference w:id="31"/>
      </w:r>
      <w:r>
        <w:t xml:space="preserve"> or the </w:t>
      </w:r>
      <w:hyperlink r:id="rId53" w:history="1">
        <w:r w:rsidR="00B238DA">
          <w:rPr>
            <w:rStyle w:val="Hyperlink"/>
            <w:rFonts w:cstheme="minorHAnsi"/>
          </w:rPr>
          <w:t>Therapeutic Goods (Medicines Advisory Statements) Specification 2021</w:t>
        </w:r>
      </w:hyperlink>
      <w:r w:rsidR="00B238DA">
        <w:rPr>
          <w:rStyle w:val="Hyperlink"/>
          <w:rFonts w:cstheme="minorHAnsi"/>
          <w:color w:val="auto"/>
          <w:u w:val="none"/>
        </w:rPr>
        <w:t>.</w:t>
      </w:r>
      <w:r w:rsidRPr="00532578">
        <w:rPr>
          <w:rStyle w:val="Hyperlink"/>
          <w:color w:val="auto"/>
          <w:u w:val="none"/>
        </w:rPr>
        <w:t>.</w:t>
      </w:r>
      <w:r w:rsidR="00E978F9">
        <w:rPr>
          <w:rStyle w:val="FootnoteReference"/>
        </w:rPr>
        <w:footnoteReference w:id="32"/>
      </w:r>
    </w:p>
    <w:p w14:paraId="51D4621E" w14:textId="77777777" w:rsidR="00532578" w:rsidRDefault="00E978F9" w:rsidP="00532578">
      <w:pPr>
        <w:pStyle w:val="ListBullet"/>
      </w:pPr>
      <w:r>
        <w:t xml:space="preserve">As of </w:t>
      </w:r>
      <w:r w:rsidRPr="00532578">
        <w:t>December</w:t>
      </w:r>
      <w:r>
        <w:t xml:space="preserve"> 2022, there were</w:t>
      </w:r>
      <w:r w:rsidRPr="009C55D5">
        <w:t xml:space="preserve"> </w:t>
      </w:r>
      <w:r w:rsidR="00532578">
        <w:t>no</w:t>
      </w:r>
      <w:r w:rsidRPr="009C55D5">
        <w:t xml:space="preserve"> reports of adverse events for products containing </w:t>
      </w:r>
      <w:r>
        <w:t>bromoxynil</w:t>
      </w:r>
      <w:r w:rsidRPr="009C55D5">
        <w:t xml:space="preserve"> </w:t>
      </w:r>
      <w:r>
        <w:t xml:space="preserve">on the </w:t>
      </w:r>
      <w:hyperlink r:id="rId54" w:history="1">
        <w:r w:rsidRPr="00F0449C">
          <w:rPr>
            <w:rStyle w:val="Hyperlink"/>
          </w:rPr>
          <w:t>Database of Adverse Event Notifications (DAEN)</w:t>
        </w:r>
      </w:hyperlink>
      <w:r w:rsidR="00532578">
        <w:t>.</w:t>
      </w:r>
      <w:r w:rsidRPr="00F0449C">
        <w:rPr>
          <w:rStyle w:val="FootnoteReference"/>
        </w:rPr>
        <w:footnoteReference w:id="33"/>
      </w:r>
    </w:p>
    <w:p w14:paraId="4A2898A4" w14:textId="5015622C" w:rsidR="00E978F9" w:rsidRPr="00F215D0" w:rsidRDefault="00E978F9" w:rsidP="00532578">
      <w:pPr>
        <w:pStyle w:val="ListBullet"/>
        <w:rPr>
          <w:i/>
          <w:color w:val="002C47" w:themeColor="text2"/>
        </w:rPr>
      </w:pPr>
      <w:r>
        <w:t>As of December 2022, t</w:t>
      </w:r>
      <w:r w:rsidRPr="00F0449C">
        <w:t xml:space="preserve">here </w:t>
      </w:r>
      <w:r>
        <w:t>were</w:t>
      </w:r>
      <w:r w:rsidRPr="00F0449C">
        <w:t xml:space="preserve"> </w:t>
      </w:r>
      <w:r>
        <w:t>1</w:t>
      </w:r>
      <w:r w:rsidR="005B5D0F">
        <w:t>46</w:t>
      </w:r>
      <w:r w:rsidRPr="00F0449C">
        <w:t xml:space="preserve"> products containing </w:t>
      </w:r>
      <w:r>
        <w:t>bromoxynil</w:t>
      </w:r>
      <w:r w:rsidRPr="009C55D5">
        <w:t xml:space="preserve"> </w:t>
      </w:r>
      <w:r w:rsidR="005B5D0F">
        <w:t xml:space="preserve">(or bromoxynil octanoate) </w:t>
      </w:r>
      <w:r w:rsidRPr="00F0449C">
        <w:t xml:space="preserve">listed on the </w:t>
      </w:r>
      <w:hyperlink r:id="rId55" w:history="1">
        <w:r w:rsidRPr="00F0449C">
          <w:rPr>
            <w:rStyle w:val="Hyperlink"/>
          </w:rPr>
          <w:t>Public Chemical Registration Information System Search (</w:t>
        </w:r>
        <w:proofErr w:type="spellStart"/>
        <w:r w:rsidRPr="00F0449C">
          <w:rPr>
            <w:rStyle w:val="Hyperlink"/>
          </w:rPr>
          <w:t>P</w:t>
        </w:r>
        <w:r>
          <w:rPr>
            <w:rStyle w:val="Hyperlink"/>
          </w:rPr>
          <w:t>ub</w:t>
        </w:r>
        <w:r w:rsidRPr="00F0449C">
          <w:rPr>
            <w:rStyle w:val="Hyperlink"/>
          </w:rPr>
          <w:t>CRIS</w:t>
        </w:r>
        <w:proofErr w:type="spellEnd"/>
        <w:r w:rsidRPr="00F0449C">
          <w:rPr>
            <w:rStyle w:val="Hyperlink"/>
          </w:rPr>
          <w:t>)</w:t>
        </w:r>
      </w:hyperlink>
      <w:r w:rsidRPr="00F0449C">
        <w:t>.</w:t>
      </w:r>
      <w:r>
        <w:rPr>
          <w:rStyle w:val="FootnoteReference"/>
        </w:rPr>
        <w:footnoteReference w:id="34"/>
      </w:r>
      <w:r>
        <w:t xml:space="preserve"> </w:t>
      </w:r>
    </w:p>
    <w:p w14:paraId="17F615F0" w14:textId="3AF728A2" w:rsidR="00E978F9" w:rsidRDefault="00E978F9" w:rsidP="00405929">
      <w:pPr>
        <w:pStyle w:val="ListBullet"/>
      </w:pPr>
      <w:r>
        <w:t>In 2009-2022</w:t>
      </w:r>
      <w:r w:rsidR="00854958">
        <w:t>,</w:t>
      </w:r>
      <w:r>
        <w:t xml:space="preserve"> </w:t>
      </w:r>
      <w:r w:rsidR="00B238DA">
        <w:t xml:space="preserve">6 reports of incidents, including one associated with crop health and 5 reports associated with human health </w:t>
      </w:r>
      <w:r>
        <w:t xml:space="preserve">were recorded for bromoxynil in the </w:t>
      </w:r>
      <w:hyperlink r:id="rId56" w:history="1">
        <w:r w:rsidRPr="00D60941">
          <w:rPr>
            <w:rStyle w:val="Hyperlink"/>
          </w:rPr>
          <w:t>APVMA Adverse Experience Reporting Program database (AERP)</w:t>
        </w:r>
      </w:hyperlink>
      <w:r w:rsidR="00405929" w:rsidRPr="00405929">
        <w:t>.</w:t>
      </w:r>
      <w:r>
        <w:rPr>
          <w:rStyle w:val="FootnoteReference"/>
        </w:rPr>
        <w:footnoteReference w:id="35"/>
      </w:r>
    </w:p>
    <w:p w14:paraId="5E4324DE" w14:textId="77777777" w:rsidR="00E978F9" w:rsidRDefault="00E978F9" w:rsidP="00E978F9">
      <w:pPr>
        <w:pStyle w:val="Heading4"/>
      </w:pPr>
      <w:bookmarkStart w:id="60" w:name="_Toc468284153"/>
      <w:bookmarkStart w:id="61" w:name="_Toc486934451"/>
      <w:bookmarkStart w:id="62" w:name="_Toc74743278"/>
      <w:bookmarkStart w:id="63" w:name="_Toc122676211"/>
      <w:r>
        <w:t>International regulations</w:t>
      </w:r>
      <w:bookmarkEnd w:id="60"/>
      <w:bookmarkEnd w:id="61"/>
      <w:bookmarkEnd w:id="62"/>
      <w:bookmarkEnd w:id="63"/>
    </w:p>
    <w:p w14:paraId="50EA40A6" w14:textId="0F53640A" w:rsidR="00E978F9" w:rsidRPr="00EB3D7A" w:rsidRDefault="00E978F9" w:rsidP="00C71AA1">
      <w:pPr>
        <w:pStyle w:val="ListBullet"/>
        <w:rPr>
          <w:rStyle w:val="Hyperlink"/>
          <w:color w:val="auto"/>
        </w:rPr>
      </w:pPr>
      <w:r w:rsidRPr="007D058A">
        <w:t xml:space="preserve">The </w:t>
      </w:r>
      <w:hyperlink r:id="rId57" w:history="1">
        <w:r w:rsidRPr="00F215D0">
          <w:rPr>
            <w:rStyle w:val="Hyperlink"/>
          </w:rPr>
          <w:t>United States Environmental Protection Agency’s (US EPA) Office of Pesticides Programs</w:t>
        </w:r>
      </w:hyperlink>
      <w:r w:rsidR="000B0A7C" w:rsidRPr="000B0A7C">
        <w:rPr>
          <w:rStyle w:val="FootnoteReference"/>
          <w:color w:val="0000FF"/>
        </w:rPr>
        <w:footnoteReference w:id="36"/>
      </w:r>
      <w:r w:rsidRPr="000B0A7C">
        <w:rPr>
          <w:rStyle w:val="Hyperlink"/>
          <w:color w:val="auto"/>
          <w:u w:val="none"/>
        </w:rPr>
        <w:t xml:space="preserve"> </w:t>
      </w:r>
      <w:r w:rsidRPr="00965059">
        <w:rPr>
          <w:rStyle w:val="Hyperlink"/>
          <w:color w:val="auto"/>
          <w:u w:val="none"/>
        </w:rPr>
        <w:t xml:space="preserve">lists </w:t>
      </w:r>
      <w:r w:rsidR="000B0A7C">
        <w:rPr>
          <w:rStyle w:val="Hyperlink"/>
          <w:color w:val="auto"/>
          <w:u w:val="none"/>
        </w:rPr>
        <w:t xml:space="preserve">a number of </w:t>
      </w:r>
      <w:r w:rsidRPr="00965059">
        <w:rPr>
          <w:rStyle w:val="Hyperlink"/>
          <w:color w:val="auto"/>
          <w:u w:val="none"/>
        </w:rPr>
        <w:t xml:space="preserve">bromoxynil </w:t>
      </w:r>
      <w:r w:rsidR="000B0A7C">
        <w:rPr>
          <w:rStyle w:val="Hyperlink"/>
          <w:color w:val="auto"/>
          <w:u w:val="none"/>
        </w:rPr>
        <w:t>compounds, including b</w:t>
      </w:r>
      <w:r w:rsidRPr="00965059">
        <w:rPr>
          <w:rStyle w:val="Hyperlink"/>
          <w:color w:val="auto"/>
          <w:u w:val="none"/>
        </w:rPr>
        <w:t>romoxynil, bromoxynil octanoate</w:t>
      </w:r>
      <w:r w:rsidR="000B0A7C">
        <w:rPr>
          <w:rStyle w:val="Hyperlink"/>
          <w:color w:val="auto"/>
          <w:u w:val="none"/>
        </w:rPr>
        <w:t xml:space="preserve"> and </w:t>
      </w:r>
      <w:r w:rsidRPr="00965059">
        <w:rPr>
          <w:rStyle w:val="Hyperlink"/>
          <w:color w:val="auto"/>
          <w:u w:val="none"/>
        </w:rPr>
        <w:t xml:space="preserve">bromoxynil </w:t>
      </w:r>
      <w:r w:rsidRPr="00C71AA1">
        <w:rPr>
          <w:rStyle w:val="Hyperlink"/>
          <w:color w:val="auto"/>
          <w:u w:val="none"/>
        </w:rPr>
        <w:t>heptanoate</w:t>
      </w:r>
      <w:r w:rsidR="000B0A7C">
        <w:rPr>
          <w:rStyle w:val="Hyperlink"/>
          <w:color w:val="auto"/>
          <w:u w:val="none"/>
        </w:rPr>
        <w:t>, as under Registration Review.</w:t>
      </w:r>
    </w:p>
    <w:p w14:paraId="55CF5BC8" w14:textId="3FA40D67" w:rsidR="007D7DA5" w:rsidRPr="007D7DA5" w:rsidRDefault="00E978F9" w:rsidP="007D7DA5">
      <w:pPr>
        <w:pStyle w:val="ListBullet"/>
        <w:rPr>
          <w:rStyle w:val="Hyperlink"/>
          <w:color w:val="585858"/>
          <w:u w:val="none"/>
          <w:shd w:val="clear" w:color="auto" w:fill="FFFFFF"/>
        </w:rPr>
      </w:pPr>
      <w:r w:rsidRPr="007D058A">
        <w:t xml:space="preserve">The </w:t>
      </w:r>
      <w:bookmarkStart w:id="64" w:name="_Hlk122101773"/>
      <w:r w:rsidR="00F9633C">
        <w:fldChar w:fldCharType="begin"/>
      </w:r>
      <w:r w:rsidR="00F9633C">
        <w:instrText xml:space="preserve"> HYPERLINK "https://echa.europa.eu/search-for-chemicals" </w:instrText>
      </w:r>
      <w:r w:rsidR="00F9633C">
        <w:fldChar w:fldCharType="separate"/>
      </w:r>
      <w:r w:rsidRPr="007D058A">
        <w:rPr>
          <w:rStyle w:val="Hyperlink"/>
          <w:szCs w:val="22"/>
        </w:rPr>
        <w:t>European Chemicals Agency (ECHA)</w:t>
      </w:r>
      <w:r w:rsidR="00F9633C">
        <w:rPr>
          <w:rStyle w:val="Hyperlink"/>
          <w:szCs w:val="22"/>
        </w:rPr>
        <w:fldChar w:fldCharType="end"/>
      </w:r>
      <w:bookmarkEnd w:id="64"/>
      <w:r w:rsidR="000B0A7C" w:rsidRPr="003839C0">
        <w:rPr>
          <w:rStyle w:val="FootnoteReference"/>
          <w:szCs w:val="22"/>
        </w:rPr>
        <w:footnoteReference w:id="37"/>
      </w:r>
      <w:r w:rsidRPr="007D058A">
        <w:rPr>
          <w:rStyle w:val="Hyperlink"/>
          <w:color w:val="auto"/>
          <w:szCs w:val="22"/>
          <w:u w:val="none"/>
          <w:vertAlign w:val="superscript"/>
        </w:rPr>
        <w:t xml:space="preserve"> </w:t>
      </w:r>
      <w:r w:rsidRPr="007D058A">
        <w:rPr>
          <w:rStyle w:val="Hyperlink"/>
          <w:color w:val="auto"/>
          <w:szCs w:val="22"/>
          <w:u w:val="none"/>
        </w:rPr>
        <w:t xml:space="preserve">lists bromoxynil </w:t>
      </w:r>
      <w:r w:rsidR="007D7DA5">
        <w:rPr>
          <w:rStyle w:val="Hyperlink"/>
          <w:color w:val="auto"/>
          <w:szCs w:val="22"/>
          <w:u w:val="none"/>
        </w:rPr>
        <w:t xml:space="preserve">(and bromoxynil octanoate) </w:t>
      </w:r>
      <w:r w:rsidR="000B0A7C">
        <w:rPr>
          <w:rStyle w:val="Hyperlink"/>
          <w:color w:val="auto"/>
          <w:szCs w:val="22"/>
          <w:u w:val="none"/>
        </w:rPr>
        <w:t xml:space="preserve">as </w:t>
      </w:r>
      <w:r w:rsidR="007D7DA5">
        <w:rPr>
          <w:rStyle w:val="Hyperlink"/>
          <w:color w:val="auto"/>
          <w:szCs w:val="22"/>
          <w:u w:val="none"/>
        </w:rPr>
        <w:t>suspected to be toxic to reproduction and skin sensitising. In addition, according to the harmonised classification and labelling approved by the European Union, the substance is</w:t>
      </w:r>
    </w:p>
    <w:p w14:paraId="76DDE8B6" w14:textId="77777777" w:rsidR="007D7DA5" w:rsidRPr="007D7DA5" w:rsidRDefault="00E978F9" w:rsidP="007D7DA5">
      <w:pPr>
        <w:pStyle w:val="ListBullet2"/>
        <w:rPr>
          <w:color w:val="585858"/>
          <w:shd w:val="clear" w:color="auto" w:fill="FFFFFF"/>
        </w:rPr>
      </w:pPr>
      <w:r w:rsidRPr="000B0A7C">
        <w:t xml:space="preserve">very toxic to aquatic life, </w:t>
      </w:r>
    </w:p>
    <w:p w14:paraId="6EAB055B" w14:textId="77777777" w:rsidR="007D7DA5" w:rsidRPr="007D7DA5" w:rsidRDefault="00E978F9" w:rsidP="007D7DA5">
      <w:pPr>
        <w:pStyle w:val="ListBullet2"/>
        <w:rPr>
          <w:color w:val="585858"/>
          <w:shd w:val="clear" w:color="auto" w:fill="FFFFFF"/>
        </w:rPr>
      </w:pPr>
      <w:r w:rsidRPr="000B0A7C">
        <w:t xml:space="preserve">very toxic to aquatic life with long lasting effects, </w:t>
      </w:r>
    </w:p>
    <w:p w14:paraId="288967D5" w14:textId="77777777" w:rsidR="007D7DA5" w:rsidRPr="007D7DA5" w:rsidRDefault="00E978F9" w:rsidP="007D7DA5">
      <w:pPr>
        <w:pStyle w:val="ListBullet2"/>
        <w:rPr>
          <w:color w:val="585858"/>
          <w:shd w:val="clear" w:color="auto" w:fill="FFFFFF"/>
        </w:rPr>
      </w:pPr>
      <w:r w:rsidRPr="000B0A7C">
        <w:t xml:space="preserve">is </w:t>
      </w:r>
      <w:r w:rsidR="007D7DA5">
        <w:t xml:space="preserve">toxic </w:t>
      </w:r>
      <w:r w:rsidRPr="000B0A7C">
        <w:t xml:space="preserve">if swallowed, </w:t>
      </w:r>
    </w:p>
    <w:p w14:paraId="738643BB" w14:textId="77777777" w:rsidR="007D7DA5" w:rsidRPr="007D7DA5" w:rsidRDefault="007D7DA5" w:rsidP="007D7DA5">
      <w:pPr>
        <w:pStyle w:val="ListBullet2"/>
        <w:rPr>
          <w:color w:val="585858"/>
          <w:shd w:val="clear" w:color="auto" w:fill="FFFFFF"/>
        </w:rPr>
      </w:pPr>
      <w:r>
        <w:t xml:space="preserve">toxic </w:t>
      </w:r>
      <w:r w:rsidR="00E978F9" w:rsidRPr="000B0A7C">
        <w:t xml:space="preserve">if inhaled, </w:t>
      </w:r>
    </w:p>
    <w:p w14:paraId="4572B77D" w14:textId="50D989F5" w:rsidR="007D7DA5" w:rsidRPr="007D7DA5" w:rsidRDefault="00E978F9" w:rsidP="007D7DA5">
      <w:pPr>
        <w:pStyle w:val="ListBullet2"/>
        <w:rPr>
          <w:color w:val="585858"/>
          <w:shd w:val="clear" w:color="auto" w:fill="FFFFFF"/>
        </w:rPr>
      </w:pPr>
      <w:r w:rsidRPr="000B0A7C">
        <w:t>suspected of damaging the unborn child</w:t>
      </w:r>
      <w:r w:rsidR="007D7DA5">
        <w:t>,</w:t>
      </w:r>
      <w:r w:rsidRPr="000B0A7C">
        <w:t xml:space="preserve"> and </w:t>
      </w:r>
    </w:p>
    <w:p w14:paraId="4B3BA75A" w14:textId="15B9B4E8" w:rsidR="00E978F9" w:rsidRPr="007D7DA5" w:rsidRDefault="00E978F9" w:rsidP="007D7DA5">
      <w:pPr>
        <w:pStyle w:val="ListBullet2"/>
        <w:rPr>
          <w:color w:val="585858"/>
          <w:shd w:val="clear" w:color="auto" w:fill="FFFFFF"/>
        </w:rPr>
      </w:pPr>
      <w:r w:rsidRPr="000B0A7C">
        <w:t>may cause an allergic skin reaction.</w:t>
      </w:r>
    </w:p>
    <w:p w14:paraId="105DE6B3" w14:textId="63DD0B53" w:rsidR="007D7DA5" w:rsidRDefault="007D7DA5" w:rsidP="007D7DA5">
      <w:pPr>
        <w:pStyle w:val="ListBullet"/>
        <w:numPr>
          <w:ilvl w:val="0"/>
          <w:numId w:val="0"/>
        </w:numPr>
        <w:ind w:left="360"/>
        <w:rPr>
          <w:shd w:val="clear" w:color="auto" w:fill="FFFFFF"/>
        </w:rPr>
      </w:pPr>
      <w:r>
        <w:rPr>
          <w:shd w:val="clear" w:color="auto" w:fill="FFFFFF"/>
        </w:rPr>
        <w:lastRenderedPageBreak/>
        <w:t>The classification provided by companies to ECHA in the REACH registrations identifies that this substance is toxic if swallowed and is suspected of damaging fertility or the unborn child.</w:t>
      </w:r>
    </w:p>
    <w:p w14:paraId="32085881" w14:textId="14D40BC3" w:rsidR="007D7DA5" w:rsidRPr="007D7DA5" w:rsidRDefault="007D7DA5" w:rsidP="007D7DA5">
      <w:pPr>
        <w:pStyle w:val="ListBullet"/>
        <w:rPr>
          <w:shd w:val="clear" w:color="auto" w:fill="FFFFFF"/>
        </w:rPr>
      </w:pPr>
      <w:r>
        <w:rPr>
          <w:shd w:val="clear" w:color="auto" w:fill="FFFFFF"/>
        </w:rPr>
        <w:t xml:space="preserve">Approval of bromoxynil </w:t>
      </w:r>
      <w:r w:rsidR="003839C0">
        <w:rPr>
          <w:shd w:val="clear" w:color="auto" w:fill="FFFFFF"/>
        </w:rPr>
        <w:t xml:space="preserve">as an active substance </w:t>
      </w:r>
      <w:r>
        <w:rPr>
          <w:shd w:val="clear" w:color="auto" w:fill="FFFFFF"/>
        </w:rPr>
        <w:t xml:space="preserve">was </w:t>
      </w:r>
      <w:r w:rsidR="003839C0">
        <w:rPr>
          <w:shd w:val="clear" w:color="auto" w:fill="FFFFFF"/>
        </w:rPr>
        <w:t xml:space="preserve">not renewed </w:t>
      </w:r>
      <w:r>
        <w:rPr>
          <w:shd w:val="clear" w:color="auto" w:fill="FFFFFF"/>
        </w:rPr>
        <w:t xml:space="preserve">by the </w:t>
      </w:r>
      <w:hyperlink r:id="rId58" w:history="1">
        <w:r w:rsidRPr="003839C0">
          <w:rPr>
            <w:rStyle w:val="Hyperlink"/>
            <w:shd w:val="clear" w:color="auto" w:fill="FFFFFF"/>
          </w:rPr>
          <w:t xml:space="preserve">European </w:t>
        </w:r>
        <w:r w:rsidR="003839C0" w:rsidRPr="003839C0">
          <w:rPr>
            <w:rStyle w:val="Hyperlink"/>
            <w:shd w:val="clear" w:color="auto" w:fill="FFFFFF"/>
          </w:rPr>
          <w:t>Commission Standing Committee on Plants, Animals, Food and Feed</w:t>
        </w:r>
      </w:hyperlink>
      <w:r w:rsidR="003839C0">
        <w:rPr>
          <w:rStyle w:val="FootnoteReference"/>
          <w:shd w:val="clear" w:color="auto" w:fill="FFFFFF"/>
        </w:rPr>
        <w:footnoteReference w:id="38"/>
      </w:r>
      <w:r>
        <w:rPr>
          <w:shd w:val="clear" w:color="auto" w:fill="FFFFFF"/>
        </w:rPr>
        <w:t xml:space="preserve"> in September 2021</w:t>
      </w:r>
      <w:r w:rsidR="003839C0">
        <w:rPr>
          <w:shd w:val="clear" w:color="auto" w:fill="FFFFFF"/>
        </w:rPr>
        <w:t>, due to identified high risk to children despite mitigation measures, and a high long-term risk from dietary exposure for wild mammals for the representative uses.</w:t>
      </w:r>
    </w:p>
    <w:p w14:paraId="7EB6CFA9" w14:textId="64F9666E" w:rsidR="00F86D6F" w:rsidRPr="00A0115B" w:rsidRDefault="00E978F9" w:rsidP="00AF65C4">
      <w:pPr>
        <w:pStyle w:val="ListBullet"/>
        <w:rPr>
          <w:rFonts w:eastAsia="Times New Roman"/>
          <w:color w:val="212529"/>
          <w:szCs w:val="22"/>
          <w:lang w:eastAsia="en-AU"/>
        </w:rPr>
      </w:pPr>
      <w:r w:rsidRPr="007D058A">
        <w:rPr>
          <w:rFonts w:eastAsia="Times New Roman"/>
          <w:color w:val="212529"/>
          <w:szCs w:val="22"/>
          <w:lang w:eastAsia="en-AU"/>
        </w:rPr>
        <w:t xml:space="preserve">The </w:t>
      </w:r>
      <w:hyperlink r:id="rId59" w:history="1">
        <w:r w:rsidRPr="007D058A">
          <w:rPr>
            <w:rStyle w:val="Hyperlink"/>
            <w:szCs w:val="22"/>
          </w:rPr>
          <w:t>New Zealand Inventory of Chemicals (</w:t>
        </w:r>
        <w:proofErr w:type="spellStart"/>
        <w:r w:rsidRPr="007D058A">
          <w:rPr>
            <w:rStyle w:val="Hyperlink"/>
            <w:szCs w:val="22"/>
          </w:rPr>
          <w:t>NZIoC</w:t>
        </w:r>
        <w:proofErr w:type="spellEnd"/>
        <w:r w:rsidRPr="007D058A">
          <w:rPr>
            <w:rStyle w:val="Hyperlink"/>
            <w:szCs w:val="22"/>
          </w:rPr>
          <w:t>)</w:t>
        </w:r>
      </w:hyperlink>
      <w:r w:rsidR="000B0A7C" w:rsidRPr="000B0A7C">
        <w:rPr>
          <w:rStyle w:val="FootnoteReference"/>
          <w:color w:val="0000FF"/>
          <w:szCs w:val="22"/>
        </w:rPr>
        <w:footnoteReference w:id="39"/>
      </w:r>
      <w:r w:rsidRPr="000B0A7C">
        <w:rPr>
          <w:rStyle w:val="Hyperlink"/>
          <w:szCs w:val="22"/>
          <w:u w:val="none"/>
        </w:rPr>
        <w:t xml:space="preserve"> </w:t>
      </w:r>
      <w:r w:rsidRPr="007D058A">
        <w:rPr>
          <w:rStyle w:val="Hyperlink"/>
          <w:color w:val="auto"/>
          <w:szCs w:val="22"/>
          <w:u w:val="none"/>
        </w:rPr>
        <w:t>lists bromoxynil as approved with controls</w:t>
      </w:r>
      <w:r w:rsidR="000B0A7C">
        <w:rPr>
          <w:rStyle w:val="Hyperlink"/>
          <w:color w:val="auto"/>
          <w:szCs w:val="22"/>
          <w:u w:val="none"/>
        </w:rPr>
        <w:t>, while bromoxynil octanoate does not have an individual approval but may be used an appropriate group standard.</w:t>
      </w:r>
    </w:p>
    <w:p w14:paraId="2D34DBA6" w14:textId="4B8934F7" w:rsidR="00F86D6F" w:rsidRPr="00AF65C4" w:rsidRDefault="00F86D6F" w:rsidP="00F86D6F">
      <w:pPr>
        <w:pStyle w:val="Heading3"/>
        <w:rPr>
          <w:rStyle w:val="Hyperlink"/>
          <w:color w:val="auto"/>
          <w:u w:val="none"/>
        </w:rPr>
      </w:pPr>
      <w:bookmarkStart w:id="65" w:name="_Toc122676212"/>
      <w:r w:rsidRPr="00AF65C4">
        <w:rPr>
          <w:rStyle w:val="Hyperlink"/>
          <w:color w:val="auto"/>
          <w:u w:val="none"/>
        </w:rPr>
        <w:t>Dioxane</w:t>
      </w:r>
      <w:bookmarkEnd w:id="65"/>
    </w:p>
    <w:p w14:paraId="7CB94440" w14:textId="39E7AD6B" w:rsidR="00E75CF4" w:rsidRDefault="00E75CF4" w:rsidP="00004DFC">
      <w:pPr>
        <w:pStyle w:val="Heading4"/>
      </w:pPr>
      <w:bookmarkStart w:id="66" w:name="_Toc122676213"/>
      <w:r>
        <w:t>Proposal</w:t>
      </w:r>
      <w:bookmarkEnd w:id="66"/>
    </w:p>
    <w:p w14:paraId="3AB5DCBD" w14:textId="12AD3DE8" w:rsidR="00D615FD" w:rsidRDefault="008C16CD" w:rsidP="00D615FD">
      <w:r>
        <w:t xml:space="preserve">The </w:t>
      </w:r>
      <w:r w:rsidR="007F4AAD">
        <w:t>d</w:t>
      </w:r>
      <w:r>
        <w:t>elegate of the Secretary of Depart</w:t>
      </w:r>
      <w:r w:rsidR="00E833ED">
        <w:t>ment of Health</w:t>
      </w:r>
      <w:r w:rsidR="007F4AAD">
        <w:t xml:space="preserve"> and Aged Care</w:t>
      </w:r>
      <w:r w:rsidR="00E833ED">
        <w:t xml:space="preserve"> </w:t>
      </w:r>
      <w:r w:rsidR="007F4AAD">
        <w:t xml:space="preserve">responsible for chemicals scheduling </w:t>
      </w:r>
      <w:r w:rsidR="00E833ED">
        <w:t>(the Delegate)</w:t>
      </w:r>
      <w:r w:rsidR="00515D78">
        <w:t xml:space="preserve"> is proposing an amendment to the current Poisons Standard following a referral </w:t>
      </w:r>
      <w:r w:rsidR="00D615FD">
        <w:t xml:space="preserve">from the Australian Industrial Chemicals Introduction Scheme (AICIS). The referral stems from an </w:t>
      </w:r>
      <w:hyperlink r:id="rId60" w:history="1">
        <w:r w:rsidR="00D615FD">
          <w:rPr>
            <w:rStyle w:val="Hyperlink"/>
          </w:rPr>
          <w:t>evaluation statement on dioxane</w:t>
        </w:r>
      </w:hyperlink>
      <w:r w:rsidR="00D615FD">
        <w:rPr>
          <w:rStyle w:val="Hyperlink"/>
        </w:rPr>
        <w:t xml:space="preserve"> published in June 2022</w:t>
      </w:r>
      <w:r w:rsidR="00D615FD">
        <w:t>, and the basis for the included advice to reschedule the substance is summarised as follows</w:t>
      </w:r>
      <w:r w:rsidR="007F4AAD">
        <w:t>.</w:t>
      </w:r>
    </w:p>
    <w:p w14:paraId="127D7D1C" w14:textId="1B2CB2E4" w:rsidR="00F93274" w:rsidRDefault="00D615FD" w:rsidP="00D615FD">
      <w:r>
        <w:t xml:space="preserve">The AICIS referral suggests that the Appendix G entry for dioxane should be removed from the Poisons Standard, due to carcinogenicity and genotoxicity concerns regarding the substance and modern manufacturing practices which are now capable of achieving lower levels of dioxane contamination. </w:t>
      </w:r>
      <w:r w:rsidR="005C4E6B" w:rsidRPr="005339C8">
        <w:t>The chemical is currently listed in Schedule</w:t>
      </w:r>
      <w:r w:rsidR="005C4E6B">
        <w:t xml:space="preserve"> 6 </w:t>
      </w:r>
      <w:r w:rsidR="005C4E6B" w:rsidRPr="005339C8">
        <w:t xml:space="preserve">of the </w:t>
      </w:r>
      <w:r w:rsidR="005C4E6B" w:rsidRPr="00D51C02">
        <w:t>Poisons Standard</w:t>
      </w:r>
      <w:r w:rsidR="005C4E6B">
        <w:t>, with an Appendix G entry which exempts the substance from scheduling when present at or below a concentration of 100 mg/kg</w:t>
      </w:r>
      <w:r w:rsidR="005C4E6B" w:rsidRPr="005339C8">
        <w:t>.</w:t>
      </w:r>
      <w:r w:rsidR="005C4E6B">
        <w:t xml:space="preserve"> </w:t>
      </w:r>
      <w:r w:rsidR="007F4AAD">
        <w:t>T</w:t>
      </w:r>
      <w:r w:rsidR="005C4E6B">
        <w:t xml:space="preserve">he removal of the Appendix G entry </w:t>
      </w:r>
      <w:r>
        <w:t>would effectively place the default Poisons Standard limit of 10 mg/kg on dioxane and include preparations containing greater than 10 mg/kg of dioxane in Schedule 6.</w:t>
      </w:r>
    </w:p>
    <w:p w14:paraId="3A11B95F" w14:textId="5D86EDA4" w:rsidR="00E75CF4" w:rsidRDefault="00E75CF4" w:rsidP="00E75CF4">
      <w:pPr>
        <w:pStyle w:val="Heading4"/>
      </w:pPr>
      <w:bookmarkStart w:id="67" w:name="_Toc122676214"/>
      <w:r>
        <w:t>CAS Number</w:t>
      </w:r>
      <w:bookmarkEnd w:id="67"/>
    </w:p>
    <w:p w14:paraId="1C57982D" w14:textId="6775C9E4" w:rsidR="00D615FD" w:rsidRPr="00D615FD" w:rsidRDefault="00D615FD" w:rsidP="00D615FD">
      <w:r w:rsidRPr="00852C4F">
        <w:rPr>
          <w:szCs w:val="22"/>
        </w:rPr>
        <w:t>123-91-1</w:t>
      </w:r>
    </w:p>
    <w:p w14:paraId="054D0EED" w14:textId="28A57B82" w:rsidR="00E75CF4" w:rsidRDefault="00E75CF4" w:rsidP="00E75CF4">
      <w:pPr>
        <w:pStyle w:val="Heading4"/>
      </w:pPr>
      <w:bookmarkStart w:id="68" w:name="_Toc122676215"/>
      <w:r>
        <w:t>Alternative names</w:t>
      </w:r>
      <w:bookmarkEnd w:id="68"/>
    </w:p>
    <w:p w14:paraId="58BA138B" w14:textId="77777777" w:rsidR="00D615FD" w:rsidRDefault="00D615FD" w:rsidP="00D615FD">
      <w:pPr>
        <w:rPr>
          <w:szCs w:val="22"/>
        </w:rPr>
      </w:pPr>
      <w:r w:rsidRPr="00852C4F">
        <w:rPr>
          <w:szCs w:val="22"/>
        </w:rPr>
        <w:t>1,4-dioxane;</w:t>
      </w:r>
      <w:r>
        <w:rPr>
          <w:szCs w:val="22"/>
        </w:rPr>
        <w:t xml:space="preserve"> </w:t>
      </w:r>
    </w:p>
    <w:p w14:paraId="2ECB0496" w14:textId="77777777" w:rsidR="00D615FD" w:rsidRDefault="00D615FD" w:rsidP="00D615FD">
      <w:pPr>
        <w:rPr>
          <w:szCs w:val="22"/>
        </w:rPr>
      </w:pPr>
      <w:r>
        <w:rPr>
          <w:szCs w:val="22"/>
        </w:rPr>
        <w:t>1,4-diethylene ether;</w:t>
      </w:r>
      <w:r w:rsidRPr="00852C4F">
        <w:rPr>
          <w:szCs w:val="22"/>
        </w:rPr>
        <w:t xml:space="preserve"> </w:t>
      </w:r>
    </w:p>
    <w:p w14:paraId="6F7FEAE3" w14:textId="758C9F5F" w:rsidR="00D615FD" w:rsidRPr="00D615FD" w:rsidRDefault="00D615FD" w:rsidP="00D615FD">
      <w:r w:rsidRPr="00852C4F">
        <w:rPr>
          <w:szCs w:val="22"/>
        </w:rPr>
        <w:t>1,4-diethylene dioxide</w:t>
      </w:r>
    </w:p>
    <w:p w14:paraId="6E705AB0" w14:textId="50908AB1" w:rsidR="00E75CF4" w:rsidRDefault="00E75CF4" w:rsidP="00E75CF4">
      <w:pPr>
        <w:pStyle w:val="Heading4"/>
      </w:pPr>
      <w:bookmarkStart w:id="69" w:name="_Toc122676216"/>
      <w:r>
        <w:t>Applicant</w:t>
      </w:r>
      <w:bookmarkEnd w:id="69"/>
    </w:p>
    <w:p w14:paraId="542598EB" w14:textId="17638C52" w:rsidR="00A0115B" w:rsidRPr="00A0115B" w:rsidRDefault="00A0115B" w:rsidP="00AF65C4">
      <w:r>
        <w:t xml:space="preserve">Delegate initiated. </w:t>
      </w:r>
    </w:p>
    <w:p w14:paraId="768E2372" w14:textId="77777777" w:rsidR="007F4AAD" w:rsidRDefault="007F4AAD" w:rsidP="007F4AAD">
      <w:pPr>
        <w:pStyle w:val="Heading4"/>
      </w:pPr>
      <w:bookmarkStart w:id="70" w:name="_Toc122676217"/>
      <w:r>
        <w:lastRenderedPageBreak/>
        <w:t>Proposed scheduling</w:t>
      </w:r>
      <w:bookmarkEnd w:id="70"/>
      <w:r>
        <w:t xml:space="preserve"> </w:t>
      </w:r>
    </w:p>
    <w:p w14:paraId="2F45D52F" w14:textId="77777777" w:rsidR="007F4AAD" w:rsidRDefault="00E75CF4" w:rsidP="00E75CF4">
      <w:r>
        <w:t>Dioxane</w:t>
      </w:r>
      <w:r w:rsidRPr="00AF12F6">
        <w:t xml:space="preserve"> is currently listed in Schedule </w:t>
      </w:r>
      <w:r>
        <w:t>6 of the Poisons Standard</w:t>
      </w:r>
      <w:r w:rsidR="007F4AAD">
        <w:t>.</w:t>
      </w:r>
    </w:p>
    <w:p w14:paraId="6DF9281D" w14:textId="77777777" w:rsidR="007F4AAD" w:rsidRDefault="007F4AAD" w:rsidP="007F4AAD">
      <w:r w:rsidRPr="00286224">
        <w:t xml:space="preserve">The proposed amendments to the </w:t>
      </w:r>
      <w:r w:rsidRPr="00F54B87">
        <w:t>Poisons Standard</w:t>
      </w:r>
      <w:r w:rsidRPr="00286224">
        <w:t xml:space="preserve"> are</w:t>
      </w:r>
      <w:r>
        <w:t>:</w:t>
      </w:r>
      <w:r>
        <w:rPr>
          <w:rStyle w:val="FootnoteReference"/>
        </w:rPr>
        <w:footnoteReference w:id="40"/>
      </w:r>
    </w:p>
    <w:p w14:paraId="5E4392DE" w14:textId="77777777" w:rsidR="00E75CF4" w:rsidRPr="00E75CF4" w:rsidRDefault="00E75CF4" w:rsidP="00AF65C4">
      <w:pPr>
        <w:ind w:left="426"/>
        <w:rPr>
          <w:b/>
          <w:bCs/>
          <w:i/>
        </w:rPr>
      </w:pPr>
      <w:r w:rsidRPr="00E75CF4">
        <w:rPr>
          <w:b/>
          <w:bCs/>
        </w:rPr>
        <w:t>Schedule 6</w:t>
      </w:r>
    </w:p>
    <w:p w14:paraId="61663167" w14:textId="3A965764" w:rsidR="00E75CF4" w:rsidRDefault="00E75CF4" w:rsidP="00AF65C4">
      <w:pPr>
        <w:ind w:left="709"/>
      </w:pPr>
      <w:r>
        <w:t>DIOXANE</w:t>
      </w:r>
    </w:p>
    <w:p w14:paraId="288225B2" w14:textId="77777777" w:rsidR="00E75CF4" w:rsidRPr="00E75CF4" w:rsidRDefault="00E75CF4" w:rsidP="00AF65C4">
      <w:pPr>
        <w:ind w:left="426"/>
        <w:rPr>
          <w:b/>
          <w:bCs/>
          <w:i/>
        </w:rPr>
      </w:pPr>
      <w:r w:rsidRPr="00E75CF4">
        <w:rPr>
          <w:b/>
          <w:bCs/>
        </w:rPr>
        <w:t>Index</w:t>
      </w:r>
    </w:p>
    <w:p w14:paraId="23ECD902" w14:textId="77777777" w:rsidR="00E75CF4" w:rsidRPr="00AF65C4" w:rsidRDefault="00E75CF4" w:rsidP="00AF65C4">
      <w:pPr>
        <w:ind w:left="709"/>
        <w:rPr>
          <w:b/>
          <w:bCs/>
        </w:rPr>
      </w:pPr>
      <w:r w:rsidRPr="00AF65C4">
        <w:rPr>
          <w:b/>
          <w:bCs/>
        </w:rPr>
        <w:t>DIOXANE</w:t>
      </w:r>
    </w:p>
    <w:p w14:paraId="504DF62C" w14:textId="1E209A2A" w:rsidR="00E75CF4" w:rsidRPr="00AF65C4" w:rsidRDefault="00E75CF4" w:rsidP="00AF65C4">
      <w:pPr>
        <w:ind w:left="709"/>
        <w:rPr>
          <w:strike/>
          <w:color w:val="FF0000"/>
        </w:rPr>
      </w:pPr>
      <w:r>
        <w:t>Schedule 6</w:t>
      </w:r>
      <w:r>
        <w:br/>
        <w:t>Appendix E, Part 2</w:t>
      </w:r>
      <w:r>
        <w:br/>
        <w:t>Appendix F, Part 3</w:t>
      </w:r>
      <w:r>
        <w:br/>
      </w:r>
      <w:r w:rsidR="007F4AAD">
        <w:rPr>
          <w:strike/>
          <w:color w:val="FF0000"/>
        </w:rPr>
        <w:t>Appendix G</w:t>
      </w:r>
    </w:p>
    <w:p w14:paraId="782A5697" w14:textId="77777777" w:rsidR="00E75CF4" w:rsidRPr="00D615FD" w:rsidRDefault="00E75CF4" w:rsidP="00AF65C4">
      <w:pPr>
        <w:ind w:left="426"/>
        <w:rPr>
          <w:b/>
          <w:bCs/>
          <w:i/>
        </w:rPr>
      </w:pPr>
      <w:r w:rsidRPr="00D615FD">
        <w:rPr>
          <w:b/>
          <w:bCs/>
        </w:rPr>
        <w:t>Appendix E, Part 2</w:t>
      </w:r>
    </w:p>
    <w:tbl>
      <w:tblPr>
        <w:tblStyle w:val="TableTGAblue"/>
        <w:tblW w:w="0" w:type="auto"/>
        <w:tblInd w:w="699" w:type="dxa"/>
        <w:tblLook w:val="04A0" w:firstRow="1" w:lastRow="0" w:firstColumn="1" w:lastColumn="0" w:noHBand="0" w:noVBand="1"/>
      </w:tblPr>
      <w:tblGrid>
        <w:gridCol w:w="3969"/>
        <w:gridCol w:w="4382"/>
      </w:tblGrid>
      <w:tr w:rsidR="00515D78" w14:paraId="1D417732" w14:textId="77777777" w:rsidTr="00AF65C4">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969" w:type="dxa"/>
          </w:tcPr>
          <w:p w14:paraId="7DA90C0F" w14:textId="25ABCB05" w:rsidR="00515D78" w:rsidRPr="00F04347" w:rsidRDefault="00F04347" w:rsidP="00E75CF4">
            <w:r w:rsidRPr="00F04347">
              <w:t>POISON</w:t>
            </w:r>
          </w:p>
        </w:tc>
        <w:tc>
          <w:tcPr>
            <w:tcW w:w="4382" w:type="dxa"/>
          </w:tcPr>
          <w:p w14:paraId="59409282" w14:textId="6BE118E4" w:rsidR="00515D78" w:rsidRPr="00F04347" w:rsidRDefault="00F04347" w:rsidP="00E75CF4">
            <w:pPr>
              <w:cnfStyle w:val="100000000000" w:firstRow="1" w:lastRow="0" w:firstColumn="0" w:lastColumn="0" w:oddVBand="0" w:evenVBand="0" w:oddHBand="0" w:evenHBand="0" w:firstRowFirstColumn="0" w:firstRowLastColumn="0" w:lastRowFirstColumn="0" w:lastRowLastColumn="0"/>
            </w:pPr>
            <w:r>
              <w:t>STANDARD STATEMENTS</w:t>
            </w:r>
          </w:p>
        </w:tc>
      </w:tr>
      <w:tr w:rsidR="00515D78" w14:paraId="47B9404C" w14:textId="77777777" w:rsidTr="00AF65C4">
        <w:tc>
          <w:tcPr>
            <w:cnfStyle w:val="001000000000" w:firstRow="0" w:lastRow="0" w:firstColumn="1" w:lastColumn="0" w:oddVBand="0" w:evenVBand="0" w:oddHBand="0" w:evenHBand="0" w:firstRowFirstColumn="0" w:firstRowLastColumn="0" w:lastRowFirstColumn="0" w:lastRowLastColumn="0"/>
            <w:tcW w:w="3969" w:type="dxa"/>
          </w:tcPr>
          <w:p w14:paraId="73867734" w14:textId="0AC747CD" w:rsidR="00515D78" w:rsidRPr="00F04347" w:rsidRDefault="00F04347" w:rsidP="00E75CF4">
            <w:r w:rsidRPr="00F04347">
              <w:t>DIOXANE</w:t>
            </w:r>
          </w:p>
        </w:tc>
        <w:tc>
          <w:tcPr>
            <w:tcW w:w="4382" w:type="dxa"/>
          </w:tcPr>
          <w:p w14:paraId="0897EF05" w14:textId="7335D746" w:rsidR="00515D78" w:rsidRDefault="00F04347" w:rsidP="00E75CF4">
            <w:pPr>
              <w:cnfStyle w:val="000000000000" w:firstRow="0" w:lastRow="0" w:firstColumn="0" w:lastColumn="0" w:oddVBand="0" w:evenVBand="0" w:oddHBand="0" w:evenHBand="0" w:firstRowFirstColumn="0" w:firstRowLastColumn="0" w:lastRowFirstColumn="0" w:lastRowLastColumn="0"/>
              <w:rPr>
                <w:i/>
                <w:iCs/>
              </w:rPr>
            </w:pPr>
            <w:proofErr w:type="gramStart"/>
            <w:r>
              <w:rPr>
                <w:szCs w:val="22"/>
                <w:shd w:val="clear" w:color="auto" w:fill="FFFFFF"/>
              </w:rPr>
              <w:t>A,G</w:t>
            </w:r>
            <w:proofErr w:type="gramEnd"/>
            <w:r>
              <w:rPr>
                <w:szCs w:val="22"/>
                <w:shd w:val="clear" w:color="auto" w:fill="FFFFFF"/>
              </w:rPr>
              <w:t>3,E1,R1,S1</w:t>
            </w:r>
          </w:p>
        </w:tc>
      </w:tr>
      <w:tr w:rsidR="00F04347" w14:paraId="67AE22D7" w14:textId="77777777" w:rsidTr="00AF65C4">
        <w:tc>
          <w:tcPr>
            <w:cnfStyle w:val="001000000000" w:firstRow="0" w:lastRow="0" w:firstColumn="1" w:lastColumn="0" w:oddVBand="0" w:evenVBand="0" w:oddHBand="0" w:evenHBand="0" w:firstRowFirstColumn="0" w:firstRowLastColumn="0" w:lastRowFirstColumn="0" w:lastRowLastColumn="0"/>
            <w:tcW w:w="8351" w:type="dxa"/>
            <w:gridSpan w:val="2"/>
          </w:tcPr>
          <w:p w14:paraId="1D12789F" w14:textId="1A245284" w:rsidR="00F04347" w:rsidRDefault="00F04347" w:rsidP="00E75CF4">
            <w:r w:rsidRPr="008B091D">
              <w:rPr>
                <w:b/>
                <w:bCs/>
              </w:rPr>
              <w:t>A</w:t>
            </w:r>
            <w:r>
              <w:t xml:space="preserve"> </w:t>
            </w:r>
            <w:r w:rsidR="009C7565">
              <w:t xml:space="preserve">- </w:t>
            </w:r>
            <w:r>
              <w:t>For advice, contact a Poisons Information Centre (</w:t>
            </w:r>
            <w:proofErr w:type="gramStart"/>
            <w:r>
              <w:t>e.g.</w:t>
            </w:r>
            <w:proofErr w:type="gramEnd"/>
            <w:r>
              <w:t xml:space="preserve"> phone Australia 13 11 26; New Zealand 0800 764 766) or a doctor (at once).</w:t>
            </w:r>
          </w:p>
          <w:p w14:paraId="68C49693" w14:textId="7E7E5D54" w:rsidR="00F04347" w:rsidRDefault="00F04347" w:rsidP="00E75CF4">
            <w:r w:rsidRPr="008B091D">
              <w:rPr>
                <w:b/>
                <w:bCs/>
              </w:rPr>
              <w:t>G3</w:t>
            </w:r>
            <w:r>
              <w:t xml:space="preserve"> </w:t>
            </w:r>
            <w:r w:rsidR="009C7565">
              <w:t xml:space="preserve">- </w:t>
            </w:r>
            <w:r>
              <w:t>If swallowed, do NOT induce vomiting.</w:t>
            </w:r>
          </w:p>
          <w:p w14:paraId="513DAB92" w14:textId="50CF6C61" w:rsidR="00F04347" w:rsidRDefault="00F04347" w:rsidP="00E75CF4">
            <w:r w:rsidRPr="008B091D">
              <w:rPr>
                <w:b/>
                <w:bCs/>
              </w:rPr>
              <w:t>E1</w:t>
            </w:r>
            <w:r>
              <w:t xml:space="preserve"> </w:t>
            </w:r>
            <w:r w:rsidR="009C7565">
              <w:t xml:space="preserve">- </w:t>
            </w:r>
            <w:r>
              <w:t>If in eyes wash out immediately with water.</w:t>
            </w:r>
          </w:p>
          <w:p w14:paraId="6DE8D953" w14:textId="407DB1A9" w:rsidR="00F04347" w:rsidRDefault="00F04347" w:rsidP="00E75CF4">
            <w:r w:rsidRPr="008B091D">
              <w:rPr>
                <w:b/>
                <w:bCs/>
              </w:rPr>
              <w:t>R1</w:t>
            </w:r>
            <w:r>
              <w:t xml:space="preserve"> </w:t>
            </w:r>
            <w:r w:rsidR="009C7565">
              <w:t xml:space="preserve">- </w:t>
            </w:r>
            <w:r>
              <w:t>If inhaled, remove from contaminated area. Apply artificial respiration if not breathing.</w:t>
            </w:r>
          </w:p>
          <w:p w14:paraId="62260581" w14:textId="1F0ACC77" w:rsidR="00F04347" w:rsidRDefault="00F04347" w:rsidP="00E75CF4">
            <w:pPr>
              <w:rPr>
                <w:i/>
                <w:iCs/>
              </w:rPr>
            </w:pPr>
            <w:r w:rsidRPr="008B091D">
              <w:rPr>
                <w:b/>
                <w:bCs/>
              </w:rPr>
              <w:t>S1</w:t>
            </w:r>
            <w:r>
              <w:t xml:space="preserve"> </w:t>
            </w:r>
            <w:r w:rsidR="009C7565">
              <w:t xml:space="preserve">- </w:t>
            </w:r>
            <w:r>
              <w:t>If skin or hair contact occurs, remove contaminated clothing and flush skin and hair with running water.</w:t>
            </w:r>
          </w:p>
        </w:tc>
      </w:tr>
    </w:tbl>
    <w:p w14:paraId="4192A3F1" w14:textId="77777777" w:rsidR="00515D78" w:rsidRDefault="00515D78" w:rsidP="00E75CF4">
      <w:pPr>
        <w:rPr>
          <w:i/>
          <w:iCs/>
        </w:rPr>
      </w:pPr>
    </w:p>
    <w:p w14:paraId="05997483" w14:textId="77777777" w:rsidR="00E75CF4" w:rsidRPr="00D615FD" w:rsidRDefault="00E75CF4" w:rsidP="00AF65C4">
      <w:pPr>
        <w:ind w:left="426"/>
        <w:rPr>
          <w:b/>
          <w:bCs/>
          <w:i/>
        </w:rPr>
      </w:pPr>
      <w:r w:rsidRPr="00D615FD">
        <w:rPr>
          <w:b/>
          <w:bCs/>
        </w:rPr>
        <w:t>Appendix F, Part 3</w:t>
      </w:r>
    </w:p>
    <w:tbl>
      <w:tblPr>
        <w:tblStyle w:val="TableTGAblue"/>
        <w:tblW w:w="0" w:type="auto"/>
        <w:tblInd w:w="699" w:type="dxa"/>
        <w:tblLook w:val="04A0" w:firstRow="1" w:lastRow="0" w:firstColumn="1" w:lastColumn="0" w:noHBand="0" w:noVBand="1"/>
      </w:tblPr>
      <w:tblGrid>
        <w:gridCol w:w="2088"/>
        <w:gridCol w:w="1597"/>
        <w:gridCol w:w="4666"/>
      </w:tblGrid>
      <w:tr w:rsidR="00F04347" w14:paraId="13533098" w14:textId="1577372C" w:rsidTr="00AF65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3" w:type="dxa"/>
          </w:tcPr>
          <w:p w14:paraId="5907979F" w14:textId="3EE5A060" w:rsidR="00F04347" w:rsidRPr="00515D78" w:rsidRDefault="00F04347" w:rsidP="00E75CF4">
            <w:r w:rsidRPr="00515D78">
              <w:t>Substance</w:t>
            </w:r>
          </w:p>
        </w:tc>
        <w:tc>
          <w:tcPr>
            <w:tcW w:w="0" w:type="dxa"/>
          </w:tcPr>
          <w:p w14:paraId="135086E1" w14:textId="2C97C51D" w:rsidR="00F04347" w:rsidRPr="00515D78" w:rsidRDefault="00F04347" w:rsidP="00E75CF4">
            <w:pPr>
              <w:cnfStyle w:val="100000000000" w:firstRow="1" w:lastRow="0" w:firstColumn="0" w:lastColumn="0" w:oddVBand="0" w:evenVBand="0" w:oddHBand="0" w:evenHBand="0" w:firstRowFirstColumn="0" w:firstRowLastColumn="0" w:lastRowFirstColumn="0" w:lastRowLastColumn="0"/>
            </w:pPr>
            <w:r w:rsidRPr="00515D78">
              <w:t>WARNING STATEMENTS</w:t>
            </w:r>
          </w:p>
        </w:tc>
        <w:tc>
          <w:tcPr>
            <w:tcW w:w="0" w:type="dxa"/>
          </w:tcPr>
          <w:p w14:paraId="198C3D9F" w14:textId="4BCF0AB9" w:rsidR="00F04347" w:rsidRPr="00515D78" w:rsidRDefault="00F04347" w:rsidP="00E75CF4">
            <w:pPr>
              <w:cnfStyle w:val="100000000000" w:firstRow="1" w:lastRow="0" w:firstColumn="0" w:lastColumn="0" w:oddVBand="0" w:evenVBand="0" w:oddHBand="0" w:evenHBand="0" w:firstRowFirstColumn="0" w:firstRowLastColumn="0" w:lastRowFirstColumn="0" w:lastRowLastColumn="0"/>
            </w:pPr>
            <w:r>
              <w:t>SAFETY DIRECTION</w:t>
            </w:r>
          </w:p>
        </w:tc>
      </w:tr>
      <w:tr w:rsidR="00F04347" w14:paraId="0596AF04" w14:textId="3424C94D" w:rsidTr="00AF65C4">
        <w:tc>
          <w:tcPr>
            <w:cnfStyle w:val="001000000000" w:firstRow="0" w:lastRow="0" w:firstColumn="1" w:lastColumn="0" w:oddVBand="0" w:evenVBand="0" w:oddHBand="0" w:evenHBand="0" w:firstRowFirstColumn="0" w:firstRowLastColumn="0" w:lastRowFirstColumn="0" w:lastRowLastColumn="0"/>
            <w:tcW w:w="2413" w:type="dxa"/>
          </w:tcPr>
          <w:p w14:paraId="54BA6099" w14:textId="7CDB6940" w:rsidR="00F04347" w:rsidRDefault="00F04347" w:rsidP="00E75CF4">
            <w:pPr>
              <w:rPr>
                <w:i/>
                <w:iCs/>
              </w:rPr>
            </w:pPr>
            <w:r>
              <w:rPr>
                <w:i/>
                <w:iCs/>
              </w:rPr>
              <w:t>DIOXANE</w:t>
            </w:r>
          </w:p>
        </w:tc>
        <w:tc>
          <w:tcPr>
            <w:tcW w:w="0" w:type="dxa"/>
          </w:tcPr>
          <w:p w14:paraId="0D18A5A0" w14:textId="082E2C68" w:rsidR="00F04347" w:rsidRPr="00F04347" w:rsidRDefault="00F04347" w:rsidP="00F04347">
            <w:pPr>
              <w:jc w:val="right"/>
              <w:cnfStyle w:val="000000000000" w:firstRow="0" w:lastRow="0" w:firstColumn="0" w:lastColumn="0" w:oddVBand="0" w:evenVBand="0" w:oddHBand="0" w:evenHBand="0" w:firstRowFirstColumn="0" w:firstRowLastColumn="0" w:lastRowFirstColumn="0" w:lastRowLastColumn="0"/>
            </w:pPr>
          </w:p>
        </w:tc>
        <w:tc>
          <w:tcPr>
            <w:tcW w:w="0" w:type="dxa"/>
          </w:tcPr>
          <w:p w14:paraId="024B6A94" w14:textId="6E6A47A7" w:rsidR="00F04347" w:rsidRPr="00F04347" w:rsidRDefault="00F04347" w:rsidP="00F04347">
            <w:pPr>
              <w:jc w:val="right"/>
              <w:cnfStyle w:val="000000000000" w:firstRow="0" w:lastRow="0" w:firstColumn="0" w:lastColumn="0" w:oddVBand="0" w:evenVBand="0" w:oddHBand="0" w:evenHBand="0" w:firstRowFirstColumn="0" w:firstRowLastColumn="0" w:lastRowFirstColumn="0" w:lastRowLastColumn="0"/>
            </w:pPr>
            <w:r w:rsidRPr="00F04347">
              <w:t>1,4,8</w:t>
            </w:r>
          </w:p>
        </w:tc>
      </w:tr>
      <w:tr w:rsidR="00F04347" w14:paraId="613D4103" w14:textId="22445233" w:rsidTr="00AF65C4">
        <w:tc>
          <w:tcPr>
            <w:cnfStyle w:val="001000000000" w:firstRow="0" w:lastRow="0" w:firstColumn="1" w:lastColumn="0" w:oddVBand="0" w:evenVBand="0" w:oddHBand="0" w:evenHBand="0" w:firstRowFirstColumn="0" w:firstRowLastColumn="0" w:lastRowFirstColumn="0" w:lastRowLastColumn="0"/>
            <w:tcW w:w="8351" w:type="dxa"/>
            <w:gridSpan w:val="3"/>
          </w:tcPr>
          <w:p w14:paraId="592D82EB" w14:textId="66FF36B4" w:rsidR="00F04347" w:rsidRDefault="00F04347" w:rsidP="00E75CF4">
            <w:r w:rsidRPr="008B091D">
              <w:rPr>
                <w:b/>
                <w:bCs/>
              </w:rPr>
              <w:t>1</w:t>
            </w:r>
            <w:r>
              <w:t xml:space="preserve"> </w:t>
            </w:r>
            <w:r w:rsidR="009C7565">
              <w:t xml:space="preserve">- </w:t>
            </w:r>
            <w:r>
              <w:t>Avoid contact with eyes.</w:t>
            </w:r>
          </w:p>
          <w:p w14:paraId="2EB3467F" w14:textId="6AF1C33F" w:rsidR="00F04347" w:rsidRDefault="00F04347" w:rsidP="00E75CF4">
            <w:r w:rsidRPr="008B091D">
              <w:rPr>
                <w:b/>
                <w:bCs/>
              </w:rPr>
              <w:t>4</w:t>
            </w:r>
            <w:r>
              <w:t xml:space="preserve"> </w:t>
            </w:r>
            <w:r w:rsidR="009C7565">
              <w:t xml:space="preserve">- </w:t>
            </w:r>
            <w:r>
              <w:t>Avoid contact with skin.</w:t>
            </w:r>
          </w:p>
          <w:p w14:paraId="3212209F" w14:textId="102E0279" w:rsidR="00F04347" w:rsidRPr="00F04347" w:rsidRDefault="00F04347" w:rsidP="00E75CF4">
            <w:r w:rsidRPr="008B091D">
              <w:rPr>
                <w:b/>
                <w:bCs/>
              </w:rPr>
              <w:t>8</w:t>
            </w:r>
            <w:r>
              <w:t xml:space="preserve"> </w:t>
            </w:r>
            <w:r w:rsidR="009C7565">
              <w:t xml:space="preserve">- </w:t>
            </w:r>
            <w:r>
              <w:t>Avoid breathing dust (or) vapour (or) spray mist</w:t>
            </w:r>
            <w:r w:rsidR="009C7565">
              <w:t>.</w:t>
            </w:r>
          </w:p>
        </w:tc>
      </w:tr>
    </w:tbl>
    <w:p w14:paraId="34CA0A02" w14:textId="176C0B65" w:rsidR="00515D78" w:rsidRDefault="00515D78" w:rsidP="00E75CF4">
      <w:pPr>
        <w:rPr>
          <w:i/>
          <w:iCs/>
        </w:rPr>
      </w:pPr>
    </w:p>
    <w:p w14:paraId="73D079D1" w14:textId="576C0422" w:rsidR="00F04347" w:rsidRPr="00D615FD" w:rsidRDefault="00F04347" w:rsidP="00520E48">
      <w:pPr>
        <w:keepNext/>
        <w:ind w:left="425"/>
        <w:rPr>
          <w:b/>
          <w:bCs/>
          <w:i/>
        </w:rPr>
      </w:pPr>
      <w:r w:rsidRPr="00D615FD">
        <w:rPr>
          <w:b/>
          <w:bCs/>
        </w:rPr>
        <w:t xml:space="preserve">Appendix </w:t>
      </w:r>
      <w:r>
        <w:rPr>
          <w:b/>
          <w:bCs/>
        </w:rPr>
        <w:t>G</w:t>
      </w:r>
    </w:p>
    <w:tbl>
      <w:tblPr>
        <w:tblStyle w:val="TableTGAblue"/>
        <w:tblW w:w="8363" w:type="dxa"/>
        <w:tblInd w:w="699" w:type="dxa"/>
        <w:tblLook w:val="04A0" w:firstRow="1" w:lastRow="0" w:firstColumn="1" w:lastColumn="0" w:noHBand="0" w:noVBand="1"/>
      </w:tblPr>
      <w:tblGrid>
        <w:gridCol w:w="3826"/>
        <w:gridCol w:w="4537"/>
      </w:tblGrid>
      <w:tr w:rsidR="00F04347" w14:paraId="47897A17" w14:textId="77777777" w:rsidTr="00AF65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6" w:type="dxa"/>
          </w:tcPr>
          <w:p w14:paraId="527262CE" w14:textId="3FC5FB22" w:rsidR="00F04347" w:rsidRPr="00F04347" w:rsidRDefault="00F04347" w:rsidP="00356EBD">
            <w:r>
              <w:t>POISON</w:t>
            </w:r>
          </w:p>
        </w:tc>
        <w:tc>
          <w:tcPr>
            <w:tcW w:w="4537" w:type="dxa"/>
          </w:tcPr>
          <w:p w14:paraId="09456D94" w14:textId="7249CFD0" w:rsidR="00F04347" w:rsidRPr="00F04347" w:rsidRDefault="00F04347" w:rsidP="00356EBD">
            <w:pPr>
              <w:cnfStyle w:val="100000000000" w:firstRow="1" w:lastRow="0" w:firstColumn="0" w:lastColumn="0" w:oddVBand="0" w:evenVBand="0" w:oddHBand="0" w:evenHBand="0" w:firstRowFirstColumn="0" w:firstRowLastColumn="0" w:lastRowFirstColumn="0" w:lastRowLastColumn="0"/>
            </w:pPr>
            <w:r>
              <w:t>CONCENTRATION (QUANTITY PER LITRE OR KILOGRAM)</w:t>
            </w:r>
          </w:p>
        </w:tc>
      </w:tr>
      <w:tr w:rsidR="007F4AAD" w14:paraId="45DE6E68" w14:textId="77777777" w:rsidTr="00AF65C4">
        <w:tc>
          <w:tcPr>
            <w:cnfStyle w:val="001000000000" w:firstRow="0" w:lastRow="0" w:firstColumn="1" w:lastColumn="0" w:oddVBand="0" w:evenVBand="0" w:oddHBand="0" w:evenHBand="0" w:firstRowFirstColumn="0" w:firstRowLastColumn="0" w:lastRowFirstColumn="0" w:lastRowLastColumn="0"/>
            <w:tcW w:w="3826" w:type="dxa"/>
          </w:tcPr>
          <w:p w14:paraId="001DAE75" w14:textId="63C71200" w:rsidR="007F4AAD" w:rsidRPr="00F04347" w:rsidRDefault="007F4AAD" w:rsidP="007F4AAD">
            <w:r w:rsidRPr="005C4E6B">
              <w:rPr>
                <w:strike/>
                <w:color w:val="FF0000"/>
              </w:rPr>
              <w:t>DIOXANE</w:t>
            </w:r>
          </w:p>
        </w:tc>
        <w:tc>
          <w:tcPr>
            <w:tcW w:w="4537" w:type="dxa"/>
          </w:tcPr>
          <w:p w14:paraId="0DBA79C7" w14:textId="670A748C" w:rsidR="007F4AAD" w:rsidRDefault="007F4AAD" w:rsidP="007F4AAD">
            <w:pPr>
              <w:cnfStyle w:val="000000000000" w:firstRow="0" w:lastRow="0" w:firstColumn="0" w:lastColumn="0" w:oddVBand="0" w:evenVBand="0" w:oddHBand="0" w:evenHBand="0" w:firstRowFirstColumn="0" w:firstRowLastColumn="0" w:lastRowFirstColumn="0" w:lastRowLastColumn="0"/>
              <w:rPr>
                <w:i/>
                <w:iCs/>
              </w:rPr>
            </w:pPr>
            <w:r w:rsidRPr="005C4E6B">
              <w:rPr>
                <w:strike/>
                <w:color w:val="FF0000"/>
                <w:szCs w:val="22"/>
                <w:shd w:val="clear" w:color="auto" w:fill="FFFFFF"/>
              </w:rPr>
              <w:t>100 mg</w:t>
            </w:r>
          </w:p>
        </w:tc>
      </w:tr>
    </w:tbl>
    <w:p w14:paraId="7A28CEC1" w14:textId="04F13167" w:rsidR="00E75CF4" w:rsidRDefault="00E75CF4" w:rsidP="00E75CF4">
      <w:pPr>
        <w:pStyle w:val="Heading4"/>
      </w:pPr>
      <w:bookmarkStart w:id="71" w:name="_Toc122676218"/>
      <w:r>
        <w:t>Key uses / expected use</w:t>
      </w:r>
      <w:bookmarkEnd w:id="71"/>
    </w:p>
    <w:p w14:paraId="3400E721" w14:textId="48FCC24E" w:rsidR="00743E52" w:rsidRPr="00A0115B" w:rsidRDefault="00743E52" w:rsidP="00AF65C4">
      <w:r>
        <w:t xml:space="preserve">Industrial, commercial, </w:t>
      </w:r>
      <w:proofErr w:type="gramStart"/>
      <w:r>
        <w:t>household</w:t>
      </w:r>
      <w:proofErr w:type="gramEnd"/>
      <w:r>
        <w:t xml:space="preserve"> and cosmetic products.</w:t>
      </w:r>
    </w:p>
    <w:p w14:paraId="6EFFA939" w14:textId="47BC43C3" w:rsidR="00E75CF4" w:rsidRDefault="00E75CF4" w:rsidP="00E75CF4">
      <w:pPr>
        <w:pStyle w:val="Heading4"/>
      </w:pPr>
      <w:bookmarkStart w:id="72" w:name="_Toc122676219"/>
      <w:r>
        <w:t>Background</w:t>
      </w:r>
      <w:bookmarkEnd w:id="72"/>
    </w:p>
    <w:p w14:paraId="0D116AED" w14:textId="17633844" w:rsidR="009C7565" w:rsidRDefault="009C7565" w:rsidP="009C7565">
      <w:r>
        <w:t xml:space="preserve">Dioxane is a heterocyclic organic compound, also known as diethylene ether. Although there are 1,2- and 1,3- variants, the term dioxane is most often used to refer to 1,4-dioxane. </w:t>
      </w:r>
      <w:r w:rsidR="00BE19D5">
        <w:t>Dioxane was first included in Schedule 6 of the Poisons Standard by the Poisons Advisory Panel in April 1963.</w:t>
      </w:r>
      <w:r w:rsidR="00FB500B">
        <w:t xml:space="preserve"> </w:t>
      </w:r>
      <w:r>
        <w:t>The substance was previously used mainly as a stabiliser for 1,1,1-trichloroethane in storage and transport, however this use was phased out in the late 1990s due to that substance’s status as a potent greenhouse gas. Dioxane is miscible in water and still persists at measurable levels in the current environment.</w:t>
      </w:r>
    </w:p>
    <w:p w14:paraId="50CF38F0" w14:textId="71AE11FD" w:rsidR="00D615FD" w:rsidRDefault="002A684B" w:rsidP="00D615FD">
      <w:r>
        <w:t xml:space="preserve">Dioxane is classified as carcinogenic by all routes of exposure, with animal studies showing increased incidence of tumours in a number of organ systems of exposed subjects. </w:t>
      </w:r>
      <w:r w:rsidR="00D615FD">
        <w:t>In November 1990, the Drugs and Poisons Schedule Committee (DPSC) noted that while dioxane was classified as a Category 2B carcinogen, there was no concentration cut-off associated with existing Schedule 6 entry, and therefore use of dioxane as a stabilising agent for 1,1,1-trichlorethane was also captured under this entry. After discussing the low probability of sufficient exposure to dioxane to warrant concerns of carcinogenicity based on levels typically found in commercially available products, the DPSC considered that the carcinogenic risk was minimal in this case.</w:t>
      </w:r>
    </w:p>
    <w:p w14:paraId="1EA339A8" w14:textId="79E1DA9A" w:rsidR="00D615FD" w:rsidRDefault="00D615FD" w:rsidP="00D615FD">
      <w:r>
        <w:t>In November 1998, the National Drugs and Poisons Scheduling Committee (NPDSC) considered a report on dioxane from the National Industrial Chemicals Notification and Assessment Scheme (NICNAS</w:t>
      </w:r>
      <w:r w:rsidR="002A684B">
        <w:t>, now AICIS</w:t>
      </w:r>
      <w:r>
        <w:t>). The NDPSC noted that the report concluded that the current scheduling of dioxane was appropriate, however that public exposure and risk estimates were based on an upper limit of 30 ppm of dioxane as a contaminant in consumer products. It was concluded by the NDPSC that 100 ppm of dioxane in consumer products was toxicologically acceptable, and as the presence of dioxane in consumer products was not considered to pose a significant health risk to the general public, a new entry for dioxane was created in Appendix G to exclude preparations containing less than 100 ppm (or 100 mg/kg) of dioxane from the requirements of the Poisons Standard.</w:t>
      </w:r>
    </w:p>
    <w:p w14:paraId="1D902267" w14:textId="016D1C02" w:rsidR="00E75CF4" w:rsidRDefault="00E75CF4" w:rsidP="00E75CF4">
      <w:pPr>
        <w:pStyle w:val="Heading4"/>
      </w:pPr>
      <w:bookmarkStart w:id="73" w:name="_Toc122676220"/>
      <w:r w:rsidRPr="00936C36">
        <w:t>Summary of reasons for the proposal</w:t>
      </w:r>
      <w:bookmarkEnd w:id="73"/>
    </w:p>
    <w:p w14:paraId="6F9FA27D" w14:textId="77777777" w:rsidR="00E75CF4" w:rsidRDefault="00E75CF4" w:rsidP="00E75CF4">
      <w:pPr>
        <w:pStyle w:val="ListBullet"/>
      </w:pPr>
      <w:r>
        <w:t xml:space="preserve">Dioxane has a number of industrial </w:t>
      </w:r>
      <w:proofErr w:type="gramStart"/>
      <w:r>
        <w:t>uses</w:t>
      </w:r>
      <w:proofErr w:type="gramEnd"/>
      <w:r>
        <w:t xml:space="preserve"> but the primary health concern is the substance’s formation as a contaminant in industrial synthesis, particularly in the manufacture of ethoxylate surfactants. This is pertinent to cosmetics and domestic products, including shampoos, conditioners, shower gels and skin moisturisers, which have been reported to contain up to 200 mg/kg of dioxane. Other products which may contain dioxane as a residual contaminant include air fresheners, paints and varnishes, inks, polyurethane foams, </w:t>
      </w:r>
      <w:proofErr w:type="gramStart"/>
      <w:r>
        <w:t>dyes</w:t>
      </w:r>
      <w:proofErr w:type="gramEnd"/>
      <w:r>
        <w:t xml:space="preserve"> and adhesives.</w:t>
      </w:r>
    </w:p>
    <w:p w14:paraId="5A299AC8" w14:textId="77777777" w:rsidR="00E75CF4" w:rsidRDefault="00E75CF4" w:rsidP="00E75CF4">
      <w:pPr>
        <w:pStyle w:val="ListBullet"/>
      </w:pPr>
      <w:r>
        <w:lastRenderedPageBreak/>
        <w:t xml:space="preserve">There is sufficient evidence in animal studies to warrant a Category 1B carcinogen classification for dioxane, which is consistent with assessments by regulators in the USA, European </w:t>
      </w:r>
      <w:proofErr w:type="gramStart"/>
      <w:r>
        <w:t>Union</w:t>
      </w:r>
      <w:proofErr w:type="gramEnd"/>
      <w:r>
        <w:t xml:space="preserve"> and United Kingdom. Carcinogenicity studies in humans have been limited in scope and number. The evidence for genotoxicity is less robust, and only supported for high doses.</w:t>
      </w:r>
    </w:p>
    <w:p w14:paraId="4E07D26D" w14:textId="629FE416" w:rsidR="00E75CF4" w:rsidRDefault="00E75CF4" w:rsidP="00E75CF4">
      <w:pPr>
        <w:pStyle w:val="ListBullet"/>
      </w:pPr>
      <w:r>
        <w:t xml:space="preserve">In 2015, the </w:t>
      </w:r>
      <w:hyperlink r:id="rId61" w:history="1">
        <w:r w:rsidRPr="00EC6486">
          <w:rPr>
            <w:rStyle w:val="Hyperlink"/>
          </w:rPr>
          <w:t>European Scientific Committee on Consumer Safety</w:t>
        </w:r>
      </w:hyperlink>
      <w:r>
        <w:t xml:space="preserve"> concluded that a trace level of 10</w:t>
      </w:r>
      <w:r w:rsidR="00743E52">
        <w:t xml:space="preserve"> </w:t>
      </w:r>
      <w:r>
        <w:t>ppm (equivalent to 10 mg/kg) of dioxane in cosmetic products was considered safe.</w:t>
      </w:r>
      <w:r>
        <w:rPr>
          <w:rStyle w:val="FootnoteReference"/>
        </w:rPr>
        <w:footnoteReference w:id="41"/>
      </w:r>
      <w:r>
        <w:t xml:space="preserve"> Further, dioxane is listed in Regulation </w:t>
      </w:r>
      <w:hyperlink r:id="rId62" w:history="1">
        <w:r w:rsidRPr="00AD1F69">
          <w:rPr>
            <w:rStyle w:val="Hyperlink"/>
          </w:rPr>
          <w:t>(EC) No 1223/2009</w:t>
        </w:r>
      </w:hyperlink>
      <w:r>
        <w:t>, Annex II which prohibits the use of the substance in cosmetic products.</w:t>
      </w:r>
      <w:r>
        <w:rPr>
          <w:rStyle w:val="FootnoteReference"/>
        </w:rPr>
        <w:footnoteReference w:id="42"/>
      </w:r>
      <w:r>
        <w:t xml:space="preserve"> </w:t>
      </w:r>
    </w:p>
    <w:p w14:paraId="51D83CC1" w14:textId="688C51C2" w:rsidR="00E75CF4" w:rsidRPr="00E75CF4" w:rsidRDefault="00E75CF4" w:rsidP="00E75CF4">
      <w:pPr>
        <w:pStyle w:val="ListBullet"/>
      </w:pPr>
      <w:r>
        <w:t xml:space="preserve">The state of New York, USA recently instituted a </w:t>
      </w:r>
      <w:proofErr w:type="gramStart"/>
      <w:r>
        <w:t>10</w:t>
      </w:r>
      <w:r w:rsidR="002A684B">
        <w:t xml:space="preserve"> </w:t>
      </w:r>
      <w:r>
        <w:t>ppm</w:t>
      </w:r>
      <w:proofErr w:type="gramEnd"/>
      <w:r>
        <w:t xml:space="preserve"> limit on dioxane in cosmetic products, which will come into effect on 31 December 2022.</w:t>
      </w:r>
    </w:p>
    <w:p w14:paraId="3FF348FD" w14:textId="08CABA51" w:rsidR="00E75CF4" w:rsidRDefault="00E75CF4" w:rsidP="00E75CF4">
      <w:pPr>
        <w:pStyle w:val="Heading4"/>
      </w:pPr>
      <w:bookmarkStart w:id="74" w:name="_Toc122676221"/>
      <w:r w:rsidRPr="00DC5AE0">
        <w:t xml:space="preserve">Australian </w:t>
      </w:r>
      <w:r>
        <w:t>regulations</w:t>
      </w:r>
      <w:bookmarkEnd w:id="74"/>
    </w:p>
    <w:p w14:paraId="7A6EC37C" w14:textId="77777777" w:rsidR="00D615FD" w:rsidRDefault="00D615FD" w:rsidP="00D615FD">
      <w:pPr>
        <w:pStyle w:val="ListBullet"/>
      </w:pPr>
      <w:r>
        <w:t xml:space="preserve">According to the </w:t>
      </w:r>
      <w:hyperlink r:id="rId63"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43"/>
      </w:r>
      <w:r>
        <w:t xml:space="preserve"> dioxane is:</w:t>
      </w:r>
    </w:p>
    <w:p w14:paraId="064E674F" w14:textId="77777777" w:rsidR="00D615FD" w:rsidRDefault="00D615FD" w:rsidP="00D615FD">
      <w:pPr>
        <w:pStyle w:val="ListBullet2"/>
      </w:pPr>
      <w:r>
        <w:t>Available for use as an Active Ingredient in Biologicals and Prescription Medicines;</w:t>
      </w:r>
    </w:p>
    <w:p w14:paraId="08DDED89" w14:textId="77777777" w:rsidR="00D615FD" w:rsidRDefault="00D615FD" w:rsidP="00D615FD">
      <w:pPr>
        <w:pStyle w:val="ListBullet2"/>
      </w:pPr>
      <w:r>
        <w:t>Available for use as an Excipient Ingredient in Biologicals, Devices, Export Only and Prescription Medicines;</w:t>
      </w:r>
    </w:p>
    <w:p w14:paraId="44EE5E36" w14:textId="77777777" w:rsidR="00D615FD" w:rsidRPr="00DA288C" w:rsidRDefault="00D615FD" w:rsidP="00D615FD">
      <w:pPr>
        <w:pStyle w:val="ListBullet2"/>
      </w:pPr>
      <w:r>
        <w:t>Available for use as an Equivalent Ingredient in Export Only and Listed Medicines.</w:t>
      </w:r>
    </w:p>
    <w:p w14:paraId="07A1155D" w14:textId="77777777" w:rsidR="00D615FD" w:rsidRDefault="00D615FD" w:rsidP="00D615FD">
      <w:pPr>
        <w:pStyle w:val="ListBullet"/>
      </w:pPr>
      <w:r>
        <w:t xml:space="preserve">As of </w:t>
      </w:r>
      <w:r w:rsidRPr="00DA288C">
        <w:t>December 20</w:t>
      </w:r>
      <w:r>
        <w:t>22, t</w:t>
      </w:r>
      <w:r w:rsidRPr="00881DFE">
        <w:t xml:space="preserve">here </w:t>
      </w:r>
      <w:r>
        <w:t>was</w:t>
      </w:r>
      <w:r w:rsidRPr="00881DFE">
        <w:t xml:space="preserve"> </w:t>
      </w:r>
      <w:r>
        <w:t xml:space="preserve">one product </w:t>
      </w:r>
      <w:r w:rsidRPr="00881DFE">
        <w:t xml:space="preserve">currently active on the </w:t>
      </w:r>
      <w:hyperlink r:id="rId64" w:history="1">
        <w:r w:rsidRPr="00293CCA">
          <w:rPr>
            <w:rStyle w:val="Hyperlink"/>
          </w:rPr>
          <w:t>Australian Register of Therapeutic Goods (ARTG)</w:t>
        </w:r>
      </w:hyperlink>
      <w:r>
        <w:rPr>
          <w:rStyle w:val="FootnoteReference"/>
        </w:rPr>
        <w:footnoteReference w:id="44"/>
      </w:r>
      <w:r>
        <w:t xml:space="preserve"> that contains</w:t>
      </w:r>
      <w:r w:rsidRPr="00881DFE">
        <w:t xml:space="preserve"> </w:t>
      </w:r>
      <w:r>
        <w:t>dioxane as an excipient in a disinfectant spray.</w:t>
      </w:r>
    </w:p>
    <w:p w14:paraId="49BD38CC" w14:textId="77777777" w:rsidR="00D615FD" w:rsidRDefault="00D615FD" w:rsidP="00D615FD">
      <w:pPr>
        <w:pStyle w:val="ListBullet"/>
      </w:pPr>
      <w:r>
        <w:t>Dioxane</w:t>
      </w:r>
      <w:r w:rsidRPr="009C55D5">
        <w:t xml:space="preserve"> is not permitted to be included in listed medicines </w:t>
      </w:r>
      <w:r>
        <w:t xml:space="preserve">as it is not included in the </w:t>
      </w:r>
      <w:hyperlink r:id="rId65" w:history="1">
        <w:r w:rsidRPr="00824CAC">
          <w:rPr>
            <w:rStyle w:val="Hyperlink"/>
          </w:rPr>
          <w:t>Therapeutic Goods (Permissible Ingredients) Determination</w:t>
        </w:r>
      </w:hyperlink>
      <w:r>
        <w:rPr>
          <w:rStyle w:val="FootnoteReference"/>
        </w:rPr>
        <w:footnoteReference w:id="45"/>
      </w:r>
      <w:r w:rsidRPr="009C55D5">
        <w:t xml:space="preserve"> No.</w:t>
      </w:r>
      <w:r>
        <w:t>5</w:t>
      </w:r>
      <w:r w:rsidRPr="009C55D5">
        <w:t xml:space="preserve"> of 20</w:t>
      </w:r>
      <w:r>
        <w:t>22</w:t>
      </w:r>
      <w:r w:rsidRPr="009C55D5">
        <w:t xml:space="preserve">. </w:t>
      </w:r>
    </w:p>
    <w:p w14:paraId="7B38C3CC" w14:textId="77777777" w:rsidR="00D615FD" w:rsidRDefault="00D615FD" w:rsidP="00D615FD">
      <w:pPr>
        <w:pStyle w:val="ListBullet"/>
        <w:keepNext/>
        <w:keepLines/>
      </w:pPr>
      <w:r>
        <w:t xml:space="preserve">Dioxane is not included in the </w:t>
      </w:r>
      <w:hyperlink r:id="rId66" w:history="1">
        <w:r w:rsidRPr="00C81411">
          <w:rPr>
            <w:rStyle w:val="Hyperlink"/>
          </w:rPr>
          <w:t xml:space="preserve">TGA </w:t>
        </w:r>
        <w:r>
          <w:rPr>
            <w:rStyle w:val="Hyperlink"/>
          </w:rPr>
          <w:t>p</w:t>
        </w:r>
        <w:r w:rsidRPr="00C81411">
          <w:rPr>
            <w:rStyle w:val="Hyperlink"/>
          </w:rPr>
          <w:t>rescribing medicines in pregnancy database</w:t>
        </w:r>
      </w:hyperlink>
      <w:r>
        <w:rPr>
          <w:rStyle w:val="Hyperlink"/>
        </w:rPr>
        <w:t>.</w:t>
      </w:r>
      <w:r>
        <w:rPr>
          <w:rStyle w:val="FootnoteReference"/>
        </w:rPr>
        <w:footnoteReference w:id="46"/>
      </w:r>
    </w:p>
    <w:p w14:paraId="4BBC5335" w14:textId="0AA6EECA" w:rsidR="00D615FD" w:rsidRDefault="00D615FD" w:rsidP="00D615FD">
      <w:pPr>
        <w:pStyle w:val="ListBullet"/>
      </w:pPr>
      <w:r>
        <w:t xml:space="preserve">There are no </w:t>
      </w:r>
      <w:r w:rsidRPr="00A30084">
        <w:t xml:space="preserve">warning statements pertaining </w:t>
      </w:r>
      <w:r>
        <w:t xml:space="preserve">to dioxane in the </w:t>
      </w:r>
      <w:hyperlink r:id="rId67" w:history="1">
        <w:r w:rsidRPr="002A13F8">
          <w:rPr>
            <w:rStyle w:val="Hyperlink"/>
          </w:rPr>
          <w:t>Therapeutic Goods (Medicines Advisory Statements) Specification 20</w:t>
        </w:r>
        <w:r w:rsidR="002A13F8" w:rsidRPr="002A13F8">
          <w:rPr>
            <w:rStyle w:val="Hyperlink"/>
          </w:rPr>
          <w:t>21</w:t>
        </w:r>
      </w:hyperlink>
      <w:r w:rsidRPr="004A4CEB">
        <w:rPr>
          <w:rStyle w:val="Hyperlink"/>
        </w:rPr>
        <w:t>.</w:t>
      </w:r>
      <w:r>
        <w:rPr>
          <w:rStyle w:val="FootnoteReference"/>
        </w:rPr>
        <w:footnoteReference w:id="47"/>
      </w:r>
    </w:p>
    <w:p w14:paraId="12D0F9E3" w14:textId="77777777" w:rsidR="00D615FD" w:rsidRPr="004A4CEB" w:rsidRDefault="00D615FD" w:rsidP="00D615FD">
      <w:pPr>
        <w:pStyle w:val="ListBullet"/>
      </w:pPr>
      <w:r w:rsidRPr="004A4CEB">
        <w:t xml:space="preserve">As of December 2022, there were no reports of adverse events for products containing dioxane as an active ingredient on the </w:t>
      </w:r>
      <w:hyperlink r:id="rId68" w:history="1">
        <w:r w:rsidRPr="004A4CEB">
          <w:rPr>
            <w:rStyle w:val="Hyperlink"/>
          </w:rPr>
          <w:t>Database of Adverse Event Notifications (DAEN)</w:t>
        </w:r>
      </w:hyperlink>
      <w:r w:rsidRPr="002C141B">
        <w:rPr>
          <w:rStyle w:val="Hyperlink"/>
        </w:rPr>
        <w:t>.</w:t>
      </w:r>
      <w:r w:rsidRPr="004A4CEB">
        <w:rPr>
          <w:rStyle w:val="FootnoteReference"/>
        </w:rPr>
        <w:footnoteReference w:id="48"/>
      </w:r>
    </w:p>
    <w:p w14:paraId="760F46F0" w14:textId="77777777" w:rsidR="00D615FD" w:rsidRDefault="00D615FD" w:rsidP="00D615FD">
      <w:pPr>
        <w:pStyle w:val="ListBullet"/>
      </w:pPr>
      <w:r w:rsidRPr="004A4CEB">
        <w:lastRenderedPageBreak/>
        <w:t>As of December 2022, there were no products containing dioxane as an active</w:t>
      </w:r>
      <w:r>
        <w:t xml:space="preserve"> ingredient/constituent or scheduled substance </w:t>
      </w:r>
      <w:r w:rsidRPr="00F0449C">
        <w:t xml:space="preserve">listed on the </w:t>
      </w:r>
      <w:hyperlink r:id="rId69" w:history="1">
        <w:r w:rsidRPr="00F0449C">
          <w:rPr>
            <w:rStyle w:val="Hyperlink"/>
          </w:rPr>
          <w:t>Public Chemical Registration Information System Search (</w:t>
        </w:r>
        <w:proofErr w:type="spellStart"/>
        <w:r w:rsidRPr="00F0449C">
          <w:rPr>
            <w:rStyle w:val="Hyperlink"/>
          </w:rPr>
          <w:t>P</w:t>
        </w:r>
        <w:r>
          <w:rPr>
            <w:rStyle w:val="Hyperlink"/>
          </w:rPr>
          <w:t>ub</w:t>
        </w:r>
        <w:r w:rsidRPr="00F0449C">
          <w:rPr>
            <w:rStyle w:val="Hyperlink"/>
          </w:rPr>
          <w:t>CRIS</w:t>
        </w:r>
        <w:proofErr w:type="spellEnd"/>
        <w:r w:rsidRPr="00F0449C">
          <w:rPr>
            <w:rStyle w:val="Hyperlink"/>
          </w:rPr>
          <w:t>)</w:t>
        </w:r>
      </w:hyperlink>
      <w:r w:rsidRPr="00F0449C">
        <w:t>.</w:t>
      </w:r>
      <w:r>
        <w:rPr>
          <w:rStyle w:val="FootnoteReference"/>
        </w:rPr>
        <w:footnoteReference w:id="49"/>
      </w:r>
      <w:r>
        <w:t xml:space="preserve"> </w:t>
      </w:r>
    </w:p>
    <w:p w14:paraId="6FF58539" w14:textId="77777777" w:rsidR="00E75CF4" w:rsidRDefault="00E75CF4" w:rsidP="00E75CF4">
      <w:pPr>
        <w:pStyle w:val="Heading4"/>
      </w:pPr>
      <w:bookmarkStart w:id="75" w:name="_Toc122676222"/>
      <w:r>
        <w:t>International regulations</w:t>
      </w:r>
      <w:bookmarkEnd w:id="75"/>
    </w:p>
    <w:p w14:paraId="2B2C6381" w14:textId="77777777" w:rsidR="00D615FD" w:rsidRPr="00766DD4" w:rsidRDefault="00D615FD" w:rsidP="00D615FD">
      <w:pPr>
        <w:pStyle w:val="ListBullet"/>
      </w:pPr>
      <w:r>
        <w:t xml:space="preserve">The </w:t>
      </w:r>
      <w:hyperlink r:id="rId70" w:history="1">
        <w:r w:rsidRPr="00852C4F">
          <w:rPr>
            <w:rStyle w:val="Hyperlink"/>
          </w:rPr>
          <w:t>New Zealand Inventory of Chemicals</w:t>
        </w:r>
      </w:hyperlink>
      <w:r w:rsidRPr="00417519">
        <w:rPr>
          <w:rStyle w:val="FootnoteReference"/>
        </w:rPr>
        <w:footnoteReference w:id="50"/>
      </w:r>
      <w:r>
        <w:t xml:space="preserve"> (</w:t>
      </w:r>
      <w:proofErr w:type="spellStart"/>
      <w:r>
        <w:t>NZIoC</w:t>
      </w:r>
      <w:proofErr w:type="spellEnd"/>
      <w:r>
        <w:t>) lists 1,4-dioxane as “approved with controls”.</w:t>
      </w:r>
    </w:p>
    <w:p w14:paraId="60F207E1" w14:textId="77777777" w:rsidR="00D615FD" w:rsidRDefault="004A5464" w:rsidP="00D615FD">
      <w:pPr>
        <w:pStyle w:val="ListBullet"/>
      </w:pPr>
      <w:hyperlink r:id="rId71" w:history="1">
        <w:r w:rsidR="00D615FD" w:rsidRPr="00852C4F">
          <w:rPr>
            <w:rStyle w:val="Hyperlink"/>
          </w:rPr>
          <w:t>EC Regulation 1223/2009</w:t>
        </w:r>
      </w:hyperlink>
      <w:r w:rsidR="00D615FD">
        <w:rPr>
          <w:rStyle w:val="FootnoteReference"/>
        </w:rPr>
        <w:footnoteReference w:id="51"/>
      </w:r>
      <w:r w:rsidR="00D615FD">
        <w:t xml:space="preserve"> prohibits the use of dioxane in cosmetic products in the European Union, based on its status as a Category 2 carcinogen.</w:t>
      </w:r>
    </w:p>
    <w:p w14:paraId="40252F89" w14:textId="77777777" w:rsidR="00D615FD" w:rsidRDefault="00D615FD" w:rsidP="00D615FD">
      <w:pPr>
        <w:pStyle w:val="ListBullet"/>
      </w:pPr>
      <w:r>
        <w:t xml:space="preserve">The </w:t>
      </w:r>
      <w:hyperlink r:id="rId72" w:history="1">
        <w:r w:rsidRPr="00852C4F">
          <w:rPr>
            <w:rStyle w:val="Hyperlink"/>
          </w:rPr>
          <w:t>European Chemicals Agency</w:t>
        </w:r>
      </w:hyperlink>
      <w:r>
        <w:rPr>
          <w:rStyle w:val="FootnoteReference"/>
        </w:rPr>
        <w:footnoteReference w:id="52"/>
      </w:r>
      <w:r>
        <w:t xml:space="preserve"> lists dioxane as carcinogenic and under assessment as persistent, </w:t>
      </w:r>
      <w:proofErr w:type="spellStart"/>
      <w:r>
        <w:t>bioaccumulative</w:t>
      </w:r>
      <w:proofErr w:type="spellEnd"/>
      <w:r>
        <w:t xml:space="preserve"> and toxic.</w:t>
      </w:r>
    </w:p>
    <w:p w14:paraId="69C1C517" w14:textId="51B7AB1B" w:rsidR="00F86D6F" w:rsidRPr="00520E48" w:rsidRDefault="00D615FD" w:rsidP="00F86D6F">
      <w:pPr>
        <w:pStyle w:val="ListBullet"/>
        <w:rPr>
          <w:color w:val="0000FF"/>
          <w:u w:val="single"/>
        </w:rPr>
      </w:pPr>
      <w:r>
        <w:t xml:space="preserve">The United States Environmental Protection Agency’s </w:t>
      </w:r>
      <w:hyperlink r:id="rId73" w:history="1">
        <w:r w:rsidRPr="00852C4F">
          <w:rPr>
            <w:rStyle w:val="Hyperlink"/>
          </w:rPr>
          <w:t>Final Risk Evaluation on dioxane</w:t>
        </w:r>
      </w:hyperlink>
      <w:r>
        <w:t>,</w:t>
      </w:r>
      <w:r>
        <w:rPr>
          <w:rStyle w:val="FootnoteReference"/>
        </w:rPr>
        <w:footnoteReference w:id="53"/>
      </w:r>
      <w:r>
        <w:t xml:space="preserve"> completed in December 2020, found no unreasonable risks to the environment, consumers or bystanders, workers or the general population from any conditions of use of dioxane.</w:t>
      </w:r>
    </w:p>
    <w:p w14:paraId="0E2C07A6" w14:textId="4A2E20CE" w:rsidR="00520E48" w:rsidRDefault="00520E48" w:rsidP="00520E48">
      <w:pPr>
        <w:pStyle w:val="ListBullet"/>
        <w:numPr>
          <w:ilvl w:val="0"/>
          <w:numId w:val="0"/>
        </w:numPr>
        <w:ind w:left="360" w:hanging="360"/>
      </w:pPr>
    </w:p>
    <w:p w14:paraId="66AD4CD6" w14:textId="3F6262A3" w:rsidR="00520E48" w:rsidRDefault="00520E48" w:rsidP="00520E48">
      <w:pPr>
        <w:pStyle w:val="ListBullet"/>
        <w:numPr>
          <w:ilvl w:val="0"/>
          <w:numId w:val="0"/>
        </w:numPr>
        <w:ind w:left="360" w:hanging="360"/>
        <w:rPr>
          <w:color w:val="0000FF"/>
          <w:u w:val="single"/>
        </w:rPr>
      </w:pPr>
      <w:r>
        <w:rPr>
          <w:color w:val="0000FF"/>
          <w:u w:val="single"/>
        </w:rPr>
        <w:br w:type="page"/>
      </w:r>
    </w:p>
    <w:p w14:paraId="6DEC83FB" w14:textId="77777777" w:rsidR="003C02CB" w:rsidRDefault="003C02CB" w:rsidP="003C02CB">
      <w:pPr>
        <w:pStyle w:val="Heading2"/>
        <w:pageBreakBefore w:val="0"/>
      </w:pPr>
      <w:bookmarkStart w:id="76" w:name="_Toc122676223"/>
      <w:r>
        <w:lastRenderedPageBreak/>
        <w:t>How to respond</w:t>
      </w:r>
      <w:bookmarkEnd w:id="76"/>
    </w:p>
    <w:p w14:paraId="5C0264B1" w14:textId="41237F7E" w:rsidR="003C02CB" w:rsidRDefault="00D75206" w:rsidP="00D75206">
      <w:pPr>
        <w:pStyle w:val="ListBullet"/>
        <w:numPr>
          <w:ilvl w:val="0"/>
          <w:numId w:val="0"/>
        </w:numPr>
      </w:pPr>
      <w:r>
        <w:t xml:space="preserve">Submissions must be provided by the closing date of </w:t>
      </w:r>
      <w:r w:rsidR="00A0115B" w:rsidRPr="00AF65C4">
        <w:rPr>
          <w:b/>
        </w:rPr>
        <w:t>3</w:t>
      </w:r>
      <w:r w:rsidR="006431D1" w:rsidRPr="00A0115B">
        <w:rPr>
          <w:b/>
        </w:rPr>
        <w:t xml:space="preserve"> February</w:t>
      </w:r>
      <w:r w:rsidRPr="00A0115B">
        <w:rPr>
          <w:b/>
        </w:rPr>
        <w:t xml:space="preserve"> 20</w:t>
      </w:r>
      <w:r w:rsidR="006431D1" w:rsidRPr="00A0115B">
        <w:rPr>
          <w:b/>
        </w:rPr>
        <w:t>23</w:t>
      </w:r>
      <w:r w:rsidRPr="00A0115B">
        <w:t xml:space="preserve"> through</w:t>
      </w:r>
      <w:r w:rsidRPr="00972C2F">
        <w:t xml:space="preserve"> our </w:t>
      </w:r>
      <w:hyperlink r:id="rId74" w:history="1">
        <w:r w:rsidRPr="00AF65C4">
          <w:rPr>
            <w:rStyle w:val="Hyperlink"/>
          </w:rPr>
          <w:t>consultation hub</w:t>
        </w:r>
        <w:r w:rsidRPr="009A4A5D">
          <w:rPr>
            <w:rStyle w:val="Hyperlink"/>
          </w:rPr>
          <w:t>.</w:t>
        </w:r>
      </w:hyperlink>
      <w:r w:rsidRPr="00972C2F">
        <w:t xml:space="preserve"> Any submission about any of the proposals to amend the Poisons Standard will be considered at the next meeting of the </w:t>
      </w:r>
      <w:hyperlink r:id="rId75" w:history="1">
        <w:r w:rsidRPr="00972C2F">
          <w:rPr>
            <w:rStyle w:val="Hyperlink"/>
          </w:rPr>
          <w:t>Advisory Committee on Medicines Scheduling (ACMS)</w:t>
        </w:r>
      </w:hyperlink>
      <w:r w:rsidRPr="00972C2F">
        <w:t>, meeting of the </w:t>
      </w:r>
      <w:hyperlink r:id="rId76" w:history="1">
        <w:r w:rsidRPr="00972C2F">
          <w:rPr>
            <w:rStyle w:val="Hyperlink"/>
          </w:rPr>
          <w:t>Advisory Committee on Chemicals Scheduling (ACCS)</w:t>
        </w:r>
      </w:hyperlink>
      <w:r w:rsidRPr="00972C2F">
        <w:t xml:space="preserve">, or a joint </w:t>
      </w:r>
      <w:r>
        <w:t>meeting of these two committees.</w:t>
      </w:r>
    </w:p>
    <w:p w14:paraId="62DDB87C" w14:textId="77777777" w:rsidR="003C02CB" w:rsidRDefault="003C02CB" w:rsidP="003C02CB">
      <w:pPr>
        <w:pStyle w:val="Heading2"/>
        <w:pageBreakBefore w:val="0"/>
      </w:pPr>
      <w:bookmarkStart w:id="77" w:name="_Toc122676224"/>
      <w:r>
        <w:t>What will happen</w:t>
      </w:r>
      <w:bookmarkEnd w:id="77"/>
    </w:p>
    <w:p w14:paraId="6EFB533F" w14:textId="36976B03" w:rsidR="003C02CB" w:rsidRDefault="003C02CB" w:rsidP="003C02CB">
      <w:r>
        <w:t xml:space="preserve">All public submissions will be published on the TGA website at </w:t>
      </w:r>
      <w:hyperlink r:id="rId77" w:history="1">
        <w:r w:rsidRPr="00E25E60">
          <w:rPr>
            <w:rStyle w:val="Hyperlink"/>
          </w:rPr>
          <w:t>Public submissions on scheduling matters</w:t>
        </w:r>
      </w:hyperlink>
      <w:r>
        <w:t xml:space="preserve">, unless marked confidential or indicated otherwise in the submission coversheet (see </w:t>
      </w:r>
      <w:hyperlink r:id="rId78" w:history="1">
        <w:r w:rsidRPr="00E25E60">
          <w:rPr>
            <w:rStyle w:val="Hyperlink"/>
          </w:rPr>
          <w:t>Privacy information</w:t>
        </w:r>
      </w:hyperlink>
      <w:r>
        <w:t>).</w:t>
      </w:r>
    </w:p>
    <w:p w14:paraId="6B546471" w14:textId="7EFCDC96" w:rsidR="002C1070" w:rsidRDefault="003C02CB" w:rsidP="00FB59CE">
      <w:r>
        <w:t xml:space="preserve">Following consideration of public submissions received before the closing date and advice from the expert advisory committee/s, decisions on the proposed amendments will be published as interim decisions on the TGA website: </w:t>
      </w:r>
      <w:hyperlink r:id="rId79" w:history="1">
        <w:r w:rsidRPr="00E25E60">
          <w:rPr>
            <w:rStyle w:val="Hyperlink"/>
          </w:rPr>
          <w:t xml:space="preserve">Scheduling delegate's </w:t>
        </w:r>
        <w:r w:rsidRPr="00DB6580">
          <w:rPr>
            <w:rStyle w:val="Hyperlink"/>
          </w:rPr>
          <w:t>interim decisions</w:t>
        </w:r>
        <w:r w:rsidRPr="00E25E60">
          <w:rPr>
            <w:rStyle w:val="Hyperlink"/>
          </w:rPr>
          <w:t xml:space="preserve"> &amp; invitations for further comment</w:t>
        </w:r>
      </w:hyperlink>
      <w:r>
        <w:t xml:space="preserve"> </w:t>
      </w:r>
      <w:r w:rsidR="00165F50">
        <w:t>in June 2023</w:t>
      </w:r>
      <w:r>
        <w:t>.</w:t>
      </w:r>
    </w:p>
    <w:p w14:paraId="2B6AE7B8" w14:textId="77777777" w:rsidR="00034914" w:rsidRDefault="00034914" w:rsidP="00D75206">
      <w:pPr>
        <w:pStyle w:val="Heading3"/>
        <w:numPr>
          <w:ilvl w:val="0"/>
          <w:numId w:val="0"/>
        </w:numPr>
        <w:ind w:left="576"/>
        <w:sectPr w:rsidR="00034914" w:rsidSect="0074066C">
          <w:headerReference w:type="default" r:id="rId80"/>
          <w:footerReference w:type="default" r:id="rId81"/>
          <w:headerReference w:type="first" r:id="rId82"/>
          <w:type w:val="continuous"/>
          <w:pgSz w:w="11906" w:h="16838" w:code="9"/>
          <w:pgMar w:top="1530" w:right="1418" w:bottom="1361" w:left="1418" w:header="998" w:footer="283" w:gutter="0"/>
          <w:cols w:space="708"/>
          <w:titlePg/>
          <w:docGrid w:linePitch="360"/>
        </w:sectPr>
      </w:pPr>
    </w:p>
    <w:p w14:paraId="6BDF0E41" w14:textId="77777777" w:rsidR="0084580B" w:rsidRPr="009401F6" w:rsidRDefault="0084580B" w:rsidP="00F8404D">
      <w:pPr>
        <w:pStyle w:val="Footer"/>
      </w:pPr>
    </w:p>
    <w:sectPr w:rsidR="0084580B" w:rsidRPr="009401F6" w:rsidSect="00F8404D">
      <w:headerReference w:type="first" r:id="rId83"/>
      <w:footerReference w:type="first" r:id="rId84"/>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63F2C" w14:textId="77777777" w:rsidR="004A5464" w:rsidRDefault="004A5464" w:rsidP="00C40A36">
      <w:pPr>
        <w:spacing w:after="0"/>
      </w:pPr>
      <w:r>
        <w:separator/>
      </w:r>
    </w:p>
    <w:p w14:paraId="22525294" w14:textId="77777777" w:rsidR="004A5464" w:rsidRDefault="004A5464"/>
  </w:endnote>
  <w:endnote w:type="continuationSeparator" w:id="0">
    <w:p w14:paraId="0D4584D3" w14:textId="77777777" w:rsidR="004A5464" w:rsidRDefault="004A5464" w:rsidP="00C40A36">
      <w:pPr>
        <w:spacing w:after="0"/>
      </w:pPr>
      <w:r>
        <w:continuationSeparator/>
      </w:r>
    </w:p>
    <w:p w14:paraId="3F0555A3" w14:textId="77777777" w:rsidR="004A5464" w:rsidRDefault="004A54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479"/>
      <w:gridCol w:w="1593"/>
    </w:tblGrid>
    <w:tr w:rsidR="00AA0AD3" w:rsidRPr="00257138" w14:paraId="11EF2070" w14:textId="77777777" w:rsidTr="00AF65C4">
      <w:trPr>
        <w:trHeight w:val="423"/>
      </w:trPr>
      <w:tc>
        <w:tcPr>
          <w:tcW w:w="7479" w:type="dxa"/>
        </w:tcPr>
        <w:p w14:paraId="668E2FA3" w14:textId="045E090D" w:rsidR="00AA0AD3" w:rsidRPr="00257138" w:rsidRDefault="00AA0AD3" w:rsidP="00EB182C">
          <w:pPr>
            <w:pStyle w:val="Footer"/>
            <w:spacing w:before="120" w:after="120"/>
          </w:pPr>
          <w:r>
            <w:t>Consultation: Proposed amendments to the Poisons Standard –</w:t>
          </w:r>
          <w:r w:rsidR="00D245E5">
            <w:t xml:space="preserve"> </w:t>
          </w:r>
          <w:r>
            <w:t>ACMS</w:t>
          </w:r>
          <w:r w:rsidR="00D245E5">
            <w:t>, ACCS</w:t>
          </w:r>
          <w:r>
            <w:t xml:space="preserve"> and joint ACMS</w:t>
          </w:r>
          <w:r w:rsidR="00D245E5">
            <w:t>-ACCS</w:t>
          </w:r>
          <w:r>
            <w:t xml:space="preserve"> meetings, M</w:t>
          </w:r>
          <w:r w:rsidR="00C419A3">
            <w:t>arc</w:t>
          </w:r>
          <w:r>
            <w:t>h 20</w:t>
          </w:r>
          <w:r w:rsidR="00C419A3">
            <w:t>23</w:t>
          </w:r>
          <w:r>
            <w:t xml:space="preserve"> </w:t>
          </w:r>
        </w:p>
      </w:tc>
      <w:tc>
        <w:tcPr>
          <w:tcW w:w="1593" w:type="dxa"/>
        </w:tcPr>
        <w:sdt>
          <w:sdtPr>
            <w:id w:val="3702141"/>
            <w:docPartObj>
              <w:docPartGallery w:val="Page Numbers (Top of Page)"/>
              <w:docPartUnique/>
            </w:docPartObj>
          </w:sdtPr>
          <w:sdtEndPr/>
          <w:sdtContent>
            <w:p w14:paraId="77C66A76" w14:textId="7F13A558" w:rsidR="00AA0AD3" w:rsidRPr="00257138" w:rsidRDefault="00AA0AD3" w:rsidP="00EE1482">
              <w:pPr>
                <w:pStyle w:val="Footer"/>
                <w:spacing w:before="120" w:after="120"/>
                <w:jc w:val="right"/>
              </w:pPr>
              <w:r w:rsidRPr="00257138">
                <w:t xml:space="preserve">Page </w:t>
              </w:r>
              <w:r>
                <w:fldChar w:fldCharType="begin"/>
              </w:r>
              <w:r>
                <w:instrText xml:space="preserve"> PAGE </w:instrText>
              </w:r>
              <w:r>
                <w:fldChar w:fldCharType="separate"/>
              </w:r>
              <w:r>
                <w:rPr>
                  <w:noProof/>
                </w:rPr>
                <w:t>4</w:t>
              </w:r>
              <w:r>
                <w:rPr>
                  <w:noProof/>
                </w:rPr>
                <w:fldChar w:fldCharType="end"/>
              </w:r>
              <w:r w:rsidRPr="00257138">
                <w:t xml:space="preserve"> of </w:t>
              </w:r>
              <w:fldSimple w:instr=" NUMPAGES  ">
                <w:r>
                  <w:rPr>
                    <w:noProof/>
                  </w:rPr>
                  <w:t>28</w:t>
                </w:r>
              </w:fldSimple>
            </w:p>
          </w:sdtContent>
        </w:sdt>
      </w:tc>
    </w:tr>
  </w:tbl>
  <w:p w14:paraId="1DBC2E00" w14:textId="77777777" w:rsidR="00AA0AD3" w:rsidRPr="00826007" w:rsidRDefault="00AA0AD3" w:rsidP="00F4663D">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368C" w14:textId="77777777" w:rsidR="00AA0AD3" w:rsidRPr="00F8404D" w:rsidRDefault="00AA0AD3"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497BF" w14:textId="77777777" w:rsidR="004A5464" w:rsidRDefault="004A5464" w:rsidP="00FE1941">
      <w:pPr>
        <w:spacing w:after="0"/>
      </w:pPr>
      <w:r>
        <w:separator/>
      </w:r>
    </w:p>
  </w:footnote>
  <w:footnote w:type="continuationSeparator" w:id="0">
    <w:p w14:paraId="6A3FCEC2" w14:textId="77777777" w:rsidR="004A5464" w:rsidRDefault="004A5464" w:rsidP="00C40A36">
      <w:pPr>
        <w:spacing w:after="0"/>
      </w:pPr>
      <w:r>
        <w:continuationSeparator/>
      </w:r>
    </w:p>
    <w:p w14:paraId="2CEBDB31" w14:textId="77777777" w:rsidR="004A5464" w:rsidRDefault="004A5464"/>
  </w:footnote>
  <w:footnote w:id="1">
    <w:p w14:paraId="79099467" w14:textId="77777777" w:rsidR="000D295C" w:rsidRDefault="000D295C" w:rsidP="000D295C">
      <w:pPr>
        <w:pStyle w:val="FootnoteText"/>
      </w:pPr>
      <w:r>
        <w:rPr>
          <w:rStyle w:val="FootnoteReference"/>
        </w:rPr>
        <w:footnoteRef/>
      </w:r>
      <w:r>
        <w:t xml:space="preserve"> </w:t>
      </w:r>
      <w:bookmarkStart w:id="18" w:name="_Hlk117709548"/>
      <w:r>
        <w:t xml:space="preserve">Proposed additions are shown in green underlined font, proposed deletions are shown in red strikethrough font, and text without this formatting represents the current text in the Poisons Standard. </w:t>
      </w:r>
      <w:bookmarkEnd w:id="18"/>
    </w:p>
  </w:footnote>
  <w:footnote w:id="2">
    <w:p w14:paraId="26BD04FF" w14:textId="77777777" w:rsidR="002924DB" w:rsidRPr="00AE23C9" w:rsidRDefault="002924DB" w:rsidP="002924DB">
      <w:pPr>
        <w:pStyle w:val="FootnoteText"/>
        <w:rPr>
          <w:sz w:val="18"/>
          <w:szCs w:val="18"/>
        </w:rPr>
      </w:pPr>
      <w:r w:rsidRPr="00AE23C9">
        <w:rPr>
          <w:rStyle w:val="FootnoteReference"/>
          <w:sz w:val="18"/>
          <w:szCs w:val="18"/>
        </w:rPr>
        <w:footnoteRef/>
      </w:r>
      <w:r w:rsidRPr="00AE23C9">
        <w:rPr>
          <w:sz w:val="18"/>
          <w:szCs w:val="18"/>
        </w:rPr>
        <w:t xml:space="preserve"> TGA Ingredient Database </w:t>
      </w:r>
      <w:hyperlink r:id="rId1" w:history="1">
        <w:r w:rsidRPr="00C6072C">
          <w:rPr>
            <w:rStyle w:val="Hyperlink"/>
            <w:sz w:val="18"/>
            <w:szCs w:val="18"/>
          </w:rPr>
          <w:t>https://www.ebs.tga.gov.au/</w:t>
        </w:r>
      </w:hyperlink>
    </w:p>
  </w:footnote>
  <w:footnote w:id="3">
    <w:p w14:paraId="3C75762A" w14:textId="77777777" w:rsidR="002924DB" w:rsidRPr="00AE23C9" w:rsidRDefault="002924DB" w:rsidP="002924DB">
      <w:pPr>
        <w:pStyle w:val="FootnoteText"/>
        <w:rPr>
          <w:sz w:val="18"/>
          <w:szCs w:val="18"/>
        </w:rPr>
      </w:pPr>
      <w:r w:rsidRPr="00AE23C9">
        <w:rPr>
          <w:rStyle w:val="FootnoteReference"/>
          <w:sz w:val="18"/>
          <w:szCs w:val="18"/>
        </w:rPr>
        <w:footnoteRef/>
      </w:r>
      <w:r w:rsidRPr="00AE23C9">
        <w:rPr>
          <w:sz w:val="18"/>
          <w:szCs w:val="18"/>
        </w:rPr>
        <w:t xml:space="preserve"> ARTG database </w:t>
      </w:r>
      <w:hyperlink r:id="rId2" w:history="1">
        <w:r w:rsidRPr="00AE23C9">
          <w:rPr>
            <w:rStyle w:val="Hyperlink"/>
            <w:sz w:val="18"/>
            <w:szCs w:val="18"/>
          </w:rPr>
          <w:t>https://www.tga.gov.au/artg</w:t>
        </w:r>
      </w:hyperlink>
      <w:r w:rsidRPr="00AE23C9">
        <w:rPr>
          <w:sz w:val="18"/>
          <w:szCs w:val="18"/>
        </w:rPr>
        <w:t xml:space="preserve"> </w:t>
      </w:r>
    </w:p>
  </w:footnote>
  <w:footnote w:id="4">
    <w:p w14:paraId="0ED1E852" w14:textId="09C045B8" w:rsidR="002924DB" w:rsidRPr="007628D1" w:rsidRDefault="002924DB" w:rsidP="002924DB">
      <w:pPr>
        <w:pStyle w:val="FootnoteText"/>
        <w:rPr>
          <w:sz w:val="18"/>
          <w:szCs w:val="18"/>
        </w:rPr>
      </w:pPr>
      <w:r w:rsidRPr="00AE23C9">
        <w:rPr>
          <w:rStyle w:val="FootnoteReference"/>
          <w:sz w:val="18"/>
          <w:szCs w:val="18"/>
        </w:rPr>
        <w:footnoteRef/>
      </w:r>
      <w:r w:rsidRPr="00AE23C9">
        <w:rPr>
          <w:sz w:val="18"/>
          <w:szCs w:val="18"/>
        </w:rPr>
        <w:t xml:space="preserve"> Therapeutic Goods (Permissible Ingredients) Determination </w:t>
      </w:r>
      <w:hyperlink r:id="rId3" w:history="1">
        <w:r w:rsidRPr="00AE23C9">
          <w:rPr>
            <w:rStyle w:val="Hyperlink"/>
            <w:sz w:val="18"/>
            <w:szCs w:val="18"/>
          </w:rPr>
          <w:t>https://www.legislation.gov.au/Search/Therapeutic%20Goods%20$LB$Permissible%20Ingredients$RB$%20Determination</w:t>
        </w:r>
      </w:hyperlink>
      <w:r w:rsidRPr="00AE23C9">
        <w:rPr>
          <w:sz w:val="18"/>
          <w:szCs w:val="18"/>
        </w:rPr>
        <w:t xml:space="preserve"> </w:t>
      </w:r>
    </w:p>
  </w:footnote>
  <w:footnote w:id="5">
    <w:p w14:paraId="6C1CF07F" w14:textId="303F58E5" w:rsidR="007628D1" w:rsidRDefault="007628D1">
      <w:pPr>
        <w:pStyle w:val="FootnoteText"/>
      </w:pPr>
      <w:r>
        <w:rPr>
          <w:rStyle w:val="FootnoteReference"/>
        </w:rPr>
        <w:footnoteRef/>
      </w:r>
      <w:r>
        <w:t xml:space="preserve"> </w:t>
      </w:r>
      <w:r w:rsidRPr="000C6BDC">
        <w:rPr>
          <w:sz w:val="18"/>
          <w:szCs w:val="18"/>
        </w:rPr>
        <w:t xml:space="preserve">TGA prescribing medicines in pregnancy database </w:t>
      </w:r>
      <w:hyperlink r:id="rId4" w:history="1">
        <w:r w:rsidRPr="000C6BDC">
          <w:rPr>
            <w:rStyle w:val="Hyperlink"/>
            <w:sz w:val="18"/>
            <w:szCs w:val="18"/>
          </w:rPr>
          <w:t>https://www.tga.gov.au/prescribing-medicines-pregnancy-database</w:t>
        </w:r>
      </w:hyperlink>
    </w:p>
  </w:footnote>
  <w:footnote w:id="6">
    <w:p w14:paraId="2742F280" w14:textId="00543EBA" w:rsidR="007628D1" w:rsidRDefault="007628D1">
      <w:pPr>
        <w:pStyle w:val="FootnoteText"/>
      </w:pPr>
      <w:r>
        <w:rPr>
          <w:rStyle w:val="FootnoteReference"/>
        </w:rPr>
        <w:footnoteRef/>
      </w:r>
      <w:r>
        <w:t xml:space="preserve"> </w:t>
      </w:r>
      <w:r w:rsidRPr="000C6BDC">
        <w:rPr>
          <w:sz w:val="18"/>
          <w:szCs w:val="18"/>
        </w:rPr>
        <w:t>Therapeutic Goods (Medicines Advisory Statements) Specification 20</w:t>
      </w:r>
      <w:r w:rsidR="00555032">
        <w:rPr>
          <w:sz w:val="18"/>
          <w:szCs w:val="18"/>
        </w:rPr>
        <w:t>21</w:t>
      </w:r>
      <w:r w:rsidR="00555032" w:rsidRPr="00555032">
        <w:t xml:space="preserve"> </w:t>
      </w:r>
      <w:hyperlink r:id="rId5" w:history="1">
        <w:r w:rsidR="00555032" w:rsidRPr="00BA2639">
          <w:rPr>
            <w:rStyle w:val="Hyperlink"/>
            <w:sz w:val="18"/>
            <w:szCs w:val="18"/>
          </w:rPr>
          <w:t>https://www.legislation.gov.au/Details/F2021L01888</w:t>
        </w:r>
      </w:hyperlink>
      <w:r w:rsidR="00555032">
        <w:rPr>
          <w:rStyle w:val="Hyperlink"/>
          <w:sz w:val="18"/>
          <w:szCs w:val="18"/>
        </w:rPr>
        <w:t xml:space="preserve"> </w:t>
      </w:r>
    </w:p>
  </w:footnote>
  <w:footnote w:id="7">
    <w:p w14:paraId="6124A98A" w14:textId="103294B3" w:rsidR="007628D1" w:rsidRDefault="007628D1">
      <w:pPr>
        <w:pStyle w:val="FootnoteText"/>
      </w:pPr>
      <w:r>
        <w:rPr>
          <w:rStyle w:val="FootnoteReference"/>
        </w:rPr>
        <w:footnoteRef/>
      </w:r>
      <w:r>
        <w:t xml:space="preserve"> </w:t>
      </w:r>
      <w:r w:rsidRPr="000C6BDC">
        <w:rPr>
          <w:sz w:val="18"/>
          <w:szCs w:val="18"/>
        </w:rPr>
        <w:t xml:space="preserve">Database of Adverse Event Notifications (DAEN)  </w:t>
      </w:r>
      <w:hyperlink r:id="rId6" w:history="1">
        <w:r w:rsidRPr="000C6BDC">
          <w:rPr>
            <w:rStyle w:val="Hyperlink"/>
            <w:sz w:val="18"/>
            <w:szCs w:val="18"/>
          </w:rPr>
          <w:t>https://apps.tga.gov.au/Prod/daen/daen-entry.aspx</w:t>
        </w:r>
      </w:hyperlink>
    </w:p>
  </w:footnote>
  <w:footnote w:id="8">
    <w:p w14:paraId="7C7A8EEB" w14:textId="2BE4AE16" w:rsidR="007628D1" w:rsidRDefault="007628D1">
      <w:pPr>
        <w:pStyle w:val="FootnoteText"/>
      </w:pPr>
    </w:p>
  </w:footnote>
  <w:footnote w:id="9">
    <w:p w14:paraId="63BAB882" w14:textId="74579C29" w:rsidR="00226885" w:rsidRPr="00226885" w:rsidRDefault="00226885" w:rsidP="00BD7C3F">
      <w:pPr>
        <w:pStyle w:val="FootnoteText"/>
        <w:rPr>
          <w:sz w:val="18"/>
          <w:szCs w:val="18"/>
        </w:rPr>
      </w:pPr>
      <w:r w:rsidRPr="00226885">
        <w:rPr>
          <w:rStyle w:val="FootnoteReference"/>
          <w:sz w:val="18"/>
          <w:szCs w:val="18"/>
        </w:rPr>
        <w:footnoteRef/>
      </w:r>
      <w:r w:rsidRPr="00226885">
        <w:rPr>
          <w:sz w:val="18"/>
          <w:szCs w:val="18"/>
        </w:rPr>
        <w:t xml:space="preserve"> FDA Approved Drugs Database </w:t>
      </w:r>
      <w:hyperlink r:id="rId7" w:history="1">
        <w:r w:rsidRPr="00226885">
          <w:rPr>
            <w:rStyle w:val="Hyperlink"/>
            <w:sz w:val="18"/>
            <w:szCs w:val="18"/>
          </w:rPr>
          <w:t>https://www.accessdata.fda.gov/scripts/cder/daf/index.cfm?event=BasicSearch.process</w:t>
        </w:r>
      </w:hyperlink>
    </w:p>
  </w:footnote>
  <w:footnote w:id="10">
    <w:p w14:paraId="06D414A5" w14:textId="43CDB95C" w:rsidR="00226885" w:rsidRPr="00226885" w:rsidRDefault="00226885">
      <w:pPr>
        <w:pStyle w:val="FootnoteText"/>
        <w:rPr>
          <w:sz w:val="18"/>
          <w:szCs w:val="18"/>
        </w:rPr>
      </w:pPr>
      <w:r w:rsidRPr="00226885">
        <w:rPr>
          <w:rStyle w:val="FootnoteReference"/>
          <w:sz w:val="18"/>
          <w:szCs w:val="18"/>
        </w:rPr>
        <w:footnoteRef/>
      </w:r>
      <w:r w:rsidRPr="00226885">
        <w:rPr>
          <w:sz w:val="18"/>
          <w:szCs w:val="18"/>
        </w:rPr>
        <w:t xml:space="preserve"> </w:t>
      </w:r>
      <w:proofErr w:type="spellStart"/>
      <w:r w:rsidRPr="00226885">
        <w:rPr>
          <w:sz w:val="18"/>
          <w:szCs w:val="18"/>
        </w:rPr>
        <w:t>Medsafe</w:t>
      </w:r>
      <w:proofErr w:type="spellEnd"/>
      <w:r w:rsidRPr="00226885">
        <w:rPr>
          <w:sz w:val="18"/>
          <w:szCs w:val="18"/>
        </w:rPr>
        <w:t xml:space="preserve"> Medicines Classification Database </w:t>
      </w:r>
      <w:hyperlink r:id="rId8" w:history="1">
        <w:r w:rsidRPr="00226885">
          <w:rPr>
            <w:rStyle w:val="Hyperlink"/>
            <w:sz w:val="18"/>
            <w:szCs w:val="18"/>
          </w:rPr>
          <w:t>https://www.medsafe.govt.nz/profs/class/classintro.asp</w:t>
        </w:r>
      </w:hyperlink>
    </w:p>
  </w:footnote>
  <w:footnote w:id="11">
    <w:p w14:paraId="3AF6976E" w14:textId="36FEE830" w:rsidR="00BD7C3F" w:rsidRPr="00BD7C3F" w:rsidRDefault="00BD7C3F">
      <w:pPr>
        <w:pStyle w:val="FootnoteText"/>
        <w:rPr>
          <w:sz w:val="18"/>
          <w:szCs w:val="18"/>
        </w:rPr>
      </w:pPr>
      <w:r w:rsidRPr="00BD7C3F">
        <w:rPr>
          <w:rStyle w:val="FootnoteReference"/>
          <w:sz w:val="18"/>
          <w:szCs w:val="18"/>
        </w:rPr>
        <w:footnoteRef/>
      </w:r>
      <w:r w:rsidRPr="00BD7C3F">
        <w:rPr>
          <w:sz w:val="18"/>
          <w:szCs w:val="18"/>
        </w:rPr>
        <w:t xml:space="preserve"> HPRA </w:t>
      </w:r>
      <w:hyperlink r:id="rId9" w:history="1">
        <w:r w:rsidRPr="00BD7C3F">
          <w:rPr>
            <w:rStyle w:val="Hyperlink"/>
            <w:sz w:val="18"/>
            <w:szCs w:val="18"/>
          </w:rPr>
          <w:t>https://www.hpra.ie/homepage/medicines/medicines-information/find-a-medicine/results?query=Celecoxib&amp;field=ACTIVESUBSTANCES</w:t>
        </w:r>
      </w:hyperlink>
    </w:p>
  </w:footnote>
  <w:footnote w:id="12">
    <w:p w14:paraId="54B36249" w14:textId="1AEDD631" w:rsidR="004F1478" w:rsidRPr="004F1478" w:rsidRDefault="004F1478">
      <w:pPr>
        <w:pStyle w:val="FootnoteText"/>
        <w:rPr>
          <w:sz w:val="18"/>
          <w:szCs w:val="18"/>
        </w:rPr>
      </w:pPr>
      <w:r w:rsidRPr="004F1478">
        <w:rPr>
          <w:rStyle w:val="FootnoteReference"/>
          <w:sz w:val="18"/>
          <w:szCs w:val="18"/>
        </w:rPr>
        <w:footnoteRef/>
      </w:r>
      <w:r w:rsidRPr="004F1478">
        <w:rPr>
          <w:sz w:val="18"/>
          <w:szCs w:val="18"/>
        </w:rPr>
        <w:t xml:space="preserve"> </w:t>
      </w:r>
      <w:proofErr w:type="spellStart"/>
      <w:r w:rsidRPr="004F1478">
        <w:rPr>
          <w:sz w:val="18"/>
          <w:szCs w:val="18"/>
        </w:rPr>
        <w:t>Emc</w:t>
      </w:r>
      <w:proofErr w:type="spellEnd"/>
      <w:r w:rsidRPr="004F1478">
        <w:rPr>
          <w:sz w:val="18"/>
          <w:szCs w:val="18"/>
        </w:rPr>
        <w:t xml:space="preserve"> </w:t>
      </w:r>
      <w:hyperlink r:id="rId10" w:history="1">
        <w:r w:rsidRPr="004F1478">
          <w:rPr>
            <w:rStyle w:val="Hyperlink"/>
            <w:sz w:val="18"/>
            <w:szCs w:val="18"/>
          </w:rPr>
          <w:t>https://www.medicines.org.uk/emc/search?q=celecoxib</w:t>
        </w:r>
      </w:hyperlink>
    </w:p>
  </w:footnote>
  <w:footnote w:id="13">
    <w:p w14:paraId="40B404B7" w14:textId="41D44043" w:rsidR="004F1478" w:rsidRPr="004F1478" w:rsidRDefault="004F1478">
      <w:pPr>
        <w:pStyle w:val="FootnoteText"/>
        <w:rPr>
          <w:sz w:val="18"/>
          <w:szCs w:val="18"/>
        </w:rPr>
      </w:pPr>
      <w:r w:rsidRPr="004F1478">
        <w:rPr>
          <w:rStyle w:val="FootnoteReference"/>
          <w:sz w:val="18"/>
          <w:szCs w:val="18"/>
        </w:rPr>
        <w:footnoteRef/>
      </w:r>
      <w:r w:rsidRPr="004F1478">
        <w:rPr>
          <w:sz w:val="18"/>
          <w:szCs w:val="18"/>
        </w:rPr>
        <w:t xml:space="preserve"> Health Canada </w:t>
      </w:r>
      <w:hyperlink r:id="rId11" w:history="1">
        <w:r w:rsidRPr="004F1478">
          <w:rPr>
            <w:rStyle w:val="Hyperlink"/>
            <w:sz w:val="18"/>
            <w:szCs w:val="18"/>
          </w:rPr>
          <w:t>health-products.canada.ca/</w:t>
        </w:r>
        <w:proofErr w:type="spellStart"/>
        <w:r w:rsidRPr="004F1478">
          <w:rPr>
            <w:rStyle w:val="Hyperlink"/>
            <w:sz w:val="18"/>
            <w:szCs w:val="18"/>
          </w:rPr>
          <w:t>dpd-bdpp</w:t>
        </w:r>
        <w:proofErr w:type="spellEnd"/>
        <w:r w:rsidRPr="004F1478">
          <w:rPr>
            <w:rStyle w:val="Hyperlink"/>
            <w:sz w:val="18"/>
            <w:szCs w:val="18"/>
          </w:rPr>
          <w:t>/index-</w:t>
        </w:r>
        <w:proofErr w:type="spellStart"/>
        <w:r w:rsidRPr="004F1478">
          <w:rPr>
            <w:rStyle w:val="Hyperlink"/>
            <w:sz w:val="18"/>
            <w:szCs w:val="18"/>
          </w:rPr>
          <w:t>eng.jsp</w:t>
        </w:r>
        <w:proofErr w:type="spellEnd"/>
      </w:hyperlink>
    </w:p>
  </w:footnote>
  <w:footnote w:id="14">
    <w:p w14:paraId="1A62CF42" w14:textId="77777777" w:rsidR="003A1B1F" w:rsidRDefault="003A1B1F" w:rsidP="003A1B1F">
      <w:pPr>
        <w:pStyle w:val="FootnoteText"/>
      </w:pPr>
      <w:r>
        <w:rPr>
          <w:rStyle w:val="FootnoteReference"/>
        </w:rPr>
        <w:footnoteRef/>
      </w:r>
      <w:r>
        <w:t xml:space="preserve"> Proposed additions are shown in green underlined font, proposed deletions are shown in red strikethrough font, and text without this formatting represents the current text in the Poisons Standard. </w:t>
      </w:r>
    </w:p>
  </w:footnote>
  <w:footnote w:id="15">
    <w:p w14:paraId="2C88B9F5" w14:textId="77777777" w:rsidR="0008464B" w:rsidRDefault="0008464B" w:rsidP="0008464B">
      <w:pPr>
        <w:pStyle w:val="FootnoteText"/>
      </w:pPr>
      <w:r w:rsidRPr="009E50F6">
        <w:rPr>
          <w:rStyle w:val="FootnoteReference"/>
          <w:sz w:val="18"/>
          <w:szCs w:val="18"/>
        </w:rPr>
        <w:footnoteRef/>
      </w:r>
      <w:r w:rsidRPr="009E50F6">
        <w:rPr>
          <w:sz w:val="18"/>
          <w:szCs w:val="18"/>
        </w:rPr>
        <w:t xml:space="preserve"> AICIS evaluation statement </w:t>
      </w:r>
      <w:hyperlink r:id="rId12" w:history="1">
        <w:r w:rsidRPr="009E50F6">
          <w:rPr>
            <w:rStyle w:val="Hyperlink"/>
            <w:sz w:val="18"/>
            <w:szCs w:val="18"/>
          </w:rPr>
          <w:t>https://www.industrialchemicals.gov.au/sites/default/files/2021-09/EVA00010%20-%20Evaluation%20Statement%20-%2014%20September%202021%20%5B702%20KB%5D.pdf</w:t>
        </w:r>
      </w:hyperlink>
    </w:p>
  </w:footnote>
  <w:footnote w:id="16">
    <w:p w14:paraId="1452A6FA" w14:textId="77777777" w:rsidR="0008464B" w:rsidRPr="00D03188" w:rsidRDefault="0008464B" w:rsidP="0008464B">
      <w:pPr>
        <w:pStyle w:val="FootnoteText"/>
        <w:contextualSpacing/>
        <w:rPr>
          <w:sz w:val="18"/>
          <w:szCs w:val="18"/>
        </w:rPr>
      </w:pPr>
      <w:r w:rsidRPr="00D03188">
        <w:rPr>
          <w:rStyle w:val="FootnoteReference"/>
          <w:sz w:val="18"/>
          <w:szCs w:val="18"/>
        </w:rPr>
        <w:footnoteRef/>
      </w:r>
      <w:r w:rsidRPr="00D03188">
        <w:rPr>
          <w:sz w:val="18"/>
          <w:szCs w:val="18"/>
        </w:rPr>
        <w:t xml:space="preserve"> TGA Ingredient Database </w:t>
      </w:r>
      <w:hyperlink r:id="rId13" w:history="1">
        <w:r w:rsidRPr="00D03188">
          <w:rPr>
            <w:rStyle w:val="Hyperlink"/>
            <w:color w:val="002C47" w:themeColor="text2"/>
            <w:sz w:val="18"/>
            <w:szCs w:val="18"/>
          </w:rPr>
          <w:t>https://www.ebs.tga.gov.au/</w:t>
        </w:r>
      </w:hyperlink>
    </w:p>
  </w:footnote>
  <w:footnote w:id="17">
    <w:p w14:paraId="41DC766C" w14:textId="77777777" w:rsidR="0008464B" w:rsidRPr="00D03188" w:rsidRDefault="0008464B" w:rsidP="0008464B">
      <w:pPr>
        <w:spacing w:before="0"/>
        <w:contextualSpacing/>
        <w:rPr>
          <w:sz w:val="18"/>
          <w:szCs w:val="18"/>
        </w:rPr>
      </w:pPr>
      <w:r w:rsidRPr="00D03188">
        <w:rPr>
          <w:rStyle w:val="FootnoteReference"/>
          <w:sz w:val="18"/>
          <w:szCs w:val="18"/>
        </w:rPr>
        <w:footnoteRef/>
      </w:r>
      <w:r w:rsidRPr="00D03188">
        <w:rPr>
          <w:sz w:val="18"/>
          <w:szCs w:val="18"/>
        </w:rPr>
        <w:t xml:space="preserve"> ARTG database </w:t>
      </w:r>
      <w:hyperlink r:id="rId14" w:history="1">
        <w:r w:rsidRPr="00D03188">
          <w:rPr>
            <w:rStyle w:val="Hyperlink"/>
            <w:sz w:val="18"/>
            <w:szCs w:val="18"/>
          </w:rPr>
          <w:t>https://www.tga.gov.au/artg</w:t>
        </w:r>
      </w:hyperlink>
      <w:r w:rsidRPr="00D03188">
        <w:rPr>
          <w:sz w:val="18"/>
          <w:szCs w:val="18"/>
        </w:rPr>
        <w:t xml:space="preserve"> </w:t>
      </w:r>
    </w:p>
  </w:footnote>
  <w:footnote w:id="18">
    <w:p w14:paraId="41B7F084" w14:textId="77777777" w:rsidR="0008464B" w:rsidRPr="00D03188" w:rsidRDefault="0008464B" w:rsidP="0008464B">
      <w:pPr>
        <w:spacing w:before="0" w:after="0"/>
        <w:contextualSpacing/>
        <w:rPr>
          <w:sz w:val="18"/>
          <w:szCs w:val="18"/>
        </w:rPr>
      </w:pPr>
      <w:r w:rsidRPr="00D03188">
        <w:rPr>
          <w:rStyle w:val="FootnoteReference"/>
          <w:sz w:val="18"/>
          <w:szCs w:val="18"/>
        </w:rPr>
        <w:footnoteRef/>
      </w:r>
      <w:r w:rsidRPr="00D03188">
        <w:rPr>
          <w:sz w:val="18"/>
          <w:szCs w:val="18"/>
        </w:rPr>
        <w:t xml:space="preserve"> Therapeutic Goods (Permissible Ingredients) Determination </w:t>
      </w:r>
      <w:hyperlink r:id="rId15" w:history="1">
        <w:r w:rsidRPr="00D03188">
          <w:rPr>
            <w:rStyle w:val="Hyperlink"/>
            <w:sz w:val="18"/>
            <w:szCs w:val="18"/>
          </w:rPr>
          <w:t>https://www.legislation.gov.au/Search/Therapeutic%20Goods%20$LB$Permissible%20Ingredients$RB$%20Determination</w:t>
        </w:r>
      </w:hyperlink>
      <w:r w:rsidRPr="00D03188">
        <w:rPr>
          <w:sz w:val="18"/>
          <w:szCs w:val="18"/>
        </w:rPr>
        <w:t xml:space="preserve"> </w:t>
      </w:r>
    </w:p>
  </w:footnote>
  <w:footnote w:id="19">
    <w:p w14:paraId="4892C547" w14:textId="77777777" w:rsidR="0008464B" w:rsidRPr="003E04BB" w:rsidRDefault="0008464B" w:rsidP="0008464B">
      <w:pPr>
        <w:pStyle w:val="FootnoteText"/>
        <w:contextualSpacing/>
        <w:rPr>
          <w:sz w:val="18"/>
          <w:szCs w:val="18"/>
        </w:rPr>
      </w:pPr>
      <w:r w:rsidRPr="00D03188">
        <w:rPr>
          <w:rStyle w:val="FootnoteReference"/>
          <w:sz w:val="18"/>
          <w:szCs w:val="18"/>
        </w:rPr>
        <w:footnoteRef/>
      </w:r>
      <w:r w:rsidRPr="00D03188">
        <w:rPr>
          <w:sz w:val="18"/>
          <w:szCs w:val="18"/>
        </w:rPr>
        <w:t xml:space="preserve"> TGA prescribing medicines in pregnancy database </w:t>
      </w:r>
      <w:hyperlink r:id="rId16" w:history="1">
        <w:r w:rsidRPr="00D03188">
          <w:rPr>
            <w:rStyle w:val="Hyperlink"/>
            <w:sz w:val="18"/>
            <w:szCs w:val="18"/>
          </w:rPr>
          <w:t>https://www.tga.gov.au/prescribing-medicines-pregnancy-database</w:t>
        </w:r>
      </w:hyperlink>
    </w:p>
  </w:footnote>
  <w:footnote w:id="20">
    <w:p w14:paraId="541C2199" w14:textId="77777777" w:rsidR="00BF3CD4" w:rsidRDefault="00BF3CD4" w:rsidP="00BF3CD4">
      <w:pPr>
        <w:pStyle w:val="FootnoteText"/>
      </w:pPr>
      <w:r>
        <w:rPr>
          <w:rStyle w:val="FootnoteReference"/>
        </w:rPr>
        <w:footnoteRef/>
      </w:r>
      <w:r>
        <w:t xml:space="preserve"> </w:t>
      </w:r>
      <w:r w:rsidRPr="000C6BDC">
        <w:rPr>
          <w:sz w:val="18"/>
          <w:szCs w:val="18"/>
        </w:rPr>
        <w:t>Therapeutic Goods (Medicines Advisory Statements) Specification 20</w:t>
      </w:r>
      <w:r>
        <w:rPr>
          <w:sz w:val="18"/>
          <w:szCs w:val="18"/>
        </w:rPr>
        <w:t>21</w:t>
      </w:r>
      <w:r w:rsidRPr="000C6BDC">
        <w:rPr>
          <w:sz w:val="18"/>
          <w:szCs w:val="18"/>
        </w:rPr>
        <w:t xml:space="preserve"> </w:t>
      </w:r>
      <w:r w:rsidRPr="000C6BDC">
        <w:rPr>
          <w:rStyle w:val="Hyperlink"/>
          <w:sz w:val="18"/>
          <w:szCs w:val="18"/>
        </w:rPr>
        <w:t xml:space="preserve"> </w:t>
      </w:r>
      <w:r w:rsidRPr="00555032">
        <w:t xml:space="preserve"> </w:t>
      </w:r>
      <w:hyperlink r:id="rId17" w:history="1">
        <w:r w:rsidRPr="00BA2639">
          <w:rPr>
            <w:rStyle w:val="Hyperlink"/>
            <w:sz w:val="18"/>
            <w:szCs w:val="18"/>
          </w:rPr>
          <w:t>https://www.legislation.gov.au/Details/F2021L01888</w:t>
        </w:r>
      </w:hyperlink>
      <w:r>
        <w:rPr>
          <w:rStyle w:val="Hyperlink"/>
          <w:sz w:val="18"/>
          <w:szCs w:val="18"/>
        </w:rPr>
        <w:t xml:space="preserve"> </w:t>
      </w:r>
    </w:p>
  </w:footnote>
  <w:footnote w:id="21">
    <w:p w14:paraId="43841085" w14:textId="77777777" w:rsidR="0008464B" w:rsidRPr="003E04BB" w:rsidRDefault="0008464B" w:rsidP="0008464B">
      <w:pPr>
        <w:contextualSpacing/>
        <w:rPr>
          <w:sz w:val="18"/>
          <w:szCs w:val="18"/>
        </w:rPr>
      </w:pPr>
      <w:r w:rsidRPr="003E04BB">
        <w:rPr>
          <w:rStyle w:val="FootnoteReference"/>
          <w:sz w:val="18"/>
          <w:szCs w:val="18"/>
        </w:rPr>
        <w:footnoteRef/>
      </w:r>
      <w:r w:rsidRPr="003E04BB">
        <w:rPr>
          <w:sz w:val="18"/>
          <w:szCs w:val="18"/>
        </w:rPr>
        <w:t xml:space="preserve"> Database of Adverse Event Notifications (DAEN)  </w:t>
      </w:r>
      <w:hyperlink r:id="rId18" w:history="1">
        <w:r w:rsidRPr="003E04BB">
          <w:rPr>
            <w:rStyle w:val="Hyperlink"/>
            <w:sz w:val="18"/>
            <w:szCs w:val="18"/>
          </w:rPr>
          <w:t>https://apps.tga.gov.au/Prod/daen/daen-entry.aspx</w:t>
        </w:r>
      </w:hyperlink>
      <w:r w:rsidRPr="003E04BB">
        <w:rPr>
          <w:sz w:val="18"/>
          <w:szCs w:val="18"/>
        </w:rPr>
        <w:t xml:space="preserve"> </w:t>
      </w:r>
    </w:p>
  </w:footnote>
  <w:footnote w:id="22">
    <w:p w14:paraId="3C7A9AB4" w14:textId="77777777" w:rsidR="0008464B" w:rsidRPr="003E04BB" w:rsidRDefault="0008464B" w:rsidP="0008464B">
      <w:pPr>
        <w:spacing w:after="0"/>
        <w:contextualSpacing/>
        <w:rPr>
          <w:sz w:val="18"/>
          <w:szCs w:val="18"/>
        </w:rPr>
      </w:pPr>
      <w:r w:rsidRPr="003E04BB">
        <w:rPr>
          <w:rStyle w:val="FootnoteReference"/>
          <w:sz w:val="18"/>
          <w:szCs w:val="18"/>
        </w:rPr>
        <w:footnoteRef/>
      </w:r>
      <w:r w:rsidRPr="003E04BB">
        <w:rPr>
          <w:sz w:val="18"/>
          <w:szCs w:val="18"/>
        </w:rPr>
        <w:t xml:space="preserve"> Public Chemical Registration Information System Search (</w:t>
      </w:r>
      <w:proofErr w:type="spellStart"/>
      <w:r w:rsidRPr="003E04BB">
        <w:rPr>
          <w:sz w:val="18"/>
          <w:szCs w:val="18"/>
        </w:rPr>
        <w:t>PubCRIS</w:t>
      </w:r>
      <w:proofErr w:type="spellEnd"/>
      <w:r w:rsidRPr="003E04BB">
        <w:rPr>
          <w:sz w:val="18"/>
          <w:szCs w:val="18"/>
        </w:rPr>
        <w:t xml:space="preserve">) </w:t>
      </w:r>
      <w:hyperlink r:id="rId19" w:history="1">
        <w:r w:rsidRPr="003E04BB">
          <w:rPr>
            <w:rStyle w:val="Hyperlink"/>
            <w:sz w:val="18"/>
            <w:szCs w:val="18"/>
          </w:rPr>
          <w:t>https://portal.apvma.gov.au/pubcris</w:t>
        </w:r>
      </w:hyperlink>
      <w:r w:rsidRPr="003E04BB">
        <w:rPr>
          <w:sz w:val="18"/>
          <w:szCs w:val="18"/>
        </w:rPr>
        <w:t xml:space="preserve"> </w:t>
      </w:r>
    </w:p>
  </w:footnote>
  <w:footnote w:id="23">
    <w:p w14:paraId="468DC3CE" w14:textId="77777777" w:rsidR="0008464B" w:rsidRPr="003E04BB" w:rsidRDefault="0008464B" w:rsidP="0008464B">
      <w:pPr>
        <w:pStyle w:val="FootnoteText"/>
        <w:contextualSpacing/>
        <w:rPr>
          <w:sz w:val="18"/>
          <w:szCs w:val="18"/>
        </w:rPr>
      </w:pPr>
      <w:r w:rsidRPr="003E04BB">
        <w:rPr>
          <w:rStyle w:val="FootnoteReference"/>
          <w:sz w:val="18"/>
          <w:szCs w:val="18"/>
        </w:rPr>
        <w:footnoteRef/>
      </w:r>
      <w:r w:rsidRPr="003E04BB">
        <w:rPr>
          <w:sz w:val="18"/>
          <w:szCs w:val="18"/>
        </w:rPr>
        <w:t xml:space="preserve">  Food and Drug Administration (FDA) </w:t>
      </w:r>
      <w:hyperlink r:id="rId20" w:history="1">
        <w:r w:rsidRPr="003E04BB">
          <w:rPr>
            <w:rStyle w:val="Hyperlink"/>
            <w:sz w:val="18"/>
            <w:szCs w:val="18"/>
          </w:rPr>
          <w:t>https://www.accessdata.fda.gov/scripts/cder/daf/index.cfm?event=BasicSearch.process</w:t>
        </w:r>
      </w:hyperlink>
      <w:r w:rsidRPr="003E04BB">
        <w:rPr>
          <w:sz w:val="18"/>
          <w:szCs w:val="18"/>
        </w:rPr>
        <w:t xml:space="preserve"> </w:t>
      </w:r>
    </w:p>
  </w:footnote>
  <w:footnote w:id="24">
    <w:p w14:paraId="479D9C90" w14:textId="77777777" w:rsidR="0008464B" w:rsidRDefault="0008464B" w:rsidP="0008464B">
      <w:pPr>
        <w:pStyle w:val="FootnoteText"/>
        <w:contextualSpacing/>
      </w:pPr>
      <w:r w:rsidRPr="003E04BB">
        <w:rPr>
          <w:rStyle w:val="FootnoteReference"/>
          <w:sz w:val="18"/>
          <w:szCs w:val="18"/>
        </w:rPr>
        <w:footnoteRef/>
      </w:r>
      <w:r w:rsidRPr="003E04BB">
        <w:rPr>
          <w:sz w:val="18"/>
          <w:szCs w:val="18"/>
        </w:rPr>
        <w:t xml:space="preserve"> Health Products Regulatory Authority </w:t>
      </w:r>
      <w:hyperlink r:id="rId21" w:history="1">
        <w:r w:rsidRPr="003E04BB">
          <w:rPr>
            <w:rStyle w:val="Hyperlink"/>
            <w:sz w:val="18"/>
            <w:szCs w:val="18"/>
          </w:rPr>
          <w:t>https://www.hpra.ie/homepage/medicines/medicines-information/find-a-medicine/results?query=Azelaic+acid&amp;field=ACTIVESUBSTANCES</w:t>
        </w:r>
      </w:hyperlink>
      <w:r w:rsidRPr="003E04BB">
        <w:rPr>
          <w:sz w:val="18"/>
          <w:szCs w:val="18"/>
        </w:rPr>
        <w:t xml:space="preserve"> </w:t>
      </w:r>
    </w:p>
  </w:footnote>
  <w:footnote w:id="25">
    <w:p w14:paraId="048C1B48" w14:textId="77777777" w:rsidR="0008464B" w:rsidRPr="003E04BB" w:rsidRDefault="0008464B" w:rsidP="0008464B">
      <w:pPr>
        <w:pStyle w:val="FootnoteText"/>
        <w:contextualSpacing/>
        <w:rPr>
          <w:sz w:val="18"/>
          <w:szCs w:val="18"/>
        </w:rPr>
      </w:pPr>
      <w:r w:rsidRPr="003E04BB">
        <w:rPr>
          <w:rStyle w:val="FootnoteReference"/>
          <w:sz w:val="18"/>
          <w:szCs w:val="18"/>
        </w:rPr>
        <w:footnoteRef/>
      </w:r>
      <w:r w:rsidRPr="003E04BB">
        <w:rPr>
          <w:sz w:val="18"/>
          <w:szCs w:val="18"/>
        </w:rPr>
        <w:t xml:space="preserve"> New Zealand Medicines and Medical Devices Safety Authority </w:t>
      </w:r>
      <w:hyperlink r:id="rId22" w:history="1">
        <w:r w:rsidRPr="003E04BB">
          <w:rPr>
            <w:rStyle w:val="Hyperlink"/>
            <w:sz w:val="18"/>
            <w:szCs w:val="18"/>
          </w:rPr>
          <w:t>https://www.medsafe.govt.nz/regulatory/dbsearch.asp</w:t>
        </w:r>
      </w:hyperlink>
      <w:r w:rsidRPr="003E04BB">
        <w:rPr>
          <w:sz w:val="18"/>
          <w:szCs w:val="18"/>
        </w:rPr>
        <w:t xml:space="preserve"> </w:t>
      </w:r>
    </w:p>
  </w:footnote>
  <w:footnote w:id="26">
    <w:p w14:paraId="0DFF39E7" w14:textId="77777777" w:rsidR="0008464B" w:rsidRPr="003E04BB" w:rsidRDefault="0008464B" w:rsidP="0008464B">
      <w:pPr>
        <w:pStyle w:val="FootnoteText"/>
        <w:contextualSpacing/>
        <w:rPr>
          <w:sz w:val="18"/>
          <w:szCs w:val="18"/>
        </w:rPr>
      </w:pPr>
      <w:r w:rsidRPr="003E04BB">
        <w:rPr>
          <w:rStyle w:val="FootnoteReference"/>
          <w:sz w:val="18"/>
          <w:szCs w:val="18"/>
        </w:rPr>
        <w:footnoteRef/>
      </w:r>
      <w:r w:rsidRPr="003E04BB">
        <w:rPr>
          <w:sz w:val="18"/>
          <w:szCs w:val="18"/>
        </w:rPr>
        <w:t xml:space="preserve"> European Commission database for cosmetic substances and ingredients </w:t>
      </w:r>
      <w:hyperlink r:id="rId23" w:history="1">
        <w:r w:rsidRPr="003E04BB">
          <w:rPr>
            <w:rStyle w:val="Hyperlink"/>
            <w:sz w:val="18"/>
            <w:szCs w:val="18"/>
          </w:rPr>
          <w:t>https://ec.europa.eu/growth/tools-databases/cosing/index.cfm?fuseaction=search.details_v2&amp;id=74538</w:t>
        </w:r>
      </w:hyperlink>
      <w:r w:rsidRPr="003E04BB">
        <w:rPr>
          <w:sz w:val="18"/>
          <w:szCs w:val="18"/>
        </w:rPr>
        <w:t xml:space="preserve"> </w:t>
      </w:r>
    </w:p>
  </w:footnote>
  <w:footnote w:id="27">
    <w:p w14:paraId="2FED7C40" w14:textId="77777777" w:rsidR="00CB4E24" w:rsidRDefault="00CB4E24" w:rsidP="00CB4E24">
      <w:pPr>
        <w:pStyle w:val="FootnoteText"/>
      </w:pPr>
      <w:r>
        <w:rPr>
          <w:rStyle w:val="FootnoteReference"/>
        </w:rPr>
        <w:footnoteRef/>
      </w:r>
      <w:r>
        <w:t xml:space="preserve"> Proposed additions are shown in green underlined font, proposed deletions are shown in red strikethrough font, and text without this formatting represents the current text in the Poisons Standard. </w:t>
      </w:r>
    </w:p>
  </w:footnote>
  <w:footnote w:id="28">
    <w:p w14:paraId="13092701" w14:textId="77777777" w:rsidR="00E978F9" w:rsidRPr="000931F5" w:rsidRDefault="00E978F9" w:rsidP="00E978F9">
      <w:pPr>
        <w:pStyle w:val="FootnoteText"/>
        <w:spacing w:line="0" w:lineRule="atLeast"/>
        <w:rPr>
          <w:color w:val="002C47" w:themeColor="text2"/>
          <w:sz w:val="18"/>
          <w:szCs w:val="18"/>
          <w:u w:val="single"/>
        </w:rPr>
      </w:pPr>
      <w:r w:rsidRPr="000931F5">
        <w:rPr>
          <w:rStyle w:val="FootnoteReference"/>
          <w:sz w:val="18"/>
          <w:szCs w:val="18"/>
        </w:rPr>
        <w:footnoteRef/>
      </w:r>
      <w:r w:rsidRPr="000931F5">
        <w:rPr>
          <w:sz w:val="18"/>
          <w:szCs w:val="18"/>
        </w:rPr>
        <w:t xml:space="preserve"> TGA Ingredient Database </w:t>
      </w:r>
      <w:hyperlink r:id="rId24" w:history="1">
        <w:r w:rsidRPr="000931F5">
          <w:rPr>
            <w:rStyle w:val="Hyperlink"/>
            <w:color w:val="002C47" w:themeColor="text2"/>
            <w:sz w:val="18"/>
            <w:szCs w:val="18"/>
          </w:rPr>
          <w:t>https://www.ebs.tga.gov.au/</w:t>
        </w:r>
      </w:hyperlink>
      <w:r w:rsidRPr="000931F5">
        <w:rPr>
          <w:rStyle w:val="Hyperlink"/>
          <w:color w:val="002C47" w:themeColor="text2"/>
          <w:sz w:val="18"/>
          <w:szCs w:val="18"/>
        </w:rPr>
        <w:t xml:space="preserve"> </w:t>
      </w:r>
    </w:p>
  </w:footnote>
  <w:footnote w:id="29">
    <w:p w14:paraId="612A043D" w14:textId="77777777" w:rsidR="00E978F9" w:rsidRPr="000931F5" w:rsidRDefault="00E978F9" w:rsidP="00E978F9">
      <w:pPr>
        <w:pStyle w:val="FootnoteText"/>
        <w:spacing w:line="0" w:lineRule="atLeast"/>
        <w:rPr>
          <w:sz w:val="18"/>
          <w:szCs w:val="18"/>
        </w:rPr>
      </w:pPr>
      <w:r w:rsidRPr="000931F5">
        <w:rPr>
          <w:rStyle w:val="FootnoteReference"/>
          <w:sz w:val="18"/>
          <w:szCs w:val="18"/>
        </w:rPr>
        <w:footnoteRef/>
      </w:r>
      <w:r w:rsidRPr="000931F5">
        <w:rPr>
          <w:sz w:val="18"/>
          <w:szCs w:val="18"/>
        </w:rPr>
        <w:t xml:space="preserve"> ARTG database </w:t>
      </w:r>
      <w:hyperlink r:id="rId25" w:history="1">
        <w:r w:rsidRPr="000931F5">
          <w:rPr>
            <w:rStyle w:val="Hyperlink"/>
            <w:sz w:val="18"/>
            <w:szCs w:val="18"/>
          </w:rPr>
          <w:t>https://www.tga.gov.au/artg</w:t>
        </w:r>
      </w:hyperlink>
      <w:r w:rsidRPr="000931F5">
        <w:rPr>
          <w:sz w:val="18"/>
          <w:szCs w:val="18"/>
        </w:rPr>
        <w:t xml:space="preserve"> </w:t>
      </w:r>
    </w:p>
  </w:footnote>
  <w:footnote w:id="30">
    <w:p w14:paraId="23F17ED0" w14:textId="77777777" w:rsidR="00E978F9" w:rsidRPr="000931F5" w:rsidRDefault="00E978F9" w:rsidP="00E978F9">
      <w:pPr>
        <w:pStyle w:val="FootnoteText"/>
        <w:spacing w:line="0" w:lineRule="atLeast"/>
        <w:rPr>
          <w:sz w:val="18"/>
          <w:szCs w:val="18"/>
        </w:rPr>
      </w:pPr>
      <w:r w:rsidRPr="000931F5">
        <w:rPr>
          <w:rStyle w:val="FootnoteReference"/>
          <w:sz w:val="18"/>
          <w:szCs w:val="18"/>
        </w:rPr>
        <w:footnoteRef/>
      </w:r>
      <w:r w:rsidRPr="000931F5">
        <w:rPr>
          <w:sz w:val="18"/>
          <w:szCs w:val="18"/>
        </w:rPr>
        <w:t xml:space="preserve"> Therapeutic Goods (Permissible Ingredients) Determination </w:t>
      </w:r>
      <w:hyperlink r:id="rId26" w:history="1">
        <w:r w:rsidRPr="000931F5">
          <w:rPr>
            <w:rStyle w:val="Hyperlink"/>
            <w:sz w:val="18"/>
            <w:szCs w:val="18"/>
          </w:rPr>
          <w:t>https://www.legislation.gov.au/Search/Therapeutic%20Goods%20$LB$Permissible%20Ingredients$RB$%20Determination</w:t>
        </w:r>
      </w:hyperlink>
      <w:r w:rsidRPr="000931F5">
        <w:rPr>
          <w:sz w:val="18"/>
          <w:szCs w:val="18"/>
        </w:rPr>
        <w:t xml:space="preserve"> </w:t>
      </w:r>
    </w:p>
  </w:footnote>
  <w:footnote w:id="31">
    <w:p w14:paraId="029AC590" w14:textId="77777777" w:rsidR="00E978F9" w:rsidRPr="000931F5" w:rsidRDefault="00E978F9" w:rsidP="00E978F9">
      <w:pPr>
        <w:pStyle w:val="FootnoteText"/>
        <w:spacing w:line="0" w:lineRule="atLeast"/>
        <w:rPr>
          <w:sz w:val="18"/>
          <w:szCs w:val="18"/>
        </w:rPr>
      </w:pPr>
      <w:r w:rsidRPr="000931F5">
        <w:rPr>
          <w:rStyle w:val="FootnoteReference"/>
          <w:sz w:val="18"/>
          <w:szCs w:val="18"/>
        </w:rPr>
        <w:footnoteRef/>
      </w:r>
      <w:r w:rsidRPr="000931F5">
        <w:rPr>
          <w:sz w:val="18"/>
          <w:szCs w:val="18"/>
        </w:rPr>
        <w:t xml:space="preserve"> TGA prescribing medicines in pregnancy database </w:t>
      </w:r>
      <w:hyperlink r:id="rId27" w:history="1">
        <w:r w:rsidRPr="000931F5">
          <w:rPr>
            <w:rStyle w:val="Hyperlink"/>
            <w:sz w:val="18"/>
            <w:szCs w:val="18"/>
          </w:rPr>
          <w:t>https://www.tga.gov.au/prescribing-medicines-pregnancy-database</w:t>
        </w:r>
      </w:hyperlink>
      <w:r w:rsidRPr="000931F5">
        <w:rPr>
          <w:sz w:val="18"/>
          <w:szCs w:val="18"/>
        </w:rPr>
        <w:t xml:space="preserve"> </w:t>
      </w:r>
    </w:p>
  </w:footnote>
  <w:footnote w:id="32">
    <w:p w14:paraId="0699CA2E" w14:textId="6F5EA282" w:rsidR="00E978F9" w:rsidRPr="000931F5" w:rsidRDefault="00E978F9" w:rsidP="00E978F9">
      <w:pPr>
        <w:pStyle w:val="FootnoteText"/>
        <w:spacing w:line="0" w:lineRule="atLeast"/>
        <w:rPr>
          <w:sz w:val="18"/>
          <w:szCs w:val="18"/>
        </w:rPr>
      </w:pPr>
      <w:r w:rsidRPr="000931F5">
        <w:rPr>
          <w:rStyle w:val="FootnoteReference"/>
          <w:sz w:val="18"/>
          <w:szCs w:val="18"/>
        </w:rPr>
        <w:footnoteRef/>
      </w:r>
      <w:r w:rsidRPr="000931F5">
        <w:rPr>
          <w:sz w:val="18"/>
          <w:szCs w:val="18"/>
        </w:rPr>
        <w:t xml:space="preserve"> </w:t>
      </w:r>
      <w:r w:rsidR="00B238DA" w:rsidRPr="000C6BDC">
        <w:rPr>
          <w:sz w:val="18"/>
          <w:szCs w:val="18"/>
        </w:rPr>
        <w:t>Therapeutic Goods (Medicines Advisory Statements) Specification 20</w:t>
      </w:r>
      <w:r w:rsidR="00B238DA">
        <w:rPr>
          <w:sz w:val="18"/>
          <w:szCs w:val="18"/>
        </w:rPr>
        <w:t>21</w:t>
      </w:r>
      <w:r w:rsidR="00B238DA" w:rsidRPr="000C6BDC">
        <w:rPr>
          <w:sz w:val="18"/>
          <w:szCs w:val="18"/>
        </w:rPr>
        <w:t xml:space="preserve"> </w:t>
      </w:r>
      <w:r w:rsidR="00B238DA" w:rsidRPr="000C6BDC">
        <w:rPr>
          <w:rStyle w:val="Hyperlink"/>
          <w:sz w:val="18"/>
          <w:szCs w:val="18"/>
        </w:rPr>
        <w:t xml:space="preserve"> </w:t>
      </w:r>
      <w:r w:rsidR="00B238DA" w:rsidRPr="00555032">
        <w:t xml:space="preserve"> </w:t>
      </w:r>
      <w:hyperlink r:id="rId28" w:history="1">
        <w:r w:rsidR="00B238DA" w:rsidRPr="00BA2639">
          <w:rPr>
            <w:rStyle w:val="Hyperlink"/>
            <w:sz w:val="18"/>
            <w:szCs w:val="18"/>
          </w:rPr>
          <w:t>https://www.legislation.gov.au/Details/F2021L01888</w:t>
        </w:r>
      </w:hyperlink>
      <w:r w:rsidRPr="000931F5">
        <w:rPr>
          <w:sz w:val="18"/>
          <w:szCs w:val="18"/>
        </w:rPr>
        <w:t xml:space="preserve"> </w:t>
      </w:r>
    </w:p>
  </w:footnote>
  <w:footnote w:id="33">
    <w:p w14:paraId="54EE0846" w14:textId="77777777" w:rsidR="00E978F9" w:rsidRPr="000931F5" w:rsidRDefault="00E978F9" w:rsidP="00E978F9">
      <w:pPr>
        <w:pStyle w:val="FootnoteText"/>
        <w:spacing w:line="0" w:lineRule="atLeast"/>
        <w:rPr>
          <w:sz w:val="18"/>
          <w:szCs w:val="18"/>
        </w:rPr>
      </w:pPr>
      <w:r w:rsidRPr="000931F5">
        <w:rPr>
          <w:rStyle w:val="FootnoteReference"/>
          <w:sz w:val="18"/>
          <w:szCs w:val="18"/>
        </w:rPr>
        <w:footnoteRef/>
      </w:r>
      <w:r w:rsidRPr="000931F5">
        <w:rPr>
          <w:sz w:val="18"/>
          <w:szCs w:val="18"/>
        </w:rPr>
        <w:t xml:space="preserve"> Database of Adverse Event Notifications (DAEN)  </w:t>
      </w:r>
      <w:hyperlink r:id="rId29" w:history="1">
        <w:r w:rsidRPr="000931F5">
          <w:rPr>
            <w:rStyle w:val="Hyperlink"/>
            <w:sz w:val="18"/>
            <w:szCs w:val="18"/>
          </w:rPr>
          <w:t>https://apps.tga.gov.au/Prod/daen/daen-entry.aspx</w:t>
        </w:r>
      </w:hyperlink>
      <w:r w:rsidRPr="000931F5">
        <w:rPr>
          <w:sz w:val="18"/>
          <w:szCs w:val="18"/>
        </w:rPr>
        <w:t xml:space="preserve"> </w:t>
      </w:r>
    </w:p>
  </w:footnote>
  <w:footnote w:id="34">
    <w:p w14:paraId="4AC053CA" w14:textId="77777777" w:rsidR="00E978F9" w:rsidRPr="000931F5" w:rsidRDefault="00E978F9" w:rsidP="00E978F9">
      <w:pPr>
        <w:pStyle w:val="FootnoteText"/>
        <w:spacing w:line="0" w:lineRule="atLeast"/>
        <w:rPr>
          <w:sz w:val="18"/>
          <w:szCs w:val="18"/>
        </w:rPr>
      </w:pPr>
      <w:r w:rsidRPr="000931F5">
        <w:rPr>
          <w:rStyle w:val="FootnoteReference"/>
          <w:sz w:val="18"/>
          <w:szCs w:val="18"/>
        </w:rPr>
        <w:footnoteRef/>
      </w:r>
      <w:r w:rsidRPr="000931F5">
        <w:rPr>
          <w:sz w:val="18"/>
          <w:szCs w:val="18"/>
        </w:rPr>
        <w:t xml:space="preserve"> Public Chemical Registration Information System Search (</w:t>
      </w:r>
      <w:proofErr w:type="spellStart"/>
      <w:r w:rsidRPr="000931F5">
        <w:rPr>
          <w:sz w:val="18"/>
          <w:szCs w:val="18"/>
        </w:rPr>
        <w:t>PubCRIS</w:t>
      </w:r>
      <w:proofErr w:type="spellEnd"/>
      <w:r w:rsidRPr="000931F5">
        <w:rPr>
          <w:sz w:val="18"/>
          <w:szCs w:val="18"/>
        </w:rPr>
        <w:t xml:space="preserve">) </w:t>
      </w:r>
      <w:hyperlink r:id="rId30" w:history="1">
        <w:r w:rsidRPr="000931F5">
          <w:rPr>
            <w:rStyle w:val="Hyperlink"/>
            <w:sz w:val="18"/>
            <w:szCs w:val="18"/>
          </w:rPr>
          <w:t>https://portal.apvma.gov.au/pubcris</w:t>
        </w:r>
      </w:hyperlink>
      <w:r w:rsidRPr="000931F5">
        <w:rPr>
          <w:sz w:val="18"/>
          <w:szCs w:val="18"/>
        </w:rPr>
        <w:t xml:space="preserve"> </w:t>
      </w:r>
    </w:p>
  </w:footnote>
  <w:footnote w:id="35">
    <w:p w14:paraId="49F28349" w14:textId="435E3591" w:rsidR="00E978F9" w:rsidRPr="000931F5" w:rsidRDefault="00E978F9" w:rsidP="00E978F9">
      <w:pPr>
        <w:pStyle w:val="FootnoteText"/>
        <w:rPr>
          <w:sz w:val="18"/>
          <w:szCs w:val="18"/>
        </w:rPr>
      </w:pPr>
      <w:r w:rsidRPr="000931F5">
        <w:rPr>
          <w:rStyle w:val="FootnoteReference"/>
          <w:sz w:val="18"/>
          <w:szCs w:val="18"/>
        </w:rPr>
        <w:footnoteRef/>
      </w:r>
      <w:r w:rsidRPr="000931F5">
        <w:rPr>
          <w:sz w:val="18"/>
          <w:szCs w:val="18"/>
        </w:rPr>
        <w:t xml:space="preserve"> APVMA Adverse Experience Reporting Program</w:t>
      </w:r>
      <w:r w:rsidRPr="000931F5">
        <w:rPr>
          <w:rStyle w:val="Hyperlink"/>
          <w:sz w:val="18"/>
          <w:szCs w:val="18"/>
        </w:rPr>
        <w:t xml:space="preserve"> database (AERP)</w:t>
      </w:r>
      <w:r w:rsidRPr="000931F5">
        <w:rPr>
          <w:sz w:val="18"/>
          <w:szCs w:val="18"/>
        </w:rPr>
        <w:t xml:space="preserve"> </w:t>
      </w:r>
      <w:hyperlink r:id="rId31" w:history="1">
        <w:r w:rsidRPr="000931F5">
          <w:rPr>
            <w:rStyle w:val="Hyperlink"/>
            <w:sz w:val="18"/>
            <w:szCs w:val="18"/>
          </w:rPr>
          <w:t>https://apvma.gov.au/node/10946</w:t>
        </w:r>
      </w:hyperlink>
      <w:r w:rsidRPr="000931F5">
        <w:rPr>
          <w:sz w:val="18"/>
          <w:szCs w:val="18"/>
        </w:rPr>
        <w:t xml:space="preserve"> </w:t>
      </w:r>
    </w:p>
  </w:footnote>
  <w:footnote w:id="36">
    <w:p w14:paraId="3DE28518" w14:textId="3011D1AF" w:rsidR="000B0A7C" w:rsidRDefault="000B0A7C">
      <w:pPr>
        <w:pStyle w:val="FootnoteText"/>
      </w:pPr>
      <w:r>
        <w:rPr>
          <w:rStyle w:val="FootnoteReference"/>
        </w:rPr>
        <w:footnoteRef/>
      </w:r>
      <w:r>
        <w:t xml:space="preserve"> </w:t>
      </w:r>
      <w:r w:rsidRPr="000931F5">
        <w:rPr>
          <w:sz w:val="18"/>
          <w:szCs w:val="18"/>
        </w:rPr>
        <w:t xml:space="preserve">The </w:t>
      </w:r>
      <w:r>
        <w:rPr>
          <w:sz w:val="18"/>
          <w:szCs w:val="18"/>
        </w:rPr>
        <w:t xml:space="preserve">US EPA Pesticide Chemical Search </w:t>
      </w:r>
      <w:hyperlink r:id="rId32" w:history="1">
        <w:r w:rsidRPr="000B0A7C">
          <w:rPr>
            <w:rStyle w:val="Hyperlink"/>
            <w:sz w:val="18"/>
            <w:szCs w:val="18"/>
          </w:rPr>
          <w:t>ordspub.epa.gov/</w:t>
        </w:r>
        <w:proofErr w:type="spellStart"/>
        <w:r w:rsidRPr="000B0A7C">
          <w:rPr>
            <w:rStyle w:val="Hyperlink"/>
            <w:sz w:val="18"/>
            <w:szCs w:val="18"/>
          </w:rPr>
          <w:t>ords</w:t>
        </w:r>
        <w:proofErr w:type="spellEnd"/>
        <w:r w:rsidRPr="000B0A7C">
          <w:rPr>
            <w:rStyle w:val="Hyperlink"/>
            <w:sz w:val="18"/>
            <w:szCs w:val="18"/>
          </w:rPr>
          <w:t>/pesticides/</w:t>
        </w:r>
        <w:proofErr w:type="spellStart"/>
        <w:r w:rsidRPr="000B0A7C">
          <w:rPr>
            <w:rStyle w:val="Hyperlink"/>
            <w:sz w:val="18"/>
            <w:szCs w:val="18"/>
          </w:rPr>
          <w:t>f?p</w:t>
        </w:r>
        <w:proofErr w:type="spellEnd"/>
        <w:r w:rsidRPr="000B0A7C">
          <w:rPr>
            <w:rStyle w:val="Hyperlink"/>
            <w:sz w:val="18"/>
            <w:szCs w:val="18"/>
          </w:rPr>
          <w:t>=CHEMICALSEARCH:1:</w:t>
        </w:r>
      </w:hyperlink>
    </w:p>
  </w:footnote>
  <w:footnote w:id="37">
    <w:p w14:paraId="29072651" w14:textId="3983BCDE" w:rsidR="000B0A7C" w:rsidRPr="003839C0" w:rsidRDefault="000B0A7C">
      <w:pPr>
        <w:pStyle w:val="FootnoteText"/>
        <w:rPr>
          <w:sz w:val="18"/>
          <w:szCs w:val="18"/>
        </w:rPr>
      </w:pPr>
      <w:r w:rsidRPr="003839C0">
        <w:rPr>
          <w:rStyle w:val="FootnoteReference"/>
          <w:sz w:val="18"/>
          <w:szCs w:val="18"/>
        </w:rPr>
        <w:footnoteRef/>
      </w:r>
      <w:r w:rsidRPr="003839C0">
        <w:rPr>
          <w:sz w:val="18"/>
          <w:szCs w:val="18"/>
        </w:rPr>
        <w:t xml:space="preserve"> </w:t>
      </w:r>
      <w:r w:rsidR="003839C0" w:rsidRPr="003839C0">
        <w:rPr>
          <w:sz w:val="18"/>
          <w:szCs w:val="18"/>
        </w:rPr>
        <w:t xml:space="preserve">ECHA </w:t>
      </w:r>
      <w:hyperlink r:id="rId33" w:history="1">
        <w:r w:rsidR="003839C0" w:rsidRPr="003839C0">
          <w:rPr>
            <w:rStyle w:val="Hyperlink"/>
            <w:sz w:val="18"/>
            <w:szCs w:val="18"/>
          </w:rPr>
          <w:t>echa.europa.eu/search-for-chemicals</w:t>
        </w:r>
      </w:hyperlink>
    </w:p>
  </w:footnote>
  <w:footnote w:id="38">
    <w:p w14:paraId="25D3F642" w14:textId="30C2E3A5" w:rsidR="003839C0" w:rsidRPr="003839C0" w:rsidRDefault="003839C0">
      <w:pPr>
        <w:pStyle w:val="FootnoteText"/>
        <w:rPr>
          <w:sz w:val="18"/>
          <w:szCs w:val="18"/>
        </w:rPr>
      </w:pPr>
      <w:r w:rsidRPr="003839C0">
        <w:rPr>
          <w:rStyle w:val="FootnoteReference"/>
          <w:sz w:val="18"/>
          <w:szCs w:val="18"/>
        </w:rPr>
        <w:footnoteRef/>
      </w:r>
      <w:r w:rsidRPr="003839C0">
        <w:rPr>
          <w:sz w:val="18"/>
          <w:szCs w:val="18"/>
        </w:rPr>
        <w:t xml:space="preserve"> EC Reg 1107/2009 </w:t>
      </w:r>
      <w:hyperlink r:id="rId34" w:history="1">
        <w:r w:rsidRPr="003839C0">
          <w:rPr>
            <w:rStyle w:val="Hyperlink"/>
            <w:sz w:val="18"/>
            <w:szCs w:val="18"/>
          </w:rPr>
          <w:t>ec.europa.eu/food/plant/pesticides/eu-pesticides-database/start/screen/active-substances/details/483</w:t>
        </w:r>
      </w:hyperlink>
    </w:p>
  </w:footnote>
  <w:footnote w:id="39">
    <w:p w14:paraId="2B1B198A" w14:textId="13066170" w:rsidR="000B0A7C" w:rsidRDefault="000B0A7C">
      <w:pPr>
        <w:pStyle w:val="FootnoteText"/>
      </w:pPr>
      <w:r>
        <w:rPr>
          <w:rStyle w:val="FootnoteReference"/>
        </w:rPr>
        <w:footnoteRef/>
      </w:r>
      <w:r>
        <w:t xml:space="preserve"> </w:t>
      </w:r>
      <w:proofErr w:type="spellStart"/>
      <w:r>
        <w:rPr>
          <w:rFonts w:eastAsia="Times New Roman"/>
          <w:color w:val="212529"/>
          <w:sz w:val="18"/>
          <w:szCs w:val="18"/>
          <w:lang w:eastAsia="en-AU"/>
        </w:rPr>
        <w:t>NZIoC</w:t>
      </w:r>
      <w:proofErr w:type="spellEnd"/>
      <w:r>
        <w:rPr>
          <w:rFonts w:eastAsia="Times New Roman"/>
          <w:color w:val="212529"/>
          <w:sz w:val="18"/>
          <w:szCs w:val="18"/>
          <w:lang w:eastAsia="en-AU"/>
        </w:rPr>
        <w:t xml:space="preserve"> </w:t>
      </w:r>
      <w:hyperlink r:id="rId35" w:history="1">
        <w:r w:rsidRPr="000B0A7C">
          <w:rPr>
            <w:rStyle w:val="Hyperlink"/>
            <w:rFonts w:eastAsia="Times New Roman"/>
            <w:sz w:val="18"/>
            <w:szCs w:val="18"/>
            <w:lang w:eastAsia="en-AU"/>
          </w:rPr>
          <w:t>http://www.epa.govt.nz/database-search/new-zealand-inventory-of-chemicals-nzioc/</w:t>
        </w:r>
      </w:hyperlink>
    </w:p>
  </w:footnote>
  <w:footnote w:id="40">
    <w:p w14:paraId="0A84C2D8" w14:textId="77777777" w:rsidR="007F4AAD" w:rsidRDefault="007F4AAD" w:rsidP="007F4AAD">
      <w:pPr>
        <w:pStyle w:val="FootnoteText"/>
      </w:pPr>
      <w:r>
        <w:rPr>
          <w:rStyle w:val="FootnoteReference"/>
        </w:rPr>
        <w:footnoteRef/>
      </w:r>
      <w:r>
        <w:t xml:space="preserve"> Proposed additions are shown in green underlined font, proposed deletions are shown in red strikethrough font, and text without this formatting represents the current text in the Poisons Standard. </w:t>
      </w:r>
    </w:p>
  </w:footnote>
  <w:footnote w:id="41">
    <w:p w14:paraId="25D86DA9" w14:textId="77777777" w:rsidR="00E75CF4" w:rsidRPr="00EC6486" w:rsidRDefault="00E75CF4" w:rsidP="00E75CF4">
      <w:pPr>
        <w:pStyle w:val="FootnoteText"/>
        <w:rPr>
          <w:sz w:val="18"/>
          <w:szCs w:val="18"/>
        </w:rPr>
      </w:pPr>
      <w:r w:rsidRPr="00EC6486">
        <w:rPr>
          <w:rStyle w:val="FootnoteReference"/>
          <w:sz w:val="18"/>
          <w:szCs w:val="18"/>
        </w:rPr>
        <w:footnoteRef/>
      </w:r>
      <w:r w:rsidRPr="00EC6486">
        <w:rPr>
          <w:sz w:val="18"/>
          <w:szCs w:val="18"/>
        </w:rPr>
        <w:t xml:space="preserve"> Considerations on Acceptable Trace Level of 1,4-Dioxane in Cosmetic Products </w:t>
      </w:r>
      <w:hyperlink r:id="rId36" w:history="1">
        <w:r w:rsidRPr="00EC6486">
          <w:rPr>
            <w:rStyle w:val="Hyperlink"/>
            <w:sz w:val="18"/>
            <w:szCs w:val="18"/>
          </w:rPr>
          <w:t>ec.europa.eu/health/scientific_committees/consumer_safety/docs/sccs_o_194.pdf</w:t>
        </w:r>
      </w:hyperlink>
    </w:p>
  </w:footnote>
  <w:footnote w:id="42">
    <w:p w14:paraId="7AF3AB55" w14:textId="77777777" w:rsidR="00E75CF4" w:rsidRPr="00AD1F69" w:rsidRDefault="00E75CF4" w:rsidP="00E75CF4">
      <w:pPr>
        <w:pStyle w:val="FootnoteText"/>
        <w:rPr>
          <w:sz w:val="18"/>
          <w:szCs w:val="18"/>
        </w:rPr>
      </w:pPr>
      <w:r w:rsidRPr="00AD1F69">
        <w:rPr>
          <w:rStyle w:val="FootnoteReference"/>
          <w:sz w:val="18"/>
          <w:szCs w:val="18"/>
        </w:rPr>
        <w:footnoteRef/>
      </w:r>
      <w:r w:rsidRPr="00AD1F69">
        <w:rPr>
          <w:sz w:val="18"/>
          <w:szCs w:val="18"/>
        </w:rPr>
        <w:t xml:space="preserve"> Regulation (EC) No 1223/2009 </w:t>
      </w:r>
      <w:hyperlink r:id="rId37" w:history="1">
        <w:r w:rsidRPr="00AD1F69">
          <w:rPr>
            <w:rStyle w:val="Hyperlink"/>
            <w:sz w:val="18"/>
            <w:szCs w:val="18"/>
          </w:rPr>
          <w:t>health.ec.europa.eu/system/files/2016-11/cosmetic_1223_2009_regulation_en_0.pdf</w:t>
        </w:r>
      </w:hyperlink>
    </w:p>
  </w:footnote>
  <w:footnote w:id="43">
    <w:p w14:paraId="43215E59" w14:textId="77777777" w:rsidR="00D615FD" w:rsidRPr="002C141B" w:rsidRDefault="00D615FD" w:rsidP="00D615FD">
      <w:pPr>
        <w:pStyle w:val="FootnoteText"/>
        <w:rPr>
          <w:sz w:val="18"/>
          <w:szCs w:val="18"/>
        </w:rPr>
      </w:pPr>
      <w:r w:rsidRPr="002C141B">
        <w:rPr>
          <w:rStyle w:val="FootnoteReference"/>
          <w:sz w:val="18"/>
          <w:szCs w:val="18"/>
        </w:rPr>
        <w:footnoteRef/>
      </w:r>
      <w:r w:rsidRPr="002C141B">
        <w:rPr>
          <w:sz w:val="18"/>
          <w:szCs w:val="18"/>
        </w:rPr>
        <w:t xml:space="preserve"> TGA Ingredient Database </w:t>
      </w:r>
      <w:hyperlink r:id="rId38" w:history="1">
        <w:r w:rsidRPr="002C141B">
          <w:rPr>
            <w:rStyle w:val="Hyperlink"/>
            <w:color w:val="002C47" w:themeColor="text2"/>
            <w:sz w:val="18"/>
            <w:szCs w:val="18"/>
          </w:rPr>
          <w:t>https://www.ebs.tga.gov.au/</w:t>
        </w:r>
      </w:hyperlink>
    </w:p>
  </w:footnote>
  <w:footnote w:id="44">
    <w:p w14:paraId="722D4B3B" w14:textId="77777777" w:rsidR="00D615FD" w:rsidRPr="002C141B" w:rsidRDefault="00D615FD" w:rsidP="00D615FD">
      <w:pPr>
        <w:spacing w:before="0" w:after="0"/>
        <w:rPr>
          <w:sz w:val="18"/>
          <w:szCs w:val="18"/>
        </w:rPr>
      </w:pPr>
      <w:r w:rsidRPr="002C141B">
        <w:rPr>
          <w:rStyle w:val="FootnoteReference"/>
          <w:sz w:val="18"/>
          <w:szCs w:val="18"/>
        </w:rPr>
        <w:footnoteRef/>
      </w:r>
      <w:r w:rsidRPr="002C141B">
        <w:rPr>
          <w:sz w:val="18"/>
          <w:szCs w:val="18"/>
        </w:rPr>
        <w:t xml:space="preserve"> ARTG database </w:t>
      </w:r>
      <w:hyperlink r:id="rId39" w:history="1">
        <w:r w:rsidRPr="002C141B">
          <w:rPr>
            <w:rStyle w:val="Hyperlink"/>
            <w:sz w:val="18"/>
            <w:szCs w:val="18"/>
          </w:rPr>
          <w:t>https://www.tga.gov.au/artg</w:t>
        </w:r>
      </w:hyperlink>
      <w:r w:rsidRPr="002C141B">
        <w:rPr>
          <w:sz w:val="18"/>
          <w:szCs w:val="18"/>
        </w:rPr>
        <w:t xml:space="preserve"> </w:t>
      </w:r>
    </w:p>
  </w:footnote>
  <w:footnote w:id="45">
    <w:p w14:paraId="4EABFA8A" w14:textId="77777777" w:rsidR="00D615FD" w:rsidRPr="002C141B" w:rsidRDefault="00D615FD" w:rsidP="00D615FD">
      <w:pPr>
        <w:spacing w:before="0" w:after="0"/>
        <w:rPr>
          <w:sz w:val="18"/>
          <w:szCs w:val="18"/>
        </w:rPr>
      </w:pPr>
      <w:r w:rsidRPr="002C141B">
        <w:rPr>
          <w:rStyle w:val="FootnoteReference"/>
          <w:sz w:val="18"/>
          <w:szCs w:val="18"/>
        </w:rPr>
        <w:footnoteRef/>
      </w:r>
      <w:r w:rsidRPr="002C141B">
        <w:rPr>
          <w:sz w:val="18"/>
          <w:szCs w:val="18"/>
        </w:rPr>
        <w:t xml:space="preserve"> Therapeutic Goods (Permissible Ingredients) Determination </w:t>
      </w:r>
      <w:hyperlink r:id="rId40" w:history="1">
        <w:r w:rsidRPr="002C141B">
          <w:rPr>
            <w:rStyle w:val="Hyperlink"/>
            <w:sz w:val="18"/>
            <w:szCs w:val="18"/>
          </w:rPr>
          <w:t>https://www.legislation.gov.au/Search/Therapeutic%20Goods%20$LB$Permissible%20Ingredients$RB$%20Determination</w:t>
        </w:r>
      </w:hyperlink>
      <w:r w:rsidRPr="002C141B">
        <w:rPr>
          <w:sz w:val="18"/>
          <w:szCs w:val="18"/>
        </w:rPr>
        <w:t xml:space="preserve"> </w:t>
      </w:r>
    </w:p>
  </w:footnote>
  <w:footnote w:id="46">
    <w:p w14:paraId="36B74D63" w14:textId="77777777" w:rsidR="00D615FD" w:rsidRPr="002C141B" w:rsidRDefault="00D615FD" w:rsidP="00D615FD">
      <w:pPr>
        <w:pStyle w:val="FootnoteText"/>
        <w:rPr>
          <w:sz w:val="18"/>
          <w:szCs w:val="18"/>
        </w:rPr>
      </w:pPr>
      <w:r w:rsidRPr="002C141B">
        <w:rPr>
          <w:rStyle w:val="FootnoteReference"/>
          <w:sz w:val="18"/>
          <w:szCs w:val="18"/>
        </w:rPr>
        <w:footnoteRef/>
      </w:r>
      <w:r w:rsidRPr="002C141B">
        <w:rPr>
          <w:sz w:val="18"/>
          <w:szCs w:val="18"/>
        </w:rPr>
        <w:t xml:space="preserve"> TGA prescribing medicines in pregnancy database </w:t>
      </w:r>
      <w:hyperlink r:id="rId41" w:history="1">
        <w:r w:rsidRPr="002C141B">
          <w:rPr>
            <w:rStyle w:val="Hyperlink"/>
            <w:sz w:val="18"/>
            <w:szCs w:val="18"/>
          </w:rPr>
          <w:t>https://www.tga.gov.au/prescribing-medicines-pregnancy-database</w:t>
        </w:r>
      </w:hyperlink>
      <w:r w:rsidRPr="002C141B">
        <w:rPr>
          <w:sz w:val="18"/>
          <w:szCs w:val="18"/>
        </w:rPr>
        <w:t xml:space="preserve"> </w:t>
      </w:r>
    </w:p>
  </w:footnote>
  <w:footnote w:id="47">
    <w:p w14:paraId="31208CDB" w14:textId="1B079670" w:rsidR="00D615FD" w:rsidRPr="002C141B" w:rsidRDefault="00D615FD" w:rsidP="00D615FD">
      <w:pPr>
        <w:spacing w:before="0" w:after="0"/>
        <w:rPr>
          <w:sz w:val="18"/>
          <w:szCs w:val="18"/>
        </w:rPr>
      </w:pPr>
      <w:r w:rsidRPr="002C141B">
        <w:rPr>
          <w:rStyle w:val="FootnoteReference"/>
          <w:sz w:val="18"/>
          <w:szCs w:val="18"/>
        </w:rPr>
        <w:footnoteRef/>
      </w:r>
      <w:r w:rsidRPr="002C141B">
        <w:rPr>
          <w:sz w:val="18"/>
          <w:szCs w:val="18"/>
        </w:rPr>
        <w:t xml:space="preserve"> Therapeutic Goods (Medicines Advisory Statements) Specification </w:t>
      </w:r>
      <w:proofErr w:type="gramStart"/>
      <w:r w:rsidRPr="002C141B">
        <w:rPr>
          <w:sz w:val="18"/>
          <w:szCs w:val="18"/>
        </w:rPr>
        <w:t>20</w:t>
      </w:r>
      <w:r w:rsidR="002A13F8">
        <w:rPr>
          <w:sz w:val="18"/>
          <w:szCs w:val="18"/>
        </w:rPr>
        <w:t>21</w:t>
      </w:r>
      <w:r w:rsidRPr="002C141B">
        <w:rPr>
          <w:sz w:val="18"/>
          <w:szCs w:val="18"/>
        </w:rPr>
        <w:t xml:space="preserve"> </w:t>
      </w:r>
      <w:r w:rsidRPr="002C141B">
        <w:rPr>
          <w:rStyle w:val="Hyperlink"/>
          <w:sz w:val="18"/>
          <w:szCs w:val="18"/>
        </w:rPr>
        <w:t xml:space="preserve"> </w:t>
      </w:r>
      <w:r w:rsidR="002A13F8" w:rsidRPr="00AF65C4">
        <w:rPr>
          <w:sz w:val="18"/>
          <w:szCs w:val="16"/>
        </w:rPr>
        <w:t>https://www.legislation.gov.au/Details/F2021L01888</w:t>
      </w:r>
      <w:proofErr w:type="gramEnd"/>
      <w:r w:rsidRPr="002C141B">
        <w:rPr>
          <w:sz w:val="18"/>
          <w:szCs w:val="18"/>
        </w:rPr>
        <w:t xml:space="preserve"> </w:t>
      </w:r>
    </w:p>
  </w:footnote>
  <w:footnote w:id="48">
    <w:p w14:paraId="48C888BF" w14:textId="77777777" w:rsidR="00D615FD" w:rsidRPr="002C141B" w:rsidRDefault="00D615FD" w:rsidP="00D615FD">
      <w:pPr>
        <w:spacing w:before="0" w:after="0"/>
        <w:rPr>
          <w:sz w:val="18"/>
          <w:szCs w:val="18"/>
        </w:rPr>
      </w:pPr>
      <w:r w:rsidRPr="002C141B">
        <w:rPr>
          <w:rStyle w:val="FootnoteReference"/>
          <w:sz w:val="18"/>
          <w:szCs w:val="18"/>
        </w:rPr>
        <w:footnoteRef/>
      </w:r>
      <w:r w:rsidRPr="002C141B">
        <w:rPr>
          <w:sz w:val="18"/>
          <w:szCs w:val="18"/>
        </w:rPr>
        <w:t xml:space="preserve"> Database of Adverse Event Notifications (DAEN)  </w:t>
      </w:r>
      <w:hyperlink r:id="rId42" w:history="1">
        <w:r w:rsidRPr="002C141B">
          <w:rPr>
            <w:rStyle w:val="Hyperlink"/>
            <w:sz w:val="18"/>
            <w:szCs w:val="18"/>
          </w:rPr>
          <w:t>https://apps.tga.gov.au/Prod/daen/daen-entry.aspx</w:t>
        </w:r>
      </w:hyperlink>
      <w:r w:rsidRPr="002C141B">
        <w:rPr>
          <w:sz w:val="18"/>
          <w:szCs w:val="18"/>
        </w:rPr>
        <w:t xml:space="preserve"> </w:t>
      </w:r>
    </w:p>
  </w:footnote>
  <w:footnote w:id="49">
    <w:p w14:paraId="5032E366" w14:textId="77777777" w:rsidR="00D615FD" w:rsidRPr="002C141B" w:rsidRDefault="00D615FD" w:rsidP="00D615FD">
      <w:pPr>
        <w:spacing w:before="0" w:after="0"/>
        <w:rPr>
          <w:sz w:val="18"/>
          <w:szCs w:val="18"/>
        </w:rPr>
      </w:pPr>
      <w:r w:rsidRPr="002C141B">
        <w:rPr>
          <w:rStyle w:val="FootnoteReference"/>
          <w:sz w:val="18"/>
          <w:szCs w:val="18"/>
        </w:rPr>
        <w:footnoteRef/>
      </w:r>
      <w:r w:rsidRPr="002C141B">
        <w:rPr>
          <w:sz w:val="18"/>
          <w:szCs w:val="18"/>
        </w:rPr>
        <w:t xml:space="preserve"> Public Chemical Registration Information System Search (</w:t>
      </w:r>
      <w:proofErr w:type="spellStart"/>
      <w:r w:rsidRPr="002C141B">
        <w:rPr>
          <w:sz w:val="18"/>
          <w:szCs w:val="18"/>
        </w:rPr>
        <w:t>PubCRIS</w:t>
      </w:r>
      <w:proofErr w:type="spellEnd"/>
      <w:r w:rsidRPr="002C141B">
        <w:rPr>
          <w:sz w:val="18"/>
          <w:szCs w:val="18"/>
        </w:rPr>
        <w:t xml:space="preserve">) </w:t>
      </w:r>
      <w:hyperlink r:id="rId43" w:history="1">
        <w:r w:rsidRPr="002C141B">
          <w:rPr>
            <w:rStyle w:val="Hyperlink"/>
            <w:sz w:val="18"/>
            <w:szCs w:val="18"/>
          </w:rPr>
          <w:t>https://portal.apvma.gov.au/pubcris</w:t>
        </w:r>
      </w:hyperlink>
      <w:r w:rsidRPr="002C141B">
        <w:rPr>
          <w:sz w:val="18"/>
          <w:szCs w:val="18"/>
        </w:rPr>
        <w:t xml:space="preserve"> </w:t>
      </w:r>
    </w:p>
  </w:footnote>
  <w:footnote w:id="50">
    <w:p w14:paraId="4B13E76A" w14:textId="77777777" w:rsidR="00D615FD" w:rsidRDefault="00D615FD" w:rsidP="00D615FD">
      <w:pPr>
        <w:spacing w:before="0" w:after="0"/>
      </w:pPr>
      <w:r w:rsidRPr="002C141B">
        <w:rPr>
          <w:rStyle w:val="FootnoteReference"/>
          <w:sz w:val="18"/>
          <w:szCs w:val="18"/>
        </w:rPr>
        <w:footnoteRef/>
      </w:r>
      <w:r w:rsidRPr="002C141B">
        <w:rPr>
          <w:sz w:val="18"/>
          <w:szCs w:val="18"/>
        </w:rPr>
        <w:t xml:space="preserve"> New Zealand Inventory of Chemicals (</w:t>
      </w:r>
      <w:proofErr w:type="spellStart"/>
      <w:r w:rsidRPr="002C141B">
        <w:rPr>
          <w:sz w:val="18"/>
          <w:szCs w:val="18"/>
        </w:rPr>
        <w:t>NZIoC</w:t>
      </w:r>
      <w:proofErr w:type="spellEnd"/>
      <w:r w:rsidRPr="002C141B">
        <w:rPr>
          <w:sz w:val="18"/>
          <w:szCs w:val="18"/>
        </w:rPr>
        <w:t xml:space="preserve">) </w:t>
      </w:r>
      <w:hyperlink r:id="rId44" w:history="1">
        <w:r w:rsidRPr="002C141B">
          <w:rPr>
            <w:rStyle w:val="Hyperlink"/>
            <w:sz w:val="18"/>
            <w:szCs w:val="18"/>
          </w:rPr>
          <w:t>https://www.epa.govt.nz/database-search/new-zealand-inventory-of-chemicals-nzioc/DatabaseSearchForm/?SiteDatabaseSearchFilters=36&amp;Keyword=acequinocyl&amp;DatabaseType=NZIOC</w:t>
        </w:r>
      </w:hyperlink>
      <w:r>
        <w:t xml:space="preserve"> </w:t>
      </w:r>
    </w:p>
  </w:footnote>
  <w:footnote w:id="51">
    <w:p w14:paraId="55A1ADF1" w14:textId="77777777" w:rsidR="00D615FD" w:rsidRPr="002C141B" w:rsidRDefault="00D615FD" w:rsidP="00D615FD">
      <w:pPr>
        <w:pStyle w:val="FootnoteText"/>
        <w:rPr>
          <w:sz w:val="18"/>
          <w:szCs w:val="18"/>
        </w:rPr>
      </w:pPr>
      <w:r w:rsidRPr="002C141B">
        <w:rPr>
          <w:rStyle w:val="FootnoteReference"/>
          <w:sz w:val="18"/>
          <w:szCs w:val="18"/>
        </w:rPr>
        <w:footnoteRef/>
      </w:r>
      <w:r w:rsidRPr="002C141B">
        <w:rPr>
          <w:sz w:val="18"/>
          <w:szCs w:val="18"/>
        </w:rPr>
        <w:t xml:space="preserve"> Regulation (EC) No 1223/2009 </w:t>
      </w:r>
      <w:hyperlink r:id="rId45" w:history="1">
        <w:r w:rsidRPr="002C141B">
          <w:rPr>
            <w:rStyle w:val="Hyperlink"/>
            <w:sz w:val="18"/>
            <w:szCs w:val="18"/>
          </w:rPr>
          <w:t>health.ec.europa.eu/system/files/2016-11/cosmetic_1223_2009_regulation_en_0.pdf</w:t>
        </w:r>
      </w:hyperlink>
    </w:p>
  </w:footnote>
  <w:footnote w:id="52">
    <w:p w14:paraId="369AC7A0" w14:textId="77777777" w:rsidR="00D615FD" w:rsidRPr="002C141B" w:rsidRDefault="00D615FD" w:rsidP="00D615FD">
      <w:pPr>
        <w:pStyle w:val="FootnoteText"/>
        <w:rPr>
          <w:sz w:val="18"/>
          <w:szCs w:val="18"/>
        </w:rPr>
      </w:pPr>
      <w:r w:rsidRPr="002C141B">
        <w:rPr>
          <w:rStyle w:val="FootnoteReference"/>
          <w:sz w:val="18"/>
          <w:szCs w:val="18"/>
        </w:rPr>
        <w:footnoteRef/>
      </w:r>
      <w:r w:rsidRPr="002C141B">
        <w:rPr>
          <w:sz w:val="18"/>
          <w:szCs w:val="18"/>
        </w:rPr>
        <w:t xml:space="preserve"> ECHA </w:t>
      </w:r>
      <w:proofErr w:type="spellStart"/>
      <w:r w:rsidRPr="002C141B">
        <w:rPr>
          <w:sz w:val="18"/>
          <w:szCs w:val="18"/>
        </w:rPr>
        <w:t>infocard</w:t>
      </w:r>
      <w:proofErr w:type="spellEnd"/>
      <w:r w:rsidRPr="002C141B">
        <w:rPr>
          <w:sz w:val="18"/>
          <w:szCs w:val="18"/>
        </w:rPr>
        <w:t xml:space="preserve"> on dioxane </w:t>
      </w:r>
      <w:hyperlink r:id="rId46" w:history="1">
        <w:r w:rsidRPr="002C141B">
          <w:rPr>
            <w:rStyle w:val="Hyperlink"/>
            <w:sz w:val="18"/>
            <w:szCs w:val="18"/>
          </w:rPr>
          <w:t>echa.europa.eu/substance-information/-/</w:t>
        </w:r>
        <w:proofErr w:type="spellStart"/>
        <w:r w:rsidRPr="002C141B">
          <w:rPr>
            <w:rStyle w:val="Hyperlink"/>
            <w:sz w:val="18"/>
            <w:szCs w:val="18"/>
          </w:rPr>
          <w:t>substanceinfo</w:t>
        </w:r>
        <w:proofErr w:type="spellEnd"/>
        <w:r w:rsidRPr="002C141B">
          <w:rPr>
            <w:rStyle w:val="Hyperlink"/>
            <w:sz w:val="18"/>
            <w:szCs w:val="18"/>
          </w:rPr>
          <w:t>/100.004.239</w:t>
        </w:r>
      </w:hyperlink>
    </w:p>
  </w:footnote>
  <w:footnote w:id="53">
    <w:p w14:paraId="6AE90D21" w14:textId="77777777" w:rsidR="00D615FD" w:rsidRDefault="00D615FD" w:rsidP="00D615FD">
      <w:pPr>
        <w:pStyle w:val="FootnoteText"/>
      </w:pPr>
      <w:r w:rsidRPr="002C141B">
        <w:rPr>
          <w:rStyle w:val="FootnoteReference"/>
          <w:sz w:val="18"/>
          <w:szCs w:val="18"/>
        </w:rPr>
        <w:footnoteRef/>
      </w:r>
      <w:r w:rsidRPr="002C141B">
        <w:rPr>
          <w:sz w:val="18"/>
          <w:szCs w:val="18"/>
        </w:rPr>
        <w:t xml:space="preserve"> EPA Final Risk Evaluation on dioxane </w:t>
      </w:r>
      <w:hyperlink r:id="rId47" w:history="1">
        <w:r w:rsidRPr="002C141B">
          <w:rPr>
            <w:rStyle w:val="Hyperlink"/>
            <w:sz w:val="18"/>
            <w:szCs w:val="18"/>
          </w:rPr>
          <w:t>http://www.epa.gov/assessing-and-managing-chemicals-under-tsca/final-risk-evaluation-14-dioxane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5CE7" w14:textId="77777777" w:rsidR="00AA0AD3" w:rsidRPr="00920FF4" w:rsidRDefault="00AA0AD3"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1DD3" w14:textId="62B01960" w:rsidR="00AA0AD3" w:rsidRPr="00C419A3" w:rsidRDefault="00C419A3" w:rsidP="00C419A3">
    <w:pPr>
      <w:pStyle w:val="Header"/>
      <w:pBdr>
        <w:bottom w:val="none" w:sz="0" w:space="0" w:color="auto"/>
      </w:pBdr>
    </w:pPr>
    <w:r w:rsidRPr="00F3255D">
      <w:rPr>
        <w:noProof/>
        <w:lang w:eastAsia="en-AU"/>
      </w:rPr>
      <w:drawing>
        <wp:anchor distT="0" distB="0" distL="114300" distR="114300" simplePos="0" relativeHeight="251659264" behindDoc="0" locked="0" layoutInCell="1" allowOverlap="1" wp14:anchorId="18CA638D" wp14:editId="2759CC60">
          <wp:simplePos x="0" y="0"/>
          <wp:positionH relativeFrom="column">
            <wp:posOffset>0</wp:posOffset>
          </wp:positionH>
          <wp:positionV relativeFrom="paragraph">
            <wp:posOffset>123190</wp:posOffset>
          </wp:positionV>
          <wp:extent cx="3524400" cy="820800"/>
          <wp:effectExtent l="0" t="0" r="0" b="0"/>
          <wp:wrapTopAndBottom/>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24400" cy="820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46CCF" w14:textId="77777777" w:rsidR="00AA0AD3" w:rsidRPr="009401F6" w:rsidRDefault="00AA0AD3" w:rsidP="0047772E"/>
  <w:p w14:paraId="26CF139F" w14:textId="77777777" w:rsidR="00AA0AD3" w:rsidRPr="002B0C2E" w:rsidRDefault="00AA0AD3"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CDEE41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CB6F35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9F4E4D"/>
    <w:multiLevelType w:val="hybridMultilevel"/>
    <w:tmpl w:val="8576772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4F7749"/>
    <w:multiLevelType w:val="hybridMultilevel"/>
    <w:tmpl w:val="1A84A5F0"/>
    <w:lvl w:ilvl="0" w:tplc="BA3E729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8F13E9"/>
    <w:multiLevelType w:val="multilevel"/>
    <w:tmpl w:val="CB32B50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ABD74D0"/>
    <w:multiLevelType w:val="hybridMultilevel"/>
    <w:tmpl w:val="64BE2784"/>
    <w:lvl w:ilvl="0" w:tplc="4BD20BAA">
      <w:start w:val="1"/>
      <w:numFmt w:val="lowerRoman"/>
      <w:pStyle w:val="ListBulle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1B263088"/>
    <w:multiLevelType w:val="hybridMultilevel"/>
    <w:tmpl w:val="1FE02C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CC31CFE"/>
    <w:multiLevelType w:val="hybridMultilevel"/>
    <w:tmpl w:val="DF1A8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EF3ACD"/>
    <w:multiLevelType w:val="multilevel"/>
    <w:tmpl w:val="7CEE59EA"/>
    <w:lvl w:ilvl="0">
      <w:start w:val="1"/>
      <w:numFmt w:val="decimal"/>
      <w:pStyle w:val="Heading2"/>
      <w:lvlText w:val="%1"/>
      <w:lvlJc w:val="left"/>
      <w:pPr>
        <w:ind w:left="432" w:hanging="432"/>
      </w:pPr>
    </w:lvl>
    <w:lvl w:ilvl="1">
      <w:start w:val="1"/>
      <w:numFmt w:val="decimal"/>
      <w:pStyle w:val="Heading3"/>
      <w:lvlText w:val="%1.%2"/>
      <w:lvlJc w:val="left"/>
      <w:pPr>
        <w:ind w:left="576" w:hanging="576"/>
      </w:pPr>
      <w:rPr>
        <w:i w:val="0"/>
        <w:i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E88004A"/>
    <w:multiLevelType w:val="hybridMultilevel"/>
    <w:tmpl w:val="D33EB1E6"/>
    <w:lvl w:ilvl="0" w:tplc="17E29EF6">
      <w:start w:val="1"/>
      <w:numFmt w:val="bullet"/>
      <w:lvlText w:val="-"/>
      <w:lvlJc w:val="left"/>
      <w:pPr>
        <w:ind w:left="1080" w:hanging="360"/>
      </w:pPr>
      <w:rPr>
        <w:rFonts w:ascii="Courier New" w:hAnsi="Courier New" w:cs="Times New Roman"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0EB1BE1"/>
    <w:multiLevelType w:val="hybridMultilevel"/>
    <w:tmpl w:val="8DFA1B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0D5774"/>
    <w:multiLevelType w:val="hybridMultilevel"/>
    <w:tmpl w:val="8724D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686EAB"/>
    <w:multiLevelType w:val="hybridMultilevel"/>
    <w:tmpl w:val="B95ED9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B64AD7"/>
    <w:multiLevelType w:val="hybridMultilevel"/>
    <w:tmpl w:val="E2E6483A"/>
    <w:lvl w:ilvl="0" w:tplc="A5D20B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465FC1"/>
    <w:multiLevelType w:val="hybridMultilevel"/>
    <w:tmpl w:val="A44810C2"/>
    <w:lvl w:ilvl="0" w:tplc="15D2991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E924211"/>
    <w:multiLevelType w:val="hybridMultilevel"/>
    <w:tmpl w:val="34C493BE"/>
    <w:lvl w:ilvl="0" w:tplc="5E685644">
      <w:start w:val="1"/>
      <w:numFmt w:val="lowerLetter"/>
      <w:pStyle w:val="ListBulleta"/>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7" w15:restartNumberingAfterBreak="0">
    <w:nsid w:val="33AF7F71"/>
    <w:multiLevelType w:val="multilevel"/>
    <w:tmpl w:val="CB32B508"/>
    <w:numStyleLink w:val="ListBullets"/>
  </w:abstractNum>
  <w:abstractNum w:abstractNumId="18"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9" w15:restartNumberingAfterBreak="0">
    <w:nsid w:val="398C66A0"/>
    <w:multiLevelType w:val="hybridMultilevel"/>
    <w:tmpl w:val="B172E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AD54F9"/>
    <w:multiLevelType w:val="hybridMultilevel"/>
    <w:tmpl w:val="3732C7D0"/>
    <w:lvl w:ilvl="0" w:tplc="D6D8B654">
      <w:numFmt w:val="bullet"/>
      <w:lvlText w:val="-"/>
      <w:lvlJc w:val="left"/>
      <w:pPr>
        <w:ind w:left="927" w:hanging="360"/>
      </w:pPr>
      <w:rPr>
        <w:rFonts w:ascii="Cambria" w:eastAsia="Cambria" w:hAnsi="Cambria" w:cstheme="minorHAns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1" w15:restartNumberingAfterBreak="0">
    <w:nsid w:val="3AD1236B"/>
    <w:multiLevelType w:val="hybridMultilevel"/>
    <w:tmpl w:val="F0569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AE0ED5"/>
    <w:multiLevelType w:val="hybridMultilevel"/>
    <w:tmpl w:val="69880C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751337B"/>
    <w:multiLevelType w:val="hybridMultilevel"/>
    <w:tmpl w:val="45486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B05FB3"/>
    <w:multiLevelType w:val="hybridMultilevel"/>
    <w:tmpl w:val="579A3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186F5F"/>
    <w:multiLevelType w:val="hybridMultilevel"/>
    <w:tmpl w:val="DB7E1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CB1466"/>
    <w:multiLevelType w:val="hybridMultilevel"/>
    <w:tmpl w:val="FB4896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34542F7"/>
    <w:multiLevelType w:val="hybridMultilevel"/>
    <w:tmpl w:val="5A8AF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C77F98"/>
    <w:multiLevelType w:val="hybridMultilevel"/>
    <w:tmpl w:val="68F88AE4"/>
    <w:lvl w:ilvl="0" w:tplc="D6D8B654">
      <w:numFmt w:val="bullet"/>
      <w:lvlText w:val="-"/>
      <w:lvlJc w:val="left"/>
      <w:pPr>
        <w:ind w:left="1800" w:hanging="360"/>
      </w:pPr>
      <w:rPr>
        <w:rFonts w:ascii="Cambria" w:eastAsia="Cambria" w:hAnsi="Cambria" w:cstheme="minorHAns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9" w15:restartNumberingAfterBreak="0">
    <w:nsid w:val="56681488"/>
    <w:multiLevelType w:val="hybridMultilevel"/>
    <w:tmpl w:val="BC0CC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FE1A4D"/>
    <w:multiLevelType w:val="hybridMultilevel"/>
    <w:tmpl w:val="7188CF4C"/>
    <w:lvl w:ilvl="0" w:tplc="17E29EF6">
      <w:start w:val="1"/>
      <w:numFmt w:val="bullet"/>
      <w:lvlText w:val="-"/>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B884C47"/>
    <w:multiLevelType w:val="hybridMultilevel"/>
    <w:tmpl w:val="0A8A9C4E"/>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2" w15:restartNumberingAfterBreak="0">
    <w:nsid w:val="5C533345"/>
    <w:multiLevelType w:val="multilevel"/>
    <w:tmpl w:val="3BE405B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60125856"/>
    <w:multiLevelType w:val="hybridMultilevel"/>
    <w:tmpl w:val="2566217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369105C"/>
    <w:multiLevelType w:val="hybridMultilevel"/>
    <w:tmpl w:val="6220E630"/>
    <w:lvl w:ilvl="0" w:tplc="66B0E5B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712CEE"/>
    <w:multiLevelType w:val="hybridMultilevel"/>
    <w:tmpl w:val="AB9AE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A71C11"/>
    <w:multiLevelType w:val="hybridMultilevel"/>
    <w:tmpl w:val="DB48E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652609"/>
    <w:multiLevelType w:val="hybridMultilevel"/>
    <w:tmpl w:val="9A1A78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A5D2E89"/>
    <w:multiLevelType w:val="hybridMultilevel"/>
    <w:tmpl w:val="EB4A0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5527DE"/>
    <w:multiLevelType w:val="hybridMultilevel"/>
    <w:tmpl w:val="5E9C05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1D539C7"/>
    <w:multiLevelType w:val="hybridMultilevel"/>
    <w:tmpl w:val="7AB04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3"/>
  </w:num>
  <w:num w:numId="3">
    <w:abstractNumId w:val="5"/>
  </w:num>
  <w:num w:numId="4">
    <w:abstractNumId w:val="3"/>
  </w:num>
  <w:num w:numId="5">
    <w:abstractNumId w:val="18"/>
  </w:num>
  <w:num w:numId="6">
    <w:abstractNumId w:val="41"/>
  </w:num>
  <w:num w:numId="7">
    <w:abstractNumId w:val="28"/>
  </w:num>
  <w:num w:numId="8">
    <w:abstractNumId w:val="37"/>
  </w:num>
  <w:num w:numId="9">
    <w:abstractNumId w:val="33"/>
  </w:num>
  <w:num w:numId="10">
    <w:abstractNumId w:val="11"/>
  </w:num>
  <w:num w:numId="11">
    <w:abstractNumId w:val="26"/>
  </w:num>
  <w:num w:numId="12">
    <w:abstractNumId w:val="39"/>
  </w:num>
  <w:num w:numId="13">
    <w:abstractNumId w:val="22"/>
  </w:num>
  <w:num w:numId="14">
    <w:abstractNumId w:val="9"/>
  </w:num>
  <w:num w:numId="15">
    <w:abstractNumId w:val="16"/>
  </w:num>
  <w:num w:numId="16">
    <w:abstractNumId w:val="6"/>
  </w:num>
  <w:num w:numId="17">
    <w:abstractNumId w:val="4"/>
  </w:num>
  <w:num w:numId="18">
    <w:abstractNumId w:val="17"/>
    <w:lvlOverride w:ilvl="0">
      <w:lvl w:ilvl="0">
        <w:start w:val="4"/>
        <w:numFmt w:val="bullet"/>
        <w:pStyle w:val="ListBullet"/>
        <w:lvlText w:val="•"/>
        <w:lvlJc w:val="left"/>
        <w:pPr>
          <w:ind w:left="36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9">
    <w:abstractNumId w:val="15"/>
  </w:num>
  <w:num w:numId="20">
    <w:abstractNumId w:val="2"/>
  </w:num>
  <w:num w:numId="21">
    <w:abstractNumId w:val="14"/>
  </w:num>
  <w:num w:numId="22">
    <w:abstractNumId w:val="5"/>
    <w:lvlOverride w:ilvl="0">
      <w:lvl w:ilvl="0">
        <w:start w:val="1"/>
        <w:numFmt w:val="bullet"/>
        <w:pStyle w:val="ListBullet"/>
        <w:lvlText w:val=""/>
        <w:lvlJc w:val="left"/>
        <w:pPr>
          <w:ind w:left="360" w:hanging="360"/>
        </w:pPr>
        <w:rPr>
          <w:rFonts w:ascii="Symbol" w:hAnsi="Symbol" w:hint="default"/>
          <w:color w:val="auto"/>
        </w:rPr>
      </w:lvl>
    </w:lvlOverride>
  </w:num>
  <w:num w:numId="23">
    <w:abstractNumId w:val="1"/>
  </w:num>
  <w:num w:numId="24">
    <w:abstractNumId w:val="32"/>
  </w:num>
  <w:num w:numId="25">
    <w:abstractNumId w:val="10"/>
  </w:num>
  <w:num w:numId="26">
    <w:abstractNumId w:val="31"/>
  </w:num>
  <w:num w:numId="27">
    <w:abstractNumId w:val="29"/>
  </w:num>
  <w:num w:numId="28">
    <w:abstractNumId w:val="20"/>
  </w:num>
  <w:num w:numId="29">
    <w:abstractNumId w:val="23"/>
  </w:num>
  <w:num w:numId="30">
    <w:abstractNumId w:val="27"/>
  </w:num>
  <w:num w:numId="31">
    <w:abstractNumId w:val="25"/>
  </w:num>
  <w:num w:numId="32">
    <w:abstractNumId w:val="21"/>
  </w:num>
  <w:num w:numId="33">
    <w:abstractNumId w:val="30"/>
  </w:num>
  <w:num w:numId="34">
    <w:abstractNumId w:val="35"/>
  </w:num>
  <w:num w:numId="35">
    <w:abstractNumId w:val="36"/>
  </w:num>
  <w:num w:numId="36">
    <w:abstractNumId w:val="19"/>
  </w:num>
  <w:num w:numId="37">
    <w:abstractNumId w:val="24"/>
  </w:num>
  <w:num w:numId="38">
    <w:abstractNumId w:val="40"/>
  </w:num>
  <w:num w:numId="39">
    <w:abstractNumId w:val="8"/>
  </w:num>
  <w:num w:numId="40">
    <w:abstractNumId w:val="34"/>
  </w:num>
  <w:num w:numId="41">
    <w:abstractNumId w:val="0"/>
  </w:num>
  <w:num w:numId="42">
    <w:abstractNumId w:val="7"/>
  </w:num>
  <w:num w:numId="43">
    <w:abstractNumId w:val="13"/>
  </w:num>
  <w:num w:numId="44">
    <w:abstractNumId w:val="38"/>
  </w:num>
  <w:num w:numId="4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35"/>
    <w:rsid w:val="00002031"/>
    <w:rsid w:val="00004734"/>
    <w:rsid w:val="00004DFC"/>
    <w:rsid w:val="00006B22"/>
    <w:rsid w:val="0001276A"/>
    <w:rsid w:val="0001608D"/>
    <w:rsid w:val="000246AE"/>
    <w:rsid w:val="00025C67"/>
    <w:rsid w:val="0003306D"/>
    <w:rsid w:val="00034914"/>
    <w:rsid w:val="000402D0"/>
    <w:rsid w:val="00046CCE"/>
    <w:rsid w:val="00055129"/>
    <w:rsid w:val="000554B4"/>
    <w:rsid w:val="0005559E"/>
    <w:rsid w:val="00061E51"/>
    <w:rsid w:val="00063028"/>
    <w:rsid w:val="0007227F"/>
    <w:rsid w:val="00077775"/>
    <w:rsid w:val="000816BB"/>
    <w:rsid w:val="00082054"/>
    <w:rsid w:val="0008464B"/>
    <w:rsid w:val="00090471"/>
    <w:rsid w:val="000958DF"/>
    <w:rsid w:val="000A0965"/>
    <w:rsid w:val="000B0A5D"/>
    <w:rsid w:val="000B0A7C"/>
    <w:rsid w:val="000B1C9D"/>
    <w:rsid w:val="000B3532"/>
    <w:rsid w:val="000B3A75"/>
    <w:rsid w:val="000B7084"/>
    <w:rsid w:val="000C135D"/>
    <w:rsid w:val="000C1C08"/>
    <w:rsid w:val="000C5A31"/>
    <w:rsid w:val="000C6013"/>
    <w:rsid w:val="000D295C"/>
    <w:rsid w:val="000D391B"/>
    <w:rsid w:val="000D3D6D"/>
    <w:rsid w:val="000D4FC7"/>
    <w:rsid w:val="000F32E7"/>
    <w:rsid w:val="000F4869"/>
    <w:rsid w:val="000F5B42"/>
    <w:rsid w:val="000F6E6F"/>
    <w:rsid w:val="001003F2"/>
    <w:rsid w:val="0010138D"/>
    <w:rsid w:val="00105CEE"/>
    <w:rsid w:val="0010601F"/>
    <w:rsid w:val="00107378"/>
    <w:rsid w:val="00110EA5"/>
    <w:rsid w:val="001119DF"/>
    <w:rsid w:val="00115240"/>
    <w:rsid w:val="001219E0"/>
    <w:rsid w:val="00125091"/>
    <w:rsid w:val="00125318"/>
    <w:rsid w:val="001305A2"/>
    <w:rsid w:val="00132294"/>
    <w:rsid w:val="00133238"/>
    <w:rsid w:val="00140FE3"/>
    <w:rsid w:val="0014197B"/>
    <w:rsid w:val="001447CD"/>
    <w:rsid w:val="001516B1"/>
    <w:rsid w:val="001525B4"/>
    <w:rsid w:val="00156316"/>
    <w:rsid w:val="00160006"/>
    <w:rsid w:val="00162412"/>
    <w:rsid w:val="00165389"/>
    <w:rsid w:val="00165F50"/>
    <w:rsid w:val="00167C7E"/>
    <w:rsid w:val="00170298"/>
    <w:rsid w:val="00170CED"/>
    <w:rsid w:val="0017693F"/>
    <w:rsid w:val="0018110E"/>
    <w:rsid w:val="00181684"/>
    <w:rsid w:val="001843C6"/>
    <w:rsid w:val="001850E0"/>
    <w:rsid w:val="0018693C"/>
    <w:rsid w:val="0019255A"/>
    <w:rsid w:val="001976F8"/>
    <w:rsid w:val="001A525F"/>
    <w:rsid w:val="001A69AB"/>
    <w:rsid w:val="001B09F9"/>
    <w:rsid w:val="001B6448"/>
    <w:rsid w:val="001B6ACF"/>
    <w:rsid w:val="001B78D5"/>
    <w:rsid w:val="001C3BC9"/>
    <w:rsid w:val="001D480A"/>
    <w:rsid w:val="001E07CF"/>
    <w:rsid w:val="001E59F1"/>
    <w:rsid w:val="001F342E"/>
    <w:rsid w:val="001F49EB"/>
    <w:rsid w:val="001F6CBA"/>
    <w:rsid w:val="001F78B9"/>
    <w:rsid w:val="00201D4E"/>
    <w:rsid w:val="00204A7B"/>
    <w:rsid w:val="00204F19"/>
    <w:rsid w:val="00207515"/>
    <w:rsid w:val="00207FDD"/>
    <w:rsid w:val="00211C7B"/>
    <w:rsid w:val="00220B8A"/>
    <w:rsid w:val="002232C2"/>
    <w:rsid w:val="002257F3"/>
    <w:rsid w:val="0022661A"/>
    <w:rsid w:val="00226885"/>
    <w:rsid w:val="002302EC"/>
    <w:rsid w:val="002303B0"/>
    <w:rsid w:val="002314E8"/>
    <w:rsid w:val="00233456"/>
    <w:rsid w:val="0023397F"/>
    <w:rsid w:val="002339A5"/>
    <w:rsid w:val="002452E7"/>
    <w:rsid w:val="00245F98"/>
    <w:rsid w:val="00246194"/>
    <w:rsid w:val="00246F67"/>
    <w:rsid w:val="002538AE"/>
    <w:rsid w:val="002541E7"/>
    <w:rsid w:val="002560BD"/>
    <w:rsid w:val="00257138"/>
    <w:rsid w:val="00257848"/>
    <w:rsid w:val="0027084A"/>
    <w:rsid w:val="00271109"/>
    <w:rsid w:val="00277EF5"/>
    <w:rsid w:val="00286434"/>
    <w:rsid w:val="00286C59"/>
    <w:rsid w:val="002924DB"/>
    <w:rsid w:val="002927D7"/>
    <w:rsid w:val="002942D1"/>
    <w:rsid w:val="002A0556"/>
    <w:rsid w:val="002A13F8"/>
    <w:rsid w:val="002A684B"/>
    <w:rsid w:val="002B0C2E"/>
    <w:rsid w:val="002B1638"/>
    <w:rsid w:val="002B706C"/>
    <w:rsid w:val="002C1070"/>
    <w:rsid w:val="002C1D7D"/>
    <w:rsid w:val="002C2511"/>
    <w:rsid w:val="002D1EDF"/>
    <w:rsid w:val="002D23E9"/>
    <w:rsid w:val="002D70C4"/>
    <w:rsid w:val="002E4C9A"/>
    <w:rsid w:val="002E75CC"/>
    <w:rsid w:val="002F11F8"/>
    <w:rsid w:val="002F20F6"/>
    <w:rsid w:val="002F3315"/>
    <w:rsid w:val="002F3F56"/>
    <w:rsid w:val="002F44B5"/>
    <w:rsid w:val="00306924"/>
    <w:rsid w:val="00311AC0"/>
    <w:rsid w:val="003204DD"/>
    <w:rsid w:val="00331DBB"/>
    <w:rsid w:val="00332680"/>
    <w:rsid w:val="00343585"/>
    <w:rsid w:val="0034735A"/>
    <w:rsid w:val="003521E8"/>
    <w:rsid w:val="003656CA"/>
    <w:rsid w:val="00365DDD"/>
    <w:rsid w:val="003664BF"/>
    <w:rsid w:val="003728F3"/>
    <w:rsid w:val="00375863"/>
    <w:rsid w:val="003839C0"/>
    <w:rsid w:val="00390900"/>
    <w:rsid w:val="003A13F0"/>
    <w:rsid w:val="003A1B1F"/>
    <w:rsid w:val="003A35BD"/>
    <w:rsid w:val="003A5D61"/>
    <w:rsid w:val="003B00C5"/>
    <w:rsid w:val="003B3CD7"/>
    <w:rsid w:val="003B443E"/>
    <w:rsid w:val="003B7E39"/>
    <w:rsid w:val="003C02CB"/>
    <w:rsid w:val="003C1DE8"/>
    <w:rsid w:val="003C30DC"/>
    <w:rsid w:val="003C58DC"/>
    <w:rsid w:val="003C7461"/>
    <w:rsid w:val="003D0CD9"/>
    <w:rsid w:val="003E0B60"/>
    <w:rsid w:val="003E3208"/>
    <w:rsid w:val="003E3D34"/>
    <w:rsid w:val="003E75D3"/>
    <w:rsid w:val="003E7EAA"/>
    <w:rsid w:val="003F0B04"/>
    <w:rsid w:val="003F4401"/>
    <w:rsid w:val="003F6F7D"/>
    <w:rsid w:val="0040134E"/>
    <w:rsid w:val="00405929"/>
    <w:rsid w:val="00410839"/>
    <w:rsid w:val="0041452B"/>
    <w:rsid w:val="004169A8"/>
    <w:rsid w:val="00423BB3"/>
    <w:rsid w:val="00426777"/>
    <w:rsid w:val="00435A44"/>
    <w:rsid w:val="00440A2D"/>
    <w:rsid w:val="004414E4"/>
    <w:rsid w:val="00455A6F"/>
    <w:rsid w:val="004564A7"/>
    <w:rsid w:val="004616EC"/>
    <w:rsid w:val="004617BF"/>
    <w:rsid w:val="004634F1"/>
    <w:rsid w:val="00465A62"/>
    <w:rsid w:val="00465E90"/>
    <w:rsid w:val="0047772E"/>
    <w:rsid w:val="00477BB1"/>
    <w:rsid w:val="004923FF"/>
    <w:rsid w:val="00494E60"/>
    <w:rsid w:val="00496BAC"/>
    <w:rsid w:val="004A5464"/>
    <w:rsid w:val="004B4CB5"/>
    <w:rsid w:val="004B5A6B"/>
    <w:rsid w:val="004B7B76"/>
    <w:rsid w:val="004C0070"/>
    <w:rsid w:val="004C2E29"/>
    <w:rsid w:val="004C54A7"/>
    <w:rsid w:val="004D3B35"/>
    <w:rsid w:val="004D51A6"/>
    <w:rsid w:val="004D5B27"/>
    <w:rsid w:val="004F0F38"/>
    <w:rsid w:val="004F1478"/>
    <w:rsid w:val="004F1A46"/>
    <w:rsid w:val="004F4D12"/>
    <w:rsid w:val="00501921"/>
    <w:rsid w:val="00511904"/>
    <w:rsid w:val="005135BC"/>
    <w:rsid w:val="00515D78"/>
    <w:rsid w:val="00520E48"/>
    <w:rsid w:val="00522A0C"/>
    <w:rsid w:val="005234E9"/>
    <w:rsid w:val="00530354"/>
    <w:rsid w:val="00531B11"/>
    <w:rsid w:val="00532578"/>
    <w:rsid w:val="005343DA"/>
    <w:rsid w:val="005434C6"/>
    <w:rsid w:val="00543B39"/>
    <w:rsid w:val="0054583D"/>
    <w:rsid w:val="005477E7"/>
    <w:rsid w:val="00550096"/>
    <w:rsid w:val="00555032"/>
    <w:rsid w:val="0055532D"/>
    <w:rsid w:val="00557FF9"/>
    <w:rsid w:val="00560FD8"/>
    <w:rsid w:val="00576378"/>
    <w:rsid w:val="00577279"/>
    <w:rsid w:val="00577E38"/>
    <w:rsid w:val="00585322"/>
    <w:rsid w:val="00593AD1"/>
    <w:rsid w:val="00594D03"/>
    <w:rsid w:val="00597877"/>
    <w:rsid w:val="005A1131"/>
    <w:rsid w:val="005A61CE"/>
    <w:rsid w:val="005B47DB"/>
    <w:rsid w:val="005B5D0F"/>
    <w:rsid w:val="005C4E6B"/>
    <w:rsid w:val="005C5570"/>
    <w:rsid w:val="005C79A4"/>
    <w:rsid w:val="005D4EA1"/>
    <w:rsid w:val="005D5442"/>
    <w:rsid w:val="005E6592"/>
    <w:rsid w:val="006115D7"/>
    <w:rsid w:val="00611B57"/>
    <w:rsid w:val="00617EAC"/>
    <w:rsid w:val="006239CD"/>
    <w:rsid w:val="00640190"/>
    <w:rsid w:val="006405A9"/>
    <w:rsid w:val="00640FC3"/>
    <w:rsid w:val="00642020"/>
    <w:rsid w:val="006431D1"/>
    <w:rsid w:val="00651C87"/>
    <w:rsid w:val="0065337B"/>
    <w:rsid w:val="00653FBF"/>
    <w:rsid w:val="0065419D"/>
    <w:rsid w:val="006604D8"/>
    <w:rsid w:val="00664A5B"/>
    <w:rsid w:val="00665F8C"/>
    <w:rsid w:val="00667942"/>
    <w:rsid w:val="00667B4F"/>
    <w:rsid w:val="0067176D"/>
    <w:rsid w:val="006730C8"/>
    <w:rsid w:val="006807F5"/>
    <w:rsid w:val="00680C08"/>
    <w:rsid w:val="00684B57"/>
    <w:rsid w:val="0068741A"/>
    <w:rsid w:val="00691723"/>
    <w:rsid w:val="006931B1"/>
    <w:rsid w:val="00693CDB"/>
    <w:rsid w:val="006A15C0"/>
    <w:rsid w:val="006A2A22"/>
    <w:rsid w:val="006B188D"/>
    <w:rsid w:val="006C1F3B"/>
    <w:rsid w:val="006C3970"/>
    <w:rsid w:val="006C3E2A"/>
    <w:rsid w:val="006C626D"/>
    <w:rsid w:val="006C642F"/>
    <w:rsid w:val="006C6EDB"/>
    <w:rsid w:val="006D039E"/>
    <w:rsid w:val="006D03E5"/>
    <w:rsid w:val="006D0C3B"/>
    <w:rsid w:val="006D5D3E"/>
    <w:rsid w:val="006E08B3"/>
    <w:rsid w:val="006E5AB4"/>
    <w:rsid w:val="006F572E"/>
    <w:rsid w:val="007010C3"/>
    <w:rsid w:val="007046D6"/>
    <w:rsid w:val="00705DB0"/>
    <w:rsid w:val="00706AFE"/>
    <w:rsid w:val="0071503D"/>
    <w:rsid w:val="00725A8B"/>
    <w:rsid w:val="00727ADD"/>
    <w:rsid w:val="0074066C"/>
    <w:rsid w:val="00742004"/>
    <w:rsid w:val="0074253D"/>
    <w:rsid w:val="00743E52"/>
    <w:rsid w:val="0074429B"/>
    <w:rsid w:val="007477F8"/>
    <w:rsid w:val="007615BC"/>
    <w:rsid w:val="007628D1"/>
    <w:rsid w:val="00762F05"/>
    <w:rsid w:val="00763336"/>
    <w:rsid w:val="00764EB9"/>
    <w:rsid w:val="007652FF"/>
    <w:rsid w:val="00766F39"/>
    <w:rsid w:val="00771329"/>
    <w:rsid w:val="00773EF7"/>
    <w:rsid w:val="00774E1D"/>
    <w:rsid w:val="0077675A"/>
    <w:rsid w:val="00780355"/>
    <w:rsid w:val="00785721"/>
    <w:rsid w:val="00793A59"/>
    <w:rsid w:val="007A2162"/>
    <w:rsid w:val="007B1D41"/>
    <w:rsid w:val="007B302B"/>
    <w:rsid w:val="007B43ED"/>
    <w:rsid w:val="007B4BF9"/>
    <w:rsid w:val="007C0F3D"/>
    <w:rsid w:val="007C1AF7"/>
    <w:rsid w:val="007C7A6D"/>
    <w:rsid w:val="007C7B5B"/>
    <w:rsid w:val="007D7DA5"/>
    <w:rsid w:val="007E5C0F"/>
    <w:rsid w:val="007E7BF8"/>
    <w:rsid w:val="007F2FF0"/>
    <w:rsid w:val="007F4AAD"/>
    <w:rsid w:val="00807FBE"/>
    <w:rsid w:val="00810598"/>
    <w:rsid w:val="00811166"/>
    <w:rsid w:val="00814492"/>
    <w:rsid w:val="00821776"/>
    <w:rsid w:val="00826007"/>
    <w:rsid w:val="008321F5"/>
    <w:rsid w:val="00832369"/>
    <w:rsid w:val="00834660"/>
    <w:rsid w:val="00834C8E"/>
    <w:rsid w:val="00836BC2"/>
    <w:rsid w:val="0084156C"/>
    <w:rsid w:val="0084580B"/>
    <w:rsid w:val="00845BCA"/>
    <w:rsid w:val="00853C8F"/>
    <w:rsid w:val="00854958"/>
    <w:rsid w:val="00854F57"/>
    <w:rsid w:val="0085641B"/>
    <w:rsid w:val="00857136"/>
    <w:rsid w:val="008669DA"/>
    <w:rsid w:val="00870B12"/>
    <w:rsid w:val="008746BF"/>
    <w:rsid w:val="008752CE"/>
    <w:rsid w:val="008821AA"/>
    <w:rsid w:val="008855B8"/>
    <w:rsid w:val="008932F3"/>
    <w:rsid w:val="00896018"/>
    <w:rsid w:val="008A07FF"/>
    <w:rsid w:val="008A2B9D"/>
    <w:rsid w:val="008A5E0B"/>
    <w:rsid w:val="008A5E18"/>
    <w:rsid w:val="008A6D59"/>
    <w:rsid w:val="008B2D31"/>
    <w:rsid w:val="008B4B03"/>
    <w:rsid w:val="008B596F"/>
    <w:rsid w:val="008B77DD"/>
    <w:rsid w:val="008C0289"/>
    <w:rsid w:val="008C159F"/>
    <w:rsid w:val="008C1623"/>
    <w:rsid w:val="008C16CD"/>
    <w:rsid w:val="008C51A9"/>
    <w:rsid w:val="008C56D9"/>
    <w:rsid w:val="008C65B9"/>
    <w:rsid w:val="008C75A2"/>
    <w:rsid w:val="008D2B09"/>
    <w:rsid w:val="008D4740"/>
    <w:rsid w:val="008E7B83"/>
    <w:rsid w:val="008F1CCC"/>
    <w:rsid w:val="008F2967"/>
    <w:rsid w:val="008F407A"/>
    <w:rsid w:val="0090354E"/>
    <w:rsid w:val="0090374A"/>
    <w:rsid w:val="00907ACE"/>
    <w:rsid w:val="00920330"/>
    <w:rsid w:val="00920FF4"/>
    <w:rsid w:val="009219D7"/>
    <w:rsid w:val="00922D53"/>
    <w:rsid w:val="00923B70"/>
    <w:rsid w:val="00923BAA"/>
    <w:rsid w:val="0092596A"/>
    <w:rsid w:val="00925DC5"/>
    <w:rsid w:val="0092600B"/>
    <w:rsid w:val="00930237"/>
    <w:rsid w:val="00934397"/>
    <w:rsid w:val="00935032"/>
    <w:rsid w:val="009401F6"/>
    <w:rsid w:val="00940F44"/>
    <w:rsid w:val="00941988"/>
    <w:rsid w:val="00952562"/>
    <w:rsid w:val="00963C08"/>
    <w:rsid w:val="00965059"/>
    <w:rsid w:val="00965978"/>
    <w:rsid w:val="00997420"/>
    <w:rsid w:val="009A09AA"/>
    <w:rsid w:val="009A474D"/>
    <w:rsid w:val="009A4A5D"/>
    <w:rsid w:val="009A4CED"/>
    <w:rsid w:val="009B15F1"/>
    <w:rsid w:val="009B1D12"/>
    <w:rsid w:val="009B416B"/>
    <w:rsid w:val="009C4654"/>
    <w:rsid w:val="009C4BD5"/>
    <w:rsid w:val="009C7565"/>
    <w:rsid w:val="009D1F2D"/>
    <w:rsid w:val="009D20D0"/>
    <w:rsid w:val="009D2E04"/>
    <w:rsid w:val="009D7B77"/>
    <w:rsid w:val="009E0BB0"/>
    <w:rsid w:val="009E3FBB"/>
    <w:rsid w:val="009E71F4"/>
    <w:rsid w:val="009F018D"/>
    <w:rsid w:val="009F7D61"/>
    <w:rsid w:val="00A0115B"/>
    <w:rsid w:val="00A052B5"/>
    <w:rsid w:val="00A06459"/>
    <w:rsid w:val="00A1235B"/>
    <w:rsid w:val="00A14DF7"/>
    <w:rsid w:val="00A23F3C"/>
    <w:rsid w:val="00A3246D"/>
    <w:rsid w:val="00A3654F"/>
    <w:rsid w:val="00A36FA7"/>
    <w:rsid w:val="00A46AB0"/>
    <w:rsid w:val="00A475B7"/>
    <w:rsid w:val="00A47AF7"/>
    <w:rsid w:val="00A47C3E"/>
    <w:rsid w:val="00A50226"/>
    <w:rsid w:val="00A539AC"/>
    <w:rsid w:val="00A56488"/>
    <w:rsid w:val="00A60BAD"/>
    <w:rsid w:val="00A63268"/>
    <w:rsid w:val="00A64387"/>
    <w:rsid w:val="00A71659"/>
    <w:rsid w:val="00A736F3"/>
    <w:rsid w:val="00A73A8D"/>
    <w:rsid w:val="00A84503"/>
    <w:rsid w:val="00A85B04"/>
    <w:rsid w:val="00A87334"/>
    <w:rsid w:val="00AA0AD3"/>
    <w:rsid w:val="00AB2EC5"/>
    <w:rsid w:val="00AB4234"/>
    <w:rsid w:val="00AB6F47"/>
    <w:rsid w:val="00AC0FF8"/>
    <w:rsid w:val="00AC2B40"/>
    <w:rsid w:val="00AC2BB2"/>
    <w:rsid w:val="00AC2C3C"/>
    <w:rsid w:val="00AC3BD9"/>
    <w:rsid w:val="00AC62E7"/>
    <w:rsid w:val="00AC7EB0"/>
    <w:rsid w:val="00AD1772"/>
    <w:rsid w:val="00AE0320"/>
    <w:rsid w:val="00AE0E0B"/>
    <w:rsid w:val="00AE65EB"/>
    <w:rsid w:val="00AF08B6"/>
    <w:rsid w:val="00AF1D94"/>
    <w:rsid w:val="00AF60C5"/>
    <w:rsid w:val="00AF65C4"/>
    <w:rsid w:val="00B009C6"/>
    <w:rsid w:val="00B01548"/>
    <w:rsid w:val="00B03486"/>
    <w:rsid w:val="00B13FE5"/>
    <w:rsid w:val="00B17990"/>
    <w:rsid w:val="00B21D29"/>
    <w:rsid w:val="00B21DD6"/>
    <w:rsid w:val="00B21FC5"/>
    <w:rsid w:val="00B21FEE"/>
    <w:rsid w:val="00B238DA"/>
    <w:rsid w:val="00B25034"/>
    <w:rsid w:val="00B300F0"/>
    <w:rsid w:val="00B33863"/>
    <w:rsid w:val="00B37D17"/>
    <w:rsid w:val="00B40C62"/>
    <w:rsid w:val="00B4175E"/>
    <w:rsid w:val="00B510E1"/>
    <w:rsid w:val="00B54C25"/>
    <w:rsid w:val="00B600DA"/>
    <w:rsid w:val="00B64F68"/>
    <w:rsid w:val="00B76B91"/>
    <w:rsid w:val="00B829A8"/>
    <w:rsid w:val="00B92537"/>
    <w:rsid w:val="00B92C72"/>
    <w:rsid w:val="00BA6FF1"/>
    <w:rsid w:val="00BB0909"/>
    <w:rsid w:val="00BB6529"/>
    <w:rsid w:val="00BC1CAB"/>
    <w:rsid w:val="00BC2A9F"/>
    <w:rsid w:val="00BC622A"/>
    <w:rsid w:val="00BD58C1"/>
    <w:rsid w:val="00BD6F8A"/>
    <w:rsid w:val="00BD7C3F"/>
    <w:rsid w:val="00BE0A78"/>
    <w:rsid w:val="00BE19D5"/>
    <w:rsid w:val="00BE79F0"/>
    <w:rsid w:val="00BF046D"/>
    <w:rsid w:val="00BF3CD4"/>
    <w:rsid w:val="00BF5D04"/>
    <w:rsid w:val="00C057B3"/>
    <w:rsid w:val="00C13563"/>
    <w:rsid w:val="00C219AE"/>
    <w:rsid w:val="00C339C6"/>
    <w:rsid w:val="00C404A6"/>
    <w:rsid w:val="00C40A36"/>
    <w:rsid w:val="00C419A3"/>
    <w:rsid w:val="00C44419"/>
    <w:rsid w:val="00C45E7B"/>
    <w:rsid w:val="00C471B1"/>
    <w:rsid w:val="00C52BEE"/>
    <w:rsid w:val="00C6072C"/>
    <w:rsid w:val="00C6316B"/>
    <w:rsid w:val="00C634A9"/>
    <w:rsid w:val="00C71AA1"/>
    <w:rsid w:val="00C73D6C"/>
    <w:rsid w:val="00C772FF"/>
    <w:rsid w:val="00C77BC8"/>
    <w:rsid w:val="00C801AF"/>
    <w:rsid w:val="00C80256"/>
    <w:rsid w:val="00C805BB"/>
    <w:rsid w:val="00CA77CC"/>
    <w:rsid w:val="00CA7A1E"/>
    <w:rsid w:val="00CB4E24"/>
    <w:rsid w:val="00CB6BC0"/>
    <w:rsid w:val="00CC1B7C"/>
    <w:rsid w:val="00CC727F"/>
    <w:rsid w:val="00CD2699"/>
    <w:rsid w:val="00CD7859"/>
    <w:rsid w:val="00CD7871"/>
    <w:rsid w:val="00CE009C"/>
    <w:rsid w:val="00CE1EB3"/>
    <w:rsid w:val="00CE5BB0"/>
    <w:rsid w:val="00CF15C3"/>
    <w:rsid w:val="00CF2B6F"/>
    <w:rsid w:val="00CF3409"/>
    <w:rsid w:val="00D017ED"/>
    <w:rsid w:val="00D02A3D"/>
    <w:rsid w:val="00D12697"/>
    <w:rsid w:val="00D153B1"/>
    <w:rsid w:val="00D224FE"/>
    <w:rsid w:val="00D229BA"/>
    <w:rsid w:val="00D245E5"/>
    <w:rsid w:val="00D26B84"/>
    <w:rsid w:val="00D26D35"/>
    <w:rsid w:val="00D371A8"/>
    <w:rsid w:val="00D433BD"/>
    <w:rsid w:val="00D5616E"/>
    <w:rsid w:val="00D60941"/>
    <w:rsid w:val="00D615FD"/>
    <w:rsid w:val="00D634FE"/>
    <w:rsid w:val="00D6493E"/>
    <w:rsid w:val="00D75206"/>
    <w:rsid w:val="00D7741E"/>
    <w:rsid w:val="00D85AC0"/>
    <w:rsid w:val="00D971AC"/>
    <w:rsid w:val="00DA1124"/>
    <w:rsid w:val="00DA1DEF"/>
    <w:rsid w:val="00DA3043"/>
    <w:rsid w:val="00DD4C9F"/>
    <w:rsid w:val="00DD75A3"/>
    <w:rsid w:val="00DD7A91"/>
    <w:rsid w:val="00DE02AE"/>
    <w:rsid w:val="00DE3376"/>
    <w:rsid w:val="00DE4723"/>
    <w:rsid w:val="00DE6A0C"/>
    <w:rsid w:val="00DE6C04"/>
    <w:rsid w:val="00DE75AC"/>
    <w:rsid w:val="00DF1D7F"/>
    <w:rsid w:val="00DF553A"/>
    <w:rsid w:val="00DF5B4C"/>
    <w:rsid w:val="00E02FB4"/>
    <w:rsid w:val="00E1340C"/>
    <w:rsid w:val="00E13BEC"/>
    <w:rsid w:val="00E20571"/>
    <w:rsid w:val="00E21651"/>
    <w:rsid w:val="00E235F7"/>
    <w:rsid w:val="00E239D4"/>
    <w:rsid w:val="00E32326"/>
    <w:rsid w:val="00E409BC"/>
    <w:rsid w:val="00E40B22"/>
    <w:rsid w:val="00E4588F"/>
    <w:rsid w:val="00E46DA3"/>
    <w:rsid w:val="00E51164"/>
    <w:rsid w:val="00E75C2C"/>
    <w:rsid w:val="00E75CF4"/>
    <w:rsid w:val="00E8120B"/>
    <w:rsid w:val="00E833ED"/>
    <w:rsid w:val="00E90835"/>
    <w:rsid w:val="00E978F9"/>
    <w:rsid w:val="00EA16DE"/>
    <w:rsid w:val="00EA406B"/>
    <w:rsid w:val="00EA453A"/>
    <w:rsid w:val="00EA472C"/>
    <w:rsid w:val="00EA4A6C"/>
    <w:rsid w:val="00EB0798"/>
    <w:rsid w:val="00EB182C"/>
    <w:rsid w:val="00EB19F8"/>
    <w:rsid w:val="00EB20F7"/>
    <w:rsid w:val="00EB3D7A"/>
    <w:rsid w:val="00EB40AD"/>
    <w:rsid w:val="00EB586E"/>
    <w:rsid w:val="00EB5FC8"/>
    <w:rsid w:val="00EC1271"/>
    <w:rsid w:val="00ED0C8B"/>
    <w:rsid w:val="00ED5A41"/>
    <w:rsid w:val="00EE1482"/>
    <w:rsid w:val="00EE255A"/>
    <w:rsid w:val="00EF0EAB"/>
    <w:rsid w:val="00EF47F3"/>
    <w:rsid w:val="00EF578B"/>
    <w:rsid w:val="00F033EC"/>
    <w:rsid w:val="00F04347"/>
    <w:rsid w:val="00F04F68"/>
    <w:rsid w:val="00F0627D"/>
    <w:rsid w:val="00F11A17"/>
    <w:rsid w:val="00F12670"/>
    <w:rsid w:val="00F14B27"/>
    <w:rsid w:val="00F177E4"/>
    <w:rsid w:val="00F202AB"/>
    <w:rsid w:val="00F3148D"/>
    <w:rsid w:val="00F3255D"/>
    <w:rsid w:val="00F35298"/>
    <w:rsid w:val="00F3529E"/>
    <w:rsid w:val="00F36C32"/>
    <w:rsid w:val="00F40F73"/>
    <w:rsid w:val="00F4305F"/>
    <w:rsid w:val="00F44B0D"/>
    <w:rsid w:val="00F4663D"/>
    <w:rsid w:val="00F467A6"/>
    <w:rsid w:val="00F47E37"/>
    <w:rsid w:val="00F56311"/>
    <w:rsid w:val="00F623FD"/>
    <w:rsid w:val="00F63C0D"/>
    <w:rsid w:val="00F640B6"/>
    <w:rsid w:val="00F67B16"/>
    <w:rsid w:val="00F739D1"/>
    <w:rsid w:val="00F80E40"/>
    <w:rsid w:val="00F8365F"/>
    <w:rsid w:val="00F8404D"/>
    <w:rsid w:val="00F86D6F"/>
    <w:rsid w:val="00F87B87"/>
    <w:rsid w:val="00F93274"/>
    <w:rsid w:val="00F94D56"/>
    <w:rsid w:val="00F9633C"/>
    <w:rsid w:val="00FA4D6D"/>
    <w:rsid w:val="00FA5B82"/>
    <w:rsid w:val="00FA639E"/>
    <w:rsid w:val="00FB500B"/>
    <w:rsid w:val="00FB59CE"/>
    <w:rsid w:val="00FC03C8"/>
    <w:rsid w:val="00FC25E4"/>
    <w:rsid w:val="00FC260C"/>
    <w:rsid w:val="00FC4EF7"/>
    <w:rsid w:val="00FE1941"/>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747D4"/>
  <w15:docId w15:val="{68D64852-22D2-4B89-8202-FE97CA80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2C1070"/>
    <w:pPr>
      <w:keepNext/>
      <w:keepLines/>
      <w:pageBreakBefore/>
      <w:numPr>
        <w:numId w:val="14"/>
      </w:numPr>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numPr>
        <w:ilvl w:val="1"/>
        <w:numId w:val="14"/>
      </w:numPr>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numPr>
        <w:ilvl w:val="5"/>
        <w:numId w:val="14"/>
      </w:numPr>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numPr>
        <w:ilvl w:val="6"/>
        <w:numId w:val="14"/>
      </w:numPr>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3C02CB"/>
    <w:pPr>
      <w:keepNext/>
      <w:keepLines/>
      <w:numPr>
        <w:ilvl w:val="7"/>
        <w:numId w:val="14"/>
      </w:numPr>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3C02CB"/>
    <w:pPr>
      <w:keepNext/>
      <w:keepLines/>
      <w:numPr>
        <w:ilvl w:val="8"/>
        <w:numId w:val="14"/>
      </w:numPr>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2C1070"/>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aliases w:val="OECD 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8932F3"/>
    <w:pPr>
      <w:numPr>
        <w:numId w:val="18"/>
      </w:numPr>
    </w:pPr>
  </w:style>
  <w:style w:type="paragraph" w:styleId="ListBullet2">
    <w:name w:val="List Bullet 2"/>
    <w:basedOn w:val="Normal"/>
    <w:uiPriority w:val="2"/>
    <w:qFormat/>
    <w:rsid w:val="004B5A6B"/>
    <w:pPr>
      <w:numPr>
        <w:ilvl w:val="1"/>
        <w:numId w:val="18"/>
      </w:numPr>
    </w:pPr>
  </w:style>
  <w:style w:type="paragraph" w:styleId="ListBullet3">
    <w:name w:val="List Bullet 3"/>
    <w:basedOn w:val="Normal"/>
    <w:uiPriority w:val="2"/>
    <w:qFormat/>
    <w:rsid w:val="002B706C"/>
    <w:pPr>
      <w:numPr>
        <w:numId w:val="5"/>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E1482"/>
    <w:pPr>
      <w:numPr>
        <w:numId w:val="4"/>
      </w:numPr>
    </w:pPr>
  </w:style>
  <w:style w:type="paragraph" w:customStyle="1" w:styleId="Numberbullet2">
    <w:name w:val="Number bullet 2"/>
    <w:basedOn w:val="ListBullet2"/>
    <w:qFormat/>
    <w:rsid w:val="00EE1482"/>
    <w:pPr>
      <w:numPr>
        <w:numId w:val="4"/>
      </w:numPr>
    </w:pPr>
  </w:style>
  <w:style w:type="paragraph" w:customStyle="1" w:styleId="Numberbullet3">
    <w:name w:val="Number bullet 3"/>
    <w:basedOn w:val="Normal"/>
    <w:qFormat/>
    <w:rsid w:val="004B4CB5"/>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3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EE1482"/>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4"/>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qFormat/>
    <w:rsid w:val="00854F57"/>
    <w:pPr>
      <w:ind w:left="720"/>
      <w:contextualSpacing/>
    </w:pPr>
  </w:style>
  <w:style w:type="character" w:customStyle="1" w:styleId="Heading8Char">
    <w:name w:val="Heading 8 Char"/>
    <w:basedOn w:val="DefaultParagraphFont"/>
    <w:link w:val="Heading8"/>
    <w:uiPriority w:val="9"/>
    <w:semiHidden/>
    <w:rsid w:val="003C02CB"/>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3C02CB"/>
    <w:rPr>
      <w:rFonts w:asciiTheme="majorHAnsi" w:eastAsiaTheme="majorEastAsia" w:hAnsiTheme="majorHAnsi" w:cstheme="majorBidi"/>
      <w:i/>
      <w:iCs/>
      <w:color w:val="0070B5" w:themeColor="text1" w:themeTint="BF"/>
      <w:lang w:eastAsia="en-US"/>
    </w:rPr>
  </w:style>
  <w:style w:type="table" w:styleId="LightList-Accent1">
    <w:name w:val="Light List Accent 1"/>
    <w:basedOn w:val="TableNormal"/>
    <w:uiPriority w:val="61"/>
    <w:rsid w:val="003C02CB"/>
    <w:rPr>
      <w:rFonts w:asciiTheme="minorHAnsi" w:eastAsiaTheme="minorEastAsia" w:hAnsiTheme="minorHAnsi" w:cstheme="minorBidi"/>
      <w:sz w:val="22"/>
      <w:szCs w:val="22"/>
      <w:lang w:eastAsia="en-US"/>
    </w:rPr>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paragraph" w:styleId="TOC9">
    <w:name w:val="toc 9"/>
    <w:basedOn w:val="Normal"/>
    <w:next w:val="Normal"/>
    <w:autoRedefine/>
    <w:uiPriority w:val="39"/>
    <w:semiHidden/>
    <w:unhideWhenUsed/>
    <w:rsid w:val="003C02CB"/>
    <w:pPr>
      <w:spacing w:after="100"/>
      <w:ind w:left="1760"/>
    </w:pPr>
  </w:style>
  <w:style w:type="paragraph" w:customStyle="1" w:styleId="TableTitle0">
    <w:name w:val="Table Title"/>
    <w:basedOn w:val="Normal"/>
    <w:next w:val="Normal"/>
    <w:qFormat/>
    <w:rsid w:val="003C02CB"/>
    <w:pPr>
      <w:spacing w:before="180"/>
    </w:pPr>
    <w:rPr>
      <w:b/>
    </w:rPr>
  </w:style>
  <w:style w:type="character" w:styleId="Strong">
    <w:name w:val="Strong"/>
    <w:basedOn w:val="DefaultParagraphFont"/>
    <w:uiPriority w:val="22"/>
    <w:qFormat/>
    <w:rsid w:val="003C02CB"/>
    <w:rPr>
      <w:b/>
      <w:bCs/>
    </w:rPr>
  </w:style>
  <w:style w:type="paragraph" w:customStyle="1" w:styleId="Default">
    <w:name w:val="Default"/>
    <w:rsid w:val="003C02CB"/>
    <w:pPr>
      <w:autoSpaceDE w:val="0"/>
      <w:autoSpaceDN w:val="0"/>
      <w:adjustRightInd w:val="0"/>
    </w:pPr>
    <w:rPr>
      <w:rFonts w:ascii="Times New Roman" w:hAnsi="Times New Roman"/>
      <w:color w:val="000000"/>
      <w:sz w:val="24"/>
      <w:szCs w:val="24"/>
    </w:rPr>
  </w:style>
  <w:style w:type="character" w:customStyle="1" w:styleId="fontstyle01">
    <w:name w:val="fontstyle01"/>
    <w:basedOn w:val="DefaultParagraphFont"/>
    <w:rsid w:val="003C02CB"/>
    <w:rPr>
      <w:rFonts w:ascii="Cambria" w:hAnsi="Cambria" w:hint="default"/>
      <w:b w:val="0"/>
      <w:bCs w:val="0"/>
      <w:i w:val="0"/>
      <w:iCs w:val="0"/>
      <w:color w:val="000000"/>
      <w:sz w:val="22"/>
      <w:szCs w:val="22"/>
    </w:rPr>
  </w:style>
  <w:style w:type="character" w:customStyle="1" w:styleId="fontstyle21">
    <w:name w:val="fontstyle21"/>
    <w:basedOn w:val="DefaultParagraphFont"/>
    <w:rsid w:val="003C02CB"/>
    <w:rPr>
      <w:rFonts w:ascii="Cambria-Bold" w:hAnsi="Cambria-Bold" w:hint="default"/>
      <w:b/>
      <w:bCs/>
      <w:i w:val="0"/>
      <w:iCs w:val="0"/>
      <w:color w:val="000000"/>
      <w:sz w:val="22"/>
      <w:szCs w:val="22"/>
    </w:rPr>
  </w:style>
  <w:style w:type="paragraph" w:styleId="Revision">
    <w:name w:val="Revision"/>
    <w:hidden/>
    <w:uiPriority w:val="99"/>
    <w:semiHidden/>
    <w:rsid w:val="003C02CB"/>
    <w:rPr>
      <w:sz w:val="22"/>
      <w:lang w:eastAsia="en-US"/>
    </w:rPr>
  </w:style>
  <w:style w:type="paragraph" w:customStyle="1" w:styleId="ListBulleta">
    <w:name w:val="List Bullet a)"/>
    <w:basedOn w:val="ListBullet"/>
    <w:uiPriority w:val="1"/>
    <w:qFormat/>
    <w:rsid w:val="003C02CB"/>
    <w:pPr>
      <w:numPr>
        <w:numId w:val="15"/>
      </w:numPr>
    </w:pPr>
  </w:style>
  <w:style w:type="paragraph" w:customStyle="1" w:styleId="ListBulleti">
    <w:name w:val="List Bullet i)"/>
    <w:basedOn w:val="ListBullet"/>
    <w:uiPriority w:val="1"/>
    <w:qFormat/>
    <w:rsid w:val="003C02CB"/>
    <w:pPr>
      <w:numPr>
        <w:numId w:val="16"/>
      </w:numPr>
    </w:pPr>
  </w:style>
  <w:style w:type="character" w:customStyle="1" w:styleId="Style1">
    <w:name w:val="Style1"/>
    <w:basedOn w:val="DefaultParagraphFont"/>
    <w:uiPriority w:val="1"/>
    <w:rsid w:val="003C02CB"/>
    <w:rPr>
      <w:rFonts w:ascii="Cambria" w:hAnsi="Cambria"/>
      <w:sz w:val="22"/>
    </w:rPr>
  </w:style>
  <w:style w:type="paragraph" w:styleId="NormalWeb">
    <w:name w:val="Normal (Web)"/>
    <w:basedOn w:val="Normal"/>
    <w:uiPriority w:val="99"/>
    <w:semiHidden/>
    <w:unhideWhenUsed/>
    <w:rsid w:val="003C02CB"/>
    <w:pPr>
      <w:spacing w:before="100" w:beforeAutospacing="1" w:after="100" w:afterAutospacing="1" w:line="240" w:lineRule="auto"/>
    </w:pPr>
    <w:rPr>
      <w:rFonts w:ascii="Times New Roman" w:eastAsia="Times New Roman" w:hAnsi="Times New Roman"/>
      <w:sz w:val="24"/>
      <w:szCs w:val="24"/>
      <w:lang w:eastAsia="en-AU"/>
    </w:rPr>
  </w:style>
  <w:style w:type="character" w:styleId="UnresolvedMention">
    <w:name w:val="Unresolved Mention"/>
    <w:basedOn w:val="DefaultParagraphFont"/>
    <w:uiPriority w:val="99"/>
    <w:semiHidden/>
    <w:unhideWhenUsed/>
    <w:rsid w:val="000C135D"/>
    <w:rPr>
      <w:color w:val="605E5C"/>
      <w:shd w:val="clear" w:color="auto" w:fill="E1DFDD"/>
    </w:rPr>
  </w:style>
  <w:style w:type="paragraph" w:styleId="ListNumber">
    <w:name w:val="List Number"/>
    <w:basedOn w:val="Normal"/>
    <w:uiPriority w:val="99"/>
    <w:unhideWhenUsed/>
    <w:rsid w:val="00C805BB"/>
    <w:pPr>
      <w:tabs>
        <w:tab w:val="num" w:pos="432"/>
        <w:tab w:val="num" w:pos="720"/>
        <w:tab w:val="left" w:pos="1440"/>
        <w:tab w:val="num" w:pos="1495"/>
      </w:tabs>
      <w:spacing w:before="0" w:after="240" w:line="240" w:lineRule="auto"/>
      <w:ind w:left="1495" w:hanging="360"/>
      <w:contextualSpacing/>
    </w:pPr>
    <w:rPr>
      <w:rFonts w:ascii="Times New Roman" w:eastAsia="Times New Roman" w:hAnsi="Times New Roman"/>
      <w:sz w:val="24"/>
      <w:szCs w:val="24"/>
      <w:lang w:eastAsia="en-AU"/>
    </w:rPr>
  </w:style>
  <w:style w:type="character" w:customStyle="1" w:styleId="e24kjd">
    <w:name w:val="e24kjd"/>
    <w:basedOn w:val="DefaultParagraphFont"/>
    <w:rsid w:val="002924DB"/>
  </w:style>
  <w:style w:type="character" w:styleId="Emphasis">
    <w:name w:val="Emphasis"/>
    <w:basedOn w:val="DefaultParagraphFont"/>
    <w:uiPriority w:val="20"/>
    <w:qFormat/>
    <w:rsid w:val="002924DB"/>
    <w:rPr>
      <w:i/>
      <w:iCs/>
    </w:rPr>
  </w:style>
  <w:style w:type="paragraph" w:customStyle="1" w:styleId="TableHeading">
    <w:name w:val="Table Heading"/>
    <w:basedOn w:val="Normal"/>
    <w:link w:val="TableHeadingChar"/>
    <w:qFormat/>
    <w:rsid w:val="000D295C"/>
    <w:pPr>
      <w:spacing w:before="180"/>
    </w:pPr>
    <w:rPr>
      <w:b/>
      <w:color w:val="FFFFFF"/>
      <w:szCs w:val="22"/>
    </w:rPr>
  </w:style>
  <w:style w:type="character" w:customStyle="1" w:styleId="TableHeadingChar">
    <w:name w:val="Table Heading Char"/>
    <w:basedOn w:val="DefaultParagraphFont"/>
    <w:link w:val="TableHeading"/>
    <w:rsid w:val="000D295C"/>
    <w:rPr>
      <w:b/>
      <w:color w:val="FFFFF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42780">
      <w:bodyDiv w:val="1"/>
      <w:marLeft w:val="0"/>
      <w:marRight w:val="0"/>
      <w:marTop w:val="0"/>
      <w:marBottom w:val="0"/>
      <w:divBdr>
        <w:top w:val="none" w:sz="0" w:space="0" w:color="auto"/>
        <w:left w:val="none" w:sz="0" w:space="0" w:color="auto"/>
        <w:bottom w:val="none" w:sz="0" w:space="0" w:color="auto"/>
        <w:right w:val="none" w:sz="0" w:space="0" w:color="auto"/>
      </w:divBdr>
    </w:div>
    <w:div w:id="962686002">
      <w:bodyDiv w:val="1"/>
      <w:marLeft w:val="0"/>
      <w:marRight w:val="0"/>
      <w:marTop w:val="0"/>
      <w:marBottom w:val="0"/>
      <w:divBdr>
        <w:top w:val="none" w:sz="0" w:space="0" w:color="auto"/>
        <w:left w:val="none" w:sz="0" w:space="0" w:color="auto"/>
        <w:bottom w:val="none" w:sz="0" w:space="0" w:color="auto"/>
        <w:right w:val="none" w:sz="0" w:space="0" w:color="auto"/>
      </w:divBdr>
    </w:div>
    <w:div w:id="1299719996">
      <w:bodyDiv w:val="1"/>
      <w:marLeft w:val="0"/>
      <w:marRight w:val="0"/>
      <w:marTop w:val="0"/>
      <w:marBottom w:val="0"/>
      <w:divBdr>
        <w:top w:val="none" w:sz="0" w:space="0" w:color="auto"/>
        <w:left w:val="none" w:sz="0" w:space="0" w:color="auto"/>
        <w:bottom w:val="none" w:sz="0" w:space="0" w:color="auto"/>
        <w:right w:val="none" w:sz="0" w:space="0" w:color="auto"/>
      </w:divBdr>
    </w:div>
    <w:div w:id="168991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edicines.scheduling@health.gov.au" TargetMode="External"/><Relationship Id="rId18" Type="http://schemas.openxmlformats.org/officeDocument/2006/relationships/hyperlink" Target="https://www.ebs.tga.gov.au/" TargetMode="External"/><Relationship Id="rId26" Type="http://schemas.openxmlformats.org/officeDocument/2006/relationships/hyperlink" Target="https://www.medsafe.govt.nz/profs/class/classintro.asp" TargetMode="External"/><Relationship Id="rId39" Type="http://schemas.openxmlformats.org/officeDocument/2006/relationships/hyperlink" Target="https://www.hpra.ie/homepage/medicines/medicines-information/find-a-medicine/results?query=Azelaic+acid&amp;field=ACTIVESUBSTANCES" TargetMode="External"/><Relationship Id="rId21" Type="http://schemas.openxmlformats.org/officeDocument/2006/relationships/hyperlink" Target="https://www.tga.gov.au/prescribing-medicines-pregnancy-database" TargetMode="External"/><Relationship Id="rId34" Type="http://schemas.openxmlformats.org/officeDocument/2006/relationships/hyperlink" Target="https://www.tga.gov.au/prescribing-medicines-pregnancy-database" TargetMode="External"/><Relationship Id="rId42" Type="http://schemas.openxmlformats.org/officeDocument/2006/relationships/hyperlink" Target="https://www.lifeline.org.au/" TargetMode="External"/><Relationship Id="rId47" Type="http://schemas.openxmlformats.org/officeDocument/2006/relationships/hyperlink" Target="https://headspace.org.au/" TargetMode="External"/><Relationship Id="rId50" Type="http://schemas.openxmlformats.org/officeDocument/2006/relationships/hyperlink" Target="https://www.tga.gov.au/artg" TargetMode="External"/><Relationship Id="rId55" Type="http://schemas.openxmlformats.org/officeDocument/2006/relationships/hyperlink" Target="https://portal.apvma.gov.au/pubcris" TargetMode="External"/><Relationship Id="rId63" Type="http://schemas.openxmlformats.org/officeDocument/2006/relationships/hyperlink" Target="https://www.ebs.tga.gov.au/" TargetMode="External"/><Relationship Id="rId68" Type="http://schemas.openxmlformats.org/officeDocument/2006/relationships/hyperlink" Target="https://apps.tga.gov.au/Prod/daen/daen-entry.aspx" TargetMode="External"/><Relationship Id="rId76" Type="http://schemas.openxmlformats.org/officeDocument/2006/relationships/hyperlink" Target="https://www.tga.gov.au/about-tga/advisory-bodies-and-committees/advisory-committee-chemicals-scheduling-accs" TargetMode="External"/><Relationship Id="rId84"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file:///C:\Users\chilld\AppData\Roaming\Hewlett-Packard\HP%20TRIM\Offline%20Records%20(A7)\Advisory%20~%20GOODS%20REGULATION%20-%20Registration(6)\health.ec.europa.eu\system\files\2016-11\cosmetic_1223_2009_regulation_en_0.pdf" TargetMode="External"/><Relationship Id="rId2" Type="http://schemas.openxmlformats.org/officeDocument/2006/relationships/numbering" Target="numbering.xml"/><Relationship Id="rId16" Type="http://schemas.openxmlformats.org/officeDocument/2006/relationships/hyperlink" Target="https://www.tga.gov.au/committee/advisory-committee-chemicals-scheduling-accs" TargetMode="External"/><Relationship Id="rId29" Type="http://schemas.openxmlformats.org/officeDocument/2006/relationships/hyperlink" Target="https://health-products.canada.ca/dpd-bdpp/index-eng.jsp" TargetMode="External"/><Relationship Id="rId11" Type="http://schemas.openxmlformats.org/officeDocument/2006/relationships/hyperlink" Target="https://www.tga.gov.au/committee/advisory-committee-medicines-scheduling-acms" TargetMode="External"/><Relationship Id="rId24" Type="http://schemas.openxmlformats.org/officeDocument/2006/relationships/hyperlink" Target="https://portal.apvma.gov.au/pubcris" TargetMode="External"/><Relationship Id="rId32" Type="http://schemas.openxmlformats.org/officeDocument/2006/relationships/hyperlink" Target="https://www.tga.gov.au/artg" TargetMode="External"/><Relationship Id="rId37" Type="http://schemas.openxmlformats.org/officeDocument/2006/relationships/hyperlink" Target="https://portal.apvma.gov.au/pubcris" TargetMode="External"/><Relationship Id="rId40" Type="http://schemas.openxmlformats.org/officeDocument/2006/relationships/hyperlink" Target="https://www.medsafe.govt.nz/profs/class/classintro.asp" TargetMode="External"/><Relationship Id="rId45" Type="http://schemas.openxmlformats.org/officeDocument/2006/relationships/hyperlink" Target="https://mensline.org.au/" TargetMode="External"/><Relationship Id="rId53" Type="http://schemas.openxmlformats.org/officeDocument/2006/relationships/hyperlink" Target="https://www.legislation.gov.au/Details/F2021L01888" TargetMode="External"/><Relationship Id="rId58" Type="http://schemas.openxmlformats.org/officeDocument/2006/relationships/hyperlink" Target="https://ec.europa.eu/food/plant/pesticides/eu-pesticides-database/start/screen/active-substances/details/483" TargetMode="External"/><Relationship Id="rId66" Type="http://schemas.openxmlformats.org/officeDocument/2006/relationships/hyperlink" Target="https://www.tga.gov.au/prescribing-medicines-pregnancy-database" TargetMode="External"/><Relationship Id="rId74" Type="http://schemas.openxmlformats.org/officeDocument/2006/relationships/hyperlink" Target="https://consultations.tga.gov.au/tga/pre-meeting-march-2023" TargetMode="External"/><Relationship Id="rId79" Type="http://schemas.openxmlformats.org/officeDocument/2006/relationships/hyperlink" Target="https://www.tga.gov.au/resources/publication/scheduling-decisions-interim/notice-interim-decisions-proposed-amendments-poisons-standard-acms-accs-and-joint-acms-accs-meetings-november-2020/41-azelaic-acid" TargetMode="External"/><Relationship Id="rId5" Type="http://schemas.openxmlformats.org/officeDocument/2006/relationships/webSettings" Target="webSettings.xml"/><Relationship Id="rId61" Type="http://schemas.openxmlformats.org/officeDocument/2006/relationships/hyperlink" Target="https://ec.europa.eu/health/scientific_committees/consumer_safety/docs/sccs_o_194.pdf" TargetMode="External"/><Relationship Id="rId82" Type="http://schemas.openxmlformats.org/officeDocument/2006/relationships/header" Target="header2.xml"/><Relationship Id="rId19" Type="http://schemas.openxmlformats.org/officeDocument/2006/relationships/hyperlink" Target="https://www.tga.gov.au/artg" TargetMode="Externa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yperlink" Target="https://consultations.tga.gov.au/tga/pre-meeting-march-2023" TargetMode="External"/><Relationship Id="rId22" Type="http://schemas.openxmlformats.org/officeDocument/2006/relationships/hyperlink" Target="https://www.legislation.gov.au/Details/F2021L01888" TargetMode="External"/><Relationship Id="rId27" Type="http://schemas.openxmlformats.org/officeDocument/2006/relationships/hyperlink" Target="https://www.hpra.ie/homepage/medicines/medicines-information/find-a-medicine/results?query=Celecoxib&amp;field=ACTIVESUBSTANCES" TargetMode="External"/><Relationship Id="rId30" Type="http://schemas.openxmlformats.org/officeDocument/2006/relationships/hyperlink" Target="https://www.industrialchemicals.gov.au/sites/default/files/2021-09/EVA00010%20-%20Evaluation%20Statement%20-%2014%20September%202021%20%5B702%20KB%5D.pdf" TargetMode="External"/><Relationship Id="rId35" Type="http://schemas.openxmlformats.org/officeDocument/2006/relationships/hyperlink" Target="https://www.legislation.gov.au/Details/F2021L01888" TargetMode="External"/><Relationship Id="rId43" Type="http://schemas.openxmlformats.org/officeDocument/2006/relationships/hyperlink" Target="https://www.suicidecallbackservice.org.au/" TargetMode="External"/><Relationship Id="rId48" Type="http://schemas.openxmlformats.org/officeDocument/2006/relationships/hyperlink" Target="https://au.reachout.com/" TargetMode="External"/><Relationship Id="rId56" Type="http://schemas.openxmlformats.org/officeDocument/2006/relationships/hyperlink" Target="https://apvma.gov.au/node/10946" TargetMode="External"/><Relationship Id="rId64" Type="http://schemas.openxmlformats.org/officeDocument/2006/relationships/hyperlink" Target="https://www.tga.gov.au/artg" TargetMode="External"/><Relationship Id="rId69" Type="http://schemas.openxmlformats.org/officeDocument/2006/relationships/hyperlink" Target="https://portal.apvma.gov.au/pubcris" TargetMode="External"/><Relationship Id="rId77" Type="http://schemas.openxmlformats.org/officeDocument/2006/relationships/hyperlink" Target="https://www.tga.gov.au/resources/publication/scheduling-submissions" TargetMode="External"/><Relationship Id="rId8" Type="http://schemas.openxmlformats.org/officeDocument/2006/relationships/image" Target="media/image1.gif"/><Relationship Id="rId51" Type="http://schemas.openxmlformats.org/officeDocument/2006/relationships/hyperlink" Target="https://www.legislation.gov.au/Search/Therapeutic%20Goods%20$LB$Permissible%20Ingredients$RB$%20Determination" TargetMode="External"/><Relationship Id="rId72" Type="http://schemas.openxmlformats.org/officeDocument/2006/relationships/hyperlink" Target="file:///C:\Users\chilld\AppData\Roaming\Hewlett-Packard\HP%20TRIM\Offline%20Records%20(A7)\Advisory%20~%20GOODS%20REGULATION%20-%20Registration(6)\echa.europa.eu\substance-information\-\substanceinfo\100.004.239" TargetMode="External"/><Relationship Id="rId80" Type="http://schemas.openxmlformats.org/officeDocument/2006/relationships/header" Target="header1.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tga.gov.au/committee/advisory-committee-chemicals-scheduling-accs" TargetMode="External"/><Relationship Id="rId17" Type="http://schemas.openxmlformats.org/officeDocument/2006/relationships/hyperlink" Target="mailto:medicines.scheduling@health.gov.au" TargetMode="External"/><Relationship Id="rId25" Type="http://schemas.openxmlformats.org/officeDocument/2006/relationships/hyperlink" Target="https://www.accessdata.fda.gov/scripts/cder/daf/index.cfm?event=BasicSearch.process" TargetMode="External"/><Relationship Id="rId33" Type="http://schemas.openxmlformats.org/officeDocument/2006/relationships/hyperlink" Target="https://www.legislation.gov.au/Search/Therapeutic%20Goods%20$LB$Permissible%20Ingredients$RB$%20Determination" TargetMode="External"/><Relationship Id="rId38" Type="http://schemas.openxmlformats.org/officeDocument/2006/relationships/hyperlink" Target="https://www.accessdata.fda.gov/scripts/cder/daf/index.cfm?event=BasicSearch.process" TargetMode="External"/><Relationship Id="rId46" Type="http://schemas.openxmlformats.org/officeDocument/2006/relationships/hyperlink" Target="https://kidshelpline.com.au/" TargetMode="External"/><Relationship Id="rId59" Type="http://schemas.openxmlformats.org/officeDocument/2006/relationships/hyperlink" Target="https://www.epa.govt.nz/database-search/new-zealand-inventory-of-chemicals-nzioc/DatabaseSearchForm/?SiteDatabaseSearchFilters=36&amp;Keyword=acequinocyl&amp;DatabaseType=NZIOC" TargetMode="External"/><Relationship Id="rId67" Type="http://schemas.openxmlformats.org/officeDocument/2006/relationships/hyperlink" Target="https://www.legislation.gov.au/Details/F2021L01888" TargetMode="External"/><Relationship Id="rId20" Type="http://schemas.openxmlformats.org/officeDocument/2006/relationships/hyperlink" Target="https://www.legislation.gov.au/Search/Therapeutic%20Goods%20$LB$Permissible%20Ingredients$RB$%20Determination" TargetMode="External"/><Relationship Id="rId41" Type="http://schemas.openxmlformats.org/officeDocument/2006/relationships/hyperlink" Target="https://ec.europa.eu/growth/tools-databases/cosing/index.cfm?fuseaction=search.details_v2&amp;id=74538" TargetMode="External"/><Relationship Id="rId54" Type="http://schemas.openxmlformats.org/officeDocument/2006/relationships/hyperlink" Target="https://apps.tga.gov.au/Prod/daen/daen-entry.aspx" TargetMode="External"/><Relationship Id="rId62" Type="http://schemas.openxmlformats.org/officeDocument/2006/relationships/hyperlink" Target="file:///C:\Users\chilld\AppData\Roaming\Hewlett-Packard\HP%20TRIM\Offline%20Records%20(A7)\Advisory%20~%20GOODS%20REGULATION%20-%20Registration(6)\health.ec.europa.eu\system\files\2016-11\cosmetic_1223_2009_regulation_en_0.pdf" TargetMode="External"/><Relationship Id="rId70" Type="http://schemas.openxmlformats.org/officeDocument/2006/relationships/hyperlink" Target="https://www.epa.govt.nz/database-search/new-zealand-inventory-of-chemicals-nzioc/DatabaseSearchForm/?SiteDatabaseSearchFilters=36&amp;Keyword=acequinocyl&amp;DatabaseType=NZIOC" TargetMode="External"/><Relationship Id="rId75" Type="http://schemas.openxmlformats.org/officeDocument/2006/relationships/hyperlink" Target="https://www.tga.gov.au/about-tga/advisory-bodies-and-committees/advisory-committee-medicines-scheduling-acms" TargetMode="External"/><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ga.gov.au/committee/advisory-committee-medicines-scheduling-acms" TargetMode="External"/><Relationship Id="rId23" Type="http://schemas.openxmlformats.org/officeDocument/2006/relationships/hyperlink" Target="https://apps.tga.gov.au/Prod/daen/daen-entry.aspx" TargetMode="External"/><Relationship Id="rId28" Type="http://schemas.openxmlformats.org/officeDocument/2006/relationships/hyperlink" Target="https://www.medicines.org.uk/emc/search?q=celecoxib" TargetMode="External"/><Relationship Id="rId36" Type="http://schemas.openxmlformats.org/officeDocument/2006/relationships/hyperlink" Target="https://apps.tga.gov.au/Prod/daen/daen-entry.aspx" TargetMode="External"/><Relationship Id="rId49" Type="http://schemas.openxmlformats.org/officeDocument/2006/relationships/hyperlink" Target="https://www.ebs.tga.gov.au/" TargetMode="External"/><Relationship Id="rId57" Type="http://schemas.openxmlformats.org/officeDocument/2006/relationships/hyperlink" Target="https://iaspub.epa.gov/apex/pesticides/f?p=CHEMICALSEARCH:1:" TargetMode="External"/><Relationship Id="rId10" Type="http://schemas.openxmlformats.org/officeDocument/2006/relationships/hyperlink" Target="https://consultations.tga.gov.au/tga/pre-meeting-march-2023" TargetMode="External"/><Relationship Id="rId31" Type="http://schemas.openxmlformats.org/officeDocument/2006/relationships/hyperlink" Target="https://www.ebs.tga.gov.au/" TargetMode="External"/><Relationship Id="rId44" Type="http://schemas.openxmlformats.org/officeDocument/2006/relationships/hyperlink" Target="https://www.beyondblue.org.au/get-support/online-forums" TargetMode="External"/><Relationship Id="rId52" Type="http://schemas.openxmlformats.org/officeDocument/2006/relationships/hyperlink" Target="https://www.tga.gov.au/prescribing-medicines-pregnancy-database" TargetMode="External"/><Relationship Id="rId60" Type="http://schemas.openxmlformats.org/officeDocument/2006/relationships/hyperlink" Target="https://www.industrialchemicals.gov.au/sites/default/files/2022-06/EVA00003%20-%20Evaluation%20statement%20-%2030%20June%202022.pdf" TargetMode="External"/><Relationship Id="rId65" Type="http://schemas.openxmlformats.org/officeDocument/2006/relationships/hyperlink" Target="https://www.legislation.gov.au/Search/Therapeutic%20Goods%20$LB$Permissible%20Ingredients$RB$%20Determination" TargetMode="External"/><Relationship Id="rId73" Type="http://schemas.openxmlformats.org/officeDocument/2006/relationships/hyperlink" Target="http://www.epa.gov/assessing-and-managing-chemicals-under-tsca/final-risk-evaluation-14-dioxane" TargetMode="External"/><Relationship Id="rId78" Type="http://schemas.openxmlformats.org/officeDocument/2006/relationships/hyperlink" Target="https://www.tga.gov.au/resources/resource/forms/scheduling-consultation-coversheets" TargetMode="External"/><Relationship Id="rId81" Type="http://schemas.openxmlformats.org/officeDocument/2006/relationships/footer" Target="footer1.xml"/><Relationship Id="rId86"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edsafe.govt.nz/profs/class/classintro.asp" TargetMode="External"/><Relationship Id="rId13" Type="http://schemas.openxmlformats.org/officeDocument/2006/relationships/hyperlink" Target="https://www.ebs.tga.gov.au/" TargetMode="External"/><Relationship Id="rId18" Type="http://schemas.openxmlformats.org/officeDocument/2006/relationships/hyperlink" Target="https://apps.tga.gov.au/Prod/daen/daen-entry.aspx" TargetMode="External"/><Relationship Id="rId26" Type="http://schemas.openxmlformats.org/officeDocument/2006/relationships/hyperlink" Target="https://www.legislation.gov.au/Search/Therapeutic%20Goods%20$LB$Permissible%20Ingredients$RB$%20Determination" TargetMode="External"/><Relationship Id="rId39" Type="http://schemas.openxmlformats.org/officeDocument/2006/relationships/hyperlink" Target="https://www.tga.gov.au/artg" TargetMode="External"/><Relationship Id="rId3" Type="http://schemas.openxmlformats.org/officeDocument/2006/relationships/hyperlink" Target="https://www.legislation.gov.au/Search/Therapeutic%20Goods%20$LB$Permissible%20Ingredients$RB$%20Determination" TargetMode="External"/><Relationship Id="rId21" Type="http://schemas.openxmlformats.org/officeDocument/2006/relationships/hyperlink" Target="https://www.hpra.ie/homepage/medicines/medicines-information/find-a-medicine/results?query=Azelaic+acid&amp;field=ACTIVESUBSTANCES" TargetMode="External"/><Relationship Id="rId34" Type="http://schemas.openxmlformats.org/officeDocument/2006/relationships/hyperlink" Target="ec.europa.eu/food/plant/pesticides/eu-pesticides-database/start/screen/active-substances/details/483" TargetMode="External"/><Relationship Id="rId42" Type="http://schemas.openxmlformats.org/officeDocument/2006/relationships/hyperlink" Target="https://apps.tga.gov.au/Prod/daen/daen-entry.aspx" TargetMode="External"/><Relationship Id="rId47" Type="http://schemas.openxmlformats.org/officeDocument/2006/relationships/hyperlink" Target="http://www.epa.gov/assessing-and-managing-chemicals-under-tsca/final-risk-evaluation-14-dioxane" TargetMode="External"/><Relationship Id="rId7" Type="http://schemas.openxmlformats.org/officeDocument/2006/relationships/hyperlink" Target="https://www.accessdata.fda.gov/scripts/cder/daf/index.cfm?event=BasicSearch.process" TargetMode="External"/><Relationship Id="rId12" Type="http://schemas.openxmlformats.org/officeDocument/2006/relationships/hyperlink" Target="https://www.industrialchemicals.gov.au/sites/default/files/2021-09/EVA00010%20-%20Evaluation%20Statement%20-%2014%20September%202021%20%5B702%20KB%5D.pdf" TargetMode="External"/><Relationship Id="rId17" Type="http://schemas.openxmlformats.org/officeDocument/2006/relationships/hyperlink" Target="https://www.legislation.gov.au/Details/F2021L01888" TargetMode="External"/><Relationship Id="rId25" Type="http://schemas.openxmlformats.org/officeDocument/2006/relationships/hyperlink" Target="https://www.tga.gov.au/artg" TargetMode="External"/><Relationship Id="rId33" Type="http://schemas.openxmlformats.org/officeDocument/2006/relationships/hyperlink" Target="echa.europa.eu/search-for-chemicals" TargetMode="External"/><Relationship Id="rId38" Type="http://schemas.openxmlformats.org/officeDocument/2006/relationships/hyperlink" Target="https://www.ebs.tga.gov.au/" TargetMode="External"/><Relationship Id="rId46" Type="http://schemas.openxmlformats.org/officeDocument/2006/relationships/hyperlink" Target="echa.europa.eu/substance-information/-/substanceinfo/100.004.239" TargetMode="External"/><Relationship Id="rId2" Type="http://schemas.openxmlformats.org/officeDocument/2006/relationships/hyperlink" Target="https://www.tga.gov.au/artg" TargetMode="External"/><Relationship Id="rId16" Type="http://schemas.openxmlformats.org/officeDocument/2006/relationships/hyperlink" Target="https://www.tga.gov.au/prescribing-medicines-pregnancy-database" TargetMode="External"/><Relationship Id="rId20" Type="http://schemas.openxmlformats.org/officeDocument/2006/relationships/hyperlink" Target="https://www.accessdata.fda.gov/scripts/cder/daf/index.cfm?event=BasicSearch.process" TargetMode="External"/><Relationship Id="rId29" Type="http://schemas.openxmlformats.org/officeDocument/2006/relationships/hyperlink" Target="https://apps.tga.gov.au/Prod/daen/daen-entry.aspx" TargetMode="External"/><Relationship Id="rId41" Type="http://schemas.openxmlformats.org/officeDocument/2006/relationships/hyperlink" Target="https://www.tga.gov.au/prescribing-medicines-pregnancy-database" TargetMode="External"/><Relationship Id="rId1" Type="http://schemas.openxmlformats.org/officeDocument/2006/relationships/hyperlink" Target="https://www.ebs.tga.gov.au/" TargetMode="External"/><Relationship Id="rId6" Type="http://schemas.openxmlformats.org/officeDocument/2006/relationships/hyperlink" Target="https://apps.tga.gov.au/Prod/daen/daen-entry.aspx" TargetMode="External"/><Relationship Id="rId11" Type="http://schemas.openxmlformats.org/officeDocument/2006/relationships/hyperlink" Target="health-products.canada.ca/dpd-bdpp/index-eng.jsp" TargetMode="External"/><Relationship Id="rId24" Type="http://schemas.openxmlformats.org/officeDocument/2006/relationships/hyperlink" Target="https://www.ebs.tga.gov.au/" TargetMode="External"/><Relationship Id="rId32" Type="http://schemas.openxmlformats.org/officeDocument/2006/relationships/hyperlink" Target="ordspub.epa.gov/ords/pesticides/f?p=CHEMICALSEARCH:1:" TargetMode="External"/><Relationship Id="rId37" Type="http://schemas.openxmlformats.org/officeDocument/2006/relationships/hyperlink" Target="health.ec.europa.eu/system/files/2016-11/cosmetic_1223_2009_regulation_en_0.pdf" TargetMode="External"/><Relationship Id="rId40" Type="http://schemas.openxmlformats.org/officeDocument/2006/relationships/hyperlink" Target="https://www.legislation.gov.au/Search/Therapeutic%20Goods%20$LB$Permissible%20Ingredients$RB$%20Determination" TargetMode="External"/><Relationship Id="rId45" Type="http://schemas.openxmlformats.org/officeDocument/2006/relationships/hyperlink" Target="health.ec.europa.eu/system/files/2016-11/cosmetic_1223_2009_regulation_en_0.pdf" TargetMode="External"/><Relationship Id="rId5" Type="http://schemas.openxmlformats.org/officeDocument/2006/relationships/hyperlink" Target="https://www.legislation.gov.au/Details/F2021L01888" TargetMode="External"/><Relationship Id="rId15" Type="http://schemas.openxmlformats.org/officeDocument/2006/relationships/hyperlink" Target="https://www.legislation.gov.au/Search/Therapeutic%20Goods%20$LB$Permissible%20Ingredients$RB$%20Determination" TargetMode="External"/><Relationship Id="rId23" Type="http://schemas.openxmlformats.org/officeDocument/2006/relationships/hyperlink" Target="https://ec.europa.eu/growth/tools-databases/cosing/index.cfm?fuseaction=search.details_v2&amp;id=74538" TargetMode="External"/><Relationship Id="rId28" Type="http://schemas.openxmlformats.org/officeDocument/2006/relationships/hyperlink" Target="https://www.legislation.gov.au/Details/F2021L01888" TargetMode="External"/><Relationship Id="rId36" Type="http://schemas.openxmlformats.org/officeDocument/2006/relationships/hyperlink" Target="https://ec.europa.eu/health/scientific_committees/consumer_safety/docs/sccs_o_194.pdf" TargetMode="External"/><Relationship Id="rId10" Type="http://schemas.openxmlformats.org/officeDocument/2006/relationships/hyperlink" Target="https://www.medicines.org.uk/emc/search?q=celecoxib" TargetMode="External"/><Relationship Id="rId19" Type="http://schemas.openxmlformats.org/officeDocument/2006/relationships/hyperlink" Target="https://portal.apvma.gov.au/pubcris" TargetMode="External"/><Relationship Id="rId31" Type="http://schemas.openxmlformats.org/officeDocument/2006/relationships/hyperlink" Target="https://apvma.gov.au/node/10946" TargetMode="External"/><Relationship Id="rId44" Type="http://schemas.openxmlformats.org/officeDocument/2006/relationships/hyperlink" Target="https://www.epa.govt.nz/database-search/new-zealand-inventory-of-chemicals-nzioc/DatabaseSearchForm/?SiteDatabaseSearchFilters=36&amp;Keyword=acequinocyl&amp;DatabaseType=NZIOC" TargetMode="External"/><Relationship Id="rId4" Type="http://schemas.openxmlformats.org/officeDocument/2006/relationships/hyperlink" Target="https://www.tga.gov.au/prescribing-medicines-pregnancy-database" TargetMode="External"/><Relationship Id="rId9" Type="http://schemas.openxmlformats.org/officeDocument/2006/relationships/hyperlink" Target="https://www.hpra.ie/homepage/medicines/medicines-information/find-a-medicine/results?query=Celecoxib&amp;field=ACTIVESUBSTANCES" TargetMode="External"/><Relationship Id="rId14" Type="http://schemas.openxmlformats.org/officeDocument/2006/relationships/hyperlink" Target="https://www.tga.gov.au/artg" TargetMode="External"/><Relationship Id="rId22" Type="http://schemas.openxmlformats.org/officeDocument/2006/relationships/hyperlink" Target="https://www.medsafe.govt.nz/regulatory/dbsearch.asp" TargetMode="External"/><Relationship Id="rId27" Type="http://schemas.openxmlformats.org/officeDocument/2006/relationships/hyperlink" Target="https://www.tga.gov.au/prescribing-medicines-pregnancy-database" TargetMode="External"/><Relationship Id="rId30" Type="http://schemas.openxmlformats.org/officeDocument/2006/relationships/hyperlink" Target="https://portal.apvma.gov.au/pubcris" TargetMode="External"/><Relationship Id="rId35" Type="http://schemas.openxmlformats.org/officeDocument/2006/relationships/hyperlink" Target="http://www.epa.govt.nz/database-search/new-zealand-inventory-of-chemicals-nzioc/" TargetMode="External"/><Relationship Id="rId43" Type="http://schemas.openxmlformats.org/officeDocument/2006/relationships/hyperlink" Target="https://portal.apvma.gov.au/pubcri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0C370-D7AF-483D-BF05-1B749B936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6180</TotalTime>
  <Pages>22</Pages>
  <Words>6051</Words>
  <Characters>34492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40463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Erin</dc:creator>
  <cp:lastModifiedBy>KEVIN, Raingsey</cp:lastModifiedBy>
  <cp:revision>53</cp:revision>
  <cp:lastPrinted>2010-12-20T22:59:00Z</cp:lastPrinted>
  <dcterms:created xsi:type="dcterms:W3CDTF">2022-11-21T06:45:00Z</dcterms:created>
  <dcterms:modified xsi:type="dcterms:W3CDTF">2022-12-22T22:21:00Z</dcterms:modified>
</cp:coreProperties>
</file>