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F02AEC" w:rsidRPr="00215D48" w14:paraId="77ED98E2" w14:textId="77777777" w:rsidTr="002B29B2">
        <w:tc>
          <w:tcPr>
            <w:tcW w:w="8720" w:type="dxa"/>
          </w:tcPr>
          <w:p w14:paraId="1F256056" w14:textId="248A4AEA" w:rsidR="00F02AEC" w:rsidRPr="00215D48" w:rsidRDefault="00685E72" w:rsidP="002B29B2">
            <w:pPr>
              <w:pStyle w:val="Title"/>
            </w:pPr>
            <w:r>
              <w:t xml:space="preserve">Consultation: Proposed amendments to the Poisons Standard – ACMS, ACCS and joint ACMS-ACCS meetings, </w:t>
            </w:r>
            <w:r w:rsidR="00B97F9C">
              <w:t>June</w:t>
            </w:r>
            <w:r>
              <w:t xml:space="preserve"> 20</w:t>
            </w:r>
            <w:r w:rsidR="00B97F9C">
              <w:t>23</w:t>
            </w:r>
          </w:p>
        </w:tc>
      </w:tr>
      <w:tr w:rsidR="00F02AEC" w:rsidRPr="00215D48" w14:paraId="68A139A2" w14:textId="77777777" w:rsidTr="002B29B2">
        <w:trPr>
          <w:trHeight w:val="1916"/>
        </w:trPr>
        <w:tc>
          <w:tcPr>
            <w:tcW w:w="8720" w:type="dxa"/>
          </w:tcPr>
          <w:p w14:paraId="4FE9BC59" w14:textId="77777777" w:rsidR="00CC6BAE" w:rsidRDefault="00CC6BAE" w:rsidP="002B29B2">
            <w:pPr>
              <w:pStyle w:val="Subtitle"/>
              <w:ind w:left="0"/>
            </w:pPr>
          </w:p>
          <w:p w14:paraId="710F078A" w14:textId="0D854DA3" w:rsidR="00F02AEC" w:rsidRPr="00215D48" w:rsidRDefault="00DE411A" w:rsidP="002B29B2">
            <w:pPr>
              <w:pStyle w:val="Subtitle"/>
              <w:ind w:left="0"/>
            </w:pPr>
            <w:r>
              <w:t>1</w:t>
            </w:r>
            <w:r w:rsidR="001F353A">
              <w:t>8</w:t>
            </w:r>
            <w:r w:rsidR="00403A31">
              <w:t xml:space="preserve"> April 2023</w:t>
            </w:r>
          </w:p>
        </w:tc>
      </w:tr>
      <w:tr w:rsidR="00F02AEC" w:rsidRPr="00215D48" w14:paraId="320596D5" w14:textId="77777777" w:rsidTr="002B29B2">
        <w:tc>
          <w:tcPr>
            <w:tcW w:w="8720" w:type="dxa"/>
          </w:tcPr>
          <w:p w14:paraId="0C2CE97A" w14:textId="67C599CB" w:rsidR="00F02AEC" w:rsidRPr="00215D48" w:rsidRDefault="00F02AEC" w:rsidP="00F54CA9">
            <w:pPr>
              <w:pStyle w:val="Date"/>
            </w:pPr>
          </w:p>
        </w:tc>
      </w:tr>
    </w:tbl>
    <w:p w14:paraId="1B7834FC" w14:textId="77777777" w:rsidR="00F02AEC" w:rsidRPr="00215D48" w:rsidRDefault="00F02AEC" w:rsidP="00B24FF5">
      <w:pPr>
        <w:pStyle w:val="ListBullet"/>
        <w:numPr>
          <w:ilvl w:val="0"/>
          <w:numId w:val="0"/>
        </w:numPr>
        <w:sectPr w:rsidR="00F02AEC" w:rsidRPr="00215D48" w:rsidSect="00CB055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6D956596" w14:textId="77777777" w:rsidR="00F02AEC" w:rsidRPr="00E1198B" w:rsidRDefault="00F02AEC" w:rsidP="00BA0DFC">
      <w:pPr>
        <w:pStyle w:val="LegalSubheading"/>
      </w:pPr>
      <w:r w:rsidRPr="00BA0DFC">
        <w:lastRenderedPageBreak/>
        <w:t>Copyright</w:t>
      </w:r>
    </w:p>
    <w:p w14:paraId="1767149F" w14:textId="054DE5EC" w:rsidR="00930D58" w:rsidRDefault="00F02AEC" w:rsidP="00FA49C3">
      <w:pPr>
        <w:pStyle w:val="LegalCopy"/>
        <w:rPr>
          <w:rFonts w:cs="Arial"/>
        </w:rPr>
      </w:pPr>
      <w:r w:rsidRPr="00676BCE">
        <w:rPr>
          <w:rFonts w:cs="Arial"/>
          <w:color w:val="000000" w:themeColor="text1"/>
        </w:rPr>
        <w:t>© Commonwealth of Australia 202</w:t>
      </w:r>
      <w:r w:rsidR="00403A31" w:rsidRPr="00676BCE">
        <w:rPr>
          <w:rFonts w:cs="Arial"/>
          <w:color w:val="000000" w:themeColor="text1"/>
        </w:rPr>
        <w:t>3</w:t>
      </w:r>
      <w:r w:rsidRPr="00676BCE">
        <w:rPr>
          <w:rFonts w:cs="Arial"/>
          <w:color w:val="000000" w:themeColor="text1"/>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676BCE">
        <w:rPr>
          <w:rFonts w:cs="Arial"/>
          <w:i/>
          <w:color w:val="000000" w:themeColor="text1"/>
        </w:rPr>
        <w:t>Copyright Act 1968</w:t>
      </w:r>
      <w:r w:rsidRPr="00676BCE">
        <w:rPr>
          <w:rFonts w:cs="Arial"/>
          <w:color w:val="000000" w:themeColor="text1"/>
        </w:rPr>
        <w:t xml:space="preserve"> or allowed by this copyright notice, all other rights are </w:t>
      </w:r>
      <w:proofErr w:type="gramStart"/>
      <w:r w:rsidRPr="00676BCE">
        <w:rPr>
          <w:rFonts w:cs="Arial"/>
          <w:color w:val="000000" w:themeColor="text1"/>
        </w:rPr>
        <w:t>reserved</w:t>
      </w:r>
      <w:proofErr w:type="gramEnd"/>
      <w:r w:rsidRPr="00676BCE">
        <w:rPr>
          <w:rFonts w:cs="Arial"/>
          <w:color w:val="000000" w:themeColor="text1"/>
        </w:rPr>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215D48">
          <w:rPr>
            <w:rStyle w:val="Hyperlink"/>
            <w:rFonts w:cs="Arial"/>
          </w:rPr>
          <w:t>tga.copyright@tga.gov.au</w:t>
        </w:r>
      </w:hyperlink>
      <w:r w:rsidRPr="00676BCE">
        <w:rPr>
          <w:rFonts w:cs="Arial"/>
          <w:color w:val="000000" w:themeColor="text1"/>
        </w:rPr>
        <w:t>&gt;.</w:t>
      </w:r>
    </w:p>
    <w:p w14:paraId="688EC53E" w14:textId="77777777" w:rsidR="00175CD8" w:rsidRPr="00FA49C3" w:rsidRDefault="00175CD8" w:rsidP="00175CD8"/>
    <w:sdt>
      <w:sdtPr>
        <w:rPr>
          <w:rFonts w:ascii="Cambria" w:eastAsiaTheme="minorHAnsi" w:hAnsi="Cambria" w:cstheme="minorBidi"/>
          <w:b w:val="0"/>
          <w:color w:val="auto"/>
          <w:sz w:val="22"/>
          <w:szCs w:val="22"/>
        </w:rPr>
        <w:id w:val="21514769"/>
        <w:docPartObj>
          <w:docPartGallery w:val="Table of Contents"/>
          <w:docPartUnique/>
        </w:docPartObj>
      </w:sdtPr>
      <w:sdtEndPr>
        <w:rPr>
          <w:rFonts w:ascii="Arial" w:hAnsi="Arial"/>
          <w:sz w:val="20"/>
          <w:szCs w:val="20"/>
        </w:rPr>
      </w:sdtEndPr>
      <w:sdtContent>
        <w:p w14:paraId="4831BF2E" w14:textId="77777777" w:rsidR="00F02AEC" w:rsidRPr="00215D48" w:rsidRDefault="00F02AEC" w:rsidP="00035110">
          <w:pPr>
            <w:pStyle w:val="NonTOCheading2"/>
          </w:pPr>
          <w:r w:rsidRPr="00215D48">
            <w:t>Contents</w:t>
          </w:r>
        </w:p>
        <w:p w14:paraId="4F7D29F6" w14:textId="7BFE5247" w:rsidR="00D937BD" w:rsidRDefault="00F02AEC">
          <w:pPr>
            <w:pStyle w:val="TOC1"/>
            <w:rPr>
              <w:rFonts w:asciiTheme="minorHAnsi" w:eastAsiaTheme="minorEastAsia" w:hAnsiTheme="minorHAnsi" w:cstheme="minorBidi"/>
              <w:b w:val="0"/>
              <w:noProof/>
              <w:color w:val="auto"/>
              <w:sz w:val="22"/>
              <w:szCs w:val="22"/>
              <w:lang w:eastAsia="en-AU"/>
            </w:rPr>
          </w:pPr>
          <w:r w:rsidRPr="00215D48">
            <w:fldChar w:fldCharType="begin"/>
          </w:r>
          <w:r w:rsidRPr="00215D48">
            <w:instrText xml:space="preserve"> TOC \h \z \u \t "Heading 2,1,Heading 3,2,Heading 4,3" </w:instrText>
          </w:r>
          <w:r w:rsidRPr="00215D48">
            <w:fldChar w:fldCharType="separate"/>
          </w:r>
          <w:hyperlink w:anchor="_Toc131604345" w:history="1">
            <w:r w:rsidR="00D937BD" w:rsidRPr="0020127F">
              <w:rPr>
                <w:rStyle w:val="Hyperlink"/>
                <w:noProof/>
              </w:rPr>
              <w:t>About this consultation</w:t>
            </w:r>
            <w:r w:rsidR="00D937BD">
              <w:rPr>
                <w:noProof/>
                <w:webHidden/>
              </w:rPr>
              <w:tab/>
            </w:r>
            <w:r w:rsidR="00D937BD">
              <w:rPr>
                <w:noProof/>
                <w:webHidden/>
              </w:rPr>
              <w:fldChar w:fldCharType="begin"/>
            </w:r>
            <w:r w:rsidR="00D937BD">
              <w:rPr>
                <w:noProof/>
                <w:webHidden/>
              </w:rPr>
              <w:instrText xml:space="preserve"> PAGEREF _Toc131604345 \h </w:instrText>
            </w:r>
            <w:r w:rsidR="00D937BD">
              <w:rPr>
                <w:noProof/>
                <w:webHidden/>
              </w:rPr>
            </w:r>
            <w:r w:rsidR="00D937BD">
              <w:rPr>
                <w:noProof/>
                <w:webHidden/>
              </w:rPr>
              <w:fldChar w:fldCharType="separate"/>
            </w:r>
            <w:r w:rsidR="00D937BD">
              <w:rPr>
                <w:noProof/>
                <w:webHidden/>
              </w:rPr>
              <w:t>5</w:t>
            </w:r>
            <w:r w:rsidR="00D937BD">
              <w:rPr>
                <w:noProof/>
                <w:webHidden/>
              </w:rPr>
              <w:fldChar w:fldCharType="end"/>
            </w:r>
          </w:hyperlink>
        </w:p>
        <w:p w14:paraId="0FBFB41D" w14:textId="6D76A8E9" w:rsidR="00D937BD" w:rsidRDefault="00A72A16">
          <w:pPr>
            <w:pStyle w:val="TOC1"/>
            <w:tabs>
              <w:tab w:val="left" w:pos="425"/>
            </w:tabs>
            <w:rPr>
              <w:rFonts w:asciiTheme="minorHAnsi" w:eastAsiaTheme="minorEastAsia" w:hAnsiTheme="minorHAnsi" w:cstheme="minorBidi"/>
              <w:b w:val="0"/>
              <w:noProof/>
              <w:color w:val="auto"/>
              <w:sz w:val="22"/>
              <w:szCs w:val="22"/>
              <w:lang w:eastAsia="en-AU"/>
            </w:rPr>
          </w:pPr>
          <w:hyperlink w:anchor="_Toc131604346" w:history="1">
            <w:r w:rsidR="00D937BD" w:rsidRPr="0020127F">
              <w:rPr>
                <w:rStyle w:val="Hyperlink"/>
                <w:noProof/>
              </w:rPr>
              <w:t>1</w:t>
            </w:r>
            <w:r w:rsidR="00D937BD">
              <w:rPr>
                <w:rFonts w:asciiTheme="minorHAnsi" w:eastAsiaTheme="minorEastAsia" w:hAnsiTheme="minorHAnsi" w:cstheme="minorBidi"/>
                <w:b w:val="0"/>
                <w:noProof/>
                <w:color w:val="auto"/>
                <w:sz w:val="22"/>
                <w:szCs w:val="22"/>
                <w:lang w:eastAsia="en-AU"/>
              </w:rPr>
              <w:tab/>
            </w:r>
            <w:r w:rsidR="00D937BD" w:rsidRPr="0020127F">
              <w:rPr>
                <w:rStyle w:val="Hyperlink"/>
                <w:noProof/>
              </w:rPr>
              <w:t>Proposed amendments referred for scheduling advice to ACMS meeting #42</w:t>
            </w:r>
            <w:r w:rsidR="00D937BD">
              <w:rPr>
                <w:noProof/>
                <w:webHidden/>
              </w:rPr>
              <w:tab/>
            </w:r>
            <w:r w:rsidR="00D937BD">
              <w:rPr>
                <w:noProof/>
                <w:webHidden/>
              </w:rPr>
              <w:fldChar w:fldCharType="begin"/>
            </w:r>
            <w:r w:rsidR="00D937BD">
              <w:rPr>
                <w:noProof/>
                <w:webHidden/>
              </w:rPr>
              <w:instrText xml:space="preserve"> PAGEREF _Toc131604346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486D65AC" w14:textId="24E99354" w:rsidR="00D937BD" w:rsidRDefault="00A72A16">
          <w:pPr>
            <w:pStyle w:val="TOC2"/>
            <w:tabs>
              <w:tab w:val="left" w:pos="1276"/>
            </w:tabs>
            <w:rPr>
              <w:rFonts w:asciiTheme="minorHAnsi" w:eastAsiaTheme="minorEastAsia" w:hAnsiTheme="minorHAnsi" w:cstheme="minorBidi"/>
              <w:b w:val="0"/>
              <w:noProof/>
              <w:color w:val="auto"/>
              <w:sz w:val="22"/>
              <w:szCs w:val="22"/>
              <w:lang w:eastAsia="en-AU"/>
            </w:rPr>
          </w:pPr>
          <w:hyperlink w:anchor="_Toc131604347" w:history="1">
            <w:r w:rsidR="00D937BD" w:rsidRPr="0020127F">
              <w:rPr>
                <w:rStyle w:val="Hyperlink"/>
                <w:noProof/>
              </w:rPr>
              <w:t>1.1</w:t>
            </w:r>
            <w:r w:rsidR="00D937BD">
              <w:rPr>
                <w:rFonts w:asciiTheme="minorHAnsi" w:eastAsiaTheme="minorEastAsia" w:hAnsiTheme="minorHAnsi" w:cstheme="minorBidi"/>
                <w:b w:val="0"/>
                <w:noProof/>
                <w:color w:val="auto"/>
                <w:sz w:val="22"/>
                <w:szCs w:val="22"/>
                <w:lang w:eastAsia="en-AU"/>
              </w:rPr>
              <w:tab/>
            </w:r>
            <w:r w:rsidR="00D937BD" w:rsidRPr="0020127F">
              <w:rPr>
                <w:rStyle w:val="Hyperlink"/>
                <w:noProof/>
              </w:rPr>
              <w:t>Bisacodyl</w:t>
            </w:r>
            <w:r w:rsidR="00D937BD">
              <w:rPr>
                <w:noProof/>
                <w:webHidden/>
              </w:rPr>
              <w:tab/>
            </w:r>
            <w:r w:rsidR="00D937BD">
              <w:rPr>
                <w:noProof/>
                <w:webHidden/>
              </w:rPr>
              <w:fldChar w:fldCharType="begin"/>
            </w:r>
            <w:r w:rsidR="00D937BD">
              <w:rPr>
                <w:noProof/>
                <w:webHidden/>
              </w:rPr>
              <w:instrText xml:space="preserve"> PAGEREF _Toc131604347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27E2469C" w14:textId="0F5FEC1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48" w:history="1">
            <w:r w:rsidR="00D937BD" w:rsidRPr="0020127F">
              <w:rPr>
                <w:rStyle w:val="Hyperlink"/>
                <w:noProof/>
              </w:rPr>
              <w:t>Proposal</w:t>
            </w:r>
            <w:r w:rsidR="00D937BD">
              <w:rPr>
                <w:noProof/>
                <w:webHidden/>
              </w:rPr>
              <w:tab/>
            </w:r>
            <w:r w:rsidR="00D937BD">
              <w:rPr>
                <w:noProof/>
                <w:webHidden/>
              </w:rPr>
              <w:fldChar w:fldCharType="begin"/>
            </w:r>
            <w:r w:rsidR="00D937BD">
              <w:rPr>
                <w:noProof/>
                <w:webHidden/>
              </w:rPr>
              <w:instrText xml:space="preserve"> PAGEREF _Toc131604348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2EBBA152" w14:textId="18BA51B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49" w:history="1">
            <w:r w:rsidR="00D937BD" w:rsidRPr="0020127F">
              <w:rPr>
                <w:rStyle w:val="Hyperlink"/>
                <w:noProof/>
              </w:rPr>
              <w:t>CAS number</w:t>
            </w:r>
            <w:r w:rsidR="00D937BD">
              <w:rPr>
                <w:noProof/>
                <w:webHidden/>
              </w:rPr>
              <w:tab/>
            </w:r>
            <w:r w:rsidR="00D937BD">
              <w:rPr>
                <w:noProof/>
                <w:webHidden/>
              </w:rPr>
              <w:fldChar w:fldCharType="begin"/>
            </w:r>
            <w:r w:rsidR="00D937BD">
              <w:rPr>
                <w:noProof/>
                <w:webHidden/>
              </w:rPr>
              <w:instrText xml:space="preserve"> PAGEREF _Toc131604349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6F2887AD" w14:textId="17321A45"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0" w:history="1">
            <w:r w:rsidR="00D937BD" w:rsidRPr="0020127F">
              <w:rPr>
                <w:rStyle w:val="Hyperlink"/>
                <w:noProof/>
              </w:rPr>
              <w:t>Alternative names</w:t>
            </w:r>
            <w:r w:rsidR="00D937BD">
              <w:rPr>
                <w:noProof/>
                <w:webHidden/>
              </w:rPr>
              <w:tab/>
            </w:r>
            <w:r w:rsidR="00D937BD">
              <w:rPr>
                <w:noProof/>
                <w:webHidden/>
              </w:rPr>
              <w:fldChar w:fldCharType="begin"/>
            </w:r>
            <w:r w:rsidR="00D937BD">
              <w:rPr>
                <w:noProof/>
                <w:webHidden/>
              </w:rPr>
              <w:instrText xml:space="preserve"> PAGEREF _Toc131604350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00E9DD3B" w14:textId="58B66F50"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1" w:history="1">
            <w:r w:rsidR="00D937BD" w:rsidRPr="0020127F">
              <w:rPr>
                <w:rStyle w:val="Hyperlink"/>
                <w:noProof/>
              </w:rPr>
              <w:t>Applicant</w:t>
            </w:r>
            <w:r w:rsidR="00D937BD">
              <w:rPr>
                <w:noProof/>
                <w:webHidden/>
              </w:rPr>
              <w:tab/>
            </w:r>
            <w:r w:rsidR="00D937BD">
              <w:rPr>
                <w:noProof/>
                <w:webHidden/>
              </w:rPr>
              <w:fldChar w:fldCharType="begin"/>
            </w:r>
            <w:r w:rsidR="00D937BD">
              <w:rPr>
                <w:noProof/>
                <w:webHidden/>
              </w:rPr>
              <w:instrText xml:space="preserve"> PAGEREF _Toc131604351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26D8CAC5" w14:textId="5752BBF7"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2" w:history="1">
            <w:r w:rsidR="00D937BD" w:rsidRPr="0020127F">
              <w:rPr>
                <w:rStyle w:val="Hyperlink"/>
                <w:noProof/>
              </w:rPr>
              <w:t>Proposed Scheduling</w:t>
            </w:r>
            <w:r w:rsidR="00D937BD">
              <w:rPr>
                <w:noProof/>
                <w:webHidden/>
              </w:rPr>
              <w:tab/>
            </w:r>
            <w:r w:rsidR="00D937BD">
              <w:rPr>
                <w:noProof/>
                <w:webHidden/>
              </w:rPr>
              <w:fldChar w:fldCharType="begin"/>
            </w:r>
            <w:r w:rsidR="00D937BD">
              <w:rPr>
                <w:noProof/>
                <w:webHidden/>
              </w:rPr>
              <w:instrText xml:space="preserve"> PAGEREF _Toc131604352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65E7B318" w14:textId="5BB0002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3" w:history="1">
            <w:r w:rsidR="00D937BD" w:rsidRPr="0020127F">
              <w:rPr>
                <w:rStyle w:val="Hyperlink"/>
                <w:noProof/>
              </w:rPr>
              <w:t>Background</w:t>
            </w:r>
            <w:r w:rsidR="00D937BD">
              <w:rPr>
                <w:noProof/>
                <w:webHidden/>
              </w:rPr>
              <w:tab/>
            </w:r>
            <w:r w:rsidR="00D937BD">
              <w:rPr>
                <w:noProof/>
                <w:webHidden/>
              </w:rPr>
              <w:fldChar w:fldCharType="begin"/>
            </w:r>
            <w:r w:rsidR="00D937BD">
              <w:rPr>
                <w:noProof/>
                <w:webHidden/>
              </w:rPr>
              <w:instrText xml:space="preserve"> PAGEREF _Toc131604353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04CE88A9" w14:textId="3F657B55"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4" w:history="1">
            <w:r w:rsidR="00D937BD" w:rsidRPr="0020127F">
              <w:rPr>
                <w:rStyle w:val="Hyperlink"/>
                <w:noProof/>
              </w:rPr>
              <w:t>Summary of applicant’s reasons for the proposal</w:t>
            </w:r>
            <w:r w:rsidR="00D937BD">
              <w:rPr>
                <w:noProof/>
                <w:webHidden/>
              </w:rPr>
              <w:tab/>
            </w:r>
            <w:r w:rsidR="00D937BD">
              <w:rPr>
                <w:noProof/>
                <w:webHidden/>
              </w:rPr>
              <w:fldChar w:fldCharType="begin"/>
            </w:r>
            <w:r w:rsidR="00D937BD">
              <w:rPr>
                <w:noProof/>
                <w:webHidden/>
              </w:rPr>
              <w:instrText xml:space="preserve"> PAGEREF _Toc131604354 \h </w:instrText>
            </w:r>
            <w:r w:rsidR="00D937BD">
              <w:rPr>
                <w:noProof/>
                <w:webHidden/>
              </w:rPr>
            </w:r>
            <w:r w:rsidR="00D937BD">
              <w:rPr>
                <w:noProof/>
                <w:webHidden/>
              </w:rPr>
              <w:fldChar w:fldCharType="separate"/>
            </w:r>
            <w:r w:rsidR="00D937BD">
              <w:rPr>
                <w:noProof/>
                <w:webHidden/>
              </w:rPr>
              <w:t>6</w:t>
            </w:r>
            <w:r w:rsidR="00D937BD">
              <w:rPr>
                <w:noProof/>
                <w:webHidden/>
              </w:rPr>
              <w:fldChar w:fldCharType="end"/>
            </w:r>
          </w:hyperlink>
        </w:p>
        <w:p w14:paraId="025D6A9A" w14:textId="3DDFF466"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5" w:history="1">
            <w:r w:rsidR="00D937BD" w:rsidRPr="0020127F">
              <w:rPr>
                <w:rStyle w:val="Hyperlink"/>
                <w:noProof/>
              </w:rPr>
              <w:t>Key uses / expected use</w:t>
            </w:r>
            <w:r w:rsidR="00D937BD">
              <w:rPr>
                <w:noProof/>
                <w:webHidden/>
              </w:rPr>
              <w:tab/>
            </w:r>
            <w:r w:rsidR="00D937BD">
              <w:rPr>
                <w:noProof/>
                <w:webHidden/>
              </w:rPr>
              <w:fldChar w:fldCharType="begin"/>
            </w:r>
            <w:r w:rsidR="00D937BD">
              <w:rPr>
                <w:noProof/>
                <w:webHidden/>
              </w:rPr>
              <w:instrText xml:space="preserve"> PAGEREF _Toc131604355 \h </w:instrText>
            </w:r>
            <w:r w:rsidR="00D937BD">
              <w:rPr>
                <w:noProof/>
                <w:webHidden/>
              </w:rPr>
            </w:r>
            <w:r w:rsidR="00D937BD">
              <w:rPr>
                <w:noProof/>
                <w:webHidden/>
              </w:rPr>
              <w:fldChar w:fldCharType="separate"/>
            </w:r>
            <w:r w:rsidR="00D937BD">
              <w:rPr>
                <w:noProof/>
                <w:webHidden/>
              </w:rPr>
              <w:t>7</w:t>
            </w:r>
            <w:r w:rsidR="00D937BD">
              <w:rPr>
                <w:noProof/>
                <w:webHidden/>
              </w:rPr>
              <w:fldChar w:fldCharType="end"/>
            </w:r>
          </w:hyperlink>
        </w:p>
        <w:p w14:paraId="54CF5A0E" w14:textId="3EB2B97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6" w:history="1">
            <w:r w:rsidR="00D937BD" w:rsidRPr="0020127F">
              <w:rPr>
                <w:rStyle w:val="Hyperlink"/>
                <w:noProof/>
              </w:rPr>
              <w:t>Australian regulations</w:t>
            </w:r>
            <w:r w:rsidR="00D937BD">
              <w:rPr>
                <w:noProof/>
                <w:webHidden/>
              </w:rPr>
              <w:tab/>
            </w:r>
            <w:r w:rsidR="00D937BD">
              <w:rPr>
                <w:noProof/>
                <w:webHidden/>
              </w:rPr>
              <w:fldChar w:fldCharType="begin"/>
            </w:r>
            <w:r w:rsidR="00D937BD">
              <w:rPr>
                <w:noProof/>
                <w:webHidden/>
              </w:rPr>
              <w:instrText xml:space="preserve"> PAGEREF _Toc131604356 \h </w:instrText>
            </w:r>
            <w:r w:rsidR="00D937BD">
              <w:rPr>
                <w:noProof/>
                <w:webHidden/>
              </w:rPr>
            </w:r>
            <w:r w:rsidR="00D937BD">
              <w:rPr>
                <w:noProof/>
                <w:webHidden/>
              </w:rPr>
              <w:fldChar w:fldCharType="separate"/>
            </w:r>
            <w:r w:rsidR="00D937BD">
              <w:rPr>
                <w:noProof/>
                <w:webHidden/>
              </w:rPr>
              <w:t>7</w:t>
            </w:r>
            <w:r w:rsidR="00D937BD">
              <w:rPr>
                <w:noProof/>
                <w:webHidden/>
              </w:rPr>
              <w:fldChar w:fldCharType="end"/>
            </w:r>
          </w:hyperlink>
        </w:p>
        <w:p w14:paraId="31BEA933" w14:textId="760DDEE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7" w:history="1">
            <w:r w:rsidR="00D937BD" w:rsidRPr="0020127F">
              <w:rPr>
                <w:rStyle w:val="Hyperlink"/>
                <w:noProof/>
              </w:rPr>
              <w:t>International regulations</w:t>
            </w:r>
            <w:r w:rsidR="00D937BD">
              <w:rPr>
                <w:noProof/>
                <w:webHidden/>
              </w:rPr>
              <w:tab/>
            </w:r>
            <w:r w:rsidR="00D937BD">
              <w:rPr>
                <w:noProof/>
                <w:webHidden/>
              </w:rPr>
              <w:fldChar w:fldCharType="begin"/>
            </w:r>
            <w:r w:rsidR="00D937BD">
              <w:rPr>
                <w:noProof/>
                <w:webHidden/>
              </w:rPr>
              <w:instrText xml:space="preserve"> PAGEREF _Toc131604357 \h </w:instrText>
            </w:r>
            <w:r w:rsidR="00D937BD">
              <w:rPr>
                <w:noProof/>
                <w:webHidden/>
              </w:rPr>
            </w:r>
            <w:r w:rsidR="00D937BD">
              <w:rPr>
                <w:noProof/>
                <w:webHidden/>
              </w:rPr>
              <w:fldChar w:fldCharType="separate"/>
            </w:r>
            <w:r w:rsidR="00D937BD">
              <w:rPr>
                <w:noProof/>
                <w:webHidden/>
              </w:rPr>
              <w:t>8</w:t>
            </w:r>
            <w:r w:rsidR="00D937BD">
              <w:rPr>
                <w:noProof/>
                <w:webHidden/>
              </w:rPr>
              <w:fldChar w:fldCharType="end"/>
            </w:r>
          </w:hyperlink>
        </w:p>
        <w:p w14:paraId="7A6DD966" w14:textId="20F28BFE" w:rsidR="00D937BD" w:rsidRDefault="00A72A16">
          <w:pPr>
            <w:pStyle w:val="TOC2"/>
            <w:tabs>
              <w:tab w:val="left" w:pos="1276"/>
            </w:tabs>
            <w:rPr>
              <w:rFonts w:asciiTheme="minorHAnsi" w:eastAsiaTheme="minorEastAsia" w:hAnsiTheme="minorHAnsi" w:cstheme="minorBidi"/>
              <w:b w:val="0"/>
              <w:noProof/>
              <w:color w:val="auto"/>
              <w:sz w:val="22"/>
              <w:szCs w:val="22"/>
              <w:lang w:eastAsia="en-AU"/>
            </w:rPr>
          </w:pPr>
          <w:hyperlink w:anchor="_Toc131604358" w:history="1">
            <w:r w:rsidR="00D937BD" w:rsidRPr="0020127F">
              <w:rPr>
                <w:rStyle w:val="Hyperlink"/>
                <w:noProof/>
              </w:rPr>
              <w:t>1.2</w:t>
            </w:r>
            <w:r w:rsidR="00D937BD">
              <w:rPr>
                <w:rFonts w:asciiTheme="minorHAnsi" w:eastAsiaTheme="minorEastAsia" w:hAnsiTheme="minorHAnsi" w:cstheme="minorBidi"/>
                <w:b w:val="0"/>
                <w:noProof/>
                <w:color w:val="auto"/>
                <w:sz w:val="22"/>
                <w:szCs w:val="22"/>
                <w:lang w:eastAsia="en-AU"/>
              </w:rPr>
              <w:tab/>
            </w:r>
            <w:r w:rsidR="00D937BD" w:rsidRPr="0020127F">
              <w:rPr>
                <w:rStyle w:val="Hyperlink"/>
                <w:noProof/>
              </w:rPr>
              <w:t>Olopatadine</w:t>
            </w:r>
            <w:r w:rsidR="00D937BD">
              <w:rPr>
                <w:noProof/>
                <w:webHidden/>
              </w:rPr>
              <w:tab/>
            </w:r>
            <w:r w:rsidR="00D937BD">
              <w:rPr>
                <w:noProof/>
                <w:webHidden/>
              </w:rPr>
              <w:fldChar w:fldCharType="begin"/>
            </w:r>
            <w:r w:rsidR="00D937BD">
              <w:rPr>
                <w:noProof/>
                <w:webHidden/>
              </w:rPr>
              <w:instrText xml:space="preserve"> PAGEREF _Toc131604358 \h </w:instrText>
            </w:r>
            <w:r w:rsidR="00D937BD">
              <w:rPr>
                <w:noProof/>
                <w:webHidden/>
              </w:rPr>
            </w:r>
            <w:r w:rsidR="00D937BD">
              <w:rPr>
                <w:noProof/>
                <w:webHidden/>
              </w:rPr>
              <w:fldChar w:fldCharType="separate"/>
            </w:r>
            <w:r w:rsidR="00D937BD">
              <w:rPr>
                <w:noProof/>
                <w:webHidden/>
              </w:rPr>
              <w:t>8</w:t>
            </w:r>
            <w:r w:rsidR="00D937BD">
              <w:rPr>
                <w:noProof/>
                <w:webHidden/>
              </w:rPr>
              <w:fldChar w:fldCharType="end"/>
            </w:r>
          </w:hyperlink>
        </w:p>
        <w:p w14:paraId="633A1005" w14:textId="3DED789E"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59" w:history="1">
            <w:r w:rsidR="00D937BD" w:rsidRPr="0020127F">
              <w:rPr>
                <w:rStyle w:val="Hyperlink"/>
                <w:noProof/>
              </w:rPr>
              <w:t>Proposal</w:t>
            </w:r>
            <w:r w:rsidR="00D937BD">
              <w:rPr>
                <w:noProof/>
                <w:webHidden/>
              </w:rPr>
              <w:tab/>
            </w:r>
            <w:r w:rsidR="00D937BD">
              <w:rPr>
                <w:noProof/>
                <w:webHidden/>
              </w:rPr>
              <w:fldChar w:fldCharType="begin"/>
            </w:r>
            <w:r w:rsidR="00D937BD">
              <w:rPr>
                <w:noProof/>
                <w:webHidden/>
              </w:rPr>
              <w:instrText xml:space="preserve"> PAGEREF _Toc131604359 \h </w:instrText>
            </w:r>
            <w:r w:rsidR="00D937BD">
              <w:rPr>
                <w:noProof/>
                <w:webHidden/>
              </w:rPr>
            </w:r>
            <w:r w:rsidR="00D937BD">
              <w:rPr>
                <w:noProof/>
                <w:webHidden/>
              </w:rPr>
              <w:fldChar w:fldCharType="separate"/>
            </w:r>
            <w:r w:rsidR="00D937BD">
              <w:rPr>
                <w:noProof/>
                <w:webHidden/>
              </w:rPr>
              <w:t>8</w:t>
            </w:r>
            <w:r w:rsidR="00D937BD">
              <w:rPr>
                <w:noProof/>
                <w:webHidden/>
              </w:rPr>
              <w:fldChar w:fldCharType="end"/>
            </w:r>
          </w:hyperlink>
        </w:p>
        <w:p w14:paraId="4585744C" w14:textId="31EFD4E3"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0" w:history="1">
            <w:r w:rsidR="00D937BD" w:rsidRPr="0020127F">
              <w:rPr>
                <w:rStyle w:val="Hyperlink"/>
                <w:noProof/>
              </w:rPr>
              <w:t>CAS number</w:t>
            </w:r>
            <w:r w:rsidR="00D937BD">
              <w:rPr>
                <w:noProof/>
                <w:webHidden/>
              </w:rPr>
              <w:tab/>
            </w:r>
            <w:r w:rsidR="00D937BD">
              <w:rPr>
                <w:noProof/>
                <w:webHidden/>
              </w:rPr>
              <w:fldChar w:fldCharType="begin"/>
            </w:r>
            <w:r w:rsidR="00D937BD">
              <w:rPr>
                <w:noProof/>
                <w:webHidden/>
              </w:rPr>
              <w:instrText xml:space="preserve"> PAGEREF _Toc131604360 \h </w:instrText>
            </w:r>
            <w:r w:rsidR="00D937BD">
              <w:rPr>
                <w:noProof/>
                <w:webHidden/>
              </w:rPr>
            </w:r>
            <w:r w:rsidR="00D937BD">
              <w:rPr>
                <w:noProof/>
                <w:webHidden/>
              </w:rPr>
              <w:fldChar w:fldCharType="separate"/>
            </w:r>
            <w:r w:rsidR="00D937BD">
              <w:rPr>
                <w:noProof/>
                <w:webHidden/>
              </w:rPr>
              <w:t>8</w:t>
            </w:r>
            <w:r w:rsidR="00D937BD">
              <w:rPr>
                <w:noProof/>
                <w:webHidden/>
              </w:rPr>
              <w:fldChar w:fldCharType="end"/>
            </w:r>
          </w:hyperlink>
        </w:p>
        <w:p w14:paraId="2BCB5157" w14:textId="3B890BF0"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1" w:history="1">
            <w:r w:rsidR="00D937BD" w:rsidRPr="0020127F">
              <w:rPr>
                <w:rStyle w:val="Hyperlink"/>
                <w:noProof/>
              </w:rPr>
              <w:t>Alternative names</w:t>
            </w:r>
            <w:r w:rsidR="00D937BD">
              <w:rPr>
                <w:noProof/>
                <w:webHidden/>
              </w:rPr>
              <w:tab/>
            </w:r>
            <w:r w:rsidR="00D937BD">
              <w:rPr>
                <w:noProof/>
                <w:webHidden/>
              </w:rPr>
              <w:fldChar w:fldCharType="begin"/>
            </w:r>
            <w:r w:rsidR="00D937BD">
              <w:rPr>
                <w:noProof/>
                <w:webHidden/>
              </w:rPr>
              <w:instrText xml:space="preserve"> PAGEREF _Toc131604361 \h </w:instrText>
            </w:r>
            <w:r w:rsidR="00D937BD">
              <w:rPr>
                <w:noProof/>
                <w:webHidden/>
              </w:rPr>
            </w:r>
            <w:r w:rsidR="00D937BD">
              <w:rPr>
                <w:noProof/>
                <w:webHidden/>
              </w:rPr>
              <w:fldChar w:fldCharType="separate"/>
            </w:r>
            <w:r w:rsidR="00D937BD">
              <w:rPr>
                <w:noProof/>
                <w:webHidden/>
              </w:rPr>
              <w:t>8</w:t>
            </w:r>
            <w:r w:rsidR="00D937BD">
              <w:rPr>
                <w:noProof/>
                <w:webHidden/>
              </w:rPr>
              <w:fldChar w:fldCharType="end"/>
            </w:r>
          </w:hyperlink>
        </w:p>
        <w:p w14:paraId="31FC4641" w14:textId="6647051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2" w:history="1">
            <w:r w:rsidR="00D937BD" w:rsidRPr="0020127F">
              <w:rPr>
                <w:rStyle w:val="Hyperlink"/>
                <w:noProof/>
              </w:rPr>
              <w:t>Applicant</w:t>
            </w:r>
            <w:r w:rsidR="00D937BD">
              <w:rPr>
                <w:noProof/>
                <w:webHidden/>
              </w:rPr>
              <w:tab/>
            </w:r>
            <w:r w:rsidR="00D937BD">
              <w:rPr>
                <w:noProof/>
                <w:webHidden/>
              </w:rPr>
              <w:fldChar w:fldCharType="begin"/>
            </w:r>
            <w:r w:rsidR="00D937BD">
              <w:rPr>
                <w:noProof/>
                <w:webHidden/>
              </w:rPr>
              <w:instrText xml:space="preserve"> PAGEREF _Toc131604362 \h </w:instrText>
            </w:r>
            <w:r w:rsidR="00D937BD">
              <w:rPr>
                <w:noProof/>
                <w:webHidden/>
              </w:rPr>
            </w:r>
            <w:r w:rsidR="00D937BD">
              <w:rPr>
                <w:noProof/>
                <w:webHidden/>
              </w:rPr>
              <w:fldChar w:fldCharType="separate"/>
            </w:r>
            <w:r w:rsidR="00D937BD">
              <w:rPr>
                <w:noProof/>
                <w:webHidden/>
              </w:rPr>
              <w:t>8</w:t>
            </w:r>
            <w:r w:rsidR="00D937BD">
              <w:rPr>
                <w:noProof/>
                <w:webHidden/>
              </w:rPr>
              <w:fldChar w:fldCharType="end"/>
            </w:r>
          </w:hyperlink>
        </w:p>
        <w:p w14:paraId="362008AD" w14:textId="50EC2117"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3" w:history="1">
            <w:r w:rsidR="00D937BD" w:rsidRPr="0020127F">
              <w:rPr>
                <w:rStyle w:val="Hyperlink"/>
                <w:noProof/>
              </w:rPr>
              <w:t>Proposed Scheduling</w:t>
            </w:r>
            <w:r w:rsidR="00D937BD">
              <w:rPr>
                <w:noProof/>
                <w:webHidden/>
              </w:rPr>
              <w:tab/>
            </w:r>
            <w:r w:rsidR="00D937BD">
              <w:rPr>
                <w:noProof/>
                <w:webHidden/>
              </w:rPr>
              <w:fldChar w:fldCharType="begin"/>
            </w:r>
            <w:r w:rsidR="00D937BD">
              <w:rPr>
                <w:noProof/>
                <w:webHidden/>
              </w:rPr>
              <w:instrText xml:space="preserve"> PAGEREF _Toc131604363 \h </w:instrText>
            </w:r>
            <w:r w:rsidR="00D937BD">
              <w:rPr>
                <w:noProof/>
                <w:webHidden/>
              </w:rPr>
            </w:r>
            <w:r w:rsidR="00D937BD">
              <w:rPr>
                <w:noProof/>
                <w:webHidden/>
              </w:rPr>
              <w:fldChar w:fldCharType="separate"/>
            </w:r>
            <w:r w:rsidR="00D937BD">
              <w:rPr>
                <w:noProof/>
                <w:webHidden/>
              </w:rPr>
              <w:t>8</w:t>
            </w:r>
            <w:r w:rsidR="00D937BD">
              <w:rPr>
                <w:noProof/>
                <w:webHidden/>
              </w:rPr>
              <w:fldChar w:fldCharType="end"/>
            </w:r>
          </w:hyperlink>
        </w:p>
        <w:p w14:paraId="05F99F41" w14:textId="1728C8D2"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4" w:history="1">
            <w:r w:rsidR="00D937BD" w:rsidRPr="0020127F">
              <w:rPr>
                <w:rStyle w:val="Hyperlink"/>
                <w:noProof/>
              </w:rPr>
              <w:t>Background</w:t>
            </w:r>
            <w:r w:rsidR="00D937BD">
              <w:rPr>
                <w:noProof/>
                <w:webHidden/>
              </w:rPr>
              <w:tab/>
            </w:r>
            <w:r w:rsidR="00D937BD">
              <w:rPr>
                <w:noProof/>
                <w:webHidden/>
              </w:rPr>
              <w:fldChar w:fldCharType="begin"/>
            </w:r>
            <w:r w:rsidR="00D937BD">
              <w:rPr>
                <w:noProof/>
                <w:webHidden/>
              </w:rPr>
              <w:instrText xml:space="preserve"> PAGEREF _Toc131604364 \h </w:instrText>
            </w:r>
            <w:r w:rsidR="00D937BD">
              <w:rPr>
                <w:noProof/>
                <w:webHidden/>
              </w:rPr>
            </w:r>
            <w:r w:rsidR="00D937BD">
              <w:rPr>
                <w:noProof/>
                <w:webHidden/>
              </w:rPr>
              <w:fldChar w:fldCharType="separate"/>
            </w:r>
            <w:r w:rsidR="00D937BD">
              <w:rPr>
                <w:noProof/>
                <w:webHidden/>
              </w:rPr>
              <w:t>9</w:t>
            </w:r>
            <w:r w:rsidR="00D937BD">
              <w:rPr>
                <w:noProof/>
                <w:webHidden/>
              </w:rPr>
              <w:fldChar w:fldCharType="end"/>
            </w:r>
          </w:hyperlink>
        </w:p>
        <w:p w14:paraId="545F4240" w14:textId="7C3D984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5" w:history="1">
            <w:r w:rsidR="00D937BD" w:rsidRPr="0020127F">
              <w:rPr>
                <w:rStyle w:val="Hyperlink"/>
                <w:noProof/>
              </w:rPr>
              <w:t>Summary of applicant’s reasons for the proposal</w:t>
            </w:r>
            <w:r w:rsidR="00D937BD">
              <w:rPr>
                <w:noProof/>
                <w:webHidden/>
              </w:rPr>
              <w:tab/>
            </w:r>
            <w:r w:rsidR="00D937BD">
              <w:rPr>
                <w:noProof/>
                <w:webHidden/>
              </w:rPr>
              <w:fldChar w:fldCharType="begin"/>
            </w:r>
            <w:r w:rsidR="00D937BD">
              <w:rPr>
                <w:noProof/>
                <w:webHidden/>
              </w:rPr>
              <w:instrText xml:space="preserve"> PAGEREF _Toc131604365 \h </w:instrText>
            </w:r>
            <w:r w:rsidR="00D937BD">
              <w:rPr>
                <w:noProof/>
                <w:webHidden/>
              </w:rPr>
            </w:r>
            <w:r w:rsidR="00D937BD">
              <w:rPr>
                <w:noProof/>
                <w:webHidden/>
              </w:rPr>
              <w:fldChar w:fldCharType="separate"/>
            </w:r>
            <w:r w:rsidR="00D937BD">
              <w:rPr>
                <w:noProof/>
                <w:webHidden/>
              </w:rPr>
              <w:t>9</w:t>
            </w:r>
            <w:r w:rsidR="00D937BD">
              <w:rPr>
                <w:noProof/>
                <w:webHidden/>
              </w:rPr>
              <w:fldChar w:fldCharType="end"/>
            </w:r>
          </w:hyperlink>
        </w:p>
        <w:p w14:paraId="657D6F95" w14:textId="631C0EA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6" w:history="1">
            <w:r w:rsidR="00D937BD" w:rsidRPr="0020127F">
              <w:rPr>
                <w:rStyle w:val="Hyperlink"/>
                <w:noProof/>
              </w:rPr>
              <w:t>Key uses / expected use</w:t>
            </w:r>
            <w:r w:rsidR="00D937BD">
              <w:rPr>
                <w:noProof/>
                <w:webHidden/>
              </w:rPr>
              <w:tab/>
            </w:r>
            <w:r w:rsidR="00D937BD">
              <w:rPr>
                <w:noProof/>
                <w:webHidden/>
              </w:rPr>
              <w:fldChar w:fldCharType="begin"/>
            </w:r>
            <w:r w:rsidR="00D937BD">
              <w:rPr>
                <w:noProof/>
                <w:webHidden/>
              </w:rPr>
              <w:instrText xml:space="preserve"> PAGEREF _Toc131604366 \h </w:instrText>
            </w:r>
            <w:r w:rsidR="00D937BD">
              <w:rPr>
                <w:noProof/>
                <w:webHidden/>
              </w:rPr>
            </w:r>
            <w:r w:rsidR="00D937BD">
              <w:rPr>
                <w:noProof/>
                <w:webHidden/>
              </w:rPr>
              <w:fldChar w:fldCharType="separate"/>
            </w:r>
            <w:r w:rsidR="00D937BD">
              <w:rPr>
                <w:noProof/>
                <w:webHidden/>
              </w:rPr>
              <w:t>9</w:t>
            </w:r>
            <w:r w:rsidR="00D937BD">
              <w:rPr>
                <w:noProof/>
                <w:webHidden/>
              </w:rPr>
              <w:fldChar w:fldCharType="end"/>
            </w:r>
          </w:hyperlink>
        </w:p>
        <w:p w14:paraId="182E9B45" w14:textId="451AC902"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7" w:history="1">
            <w:r w:rsidR="00D937BD" w:rsidRPr="0020127F">
              <w:rPr>
                <w:rStyle w:val="Hyperlink"/>
                <w:noProof/>
              </w:rPr>
              <w:t>Australian regulations</w:t>
            </w:r>
            <w:r w:rsidR="00D937BD">
              <w:rPr>
                <w:noProof/>
                <w:webHidden/>
              </w:rPr>
              <w:tab/>
            </w:r>
            <w:r w:rsidR="00D937BD">
              <w:rPr>
                <w:noProof/>
                <w:webHidden/>
              </w:rPr>
              <w:fldChar w:fldCharType="begin"/>
            </w:r>
            <w:r w:rsidR="00D937BD">
              <w:rPr>
                <w:noProof/>
                <w:webHidden/>
              </w:rPr>
              <w:instrText xml:space="preserve"> PAGEREF _Toc131604367 \h </w:instrText>
            </w:r>
            <w:r w:rsidR="00D937BD">
              <w:rPr>
                <w:noProof/>
                <w:webHidden/>
              </w:rPr>
            </w:r>
            <w:r w:rsidR="00D937BD">
              <w:rPr>
                <w:noProof/>
                <w:webHidden/>
              </w:rPr>
              <w:fldChar w:fldCharType="separate"/>
            </w:r>
            <w:r w:rsidR="00D937BD">
              <w:rPr>
                <w:noProof/>
                <w:webHidden/>
              </w:rPr>
              <w:t>10</w:t>
            </w:r>
            <w:r w:rsidR="00D937BD">
              <w:rPr>
                <w:noProof/>
                <w:webHidden/>
              </w:rPr>
              <w:fldChar w:fldCharType="end"/>
            </w:r>
          </w:hyperlink>
        </w:p>
        <w:p w14:paraId="4F076E5F" w14:textId="2FC3FA02"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68" w:history="1">
            <w:r w:rsidR="00D937BD" w:rsidRPr="0020127F">
              <w:rPr>
                <w:rStyle w:val="Hyperlink"/>
                <w:noProof/>
              </w:rPr>
              <w:t>International regulations</w:t>
            </w:r>
            <w:r w:rsidR="00D937BD">
              <w:rPr>
                <w:noProof/>
                <w:webHidden/>
              </w:rPr>
              <w:tab/>
            </w:r>
            <w:r w:rsidR="00D937BD">
              <w:rPr>
                <w:noProof/>
                <w:webHidden/>
              </w:rPr>
              <w:fldChar w:fldCharType="begin"/>
            </w:r>
            <w:r w:rsidR="00D937BD">
              <w:rPr>
                <w:noProof/>
                <w:webHidden/>
              </w:rPr>
              <w:instrText xml:space="preserve"> PAGEREF _Toc131604368 \h </w:instrText>
            </w:r>
            <w:r w:rsidR="00D937BD">
              <w:rPr>
                <w:noProof/>
                <w:webHidden/>
              </w:rPr>
            </w:r>
            <w:r w:rsidR="00D937BD">
              <w:rPr>
                <w:noProof/>
                <w:webHidden/>
              </w:rPr>
              <w:fldChar w:fldCharType="separate"/>
            </w:r>
            <w:r w:rsidR="00D937BD">
              <w:rPr>
                <w:noProof/>
                <w:webHidden/>
              </w:rPr>
              <w:t>11</w:t>
            </w:r>
            <w:r w:rsidR="00D937BD">
              <w:rPr>
                <w:noProof/>
                <w:webHidden/>
              </w:rPr>
              <w:fldChar w:fldCharType="end"/>
            </w:r>
          </w:hyperlink>
        </w:p>
        <w:p w14:paraId="6B221737" w14:textId="7970BC36" w:rsidR="00D937BD" w:rsidRDefault="00A72A16">
          <w:pPr>
            <w:pStyle w:val="TOC1"/>
            <w:tabs>
              <w:tab w:val="left" w:pos="425"/>
            </w:tabs>
            <w:rPr>
              <w:rFonts w:asciiTheme="minorHAnsi" w:eastAsiaTheme="minorEastAsia" w:hAnsiTheme="minorHAnsi" w:cstheme="minorBidi"/>
              <w:b w:val="0"/>
              <w:noProof/>
              <w:color w:val="auto"/>
              <w:sz w:val="22"/>
              <w:szCs w:val="22"/>
              <w:lang w:eastAsia="en-AU"/>
            </w:rPr>
          </w:pPr>
          <w:hyperlink w:anchor="_Toc131604369" w:history="1">
            <w:r w:rsidR="00D937BD" w:rsidRPr="0020127F">
              <w:rPr>
                <w:rStyle w:val="Hyperlink"/>
                <w:noProof/>
              </w:rPr>
              <w:t>2</w:t>
            </w:r>
            <w:r w:rsidR="00D937BD">
              <w:rPr>
                <w:rFonts w:asciiTheme="minorHAnsi" w:eastAsiaTheme="minorEastAsia" w:hAnsiTheme="minorHAnsi" w:cstheme="minorBidi"/>
                <w:b w:val="0"/>
                <w:noProof/>
                <w:color w:val="auto"/>
                <w:sz w:val="22"/>
                <w:szCs w:val="22"/>
                <w:lang w:eastAsia="en-AU"/>
              </w:rPr>
              <w:tab/>
            </w:r>
            <w:r w:rsidR="00D937BD" w:rsidRPr="0020127F">
              <w:rPr>
                <w:rStyle w:val="Hyperlink"/>
                <w:noProof/>
              </w:rPr>
              <w:t>Proposed amendments referred for scheduling advice to the Joint ACMS-ACCS meeting #34</w:t>
            </w:r>
            <w:r w:rsidR="00D937BD">
              <w:rPr>
                <w:noProof/>
                <w:webHidden/>
              </w:rPr>
              <w:tab/>
            </w:r>
            <w:r w:rsidR="00D937BD">
              <w:rPr>
                <w:noProof/>
                <w:webHidden/>
              </w:rPr>
              <w:fldChar w:fldCharType="begin"/>
            </w:r>
            <w:r w:rsidR="00D937BD">
              <w:rPr>
                <w:noProof/>
                <w:webHidden/>
              </w:rPr>
              <w:instrText xml:space="preserve"> PAGEREF _Toc131604369 \h </w:instrText>
            </w:r>
            <w:r w:rsidR="00D937BD">
              <w:rPr>
                <w:noProof/>
                <w:webHidden/>
              </w:rPr>
            </w:r>
            <w:r w:rsidR="00D937BD">
              <w:rPr>
                <w:noProof/>
                <w:webHidden/>
              </w:rPr>
              <w:fldChar w:fldCharType="separate"/>
            </w:r>
            <w:r w:rsidR="00D937BD">
              <w:rPr>
                <w:noProof/>
                <w:webHidden/>
              </w:rPr>
              <w:t>11</w:t>
            </w:r>
            <w:r w:rsidR="00D937BD">
              <w:rPr>
                <w:noProof/>
                <w:webHidden/>
              </w:rPr>
              <w:fldChar w:fldCharType="end"/>
            </w:r>
          </w:hyperlink>
        </w:p>
        <w:p w14:paraId="15E1779E" w14:textId="45A31531" w:rsidR="00D937BD" w:rsidRDefault="00A72A16">
          <w:pPr>
            <w:pStyle w:val="TOC2"/>
            <w:tabs>
              <w:tab w:val="left" w:pos="1276"/>
            </w:tabs>
            <w:rPr>
              <w:rFonts w:asciiTheme="minorHAnsi" w:eastAsiaTheme="minorEastAsia" w:hAnsiTheme="minorHAnsi" w:cstheme="minorBidi"/>
              <w:b w:val="0"/>
              <w:noProof/>
              <w:color w:val="auto"/>
              <w:sz w:val="22"/>
              <w:szCs w:val="22"/>
              <w:lang w:eastAsia="en-AU"/>
            </w:rPr>
          </w:pPr>
          <w:hyperlink w:anchor="_Toc131604370" w:history="1">
            <w:r w:rsidR="00D937BD" w:rsidRPr="0020127F">
              <w:rPr>
                <w:rStyle w:val="Hyperlink"/>
                <w:noProof/>
              </w:rPr>
              <w:t>2.1</w:t>
            </w:r>
            <w:r w:rsidR="00D937BD">
              <w:rPr>
                <w:rFonts w:asciiTheme="minorHAnsi" w:eastAsiaTheme="minorEastAsia" w:hAnsiTheme="minorHAnsi" w:cstheme="minorBidi"/>
                <w:b w:val="0"/>
                <w:noProof/>
                <w:color w:val="auto"/>
                <w:sz w:val="22"/>
                <w:szCs w:val="22"/>
                <w:lang w:eastAsia="en-AU"/>
              </w:rPr>
              <w:tab/>
            </w:r>
            <w:r w:rsidR="00D937BD" w:rsidRPr="0020127F">
              <w:rPr>
                <w:rStyle w:val="Hyperlink"/>
                <w:noProof/>
              </w:rPr>
              <w:t>Lead (anti-fouling paints)</w:t>
            </w:r>
            <w:r w:rsidR="00D937BD">
              <w:rPr>
                <w:noProof/>
                <w:webHidden/>
              </w:rPr>
              <w:tab/>
            </w:r>
            <w:r w:rsidR="00D937BD">
              <w:rPr>
                <w:noProof/>
                <w:webHidden/>
              </w:rPr>
              <w:fldChar w:fldCharType="begin"/>
            </w:r>
            <w:r w:rsidR="00D937BD">
              <w:rPr>
                <w:noProof/>
                <w:webHidden/>
              </w:rPr>
              <w:instrText xml:space="preserve"> PAGEREF _Toc131604370 \h </w:instrText>
            </w:r>
            <w:r w:rsidR="00D937BD">
              <w:rPr>
                <w:noProof/>
                <w:webHidden/>
              </w:rPr>
            </w:r>
            <w:r w:rsidR="00D937BD">
              <w:rPr>
                <w:noProof/>
                <w:webHidden/>
              </w:rPr>
              <w:fldChar w:fldCharType="separate"/>
            </w:r>
            <w:r w:rsidR="00D937BD">
              <w:rPr>
                <w:noProof/>
                <w:webHidden/>
              </w:rPr>
              <w:t>11</w:t>
            </w:r>
            <w:r w:rsidR="00D937BD">
              <w:rPr>
                <w:noProof/>
                <w:webHidden/>
              </w:rPr>
              <w:fldChar w:fldCharType="end"/>
            </w:r>
          </w:hyperlink>
        </w:p>
        <w:p w14:paraId="05B6ABC3" w14:textId="42F2A0E1"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1" w:history="1">
            <w:r w:rsidR="00D937BD" w:rsidRPr="0020127F">
              <w:rPr>
                <w:rStyle w:val="Hyperlink"/>
                <w:noProof/>
              </w:rPr>
              <w:t>Proposal</w:t>
            </w:r>
            <w:r w:rsidR="00D937BD">
              <w:rPr>
                <w:noProof/>
                <w:webHidden/>
              </w:rPr>
              <w:tab/>
            </w:r>
            <w:r w:rsidR="00D937BD">
              <w:rPr>
                <w:noProof/>
                <w:webHidden/>
              </w:rPr>
              <w:fldChar w:fldCharType="begin"/>
            </w:r>
            <w:r w:rsidR="00D937BD">
              <w:rPr>
                <w:noProof/>
                <w:webHidden/>
              </w:rPr>
              <w:instrText xml:space="preserve"> PAGEREF _Toc131604371 \h </w:instrText>
            </w:r>
            <w:r w:rsidR="00D937BD">
              <w:rPr>
                <w:noProof/>
                <w:webHidden/>
              </w:rPr>
            </w:r>
            <w:r w:rsidR="00D937BD">
              <w:rPr>
                <w:noProof/>
                <w:webHidden/>
              </w:rPr>
              <w:fldChar w:fldCharType="separate"/>
            </w:r>
            <w:r w:rsidR="00D937BD">
              <w:rPr>
                <w:noProof/>
                <w:webHidden/>
              </w:rPr>
              <w:t>11</w:t>
            </w:r>
            <w:r w:rsidR="00D937BD">
              <w:rPr>
                <w:noProof/>
                <w:webHidden/>
              </w:rPr>
              <w:fldChar w:fldCharType="end"/>
            </w:r>
          </w:hyperlink>
        </w:p>
        <w:p w14:paraId="4BE816A1" w14:textId="59B7432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2" w:history="1">
            <w:r w:rsidR="00D937BD" w:rsidRPr="0020127F">
              <w:rPr>
                <w:rStyle w:val="Hyperlink"/>
                <w:noProof/>
              </w:rPr>
              <w:t>CAS Number:</w:t>
            </w:r>
            <w:r w:rsidR="00D937BD">
              <w:rPr>
                <w:noProof/>
                <w:webHidden/>
              </w:rPr>
              <w:tab/>
            </w:r>
            <w:r w:rsidR="00D937BD">
              <w:rPr>
                <w:noProof/>
                <w:webHidden/>
              </w:rPr>
              <w:fldChar w:fldCharType="begin"/>
            </w:r>
            <w:r w:rsidR="00D937BD">
              <w:rPr>
                <w:noProof/>
                <w:webHidden/>
              </w:rPr>
              <w:instrText xml:space="preserve"> PAGEREF _Toc131604372 \h </w:instrText>
            </w:r>
            <w:r w:rsidR="00D937BD">
              <w:rPr>
                <w:noProof/>
                <w:webHidden/>
              </w:rPr>
            </w:r>
            <w:r w:rsidR="00D937BD">
              <w:rPr>
                <w:noProof/>
                <w:webHidden/>
              </w:rPr>
              <w:fldChar w:fldCharType="separate"/>
            </w:r>
            <w:r w:rsidR="00D937BD">
              <w:rPr>
                <w:noProof/>
                <w:webHidden/>
              </w:rPr>
              <w:t>11</w:t>
            </w:r>
            <w:r w:rsidR="00D937BD">
              <w:rPr>
                <w:noProof/>
                <w:webHidden/>
              </w:rPr>
              <w:fldChar w:fldCharType="end"/>
            </w:r>
          </w:hyperlink>
        </w:p>
        <w:p w14:paraId="21B90092" w14:textId="6DFCB843"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3" w:history="1">
            <w:r w:rsidR="00D937BD" w:rsidRPr="0020127F">
              <w:rPr>
                <w:rStyle w:val="Hyperlink"/>
                <w:noProof/>
              </w:rPr>
              <w:t>Applicant</w:t>
            </w:r>
            <w:r w:rsidR="00D937BD">
              <w:rPr>
                <w:noProof/>
                <w:webHidden/>
              </w:rPr>
              <w:tab/>
            </w:r>
            <w:r w:rsidR="00D937BD">
              <w:rPr>
                <w:noProof/>
                <w:webHidden/>
              </w:rPr>
              <w:fldChar w:fldCharType="begin"/>
            </w:r>
            <w:r w:rsidR="00D937BD">
              <w:rPr>
                <w:noProof/>
                <w:webHidden/>
              </w:rPr>
              <w:instrText xml:space="preserve"> PAGEREF _Toc131604373 \h </w:instrText>
            </w:r>
            <w:r w:rsidR="00D937BD">
              <w:rPr>
                <w:noProof/>
                <w:webHidden/>
              </w:rPr>
            </w:r>
            <w:r w:rsidR="00D937BD">
              <w:rPr>
                <w:noProof/>
                <w:webHidden/>
              </w:rPr>
              <w:fldChar w:fldCharType="separate"/>
            </w:r>
            <w:r w:rsidR="00D937BD">
              <w:rPr>
                <w:noProof/>
                <w:webHidden/>
              </w:rPr>
              <w:t>11</w:t>
            </w:r>
            <w:r w:rsidR="00D937BD">
              <w:rPr>
                <w:noProof/>
                <w:webHidden/>
              </w:rPr>
              <w:fldChar w:fldCharType="end"/>
            </w:r>
          </w:hyperlink>
        </w:p>
        <w:p w14:paraId="5157B1F6" w14:textId="46F8C031"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4" w:history="1">
            <w:r w:rsidR="00D937BD" w:rsidRPr="0020127F">
              <w:rPr>
                <w:rStyle w:val="Hyperlink"/>
                <w:noProof/>
              </w:rPr>
              <w:t>Current Scheduling</w:t>
            </w:r>
            <w:r w:rsidR="00D937BD">
              <w:rPr>
                <w:noProof/>
                <w:webHidden/>
              </w:rPr>
              <w:tab/>
            </w:r>
            <w:r w:rsidR="00D937BD">
              <w:rPr>
                <w:noProof/>
                <w:webHidden/>
              </w:rPr>
              <w:fldChar w:fldCharType="begin"/>
            </w:r>
            <w:r w:rsidR="00D937BD">
              <w:rPr>
                <w:noProof/>
                <w:webHidden/>
              </w:rPr>
              <w:instrText xml:space="preserve"> PAGEREF _Toc131604374 \h </w:instrText>
            </w:r>
            <w:r w:rsidR="00D937BD">
              <w:rPr>
                <w:noProof/>
                <w:webHidden/>
              </w:rPr>
            </w:r>
            <w:r w:rsidR="00D937BD">
              <w:rPr>
                <w:noProof/>
                <w:webHidden/>
              </w:rPr>
              <w:fldChar w:fldCharType="separate"/>
            </w:r>
            <w:r w:rsidR="00D937BD">
              <w:rPr>
                <w:noProof/>
                <w:webHidden/>
              </w:rPr>
              <w:t>11</w:t>
            </w:r>
            <w:r w:rsidR="00D937BD">
              <w:rPr>
                <w:noProof/>
                <w:webHidden/>
              </w:rPr>
              <w:fldChar w:fldCharType="end"/>
            </w:r>
          </w:hyperlink>
        </w:p>
        <w:p w14:paraId="2C530ACD" w14:textId="74E0D79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5" w:history="1">
            <w:r w:rsidR="00D937BD" w:rsidRPr="0020127F">
              <w:rPr>
                <w:rStyle w:val="Hyperlink"/>
                <w:noProof/>
              </w:rPr>
              <w:t>Proposed Scheduling</w:t>
            </w:r>
            <w:r w:rsidR="00D937BD">
              <w:rPr>
                <w:noProof/>
                <w:webHidden/>
              </w:rPr>
              <w:tab/>
            </w:r>
            <w:r w:rsidR="00D937BD">
              <w:rPr>
                <w:noProof/>
                <w:webHidden/>
              </w:rPr>
              <w:fldChar w:fldCharType="begin"/>
            </w:r>
            <w:r w:rsidR="00D937BD">
              <w:rPr>
                <w:noProof/>
                <w:webHidden/>
              </w:rPr>
              <w:instrText xml:space="preserve"> PAGEREF _Toc131604375 \h </w:instrText>
            </w:r>
            <w:r w:rsidR="00D937BD">
              <w:rPr>
                <w:noProof/>
                <w:webHidden/>
              </w:rPr>
            </w:r>
            <w:r w:rsidR="00D937BD">
              <w:rPr>
                <w:noProof/>
                <w:webHidden/>
              </w:rPr>
              <w:fldChar w:fldCharType="separate"/>
            </w:r>
            <w:r w:rsidR="00D937BD">
              <w:rPr>
                <w:noProof/>
                <w:webHidden/>
              </w:rPr>
              <w:t>13</w:t>
            </w:r>
            <w:r w:rsidR="00D937BD">
              <w:rPr>
                <w:noProof/>
                <w:webHidden/>
              </w:rPr>
              <w:fldChar w:fldCharType="end"/>
            </w:r>
          </w:hyperlink>
        </w:p>
        <w:p w14:paraId="08D22B8C" w14:textId="2224A00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6" w:history="1">
            <w:r w:rsidR="00D937BD" w:rsidRPr="0020127F">
              <w:rPr>
                <w:rStyle w:val="Hyperlink"/>
                <w:noProof/>
              </w:rPr>
              <w:t>Background</w:t>
            </w:r>
            <w:r w:rsidR="00D937BD">
              <w:rPr>
                <w:noProof/>
                <w:webHidden/>
              </w:rPr>
              <w:tab/>
            </w:r>
            <w:r w:rsidR="00D937BD">
              <w:rPr>
                <w:noProof/>
                <w:webHidden/>
              </w:rPr>
              <w:fldChar w:fldCharType="begin"/>
            </w:r>
            <w:r w:rsidR="00D937BD">
              <w:rPr>
                <w:noProof/>
                <w:webHidden/>
              </w:rPr>
              <w:instrText xml:space="preserve"> PAGEREF _Toc131604376 \h </w:instrText>
            </w:r>
            <w:r w:rsidR="00D937BD">
              <w:rPr>
                <w:noProof/>
                <w:webHidden/>
              </w:rPr>
            </w:r>
            <w:r w:rsidR="00D937BD">
              <w:rPr>
                <w:noProof/>
                <w:webHidden/>
              </w:rPr>
              <w:fldChar w:fldCharType="separate"/>
            </w:r>
            <w:r w:rsidR="00D937BD">
              <w:rPr>
                <w:noProof/>
                <w:webHidden/>
              </w:rPr>
              <w:t>14</w:t>
            </w:r>
            <w:r w:rsidR="00D937BD">
              <w:rPr>
                <w:noProof/>
                <w:webHidden/>
              </w:rPr>
              <w:fldChar w:fldCharType="end"/>
            </w:r>
          </w:hyperlink>
        </w:p>
        <w:p w14:paraId="01DD61DF" w14:textId="794D6C6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7" w:history="1">
            <w:r w:rsidR="00D937BD" w:rsidRPr="0020127F">
              <w:rPr>
                <w:rStyle w:val="Hyperlink"/>
                <w:noProof/>
              </w:rPr>
              <w:t>Summary of applicant’s reasons for the proposal</w:t>
            </w:r>
            <w:r w:rsidR="00D937BD">
              <w:rPr>
                <w:noProof/>
                <w:webHidden/>
              </w:rPr>
              <w:tab/>
            </w:r>
            <w:r w:rsidR="00D937BD">
              <w:rPr>
                <w:noProof/>
                <w:webHidden/>
              </w:rPr>
              <w:fldChar w:fldCharType="begin"/>
            </w:r>
            <w:r w:rsidR="00D937BD">
              <w:rPr>
                <w:noProof/>
                <w:webHidden/>
              </w:rPr>
              <w:instrText xml:space="preserve"> PAGEREF _Toc131604377 \h </w:instrText>
            </w:r>
            <w:r w:rsidR="00D937BD">
              <w:rPr>
                <w:noProof/>
                <w:webHidden/>
              </w:rPr>
            </w:r>
            <w:r w:rsidR="00D937BD">
              <w:rPr>
                <w:noProof/>
                <w:webHidden/>
              </w:rPr>
              <w:fldChar w:fldCharType="separate"/>
            </w:r>
            <w:r w:rsidR="00D937BD">
              <w:rPr>
                <w:noProof/>
                <w:webHidden/>
              </w:rPr>
              <w:t>14</w:t>
            </w:r>
            <w:r w:rsidR="00D937BD">
              <w:rPr>
                <w:noProof/>
                <w:webHidden/>
              </w:rPr>
              <w:fldChar w:fldCharType="end"/>
            </w:r>
          </w:hyperlink>
        </w:p>
        <w:p w14:paraId="25004A7B" w14:textId="216C8010"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8" w:history="1">
            <w:r w:rsidR="00D937BD" w:rsidRPr="0020127F">
              <w:rPr>
                <w:rStyle w:val="Hyperlink"/>
                <w:noProof/>
              </w:rPr>
              <w:t>Key uses / expected use</w:t>
            </w:r>
            <w:r w:rsidR="00D937BD">
              <w:rPr>
                <w:noProof/>
                <w:webHidden/>
              </w:rPr>
              <w:tab/>
            </w:r>
            <w:r w:rsidR="00D937BD">
              <w:rPr>
                <w:noProof/>
                <w:webHidden/>
              </w:rPr>
              <w:fldChar w:fldCharType="begin"/>
            </w:r>
            <w:r w:rsidR="00D937BD">
              <w:rPr>
                <w:noProof/>
                <w:webHidden/>
              </w:rPr>
              <w:instrText xml:space="preserve"> PAGEREF _Toc131604378 \h </w:instrText>
            </w:r>
            <w:r w:rsidR="00D937BD">
              <w:rPr>
                <w:noProof/>
                <w:webHidden/>
              </w:rPr>
            </w:r>
            <w:r w:rsidR="00D937BD">
              <w:rPr>
                <w:noProof/>
                <w:webHidden/>
              </w:rPr>
              <w:fldChar w:fldCharType="separate"/>
            </w:r>
            <w:r w:rsidR="00D937BD">
              <w:rPr>
                <w:noProof/>
                <w:webHidden/>
              </w:rPr>
              <w:t>14</w:t>
            </w:r>
            <w:r w:rsidR="00D937BD">
              <w:rPr>
                <w:noProof/>
                <w:webHidden/>
              </w:rPr>
              <w:fldChar w:fldCharType="end"/>
            </w:r>
          </w:hyperlink>
        </w:p>
        <w:p w14:paraId="17361972" w14:textId="31A8E0D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79" w:history="1">
            <w:r w:rsidR="00D937BD" w:rsidRPr="0020127F">
              <w:rPr>
                <w:rStyle w:val="Hyperlink"/>
                <w:noProof/>
              </w:rPr>
              <w:t>Australian regulations</w:t>
            </w:r>
            <w:r w:rsidR="00D937BD">
              <w:rPr>
                <w:noProof/>
                <w:webHidden/>
              </w:rPr>
              <w:tab/>
            </w:r>
            <w:r w:rsidR="00D937BD">
              <w:rPr>
                <w:noProof/>
                <w:webHidden/>
              </w:rPr>
              <w:fldChar w:fldCharType="begin"/>
            </w:r>
            <w:r w:rsidR="00D937BD">
              <w:rPr>
                <w:noProof/>
                <w:webHidden/>
              </w:rPr>
              <w:instrText xml:space="preserve"> PAGEREF _Toc131604379 \h </w:instrText>
            </w:r>
            <w:r w:rsidR="00D937BD">
              <w:rPr>
                <w:noProof/>
                <w:webHidden/>
              </w:rPr>
            </w:r>
            <w:r w:rsidR="00D937BD">
              <w:rPr>
                <w:noProof/>
                <w:webHidden/>
              </w:rPr>
              <w:fldChar w:fldCharType="separate"/>
            </w:r>
            <w:r w:rsidR="00D937BD">
              <w:rPr>
                <w:noProof/>
                <w:webHidden/>
              </w:rPr>
              <w:t>14</w:t>
            </w:r>
            <w:r w:rsidR="00D937BD">
              <w:rPr>
                <w:noProof/>
                <w:webHidden/>
              </w:rPr>
              <w:fldChar w:fldCharType="end"/>
            </w:r>
          </w:hyperlink>
        </w:p>
        <w:p w14:paraId="117ADCD8" w14:textId="3728E832"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0" w:history="1">
            <w:r w:rsidR="00D937BD" w:rsidRPr="0020127F">
              <w:rPr>
                <w:rStyle w:val="Hyperlink"/>
                <w:noProof/>
              </w:rPr>
              <w:t>International regulations</w:t>
            </w:r>
            <w:r w:rsidR="00D937BD">
              <w:rPr>
                <w:noProof/>
                <w:webHidden/>
              </w:rPr>
              <w:tab/>
            </w:r>
            <w:r w:rsidR="00D937BD">
              <w:rPr>
                <w:noProof/>
                <w:webHidden/>
              </w:rPr>
              <w:fldChar w:fldCharType="begin"/>
            </w:r>
            <w:r w:rsidR="00D937BD">
              <w:rPr>
                <w:noProof/>
                <w:webHidden/>
              </w:rPr>
              <w:instrText xml:space="preserve"> PAGEREF _Toc131604380 \h </w:instrText>
            </w:r>
            <w:r w:rsidR="00D937BD">
              <w:rPr>
                <w:noProof/>
                <w:webHidden/>
              </w:rPr>
            </w:r>
            <w:r w:rsidR="00D937BD">
              <w:rPr>
                <w:noProof/>
                <w:webHidden/>
              </w:rPr>
              <w:fldChar w:fldCharType="separate"/>
            </w:r>
            <w:r w:rsidR="00D937BD">
              <w:rPr>
                <w:noProof/>
                <w:webHidden/>
              </w:rPr>
              <w:t>15</w:t>
            </w:r>
            <w:r w:rsidR="00D937BD">
              <w:rPr>
                <w:noProof/>
                <w:webHidden/>
              </w:rPr>
              <w:fldChar w:fldCharType="end"/>
            </w:r>
          </w:hyperlink>
        </w:p>
        <w:p w14:paraId="31770750" w14:textId="68455015"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1" w:history="1">
            <w:r w:rsidR="00D937BD" w:rsidRPr="0020127F">
              <w:rPr>
                <w:rStyle w:val="Hyperlink"/>
                <w:noProof/>
              </w:rPr>
              <w:t>Information sought by the delegate</w:t>
            </w:r>
            <w:r w:rsidR="00D937BD">
              <w:rPr>
                <w:noProof/>
                <w:webHidden/>
              </w:rPr>
              <w:tab/>
            </w:r>
            <w:r w:rsidR="00D937BD">
              <w:rPr>
                <w:noProof/>
                <w:webHidden/>
              </w:rPr>
              <w:fldChar w:fldCharType="begin"/>
            </w:r>
            <w:r w:rsidR="00D937BD">
              <w:rPr>
                <w:noProof/>
                <w:webHidden/>
              </w:rPr>
              <w:instrText xml:space="preserve"> PAGEREF _Toc131604381 \h </w:instrText>
            </w:r>
            <w:r w:rsidR="00D937BD">
              <w:rPr>
                <w:noProof/>
                <w:webHidden/>
              </w:rPr>
            </w:r>
            <w:r w:rsidR="00D937BD">
              <w:rPr>
                <w:noProof/>
                <w:webHidden/>
              </w:rPr>
              <w:fldChar w:fldCharType="separate"/>
            </w:r>
            <w:r w:rsidR="00D937BD">
              <w:rPr>
                <w:noProof/>
                <w:webHidden/>
              </w:rPr>
              <w:t>16</w:t>
            </w:r>
            <w:r w:rsidR="00D937BD">
              <w:rPr>
                <w:noProof/>
                <w:webHidden/>
              </w:rPr>
              <w:fldChar w:fldCharType="end"/>
            </w:r>
          </w:hyperlink>
        </w:p>
        <w:p w14:paraId="3E604E6C" w14:textId="4AAA6A01" w:rsidR="00D937BD" w:rsidRDefault="00A72A16">
          <w:pPr>
            <w:pStyle w:val="TOC2"/>
            <w:tabs>
              <w:tab w:val="left" w:pos="1276"/>
            </w:tabs>
            <w:rPr>
              <w:rFonts w:asciiTheme="minorHAnsi" w:eastAsiaTheme="minorEastAsia" w:hAnsiTheme="minorHAnsi" w:cstheme="minorBidi"/>
              <w:b w:val="0"/>
              <w:noProof/>
              <w:color w:val="auto"/>
              <w:sz w:val="22"/>
              <w:szCs w:val="22"/>
              <w:lang w:eastAsia="en-AU"/>
            </w:rPr>
          </w:pPr>
          <w:hyperlink w:anchor="_Toc131604382" w:history="1">
            <w:r w:rsidR="00D937BD" w:rsidRPr="0020127F">
              <w:rPr>
                <w:rStyle w:val="Hyperlink"/>
                <w:noProof/>
              </w:rPr>
              <w:t>2.2</w:t>
            </w:r>
            <w:r w:rsidR="00D937BD">
              <w:rPr>
                <w:rFonts w:asciiTheme="minorHAnsi" w:eastAsiaTheme="minorEastAsia" w:hAnsiTheme="minorHAnsi" w:cstheme="minorBidi"/>
                <w:b w:val="0"/>
                <w:noProof/>
                <w:color w:val="auto"/>
                <w:sz w:val="22"/>
                <w:szCs w:val="22"/>
                <w:lang w:eastAsia="en-AU"/>
              </w:rPr>
              <w:tab/>
            </w:r>
            <w:r w:rsidR="00D937BD" w:rsidRPr="0020127F">
              <w:rPr>
                <w:rStyle w:val="Hyperlink"/>
                <w:noProof/>
              </w:rPr>
              <w:t>Ibotenic acid</w:t>
            </w:r>
            <w:r w:rsidR="00D937BD">
              <w:rPr>
                <w:noProof/>
                <w:webHidden/>
              </w:rPr>
              <w:tab/>
            </w:r>
            <w:r w:rsidR="00D937BD">
              <w:rPr>
                <w:noProof/>
                <w:webHidden/>
              </w:rPr>
              <w:fldChar w:fldCharType="begin"/>
            </w:r>
            <w:r w:rsidR="00D937BD">
              <w:rPr>
                <w:noProof/>
                <w:webHidden/>
              </w:rPr>
              <w:instrText xml:space="preserve"> PAGEREF _Toc131604382 \h </w:instrText>
            </w:r>
            <w:r w:rsidR="00D937BD">
              <w:rPr>
                <w:noProof/>
                <w:webHidden/>
              </w:rPr>
            </w:r>
            <w:r w:rsidR="00D937BD">
              <w:rPr>
                <w:noProof/>
                <w:webHidden/>
              </w:rPr>
              <w:fldChar w:fldCharType="separate"/>
            </w:r>
            <w:r w:rsidR="00D937BD">
              <w:rPr>
                <w:noProof/>
                <w:webHidden/>
              </w:rPr>
              <w:t>16</w:t>
            </w:r>
            <w:r w:rsidR="00D937BD">
              <w:rPr>
                <w:noProof/>
                <w:webHidden/>
              </w:rPr>
              <w:fldChar w:fldCharType="end"/>
            </w:r>
          </w:hyperlink>
        </w:p>
        <w:p w14:paraId="0FAD4E38" w14:textId="0F4A3963"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3" w:history="1">
            <w:r w:rsidR="00D937BD" w:rsidRPr="0020127F">
              <w:rPr>
                <w:rStyle w:val="Hyperlink"/>
                <w:noProof/>
              </w:rPr>
              <w:t>Proposal</w:t>
            </w:r>
            <w:r w:rsidR="00D937BD">
              <w:rPr>
                <w:noProof/>
                <w:webHidden/>
              </w:rPr>
              <w:tab/>
            </w:r>
            <w:r w:rsidR="00D937BD">
              <w:rPr>
                <w:noProof/>
                <w:webHidden/>
              </w:rPr>
              <w:fldChar w:fldCharType="begin"/>
            </w:r>
            <w:r w:rsidR="00D937BD">
              <w:rPr>
                <w:noProof/>
                <w:webHidden/>
              </w:rPr>
              <w:instrText xml:space="preserve"> PAGEREF _Toc131604383 \h </w:instrText>
            </w:r>
            <w:r w:rsidR="00D937BD">
              <w:rPr>
                <w:noProof/>
                <w:webHidden/>
              </w:rPr>
            </w:r>
            <w:r w:rsidR="00D937BD">
              <w:rPr>
                <w:noProof/>
                <w:webHidden/>
              </w:rPr>
              <w:fldChar w:fldCharType="separate"/>
            </w:r>
            <w:r w:rsidR="00D937BD">
              <w:rPr>
                <w:noProof/>
                <w:webHidden/>
              </w:rPr>
              <w:t>16</w:t>
            </w:r>
            <w:r w:rsidR="00D937BD">
              <w:rPr>
                <w:noProof/>
                <w:webHidden/>
              </w:rPr>
              <w:fldChar w:fldCharType="end"/>
            </w:r>
          </w:hyperlink>
        </w:p>
        <w:p w14:paraId="069E6AAD" w14:textId="238E9016"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4" w:history="1">
            <w:r w:rsidR="00D937BD" w:rsidRPr="0020127F">
              <w:rPr>
                <w:rStyle w:val="Hyperlink"/>
                <w:noProof/>
              </w:rPr>
              <w:t>CAS number:</w:t>
            </w:r>
            <w:r w:rsidR="00D937BD">
              <w:rPr>
                <w:noProof/>
                <w:webHidden/>
              </w:rPr>
              <w:tab/>
            </w:r>
            <w:r w:rsidR="00D937BD">
              <w:rPr>
                <w:noProof/>
                <w:webHidden/>
              </w:rPr>
              <w:fldChar w:fldCharType="begin"/>
            </w:r>
            <w:r w:rsidR="00D937BD">
              <w:rPr>
                <w:noProof/>
                <w:webHidden/>
              </w:rPr>
              <w:instrText xml:space="preserve"> PAGEREF _Toc131604384 \h </w:instrText>
            </w:r>
            <w:r w:rsidR="00D937BD">
              <w:rPr>
                <w:noProof/>
                <w:webHidden/>
              </w:rPr>
            </w:r>
            <w:r w:rsidR="00D937BD">
              <w:rPr>
                <w:noProof/>
                <w:webHidden/>
              </w:rPr>
              <w:fldChar w:fldCharType="separate"/>
            </w:r>
            <w:r w:rsidR="00D937BD">
              <w:rPr>
                <w:noProof/>
                <w:webHidden/>
              </w:rPr>
              <w:t>16</w:t>
            </w:r>
            <w:r w:rsidR="00D937BD">
              <w:rPr>
                <w:noProof/>
                <w:webHidden/>
              </w:rPr>
              <w:fldChar w:fldCharType="end"/>
            </w:r>
          </w:hyperlink>
        </w:p>
        <w:p w14:paraId="066F2865" w14:textId="6B15063E"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5" w:history="1">
            <w:r w:rsidR="00D937BD" w:rsidRPr="0020127F">
              <w:rPr>
                <w:rStyle w:val="Hyperlink"/>
                <w:noProof/>
              </w:rPr>
              <w:t>Alternative names</w:t>
            </w:r>
            <w:r w:rsidR="00D937BD">
              <w:rPr>
                <w:noProof/>
                <w:webHidden/>
              </w:rPr>
              <w:tab/>
            </w:r>
            <w:r w:rsidR="00D937BD">
              <w:rPr>
                <w:noProof/>
                <w:webHidden/>
              </w:rPr>
              <w:fldChar w:fldCharType="begin"/>
            </w:r>
            <w:r w:rsidR="00D937BD">
              <w:rPr>
                <w:noProof/>
                <w:webHidden/>
              </w:rPr>
              <w:instrText xml:space="preserve"> PAGEREF _Toc131604385 \h </w:instrText>
            </w:r>
            <w:r w:rsidR="00D937BD">
              <w:rPr>
                <w:noProof/>
                <w:webHidden/>
              </w:rPr>
            </w:r>
            <w:r w:rsidR="00D937BD">
              <w:rPr>
                <w:noProof/>
                <w:webHidden/>
              </w:rPr>
              <w:fldChar w:fldCharType="separate"/>
            </w:r>
            <w:r w:rsidR="00D937BD">
              <w:rPr>
                <w:noProof/>
                <w:webHidden/>
              </w:rPr>
              <w:t>16</w:t>
            </w:r>
            <w:r w:rsidR="00D937BD">
              <w:rPr>
                <w:noProof/>
                <w:webHidden/>
              </w:rPr>
              <w:fldChar w:fldCharType="end"/>
            </w:r>
          </w:hyperlink>
        </w:p>
        <w:p w14:paraId="716D7159" w14:textId="5B5C61BC"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6" w:history="1">
            <w:r w:rsidR="00D937BD" w:rsidRPr="0020127F">
              <w:rPr>
                <w:rStyle w:val="Hyperlink"/>
                <w:noProof/>
              </w:rPr>
              <w:t>Applicant</w:t>
            </w:r>
            <w:r w:rsidR="00D937BD">
              <w:rPr>
                <w:noProof/>
                <w:webHidden/>
              </w:rPr>
              <w:tab/>
            </w:r>
            <w:r w:rsidR="00D937BD">
              <w:rPr>
                <w:noProof/>
                <w:webHidden/>
              </w:rPr>
              <w:fldChar w:fldCharType="begin"/>
            </w:r>
            <w:r w:rsidR="00D937BD">
              <w:rPr>
                <w:noProof/>
                <w:webHidden/>
              </w:rPr>
              <w:instrText xml:space="preserve"> PAGEREF _Toc131604386 \h </w:instrText>
            </w:r>
            <w:r w:rsidR="00D937BD">
              <w:rPr>
                <w:noProof/>
                <w:webHidden/>
              </w:rPr>
            </w:r>
            <w:r w:rsidR="00D937BD">
              <w:rPr>
                <w:noProof/>
                <w:webHidden/>
              </w:rPr>
              <w:fldChar w:fldCharType="separate"/>
            </w:r>
            <w:r w:rsidR="00D937BD">
              <w:rPr>
                <w:noProof/>
                <w:webHidden/>
              </w:rPr>
              <w:t>16</w:t>
            </w:r>
            <w:r w:rsidR="00D937BD">
              <w:rPr>
                <w:noProof/>
                <w:webHidden/>
              </w:rPr>
              <w:fldChar w:fldCharType="end"/>
            </w:r>
          </w:hyperlink>
        </w:p>
        <w:p w14:paraId="0EA24830" w14:textId="453EA3AA"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7" w:history="1">
            <w:r w:rsidR="00D937BD" w:rsidRPr="0020127F">
              <w:rPr>
                <w:rStyle w:val="Hyperlink"/>
                <w:noProof/>
              </w:rPr>
              <w:t>Proposed Scheduling</w:t>
            </w:r>
            <w:r w:rsidR="00D937BD">
              <w:rPr>
                <w:noProof/>
                <w:webHidden/>
              </w:rPr>
              <w:tab/>
            </w:r>
            <w:r w:rsidR="00D937BD">
              <w:rPr>
                <w:noProof/>
                <w:webHidden/>
              </w:rPr>
              <w:fldChar w:fldCharType="begin"/>
            </w:r>
            <w:r w:rsidR="00D937BD">
              <w:rPr>
                <w:noProof/>
                <w:webHidden/>
              </w:rPr>
              <w:instrText xml:space="preserve"> PAGEREF _Toc131604387 \h </w:instrText>
            </w:r>
            <w:r w:rsidR="00D937BD">
              <w:rPr>
                <w:noProof/>
                <w:webHidden/>
              </w:rPr>
            </w:r>
            <w:r w:rsidR="00D937BD">
              <w:rPr>
                <w:noProof/>
                <w:webHidden/>
              </w:rPr>
              <w:fldChar w:fldCharType="separate"/>
            </w:r>
            <w:r w:rsidR="00D937BD">
              <w:rPr>
                <w:noProof/>
                <w:webHidden/>
              </w:rPr>
              <w:t>16</w:t>
            </w:r>
            <w:r w:rsidR="00D937BD">
              <w:rPr>
                <w:noProof/>
                <w:webHidden/>
              </w:rPr>
              <w:fldChar w:fldCharType="end"/>
            </w:r>
          </w:hyperlink>
        </w:p>
        <w:p w14:paraId="02B81FCD" w14:textId="720CC886"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8" w:history="1">
            <w:r w:rsidR="00D937BD" w:rsidRPr="0020127F">
              <w:rPr>
                <w:rStyle w:val="Hyperlink"/>
                <w:noProof/>
              </w:rPr>
              <w:t>Background</w:t>
            </w:r>
            <w:r w:rsidR="00D937BD">
              <w:rPr>
                <w:noProof/>
                <w:webHidden/>
              </w:rPr>
              <w:tab/>
            </w:r>
            <w:r w:rsidR="00D937BD">
              <w:rPr>
                <w:noProof/>
                <w:webHidden/>
              </w:rPr>
              <w:fldChar w:fldCharType="begin"/>
            </w:r>
            <w:r w:rsidR="00D937BD">
              <w:rPr>
                <w:noProof/>
                <w:webHidden/>
              </w:rPr>
              <w:instrText xml:space="preserve"> PAGEREF _Toc131604388 \h </w:instrText>
            </w:r>
            <w:r w:rsidR="00D937BD">
              <w:rPr>
                <w:noProof/>
                <w:webHidden/>
              </w:rPr>
            </w:r>
            <w:r w:rsidR="00D937BD">
              <w:rPr>
                <w:noProof/>
                <w:webHidden/>
              </w:rPr>
              <w:fldChar w:fldCharType="separate"/>
            </w:r>
            <w:r w:rsidR="00D937BD">
              <w:rPr>
                <w:noProof/>
                <w:webHidden/>
              </w:rPr>
              <w:t>17</w:t>
            </w:r>
            <w:r w:rsidR="00D937BD">
              <w:rPr>
                <w:noProof/>
                <w:webHidden/>
              </w:rPr>
              <w:fldChar w:fldCharType="end"/>
            </w:r>
          </w:hyperlink>
        </w:p>
        <w:p w14:paraId="6CA89E16" w14:textId="371694D1"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89" w:history="1">
            <w:r w:rsidR="00D937BD" w:rsidRPr="0020127F">
              <w:rPr>
                <w:rStyle w:val="Hyperlink"/>
                <w:noProof/>
              </w:rPr>
              <w:t>Summary of applicant’s reasons for the proposal</w:t>
            </w:r>
            <w:r w:rsidR="00D937BD">
              <w:rPr>
                <w:noProof/>
                <w:webHidden/>
              </w:rPr>
              <w:tab/>
            </w:r>
            <w:r w:rsidR="00D937BD">
              <w:rPr>
                <w:noProof/>
                <w:webHidden/>
              </w:rPr>
              <w:fldChar w:fldCharType="begin"/>
            </w:r>
            <w:r w:rsidR="00D937BD">
              <w:rPr>
                <w:noProof/>
                <w:webHidden/>
              </w:rPr>
              <w:instrText xml:space="preserve"> PAGEREF _Toc131604389 \h </w:instrText>
            </w:r>
            <w:r w:rsidR="00D937BD">
              <w:rPr>
                <w:noProof/>
                <w:webHidden/>
              </w:rPr>
            </w:r>
            <w:r w:rsidR="00D937BD">
              <w:rPr>
                <w:noProof/>
                <w:webHidden/>
              </w:rPr>
              <w:fldChar w:fldCharType="separate"/>
            </w:r>
            <w:r w:rsidR="00D937BD">
              <w:rPr>
                <w:noProof/>
                <w:webHidden/>
              </w:rPr>
              <w:t>17</w:t>
            </w:r>
            <w:r w:rsidR="00D937BD">
              <w:rPr>
                <w:noProof/>
                <w:webHidden/>
              </w:rPr>
              <w:fldChar w:fldCharType="end"/>
            </w:r>
          </w:hyperlink>
        </w:p>
        <w:p w14:paraId="1BC5AF0D" w14:textId="54B79FE4"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0" w:history="1">
            <w:r w:rsidR="00D937BD" w:rsidRPr="0020127F">
              <w:rPr>
                <w:rStyle w:val="Hyperlink"/>
                <w:noProof/>
              </w:rPr>
              <w:t>Key uses / expected use</w:t>
            </w:r>
            <w:r w:rsidR="00D937BD">
              <w:rPr>
                <w:noProof/>
                <w:webHidden/>
              </w:rPr>
              <w:tab/>
            </w:r>
            <w:r w:rsidR="00D937BD">
              <w:rPr>
                <w:noProof/>
                <w:webHidden/>
              </w:rPr>
              <w:fldChar w:fldCharType="begin"/>
            </w:r>
            <w:r w:rsidR="00D937BD">
              <w:rPr>
                <w:noProof/>
                <w:webHidden/>
              </w:rPr>
              <w:instrText xml:space="preserve"> PAGEREF _Toc131604390 \h </w:instrText>
            </w:r>
            <w:r w:rsidR="00D937BD">
              <w:rPr>
                <w:noProof/>
                <w:webHidden/>
              </w:rPr>
            </w:r>
            <w:r w:rsidR="00D937BD">
              <w:rPr>
                <w:noProof/>
                <w:webHidden/>
              </w:rPr>
              <w:fldChar w:fldCharType="separate"/>
            </w:r>
            <w:r w:rsidR="00D937BD">
              <w:rPr>
                <w:noProof/>
                <w:webHidden/>
              </w:rPr>
              <w:t>17</w:t>
            </w:r>
            <w:r w:rsidR="00D937BD">
              <w:rPr>
                <w:noProof/>
                <w:webHidden/>
              </w:rPr>
              <w:fldChar w:fldCharType="end"/>
            </w:r>
          </w:hyperlink>
        </w:p>
        <w:p w14:paraId="09D95646" w14:textId="4C21C095"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1" w:history="1">
            <w:r w:rsidR="00D937BD" w:rsidRPr="0020127F">
              <w:rPr>
                <w:rStyle w:val="Hyperlink"/>
                <w:noProof/>
              </w:rPr>
              <w:t>Australian regulations</w:t>
            </w:r>
            <w:r w:rsidR="00D937BD">
              <w:rPr>
                <w:noProof/>
                <w:webHidden/>
              </w:rPr>
              <w:tab/>
            </w:r>
            <w:r w:rsidR="00D937BD">
              <w:rPr>
                <w:noProof/>
                <w:webHidden/>
              </w:rPr>
              <w:fldChar w:fldCharType="begin"/>
            </w:r>
            <w:r w:rsidR="00D937BD">
              <w:rPr>
                <w:noProof/>
                <w:webHidden/>
              </w:rPr>
              <w:instrText xml:space="preserve"> PAGEREF _Toc131604391 \h </w:instrText>
            </w:r>
            <w:r w:rsidR="00D937BD">
              <w:rPr>
                <w:noProof/>
                <w:webHidden/>
              </w:rPr>
            </w:r>
            <w:r w:rsidR="00D937BD">
              <w:rPr>
                <w:noProof/>
                <w:webHidden/>
              </w:rPr>
              <w:fldChar w:fldCharType="separate"/>
            </w:r>
            <w:r w:rsidR="00D937BD">
              <w:rPr>
                <w:noProof/>
                <w:webHidden/>
              </w:rPr>
              <w:t>17</w:t>
            </w:r>
            <w:r w:rsidR="00D937BD">
              <w:rPr>
                <w:noProof/>
                <w:webHidden/>
              </w:rPr>
              <w:fldChar w:fldCharType="end"/>
            </w:r>
          </w:hyperlink>
        </w:p>
        <w:p w14:paraId="71CF7905" w14:textId="56FA649A"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2" w:history="1">
            <w:r w:rsidR="00D937BD" w:rsidRPr="0020127F">
              <w:rPr>
                <w:rStyle w:val="Hyperlink"/>
                <w:noProof/>
              </w:rPr>
              <w:t>International regulations</w:t>
            </w:r>
            <w:r w:rsidR="00D937BD">
              <w:rPr>
                <w:noProof/>
                <w:webHidden/>
              </w:rPr>
              <w:tab/>
            </w:r>
            <w:r w:rsidR="00D937BD">
              <w:rPr>
                <w:noProof/>
                <w:webHidden/>
              </w:rPr>
              <w:fldChar w:fldCharType="begin"/>
            </w:r>
            <w:r w:rsidR="00D937BD">
              <w:rPr>
                <w:noProof/>
                <w:webHidden/>
              </w:rPr>
              <w:instrText xml:space="preserve"> PAGEREF _Toc131604392 \h </w:instrText>
            </w:r>
            <w:r w:rsidR="00D937BD">
              <w:rPr>
                <w:noProof/>
                <w:webHidden/>
              </w:rPr>
            </w:r>
            <w:r w:rsidR="00D937BD">
              <w:rPr>
                <w:noProof/>
                <w:webHidden/>
              </w:rPr>
              <w:fldChar w:fldCharType="separate"/>
            </w:r>
            <w:r w:rsidR="00D937BD">
              <w:rPr>
                <w:noProof/>
                <w:webHidden/>
              </w:rPr>
              <w:t>18</w:t>
            </w:r>
            <w:r w:rsidR="00D937BD">
              <w:rPr>
                <w:noProof/>
                <w:webHidden/>
              </w:rPr>
              <w:fldChar w:fldCharType="end"/>
            </w:r>
          </w:hyperlink>
        </w:p>
        <w:p w14:paraId="3F629A7F" w14:textId="7E7551B4" w:rsidR="00D937BD" w:rsidRDefault="00A72A16">
          <w:pPr>
            <w:pStyle w:val="TOC2"/>
            <w:tabs>
              <w:tab w:val="left" w:pos="1276"/>
            </w:tabs>
            <w:rPr>
              <w:rFonts w:asciiTheme="minorHAnsi" w:eastAsiaTheme="minorEastAsia" w:hAnsiTheme="minorHAnsi" w:cstheme="minorBidi"/>
              <w:b w:val="0"/>
              <w:noProof/>
              <w:color w:val="auto"/>
              <w:sz w:val="22"/>
              <w:szCs w:val="22"/>
              <w:lang w:eastAsia="en-AU"/>
            </w:rPr>
          </w:pPr>
          <w:hyperlink w:anchor="_Toc131604393" w:history="1">
            <w:r w:rsidR="00D937BD" w:rsidRPr="0020127F">
              <w:rPr>
                <w:rStyle w:val="Hyperlink"/>
                <w:noProof/>
              </w:rPr>
              <w:t>2.3</w:t>
            </w:r>
            <w:r w:rsidR="00D937BD">
              <w:rPr>
                <w:rFonts w:asciiTheme="minorHAnsi" w:eastAsiaTheme="minorEastAsia" w:hAnsiTheme="minorHAnsi" w:cstheme="minorBidi"/>
                <w:b w:val="0"/>
                <w:noProof/>
                <w:color w:val="auto"/>
                <w:sz w:val="22"/>
                <w:szCs w:val="22"/>
                <w:lang w:eastAsia="en-AU"/>
              </w:rPr>
              <w:tab/>
            </w:r>
            <w:r w:rsidR="00D937BD" w:rsidRPr="0020127F">
              <w:rPr>
                <w:rStyle w:val="Hyperlink"/>
                <w:noProof/>
              </w:rPr>
              <w:t>Amygdalin and hydrocyanic acid</w:t>
            </w:r>
            <w:r w:rsidR="00D937BD">
              <w:rPr>
                <w:noProof/>
                <w:webHidden/>
              </w:rPr>
              <w:tab/>
            </w:r>
            <w:r w:rsidR="00D937BD">
              <w:rPr>
                <w:noProof/>
                <w:webHidden/>
              </w:rPr>
              <w:fldChar w:fldCharType="begin"/>
            </w:r>
            <w:r w:rsidR="00D937BD">
              <w:rPr>
                <w:noProof/>
                <w:webHidden/>
              </w:rPr>
              <w:instrText xml:space="preserve"> PAGEREF _Toc131604393 \h </w:instrText>
            </w:r>
            <w:r w:rsidR="00D937BD">
              <w:rPr>
                <w:noProof/>
                <w:webHidden/>
              </w:rPr>
            </w:r>
            <w:r w:rsidR="00D937BD">
              <w:rPr>
                <w:noProof/>
                <w:webHidden/>
              </w:rPr>
              <w:fldChar w:fldCharType="separate"/>
            </w:r>
            <w:r w:rsidR="00D937BD">
              <w:rPr>
                <w:noProof/>
                <w:webHidden/>
              </w:rPr>
              <w:t>18</w:t>
            </w:r>
            <w:r w:rsidR="00D937BD">
              <w:rPr>
                <w:noProof/>
                <w:webHidden/>
              </w:rPr>
              <w:fldChar w:fldCharType="end"/>
            </w:r>
          </w:hyperlink>
        </w:p>
        <w:p w14:paraId="44CDC058" w14:textId="17DB9F30"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4" w:history="1">
            <w:r w:rsidR="00D937BD" w:rsidRPr="0020127F">
              <w:rPr>
                <w:rStyle w:val="Hyperlink"/>
                <w:noProof/>
              </w:rPr>
              <w:t>Proposal</w:t>
            </w:r>
            <w:r w:rsidR="00D937BD">
              <w:rPr>
                <w:noProof/>
                <w:webHidden/>
              </w:rPr>
              <w:tab/>
            </w:r>
            <w:r w:rsidR="00D937BD">
              <w:rPr>
                <w:noProof/>
                <w:webHidden/>
              </w:rPr>
              <w:fldChar w:fldCharType="begin"/>
            </w:r>
            <w:r w:rsidR="00D937BD">
              <w:rPr>
                <w:noProof/>
                <w:webHidden/>
              </w:rPr>
              <w:instrText xml:space="preserve"> PAGEREF _Toc131604394 \h </w:instrText>
            </w:r>
            <w:r w:rsidR="00D937BD">
              <w:rPr>
                <w:noProof/>
                <w:webHidden/>
              </w:rPr>
            </w:r>
            <w:r w:rsidR="00D937BD">
              <w:rPr>
                <w:noProof/>
                <w:webHidden/>
              </w:rPr>
              <w:fldChar w:fldCharType="separate"/>
            </w:r>
            <w:r w:rsidR="00D937BD">
              <w:rPr>
                <w:noProof/>
                <w:webHidden/>
              </w:rPr>
              <w:t>18</w:t>
            </w:r>
            <w:r w:rsidR="00D937BD">
              <w:rPr>
                <w:noProof/>
                <w:webHidden/>
              </w:rPr>
              <w:fldChar w:fldCharType="end"/>
            </w:r>
          </w:hyperlink>
        </w:p>
        <w:p w14:paraId="2458D161" w14:textId="5CED2AC0"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5" w:history="1">
            <w:r w:rsidR="00D937BD" w:rsidRPr="0020127F">
              <w:rPr>
                <w:rStyle w:val="Hyperlink"/>
                <w:noProof/>
              </w:rPr>
              <w:t>CAS number:</w:t>
            </w:r>
            <w:r w:rsidR="00D937BD">
              <w:rPr>
                <w:noProof/>
                <w:webHidden/>
              </w:rPr>
              <w:tab/>
            </w:r>
            <w:r w:rsidR="00D937BD">
              <w:rPr>
                <w:noProof/>
                <w:webHidden/>
              </w:rPr>
              <w:fldChar w:fldCharType="begin"/>
            </w:r>
            <w:r w:rsidR="00D937BD">
              <w:rPr>
                <w:noProof/>
                <w:webHidden/>
              </w:rPr>
              <w:instrText xml:space="preserve"> PAGEREF _Toc131604395 \h </w:instrText>
            </w:r>
            <w:r w:rsidR="00D937BD">
              <w:rPr>
                <w:noProof/>
                <w:webHidden/>
              </w:rPr>
            </w:r>
            <w:r w:rsidR="00D937BD">
              <w:rPr>
                <w:noProof/>
                <w:webHidden/>
              </w:rPr>
              <w:fldChar w:fldCharType="separate"/>
            </w:r>
            <w:r w:rsidR="00D937BD">
              <w:rPr>
                <w:noProof/>
                <w:webHidden/>
              </w:rPr>
              <w:t>18</w:t>
            </w:r>
            <w:r w:rsidR="00D937BD">
              <w:rPr>
                <w:noProof/>
                <w:webHidden/>
              </w:rPr>
              <w:fldChar w:fldCharType="end"/>
            </w:r>
          </w:hyperlink>
        </w:p>
        <w:p w14:paraId="7E652ECE" w14:textId="0BBC28C6"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6" w:history="1">
            <w:r w:rsidR="00D937BD" w:rsidRPr="0020127F">
              <w:rPr>
                <w:rStyle w:val="Hyperlink"/>
                <w:noProof/>
              </w:rPr>
              <w:t>Alternative names</w:t>
            </w:r>
            <w:r w:rsidR="00D937BD">
              <w:rPr>
                <w:noProof/>
                <w:webHidden/>
              </w:rPr>
              <w:tab/>
            </w:r>
            <w:r w:rsidR="00D937BD">
              <w:rPr>
                <w:noProof/>
                <w:webHidden/>
              </w:rPr>
              <w:fldChar w:fldCharType="begin"/>
            </w:r>
            <w:r w:rsidR="00D937BD">
              <w:rPr>
                <w:noProof/>
                <w:webHidden/>
              </w:rPr>
              <w:instrText xml:space="preserve"> PAGEREF _Toc131604396 \h </w:instrText>
            </w:r>
            <w:r w:rsidR="00D937BD">
              <w:rPr>
                <w:noProof/>
                <w:webHidden/>
              </w:rPr>
            </w:r>
            <w:r w:rsidR="00D937BD">
              <w:rPr>
                <w:noProof/>
                <w:webHidden/>
              </w:rPr>
              <w:fldChar w:fldCharType="separate"/>
            </w:r>
            <w:r w:rsidR="00D937BD">
              <w:rPr>
                <w:noProof/>
                <w:webHidden/>
              </w:rPr>
              <w:t>18</w:t>
            </w:r>
            <w:r w:rsidR="00D937BD">
              <w:rPr>
                <w:noProof/>
                <w:webHidden/>
              </w:rPr>
              <w:fldChar w:fldCharType="end"/>
            </w:r>
          </w:hyperlink>
        </w:p>
        <w:p w14:paraId="0AC19A5D" w14:textId="47EAFA6C"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7" w:history="1">
            <w:r w:rsidR="00D937BD" w:rsidRPr="0020127F">
              <w:rPr>
                <w:rStyle w:val="Hyperlink"/>
                <w:noProof/>
              </w:rPr>
              <w:t>Applicant</w:t>
            </w:r>
            <w:r w:rsidR="00D937BD">
              <w:rPr>
                <w:noProof/>
                <w:webHidden/>
              </w:rPr>
              <w:tab/>
            </w:r>
            <w:r w:rsidR="00D937BD">
              <w:rPr>
                <w:noProof/>
                <w:webHidden/>
              </w:rPr>
              <w:fldChar w:fldCharType="begin"/>
            </w:r>
            <w:r w:rsidR="00D937BD">
              <w:rPr>
                <w:noProof/>
                <w:webHidden/>
              </w:rPr>
              <w:instrText xml:space="preserve"> PAGEREF _Toc131604397 \h </w:instrText>
            </w:r>
            <w:r w:rsidR="00D937BD">
              <w:rPr>
                <w:noProof/>
                <w:webHidden/>
              </w:rPr>
            </w:r>
            <w:r w:rsidR="00D937BD">
              <w:rPr>
                <w:noProof/>
                <w:webHidden/>
              </w:rPr>
              <w:fldChar w:fldCharType="separate"/>
            </w:r>
            <w:r w:rsidR="00D937BD">
              <w:rPr>
                <w:noProof/>
                <w:webHidden/>
              </w:rPr>
              <w:t>19</w:t>
            </w:r>
            <w:r w:rsidR="00D937BD">
              <w:rPr>
                <w:noProof/>
                <w:webHidden/>
              </w:rPr>
              <w:fldChar w:fldCharType="end"/>
            </w:r>
          </w:hyperlink>
        </w:p>
        <w:p w14:paraId="404B8946" w14:textId="461C7D71"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8" w:history="1">
            <w:r w:rsidR="00D937BD" w:rsidRPr="0020127F">
              <w:rPr>
                <w:rStyle w:val="Hyperlink"/>
                <w:noProof/>
              </w:rPr>
              <w:t>Proposed Scheduling</w:t>
            </w:r>
            <w:r w:rsidR="00D937BD">
              <w:rPr>
                <w:noProof/>
                <w:webHidden/>
              </w:rPr>
              <w:tab/>
            </w:r>
            <w:r w:rsidR="00D937BD">
              <w:rPr>
                <w:noProof/>
                <w:webHidden/>
              </w:rPr>
              <w:fldChar w:fldCharType="begin"/>
            </w:r>
            <w:r w:rsidR="00D937BD">
              <w:rPr>
                <w:noProof/>
                <w:webHidden/>
              </w:rPr>
              <w:instrText xml:space="preserve"> PAGEREF _Toc131604398 \h </w:instrText>
            </w:r>
            <w:r w:rsidR="00D937BD">
              <w:rPr>
                <w:noProof/>
                <w:webHidden/>
              </w:rPr>
            </w:r>
            <w:r w:rsidR="00D937BD">
              <w:rPr>
                <w:noProof/>
                <w:webHidden/>
              </w:rPr>
              <w:fldChar w:fldCharType="separate"/>
            </w:r>
            <w:r w:rsidR="00D937BD">
              <w:rPr>
                <w:noProof/>
                <w:webHidden/>
              </w:rPr>
              <w:t>19</w:t>
            </w:r>
            <w:r w:rsidR="00D937BD">
              <w:rPr>
                <w:noProof/>
                <w:webHidden/>
              </w:rPr>
              <w:fldChar w:fldCharType="end"/>
            </w:r>
          </w:hyperlink>
        </w:p>
        <w:p w14:paraId="2CDE11B5" w14:textId="7E54D1CD" w:rsidR="00D937BD" w:rsidRDefault="00A72A16">
          <w:pPr>
            <w:pStyle w:val="TOC3"/>
            <w:rPr>
              <w:rFonts w:asciiTheme="minorHAnsi" w:eastAsiaTheme="minorEastAsia" w:hAnsiTheme="minorHAnsi" w:cstheme="minorBidi"/>
              <w:b w:val="0"/>
              <w:noProof/>
              <w:color w:val="auto"/>
              <w:sz w:val="22"/>
              <w:szCs w:val="22"/>
              <w:lang w:eastAsia="en-AU"/>
            </w:rPr>
          </w:pPr>
          <w:hyperlink w:anchor="_Toc131604399" w:history="1">
            <w:r w:rsidR="00D937BD" w:rsidRPr="0020127F">
              <w:rPr>
                <w:rStyle w:val="Hyperlink"/>
                <w:noProof/>
              </w:rPr>
              <w:t>Background</w:t>
            </w:r>
            <w:r w:rsidR="00D937BD">
              <w:rPr>
                <w:noProof/>
                <w:webHidden/>
              </w:rPr>
              <w:tab/>
            </w:r>
            <w:r w:rsidR="00D937BD">
              <w:rPr>
                <w:noProof/>
                <w:webHidden/>
              </w:rPr>
              <w:fldChar w:fldCharType="begin"/>
            </w:r>
            <w:r w:rsidR="00D937BD">
              <w:rPr>
                <w:noProof/>
                <w:webHidden/>
              </w:rPr>
              <w:instrText xml:space="preserve"> PAGEREF _Toc131604399 \h </w:instrText>
            </w:r>
            <w:r w:rsidR="00D937BD">
              <w:rPr>
                <w:noProof/>
                <w:webHidden/>
              </w:rPr>
            </w:r>
            <w:r w:rsidR="00D937BD">
              <w:rPr>
                <w:noProof/>
                <w:webHidden/>
              </w:rPr>
              <w:fldChar w:fldCharType="separate"/>
            </w:r>
            <w:r w:rsidR="00D937BD">
              <w:rPr>
                <w:noProof/>
                <w:webHidden/>
              </w:rPr>
              <w:t>19</w:t>
            </w:r>
            <w:r w:rsidR="00D937BD">
              <w:rPr>
                <w:noProof/>
                <w:webHidden/>
              </w:rPr>
              <w:fldChar w:fldCharType="end"/>
            </w:r>
          </w:hyperlink>
        </w:p>
        <w:p w14:paraId="5E5A06F9" w14:textId="44B088EC" w:rsidR="00D937BD" w:rsidRDefault="00A72A16">
          <w:pPr>
            <w:pStyle w:val="TOC3"/>
            <w:rPr>
              <w:rFonts w:asciiTheme="minorHAnsi" w:eastAsiaTheme="minorEastAsia" w:hAnsiTheme="minorHAnsi" w:cstheme="minorBidi"/>
              <w:b w:val="0"/>
              <w:noProof/>
              <w:color w:val="auto"/>
              <w:sz w:val="22"/>
              <w:szCs w:val="22"/>
              <w:lang w:eastAsia="en-AU"/>
            </w:rPr>
          </w:pPr>
          <w:hyperlink w:anchor="_Toc131604400" w:history="1">
            <w:r w:rsidR="00D937BD" w:rsidRPr="0020127F">
              <w:rPr>
                <w:rStyle w:val="Hyperlink"/>
                <w:noProof/>
              </w:rPr>
              <w:t>Summary of applicant’s reasons for the proposal</w:t>
            </w:r>
            <w:r w:rsidR="00D937BD">
              <w:rPr>
                <w:noProof/>
                <w:webHidden/>
              </w:rPr>
              <w:tab/>
            </w:r>
            <w:r w:rsidR="00D937BD">
              <w:rPr>
                <w:noProof/>
                <w:webHidden/>
              </w:rPr>
              <w:fldChar w:fldCharType="begin"/>
            </w:r>
            <w:r w:rsidR="00D937BD">
              <w:rPr>
                <w:noProof/>
                <w:webHidden/>
              </w:rPr>
              <w:instrText xml:space="preserve"> PAGEREF _Toc131604400 \h </w:instrText>
            </w:r>
            <w:r w:rsidR="00D937BD">
              <w:rPr>
                <w:noProof/>
                <w:webHidden/>
              </w:rPr>
            </w:r>
            <w:r w:rsidR="00D937BD">
              <w:rPr>
                <w:noProof/>
                <w:webHidden/>
              </w:rPr>
              <w:fldChar w:fldCharType="separate"/>
            </w:r>
            <w:r w:rsidR="00D937BD">
              <w:rPr>
                <w:noProof/>
                <w:webHidden/>
              </w:rPr>
              <w:t>20</w:t>
            </w:r>
            <w:r w:rsidR="00D937BD">
              <w:rPr>
                <w:noProof/>
                <w:webHidden/>
              </w:rPr>
              <w:fldChar w:fldCharType="end"/>
            </w:r>
          </w:hyperlink>
        </w:p>
        <w:p w14:paraId="3ECA5D77" w14:textId="279289A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401" w:history="1">
            <w:r w:rsidR="00D937BD" w:rsidRPr="0020127F">
              <w:rPr>
                <w:rStyle w:val="Hyperlink"/>
                <w:noProof/>
              </w:rPr>
              <w:t>Key uses / expected use</w:t>
            </w:r>
            <w:r w:rsidR="00D937BD">
              <w:rPr>
                <w:noProof/>
                <w:webHidden/>
              </w:rPr>
              <w:tab/>
            </w:r>
            <w:r w:rsidR="00D937BD">
              <w:rPr>
                <w:noProof/>
                <w:webHidden/>
              </w:rPr>
              <w:fldChar w:fldCharType="begin"/>
            </w:r>
            <w:r w:rsidR="00D937BD">
              <w:rPr>
                <w:noProof/>
                <w:webHidden/>
              </w:rPr>
              <w:instrText xml:space="preserve"> PAGEREF _Toc131604401 \h </w:instrText>
            </w:r>
            <w:r w:rsidR="00D937BD">
              <w:rPr>
                <w:noProof/>
                <w:webHidden/>
              </w:rPr>
            </w:r>
            <w:r w:rsidR="00D937BD">
              <w:rPr>
                <w:noProof/>
                <w:webHidden/>
              </w:rPr>
              <w:fldChar w:fldCharType="separate"/>
            </w:r>
            <w:r w:rsidR="00D937BD">
              <w:rPr>
                <w:noProof/>
                <w:webHidden/>
              </w:rPr>
              <w:t>20</w:t>
            </w:r>
            <w:r w:rsidR="00D937BD">
              <w:rPr>
                <w:noProof/>
                <w:webHidden/>
              </w:rPr>
              <w:fldChar w:fldCharType="end"/>
            </w:r>
          </w:hyperlink>
        </w:p>
        <w:p w14:paraId="7470845B" w14:textId="786D4CFF" w:rsidR="00D937BD" w:rsidRDefault="00A72A16">
          <w:pPr>
            <w:pStyle w:val="TOC3"/>
            <w:rPr>
              <w:rFonts w:asciiTheme="minorHAnsi" w:eastAsiaTheme="minorEastAsia" w:hAnsiTheme="minorHAnsi" w:cstheme="minorBidi"/>
              <w:b w:val="0"/>
              <w:noProof/>
              <w:color w:val="auto"/>
              <w:sz w:val="22"/>
              <w:szCs w:val="22"/>
              <w:lang w:eastAsia="en-AU"/>
            </w:rPr>
          </w:pPr>
          <w:hyperlink w:anchor="_Toc131604402" w:history="1">
            <w:r w:rsidR="00D937BD" w:rsidRPr="0020127F">
              <w:rPr>
                <w:rStyle w:val="Hyperlink"/>
                <w:noProof/>
              </w:rPr>
              <w:t>Australian regulations</w:t>
            </w:r>
            <w:r w:rsidR="00D937BD">
              <w:rPr>
                <w:noProof/>
                <w:webHidden/>
              </w:rPr>
              <w:tab/>
            </w:r>
            <w:r w:rsidR="00D937BD">
              <w:rPr>
                <w:noProof/>
                <w:webHidden/>
              </w:rPr>
              <w:fldChar w:fldCharType="begin"/>
            </w:r>
            <w:r w:rsidR="00D937BD">
              <w:rPr>
                <w:noProof/>
                <w:webHidden/>
              </w:rPr>
              <w:instrText xml:space="preserve"> PAGEREF _Toc131604402 \h </w:instrText>
            </w:r>
            <w:r w:rsidR="00D937BD">
              <w:rPr>
                <w:noProof/>
                <w:webHidden/>
              </w:rPr>
            </w:r>
            <w:r w:rsidR="00D937BD">
              <w:rPr>
                <w:noProof/>
                <w:webHidden/>
              </w:rPr>
              <w:fldChar w:fldCharType="separate"/>
            </w:r>
            <w:r w:rsidR="00D937BD">
              <w:rPr>
                <w:noProof/>
                <w:webHidden/>
              </w:rPr>
              <w:t>20</w:t>
            </w:r>
            <w:r w:rsidR="00D937BD">
              <w:rPr>
                <w:noProof/>
                <w:webHidden/>
              </w:rPr>
              <w:fldChar w:fldCharType="end"/>
            </w:r>
          </w:hyperlink>
        </w:p>
        <w:p w14:paraId="1B928701" w14:textId="75E3BED0" w:rsidR="00D937BD" w:rsidRDefault="00A72A16">
          <w:pPr>
            <w:pStyle w:val="TOC3"/>
            <w:rPr>
              <w:rFonts w:asciiTheme="minorHAnsi" w:eastAsiaTheme="minorEastAsia" w:hAnsiTheme="minorHAnsi" w:cstheme="minorBidi"/>
              <w:b w:val="0"/>
              <w:noProof/>
              <w:color w:val="auto"/>
              <w:sz w:val="22"/>
              <w:szCs w:val="22"/>
              <w:lang w:eastAsia="en-AU"/>
            </w:rPr>
          </w:pPr>
          <w:hyperlink w:anchor="_Toc131604403" w:history="1">
            <w:r w:rsidR="00D937BD" w:rsidRPr="0020127F">
              <w:rPr>
                <w:rStyle w:val="Hyperlink"/>
                <w:noProof/>
              </w:rPr>
              <w:t>International regulations</w:t>
            </w:r>
            <w:r w:rsidR="00D937BD">
              <w:rPr>
                <w:noProof/>
                <w:webHidden/>
              </w:rPr>
              <w:tab/>
            </w:r>
            <w:r w:rsidR="00D937BD">
              <w:rPr>
                <w:noProof/>
                <w:webHidden/>
              </w:rPr>
              <w:fldChar w:fldCharType="begin"/>
            </w:r>
            <w:r w:rsidR="00D937BD">
              <w:rPr>
                <w:noProof/>
                <w:webHidden/>
              </w:rPr>
              <w:instrText xml:space="preserve"> PAGEREF _Toc131604403 \h </w:instrText>
            </w:r>
            <w:r w:rsidR="00D937BD">
              <w:rPr>
                <w:noProof/>
                <w:webHidden/>
              </w:rPr>
            </w:r>
            <w:r w:rsidR="00D937BD">
              <w:rPr>
                <w:noProof/>
                <w:webHidden/>
              </w:rPr>
              <w:fldChar w:fldCharType="separate"/>
            </w:r>
            <w:r w:rsidR="00D937BD">
              <w:rPr>
                <w:noProof/>
                <w:webHidden/>
              </w:rPr>
              <w:t>21</w:t>
            </w:r>
            <w:r w:rsidR="00D937BD">
              <w:rPr>
                <w:noProof/>
                <w:webHidden/>
              </w:rPr>
              <w:fldChar w:fldCharType="end"/>
            </w:r>
          </w:hyperlink>
        </w:p>
        <w:p w14:paraId="5F51F339" w14:textId="5EC1AF09" w:rsidR="00D937BD" w:rsidRDefault="00A72A16">
          <w:pPr>
            <w:pStyle w:val="TOC1"/>
            <w:rPr>
              <w:rFonts w:asciiTheme="minorHAnsi" w:eastAsiaTheme="minorEastAsia" w:hAnsiTheme="minorHAnsi" w:cstheme="minorBidi"/>
              <w:b w:val="0"/>
              <w:noProof/>
              <w:color w:val="auto"/>
              <w:sz w:val="22"/>
              <w:szCs w:val="22"/>
              <w:lang w:eastAsia="en-AU"/>
            </w:rPr>
          </w:pPr>
          <w:hyperlink w:anchor="_Toc131604404" w:history="1">
            <w:r w:rsidR="00D937BD" w:rsidRPr="0020127F">
              <w:rPr>
                <w:rStyle w:val="Hyperlink"/>
                <w:noProof/>
              </w:rPr>
              <w:t>How to respond</w:t>
            </w:r>
            <w:r w:rsidR="00D937BD">
              <w:rPr>
                <w:noProof/>
                <w:webHidden/>
              </w:rPr>
              <w:tab/>
            </w:r>
            <w:r w:rsidR="00D937BD">
              <w:rPr>
                <w:noProof/>
                <w:webHidden/>
              </w:rPr>
              <w:fldChar w:fldCharType="begin"/>
            </w:r>
            <w:r w:rsidR="00D937BD">
              <w:rPr>
                <w:noProof/>
                <w:webHidden/>
              </w:rPr>
              <w:instrText xml:space="preserve"> PAGEREF _Toc131604404 \h </w:instrText>
            </w:r>
            <w:r w:rsidR="00D937BD">
              <w:rPr>
                <w:noProof/>
                <w:webHidden/>
              </w:rPr>
            </w:r>
            <w:r w:rsidR="00D937BD">
              <w:rPr>
                <w:noProof/>
                <w:webHidden/>
              </w:rPr>
              <w:fldChar w:fldCharType="separate"/>
            </w:r>
            <w:r w:rsidR="00D937BD">
              <w:rPr>
                <w:noProof/>
                <w:webHidden/>
              </w:rPr>
              <w:t>22</w:t>
            </w:r>
            <w:r w:rsidR="00D937BD">
              <w:rPr>
                <w:noProof/>
                <w:webHidden/>
              </w:rPr>
              <w:fldChar w:fldCharType="end"/>
            </w:r>
          </w:hyperlink>
        </w:p>
        <w:p w14:paraId="65ECC4F2" w14:textId="45CF0FBB" w:rsidR="00D937BD" w:rsidRDefault="00A72A16">
          <w:pPr>
            <w:pStyle w:val="TOC1"/>
            <w:rPr>
              <w:rFonts w:asciiTheme="minorHAnsi" w:eastAsiaTheme="minorEastAsia" w:hAnsiTheme="minorHAnsi" w:cstheme="minorBidi"/>
              <w:b w:val="0"/>
              <w:noProof/>
              <w:color w:val="auto"/>
              <w:sz w:val="22"/>
              <w:szCs w:val="22"/>
              <w:lang w:eastAsia="en-AU"/>
            </w:rPr>
          </w:pPr>
          <w:hyperlink w:anchor="_Toc131604405" w:history="1">
            <w:r w:rsidR="00D937BD" w:rsidRPr="0020127F">
              <w:rPr>
                <w:rStyle w:val="Hyperlink"/>
                <w:noProof/>
              </w:rPr>
              <w:t>What will happen</w:t>
            </w:r>
            <w:r w:rsidR="00D937BD">
              <w:rPr>
                <w:noProof/>
                <w:webHidden/>
              </w:rPr>
              <w:tab/>
            </w:r>
            <w:r w:rsidR="00D937BD">
              <w:rPr>
                <w:noProof/>
                <w:webHidden/>
              </w:rPr>
              <w:fldChar w:fldCharType="begin"/>
            </w:r>
            <w:r w:rsidR="00D937BD">
              <w:rPr>
                <w:noProof/>
                <w:webHidden/>
              </w:rPr>
              <w:instrText xml:space="preserve"> PAGEREF _Toc131604405 \h </w:instrText>
            </w:r>
            <w:r w:rsidR="00D937BD">
              <w:rPr>
                <w:noProof/>
                <w:webHidden/>
              </w:rPr>
            </w:r>
            <w:r w:rsidR="00D937BD">
              <w:rPr>
                <w:noProof/>
                <w:webHidden/>
              </w:rPr>
              <w:fldChar w:fldCharType="separate"/>
            </w:r>
            <w:r w:rsidR="00D937BD">
              <w:rPr>
                <w:noProof/>
                <w:webHidden/>
              </w:rPr>
              <w:t>22</w:t>
            </w:r>
            <w:r w:rsidR="00D937BD">
              <w:rPr>
                <w:noProof/>
                <w:webHidden/>
              </w:rPr>
              <w:fldChar w:fldCharType="end"/>
            </w:r>
          </w:hyperlink>
        </w:p>
        <w:p w14:paraId="6CF8A28F" w14:textId="474C5FB1" w:rsidR="00F02AEC" w:rsidRPr="00215D48" w:rsidRDefault="00F02AEC" w:rsidP="00F401EF">
          <w:r w:rsidRPr="00215D48">
            <w:fldChar w:fldCharType="end"/>
          </w:r>
        </w:p>
      </w:sdtContent>
    </w:sdt>
    <w:p w14:paraId="19813DF7" w14:textId="77777777" w:rsidR="00F02AEC" w:rsidRPr="00215D48" w:rsidRDefault="00F02AEC" w:rsidP="0055653F">
      <w:r w:rsidRPr="00215D48">
        <w:br w:type="page"/>
      </w:r>
    </w:p>
    <w:p w14:paraId="514E9D3C" w14:textId="02775B42" w:rsidR="00F02AEC" w:rsidRPr="00215D48" w:rsidRDefault="00685E72" w:rsidP="00685E72">
      <w:pPr>
        <w:pStyle w:val="Heading2"/>
      </w:pPr>
      <w:bookmarkStart w:id="0" w:name="_Toc131604345"/>
      <w:r>
        <w:lastRenderedPageBreak/>
        <w:t>About this consultation</w:t>
      </w:r>
      <w:bookmarkEnd w:id="0"/>
    </w:p>
    <w:p w14:paraId="3079A9D0" w14:textId="77777777" w:rsidR="00685E72" w:rsidRPr="006807F5" w:rsidRDefault="00685E72" w:rsidP="00685E72">
      <w:bookmarkStart w:id="1" w:name="_Toc323739591"/>
      <w:bookmarkStart w:id="2" w:name="_Toc356305218"/>
      <w:r w:rsidRPr="006807F5">
        <w:t>Subdivision 3D.2 of the </w:t>
      </w:r>
      <w:r w:rsidRPr="006807F5">
        <w:rPr>
          <w:i/>
          <w:iCs/>
        </w:rPr>
        <w:t>Therapeutic Goods Regulations 1990</w:t>
      </w:r>
      <w:r w:rsidRPr="006807F5">
        <w:t xml:space="preserve"> (the </w:t>
      </w:r>
      <w:r w:rsidRPr="00105CEE">
        <w:rPr>
          <w:b/>
          <w:bCs/>
        </w:rPr>
        <w:t>Regulations</w:t>
      </w:r>
      <w:r w:rsidRPr="006807F5">
        <w:t>) sets out the procedure to be followed where the Secretary receives an application under section 52EAA of the </w:t>
      </w:r>
      <w:r w:rsidRPr="006807F5">
        <w:rPr>
          <w:i/>
          <w:iCs/>
        </w:rPr>
        <w:t>Therapeutic Goods Act 1989</w:t>
      </w:r>
      <w:r w:rsidRPr="006807F5">
        <w:t xml:space="preserve"> (the </w:t>
      </w:r>
      <w:r w:rsidRPr="00105CEE">
        <w:rPr>
          <w:b/>
          <w:bCs/>
        </w:rPr>
        <w:t>Act</w:t>
      </w:r>
      <w:r w:rsidRPr="006807F5">
        <w:t>) to amend the current Poisons Standard or decides to amend the Poisons Standard on his or her own initiative and decides to refer the proposed amendment to an expert advisory committee. These include, under regulation 42ZCZK, that the Secretary publish (in a manner the Secretary considers appropriate) the proposed amendment to be referred to an expert advisory committee, the committee to which the proposed amendment will be referred, and the date of the committee meeting. The Secretary must also invite public submissions to be made to the expert advisory committee by a date mentioned in the notice as the closing date, allowing at least 20 business days after publication of the notice.</w:t>
      </w:r>
    </w:p>
    <w:p w14:paraId="467458DE" w14:textId="7550C82F" w:rsidR="00685E72" w:rsidRDefault="00685E72" w:rsidP="00685E72">
      <w:r>
        <w:rPr>
          <w:noProof/>
        </w:rPr>
        <mc:AlternateContent>
          <mc:Choice Requires="wps">
            <w:drawing>
              <wp:anchor distT="0" distB="0" distL="114300" distR="114300" simplePos="0" relativeHeight="251659264" behindDoc="0" locked="0" layoutInCell="1" allowOverlap="1" wp14:anchorId="78822159" wp14:editId="33465855">
                <wp:simplePos x="0" y="0"/>
                <wp:positionH relativeFrom="margin">
                  <wp:align>left</wp:align>
                </wp:positionH>
                <wp:positionV relativeFrom="paragraph">
                  <wp:posOffset>778510</wp:posOffset>
                </wp:positionV>
                <wp:extent cx="1828800" cy="1828800"/>
                <wp:effectExtent l="0" t="0" r="2540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D0E9"/>
                        </a:solidFill>
                        <a:ln w="6350">
                          <a:solidFill>
                            <a:prstClr val="black"/>
                          </a:solidFill>
                        </a:ln>
                      </wps:spPr>
                      <wps:txbx>
                        <w:txbxContent>
                          <w:p w14:paraId="52B8CC47" w14:textId="6FB0627C" w:rsidR="00685E72" w:rsidRPr="00F379DE" w:rsidRDefault="00685E72" w:rsidP="00685E72">
                            <w:pPr>
                              <w:rPr>
                                <w:rFonts w:cs="Arial"/>
                                <w:lang w:val="en"/>
                              </w:rPr>
                            </w:pPr>
                            <w:r w:rsidRPr="00F379DE">
                              <w:rPr>
                                <w:rFonts w:cs="Arial"/>
                              </w:rPr>
                              <w:t>Submissions should be provided through our</w:t>
                            </w:r>
                            <w:r w:rsidRPr="00F379DE">
                              <w:rPr>
                                <w:rFonts w:cs="Arial"/>
                                <w:lang w:val="en"/>
                              </w:rPr>
                              <w:t xml:space="preserve"> </w:t>
                            </w:r>
                            <w:hyperlink r:id="rId13" w:history="1">
                              <w:r w:rsidRPr="00F379DE">
                                <w:rPr>
                                  <w:rStyle w:val="Hyperlink"/>
                                  <w:rFonts w:cs="Arial"/>
                                </w:rPr>
                                <w:t>consultation hub</w:t>
                              </w:r>
                            </w:hyperlink>
                            <w:r w:rsidRPr="00F379DE">
                              <w:rPr>
                                <w:rFonts w:cs="Arial"/>
                                <w:lang w:val="en"/>
                              </w:rPr>
                              <w:t xml:space="preserve">. </w:t>
                            </w:r>
                            <w:r w:rsidRPr="00F379DE">
                              <w:rPr>
                                <w:rFonts w:cs="Arial"/>
                              </w:rPr>
                              <w:t>Any submission about any of the proposals to amend the Poisons Standard will be considered at the next meeting of the</w:t>
                            </w:r>
                            <w:r w:rsidRPr="00F379DE">
                              <w:rPr>
                                <w:rFonts w:cs="Arial"/>
                                <w:lang w:val="en"/>
                              </w:rPr>
                              <w:t xml:space="preserve"> </w:t>
                            </w:r>
                            <w:hyperlink r:id="rId14" w:history="1">
                              <w:r w:rsidRPr="00F379DE">
                                <w:rPr>
                                  <w:rStyle w:val="Hyperlink"/>
                                  <w:rFonts w:cs="Arial"/>
                                </w:rPr>
                                <w:t>Advisory Committee on Medicines Scheduling (ACMS)</w:t>
                              </w:r>
                            </w:hyperlink>
                            <w:r w:rsidRPr="00F379DE">
                              <w:rPr>
                                <w:rFonts w:cs="Arial"/>
                                <w:lang w:val="en"/>
                              </w:rPr>
                              <w:t xml:space="preserve">, </w:t>
                            </w:r>
                            <w:r w:rsidRPr="00F379DE">
                              <w:rPr>
                                <w:rFonts w:cs="Arial"/>
                              </w:rPr>
                              <w:t>meeting of the</w:t>
                            </w:r>
                            <w:r w:rsidRPr="00F379DE">
                              <w:rPr>
                                <w:rFonts w:cs="Arial"/>
                                <w:lang w:val="en"/>
                              </w:rPr>
                              <w:t xml:space="preserve"> </w:t>
                            </w:r>
                            <w:hyperlink r:id="rId15" w:history="1">
                              <w:r w:rsidRPr="00F379DE">
                                <w:rPr>
                                  <w:rStyle w:val="Hyperlink"/>
                                  <w:rFonts w:cs="Arial"/>
                                </w:rPr>
                                <w:t>Advisory Committee on Chemicals Scheduling (ACCS)</w:t>
                              </w:r>
                            </w:hyperlink>
                            <w:r w:rsidRPr="00F379DE">
                              <w:rPr>
                                <w:rFonts w:cs="Arial"/>
                                <w:lang w:val="en"/>
                              </w:rPr>
                              <w:t xml:space="preserve">, </w:t>
                            </w:r>
                            <w:r w:rsidRPr="00F379DE">
                              <w:rPr>
                                <w:rFonts w:cs="Arial"/>
                              </w:rPr>
                              <w:t>or a joint meeting of these two committees.</w:t>
                            </w:r>
                          </w:p>
                          <w:p w14:paraId="1681B090" w14:textId="632A9BB5" w:rsidR="00685E72" w:rsidRPr="00F379DE" w:rsidRDefault="00685E72" w:rsidP="00685E72">
                            <w:pPr>
                              <w:rPr>
                                <w:rFonts w:cs="Arial"/>
                                <w:b/>
                                <w:lang w:val="en"/>
                              </w:rPr>
                            </w:pPr>
                            <w:r w:rsidRPr="00F379DE">
                              <w:rPr>
                                <w:rFonts w:cs="Arial"/>
                                <w:b/>
                                <w:lang w:val="en"/>
                              </w:rPr>
                              <w:t xml:space="preserve">This consultation closes on </w:t>
                            </w:r>
                            <w:r w:rsidR="00206C40" w:rsidRPr="001F353A">
                              <w:rPr>
                                <w:rFonts w:cs="Arial"/>
                                <w:b/>
                                <w:lang w:val="en"/>
                              </w:rPr>
                              <w:t>1</w:t>
                            </w:r>
                            <w:r w:rsidR="001F353A" w:rsidRPr="001F353A">
                              <w:rPr>
                                <w:rFonts w:cs="Arial"/>
                                <w:b/>
                                <w:lang w:val="en"/>
                              </w:rPr>
                              <w:t>7</w:t>
                            </w:r>
                            <w:r w:rsidRPr="001F353A">
                              <w:rPr>
                                <w:rFonts w:cs="Arial"/>
                                <w:b/>
                                <w:lang w:val="en"/>
                              </w:rPr>
                              <w:t xml:space="preserve"> </w:t>
                            </w:r>
                            <w:r w:rsidR="00033F7D" w:rsidRPr="001F353A">
                              <w:rPr>
                                <w:rFonts w:cs="Arial"/>
                                <w:b/>
                                <w:lang w:val="en"/>
                              </w:rPr>
                              <w:t xml:space="preserve">May </w:t>
                            </w:r>
                            <w:r w:rsidR="00E744A2" w:rsidRPr="001F353A">
                              <w:rPr>
                                <w:rFonts w:cs="Arial"/>
                                <w:b/>
                                <w:lang w:val="en"/>
                              </w:rPr>
                              <w:t>2023</w:t>
                            </w:r>
                            <w:r w:rsidRPr="001F353A">
                              <w:rPr>
                                <w:rFonts w:cs="Arial"/>
                                <w:b/>
                                <w:lang w:val="en"/>
                              </w:rPr>
                              <w:t>.</w:t>
                            </w:r>
                          </w:p>
                          <w:p w14:paraId="085F45F4" w14:textId="77777777" w:rsidR="00685E72" w:rsidRPr="00F379DE" w:rsidRDefault="00685E72" w:rsidP="00685E72">
                            <w:pPr>
                              <w:rPr>
                                <w:rFonts w:cs="Arial"/>
                              </w:rPr>
                            </w:pPr>
                            <w:r w:rsidRPr="00F379DE">
                              <w:rPr>
                                <w:rFonts w:cs="Arial"/>
                              </w:rPr>
                              <w:t>We aim to provide documents in an accessible format. If you're having problems using this document, please contact </w:t>
                            </w:r>
                            <w:hyperlink r:id="rId16" w:history="1">
                              <w:r w:rsidRPr="00F379DE">
                                <w:rPr>
                                  <w:rStyle w:val="Hyperlink"/>
                                  <w:rFonts w:cs="Arial"/>
                                </w:rPr>
                                <w:t>medicines.scheduling@health.gov.au</w:t>
                              </w:r>
                            </w:hyperlink>
                            <w:r w:rsidRPr="00F379DE">
                              <w:rPr>
                                <w:rFonts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822159" id="_x0000_t202" coordsize="21600,21600" o:spt="202" path="m,l,21600r21600,l21600,xe">
                <v:stroke joinstyle="miter"/>
                <v:path gradientshapeok="t" o:connecttype="rect"/>
              </v:shapetype>
              <v:shape id="Text Box 1" o:spid="_x0000_s1026" type="#_x0000_t202" style="position:absolute;margin-left:0;margin-top:61.3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" fillcolor="#c6d0e9" strokeweight=".5pt">
                <v:textbox style="mso-fit-shape-to-text:t">
                  <w:txbxContent>
                    <w:p w14:paraId="52B8CC47" w14:textId="6FB0627C" w:rsidR="00685E72" w:rsidRPr="00F379DE" w:rsidRDefault="00685E72" w:rsidP="00685E72">
                      <w:pPr>
                        <w:rPr>
                          <w:rFonts w:cs="Arial"/>
                          <w:lang w:val="en"/>
                        </w:rPr>
                      </w:pPr>
                      <w:r w:rsidRPr="00F379DE">
                        <w:rPr>
                          <w:rFonts w:cs="Arial"/>
                        </w:rPr>
                        <w:t>Submissions should be provided through our</w:t>
                      </w:r>
                      <w:r w:rsidRPr="00F379DE">
                        <w:rPr>
                          <w:rFonts w:cs="Arial"/>
                          <w:lang w:val="en"/>
                        </w:rPr>
                        <w:t xml:space="preserve"> </w:t>
                      </w:r>
                      <w:hyperlink r:id="rId21" w:history="1">
                        <w:r w:rsidRPr="00F379DE">
                          <w:rPr>
                            <w:rStyle w:val="Hyperlink"/>
                            <w:rFonts w:cs="Arial"/>
                          </w:rPr>
                          <w:t>consultation hub</w:t>
                        </w:r>
                      </w:hyperlink>
                      <w:r w:rsidRPr="00F379DE">
                        <w:rPr>
                          <w:rFonts w:cs="Arial"/>
                          <w:lang w:val="en"/>
                        </w:rPr>
                        <w:t xml:space="preserve">. </w:t>
                      </w:r>
                      <w:r w:rsidRPr="00F379DE">
                        <w:rPr>
                          <w:rFonts w:cs="Arial"/>
                        </w:rPr>
                        <w:t>Any submission about any of the proposals to amend the Poisons Standard will be considered at the next meeting of the</w:t>
                      </w:r>
                      <w:r w:rsidRPr="00F379DE">
                        <w:rPr>
                          <w:rFonts w:cs="Arial"/>
                          <w:lang w:val="en"/>
                        </w:rPr>
                        <w:t xml:space="preserve"> </w:t>
                      </w:r>
                      <w:hyperlink r:id="rId22" w:history="1">
                        <w:r w:rsidRPr="00F379DE">
                          <w:rPr>
                            <w:rStyle w:val="Hyperlink"/>
                            <w:rFonts w:cs="Arial"/>
                          </w:rPr>
                          <w:t>Advisory Committee on Medicines Scheduling (ACMS)</w:t>
                        </w:r>
                      </w:hyperlink>
                      <w:r w:rsidRPr="00F379DE">
                        <w:rPr>
                          <w:rFonts w:cs="Arial"/>
                          <w:lang w:val="en"/>
                        </w:rPr>
                        <w:t xml:space="preserve">, </w:t>
                      </w:r>
                      <w:r w:rsidRPr="00F379DE">
                        <w:rPr>
                          <w:rFonts w:cs="Arial"/>
                        </w:rPr>
                        <w:t>meeting of the</w:t>
                      </w:r>
                      <w:r w:rsidRPr="00F379DE">
                        <w:rPr>
                          <w:rFonts w:cs="Arial"/>
                          <w:lang w:val="en"/>
                        </w:rPr>
                        <w:t xml:space="preserve"> </w:t>
                      </w:r>
                      <w:hyperlink r:id="rId23" w:history="1">
                        <w:r w:rsidRPr="00F379DE">
                          <w:rPr>
                            <w:rStyle w:val="Hyperlink"/>
                            <w:rFonts w:cs="Arial"/>
                          </w:rPr>
                          <w:t>Advisory Committee on Chemicals Scheduling (ACCS)</w:t>
                        </w:r>
                      </w:hyperlink>
                      <w:r w:rsidRPr="00F379DE">
                        <w:rPr>
                          <w:rFonts w:cs="Arial"/>
                          <w:lang w:val="en"/>
                        </w:rPr>
                        <w:t xml:space="preserve">, </w:t>
                      </w:r>
                      <w:r w:rsidRPr="00F379DE">
                        <w:rPr>
                          <w:rFonts w:cs="Arial"/>
                        </w:rPr>
                        <w:t>or a joint meeting of these two committees.</w:t>
                      </w:r>
                    </w:p>
                    <w:p w14:paraId="1681B090" w14:textId="632A9BB5" w:rsidR="00685E72" w:rsidRPr="00F379DE" w:rsidRDefault="00685E72" w:rsidP="00685E72">
                      <w:pPr>
                        <w:rPr>
                          <w:rFonts w:cs="Arial"/>
                          <w:b/>
                          <w:lang w:val="en"/>
                        </w:rPr>
                      </w:pPr>
                      <w:r w:rsidRPr="00F379DE">
                        <w:rPr>
                          <w:rFonts w:cs="Arial"/>
                          <w:b/>
                          <w:lang w:val="en"/>
                        </w:rPr>
                        <w:t xml:space="preserve">This consultation closes on </w:t>
                      </w:r>
                      <w:r w:rsidR="00206C40" w:rsidRPr="001F353A">
                        <w:rPr>
                          <w:rFonts w:cs="Arial"/>
                          <w:b/>
                          <w:lang w:val="en"/>
                        </w:rPr>
                        <w:t>1</w:t>
                      </w:r>
                      <w:r w:rsidR="001F353A" w:rsidRPr="001F353A">
                        <w:rPr>
                          <w:rFonts w:cs="Arial"/>
                          <w:b/>
                          <w:lang w:val="en"/>
                        </w:rPr>
                        <w:t>7</w:t>
                      </w:r>
                      <w:r w:rsidRPr="001F353A">
                        <w:rPr>
                          <w:rFonts w:cs="Arial"/>
                          <w:b/>
                          <w:lang w:val="en"/>
                        </w:rPr>
                        <w:t xml:space="preserve"> </w:t>
                      </w:r>
                      <w:r w:rsidR="00033F7D" w:rsidRPr="001F353A">
                        <w:rPr>
                          <w:rFonts w:cs="Arial"/>
                          <w:b/>
                          <w:lang w:val="en"/>
                        </w:rPr>
                        <w:t xml:space="preserve">May </w:t>
                      </w:r>
                      <w:r w:rsidR="00E744A2" w:rsidRPr="001F353A">
                        <w:rPr>
                          <w:rFonts w:cs="Arial"/>
                          <w:b/>
                          <w:lang w:val="en"/>
                        </w:rPr>
                        <w:t>2023</w:t>
                      </w:r>
                      <w:r w:rsidRPr="001F353A">
                        <w:rPr>
                          <w:rFonts w:cs="Arial"/>
                          <w:b/>
                          <w:lang w:val="en"/>
                        </w:rPr>
                        <w:t>.</w:t>
                      </w:r>
                    </w:p>
                    <w:p w14:paraId="085F45F4" w14:textId="77777777" w:rsidR="00685E72" w:rsidRPr="00F379DE" w:rsidRDefault="00685E72" w:rsidP="00685E72">
                      <w:pPr>
                        <w:rPr>
                          <w:rFonts w:cs="Arial"/>
                        </w:rPr>
                      </w:pPr>
                      <w:r w:rsidRPr="00F379DE">
                        <w:rPr>
                          <w:rFonts w:cs="Arial"/>
                        </w:rPr>
                        <w:t>We aim to provide documents in an accessible format. If you're having problems using this document, please contact </w:t>
                      </w:r>
                      <w:hyperlink r:id="rId24" w:history="1">
                        <w:r w:rsidRPr="00F379DE">
                          <w:rPr>
                            <w:rStyle w:val="Hyperlink"/>
                            <w:rFonts w:cs="Arial"/>
                          </w:rPr>
                          <w:t>medicines.scheduling@health.gov.au</w:t>
                        </w:r>
                      </w:hyperlink>
                      <w:r w:rsidRPr="00F379DE">
                        <w:rPr>
                          <w:rFonts w:cs="Arial"/>
                        </w:rPr>
                        <w:t>.</w:t>
                      </w:r>
                    </w:p>
                  </w:txbxContent>
                </v:textbox>
                <w10:wrap type="square" anchorx="margin"/>
              </v:shape>
            </w:pict>
          </mc:Fallback>
        </mc:AlternateContent>
      </w:r>
      <w:r w:rsidRPr="006807F5">
        <w:t xml:space="preserve">In accordance with regulation 42ZCZK of the Regulations, the Secretary invites public submissions on scheduling proposals </w:t>
      </w:r>
      <w:r w:rsidRPr="00033F7D">
        <w:t xml:space="preserve">referred to the </w:t>
      </w:r>
      <w:r w:rsidR="00B97F9C" w:rsidRPr="00033F7D">
        <w:t>June 2023</w:t>
      </w:r>
      <w:r w:rsidRPr="00033F7D">
        <w:t xml:space="preserve"> meeting</w:t>
      </w:r>
      <w:r w:rsidR="00B97F9C" w:rsidRPr="00033F7D">
        <w:t>s</w:t>
      </w:r>
      <w:r w:rsidRPr="006807F5">
        <w:t xml:space="preserve"> of the Advisory Committee</w:t>
      </w:r>
      <w:r w:rsidR="00B97F9C">
        <w:t>s</w:t>
      </w:r>
      <w:r w:rsidRPr="006807F5">
        <w:t xml:space="preserve"> on </w:t>
      </w:r>
      <w:r w:rsidRPr="00033F7D">
        <w:t xml:space="preserve">Medicines </w:t>
      </w:r>
      <w:r w:rsidR="00B97F9C">
        <w:t xml:space="preserve">and Chemicals </w:t>
      </w:r>
      <w:r w:rsidRPr="006807F5">
        <w:t xml:space="preserve">Scheduling. Submissions must be received by close of </w:t>
      </w:r>
      <w:r w:rsidRPr="00206C40">
        <w:t>business </w:t>
      </w:r>
      <w:r w:rsidR="00206C40" w:rsidRPr="00206C40">
        <w:rPr>
          <w:b/>
          <w:lang w:val="en"/>
        </w:rPr>
        <w:t>1</w:t>
      </w:r>
      <w:r w:rsidR="001F353A">
        <w:rPr>
          <w:b/>
          <w:lang w:val="en"/>
        </w:rPr>
        <w:t>7</w:t>
      </w:r>
      <w:r w:rsidRPr="00206C40">
        <w:rPr>
          <w:b/>
          <w:lang w:val="en"/>
        </w:rPr>
        <w:t xml:space="preserve"> </w:t>
      </w:r>
      <w:r w:rsidR="00033F7D" w:rsidRPr="00206C40">
        <w:rPr>
          <w:b/>
          <w:lang w:val="en"/>
        </w:rPr>
        <w:t>May</w:t>
      </w:r>
      <w:r w:rsidRPr="00206C40">
        <w:rPr>
          <w:b/>
          <w:lang w:val="en"/>
        </w:rPr>
        <w:t xml:space="preserve"> </w:t>
      </w:r>
      <w:r w:rsidR="00033F7D" w:rsidRPr="00206C40">
        <w:rPr>
          <w:b/>
          <w:lang w:val="en"/>
        </w:rPr>
        <w:t>2023</w:t>
      </w:r>
      <w:r w:rsidRPr="00206C40">
        <w:t>.</w:t>
      </w:r>
    </w:p>
    <w:bookmarkEnd w:id="1"/>
    <w:bookmarkEnd w:id="2"/>
    <w:p w14:paraId="40CD998C" w14:textId="77777777" w:rsidR="00685E72" w:rsidRDefault="00685E72">
      <w:pPr>
        <w:rPr>
          <w:rFonts w:eastAsia="Cambria" w:cs="Times New Roman"/>
          <w:b/>
          <w:color w:val="001871"/>
          <w:sz w:val="38"/>
        </w:rPr>
      </w:pPr>
      <w:r>
        <w:br w:type="page"/>
      </w:r>
    </w:p>
    <w:p w14:paraId="4E968656" w14:textId="5EE4B76F" w:rsidR="00685E72" w:rsidRDefault="002469EC" w:rsidP="00A8397C">
      <w:pPr>
        <w:pStyle w:val="Heading2"/>
      </w:pPr>
      <w:bookmarkStart w:id="3" w:name="_Toc131604346"/>
      <w:r>
        <w:lastRenderedPageBreak/>
        <w:t>1</w:t>
      </w:r>
      <w:r w:rsidR="004257D7">
        <w:tab/>
      </w:r>
      <w:r w:rsidR="00685E72">
        <w:t xml:space="preserve">Proposed </w:t>
      </w:r>
      <w:proofErr w:type="gramStart"/>
      <w:r w:rsidR="00685E72">
        <w:t>amendment</w:t>
      </w:r>
      <w:r>
        <w:t>s</w:t>
      </w:r>
      <w:proofErr w:type="gramEnd"/>
      <w:r w:rsidR="00685E72">
        <w:t xml:space="preserve"> referred for scheduling advice to ACMS meeting #</w:t>
      </w:r>
      <w:r>
        <w:t>42</w:t>
      </w:r>
      <w:bookmarkEnd w:id="3"/>
    </w:p>
    <w:p w14:paraId="17123529" w14:textId="68FFC254" w:rsidR="002469EC" w:rsidRPr="009401F6" w:rsidRDefault="002469EC" w:rsidP="002469EC">
      <w:pPr>
        <w:pStyle w:val="Heading3"/>
        <w:ind w:left="576" w:hanging="576"/>
      </w:pPr>
      <w:bookmarkStart w:id="4" w:name="_Toc131604347"/>
      <w:r>
        <w:t>1.1</w:t>
      </w:r>
      <w:r>
        <w:tab/>
        <w:t>Bisacodyl</w:t>
      </w:r>
      <w:bookmarkEnd w:id="4"/>
    </w:p>
    <w:p w14:paraId="308E3146" w14:textId="77777777" w:rsidR="002469EC" w:rsidRDefault="002469EC" w:rsidP="002469EC">
      <w:pPr>
        <w:pStyle w:val="Heading4"/>
      </w:pPr>
      <w:bookmarkStart w:id="5" w:name="_Toc131604348"/>
      <w:r>
        <w:t>Proposal</w:t>
      </w:r>
      <w:bookmarkEnd w:id="5"/>
    </w:p>
    <w:p w14:paraId="5A0519ED" w14:textId="5B4224BE" w:rsidR="002469EC" w:rsidRPr="00D75206" w:rsidRDefault="00B97F9C" w:rsidP="00F379DE">
      <w:r>
        <w:t xml:space="preserve">The applicant has proposed </w:t>
      </w:r>
      <w:r w:rsidR="00855666">
        <w:t xml:space="preserve">the </w:t>
      </w:r>
      <w:r>
        <w:t xml:space="preserve">creation of a new Schedule 2 entry for bisacodyl for oral use except in divided preparations in packs containing 20 tablets or less. Bisacodyl is a laxative </w:t>
      </w:r>
      <w:r w:rsidR="00855666">
        <w:t>that is not currently scheduled</w:t>
      </w:r>
      <w:r>
        <w:t>.</w:t>
      </w:r>
      <w:r w:rsidR="004257D7">
        <w:t xml:space="preserve"> The proposed amendment would restrict all oral preparations of bisacodyl to pharmacy sale, except packs of 20 tablets or less which would still be available for purchase from supermarkets and convenience stores.</w:t>
      </w:r>
    </w:p>
    <w:p w14:paraId="10C08E97" w14:textId="67C891D1" w:rsidR="002469EC" w:rsidRDefault="002469EC" w:rsidP="002469EC">
      <w:pPr>
        <w:pStyle w:val="Heading4"/>
      </w:pPr>
      <w:bookmarkStart w:id="6" w:name="_Toc131604349"/>
      <w:r>
        <w:t>CAS number</w:t>
      </w:r>
      <w:bookmarkEnd w:id="6"/>
    </w:p>
    <w:p w14:paraId="462AE323" w14:textId="7D6BD81C" w:rsidR="002469EC" w:rsidRDefault="00B97F9C" w:rsidP="002469EC">
      <w:r>
        <w:t>603-50-9</w:t>
      </w:r>
    </w:p>
    <w:p w14:paraId="76589CF7" w14:textId="77777777" w:rsidR="002469EC" w:rsidRDefault="002469EC" w:rsidP="002469EC">
      <w:pPr>
        <w:pStyle w:val="Heading4"/>
      </w:pPr>
      <w:bookmarkStart w:id="7" w:name="_Toc131604350"/>
      <w:r>
        <w:t>Alternative names</w:t>
      </w:r>
      <w:bookmarkEnd w:id="7"/>
    </w:p>
    <w:p w14:paraId="143FFE28" w14:textId="140CD652" w:rsidR="00B97F9C" w:rsidRDefault="00B97F9C" w:rsidP="00960FBB">
      <w:pPr>
        <w:rPr>
          <w:b/>
          <w:bCs/>
        </w:rPr>
      </w:pPr>
      <w:r w:rsidRPr="00B97F9C">
        <w:t>4,4′-(2-</w:t>
      </w:r>
      <w:proofErr w:type="gramStart"/>
      <w:r w:rsidRPr="00B97F9C">
        <w:t>Pyridylmethylene)bisphenol</w:t>
      </w:r>
      <w:proofErr w:type="gramEnd"/>
      <w:r w:rsidRPr="00B97F9C">
        <w:t xml:space="preserve"> 1,1′-diacetate</w:t>
      </w:r>
      <w:r>
        <w:t xml:space="preserve">; </w:t>
      </w:r>
      <w:r w:rsidR="00F34E79">
        <w:t>B</w:t>
      </w:r>
      <w:r w:rsidRPr="00B97F9C">
        <w:t>is(p-</w:t>
      </w:r>
      <w:proofErr w:type="spellStart"/>
      <w:r w:rsidRPr="00B97F9C">
        <w:t>acetoxyphenyl</w:t>
      </w:r>
      <w:proofErr w:type="spellEnd"/>
      <w:r w:rsidRPr="00B97F9C">
        <w:t>)-2-pyridylmethane; (4,4′-diacetoxydiphenyl)(2-pyridyl)methane; 2-(4,4′-diacetoxydiphenylmethyl)pyridine</w:t>
      </w:r>
    </w:p>
    <w:p w14:paraId="1F8723DF" w14:textId="1A71A126" w:rsidR="002469EC" w:rsidRPr="002C1070" w:rsidRDefault="002469EC" w:rsidP="002469EC">
      <w:pPr>
        <w:pStyle w:val="Heading4"/>
      </w:pPr>
      <w:bookmarkStart w:id="8" w:name="_Toc131604351"/>
      <w:r>
        <w:t>Applicant</w:t>
      </w:r>
      <w:bookmarkEnd w:id="8"/>
    </w:p>
    <w:p w14:paraId="1E77ED8B" w14:textId="4B86BD5D" w:rsidR="002469EC" w:rsidRPr="003639D9" w:rsidRDefault="002469EC" w:rsidP="002469EC">
      <w:r w:rsidRPr="00F34E79">
        <w:t xml:space="preserve">Private applicant </w:t>
      </w:r>
    </w:p>
    <w:p w14:paraId="79E0A491" w14:textId="77777777" w:rsidR="002469EC" w:rsidRDefault="002469EC" w:rsidP="002469EC">
      <w:pPr>
        <w:pStyle w:val="Heading4"/>
      </w:pPr>
      <w:bookmarkStart w:id="9" w:name="_Toc131604352"/>
      <w:r>
        <w:t>Proposed Scheduling</w:t>
      </w:r>
      <w:bookmarkEnd w:id="9"/>
    </w:p>
    <w:p w14:paraId="348E0B7C" w14:textId="414482C8" w:rsidR="002469EC" w:rsidRDefault="00F34E79" w:rsidP="00F34E79">
      <w:pPr>
        <w:rPr>
          <w:rFonts w:cstheme="minorHAnsi"/>
        </w:rPr>
      </w:pPr>
      <w:r>
        <w:rPr>
          <w:rFonts w:cstheme="minorHAnsi"/>
        </w:rPr>
        <w:t>The applicant’s proposed amendments to the Poisons Standard are:</w:t>
      </w:r>
      <w:r w:rsidR="00BD0BC1">
        <w:rPr>
          <w:rStyle w:val="FootnoteReference"/>
          <w:rFonts w:cstheme="minorHAnsi"/>
        </w:rPr>
        <w:footnoteReference w:id="1"/>
      </w:r>
    </w:p>
    <w:p w14:paraId="702AE851" w14:textId="2F978CB8" w:rsidR="00F34E79" w:rsidRPr="00FD735C" w:rsidRDefault="00F34E79" w:rsidP="00BD0BC1">
      <w:pPr>
        <w:ind w:firstLine="720"/>
        <w:rPr>
          <w:rFonts w:cstheme="minorHAnsi"/>
          <w:b/>
          <w:bCs/>
        </w:rPr>
      </w:pPr>
      <w:r w:rsidRPr="00FD735C">
        <w:rPr>
          <w:rFonts w:cstheme="minorHAnsi"/>
          <w:b/>
          <w:bCs/>
        </w:rPr>
        <w:t>Schedule 2</w:t>
      </w:r>
      <w:r w:rsidR="00FD735C" w:rsidRPr="00FD735C">
        <w:rPr>
          <w:rFonts w:cstheme="minorHAnsi"/>
          <w:b/>
          <w:bCs/>
        </w:rPr>
        <w:t xml:space="preserve"> – New entry</w:t>
      </w:r>
    </w:p>
    <w:p w14:paraId="5F901CA2" w14:textId="10AD15FA" w:rsidR="00F34E79" w:rsidRPr="007B0975" w:rsidRDefault="00F34E79" w:rsidP="00CC6BAE">
      <w:pPr>
        <w:ind w:left="1451" w:hanging="11"/>
        <w:rPr>
          <w:rFonts w:cstheme="minorHAnsi"/>
          <w:color w:val="00B050"/>
          <w:u w:val="single"/>
        </w:rPr>
      </w:pPr>
      <w:r w:rsidRPr="007B0975">
        <w:rPr>
          <w:rFonts w:cstheme="minorHAnsi"/>
          <w:color w:val="00B050"/>
          <w:u w:val="single"/>
        </w:rPr>
        <w:t xml:space="preserve">BISACODYL for oral use </w:t>
      </w:r>
      <w:r w:rsidRPr="007B0975">
        <w:rPr>
          <w:rFonts w:cstheme="minorHAnsi"/>
          <w:b/>
          <w:bCs/>
          <w:color w:val="00B050"/>
          <w:u w:val="single"/>
        </w:rPr>
        <w:t>except</w:t>
      </w:r>
      <w:r w:rsidRPr="007B0975">
        <w:rPr>
          <w:rFonts w:cstheme="minorHAnsi"/>
          <w:color w:val="00B050"/>
          <w:u w:val="single"/>
        </w:rPr>
        <w:t xml:space="preserve"> in divided preparations in packs containing 20 tablets or less.</w:t>
      </w:r>
    </w:p>
    <w:p w14:paraId="3923D908" w14:textId="63FE3BDE" w:rsidR="00FD735C" w:rsidRPr="00FD735C" w:rsidRDefault="00FD735C" w:rsidP="00BD0BC1">
      <w:pPr>
        <w:ind w:firstLine="720"/>
        <w:rPr>
          <w:rFonts w:cstheme="minorHAnsi"/>
          <w:b/>
          <w:bCs/>
          <w:color w:val="00B050"/>
        </w:rPr>
      </w:pPr>
      <w:r w:rsidRPr="00FD735C">
        <w:rPr>
          <w:rFonts w:cstheme="minorHAnsi"/>
          <w:b/>
          <w:bCs/>
        </w:rPr>
        <w:t>Index – New entry</w:t>
      </w:r>
    </w:p>
    <w:p w14:paraId="1209CB38" w14:textId="7A1C3278" w:rsidR="00FD735C" w:rsidRPr="00206C40" w:rsidRDefault="00FD735C" w:rsidP="00BD0BC1">
      <w:pPr>
        <w:ind w:left="720" w:firstLine="720"/>
        <w:rPr>
          <w:rFonts w:cstheme="minorHAnsi"/>
          <w:b/>
          <w:bCs/>
          <w:color w:val="00B050"/>
          <w:u w:val="single"/>
        </w:rPr>
      </w:pPr>
      <w:r w:rsidRPr="00206C40">
        <w:rPr>
          <w:rFonts w:cstheme="minorHAnsi"/>
          <w:b/>
          <w:bCs/>
          <w:color w:val="00B050"/>
          <w:u w:val="single"/>
        </w:rPr>
        <w:t>BISACODYL</w:t>
      </w:r>
    </w:p>
    <w:p w14:paraId="6BF6C9A8" w14:textId="0AC4F700" w:rsidR="00FD735C" w:rsidRPr="007B0975" w:rsidRDefault="00FD735C" w:rsidP="00BD0BC1">
      <w:pPr>
        <w:ind w:left="720" w:firstLine="720"/>
        <w:rPr>
          <w:rFonts w:cstheme="minorHAnsi"/>
          <w:u w:val="single"/>
        </w:rPr>
      </w:pPr>
      <w:r w:rsidRPr="007B0975">
        <w:rPr>
          <w:rFonts w:cstheme="minorHAnsi"/>
          <w:color w:val="00B050"/>
          <w:u w:val="single"/>
        </w:rPr>
        <w:t>Schedule 2</w:t>
      </w:r>
    </w:p>
    <w:p w14:paraId="485B5AC7" w14:textId="77777777" w:rsidR="002469EC" w:rsidRDefault="002469EC" w:rsidP="002469EC">
      <w:pPr>
        <w:pStyle w:val="Heading4"/>
      </w:pPr>
      <w:bookmarkStart w:id="11" w:name="_Toc131604353"/>
      <w:r>
        <w:t>Background</w:t>
      </w:r>
      <w:bookmarkEnd w:id="11"/>
    </w:p>
    <w:p w14:paraId="73B6701D" w14:textId="11C2CFD5" w:rsidR="002469EC" w:rsidRDefault="00F34E79" w:rsidP="002469EC">
      <w:r>
        <w:t xml:space="preserve">Bisacodyl is a stimulant laxative intended for the relief of episodic and chronic constipation. Bisacodyl is presently </w:t>
      </w:r>
      <w:r w:rsidR="00855666">
        <w:t xml:space="preserve">not scheduled and is available </w:t>
      </w:r>
      <w:r w:rsidR="00925501">
        <w:t xml:space="preserve">in </w:t>
      </w:r>
      <w:r w:rsidR="008D6CFC">
        <w:t>5 mg tablets in packs ranging up to 240 doses</w:t>
      </w:r>
      <w:r>
        <w:t>.</w:t>
      </w:r>
    </w:p>
    <w:p w14:paraId="38F7F0FC" w14:textId="77777777" w:rsidR="002469EC" w:rsidRDefault="002469EC" w:rsidP="002469EC">
      <w:pPr>
        <w:pStyle w:val="Heading4"/>
      </w:pPr>
      <w:bookmarkStart w:id="12" w:name="_Toc131604354"/>
      <w:r>
        <w:t>Summary of applicant’s reasons for the proposal</w:t>
      </w:r>
      <w:bookmarkEnd w:id="12"/>
    </w:p>
    <w:p w14:paraId="544446A1" w14:textId="2DF4B52E" w:rsidR="008D6CFC" w:rsidRDefault="00925501" w:rsidP="00F379DE">
      <w:pPr>
        <w:pStyle w:val="ListBullet"/>
      </w:pPr>
      <w:r>
        <w:t>B</w:t>
      </w:r>
      <w:r w:rsidR="008D6CFC">
        <w:t xml:space="preserve">isacodyl </w:t>
      </w:r>
      <w:r>
        <w:t xml:space="preserve">is being misused </w:t>
      </w:r>
      <w:r w:rsidR="008D6CFC">
        <w:t xml:space="preserve">for weight loss. </w:t>
      </w:r>
      <w:r w:rsidR="008D6CFC" w:rsidRPr="008D6CFC">
        <w:t xml:space="preserve">This </w:t>
      </w:r>
      <w:r>
        <w:t>proposed</w:t>
      </w:r>
      <w:r w:rsidRPr="008D6CFC">
        <w:t xml:space="preserve"> </w:t>
      </w:r>
      <w:r w:rsidR="008D6CFC" w:rsidRPr="008D6CFC">
        <w:t xml:space="preserve">amendment </w:t>
      </w:r>
      <w:r>
        <w:t xml:space="preserve">of the Poisons Standard </w:t>
      </w:r>
      <w:r w:rsidR="008D6CFC" w:rsidRPr="008D6CFC">
        <w:t>would help minimise the risk of intentional or unintentional misuse of</w:t>
      </w:r>
      <w:r w:rsidR="008D6CFC">
        <w:t xml:space="preserve"> </w:t>
      </w:r>
      <w:r w:rsidR="008D6CFC" w:rsidRPr="008D6CFC">
        <w:t>this substance by vulnerable populations, such as older adults, children and those with eating disorders or other mental health concerns.</w:t>
      </w:r>
    </w:p>
    <w:p w14:paraId="38554FC0" w14:textId="29A6BC22" w:rsidR="008D6CFC" w:rsidRDefault="008D6CFC" w:rsidP="00077D7B">
      <w:pPr>
        <w:pStyle w:val="ListBullet"/>
      </w:pPr>
      <w:r w:rsidRPr="008D6CFC">
        <w:lastRenderedPageBreak/>
        <w:t>Australia’s access controls over bisacodyl are not consistent with comparable jurisdictions such as New Zealand and the UK. Stimulant</w:t>
      </w:r>
      <w:r>
        <w:t xml:space="preserve"> </w:t>
      </w:r>
      <w:r w:rsidRPr="008D6CFC">
        <w:t>laxatives and their accessibility have been the subject of recent reviews in the UK (MHRA) in 2020 and by New Zealand (</w:t>
      </w:r>
      <w:proofErr w:type="spellStart"/>
      <w:r w:rsidRPr="008D6CFC">
        <w:t>Medsafe</w:t>
      </w:r>
      <w:proofErr w:type="spellEnd"/>
      <w:r w:rsidRPr="008D6CFC">
        <w:t>) in 2021, both of which</w:t>
      </w:r>
      <w:r>
        <w:t xml:space="preserve"> </w:t>
      </w:r>
      <w:r w:rsidRPr="008D6CFC">
        <w:t>recommended tighter control of these substances than is presently the case in Australia.</w:t>
      </w:r>
    </w:p>
    <w:p w14:paraId="7C8C2084" w14:textId="45C9B71F" w:rsidR="008D6CFC" w:rsidRDefault="008D6CFC" w:rsidP="00C57CB5">
      <w:pPr>
        <w:pStyle w:val="ListBullet"/>
      </w:pPr>
      <w:r>
        <w:t>Reassigning bisacodyl to Schedule 2 will not unduly impair access for it</w:t>
      </w:r>
      <w:r w:rsidR="004257D7">
        <w:t>s</w:t>
      </w:r>
      <w:r>
        <w:t xml:space="preserve"> intended use, as access under supervision of health care professionals will remain unchanged for these patients. A scheduling change will assist in ensuring the safe and effective use of bisacodyl, and the minimisation of harm to the public from intentional or unintentional misuse.</w:t>
      </w:r>
    </w:p>
    <w:p w14:paraId="57DE92AB" w14:textId="63266D84" w:rsidR="002469EC" w:rsidRDefault="002469EC" w:rsidP="002469EC">
      <w:pPr>
        <w:pStyle w:val="Heading4"/>
      </w:pPr>
      <w:bookmarkStart w:id="13" w:name="_Toc131604355"/>
      <w:r>
        <w:t>Key uses / expected use</w:t>
      </w:r>
      <w:bookmarkEnd w:id="13"/>
    </w:p>
    <w:p w14:paraId="10AD92CD" w14:textId="49F34A8D" w:rsidR="002469EC" w:rsidRDefault="008D6CFC" w:rsidP="002469EC">
      <w:r>
        <w:t>Medicine (laxative)</w:t>
      </w:r>
    </w:p>
    <w:p w14:paraId="6DE56C6E" w14:textId="77777777" w:rsidR="002469EC" w:rsidRDefault="002469EC" w:rsidP="002469EC">
      <w:pPr>
        <w:pStyle w:val="Heading4"/>
      </w:pPr>
      <w:bookmarkStart w:id="14" w:name="_Toc131604356"/>
      <w:r>
        <w:t>Australian regulations</w:t>
      </w:r>
      <w:bookmarkEnd w:id="14"/>
    </w:p>
    <w:p w14:paraId="117107A1" w14:textId="1C15F278" w:rsidR="002469EC" w:rsidRDefault="002469EC" w:rsidP="002469EC">
      <w:pPr>
        <w:pStyle w:val="ListBullet"/>
      </w:pPr>
      <w:r>
        <w:t xml:space="preserve">According to the </w:t>
      </w:r>
      <w:hyperlink r:id="rId25" w:history="1">
        <w:r w:rsidRPr="00F379DE">
          <w:rPr>
            <w:rStyle w:val="Hyperlink"/>
            <w:rFonts w:cs="Arial"/>
          </w:rPr>
          <w:t>TGA Ingredient Database</w:t>
        </w:r>
      </w:hyperlink>
      <w:r w:rsidRPr="00F379DE">
        <w:rPr>
          <w:rFonts w:cs="Arial"/>
        </w:rPr>
        <w:t>,</w:t>
      </w:r>
      <w:r>
        <w:rPr>
          <w:rStyle w:val="FootnoteReference"/>
        </w:rPr>
        <w:footnoteReference w:id="2"/>
      </w:r>
      <w:r>
        <w:t xml:space="preserve"> </w:t>
      </w:r>
      <w:r w:rsidR="00867A5D">
        <w:t xml:space="preserve">bisacodyl </w:t>
      </w:r>
      <w:r>
        <w:t>is:</w:t>
      </w:r>
    </w:p>
    <w:p w14:paraId="11039FF7" w14:textId="38355A7F" w:rsidR="00867A5D" w:rsidRDefault="00867A5D" w:rsidP="00867A5D">
      <w:pPr>
        <w:pStyle w:val="ListBullet2"/>
      </w:pPr>
      <w:r>
        <w:t>Available for use as an Active Ingredient in Biologicals, Export Only, Over the Counter and Prescription Medicines;</w:t>
      </w:r>
    </w:p>
    <w:p w14:paraId="71DD988B" w14:textId="4D3D4F38" w:rsidR="00867A5D" w:rsidRPr="001D7CE9" w:rsidRDefault="00867A5D" w:rsidP="00867A5D">
      <w:pPr>
        <w:pStyle w:val="ListBullet2"/>
        <w:rPr>
          <w:rFonts w:asciiTheme="minorHAnsi" w:hAnsiTheme="minorHAnsi" w:cstheme="minorHAnsi"/>
        </w:rPr>
      </w:pPr>
      <w:r>
        <w:t xml:space="preserve">Available for use as an Excipient </w:t>
      </w:r>
      <w:r w:rsidRPr="001D7CE9">
        <w:rPr>
          <w:rFonts w:asciiTheme="minorHAnsi" w:hAnsiTheme="minorHAnsi" w:cstheme="minorHAnsi"/>
        </w:rPr>
        <w:t>Ingredient in Biologicals, Devices and Prescription Medicines;</w:t>
      </w:r>
    </w:p>
    <w:p w14:paraId="38E770E0" w14:textId="5A65D786" w:rsidR="002469EC" w:rsidRPr="001D7CE9" w:rsidRDefault="00867A5D" w:rsidP="00F379DE">
      <w:pPr>
        <w:pStyle w:val="ListBullet2"/>
      </w:pPr>
      <w:r w:rsidRPr="001D7CE9">
        <w:t xml:space="preserve">Not available as an Equivalent Ingredient in any </w:t>
      </w:r>
      <w:r w:rsidR="00E2510F">
        <w:t>therapeutic good</w:t>
      </w:r>
      <w:r w:rsidRPr="001D7CE9">
        <w:t>.</w:t>
      </w:r>
    </w:p>
    <w:p w14:paraId="21E21286" w14:textId="4803341A" w:rsidR="002469EC" w:rsidRPr="001D7CE9" w:rsidRDefault="002469EC" w:rsidP="00F379DE">
      <w:pPr>
        <w:pStyle w:val="ListBullet"/>
      </w:pPr>
      <w:r w:rsidRPr="001D7CE9">
        <w:t xml:space="preserve">As of </w:t>
      </w:r>
      <w:r w:rsidR="00867A5D" w:rsidRPr="001D7CE9">
        <w:t>March</w:t>
      </w:r>
      <w:r w:rsidRPr="001D7CE9">
        <w:t xml:space="preserve"> 20</w:t>
      </w:r>
      <w:r w:rsidR="00867A5D" w:rsidRPr="001D7CE9">
        <w:t>23</w:t>
      </w:r>
      <w:r w:rsidRPr="001D7CE9">
        <w:t xml:space="preserve">, there were </w:t>
      </w:r>
      <w:r w:rsidR="000218A3" w:rsidRPr="001D7CE9">
        <w:t>20</w:t>
      </w:r>
      <w:r w:rsidRPr="001D7CE9">
        <w:t xml:space="preserve"> medicines currently active on the </w:t>
      </w:r>
      <w:hyperlink r:id="rId26" w:history="1">
        <w:r w:rsidRPr="00F379DE">
          <w:rPr>
            <w:rStyle w:val="Hyperlink"/>
            <w:rFonts w:cs="Arial"/>
          </w:rPr>
          <w:t>Australian Register of Therapeutic Goods (ARTG)</w:t>
        </w:r>
      </w:hyperlink>
      <w:r w:rsidRPr="00F379DE">
        <w:rPr>
          <w:rStyle w:val="FootnoteReference"/>
          <w:rFonts w:cs="Arial"/>
        </w:rPr>
        <w:footnoteReference w:id="3"/>
      </w:r>
      <w:r w:rsidRPr="001D7CE9">
        <w:t xml:space="preserve"> that contain </w:t>
      </w:r>
      <w:r w:rsidR="008E40EE" w:rsidRPr="001D7CE9">
        <w:t xml:space="preserve">bisacodyl </w:t>
      </w:r>
      <w:r w:rsidRPr="001D7CE9">
        <w:t xml:space="preserve">as an active ingredient. </w:t>
      </w:r>
      <w:r w:rsidR="00F87F89" w:rsidRPr="001D7CE9">
        <w:t xml:space="preserve">All are </w:t>
      </w:r>
      <w:r w:rsidRPr="001D7CE9">
        <w:t>non-prescription medicines.</w:t>
      </w:r>
    </w:p>
    <w:p w14:paraId="0C2F8DE7" w14:textId="45EA12A3" w:rsidR="002469EC" w:rsidRPr="001D7CE9" w:rsidRDefault="008E40EE" w:rsidP="00F379DE">
      <w:pPr>
        <w:pStyle w:val="ListBullet"/>
      </w:pPr>
      <w:r w:rsidRPr="00F379DE">
        <w:t>Bisacodyl</w:t>
      </w:r>
      <w:r w:rsidR="002469EC" w:rsidRPr="001D7CE9">
        <w:t xml:space="preserve"> is not permitted to be included in listed medicines as it is not included in </w:t>
      </w:r>
      <w:r w:rsidR="002469EC" w:rsidRPr="00F379DE">
        <w:rPr>
          <w:rFonts w:cs="Arial"/>
        </w:rPr>
        <w:t xml:space="preserve">the </w:t>
      </w:r>
      <w:hyperlink r:id="rId27" w:history="1">
        <w:r w:rsidR="002469EC" w:rsidRPr="00F379DE">
          <w:rPr>
            <w:rStyle w:val="Hyperlink"/>
            <w:rFonts w:cs="Arial"/>
          </w:rPr>
          <w:t>Therapeutic Goods (Permissible Ingredients) Determination</w:t>
        </w:r>
      </w:hyperlink>
      <w:r w:rsidR="002469EC" w:rsidRPr="001D7CE9">
        <w:rPr>
          <w:rStyle w:val="FootnoteReference"/>
          <w:rFonts w:asciiTheme="minorHAnsi" w:hAnsiTheme="minorHAnsi" w:cstheme="minorHAnsi"/>
        </w:rPr>
        <w:footnoteReference w:id="4"/>
      </w:r>
      <w:r w:rsidR="002469EC" w:rsidRPr="001D7CE9">
        <w:t xml:space="preserve"> No.</w:t>
      </w:r>
      <w:r w:rsidRPr="001D7CE9">
        <w:t>1</w:t>
      </w:r>
      <w:r w:rsidR="002469EC" w:rsidRPr="001D7CE9">
        <w:t xml:space="preserve"> of 20</w:t>
      </w:r>
      <w:r w:rsidRPr="001D7CE9">
        <w:t>23</w:t>
      </w:r>
      <w:r w:rsidR="002469EC" w:rsidRPr="001D7CE9">
        <w:t>.</w:t>
      </w:r>
    </w:p>
    <w:p w14:paraId="176392DD" w14:textId="40B69F05" w:rsidR="002469EC" w:rsidRDefault="002469EC" w:rsidP="00F379DE">
      <w:pPr>
        <w:pStyle w:val="ListBullet"/>
      </w:pPr>
      <w:r w:rsidRPr="00F379DE">
        <w:t>The</w:t>
      </w:r>
      <w:r w:rsidRPr="001D7CE9">
        <w:rPr>
          <w:rFonts w:asciiTheme="minorHAnsi" w:hAnsiTheme="minorHAnsi" w:cstheme="minorHAnsi"/>
        </w:rPr>
        <w:t xml:space="preserve"> </w:t>
      </w:r>
      <w:hyperlink r:id="rId28" w:history="1">
        <w:r w:rsidRPr="00F379DE">
          <w:rPr>
            <w:rStyle w:val="Hyperlink"/>
            <w:rFonts w:cs="Arial"/>
          </w:rPr>
          <w:t>TGA prescribing medicines in pregnancy database</w:t>
        </w:r>
      </w:hyperlink>
      <w:r w:rsidRPr="00F379DE">
        <w:rPr>
          <w:rStyle w:val="FootnoteReference"/>
          <w:rFonts w:cs="Arial"/>
        </w:rPr>
        <w:footnoteReference w:id="5"/>
      </w:r>
      <w:r w:rsidRPr="001D7CE9">
        <w:rPr>
          <w:rFonts w:asciiTheme="minorHAnsi" w:hAnsiTheme="minorHAnsi" w:cstheme="minorHAnsi"/>
        </w:rPr>
        <w:t xml:space="preserve"> </w:t>
      </w:r>
      <w:r w:rsidRPr="00F379DE">
        <w:t>classifies</w:t>
      </w:r>
      <w:r w:rsidRPr="001D7CE9">
        <w:rPr>
          <w:rFonts w:asciiTheme="minorHAnsi" w:hAnsiTheme="minorHAnsi" w:cstheme="minorHAnsi"/>
        </w:rPr>
        <w:t xml:space="preserve"> </w:t>
      </w:r>
      <w:r w:rsidR="008E40EE" w:rsidRPr="00F379DE">
        <w:t>bisacodyl</w:t>
      </w:r>
      <w:r>
        <w:t xml:space="preserve"> as:</w:t>
      </w:r>
    </w:p>
    <w:tbl>
      <w:tblPr>
        <w:tblStyle w:val="TableTGAblue"/>
        <w:tblW w:w="8670" w:type="dxa"/>
        <w:tblInd w:w="392" w:type="dxa"/>
        <w:tblLook w:val="04A0" w:firstRow="1" w:lastRow="0" w:firstColumn="1" w:lastColumn="0" w:noHBand="0" w:noVBand="1"/>
      </w:tblPr>
      <w:tblGrid>
        <w:gridCol w:w="1607"/>
        <w:gridCol w:w="1110"/>
        <w:gridCol w:w="1984"/>
        <w:gridCol w:w="1985"/>
        <w:gridCol w:w="1984"/>
      </w:tblGrid>
      <w:tr w:rsidR="002469EC" w:rsidRPr="00676BCE" w14:paraId="0B9F6D91" w14:textId="77777777" w:rsidTr="00676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6205E7BF" w14:textId="77777777" w:rsidR="002469EC" w:rsidRPr="00F379DE" w:rsidRDefault="002469EC" w:rsidP="008E40EE">
            <w:pPr>
              <w:keepLines/>
              <w:spacing w:before="60" w:after="60"/>
              <w:rPr>
                <w:rFonts w:cs="Arial"/>
                <w:sz w:val="20"/>
                <w:szCs w:val="20"/>
              </w:rPr>
            </w:pPr>
            <w:r w:rsidRPr="00F379DE">
              <w:rPr>
                <w:rFonts w:cs="Arial"/>
                <w:sz w:val="20"/>
                <w:szCs w:val="20"/>
              </w:rPr>
              <w:t>Drug name</w:t>
            </w:r>
          </w:p>
        </w:tc>
        <w:tc>
          <w:tcPr>
            <w:tcW w:w="1110" w:type="dxa"/>
          </w:tcPr>
          <w:p w14:paraId="179884D3" w14:textId="77777777" w:rsidR="002469EC" w:rsidRPr="00F379DE" w:rsidRDefault="002469EC" w:rsidP="008E40EE">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Category</w:t>
            </w:r>
          </w:p>
        </w:tc>
        <w:tc>
          <w:tcPr>
            <w:tcW w:w="1984" w:type="dxa"/>
          </w:tcPr>
          <w:p w14:paraId="512C3E7C" w14:textId="77777777" w:rsidR="002469EC" w:rsidRPr="00F379DE" w:rsidRDefault="002469EC" w:rsidP="008E40EE">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Classification Level 1</w:t>
            </w:r>
          </w:p>
        </w:tc>
        <w:tc>
          <w:tcPr>
            <w:tcW w:w="1985" w:type="dxa"/>
          </w:tcPr>
          <w:p w14:paraId="2965FEDA" w14:textId="77777777" w:rsidR="002469EC" w:rsidRPr="00F379DE" w:rsidRDefault="002469EC" w:rsidP="008E40EE">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Classification Level 2</w:t>
            </w:r>
          </w:p>
        </w:tc>
        <w:tc>
          <w:tcPr>
            <w:tcW w:w="1984" w:type="dxa"/>
          </w:tcPr>
          <w:p w14:paraId="48EEC8F0" w14:textId="77777777" w:rsidR="002469EC" w:rsidRPr="00F379DE" w:rsidRDefault="002469EC" w:rsidP="008E40EE">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Classification Level 3</w:t>
            </w:r>
          </w:p>
        </w:tc>
      </w:tr>
      <w:tr w:rsidR="002469EC" w:rsidRPr="00676BCE" w14:paraId="45F7B24C" w14:textId="77777777" w:rsidTr="00676BCE">
        <w:tc>
          <w:tcPr>
            <w:cnfStyle w:val="001000000000" w:firstRow="0" w:lastRow="0" w:firstColumn="1" w:lastColumn="0" w:oddVBand="0" w:evenVBand="0" w:oddHBand="0" w:evenHBand="0" w:firstRowFirstColumn="0" w:firstRowLastColumn="0" w:lastRowFirstColumn="0" w:lastRowLastColumn="0"/>
            <w:tcW w:w="1607" w:type="dxa"/>
          </w:tcPr>
          <w:p w14:paraId="7E3B0700" w14:textId="7EBDD2AF" w:rsidR="002469EC" w:rsidRPr="00F379DE" w:rsidRDefault="008E40EE" w:rsidP="008E40EE">
            <w:pPr>
              <w:keepNext/>
              <w:keepLines/>
              <w:spacing w:before="60" w:after="60"/>
              <w:rPr>
                <w:rFonts w:cs="Arial"/>
                <w:sz w:val="20"/>
                <w:szCs w:val="20"/>
              </w:rPr>
            </w:pPr>
            <w:r w:rsidRPr="00F379DE">
              <w:rPr>
                <w:rFonts w:cs="Arial"/>
                <w:sz w:val="20"/>
                <w:szCs w:val="20"/>
              </w:rPr>
              <w:t>Bisacodyl</w:t>
            </w:r>
          </w:p>
        </w:tc>
        <w:tc>
          <w:tcPr>
            <w:tcW w:w="1110" w:type="dxa"/>
          </w:tcPr>
          <w:p w14:paraId="39887519" w14:textId="257C3A4A" w:rsidR="002469EC" w:rsidRPr="00F379DE" w:rsidRDefault="008E40EE" w:rsidP="008E40EE">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A</w:t>
            </w:r>
          </w:p>
        </w:tc>
        <w:tc>
          <w:tcPr>
            <w:tcW w:w="1984" w:type="dxa"/>
          </w:tcPr>
          <w:p w14:paraId="430121B7" w14:textId="4FA4FF58" w:rsidR="002469EC" w:rsidRPr="00F379DE" w:rsidRDefault="008E40EE" w:rsidP="008E40EE">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Alimentary System</w:t>
            </w:r>
          </w:p>
        </w:tc>
        <w:tc>
          <w:tcPr>
            <w:tcW w:w="1985" w:type="dxa"/>
          </w:tcPr>
          <w:p w14:paraId="1D7736F5" w14:textId="179ECE73" w:rsidR="002469EC" w:rsidRPr="00F379DE" w:rsidRDefault="008E40EE" w:rsidP="008E40EE">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Laxatives</w:t>
            </w:r>
          </w:p>
        </w:tc>
        <w:tc>
          <w:tcPr>
            <w:tcW w:w="1984" w:type="dxa"/>
          </w:tcPr>
          <w:p w14:paraId="018427CE" w14:textId="77777777" w:rsidR="002469EC" w:rsidRPr="00F379DE" w:rsidRDefault="002469EC" w:rsidP="008E40EE">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2469EC" w:rsidRPr="00676BCE" w14:paraId="26E4BA62" w14:textId="77777777" w:rsidTr="0046377D">
        <w:tc>
          <w:tcPr>
            <w:cnfStyle w:val="001000000000" w:firstRow="0" w:lastRow="0" w:firstColumn="1" w:lastColumn="0" w:oddVBand="0" w:evenVBand="0" w:oddHBand="0" w:evenHBand="0" w:firstRowFirstColumn="0" w:firstRowLastColumn="0" w:lastRowFirstColumn="0" w:lastRowLastColumn="0"/>
            <w:tcW w:w="8670" w:type="dxa"/>
            <w:gridSpan w:val="5"/>
          </w:tcPr>
          <w:p w14:paraId="5FC86C04" w14:textId="22EC2494" w:rsidR="002469EC" w:rsidRPr="00F379DE" w:rsidRDefault="002469EC" w:rsidP="00F379DE">
            <w:pPr>
              <w:pStyle w:val="NoSpacing"/>
            </w:pPr>
            <w:r w:rsidRPr="00F379DE">
              <w:rPr>
                <w:b/>
                <w:sz w:val="16"/>
                <w:szCs w:val="16"/>
              </w:rPr>
              <w:t>Category A</w:t>
            </w:r>
            <w:r w:rsidRPr="00F379DE">
              <w:rPr>
                <w:sz w:val="16"/>
                <w:szCs w:val="16"/>
              </w:rPr>
              <w:t xml:space="preserve"> – Drugs which have been taken by a large number of pregnant women and women of childbearing age without any proven increase in the frequency of malformations or other direct or indirect harmful effects on the foetus having been observed.</w:t>
            </w:r>
          </w:p>
        </w:tc>
      </w:tr>
    </w:tbl>
    <w:p w14:paraId="40D9CCE3" w14:textId="6AE0FF39" w:rsidR="002469EC" w:rsidRDefault="002469EC" w:rsidP="002469EC">
      <w:pPr>
        <w:pStyle w:val="ListBullet"/>
      </w:pPr>
      <w:r>
        <w:t xml:space="preserve">There are no </w:t>
      </w:r>
      <w:r w:rsidRPr="00A30084">
        <w:t xml:space="preserve">warning statements pertaining </w:t>
      </w:r>
      <w:r>
        <w:t xml:space="preserve">to </w:t>
      </w:r>
      <w:r w:rsidR="008E40EE">
        <w:t>bisacodyl</w:t>
      </w:r>
      <w:r>
        <w:t xml:space="preserve"> in </w:t>
      </w:r>
      <w:r w:rsidRPr="009E0775">
        <w:rPr>
          <w:rFonts w:asciiTheme="minorHAnsi" w:hAnsiTheme="minorHAnsi" w:cstheme="minorHAnsi"/>
        </w:rPr>
        <w:t xml:space="preserve">the </w:t>
      </w:r>
      <w:hyperlink r:id="rId29" w:history="1">
        <w:r w:rsidRPr="00F379DE">
          <w:rPr>
            <w:rStyle w:val="Hyperlink"/>
            <w:rFonts w:cs="Arial"/>
          </w:rPr>
          <w:t>Therapeutic Goods (Medicines Advisory Statements) Specification 2021</w:t>
        </w:r>
      </w:hyperlink>
      <w:r w:rsidRPr="00F379DE">
        <w:rPr>
          <w:rStyle w:val="FootnoteReference"/>
          <w:rFonts w:cs="Arial"/>
        </w:rPr>
        <w:footnoteReference w:id="6"/>
      </w:r>
    </w:p>
    <w:p w14:paraId="68EDC63D" w14:textId="5E328FF0" w:rsidR="002469EC" w:rsidRPr="009C55D5" w:rsidRDefault="008E40EE" w:rsidP="002469EC">
      <w:pPr>
        <w:pStyle w:val="ListBullet"/>
      </w:pPr>
      <w:r w:rsidRPr="00F379DE">
        <w:t>Since January</w:t>
      </w:r>
      <w:r w:rsidR="002469EC" w:rsidRPr="00F379DE">
        <w:t xml:space="preserve"> 20</w:t>
      </w:r>
      <w:r w:rsidRPr="00F379DE">
        <w:t>13</w:t>
      </w:r>
      <w:r w:rsidR="002469EC" w:rsidRPr="00F379DE">
        <w:t xml:space="preserve">, there </w:t>
      </w:r>
      <w:r w:rsidRPr="00F379DE">
        <w:t>have been 23</w:t>
      </w:r>
      <w:r w:rsidR="002469EC" w:rsidRPr="00F379DE">
        <w:t xml:space="preserve"> reports of adverse events for products containing </w:t>
      </w:r>
      <w:r w:rsidRPr="00F379DE">
        <w:t xml:space="preserve">bisacodyl </w:t>
      </w:r>
      <w:r w:rsidR="002469EC" w:rsidRPr="00F379DE">
        <w:t xml:space="preserve">as an active ingredient on </w:t>
      </w:r>
      <w:r w:rsidR="002469EC" w:rsidRPr="00F379DE">
        <w:rPr>
          <w:rFonts w:cs="Arial"/>
        </w:rPr>
        <w:t xml:space="preserve">the </w:t>
      </w:r>
      <w:hyperlink r:id="rId30" w:history="1">
        <w:r w:rsidR="002469EC" w:rsidRPr="00F379DE">
          <w:rPr>
            <w:rStyle w:val="Hyperlink"/>
            <w:rFonts w:cs="Arial"/>
          </w:rPr>
          <w:t>Database of Adverse Event Notifications (DAEN)</w:t>
        </w:r>
      </w:hyperlink>
      <w:r w:rsidR="002469EC" w:rsidRPr="009E0775">
        <w:rPr>
          <w:rFonts w:asciiTheme="minorHAnsi" w:hAnsiTheme="minorHAnsi" w:cstheme="minorHAnsi"/>
        </w:rPr>
        <w:t>,</w:t>
      </w:r>
      <w:r w:rsidR="002469EC" w:rsidRPr="009E0775">
        <w:rPr>
          <w:rStyle w:val="FootnoteReference"/>
          <w:rFonts w:asciiTheme="minorHAnsi" w:hAnsiTheme="minorHAnsi" w:cstheme="minorHAnsi"/>
        </w:rPr>
        <w:footnoteReference w:id="7"/>
      </w:r>
      <w:r w:rsidR="002469EC" w:rsidRPr="009E0775">
        <w:rPr>
          <w:rFonts w:asciiTheme="minorHAnsi" w:hAnsiTheme="minorHAnsi" w:cstheme="minorHAnsi"/>
        </w:rPr>
        <w:t xml:space="preserve"> with </w:t>
      </w:r>
      <w:r w:rsidRPr="009E0775">
        <w:rPr>
          <w:rFonts w:asciiTheme="minorHAnsi" w:hAnsiTheme="minorHAnsi" w:cstheme="minorHAnsi"/>
        </w:rPr>
        <w:t>17</w:t>
      </w:r>
      <w:r w:rsidR="002469EC" w:rsidRPr="009C55D5">
        <w:t xml:space="preserve"> reports where </w:t>
      </w:r>
      <w:r>
        <w:t xml:space="preserve">bisacodyl </w:t>
      </w:r>
      <w:r w:rsidR="002469EC" w:rsidRPr="009C55D5">
        <w:t>was the single suspected medicine.</w:t>
      </w:r>
      <w:r>
        <w:t xml:space="preserve"> The majority of reports related to gastrointestinal disorders such as diarrhoea and abdominal pain.</w:t>
      </w:r>
    </w:p>
    <w:p w14:paraId="5BB2EAF5" w14:textId="429F9BCA" w:rsidR="002469EC" w:rsidRDefault="002469EC" w:rsidP="002469EC">
      <w:pPr>
        <w:pStyle w:val="ListBullet"/>
      </w:pPr>
      <w:r>
        <w:lastRenderedPageBreak/>
        <w:t xml:space="preserve">As of </w:t>
      </w:r>
      <w:r w:rsidRPr="008E40EE">
        <w:t>M</w:t>
      </w:r>
      <w:r w:rsidR="008E40EE" w:rsidRPr="008E40EE">
        <w:t>arc</w:t>
      </w:r>
      <w:r w:rsidRPr="008E40EE">
        <w:t>h 20</w:t>
      </w:r>
      <w:r w:rsidR="008E40EE" w:rsidRPr="008E40EE">
        <w:t>23</w:t>
      </w:r>
      <w:r w:rsidRPr="008E40EE">
        <w:t xml:space="preserve">, there were no products containing </w:t>
      </w:r>
      <w:r w:rsidR="008E40EE" w:rsidRPr="008E40EE">
        <w:t>bisacodyl</w:t>
      </w:r>
      <w:r w:rsidR="008E40EE">
        <w:t xml:space="preserve"> </w:t>
      </w:r>
      <w:r>
        <w:t xml:space="preserve">as an active ingredient/constituent or scheduled </w:t>
      </w:r>
      <w:r w:rsidRPr="00CC6BAE">
        <w:rPr>
          <w:rFonts w:cs="Arial"/>
        </w:rPr>
        <w:t>substance listed on t</w:t>
      </w:r>
      <w:r w:rsidRPr="00F379DE">
        <w:rPr>
          <w:rFonts w:cs="Arial"/>
        </w:rPr>
        <w:t xml:space="preserve">he </w:t>
      </w:r>
      <w:hyperlink r:id="rId31" w:history="1">
        <w:r w:rsidRPr="00F379DE">
          <w:rPr>
            <w:rStyle w:val="Hyperlink"/>
            <w:rFonts w:cs="Arial"/>
          </w:rPr>
          <w:t>Public Chemical Registration Information System Search (</w:t>
        </w:r>
        <w:proofErr w:type="spellStart"/>
        <w:r w:rsidRPr="00F379DE">
          <w:rPr>
            <w:rStyle w:val="Hyperlink"/>
            <w:rFonts w:cs="Arial"/>
          </w:rPr>
          <w:t>PubCRIS</w:t>
        </w:r>
        <w:proofErr w:type="spellEnd"/>
        <w:r w:rsidRPr="00F379DE">
          <w:rPr>
            <w:rStyle w:val="Hyperlink"/>
            <w:rFonts w:cs="Arial"/>
          </w:rPr>
          <w:t>)</w:t>
        </w:r>
      </w:hyperlink>
      <w:r w:rsidRPr="00F379DE">
        <w:rPr>
          <w:rFonts w:cs="Arial"/>
        </w:rPr>
        <w:t>.</w:t>
      </w:r>
      <w:r w:rsidRPr="00F379DE">
        <w:rPr>
          <w:rStyle w:val="FootnoteReference"/>
          <w:rFonts w:cs="Arial"/>
        </w:rPr>
        <w:footnoteReference w:id="8"/>
      </w:r>
      <w:r>
        <w:t xml:space="preserve"> </w:t>
      </w:r>
    </w:p>
    <w:p w14:paraId="175C7DB1" w14:textId="77777777" w:rsidR="002469EC" w:rsidRPr="00CB687C" w:rsidRDefault="002469EC" w:rsidP="002469EC">
      <w:pPr>
        <w:pStyle w:val="Heading4"/>
      </w:pPr>
      <w:bookmarkStart w:id="15" w:name="_Toc131604357"/>
      <w:r>
        <w:t>International regulations</w:t>
      </w:r>
      <w:bookmarkEnd w:id="15"/>
    </w:p>
    <w:p w14:paraId="03A352F7" w14:textId="63C7EA48" w:rsidR="002469EC" w:rsidRPr="00F379DE" w:rsidRDefault="00AA5EE4" w:rsidP="00F379DE">
      <w:pPr>
        <w:pStyle w:val="ListBullet"/>
        <w:rPr>
          <w:rFonts w:cs="Arial"/>
        </w:rPr>
      </w:pPr>
      <w:r w:rsidRPr="00F379DE">
        <w:rPr>
          <w:rFonts w:cs="Arial"/>
          <w:color w:val="auto"/>
        </w:rPr>
        <w:t>Ireland’s</w:t>
      </w:r>
      <w:r w:rsidRPr="00F379DE">
        <w:rPr>
          <w:rFonts w:cs="Arial"/>
        </w:rPr>
        <w:t xml:space="preserve"> </w:t>
      </w:r>
      <w:hyperlink r:id="rId32" w:history="1">
        <w:r w:rsidRPr="00F379DE">
          <w:rPr>
            <w:rStyle w:val="Hyperlink"/>
            <w:rFonts w:cs="Arial"/>
          </w:rPr>
          <w:t>Health Products Regulatory Authority</w:t>
        </w:r>
      </w:hyperlink>
      <w:r w:rsidR="00F2212C" w:rsidRPr="00F379DE">
        <w:rPr>
          <w:rStyle w:val="FootnoteReference"/>
          <w:rFonts w:cs="Arial"/>
          <w:color w:val="auto"/>
        </w:rPr>
        <w:footnoteReference w:id="9"/>
      </w:r>
      <w:r w:rsidR="002469EC" w:rsidRPr="00F379DE">
        <w:rPr>
          <w:rFonts w:cs="Arial"/>
        </w:rPr>
        <w:t xml:space="preserve"> </w:t>
      </w:r>
      <w:r w:rsidRPr="00F379DE">
        <w:rPr>
          <w:rFonts w:cs="Arial"/>
          <w:color w:val="auto"/>
        </w:rPr>
        <w:t>lists suppositories and gastro-resistant tablets containing bisacodyl as pharmacy-only medicines.</w:t>
      </w:r>
    </w:p>
    <w:p w14:paraId="5C8649A7" w14:textId="021041FE" w:rsidR="00AA5EE4" w:rsidRPr="00F379DE" w:rsidRDefault="00AA5EE4" w:rsidP="008E40EE">
      <w:pPr>
        <w:pStyle w:val="ListBullet"/>
        <w:rPr>
          <w:rStyle w:val="Hyperlink"/>
          <w:rFonts w:cs="Arial"/>
          <w:color w:val="auto"/>
          <w:u w:val="none"/>
        </w:rPr>
      </w:pPr>
      <w:r w:rsidRPr="00F379DE">
        <w:rPr>
          <w:rStyle w:val="Hyperlink"/>
          <w:rFonts w:cs="Arial"/>
          <w:color w:val="auto"/>
          <w:u w:val="none"/>
        </w:rPr>
        <w:t xml:space="preserve">The </w:t>
      </w:r>
      <w:hyperlink r:id="rId33" w:history="1">
        <w:r w:rsidRPr="00F379DE">
          <w:rPr>
            <w:rStyle w:val="Hyperlink"/>
            <w:rFonts w:cs="Arial"/>
          </w:rPr>
          <w:t>Health Canada Drug Product Database</w:t>
        </w:r>
      </w:hyperlink>
      <w:r w:rsidR="00C02E41" w:rsidRPr="00F379DE">
        <w:rPr>
          <w:rStyle w:val="FootnoteReference"/>
          <w:rFonts w:cs="Arial"/>
          <w:color w:val="auto"/>
        </w:rPr>
        <w:footnoteReference w:id="10"/>
      </w:r>
      <w:r w:rsidRPr="00F379DE">
        <w:rPr>
          <w:rStyle w:val="Hyperlink"/>
          <w:rFonts w:cs="Arial"/>
          <w:color w:val="333F48"/>
          <w:u w:val="none"/>
        </w:rPr>
        <w:t xml:space="preserve"> </w:t>
      </w:r>
      <w:r w:rsidRPr="00F379DE">
        <w:rPr>
          <w:rStyle w:val="Hyperlink"/>
          <w:rFonts w:cs="Arial"/>
          <w:color w:val="auto"/>
          <w:u w:val="none"/>
        </w:rPr>
        <w:t>lists 1</w:t>
      </w:r>
      <w:r w:rsidR="00963C5C" w:rsidRPr="00F379DE">
        <w:rPr>
          <w:rStyle w:val="Hyperlink"/>
          <w:rFonts w:cs="Arial"/>
          <w:color w:val="auto"/>
          <w:u w:val="none"/>
        </w:rPr>
        <w:t>6</w:t>
      </w:r>
      <w:r w:rsidRPr="00F379DE">
        <w:rPr>
          <w:rStyle w:val="Hyperlink"/>
          <w:rFonts w:cs="Arial"/>
          <w:color w:val="auto"/>
          <w:u w:val="none"/>
        </w:rPr>
        <w:t xml:space="preserve"> </w:t>
      </w:r>
      <w:r w:rsidR="00963C5C" w:rsidRPr="00F379DE">
        <w:rPr>
          <w:rStyle w:val="Hyperlink"/>
          <w:rFonts w:cs="Arial"/>
          <w:color w:val="auto"/>
          <w:u w:val="none"/>
        </w:rPr>
        <w:t xml:space="preserve">marketed </w:t>
      </w:r>
      <w:r w:rsidRPr="00F379DE">
        <w:rPr>
          <w:rStyle w:val="Hyperlink"/>
          <w:rFonts w:cs="Arial"/>
          <w:color w:val="auto"/>
          <w:u w:val="none"/>
        </w:rPr>
        <w:t xml:space="preserve">products containing bisacodyl, including tablets, </w:t>
      </w:r>
      <w:proofErr w:type="gramStart"/>
      <w:r w:rsidRPr="00F379DE">
        <w:rPr>
          <w:rStyle w:val="Hyperlink"/>
          <w:rFonts w:cs="Arial"/>
          <w:color w:val="auto"/>
          <w:u w:val="none"/>
        </w:rPr>
        <w:t>suppositories</w:t>
      </w:r>
      <w:proofErr w:type="gramEnd"/>
      <w:r w:rsidRPr="00F379DE">
        <w:rPr>
          <w:rStyle w:val="Hyperlink"/>
          <w:rFonts w:cs="Arial"/>
          <w:color w:val="auto"/>
          <w:u w:val="none"/>
        </w:rPr>
        <w:t xml:space="preserve"> and enemas. All are listed as OTC medicines except enemas which are categorised as ‘ethical’ medicines.</w:t>
      </w:r>
    </w:p>
    <w:p w14:paraId="6C3707FE" w14:textId="787AEF49" w:rsidR="00AA5EE4" w:rsidRPr="00F379DE" w:rsidRDefault="00A72A16" w:rsidP="008E40EE">
      <w:pPr>
        <w:pStyle w:val="ListBullet"/>
        <w:rPr>
          <w:rStyle w:val="Hyperlink"/>
          <w:rFonts w:cs="Arial"/>
          <w:color w:val="333F48"/>
          <w:u w:val="none"/>
        </w:rPr>
      </w:pPr>
      <w:hyperlink r:id="rId34" w:history="1">
        <w:r w:rsidR="00AA5EE4" w:rsidRPr="00F379DE">
          <w:rPr>
            <w:rStyle w:val="Hyperlink"/>
            <w:rFonts w:cs="Arial"/>
          </w:rPr>
          <w:t xml:space="preserve">New Zealand </w:t>
        </w:r>
        <w:proofErr w:type="spellStart"/>
        <w:r w:rsidR="00AA5EE4" w:rsidRPr="00F379DE">
          <w:rPr>
            <w:rStyle w:val="Hyperlink"/>
            <w:rFonts w:cs="Arial"/>
          </w:rPr>
          <w:t>Medsafe’s</w:t>
        </w:r>
        <w:proofErr w:type="spellEnd"/>
      </w:hyperlink>
      <w:r w:rsidR="00FD2E05" w:rsidRPr="00F379DE">
        <w:rPr>
          <w:rStyle w:val="FootnoteReference"/>
          <w:rFonts w:cs="Arial"/>
          <w:color w:val="auto"/>
        </w:rPr>
        <w:footnoteReference w:id="11"/>
      </w:r>
      <w:r w:rsidR="00AA5EE4" w:rsidRPr="00F379DE">
        <w:rPr>
          <w:rStyle w:val="Hyperlink"/>
          <w:rFonts w:cs="Arial"/>
          <w:color w:val="333F48"/>
          <w:u w:val="none"/>
        </w:rPr>
        <w:t xml:space="preserve"> </w:t>
      </w:r>
      <w:r w:rsidR="00AA5EE4" w:rsidRPr="00F379DE">
        <w:rPr>
          <w:rStyle w:val="Hyperlink"/>
          <w:rFonts w:cs="Arial"/>
          <w:color w:val="auto"/>
          <w:u w:val="none"/>
        </w:rPr>
        <w:t>Medicines Classification Database lists bisacodyl as a pharmacy only medicine.</w:t>
      </w:r>
    </w:p>
    <w:p w14:paraId="13F12932" w14:textId="35C8E64B" w:rsidR="00C71504" w:rsidRPr="00F379DE" w:rsidRDefault="00E07BF1" w:rsidP="008E40EE">
      <w:pPr>
        <w:pStyle w:val="ListBullet"/>
        <w:rPr>
          <w:rStyle w:val="Hyperlink"/>
          <w:rFonts w:cs="Arial"/>
          <w:color w:val="333F48"/>
          <w:u w:val="none"/>
        </w:rPr>
      </w:pPr>
      <w:r w:rsidRPr="00F379DE">
        <w:rPr>
          <w:rStyle w:val="Hyperlink"/>
          <w:rFonts w:cs="Arial"/>
          <w:color w:val="auto"/>
          <w:u w:val="none"/>
        </w:rPr>
        <w:t>The</w:t>
      </w:r>
      <w:r w:rsidRPr="00F379DE">
        <w:rPr>
          <w:rStyle w:val="Hyperlink"/>
          <w:rFonts w:cs="Arial"/>
          <w:color w:val="333F48"/>
          <w:u w:val="none"/>
        </w:rPr>
        <w:t xml:space="preserve"> </w:t>
      </w:r>
      <w:hyperlink r:id="rId35" w:history="1">
        <w:r w:rsidR="0018568F" w:rsidRPr="00F379DE">
          <w:rPr>
            <w:rStyle w:val="Hyperlink"/>
            <w:rFonts w:cs="Arial"/>
          </w:rPr>
          <w:t>United States Food and Drug Administration</w:t>
        </w:r>
      </w:hyperlink>
      <w:r w:rsidR="00FD2E05" w:rsidRPr="00F379DE">
        <w:rPr>
          <w:rStyle w:val="FootnoteReference"/>
          <w:rFonts w:cs="Arial"/>
          <w:color w:val="auto"/>
        </w:rPr>
        <w:footnoteReference w:id="12"/>
      </w:r>
      <w:r w:rsidRPr="00F379DE">
        <w:rPr>
          <w:rStyle w:val="Hyperlink"/>
          <w:rFonts w:cs="Arial"/>
          <w:color w:val="333F48"/>
          <w:u w:val="none"/>
        </w:rPr>
        <w:t xml:space="preserve"> </w:t>
      </w:r>
      <w:r w:rsidRPr="00F379DE">
        <w:rPr>
          <w:rStyle w:val="Hyperlink"/>
          <w:rFonts w:cs="Arial"/>
          <w:color w:val="auto"/>
          <w:u w:val="none"/>
        </w:rPr>
        <w:t>database does not include any approved products containing bisacodyl.</w:t>
      </w:r>
    </w:p>
    <w:p w14:paraId="47EC4D20" w14:textId="0D290518" w:rsidR="00C71504" w:rsidRPr="00F379DE" w:rsidRDefault="00E07BF1" w:rsidP="00F2212C">
      <w:pPr>
        <w:pStyle w:val="ListBullet"/>
        <w:rPr>
          <w:rStyle w:val="Hyperlink"/>
          <w:rFonts w:cs="Arial"/>
          <w:color w:val="auto"/>
          <w:u w:val="none"/>
        </w:rPr>
      </w:pPr>
      <w:r w:rsidRPr="00F379DE">
        <w:rPr>
          <w:rStyle w:val="Hyperlink"/>
          <w:rFonts w:cs="Arial"/>
          <w:color w:val="auto"/>
          <w:u w:val="none"/>
        </w:rPr>
        <w:t xml:space="preserve">In the </w:t>
      </w:r>
      <w:hyperlink r:id="rId36" w:history="1">
        <w:r w:rsidRPr="00F379DE">
          <w:rPr>
            <w:rStyle w:val="Hyperlink"/>
            <w:rFonts w:cs="Arial"/>
          </w:rPr>
          <w:t>United Kingdom</w:t>
        </w:r>
      </w:hyperlink>
      <w:r w:rsidR="00FD2E05" w:rsidRPr="00F379DE">
        <w:rPr>
          <w:rStyle w:val="FootnoteReference"/>
          <w:rFonts w:cs="Arial"/>
          <w:color w:val="auto"/>
        </w:rPr>
        <w:footnoteReference w:id="13"/>
      </w:r>
      <w:r w:rsidRPr="00F379DE">
        <w:rPr>
          <w:rStyle w:val="Hyperlink"/>
          <w:rFonts w:cs="Arial"/>
          <w:color w:val="333F48"/>
          <w:u w:val="none"/>
        </w:rPr>
        <w:t xml:space="preserve"> </w:t>
      </w:r>
      <w:r w:rsidRPr="00F379DE">
        <w:rPr>
          <w:rStyle w:val="Hyperlink"/>
          <w:rFonts w:cs="Arial"/>
          <w:color w:val="auto"/>
          <w:u w:val="none"/>
        </w:rPr>
        <w:t>the sale of stimulant laxatives such as bisacodyl is restricted in retail outlets to patients over the age of 18, in packs containing not more than 20 standard-strength tablets. Pharmacists are permitted to sell stimulant laxatives for use in children aged 12 and over.</w:t>
      </w:r>
    </w:p>
    <w:p w14:paraId="786A4EA1" w14:textId="6E1615D4" w:rsidR="00685E72" w:rsidRPr="009401F6" w:rsidRDefault="002469EC" w:rsidP="00685E72">
      <w:pPr>
        <w:pStyle w:val="Heading3"/>
        <w:ind w:left="576" w:hanging="576"/>
      </w:pPr>
      <w:bookmarkStart w:id="16" w:name="_Toc131604358"/>
      <w:r>
        <w:t>1.2</w:t>
      </w:r>
      <w:r>
        <w:tab/>
        <w:t>Olopatadine</w:t>
      </w:r>
      <w:bookmarkEnd w:id="16"/>
    </w:p>
    <w:p w14:paraId="21575F17" w14:textId="77777777" w:rsidR="00685E72" w:rsidRDefault="00685E72" w:rsidP="00685E72">
      <w:pPr>
        <w:pStyle w:val="Heading4"/>
      </w:pPr>
      <w:bookmarkStart w:id="17" w:name="_Toc122614215"/>
      <w:bookmarkStart w:id="18" w:name="_Toc131604359"/>
      <w:r>
        <w:t>Proposal</w:t>
      </w:r>
      <w:bookmarkEnd w:id="17"/>
      <w:bookmarkEnd w:id="18"/>
    </w:p>
    <w:p w14:paraId="43049F49" w14:textId="1FD762B4" w:rsidR="00FD735C" w:rsidRPr="00D75206" w:rsidRDefault="00FD735C" w:rsidP="00FD735C">
      <w:bookmarkStart w:id="19" w:name="_Toc122614216"/>
      <w:r>
        <w:t xml:space="preserve">The applicant has proposed </w:t>
      </w:r>
      <w:r w:rsidR="000128EB">
        <w:t xml:space="preserve">the </w:t>
      </w:r>
      <w:r>
        <w:t xml:space="preserve">creation of a new Schedule 2 entry for olopatadine when combined with mometasone in aqueous nasal sprays with limitations on dose per actuation and maximum recommended daily dose, for the short-term treatment of allergy conditions in patients aged 12 and over. Olopatadine is an </w:t>
      </w:r>
      <w:proofErr w:type="gramStart"/>
      <w:r>
        <w:t>anti-histamine</w:t>
      </w:r>
      <w:proofErr w:type="gramEnd"/>
      <w:r>
        <w:t xml:space="preserve"> that is currently available by prescription only</w:t>
      </w:r>
      <w:r w:rsidR="00AA4EF4">
        <w:t xml:space="preserve"> (</w:t>
      </w:r>
      <w:r w:rsidR="000128EB">
        <w:t>S</w:t>
      </w:r>
      <w:r w:rsidR="00AA4EF4">
        <w:t>chedule 4)</w:t>
      </w:r>
      <w:r>
        <w:t>.</w:t>
      </w:r>
    </w:p>
    <w:p w14:paraId="688C1F49" w14:textId="24F267B0" w:rsidR="00685E72" w:rsidRDefault="00685E72" w:rsidP="00685E72">
      <w:pPr>
        <w:pStyle w:val="Heading4"/>
      </w:pPr>
      <w:bookmarkStart w:id="20" w:name="_Toc131604360"/>
      <w:r>
        <w:t>CAS number</w:t>
      </w:r>
      <w:bookmarkEnd w:id="19"/>
      <w:bookmarkEnd w:id="20"/>
    </w:p>
    <w:p w14:paraId="6299252F" w14:textId="267CBCBC" w:rsidR="00685E72" w:rsidRDefault="00FD735C" w:rsidP="00685E72">
      <w:r>
        <w:t>113806-05-6</w:t>
      </w:r>
    </w:p>
    <w:p w14:paraId="1A614DA5" w14:textId="7B71CBF2" w:rsidR="00FD735C" w:rsidRDefault="00FD735C" w:rsidP="00685E72">
      <w:r>
        <w:t>140462-76-6 (as hydrochloride)</w:t>
      </w:r>
    </w:p>
    <w:p w14:paraId="28346AF8" w14:textId="77777777" w:rsidR="00685E72" w:rsidRDefault="00685E72" w:rsidP="00685E72">
      <w:pPr>
        <w:pStyle w:val="Heading4"/>
      </w:pPr>
      <w:bookmarkStart w:id="21" w:name="_Toc122614217"/>
      <w:bookmarkStart w:id="22" w:name="_Toc131604361"/>
      <w:r>
        <w:t>Alternative names</w:t>
      </w:r>
      <w:bookmarkEnd w:id="21"/>
      <w:bookmarkEnd w:id="22"/>
    </w:p>
    <w:p w14:paraId="63064741" w14:textId="02E88320" w:rsidR="00FD735C" w:rsidRDefault="00FD735C" w:rsidP="00960FBB">
      <w:pPr>
        <w:rPr>
          <w:b/>
          <w:bCs/>
        </w:rPr>
      </w:pPr>
      <w:bookmarkStart w:id="23" w:name="_Toc122614218"/>
      <w:r w:rsidRPr="00FD735C">
        <w:t>(11</w:t>
      </w:r>
      <w:r w:rsidRPr="00FD735C">
        <w:rPr>
          <w:i/>
          <w:iCs/>
        </w:rPr>
        <w:t>Z</w:t>
      </w:r>
      <w:r w:rsidRPr="00FD735C">
        <w:t>)-11-[3-(</w:t>
      </w:r>
      <w:proofErr w:type="gramStart"/>
      <w:r w:rsidRPr="00FD735C">
        <w:t>Dimethylamino)propylidene</w:t>
      </w:r>
      <w:proofErr w:type="gramEnd"/>
      <w:r w:rsidRPr="00FD735C">
        <w:t>]-6,11-dihydrodibenz[</w:t>
      </w:r>
      <w:r w:rsidRPr="00FD735C">
        <w:rPr>
          <w:i/>
          <w:iCs/>
        </w:rPr>
        <w:t>b,e</w:t>
      </w:r>
      <w:r w:rsidRPr="00FD735C">
        <w:t>]oxepin-2-acetic acid</w:t>
      </w:r>
    </w:p>
    <w:p w14:paraId="4139FEE1" w14:textId="76743446" w:rsidR="00685E72" w:rsidRPr="002C1070" w:rsidRDefault="00685E72" w:rsidP="00685E72">
      <w:pPr>
        <w:pStyle w:val="Heading4"/>
      </w:pPr>
      <w:bookmarkStart w:id="24" w:name="_Toc131604362"/>
      <w:r>
        <w:t>Applicant</w:t>
      </w:r>
      <w:bookmarkEnd w:id="23"/>
      <w:bookmarkEnd w:id="24"/>
    </w:p>
    <w:p w14:paraId="68F3C24C" w14:textId="168AE03F" w:rsidR="00685E72" w:rsidRPr="003639D9" w:rsidRDefault="00685E72" w:rsidP="00685E72">
      <w:r w:rsidRPr="00FD735C">
        <w:t>Private applicant</w:t>
      </w:r>
    </w:p>
    <w:p w14:paraId="6A71BF2A" w14:textId="77777777" w:rsidR="00685E72" w:rsidRDefault="00685E72" w:rsidP="00685E72">
      <w:pPr>
        <w:pStyle w:val="Heading4"/>
      </w:pPr>
      <w:bookmarkStart w:id="25" w:name="_Toc122614219"/>
      <w:bookmarkStart w:id="26" w:name="_Toc131604363"/>
      <w:r>
        <w:lastRenderedPageBreak/>
        <w:t>Proposed Scheduling</w:t>
      </w:r>
      <w:bookmarkEnd w:id="25"/>
      <w:bookmarkEnd w:id="26"/>
    </w:p>
    <w:p w14:paraId="3CF7E750" w14:textId="77777777" w:rsidR="00A32EA5" w:rsidRDefault="00A32EA5" w:rsidP="00A32EA5">
      <w:pPr>
        <w:rPr>
          <w:rFonts w:cstheme="minorHAnsi"/>
        </w:rPr>
      </w:pPr>
      <w:r>
        <w:rPr>
          <w:rFonts w:cstheme="minorHAnsi"/>
        </w:rPr>
        <w:t>The applicant’s proposed amendments to the Poisons Standard are:</w:t>
      </w:r>
      <w:r>
        <w:rPr>
          <w:rStyle w:val="FootnoteReference"/>
          <w:rFonts w:cstheme="minorHAnsi"/>
        </w:rPr>
        <w:footnoteReference w:id="14"/>
      </w:r>
    </w:p>
    <w:p w14:paraId="6290FF97" w14:textId="2615A083" w:rsidR="00685E72" w:rsidRPr="006D5C84" w:rsidRDefault="00685E72" w:rsidP="00F379DE">
      <w:pPr>
        <w:spacing w:before="240"/>
        <w:ind w:left="426"/>
        <w:rPr>
          <w:b/>
        </w:rPr>
      </w:pPr>
      <w:r w:rsidRPr="006D5C84">
        <w:rPr>
          <w:b/>
        </w:rPr>
        <w:t xml:space="preserve">Schedule </w:t>
      </w:r>
      <w:r w:rsidR="00A32EA5">
        <w:rPr>
          <w:b/>
        </w:rPr>
        <w:t>4 – Amend entry</w:t>
      </w:r>
    </w:p>
    <w:p w14:paraId="6FAA29D5" w14:textId="690A3741" w:rsidR="00685E72" w:rsidRDefault="00A32EA5" w:rsidP="00F379DE">
      <w:pPr>
        <w:spacing w:before="240"/>
        <w:ind w:left="425" w:firstLine="295"/>
        <w:rPr>
          <w:rFonts w:cstheme="minorHAnsi"/>
        </w:rPr>
      </w:pPr>
      <w:r>
        <w:rPr>
          <w:rFonts w:cstheme="minorHAnsi"/>
        </w:rPr>
        <w:t xml:space="preserve">OLOPATADINE </w:t>
      </w:r>
      <w:r w:rsidRPr="00AA4EF4">
        <w:rPr>
          <w:rFonts w:cstheme="minorHAnsi"/>
          <w:b/>
          <w:bCs/>
          <w:color w:val="00B050"/>
          <w:u w:val="single"/>
        </w:rPr>
        <w:t>except</w:t>
      </w:r>
      <w:r w:rsidRPr="00AA4EF4">
        <w:rPr>
          <w:rFonts w:cstheme="minorHAnsi"/>
          <w:color w:val="00B050"/>
          <w:u w:val="single"/>
        </w:rPr>
        <w:t xml:space="preserve"> when included in Schedule 2</w:t>
      </w:r>
      <w:r w:rsidRPr="00AA4EF4">
        <w:rPr>
          <w:rFonts w:cstheme="minorHAnsi"/>
          <w:u w:val="single"/>
        </w:rPr>
        <w:t>.</w:t>
      </w:r>
    </w:p>
    <w:p w14:paraId="47F69B12" w14:textId="36F06DA6" w:rsidR="00A32EA5" w:rsidRPr="007E4263" w:rsidRDefault="00A32EA5" w:rsidP="00F379DE">
      <w:pPr>
        <w:spacing w:before="240"/>
        <w:ind w:left="426"/>
        <w:rPr>
          <w:rFonts w:cstheme="minorHAnsi"/>
          <w:b/>
          <w:bCs/>
        </w:rPr>
      </w:pPr>
      <w:r w:rsidRPr="007E4263">
        <w:rPr>
          <w:rFonts w:cstheme="minorHAnsi"/>
          <w:b/>
          <w:bCs/>
        </w:rPr>
        <w:t>Schedule 2 – New entry</w:t>
      </w:r>
    </w:p>
    <w:p w14:paraId="40AB456F" w14:textId="360D149E" w:rsidR="00A32EA5" w:rsidRPr="00AA4EF4" w:rsidRDefault="00A32EA5" w:rsidP="00A32EA5">
      <w:pPr>
        <w:ind w:left="720" w:firstLine="6"/>
        <w:rPr>
          <w:rFonts w:cstheme="minorHAnsi"/>
          <w:u w:val="single"/>
        </w:rPr>
      </w:pPr>
      <w:r w:rsidRPr="00F379DE">
        <w:rPr>
          <w:rFonts w:cstheme="minorHAnsi"/>
          <w:b/>
          <w:bCs/>
          <w:color w:val="00B050"/>
          <w:u w:val="single"/>
        </w:rPr>
        <w:t>OLOPATADINE</w:t>
      </w:r>
      <w:r w:rsidRPr="00AA4EF4">
        <w:rPr>
          <w:rFonts w:cstheme="minorHAnsi"/>
          <w:color w:val="00B050"/>
          <w:u w:val="single"/>
        </w:rPr>
        <w:t xml:space="preserve"> when combined with mometasone in a single aqueous nasal spray delivering 600 micrograms or less of olopatadine per actuation when the maximum recommended daily dose is no greater than 4800 micrograms for the treatment of allergic rhinitis and rhino-conjunctivitis for up to six months in adults and children 12 years of age and over.</w:t>
      </w:r>
    </w:p>
    <w:p w14:paraId="6E13B262" w14:textId="0AD97006" w:rsidR="00685E72" w:rsidRDefault="00685E72" w:rsidP="00685E72">
      <w:pPr>
        <w:ind w:left="426"/>
        <w:rPr>
          <w:b/>
        </w:rPr>
      </w:pPr>
      <w:r>
        <w:rPr>
          <w:b/>
        </w:rPr>
        <w:t>Index</w:t>
      </w:r>
      <w:r w:rsidR="00A32EA5">
        <w:rPr>
          <w:b/>
        </w:rPr>
        <w:t xml:space="preserve"> – Amend entry</w:t>
      </w:r>
    </w:p>
    <w:p w14:paraId="52AB3BF1" w14:textId="7C6A6306" w:rsidR="00A32EA5" w:rsidRPr="00F379DE" w:rsidRDefault="00A32EA5" w:rsidP="00685E72">
      <w:pPr>
        <w:ind w:left="426"/>
        <w:rPr>
          <w:b/>
        </w:rPr>
      </w:pPr>
      <w:r>
        <w:rPr>
          <w:b/>
        </w:rPr>
        <w:tab/>
      </w:r>
      <w:r w:rsidRPr="00F379DE">
        <w:rPr>
          <w:b/>
        </w:rPr>
        <w:t>OLOPATADINE</w:t>
      </w:r>
    </w:p>
    <w:p w14:paraId="1865D392" w14:textId="61FDAFEE" w:rsidR="00A32EA5" w:rsidRPr="00A32EA5" w:rsidRDefault="00A32EA5" w:rsidP="00685E72">
      <w:pPr>
        <w:ind w:left="426"/>
        <w:rPr>
          <w:bCs/>
        </w:rPr>
      </w:pPr>
      <w:r>
        <w:rPr>
          <w:b/>
        </w:rPr>
        <w:tab/>
      </w:r>
      <w:r w:rsidRPr="00A32EA5">
        <w:rPr>
          <w:bCs/>
        </w:rPr>
        <w:t>Schedule 4</w:t>
      </w:r>
      <w:r w:rsidRPr="00A32EA5">
        <w:rPr>
          <w:bCs/>
        </w:rPr>
        <w:br/>
      </w:r>
      <w:r w:rsidRPr="00A32EA5">
        <w:rPr>
          <w:bCs/>
        </w:rPr>
        <w:tab/>
      </w:r>
      <w:r w:rsidRPr="00AA4EF4">
        <w:rPr>
          <w:bCs/>
          <w:color w:val="00B050"/>
          <w:u w:val="single"/>
        </w:rPr>
        <w:t>Schedule 2</w:t>
      </w:r>
    </w:p>
    <w:p w14:paraId="53B3A100" w14:textId="0BBF71F8" w:rsidR="00685E72" w:rsidRDefault="00685E72" w:rsidP="00A32EA5">
      <w:pPr>
        <w:ind w:firstLine="426"/>
        <w:rPr>
          <w:rFonts w:cstheme="minorHAnsi"/>
          <w:b/>
          <w:bCs/>
        </w:rPr>
      </w:pPr>
      <w:r w:rsidRPr="00A32EA5">
        <w:rPr>
          <w:rFonts w:cstheme="minorHAnsi"/>
          <w:b/>
          <w:bCs/>
        </w:rPr>
        <w:t>Appendix F</w:t>
      </w:r>
      <w:r w:rsidR="00111A9B">
        <w:rPr>
          <w:rFonts w:cstheme="minorHAnsi"/>
          <w:b/>
          <w:bCs/>
        </w:rPr>
        <w:t>, Clause 4</w:t>
      </w:r>
      <w:r w:rsidR="00A32EA5" w:rsidRPr="00A32EA5">
        <w:rPr>
          <w:rFonts w:cstheme="minorHAnsi"/>
          <w:b/>
          <w:bCs/>
        </w:rPr>
        <w:t xml:space="preserve"> – Amend entry</w:t>
      </w:r>
    </w:p>
    <w:p w14:paraId="28421419" w14:textId="77777777" w:rsidR="00AA247D" w:rsidRPr="00F379DE" w:rsidRDefault="00111A9B" w:rsidP="00A32EA5">
      <w:pPr>
        <w:ind w:firstLine="426"/>
        <w:rPr>
          <w:rFonts w:cs="Arial"/>
        </w:rPr>
      </w:pPr>
      <w:r w:rsidRPr="00F379DE">
        <w:rPr>
          <w:rFonts w:cs="Arial"/>
          <w:b/>
          <w:bCs/>
        </w:rPr>
        <w:tab/>
      </w:r>
      <w:r w:rsidRPr="00F379DE">
        <w:rPr>
          <w:rFonts w:cs="Arial"/>
        </w:rPr>
        <w:t xml:space="preserve">ANTIHISTAMINES not separately </w:t>
      </w:r>
      <w:r w:rsidR="00AA247D" w:rsidRPr="00F379DE">
        <w:rPr>
          <w:rFonts w:cs="Arial"/>
        </w:rPr>
        <w:t>specified in this Appendix except the following:</w:t>
      </w:r>
    </w:p>
    <w:p w14:paraId="64CC1D3A" w14:textId="35B7A71F" w:rsidR="00AA247D" w:rsidRPr="00F379DE" w:rsidRDefault="00FD2E05" w:rsidP="00AA247D">
      <w:pPr>
        <w:pStyle w:val="ListBulleta"/>
        <w:rPr>
          <w:rFonts w:ascii="Arial" w:hAnsi="Arial" w:cs="Arial"/>
          <w:sz w:val="20"/>
          <w:szCs w:val="18"/>
        </w:rPr>
      </w:pPr>
      <w:r w:rsidRPr="00F379DE">
        <w:rPr>
          <w:rFonts w:ascii="Arial" w:hAnsi="Arial" w:cs="Arial"/>
          <w:sz w:val="20"/>
          <w:szCs w:val="18"/>
        </w:rPr>
        <w:t>d</w:t>
      </w:r>
      <w:r w:rsidR="00AA247D" w:rsidRPr="00F379DE">
        <w:rPr>
          <w:rFonts w:ascii="Arial" w:hAnsi="Arial" w:cs="Arial"/>
          <w:sz w:val="20"/>
          <w:szCs w:val="18"/>
        </w:rPr>
        <w:t>ermal, ocular, parenteral and paediatric preparations;</w:t>
      </w:r>
    </w:p>
    <w:p w14:paraId="69F837D5" w14:textId="6195A93A" w:rsidR="00AA247D" w:rsidRPr="00F379DE" w:rsidRDefault="00FD2E05" w:rsidP="00AA247D">
      <w:pPr>
        <w:pStyle w:val="ListBulleta"/>
        <w:rPr>
          <w:rFonts w:ascii="Arial" w:hAnsi="Arial" w:cs="Arial"/>
          <w:sz w:val="20"/>
          <w:szCs w:val="18"/>
        </w:rPr>
      </w:pPr>
      <w:r w:rsidRPr="00F379DE">
        <w:rPr>
          <w:rFonts w:ascii="Arial" w:hAnsi="Arial" w:cs="Arial"/>
          <w:sz w:val="20"/>
          <w:szCs w:val="18"/>
        </w:rPr>
        <w:t>o</w:t>
      </w:r>
      <w:r w:rsidR="00AA247D" w:rsidRPr="00F379DE">
        <w:rPr>
          <w:rFonts w:ascii="Arial" w:hAnsi="Arial" w:cs="Arial"/>
          <w:sz w:val="20"/>
          <w:szCs w:val="18"/>
        </w:rPr>
        <w:t xml:space="preserve">ral preparations of </w:t>
      </w:r>
      <w:proofErr w:type="spellStart"/>
      <w:r w:rsidR="00AA247D" w:rsidRPr="00F379DE">
        <w:rPr>
          <w:rFonts w:ascii="Arial" w:hAnsi="Arial" w:cs="Arial"/>
          <w:sz w:val="20"/>
          <w:szCs w:val="18"/>
        </w:rPr>
        <w:t>astemizole</w:t>
      </w:r>
      <w:proofErr w:type="spellEnd"/>
      <w:r w:rsidR="00AA247D" w:rsidRPr="00F379DE">
        <w:rPr>
          <w:rFonts w:ascii="Arial" w:hAnsi="Arial" w:cs="Arial"/>
          <w:sz w:val="20"/>
          <w:szCs w:val="18"/>
        </w:rPr>
        <w:t xml:space="preserve">, azelastine, </w:t>
      </w:r>
      <w:proofErr w:type="spellStart"/>
      <w:r w:rsidR="00AA247D" w:rsidRPr="00F379DE">
        <w:rPr>
          <w:rFonts w:ascii="Arial" w:hAnsi="Arial" w:cs="Arial"/>
          <w:sz w:val="20"/>
          <w:szCs w:val="18"/>
        </w:rPr>
        <w:t>bilastine</w:t>
      </w:r>
      <w:proofErr w:type="spellEnd"/>
      <w:r w:rsidR="00AA247D" w:rsidRPr="00F379DE">
        <w:rPr>
          <w:rFonts w:ascii="Arial" w:hAnsi="Arial" w:cs="Arial"/>
          <w:sz w:val="20"/>
          <w:szCs w:val="18"/>
        </w:rPr>
        <w:t>, desloratadine, fexofenadine, loratadine, terfenadine or cetirizine;</w:t>
      </w:r>
    </w:p>
    <w:p w14:paraId="0CA41CC8" w14:textId="577AD2AE" w:rsidR="00A32EA5" w:rsidRPr="00F379DE" w:rsidRDefault="00FD2E05" w:rsidP="00AA247D">
      <w:pPr>
        <w:pStyle w:val="ListBulleta"/>
        <w:rPr>
          <w:rFonts w:ascii="Arial" w:hAnsi="Arial" w:cs="Arial"/>
          <w:sz w:val="20"/>
          <w:szCs w:val="18"/>
        </w:rPr>
      </w:pPr>
      <w:r w:rsidRPr="00F379DE">
        <w:rPr>
          <w:rFonts w:ascii="Arial" w:hAnsi="Arial" w:cs="Arial"/>
          <w:sz w:val="20"/>
          <w:szCs w:val="18"/>
        </w:rPr>
        <w:t>n</w:t>
      </w:r>
      <w:r w:rsidR="00AA247D" w:rsidRPr="00F379DE">
        <w:rPr>
          <w:rFonts w:ascii="Arial" w:hAnsi="Arial" w:cs="Arial"/>
          <w:sz w:val="20"/>
          <w:szCs w:val="18"/>
        </w:rPr>
        <w:t xml:space="preserve">asal preparations of azelastine </w:t>
      </w:r>
      <w:r w:rsidR="00AA247D" w:rsidRPr="00F379DE">
        <w:rPr>
          <w:rFonts w:ascii="Arial" w:hAnsi="Arial" w:cs="Arial"/>
          <w:color w:val="00B050"/>
          <w:sz w:val="20"/>
          <w:szCs w:val="18"/>
          <w:u w:val="single"/>
        </w:rPr>
        <w:t>or olopatadine</w:t>
      </w:r>
      <w:r w:rsidR="00AA247D" w:rsidRPr="00F379DE">
        <w:rPr>
          <w:rFonts w:ascii="Arial" w:hAnsi="Arial" w:cs="Arial"/>
          <w:sz w:val="20"/>
          <w:szCs w:val="18"/>
        </w:rPr>
        <w:t>;</w:t>
      </w:r>
    </w:p>
    <w:p w14:paraId="101419AE" w14:textId="4897CDE1" w:rsidR="00AA247D" w:rsidRPr="00F379DE" w:rsidRDefault="00FD2E05" w:rsidP="00AA247D">
      <w:pPr>
        <w:pStyle w:val="ListBulleta"/>
        <w:rPr>
          <w:rFonts w:ascii="Arial" w:hAnsi="Arial" w:cs="Arial"/>
          <w:sz w:val="20"/>
          <w:szCs w:val="18"/>
        </w:rPr>
      </w:pPr>
      <w:r w:rsidRPr="00F379DE">
        <w:rPr>
          <w:rFonts w:ascii="Arial" w:hAnsi="Arial" w:cs="Arial"/>
          <w:sz w:val="20"/>
          <w:szCs w:val="18"/>
        </w:rPr>
        <w:t>p</w:t>
      </w:r>
      <w:r w:rsidR="00AA247D" w:rsidRPr="00F379DE">
        <w:rPr>
          <w:rFonts w:ascii="Arial" w:hAnsi="Arial" w:cs="Arial"/>
          <w:sz w:val="20"/>
          <w:szCs w:val="18"/>
        </w:rPr>
        <w:t>reparations for the treatment of animals.</w:t>
      </w:r>
    </w:p>
    <w:p w14:paraId="507B5D80" w14:textId="77777777" w:rsidR="00685E72" w:rsidRDefault="00685E72" w:rsidP="00685E72">
      <w:pPr>
        <w:pStyle w:val="Heading4"/>
      </w:pPr>
      <w:bookmarkStart w:id="27" w:name="_Toc122614220"/>
      <w:bookmarkStart w:id="28" w:name="_Toc131604364"/>
      <w:r>
        <w:t>Background</w:t>
      </w:r>
      <w:bookmarkEnd w:id="27"/>
      <w:bookmarkEnd w:id="28"/>
    </w:p>
    <w:p w14:paraId="5D5DEF71" w14:textId="187B434B" w:rsidR="00A36B81" w:rsidRDefault="00A36B81" w:rsidP="00A36B81">
      <w:bookmarkStart w:id="29" w:name="_Toc122614221"/>
      <w:r>
        <w:t>Olopatadine is an antihistamine with mast</w:t>
      </w:r>
      <w:r w:rsidR="00B26B0D">
        <w:t xml:space="preserve"> </w:t>
      </w:r>
      <w:r>
        <w:t>cell</w:t>
      </w:r>
      <w:r w:rsidR="00B26B0D">
        <w:t>-</w:t>
      </w:r>
      <w:r>
        <w:t>stabilising properties that is used to reduce the allergic response in conditions such as allergic rhinitis and allergic conjunctivitis. The substance is used in an aqueous nasal spray in combination with the corticosteroid mometasone</w:t>
      </w:r>
      <w:r w:rsidR="00AA4EF4">
        <w:t>,</w:t>
      </w:r>
      <w:r>
        <w:t xml:space="preserve"> which is a Schedule 2 medicine for this presentation and purpose. The combination product is currently a prescription-only medicine due to the presence of olopatadine.</w:t>
      </w:r>
    </w:p>
    <w:p w14:paraId="62431C4E" w14:textId="4A8B4EE1" w:rsidR="00685E72" w:rsidRDefault="00685E72" w:rsidP="00685E72">
      <w:pPr>
        <w:pStyle w:val="Heading4"/>
      </w:pPr>
      <w:bookmarkStart w:id="30" w:name="_Toc131604365"/>
      <w:r>
        <w:t>Summary of applicant’s reasons for the proposal</w:t>
      </w:r>
      <w:bookmarkEnd w:id="29"/>
      <w:bookmarkEnd w:id="30"/>
    </w:p>
    <w:p w14:paraId="42D3B7E4" w14:textId="3B970606" w:rsidR="00D85C8B" w:rsidRDefault="00D85C8B" w:rsidP="00D85C8B">
      <w:pPr>
        <w:pStyle w:val="ListBullet"/>
      </w:pPr>
      <w:bookmarkStart w:id="31" w:name="_Toc122614222"/>
      <w:r>
        <w:t>Allergic rhinitis is among the most common chronic diseases, affecting approximately 4.7 million Australians, and has a major negative impact on the quality of life of patients living in Australia.</w:t>
      </w:r>
    </w:p>
    <w:p w14:paraId="2BCEDB70" w14:textId="5060F4A3" w:rsidR="00D85C8B" w:rsidRDefault="00795F66" w:rsidP="00D85C8B">
      <w:pPr>
        <w:pStyle w:val="ListBullet"/>
      </w:pPr>
      <w:r>
        <w:t>P</w:t>
      </w:r>
      <w:r w:rsidRPr="00795F66">
        <w:t>eople with allergic rhinitis have a higher chance of going on to develop asthma as well as other chronic complications including sinusitis, hearing impairment and other allergy-related conditions. Uncontrolled seasonal allergic rhinitis is a condition that can place a substantial burden on patients and society</w:t>
      </w:r>
      <w:r>
        <w:t xml:space="preserve"> but can be effectively managed through appropriate use of medications.</w:t>
      </w:r>
    </w:p>
    <w:p w14:paraId="51AC0C4E" w14:textId="51DD8888" w:rsidR="00795F66" w:rsidRDefault="00795F66" w:rsidP="00D85C8B">
      <w:pPr>
        <w:pStyle w:val="ListBullet"/>
      </w:pPr>
      <w:r>
        <w:t>Combination antihistamine and corticosteroid nasal sprays are recommended by the Australasian Society of Clinical Immunology and Allergy (ASCIA) as one of the first line treatment options, providing both rapid symptomatic relief and anti-inflammatory effects.</w:t>
      </w:r>
    </w:p>
    <w:p w14:paraId="3ACBB06F" w14:textId="4A92581E" w:rsidR="00795F66" w:rsidRDefault="00795F66" w:rsidP="00D85C8B">
      <w:pPr>
        <w:pStyle w:val="ListBullet"/>
      </w:pPr>
      <w:r>
        <w:t>Olopatadine is a Schedule 4 medicine</w:t>
      </w:r>
      <w:r w:rsidR="00FA2828">
        <w:t xml:space="preserve"> that has previously been evaluated by the TGA, however meets the scheduling factors for Schedule 2 due to ready identification of the symptoms of the conditions for which is it used to treat, with low potential for harm from inappropriate use and low </w:t>
      </w:r>
      <w:r w:rsidR="00FA2828">
        <w:lastRenderedPageBreak/>
        <w:t>likelihood of producing dependency. These assessments are backed by data already available from the evaluation of the prescription-only fixed dose combination product.</w:t>
      </w:r>
    </w:p>
    <w:p w14:paraId="3082CF3E" w14:textId="7539BB4F" w:rsidR="00685E72" w:rsidRDefault="00685E72" w:rsidP="00685E72">
      <w:pPr>
        <w:pStyle w:val="Heading4"/>
      </w:pPr>
      <w:bookmarkStart w:id="32" w:name="_Toc131604366"/>
      <w:r>
        <w:t>Key uses / expected use</w:t>
      </w:r>
      <w:bookmarkEnd w:id="31"/>
      <w:bookmarkEnd w:id="32"/>
    </w:p>
    <w:p w14:paraId="25554130" w14:textId="3647F81B" w:rsidR="00685E72" w:rsidRDefault="00685E72" w:rsidP="00685E72">
      <w:r w:rsidRPr="00FA2828">
        <w:t>Medicines</w:t>
      </w:r>
    </w:p>
    <w:p w14:paraId="52B282BD" w14:textId="77777777" w:rsidR="00685E72" w:rsidRDefault="00685E72" w:rsidP="00685E72">
      <w:pPr>
        <w:pStyle w:val="Heading4"/>
      </w:pPr>
      <w:bookmarkStart w:id="33" w:name="_Toc122614223"/>
      <w:bookmarkStart w:id="34" w:name="_Toc131604367"/>
      <w:r>
        <w:t>Australian regulations</w:t>
      </w:r>
      <w:bookmarkEnd w:id="33"/>
      <w:bookmarkEnd w:id="34"/>
    </w:p>
    <w:p w14:paraId="2E4B34F1" w14:textId="39D77192" w:rsidR="006E4A7C" w:rsidRPr="00F379DE" w:rsidRDefault="006E4A7C" w:rsidP="0055048F">
      <w:pPr>
        <w:pStyle w:val="ListBullet"/>
        <w:rPr>
          <w:rFonts w:cs="Arial"/>
        </w:rPr>
      </w:pPr>
      <w:r w:rsidRPr="00F379DE">
        <w:rPr>
          <w:rFonts w:cs="Arial"/>
        </w:rPr>
        <w:t xml:space="preserve">As of March 2023, there were 5 medicines currently active on the </w:t>
      </w:r>
      <w:hyperlink r:id="rId37" w:history="1">
        <w:r w:rsidRPr="00F379DE">
          <w:rPr>
            <w:rStyle w:val="Hyperlink"/>
            <w:rFonts w:cs="Arial"/>
          </w:rPr>
          <w:t>Australian Register of Therapeutic Goods (ARTG)</w:t>
        </w:r>
      </w:hyperlink>
      <w:r w:rsidRPr="00F379DE">
        <w:rPr>
          <w:rStyle w:val="FootnoteReference"/>
          <w:rFonts w:cs="Arial"/>
        </w:rPr>
        <w:footnoteReference w:id="15"/>
      </w:r>
      <w:r w:rsidRPr="00F379DE">
        <w:rPr>
          <w:rFonts w:cs="Arial"/>
        </w:rPr>
        <w:t xml:space="preserve"> that contain olopatadine </w:t>
      </w:r>
      <w:r w:rsidR="00D52FBE" w:rsidRPr="00F379DE">
        <w:rPr>
          <w:rFonts w:cs="Arial"/>
        </w:rPr>
        <w:t xml:space="preserve">(as hydrochloride) </w:t>
      </w:r>
      <w:r w:rsidRPr="00F379DE">
        <w:rPr>
          <w:rFonts w:cs="Arial"/>
        </w:rPr>
        <w:t>as an active ingredient. All are prescription medicines.</w:t>
      </w:r>
      <w:r w:rsidR="007E4263" w:rsidRPr="00F379DE">
        <w:rPr>
          <w:rFonts w:cs="Arial"/>
        </w:rPr>
        <w:t xml:space="preserve"> Of the 5 medicines, </w:t>
      </w:r>
      <w:r w:rsidR="007933CD" w:rsidRPr="00F379DE">
        <w:rPr>
          <w:rFonts w:cs="Arial"/>
        </w:rPr>
        <w:t xml:space="preserve">only one product, </w:t>
      </w:r>
      <w:r w:rsidR="0055048F" w:rsidRPr="00F379DE">
        <w:rPr>
          <w:rFonts w:cs="Arial"/>
        </w:rPr>
        <w:t>RYALTRIS</w:t>
      </w:r>
      <w:r w:rsidR="007933CD" w:rsidRPr="00F379DE">
        <w:rPr>
          <w:rFonts w:cs="Arial"/>
        </w:rPr>
        <w:t>,</w:t>
      </w:r>
      <w:r w:rsidR="0055048F" w:rsidRPr="00F379DE">
        <w:rPr>
          <w:rFonts w:cs="Arial"/>
        </w:rPr>
        <w:t xml:space="preserve"> </w:t>
      </w:r>
      <w:r w:rsidR="007933CD" w:rsidRPr="00F379DE">
        <w:rPr>
          <w:rFonts w:cs="Arial"/>
        </w:rPr>
        <w:t>meets the requirements of the proposed Schedule 2 entry. RYALTRIS is a</w:t>
      </w:r>
      <w:r w:rsidR="004515C6" w:rsidRPr="00F379DE">
        <w:rPr>
          <w:rFonts w:cs="Arial"/>
        </w:rPr>
        <w:t>n</w:t>
      </w:r>
      <w:r w:rsidR="007933CD" w:rsidRPr="00F379DE">
        <w:rPr>
          <w:rFonts w:cs="Arial"/>
        </w:rPr>
        <w:t xml:space="preserve"> olopatadine 600 microgram/actuation and mometasone furoate 25 microgram/actuation nasal spray for the treatment of symptoms associated with allergic rhinitis and </w:t>
      </w:r>
      <w:proofErr w:type="spellStart"/>
      <w:r w:rsidR="007933CD" w:rsidRPr="00F379DE">
        <w:rPr>
          <w:rFonts w:cs="Arial"/>
        </w:rPr>
        <w:t>rhinoconjunctivitis</w:t>
      </w:r>
      <w:proofErr w:type="spellEnd"/>
      <w:r w:rsidR="007933CD" w:rsidRPr="00F379DE">
        <w:rPr>
          <w:rFonts w:cs="Arial"/>
        </w:rPr>
        <w:t xml:space="preserve"> in patients 6 years of age and older, with a</w:t>
      </w:r>
      <w:r w:rsidR="0055048F" w:rsidRPr="00F379DE">
        <w:rPr>
          <w:rFonts w:cs="Arial"/>
        </w:rPr>
        <w:t xml:space="preserve"> recommended dosage </w:t>
      </w:r>
      <w:r w:rsidR="007933CD" w:rsidRPr="00F379DE">
        <w:rPr>
          <w:rFonts w:cs="Arial"/>
        </w:rPr>
        <w:t>of</w:t>
      </w:r>
      <w:r w:rsidR="0055048F" w:rsidRPr="00F379DE">
        <w:rPr>
          <w:rFonts w:cs="Arial"/>
        </w:rPr>
        <w:t xml:space="preserve"> 2 sprays in each nostril twice daily for adults and adolescents (</w:t>
      </w:r>
      <w:r w:rsidR="007933CD" w:rsidRPr="00F379DE">
        <w:rPr>
          <w:rFonts w:cs="Arial"/>
        </w:rPr>
        <w:t>4800 microgram daily dose)</w:t>
      </w:r>
      <w:r w:rsidR="0055048F" w:rsidRPr="00F379DE">
        <w:rPr>
          <w:rFonts w:cs="Arial"/>
        </w:rPr>
        <w:t xml:space="preserve">. </w:t>
      </w:r>
      <w:r w:rsidR="007933CD" w:rsidRPr="00F379DE">
        <w:rPr>
          <w:rFonts w:cs="Arial"/>
        </w:rPr>
        <w:t>The other 4 medicines are eye drop formulations for treatment of the signs and symptoms of seasonal allergic conjunctivitis. However, the proposal is not congruent with the age indication for the product.</w:t>
      </w:r>
    </w:p>
    <w:p w14:paraId="356A7D2A" w14:textId="135D6F7A" w:rsidR="00685E72" w:rsidRPr="00F379DE" w:rsidRDefault="00685E72" w:rsidP="006F56C7">
      <w:pPr>
        <w:pStyle w:val="ListBullet"/>
        <w:rPr>
          <w:rFonts w:cs="Arial"/>
        </w:rPr>
      </w:pPr>
      <w:r w:rsidRPr="00F379DE">
        <w:rPr>
          <w:rFonts w:cs="Arial"/>
        </w:rPr>
        <w:t xml:space="preserve">According to the </w:t>
      </w:r>
      <w:hyperlink r:id="rId38" w:history="1">
        <w:r w:rsidRPr="00F379DE">
          <w:rPr>
            <w:rStyle w:val="Hyperlink"/>
            <w:rFonts w:cs="Arial"/>
          </w:rPr>
          <w:t>TGA Ingredient Database</w:t>
        </w:r>
      </w:hyperlink>
      <w:r w:rsidRPr="00F379DE">
        <w:rPr>
          <w:rFonts w:cs="Arial"/>
        </w:rPr>
        <w:t>,</w:t>
      </w:r>
      <w:r w:rsidRPr="00F379DE">
        <w:rPr>
          <w:rStyle w:val="FootnoteReference"/>
          <w:rFonts w:cs="Arial"/>
        </w:rPr>
        <w:footnoteReference w:id="16"/>
      </w:r>
      <w:r w:rsidRPr="00F379DE">
        <w:rPr>
          <w:rFonts w:cs="Arial"/>
        </w:rPr>
        <w:t xml:space="preserve"> </w:t>
      </w:r>
      <w:r w:rsidR="00FA2828" w:rsidRPr="00F379DE">
        <w:rPr>
          <w:rFonts w:cs="Arial"/>
        </w:rPr>
        <w:t>olopatadine</w:t>
      </w:r>
      <w:r w:rsidR="00D52FBE" w:rsidRPr="00F379DE">
        <w:rPr>
          <w:rFonts w:cs="Arial"/>
        </w:rPr>
        <w:t xml:space="preserve"> hydrochloride</w:t>
      </w:r>
      <w:r w:rsidR="00FA2828" w:rsidRPr="00F379DE">
        <w:rPr>
          <w:rFonts w:cs="Arial"/>
        </w:rPr>
        <w:t xml:space="preserve"> </w:t>
      </w:r>
      <w:r w:rsidRPr="00F379DE">
        <w:rPr>
          <w:rFonts w:cs="Arial"/>
        </w:rPr>
        <w:t>is:</w:t>
      </w:r>
    </w:p>
    <w:p w14:paraId="39E6D48B" w14:textId="6F0114D7" w:rsidR="006F56C7" w:rsidRPr="00F379DE" w:rsidRDefault="006F56C7" w:rsidP="006F56C7">
      <w:pPr>
        <w:pStyle w:val="ListBullet2"/>
        <w:rPr>
          <w:rFonts w:cs="Arial"/>
        </w:rPr>
      </w:pPr>
      <w:r w:rsidRPr="00F379DE">
        <w:rPr>
          <w:rFonts w:cs="Arial"/>
        </w:rPr>
        <w:t>Available for use as an Active Ingredient in Biologicals, Export Only and Prescription Medicines;</w:t>
      </w:r>
    </w:p>
    <w:p w14:paraId="761D10F6" w14:textId="2486BB6C" w:rsidR="006F56C7" w:rsidRPr="00F379DE" w:rsidRDefault="006F56C7" w:rsidP="006F56C7">
      <w:pPr>
        <w:pStyle w:val="ListBullet2"/>
        <w:rPr>
          <w:rFonts w:cs="Arial"/>
        </w:rPr>
      </w:pPr>
      <w:r w:rsidRPr="00F379DE">
        <w:rPr>
          <w:rFonts w:cs="Arial"/>
        </w:rPr>
        <w:t>Available for use as an Excipient Ingredient in Biologicals, Devices and Prescription Medicines;</w:t>
      </w:r>
    </w:p>
    <w:p w14:paraId="5FD0E15E" w14:textId="55EF80BA" w:rsidR="006F56C7" w:rsidRPr="00F379DE" w:rsidRDefault="006F56C7" w:rsidP="006F56C7">
      <w:pPr>
        <w:pStyle w:val="ListBullet2"/>
        <w:rPr>
          <w:rFonts w:cs="Arial"/>
        </w:rPr>
      </w:pPr>
      <w:r w:rsidRPr="00F379DE">
        <w:rPr>
          <w:rFonts w:cs="Arial"/>
        </w:rPr>
        <w:t xml:space="preserve">Not available as an Equivalent Ingredient in any </w:t>
      </w:r>
      <w:r w:rsidR="00E2510F" w:rsidRPr="00F379DE">
        <w:rPr>
          <w:rFonts w:cs="Arial"/>
        </w:rPr>
        <w:t>therapeutic good</w:t>
      </w:r>
      <w:r w:rsidRPr="00F379DE">
        <w:rPr>
          <w:rFonts w:cs="Arial"/>
        </w:rPr>
        <w:t>.</w:t>
      </w:r>
    </w:p>
    <w:p w14:paraId="758D9561" w14:textId="7249546D" w:rsidR="00D52FBE" w:rsidRPr="00F379DE" w:rsidRDefault="00D52FBE" w:rsidP="00D52FBE">
      <w:pPr>
        <w:pStyle w:val="ListBullet2"/>
        <w:rPr>
          <w:rFonts w:cs="Arial"/>
        </w:rPr>
      </w:pPr>
      <w:r w:rsidRPr="00F379DE">
        <w:rPr>
          <w:rFonts w:cs="Arial"/>
        </w:rPr>
        <w:t xml:space="preserve">Olopatadine (not as hydrochloride) is available for use Active Ingredient in Biologicals and Prescription Medicines; not available as an Excipient Ingredient in any application; and available for use as an Equivalent Ingredient in Prescription Medicines. </w:t>
      </w:r>
    </w:p>
    <w:p w14:paraId="50172056" w14:textId="3593E1D9" w:rsidR="00685E72" w:rsidRPr="00F379DE" w:rsidRDefault="000218A3" w:rsidP="000218A3">
      <w:pPr>
        <w:pStyle w:val="ListBullet"/>
        <w:rPr>
          <w:rFonts w:cs="Arial"/>
        </w:rPr>
      </w:pPr>
      <w:r w:rsidRPr="00F379DE">
        <w:rPr>
          <w:rFonts w:cs="Arial"/>
        </w:rPr>
        <w:t>Olopatadine</w:t>
      </w:r>
      <w:r w:rsidR="00685E72" w:rsidRPr="00F379DE">
        <w:rPr>
          <w:rFonts w:cs="Arial"/>
        </w:rPr>
        <w:t xml:space="preserve"> is not permitted to be included in listed medicines as it is not included in the </w:t>
      </w:r>
      <w:hyperlink r:id="rId39" w:history="1">
        <w:r w:rsidR="00685E72" w:rsidRPr="00F379DE">
          <w:rPr>
            <w:rStyle w:val="Hyperlink"/>
            <w:rFonts w:cs="Arial"/>
          </w:rPr>
          <w:t>Therapeutic Goods (Permissible Ingredients) Determination</w:t>
        </w:r>
      </w:hyperlink>
      <w:r w:rsidR="00685E72" w:rsidRPr="00F379DE">
        <w:rPr>
          <w:rStyle w:val="FootnoteReference"/>
          <w:rFonts w:cs="Arial"/>
        </w:rPr>
        <w:footnoteReference w:id="17"/>
      </w:r>
      <w:r w:rsidR="00685E72" w:rsidRPr="00F379DE">
        <w:rPr>
          <w:rFonts w:cs="Arial"/>
        </w:rPr>
        <w:t xml:space="preserve"> No.</w:t>
      </w:r>
      <w:r w:rsidRPr="00F379DE">
        <w:rPr>
          <w:rFonts w:cs="Arial"/>
        </w:rPr>
        <w:t>1</w:t>
      </w:r>
      <w:r w:rsidR="00685E72" w:rsidRPr="00F379DE">
        <w:rPr>
          <w:rFonts w:cs="Arial"/>
        </w:rPr>
        <w:t xml:space="preserve"> of 20</w:t>
      </w:r>
      <w:r w:rsidRPr="00F379DE">
        <w:rPr>
          <w:rFonts w:cs="Arial"/>
        </w:rPr>
        <w:t>23</w:t>
      </w:r>
      <w:r w:rsidR="00685E72" w:rsidRPr="00F379DE">
        <w:rPr>
          <w:rFonts w:cs="Arial"/>
        </w:rPr>
        <w:t xml:space="preserve">. </w:t>
      </w:r>
    </w:p>
    <w:p w14:paraId="22406806" w14:textId="08DB9095" w:rsidR="00685E72" w:rsidRPr="00F379DE" w:rsidRDefault="00685E72" w:rsidP="00685E72">
      <w:pPr>
        <w:pStyle w:val="ListBullet"/>
        <w:keepNext/>
        <w:keepLines/>
        <w:rPr>
          <w:rFonts w:cs="Arial"/>
        </w:rPr>
      </w:pPr>
      <w:r w:rsidRPr="00F379DE">
        <w:rPr>
          <w:rFonts w:cs="Arial"/>
        </w:rPr>
        <w:t xml:space="preserve">The </w:t>
      </w:r>
      <w:hyperlink r:id="rId40" w:history="1">
        <w:r w:rsidRPr="00F379DE">
          <w:rPr>
            <w:rStyle w:val="Hyperlink"/>
            <w:rFonts w:cs="Arial"/>
          </w:rPr>
          <w:t>TGA prescribing medicines in pregnancy database</w:t>
        </w:r>
      </w:hyperlink>
      <w:r w:rsidRPr="00F379DE">
        <w:rPr>
          <w:rStyle w:val="FootnoteReference"/>
          <w:rFonts w:cs="Arial"/>
        </w:rPr>
        <w:footnoteReference w:id="18"/>
      </w:r>
      <w:r w:rsidRPr="00F379DE">
        <w:rPr>
          <w:rFonts w:cs="Arial"/>
        </w:rPr>
        <w:t xml:space="preserve"> classifies </w:t>
      </w:r>
      <w:r w:rsidR="000218A3" w:rsidRPr="00F379DE">
        <w:rPr>
          <w:rFonts w:cs="Arial"/>
        </w:rPr>
        <w:t>olopatadine</w:t>
      </w:r>
      <w:r w:rsidRPr="00F379DE">
        <w:rPr>
          <w:rFonts w:cs="Arial"/>
        </w:rPr>
        <w:t xml:space="preserve"> as:</w:t>
      </w:r>
    </w:p>
    <w:tbl>
      <w:tblPr>
        <w:tblStyle w:val="TableTGAblue"/>
        <w:tblW w:w="8670" w:type="dxa"/>
        <w:tblInd w:w="392" w:type="dxa"/>
        <w:tblLook w:val="04A0" w:firstRow="1" w:lastRow="0" w:firstColumn="1" w:lastColumn="0" w:noHBand="0" w:noVBand="1"/>
      </w:tblPr>
      <w:tblGrid>
        <w:gridCol w:w="1607"/>
        <w:gridCol w:w="1110"/>
        <w:gridCol w:w="1984"/>
        <w:gridCol w:w="1985"/>
        <w:gridCol w:w="1984"/>
      </w:tblGrid>
      <w:tr w:rsidR="00685E72" w:rsidRPr="00676BCE" w14:paraId="760899A0" w14:textId="77777777" w:rsidTr="00676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BE36D6C" w14:textId="77777777" w:rsidR="00685E72" w:rsidRPr="00F379DE" w:rsidRDefault="00685E72" w:rsidP="000218A3">
            <w:pPr>
              <w:keepLines/>
              <w:spacing w:before="60" w:after="60"/>
              <w:rPr>
                <w:rFonts w:cs="Arial"/>
                <w:sz w:val="20"/>
                <w:szCs w:val="20"/>
              </w:rPr>
            </w:pPr>
            <w:r w:rsidRPr="00F379DE">
              <w:rPr>
                <w:rFonts w:cs="Arial"/>
                <w:sz w:val="20"/>
                <w:szCs w:val="20"/>
              </w:rPr>
              <w:t>Drug name</w:t>
            </w:r>
          </w:p>
        </w:tc>
        <w:tc>
          <w:tcPr>
            <w:tcW w:w="1110" w:type="dxa"/>
          </w:tcPr>
          <w:p w14:paraId="7EE98765" w14:textId="77777777" w:rsidR="00685E72" w:rsidRPr="00F379DE" w:rsidRDefault="00685E72" w:rsidP="000218A3">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Category</w:t>
            </w:r>
          </w:p>
        </w:tc>
        <w:tc>
          <w:tcPr>
            <w:tcW w:w="1984" w:type="dxa"/>
          </w:tcPr>
          <w:p w14:paraId="5FFC329D" w14:textId="77777777" w:rsidR="00685E72" w:rsidRPr="00F379DE" w:rsidRDefault="00685E72" w:rsidP="000218A3">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Classification Level 1</w:t>
            </w:r>
          </w:p>
        </w:tc>
        <w:tc>
          <w:tcPr>
            <w:tcW w:w="1985" w:type="dxa"/>
          </w:tcPr>
          <w:p w14:paraId="692E93DD" w14:textId="77777777" w:rsidR="00685E72" w:rsidRPr="00F379DE" w:rsidRDefault="00685E72" w:rsidP="000218A3">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Classification Level 2</w:t>
            </w:r>
          </w:p>
        </w:tc>
        <w:tc>
          <w:tcPr>
            <w:tcW w:w="1984" w:type="dxa"/>
          </w:tcPr>
          <w:p w14:paraId="3AEB7587" w14:textId="77777777" w:rsidR="00685E72" w:rsidRPr="00F379DE" w:rsidRDefault="00685E72" w:rsidP="000218A3">
            <w:pPr>
              <w:keepLines/>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Classification Level 3</w:t>
            </w:r>
          </w:p>
        </w:tc>
      </w:tr>
      <w:tr w:rsidR="00685E72" w:rsidRPr="00676BCE" w14:paraId="2CE8D30A" w14:textId="77777777" w:rsidTr="00676BCE">
        <w:tc>
          <w:tcPr>
            <w:cnfStyle w:val="001000000000" w:firstRow="0" w:lastRow="0" w:firstColumn="1" w:lastColumn="0" w:oddVBand="0" w:evenVBand="0" w:oddHBand="0" w:evenHBand="0" w:firstRowFirstColumn="0" w:firstRowLastColumn="0" w:lastRowFirstColumn="0" w:lastRowLastColumn="0"/>
            <w:tcW w:w="1607" w:type="dxa"/>
          </w:tcPr>
          <w:p w14:paraId="42FA8A4F" w14:textId="03AEF09B" w:rsidR="00685E72" w:rsidRPr="00F379DE" w:rsidRDefault="000218A3" w:rsidP="000218A3">
            <w:pPr>
              <w:keepNext/>
              <w:keepLines/>
              <w:spacing w:before="60" w:after="60"/>
              <w:rPr>
                <w:rFonts w:cs="Arial"/>
                <w:sz w:val="20"/>
                <w:szCs w:val="20"/>
              </w:rPr>
            </w:pPr>
            <w:r w:rsidRPr="00F379DE">
              <w:rPr>
                <w:rFonts w:cs="Arial"/>
                <w:sz w:val="20"/>
                <w:szCs w:val="20"/>
              </w:rPr>
              <w:t>Olopatadine</w:t>
            </w:r>
          </w:p>
        </w:tc>
        <w:tc>
          <w:tcPr>
            <w:tcW w:w="1110" w:type="dxa"/>
          </w:tcPr>
          <w:p w14:paraId="2098C3DB" w14:textId="53BAF231" w:rsidR="00685E72" w:rsidRPr="00F379DE" w:rsidRDefault="000218A3" w:rsidP="000218A3">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B1</w:t>
            </w:r>
          </w:p>
        </w:tc>
        <w:tc>
          <w:tcPr>
            <w:tcW w:w="1984" w:type="dxa"/>
          </w:tcPr>
          <w:p w14:paraId="1F9E6328" w14:textId="26FD076C" w:rsidR="00685E72" w:rsidRPr="00F379DE" w:rsidRDefault="000218A3" w:rsidP="000218A3">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Ophthalmic Drugs</w:t>
            </w:r>
          </w:p>
        </w:tc>
        <w:tc>
          <w:tcPr>
            <w:tcW w:w="1985" w:type="dxa"/>
          </w:tcPr>
          <w:p w14:paraId="1A4EAAA8" w14:textId="0FC94C92" w:rsidR="00685E72" w:rsidRPr="00F379DE" w:rsidRDefault="00D52FBE" w:rsidP="000218A3">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w:t>
            </w:r>
          </w:p>
        </w:tc>
        <w:tc>
          <w:tcPr>
            <w:tcW w:w="1984" w:type="dxa"/>
          </w:tcPr>
          <w:p w14:paraId="56F5C08D" w14:textId="388B3995" w:rsidR="00685E72" w:rsidRPr="00F379DE" w:rsidRDefault="00D52FBE" w:rsidP="000218A3">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F379DE">
              <w:rPr>
                <w:rFonts w:cs="Arial"/>
                <w:sz w:val="20"/>
                <w:szCs w:val="20"/>
              </w:rPr>
              <w:t>-</w:t>
            </w:r>
          </w:p>
        </w:tc>
      </w:tr>
      <w:tr w:rsidR="00685E72" w:rsidRPr="00676BCE" w14:paraId="664F96ED" w14:textId="77777777" w:rsidTr="0046377D">
        <w:tc>
          <w:tcPr>
            <w:cnfStyle w:val="001000000000" w:firstRow="0" w:lastRow="0" w:firstColumn="1" w:lastColumn="0" w:oddVBand="0" w:evenVBand="0" w:oddHBand="0" w:evenHBand="0" w:firstRowFirstColumn="0" w:firstRowLastColumn="0" w:lastRowFirstColumn="0" w:lastRowLastColumn="0"/>
            <w:tcW w:w="8670" w:type="dxa"/>
            <w:gridSpan w:val="5"/>
          </w:tcPr>
          <w:p w14:paraId="239E9973" w14:textId="77777777" w:rsidR="00685E72" w:rsidRPr="00F379DE" w:rsidRDefault="00685E72" w:rsidP="000218A3">
            <w:pPr>
              <w:keepNext/>
              <w:keepLines/>
              <w:spacing w:before="60" w:after="60"/>
              <w:rPr>
                <w:rFonts w:cs="Arial"/>
                <w:sz w:val="16"/>
                <w:szCs w:val="16"/>
              </w:rPr>
            </w:pPr>
            <w:r w:rsidRPr="00F379DE">
              <w:rPr>
                <w:rFonts w:cs="Arial"/>
                <w:b/>
                <w:sz w:val="16"/>
                <w:szCs w:val="16"/>
              </w:rPr>
              <w:t>Category B1</w:t>
            </w:r>
            <w:r w:rsidRPr="00F379DE">
              <w:rPr>
                <w:rFonts w:cs="Arial"/>
                <w:sz w:val="16"/>
                <w:szCs w:val="16"/>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73462D95" w14:textId="07DF7297" w:rsidR="00685E72" w:rsidRPr="00F379DE" w:rsidRDefault="00685E72" w:rsidP="000218A3">
            <w:pPr>
              <w:keepNext/>
              <w:keepLines/>
              <w:spacing w:before="60" w:after="60"/>
              <w:rPr>
                <w:rFonts w:cs="Arial"/>
                <w:sz w:val="20"/>
              </w:rPr>
            </w:pPr>
            <w:r w:rsidRPr="00F379DE">
              <w:rPr>
                <w:rFonts w:cs="Arial"/>
                <w:sz w:val="16"/>
                <w:szCs w:val="16"/>
              </w:rPr>
              <w:t>Studies in animals have not shown evidence of an increased occurrence of foetal damage.</w:t>
            </w:r>
          </w:p>
        </w:tc>
      </w:tr>
    </w:tbl>
    <w:p w14:paraId="232C8E9B" w14:textId="42AD4C18" w:rsidR="00685E72" w:rsidRPr="00F379DE" w:rsidRDefault="00685E72" w:rsidP="00685E72">
      <w:pPr>
        <w:pStyle w:val="ListBullet"/>
        <w:rPr>
          <w:rFonts w:cs="Arial"/>
        </w:rPr>
      </w:pPr>
      <w:r w:rsidRPr="00F379DE">
        <w:rPr>
          <w:rFonts w:cs="Arial"/>
        </w:rPr>
        <w:t xml:space="preserve">There are no warning statements pertaining to </w:t>
      </w:r>
      <w:r w:rsidR="000218A3" w:rsidRPr="00F379DE">
        <w:rPr>
          <w:rFonts w:cs="Arial"/>
        </w:rPr>
        <w:t>olopatadine</w:t>
      </w:r>
      <w:r w:rsidRPr="00F379DE">
        <w:rPr>
          <w:rFonts w:cs="Arial"/>
        </w:rPr>
        <w:t xml:space="preserve"> in the </w:t>
      </w:r>
      <w:hyperlink r:id="rId41" w:history="1">
        <w:r w:rsidRPr="00F379DE">
          <w:rPr>
            <w:rStyle w:val="Hyperlink"/>
            <w:rFonts w:cs="Arial"/>
          </w:rPr>
          <w:t>Therapeutic Goods (Medicines Advisory Statements) Specification 2021</w:t>
        </w:r>
      </w:hyperlink>
      <w:r w:rsidR="00CD5417" w:rsidRPr="00F379DE">
        <w:rPr>
          <w:rStyle w:val="Hyperlink"/>
          <w:rFonts w:cs="Arial"/>
          <w:color w:val="auto"/>
          <w:u w:val="none"/>
        </w:rPr>
        <w:t>.</w:t>
      </w:r>
      <w:r w:rsidRPr="00F379DE">
        <w:rPr>
          <w:rStyle w:val="FootnoteReference"/>
          <w:rFonts w:cs="Arial"/>
        </w:rPr>
        <w:footnoteReference w:id="19"/>
      </w:r>
    </w:p>
    <w:p w14:paraId="14C82318" w14:textId="2F36A6DA" w:rsidR="00685E72" w:rsidRPr="00F379DE" w:rsidRDefault="00CD5417" w:rsidP="00E02FCC">
      <w:pPr>
        <w:pStyle w:val="ListBullet"/>
        <w:rPr>
          <w:rFonts w:cs="Arial"/>
        </w:rPr>
      </w:pPr>
      <w:r w:rsidRPr="00F379DE">
        <w:rPr>
          <w:rFonts w:cs="Arial"/>
        </w:rPr>
        <w:t>Between January 2013 and March 2023</w:t>
      </w:r>
      <w:r w:rsidR="00685E72" w:rsidRPr="00F379DE">
        <w:rPr>
          <w:rFonts w:cs="Arial"/>
        </w:rPr>
        <w:t xml:space="preserve">, there were </w:t>
      </w:r>
      <w:r w:rsidRPr="00F379DE">
        <w:rPr>
          <w:rFonts w:cs="Arial"/>
        </w:rPr>
        <w:t>10</w:t>
      </w:r>
      <w:r w:rsidR="00685E72" w:rsidRPr="00F379DE">
        <w:rPr>
          <w:rFonts w:cs="Arial"/>
        </w:rPr>
        <w:t xml:space="preserve"> reports of adverse events for products containing </w:t>
      </w:r>
      <w:r w:rsidRPr="00F379DE">
        <w:rPr>
          <w:rFonts w:cs="Arial"/>
        </w:rPr>
        <w:t xml:space="preserve">olopatadine </w:t>
      </w:r>
      <w:r w:rsidR="00685E72" w:rsidRPr="00F379DE">
        <w:rPr>
          <w:rFonts w:cs="Arial"/>
        </w:rPr>
        <w:t xml:space="preserve">as an active ingredient on the </w:t>
      </w:r>
      <w:hyperlink r:id="rId42" w:history="1">
        <w:r w:rsidR="00685E72" w:rsidRPr="00F379DE">
          <w:rPr>
            <w:rStyle w:val="Hyperlink"/>
            <w:rFonts w:cs="Arial"/>
          </w:rPr>
          <w:t xml:space="preserve">Database of Adverse Event Notifications </w:t>
        </w:r>
        <w:r w:rsidR="00685E72" w:rsidRPr="00F379DE">
          <w:rPr>
            <w:rStyle w:val="Hyperlink"/>
            <w:rFonts w:cs="Arial"/>
          </w:rPr>
          <w:lastRenderedPageBreak/>
          <w:t>(DAEN)</w:t>
        </w:r>
      </w:hyperlink>
      <w:r w:rsidR="00685E72" w:rsidRPr="00F379DE">
        <w:rPr>
          <w:rFonts w:cs="Arial"/>
        </w:rPr>
        <w:t>,</w:t>
      </w:r>
      <w:r w:rsidR="00685E72" w:rsidRPr="00F379DE">
        <w:rPr>
          <w:rStyle w:val="FootnoteReference"/>
          <w:rFonts w:cs="Arial"/>
        </w:rPr>
        <w:footnoteReference w:id="20"/>
      </w:r>
      <w:r w:rsidR="00685E72" w:rsidRPr="00F379DE">
        <w:rPr>
          <w:rFonts w:cs="Arial"/>
        </w:rPr>
        <w:t xml:space="preserve"> with </w:t>
      </w:r>
      <w:r w:rsidRPr="00F379DE">
        <w:rPr>
          <w:rFonts w:cs="Arial"/>
        </w:rPr>
        <w:t>7</w:t>
      </w:r>
      <w:r w:rsidR="00685E72" w:rsidRPr="00F379DE">
        <w:rPr>
          <w:rFonts w:cs="Arial"/>
        </w:rPr>
        <w:t xml:space="preserve"> reports where </w:t>
      </w:r>
      <w:r w:rsidRPr="00F379DE">
        <w:rPr>
          <w:rFonts w:cs="Arial"/>
        </w:rPr>
        <w:t>olopatadine</w:t>
      </w:r>
      <w:r w:rsidR="00685E72" w:rsidRPr="00F379DE">
        <w:rPr>
          <w:rFonts w:cs="Arial"/>
        </w:rPr>
        <w:t xml:space="preserve"> was the single suspected medicine.</w:t>
      </w:r>
      <w:r w:rsidR="00E02FCC" w:rsidRPr="00F379DE">
        <w:rPr>
          <w:rFonts w:cs="Arial"/>
        </w:rPr>
        <w:t xml:space="preserve"> The reported reactions were diverse in nature and affected organ class.</w:t>
      </w:r>
    </w:p>
    <w:p w14:paraId="5CF71759" w14:textId="65BEBFBC" w:rsidR="00685E72" w:rsidRPr="00F379DE" w:rsidRDefault="00685E72" w:rsidP="00685E72">
      <w:pPr>
        <w:pStyle w:val="ListBullet"/>
        <w:rPr>
          <w:rFonts w:cs="Arial"/>
        </w:rPr>
      </w:pPr>
      <w:r w:rsidRPr="00F379DE">
        <w:rPr>
          <w:rFonts w:cs="Arial"/>
        </w:rPr>
        <w:t>As of M</w:t>
      </w:r>
      <w:r w:rsidR="00E02FCC" w:rsidRPr="00F379DE">
        <w:rPr>
          <w:rFonts w:cs="Arial"/>
        </w:rPr>
        <w:t>arc</w:t>
      </w:r>
      <w:r w:rsidRPr="00F379DE">
        <w:rPr>
          <w:rFonts w:cs="Arial"/>
        </w:rPr>
        <w:t>h 20</w:t>
      </w:r>
      <w:r w:rsidR="00E02FCC" w:rsidRPr="00F379DE">
        <w:rPr>
          <w:rFonts w:cs="Arial"/>
        </w:rPr>
        <w:t>23</w:t>
      </w:r>
      <w:r w:rsidRPr="00F379DE">
        <w:rPr>
          <w:rFonts w:cs="Arial"/>
        </w:rPr>
        <w:t xml:space="preserve">, there were no products containing </w:t>
      </w:r>
      <w:r w:rsidR="00E02FCC" w:rsidRPr="00F379DE">
        <w:rPr>
          <w:rFonts w:cs="Arial"/>
        </w:rPr>
        <w:t>olopatadine</w:t>
      </w:r>
      <w:r w:rsidRPr="00F379DE">
        <w:rPr>
          <w:rFonts w:cs="Arial"/>
        </w:rPr>
        <w:t xml:space="preserve"> as an active ingredient/constituent or scheduled substance listed on the </w:t>
      </w:r>
      <w:hyperlink r:id="rId43" w:history="1">
        <w:r w:rsidRPr="00F379DE">
          <w:rPr>
            <w:rStyle w:val="Hyperlink"/>
            <w:rFonts w:cs="Arial"/>
          </w:rPr>
          <w:t>Public Chemical Registration Information System Search (</w:t>
        </w:r>
        <w:proofErr w:type="spellStart"/>
        <w:r w:rsidRPr="00F379DE">
          <w:rPr>
            <w:rStyle w:val="Hyperlink"/>
            <w:rFonts w:cs="Arial"/>
          </w:rPr>
          <w:t>PubCRIS</w:t>
        </w:r>
        <w:proofErr w:type="spellEnd"/>
        <w:r w:rsidRPr="00F379DE">
          <w:rPr>
            <w:rStyle w:val="Hyperlink"/>
            <w:rFonts w:cs="Arial"/>
          </w:rPr>
          <w:t>)</w:t>
        </w:r>
      </w:hyperlink>
      <w:r w:rsidRPr="00F379DE">
        <w:rPr>
          <w:rFonts w:cs="Arial"/>
        </w:rPr>
        <w:t>.</w:t>
      </w:r>
      <w:r w:rsidRPr="00F379DE">
        <w:rPr>
          <w:rStyle w:val="FootnoteReference"/>
          <w:rFonts w:cs="Arial"/>
        </w:rPr>
        <w:footnoteReference w:id="21"/>
      </w:r>
      <w:r w:rsidRPr="00F379DE">
        <w:rPr>
          <w:rFonts w:cs="Arial"/>
        </w:rPr>
        <w:t xml:space="preserve"> </w:t>
      </w:r>
    </w:p>
    <w:p w14:paraId="5DA2B2E1" w14:textId="77777777" w:rsidR="00685E72" w:rsidRPr="00CB687C" w:rsidRDefault="00685E72" w:rsidP="00685E72">
      <w:pPr>
        <w:pStyle w:val="Heading4"/>
      </w:pPr>
      <w:bookmarkStart w:id="35" w:name="_Toc122614224"/>
      <w:bookmarkStart w:id="36" w:name="_Toc131604368"/>
      <w:r>
        <w:t>International regulations</w:t>
      </w:r>
      <w:bookmarkEnd w:id="35"/>
      <w:bookmarkEnd w:id="36"/>
    </w:p>
    <w:p w14:paraId="11F2501D" w14:textId="602A3B22" w:rsidR="00685E72" w:rsidRPr="00F379DE" w:rsidRDefault="00E02FCC" w:rsidP="004D0BE2">
      <w:pPr>
        <w:pStyle w:val="ListBullet"/>
        <w:rPr>
          <w:rFonts w:cs="Arial"/>
        </w:rPr>
      </w:pPr>
      <w:r w:rsidRPr="00F379DE">
        <w:rPr>
          <w:rFonts w:cs="Arial"/>
        </w:rPr>
        <w:t xml:space="preserve">The </w:t>
      </w:r>
      <w:hyperlink r:id="rId44" w:history="1">
        <w:r w:rsidR="0018568F" w:rsidRPr="00F379DE">
          <w:rPr>
            <w:rStyle w:val="Hyperlink"/>
            <w:rFonts w:cs="Arial"/>
          </w:rPr>
          <w:t>United States Food and Drug Administration</w:t>
        </w:r>
      </w:hyperlink>
      <w:r w:rsidR="001F1C46" w:rsidRPr="00F379DE">
        <w:rPr>
          <w:rStyle w:val="FootnoteReference"/>
          <w:rFonts w:cs="Arial"/>
          <w:color w:val="auto"/>
        </w:rPr>
        <w:footnoteReference w:id="22"/>
      </w:r>
      <w:r w:rsidRPr="00F379DE">
        <w:rPr>
          <w:rFonts w:cs="Arial"/>
        </w:rPr>
        <w:t xml:space="preserve"> database lists </w:t>
      </w:r>
      <w:r w:rsidR="004D0BE2" w:rsidRPr="00F379DE">
        <w:rPr>
          <w:rFonts w:cs="Arial"/>
        </w:rPr>
        <w:t>20 approved products containing olopatadine</w:t>
      </w:r>
      <w:r w:rsidR="003B54F8" w:rsidRPr="00F379DE">
        <w:rPr>
          <w:rFonts w:cs="Arial"/>
        </w:rPr>
        <w:t xml:space="preserve"> hydrochloride</w:t>
      </w:r>
      <w:r w:rsidR="004D0BE2" w:rsidRPr="00F379DE">
        <w:rPr>
          <w:rFonts w:cs="Arial"/>
        </w:rPr>
        <w:t xml:space="preserve">. </w:t>
      </w:r>
      <w:r w:rsidR="00B26B0D" w:rsidRPr="00F379DE">
        <w:rPr>
          <w:rFonts w:cs="Arial"/>
        </w:rPr>
        <w:t xml:space="preserve">Fourteen </w:t>
      </w:r>
      <w:r w:rsidR="00C1083F" w:rsidRPr="00F379DE">
        <w:rPr>
          <w:rFonts w:cs="Arial"/>
        </w:rPr>
        <w:t>of these are over-the-counter solutions/drops</w:t>
      </w:r>
      <w:r w:rsidR="00F85F08" w:rsidRPr="00F379DE">
        <w:rPr>
          <w:rFonts w:cs="Arial"/>
        </w:rPr>
        <w:t xml:space="preserve"> for </w:t>
      </w:r>
      <w:r w:rsidR="008F0AE7" w:rsidRPr="00F379DE">
        <w:rPr>
          <w:rFonts w:cs="Arial"/>
        </w:rPr>
        <w:t>ophthalmic</w:t>
      </w:r>
      <w:r w:rsidR="00F85F08" w:rsidRPr="00F379DE">
        <w:rPr>
          <w:rFonts w:cs="Arial"/>
        </w:rPr>
        <w:t xml:space="preserve"> use</w:t>
      </w:r>
      <w:r w:rsidR="008F0AE7" w:rsidRPr="00F379DE">
        <w:rPr>
          <w:rFonts w:cs="Arial"/>
        </w:rPr>
        <w:t xml:space="preserve"> and 6 </w:t>
      </w:r>
      <w:r w:rsidR="004D0BE2" w:rsidRPr="00F379DE">
        <w:rPr>
          <w:rFonts w:cs="Arial"/>
        </w:rPr>
        <w:t xml:space="preserve">are nasal spray preparations which are all available by prescription-only, including the fixed dose combination product containing mometasone. </w:t>
      </w:r>
    </w:p>
    <w:p w14:paraId="2EE1282C" w14:textId="2293DE44" w:rsidR="004D0BE2" w:rsidRPr="00F379DE" w:rsidRDefault="00A72A16" w:rsidP="004D0BE2">
      <w:pPr>
        <w:pStyle w:val="ListBullet"/>
        <w:rPr>
          <w:rStyle w:val="Hyperlink"/>
          <w:rFonts w:cs="Arial"/>
          <w:color w:val="333F48"/>
          <w:u w:val="none"/>
        </w:rPr>
      </w:pPr>
      <w:hyperlink r:id="rId45" w:history="1">
        <w:r w:rsidR="004D0BE2" w:rsidRPr="00F379DE">
          <w:rPr>
            <w:rStyle w:val="Hyperlink"/>
            <w:rFonts w:cs="Arial"/>
          </w:rPr>
          <w:t xml:space="preserve">New Zealand </w:t>
        </w:r>
        <w:proofErr w:type="spellStart"/>
        <w:r w:rsidR="004D0BE2" w:rsidRPr="00F379DE">
          <w:rPr>
            <w:rStyle w:val="Hyperlink"/>
            <w:rFonts w:cs="Arial"/>
          </w:rPr>
          <w:t>Medsafe’s</w:t>
        </w:r>
        <w:proofErr w:type="spellEnd"/>
        <w:r w:rsidR="004D0BE2" w:rsidRPr="00F379DE">
          <w:rPr>
            <w:rStyle w:val="Hyperlink"/>
            <w:rFonts w:cs="Arial"/>
          </w:rPr>
          <w:t xml:space="preserve"> Medicine Classification Database</w:t>
        </w:r>
      </w:hyperlink>
      <w:r w:rsidR="003131B4" w:rsidRPr="00F379DE">
        <w:rPr>
          <w:rStyle w:val="FootnoteReference"/>
          <w:rFonts w:cs="Arial"/>
        </w:rPr>
        <w:footnoteReference w:id="23"/>
      </w:r>
      <w:r w:rsidR="00963C5C" w:rsidRPr="00F379DE">
        <w:rPr>
          <w:rStyle w:val="Hyperlink"/>
          <w:rFonts w:cs="Arial"/>
          <w:color w:val="000000" w:themeColor="text1"/>
          <w:u w:val="none"/>
        </w:rPr>
        <w:t xml:space="preserve"> lists olopatadine as a prescription only medicine.</w:t>
      </w:r>
    </w:p>
    <w:p w14:paraId="084E612B" w14:textId="4ADFC688" w:rsidR="00963C5C" w:rsidRPr="00F379DE" w:rsidRDefault="00A72A16" w:rsidP="00963C5C">
      <w:pPr>
        <w:pStyle w:val="ListBullet"/>
        <w:rPr>
          <w:rStyle w:val="Hyperlink"/>
          <w:rFonts w:cs="Arial"/>
          <w:color w:val="333F48"/>
          <w:u w:val="none"/>
        </w:rPr>
      </w:pPr>
      <w:hyperlink r:id="rId46" w:anchor="results" w:history="1">
        <w:r w:rsidR="00963C5C" w:rsidRPr="00F379DE">
          <w:rPr>
            <w:rStyle w:val="Hyperlink"/>
            <w:rFonts w:cs="Arial"/>
          </w:rPr>
          <w:t>Health Canada’s Drug Product Database</w:t>
        </w:r>
      </w:hyperlink>
      <w:r w:rsidR="003131B4" w:rsidRPr="00F379DE">
        <w:rPr>
          <w:rStyle w:val="FootnoteReference"/>
          <w:rFonts w:cs="Arial"/>
        </w:rPr>
        <w:footnoteReference w:id="24"/>
      </w:r>
      <w:r w:rsidR="00963C5C" w:rsidRPr="00F379DE">
        <w:rPr>
          <w:rStyle w:val="Hyperlink"/>
          <w:rFonts w:cs="Arial"/>
          <w:color w:val="000000" w:themeColor="text1"/>
          <w:u w:val="none"/>
        </w:rPr>
        <w:t xml:space="preserve"> lists 10 marketed products containing olopatadine. All are ophthalmic solutions and listed as prescription-only medicines.</w:t>
      </w:r>
    </w:p>
    <w:p w14:paraId="36DB0C75" w14:textId="5B7B9A82" w:rsidR="00685E72" w:rsidRDefault="002469EC" w:rsidP="00685E72">
      <w:pPr>
        <w:pStyle w:val="Heading2"/>
      </w:pPr>
      <w:bookmarkStart w:id="37" w:name="_Toc122614237"/>
      <w:bookmarkStart w:id="38" w:name="_Toc131604369"/>
      <w:r>
        <w:t>2</w:t>
      </w:r>
      <w:r>
        <w:tab/>
      </w:r>
      <w:r w:rsidR="00685E72">
        <w:t>Proposed amendments referred for scheduling advice to the Joint ACMS-ACCS meeting #</w:t>
      </w:r>
      <w:bookmarkEnd w:id="37"/>
      <w:r>
        <w:t>34</w:t>
      </w:r>
      <w:bookmarkEnd w:id="38"/>
    </w:p>
    <w:p w14:paraId="0C79C3BB" w14:textId="44D47E5E" w:rsidR="00685E72" w:rsidRDefault="002469EC" w:rsidP="00685E72">
      <w:pPr>
        <w:pStyle w:val="Heading3"/>
      </w:pPr>
      <w:bookmarkStart w:id="39" w:name="_Toc122614238"/>
      <w:bookmarkStart w:id="40" w:name="_Toc131604370"/>
      <w:r w:rsidRPr="002469EC">
        <w:t>2.1</w:t>
      </w:r>
      <w:r w:rsidRPr="002469EC">
        <w:tab/>
      </w:r>
      <w:bookmarkEnd w:id="39"/>
      <w:r>
        <w:t>Lead (anti-fouling paints)</w:t>
      </w:r>
      <w:bookmarkEnd w:id="40"/>
    </w:p>
    <w:p w14:paraId="3656A251" w14:textId="77777777" w:rsidR="00685E72" w:rsidRDefault="00685E72" w:rsidP="00685E72">
      <w:pPr>
        <w:pStyle w:val="Heading4"/>
      </w:pPr>
      <w:bookmarkStart w:id="41" w:name="_Toc122614239"/>
      <w:bookmarkStart w:id="42" w:name="_Toc131604371"/>
      <w:r>
        <w:t>Proposal</w:t>
      </w:r>
      <w:bookmarkEnd w:id="41"/>
      <w:bookmarkEnd w:id="42"/>
    </w:p>
    <w:p w14:paraId="349DDEE9" w14:textId="680FB1AD" w:rsidR="00685E72" w:rsidRPr="00F379DE" w:rsidRDefault="005E35B5" w:rsidP="00685E72">
      <w:pPr>
        <w:rPr>
          <w:rFonts w:cs="Arial"/>
        </w:rPr>
      </w:pPr>
      <w:r w:rsidRPr="00F379DE">
        <w:rPr>
          <w:rFonts w:cs="Arial"/>
        </w:rPr>
        <w:t xml:space="preserve">The applicant </w:t>
      </w:r>
      <w:r w:rsidR="001C2599" w:rsidRPr="00F379DE">
        <w:rPr>
          <w:rFonts w:cs="Arial"/>
        </w:rPr>
        <w:t xml:space="preserve">proposes an amendment </w:t>
      </w:r>
      <w:r w:rsidR="001E0DAC" w:rsidRPr="00F379DE">
        <w:rPr>
          <w:rFonts w:cs="Arial"/>
        </w:rPr>
        <w:t xml:space="preserve">to the limit of lead in anti-fouling paints, </w:t>
      </w:r>
      <w:r w:rsidRPr="00F379DE">
        <w:rPr>
          <w:rFonts w:cs="Arial"/>
        </w:rPr>
        <w:t>which is due to come into effect on 1 October 2023</w:t>
      </w:r>
      <w:r w:rsidR="00DC36FC" w:rsidRPr="00F379DE">
        <w:rPr>
          <w:rFonts w:cs="Arial"/>
        </w:rPr>
        <w:t xml:space="preserve"> pursuant to a</w:t>
      </w:r>
      <w:r w:rsidRPr="00F379DE">
        <w:rPr>
          <w:rFonts w:cs="Arial"/>
        </w:rPr>
        <w:t xml:space="preserve"> </w:t>
      </w:r>
      <w:hyperlink r:id="rId47" w:history="1">
        <w:r w:rsidR="00DC36FC" w:rsidRPr="00F379DE">
          <w:rPr>
            <w:rStyle w:val="Hyperlink"/>
            <w:rFonts w:cs="Arial"/>
          </w:rPr>
          <w:t xml:space="preserve">final </w:t>
        </w:r>
        <w:r w:rsidRPr="00F379DE">
          <w:rPr>
            <w:rStyle w:val="Hyperlink"/>
            <w:rFonts w:cs="Arial"/>
          </w:rPr>
          <w:t>decision</w:t>
        </w:r>
      </w:hyperlink>
      <w:r w:rsidR="00DC36FC" w:rsidRPr="00F379DE">
        <w:rPr>
          <w:rStyle w:val="Hyperlink"/>
          <w:rFonts w:cs="Arial"/>
        </w:rPr>
        <w:t xml:space="preserve"> to amend the Poisons Standard</w:t>
      </w:r>
      <w:r w:rsidR="00E63479" w:rsidRPr="00F379DE">
        <w:rPr>
          <w:rFonts w:cs="Arial"/>
        </w:rPr>
        <w:t xml:space="preserve"> published in September 2021</w:t>
      </w:r>
      <w:r w:rsidR="00DC36FC" w:rsidRPr="00F379DE">
        <w:rPr>
          <w:rFonts w:cs="Arial"/>
        </w:rPr>
        <w:t>. That decision</w:t>
      </w:r>
      <w:r w:rsidR="00E63479" w:rsidRPr="00F379DE">
        <w:rPr>
          <w:rFonts w:cs="Arial"/>
        </w:rPr>
        <w:t xml:space="preserve"> </w:t>
      </w:r>
      <w:r w:rsidRPr="00F379DE">
        <w:rPr>
          <w:rFonts w:cs="Arial"/>
        </w:rPr>
        <w:t xml:space="preserve">included a maximum permissible level of 90 mg/kg </w:t>
      </w:r>
      <w:r w:rsidR="00E63479" w:rsidRPr="00F379DE">
        <w:rPr>
          <w:rFonts w:cs="Arial"/>
        </w:rPr>
        <w:t>(</w:t>
      </w:r>
      <w:r w:rsidR="006152E4" w:rsidRPr="00F379DE">
        <w:rPr>
          <w:rFonts w:cs="Arial"/>
        </w:rPr>
        <w:t xml:space="preserve">equivalent to 90 ppm or 0.009%) </w:t>
      </w:r>
      <w:r w:rsidRPr="00F379DE">
        <w:rPr>
          <w:rFonts w:cs="Arial"/>
        </w:rPr>
        <w:t xml:space="preserve">of lead in anti-fouling </w:t>
      </w:r>
      <w:r w:rsidR="001E0DAC" w:rsidRPr="00F379DE">
        <w:rPr>
          <w:rFonts w:cs="Arial"/>
        </w:rPr>
        <w:t xml:space="preserve">and anti-corrosive </w:t>
      </w:r>
      <w:r w:rsidRPr="00F379DE">
        <w:rPr>
          <w:rFonts w:cs="Arial"/>
        </w:rPr>
        <w:t xml:space="preserve">paints. The applicant is seeking to </w:t>
      </w:r>
      <w:r w:rsidR="001E0DAC" w:rsidRPr="00F379DE">
        <w:rPr>
          <w:rFonts w:cs="Arial"/>
        </w:rPr>
        <w:t>amend this</w:t>
      </w:r>
      <w:r w:rsidRPr="00F379DE">
        <w:rPr>
          <w:rFonts w:cs="Arial"/>
        </w:rPr>
        <w:t xml:space="preserve"> limit </w:t>
      </w:r>
      <w:r w:rsidR="001E0DAC" w:rsidRPr="00F379DE">
        <w:rPr>
          <w:rFonts w:cs="Arial"/>
        </w:rPr>
        <w:t>to</w:t>
      </w:r>
      <w:r w:rsidRPr="00F379DE">
        <w:rPr>
          <w:rFonts w:cs="Arial"/>
        </w:rPr>
        <w:t xml:space="preserve"> 600 mg/kg</w:t>
      </w:r>
      <w:r w:rsidR="00E63479" w:rsidRPr="00F379DE">
        <w:rPr>
          <w:rFonts w:cs="Arial"/>
        </w:rPr>
        <w:t xml:space="preserve"> (</w:t>
      </w:r>
      <w:r w:rsidR="006152E4" w:rsidRPr="00F379DE">
        <w:rPr>
          <w:rFonts w:cs="Arial"/>
        </w:rPr>
        <w:t xml:space="preserve">equivalent to </w:t>
      </w:r>
      <w:r w:rsidR="00E63479" w:rsidRPr="00F379DE">
        <w:rPr>
          <w:rFonts w:cs="Arial"/>
        </w:rPr>
        <w:t>600</w:t>
      </w:r>
      <w:r w:rsidR="006152E4" w:rsidRPr="00F379DE">
        <w:rPr>
          <w:rFonts w:cs="Arial"/>
        </w:rPr>
        <w:t xml:space="preserve"> </w:t>
      </w:r>
      <w:r w:rsidR="00E63479" w:rsidRPr="00F379DE">
        <w:rPr>
          <w:rFonts w:cs="Arial"/>
        </w:rPr>
        <w:t>ppm or 0.06%)</w:t>
      </w:r>
      <w:r w:rsidRPr="00F379DE">
        <w:rPr>
          <w:rFonts w:cs="Arial"/>
        </w:rPr>
        <w:t>.</w:t>
      </w:r>
      <w:r w:rsidR="00914679" w:rsidRPr="00F379DE">
        <w:rPr>
          <w:rFonts w:cs="Arial"/>
        </w:rPr>
        <w:t xml:space="preserve"> The applicant is not proposing a change to the limit for anti-corrosive paints.</w:t>
      </w:r>
    </w:p>
    <w:p w14:paraId="277D5030" w14:textId="45C7D7A2" w:rsidR="00685E72" w:rsidRDefault="00685E72" w:rsidP="00685E72">
      <w:pPr>
        <w:pStyle w:val="Heading4"/>
      </w:pPr>
      <w:bookmarkStart w:id="43" w:name="_Toc122614240"/>
      <w:bookmarkStart w:id="44" w:name="_Toc131604372"/>
      <w:r>
        <w:t>CAS Number</w:t>
      </w:r>
      <w:bookmarkEnd w:id="43"/>
      <w:bookmarkEnd w:id="44"/>
    </w:p>
    <w:p w14:paraId="256338DA" w14:textId="2B046E90" w:rsidR="00685E72" w:rsidRDefault="005E35B5" w:rsidP="00685E72">
      <w:r>
        <w:t>7439-92-1 (metallic lead)</w:t>
      </w:r>
    </w:p>
    <w:p w14:paraId="6A88D76A" w14:textId="77777777" w:rsidR="00685E72" w:rsidRDefault="00685E72" w:rsidP="00685E72">
      <w:pPr>
        <w:pStyle w:val="Heading4"/>
      </w:pPr>
      <w:bookmarkStart w:id="45" w:name="_Toc122614242"/>
      <w:bookmarkStart w:id="46" w:name="_Toc131604373"/>
      <w:r>
        <w:t>Applicant</w:t>
      </w:r>
      <w:bookmarkEnd w:id="45"/>
      <w:bookmarkEnd w:id="46"/>
    </w:p>
    <w:p w14:paraId="1EBCDDA5" w14:textId="0486D443" w:rsidR="00685E72" w:rsidRDefault="00685E72" w:rsidP="00685E72">
      <w:r w:rsidRPr="005E35B5">
        <w:t>Private applicant</w:t>
      </w:r>
    </w:p>
    <w:p w14:paraId="19588405" w14:textId="6A0C4937" w:rsidR="00F85F08" w:rsidRDefault="00F85F08" w:rsidP="00F379DE">
      <w:pPr>
        <w:pStyle w:val="Heading4"/>
      </w:pPr>
      <w:bookmarkStart w:id="47" w:name="_Toc131604374"/>
      <w:r>
        <w:lastRenderedPageBreak/>
        <w:t>Current Scheduling</w:t>
      </w:r>
      <w:bookmarkEnd w:id="47"/>
    </w:p>
    <w:p w14:paraId="4D8A5098" w14:textId="4A88F828" w:rsidR="00F85F08" w:rsidRPr="00D0237E" w:rsidRDefault="00F85F08" w:rsidP="00F379DE">
      <w:pPr>
        <w:keepNext/>
        <w:ind w:left="426"/>
        <w:rPr>
          <w:b/>
          <w:color w:val="000000"/>
          <w:shd w:val="clear" w:color="auto" w:fill="FFFFFF"/>
        </w:rPr>
      </w:pPr>
      <w:bookmarkStart w:id="48" w:name="_Hlk131582526"/>
      <w:r w:rsidRPr="00D0237E">
        <w:rPr>
          <w:b/>
          <w:color w:val="000000"/>
          <w:shd w:val="clear" w:color="auto" w:fill="FFFFFF"/>
        </w:rPr>
        <w:t xml:space="preserve">PART 2, </w:t>
      </w:r>
      <w:r w:rsidR="0081040F">
        <w:rPr>
          <w:b/>
          <w:color w:val="000000"/>
          <w:shd w:val="clear" w:color="auto" w:fill="FFFFFF"/>
        </w:rPr>
        <w:t>DIVISION 9</w:t>
      </w:r>
      <w:r w:rsidR="007A5D1C">
        <w:rPr>
          <w:b/>
          <w:color w:val="000000"/>
          <w:shd w:val="clear" w:color="auto" w:fill="FFFFFF"/>
        </w:rPr>
        <w:t xml:space="preserve"> - </w:t>
      </w:r>
      <w:r w:rsidR="0081040F">
        <w:rPr>
          <w:b/>
          <w:color w:val="000000"/>
          <w:shd w:val="clear" w:color="auto" w:fill="FFFFFF"/>
        </w:rPr>
        <w:t>General requirements</w:t>
      </w:r>
    </w:p>
    <w:p w14:paraId="4E42AD76" w14:textId="0C609D41" w:rsidR="00F85F08" w:rsidRDefault="00F85F08" w:rsidP="00DC36FC">
      <w:pPr>
        <w:ind w:left="1060" w:hanging="340"/>
        <w:rPr>
          <w:color w:val="000000"/>
          <w:shd w:val="clear" w:color="auto" w:fill="FFFFFF"/>
        </w:rPr>
      </w:pPr>
      <w:r>
        <w:rPr>
          <w:color w:val="000000"/>
          <w:shd w:val="clear" w:color="auto" w:fill="FFFFFF"/>
        </w:rPr>
        <w:t>(</w:t>
      </w:r>
      <w:r w:rsidR="007A5D1C">
        <w:rPr>
          <w:color w:val="000000"/>
          <w:shd w:val="clear" w:color="auto" w:fill="FFFFFF"/>
        </w:rPr>
        <w:t>2</w:t>
      </w:r>
      <w:r>
        <w:rPr>
          <w:color w:val="000000"/>
          <w:shd w:val="clear" w:color="auto" w:fill="FFFFFF"/>
        </w:rPr>
        <w:t xml:space="preserve">) </w:t>
      </w:r>
      <w:r w:rsidR="007A5D1C" w:rsidRPr="007A5D1C">
        <w:rPr>
          <w:color w:val="000000"/>
          <w:shd w:val="clear" w:color="auto" w:fill="FFFFFF"/>
        </w:rPr>
        <w:t>An anti</w:t>
      </w:r>
      <w:r w:rsidR="007A5D1C" w:rsidRPr="007A5D1C">
        <w:rPr>
          <w:rFonts w:ascii="Cambria Math" w:hAnsi="Cambria Math" w:cs="Cambria Math"/>
          <w:color w:val="000000"/>
          <w:shd w:val="clear" w:color="auto" w:fill="FFFFFF"/>
        </w:rPr>
        <w:t>‑</w:t>
      </w:r>
      <w:r w:rsidR="007A5D1C" w:rsidRPr="007A5D1C">
        <w:rPr>
          <w:color w:val="000000"/>
          <w:shd w:val="clear" w:color="auto" w:fill="FFFFFF"/>
        </w:rPr>
        <w:t>fouling or anti</w:t>
      </w:r>
      <w:r w:rsidR="007A5D1C" w:rsidRPr="007A5D1C">
        <w:rPr>
          <w:rFonts w:ascii="Cambria Math" w:hAnsi="Cambria Math" w:cs="Cambria Math"/>
          <w:color w:val="000000"/>
          <w:shd w:val="clear" w:color="auto" w:fill="FFFFFF"/>
        </w:rPr>
        <w:t>‑</w:t>
      </w:r>
      <w:r w:rsidR="007A5D1C" w:rsidRPr="007A5D1C">
        <w:rPr>
          <w:color w:val="000000"/>
          <w:shd w:val="clear" w:color="auto" w:fill="FFFFFF"/>
        </w:rPr>
        <w:t>corrosive paint containing more than 0.1% lead (the proportion of lead for the purposes of this section is calculated as a percentage of the element present in the non</w:t>
      </w:r>
      <w:r w:rsidR="007A5D1C" w:rsidRPr="007A5D1C">
        <w:rPr>
          <w:rFonts w:ascii="Cambria Math" w:hAnsi="Cambria Math" w:cs="Cambria Math"/>
          <w:color w:val="000000"/>
          <w:shd w:val="clear" w:color="auto" w:fill="FFFFFF"/>
        </w:rPr>
        <w:t>‑</w:t>
      </w:r>
      <w:r w:rsidR="007A5D1C" w:rsidRPr="007A5D1C">
        <w:rPr>
          <w:color w:val="000000"/>
          <w:shd w:val="clear" w:color="auto" w:fill="FFFFFF"/>
        </w:rPr>
        <w:t xml:space="preserve">volatile content of the paint) must not be manufactured, </w:t>
      </w:r>
      <w:proofErr w:type="gramStart"/>
      <w:r w:rsidR="007A5D1C" w:rsidRPr="007A5D1C">
        <w:rPr>
          <w:color w:val="000000"/>
          <w:shd w:val="clear" w:color="auto" w:fill="FFFFFF"/>
        </w:rPr>
        <w:t>supplied</w:t>
      </w:r>
      <w:proofErr w:type="gramEnd"/>
      <w:r w:rsidR="007A5D1C" w:rsidRPr="007A5D1C">
        <w:rPr>
          <w:color w:val="000000"/>
          <w:shd w:val="clear" w:color="auto" w:fill="FFFFFF"/>
        </w:rPr>
        <w:t xml:space="preserve"> or used.</w:t>
      </w:r>
    </w:p>
    <w:p w14:paraId="717D87A6" w14:textId="269A8675" w:rsidR="007A5D1C" w:rsidRDefault="007A5D1C" w:rsidP="00DC36FC">
      <w:pPr>
        <w:ind w:left="1060" w:hanging="340"/>
        <w:rPr>
          <w:color w:val="000000"/>
          <w:shd w:val="clear" w:color="auto" w:fill="FFFFFF"/>
        </w:rPr>
      </w:pPr>
      <w:r>
        <w:rPr>
          <w:color w:val="000000"/>
          <w:shd w:val="clear" w:color="auto" w:fill="FFFFFF"/>
        </w:rPr>
        <w:t>(3)</w:t>
      </w:r>
      <w:r w:rsidRPr="007A5D1C">
        <w:t xml:space="preserve"> </w:t>
      </w:r>
      <w:r w:rsidRPr="007A5D1C">
        <w:rPr>
          <w:color w:val="000000"/>
          <w:shd w:val="clear" w:color="auto" w:fill="FFFFFF"/>
        </w:rPr>
        <w:t>A paint (other than an anti</w:t>
      </w:r>
      <w:r w:rsidRPr="007A5D1C">
        <w:rPr>
          <w:rFonts w:ascii="Cambria Math" w:hAnsi="Cambria Math" w:cs="Cambria Math"/>
          <w:color w:val="000000"/>
          <w:shd w:val="clear" w:color="auto" w:fill="FFFFFF"/>
        </w:rPr>
        <w:t>‑</w:t>
      </w:r>
      <w:r w:rsidRPr="007A5D1C">
        <w:rPr>
          <w:color w:val="000000"/>
          <w:shd w:val="clear" w:color="auto" w:fill="FFFFFF"/>
        </w:rPr>
        <w:t>fouling or anti</w:t>
      </w:r>
      <w:r w:rsidRPr="007A5D1C">
        <w:rPr>
          <w:rFonts w:ascii="Cambria Math" w:hAnsi="Cambria Math" w:cs="Cambria Math"/>
          <w:color w:val="000000"/>
          <w:shd w:val="clear" w:color="auto" w:fill="FFFFFF"/>
        </w:rPr>
        <w:t>‑</w:t>
      </w:r>
      <w:r w:rsidRPr="007A5D1C">
        <w:rPr>
          <w:color w:val="000000"/>
          <w:shd w:val="clear" w:color="auto" w:fill="FFFFFF"/>
        </w:rPr>
        <w:t>corrosive paint) or tinter containing more than 0.009% lead (calculated as a percentage of the element present in the non</w:t>
      </w:r>
      <w:r w:rsidRPr="007A5D1C">
        <w:rPr>
          <w:rFonts w:ascii="Cambria Math" w:hAnsi="Cambria Math" w:cs="Cambria Math"/>
          <w:color w:val="000000"/>
          <w:shd w:val="clear" w:color="auto" w:fill="FFFFFF"/>
        </w:rPr>
        <w:t>‑</w:t>
      </w:r>
      <w:r w:rsidRPr="007A5D1C">
        <w:rPr>
          <w:color w:val="000000"/>
          <w:shd w:val="clear" w:color="auto" w:fill="FFFFFF"/>
        </w:rPr>
        <w:t xml:space="preserve">volatile content of the paint) must not be manufactured, </w:t>
      </w:r>
      <w:proofErr w:type="gramStart"/>
      <w:r w:rsidRPr="007A5D1C">
        <w:rPr>
          <w:color w:val="000000"/>
          <w:shd w:val="clear" w:color="auto" w:fill="FFFFFF"/>
        </w:rPr>
        <w:t>supplied</w:t>
      </w:r>
      <w:proofErr w:type="gramEnd"/>
      <w:r w:rsidRPr="007A5D1C">
        <w:rPr>
          <w:color w:val="000000"/>
          <w:shd w:val="clear" w:color="auto" w:fill="FFFFFF"/>
        </w:rPr>
        <w:t xml:space="preserve"> or used.</w:t>
      </w:r>
    </w:p>
    <w:p w14:paraId="7CDC5F3B" w14:textId="638BE013" w:rsidR="00F85F08" w:rsidRPr="004B1A6E" w:rsidRDefault="00F85F08" w:rsidP="00DC36FC">
      <w:pPr>
        <w:keepNext/>
        <w:ind w:left="425"/>
        <w:rPr>
          <w:b/>
          <w:color w:val="000000"/>
          <w:shd w:val="clear" w:color="auto" w:fill="FFFFFF"/>
        </w:rPr>
      </w:pPr>
      <w:r w:rsidRPr="004B1A6E">
        <w:rPr>
          <w:b/>
          <w:color w:val="000000"/>
          <w:shd w:val="clear" w:color="auto" w:fill="FFFFFF"/>
        </w:rPr>
        <w:t>Schedule 10</w:t>
      </w:r>
    </w:p>
    <w:p w14:paraId="2D3E631B" w14:textId="77777777" w:rsidR="00F85F08" w:rsidRDefault="00F85F08" w:rsidP="00DC36FC">
      <w:pPr>
        <w:ind w:left="720"/>
        <w:rPr>
          <w:color w:val="000000"/>
          <w:shd w:val="clear" w:color="auto" w:fill="FFFFFF"/>
        </w:rPr>
      </w:pPr>
      <w:r>
        <w:rPr>
          <w:color w:val="000000"/>
          <w:shd w:val="clear" w:color="auto" w:fill="FFFFFF"/>
        </w:rPr>
        <w:t>LEAD COMPOUNDS</w:t>
      </w:r>
      <w:r w:rsidRPr="00310708">
        <w:rPr>
          <w:color w:val="00B050"/>
          <w:shd w:val="clear" w:color="auto" w:fill="FFFFFF"/>
        </w:rPr>
        <w:t>:</w:t>
      </w:r>
    </w:p>
    <w:p w14:paraId="4D6CC246" w14:textId="67F80DB2" w:rsidR="00F85F08" w:rsidRPr="007651FF" w:rsidRDefault="00F85F08" w:rsidP="00DC36FC">
      <w:pPr>
        <w:ind w:left="1145" w:hanging="425"/>
        <w:rPr>
          <w:color w:val="000000" w:themeColor="text1"/>
          <w:shd w:val="clear" w:color="auto" w:fill="FFFFFF"/>
        </w:rPr>
      </w:pPr>
      <w:r w:rsidRPr="007651FF">
        <w:rPr>
          <w:color w:val="000000" w:themeColor="text1"/>
          <w:shd w:val="clear" w:color="auto" w:fill="FFFFFF"/>
        </w:rPr>
        <w:t>a)</w:t>
      </w:r>
      <w:r w:rsidRPr="007651FF">
        <w:rPr>
          <w:color w:val="000000" w:themeColor="text1"/>
          <w:shd w:val="clear" w:color="auto" w:fill="FFFFFF"/>
        </w:rPr>
        <w:tab/>
        <w:t xml:space="preserve">in anti-fouling or anti-corrosive paints </w:t>
      </w:r>
      <w:r w:rsidRPr="007651FF">
        <w:rPr>
          <w:b/>
          <w:color w:val="000000" w:themeColor="text1"/>
          <w:shd w:val="clear" w:color="auto" w:fill="FFFFFF"/>
        </w:rPr>
        <w:t>except</w:t>
      </w:r>
      <w:r w:rsidRPr="007651FF">
        <w:rPr>
          <w:color w:val="000000" w:themeColor="text1"/>
          <w:shd w:val="clear" w:color="auto" w:fill="FFFFFF"/>
        </w:rPr>
        <w:t xml:space="preserve"> in preparations containing 0.1</w:t>
      </w:r>
      <w:r w:rsidR="0031479A">
        <w:rPr>
          <w:color w:val="000000" w:themeColor="text1"/>
          <w:shd w:val="clear" w:color="auto" w:fill="FFFFFF"/>
        </w:rPr>
        <w:t>%</w:t>
      </w:r>
      <w:r w:rsidRPr="007651FF">
        <w:rPr>
          <w:color w:val="000000" w:themeColor="text1"/>
          <w:shd w:val="clear" w:color="auto" w:fill="FFFFFF"/>
        </w:rPr>
        <w:t xml:space="preserve"> or less of lead calculated on the non-volatile content of the paint; or</w:t>
      </w:r>
    </w:p>
    <w:p w14:paraId="6065CB7F" w14:textId="6CA84FC1" w:rsidR="00F85F08" w:rsidRPr="007651FF" w:rsidRDefault="00F85F08" w:rsidP="00DC36FC">
      <w:pPr>
        <w:ind w:left="1145" w:hanging="425"/>
        <w:rPr>
          <w:color w:val="000000" w:themeColor="text1"/>
          <w:shd w:val="clear" w:color="auto" w:fill="FFFFFF"/>
        </w:rPr>
      </w:pPr>
      <w:r w:rsidRPr="007651FF">
        <w:rPr>
          <w:color w:val="000000" w:themeColor="text1"/>
          <w:shd w:val="clear" w:color="auto" w:fill="FFFFFF"/>
        </w:rPr>
        <w:t>b)</w:t>
      </w:r>
      <w:r w:rsidRPr="007651FF">
        <w:rPr>
          <w:color w:val="000000" w:themeColor="text1"/>
          <w:shd w:val="clear" w:color="auto" w:fill="FFFFFF"/>
        </w:rPr>
        <w:tab/>
        <w:t xml:space="preserve">in paints (other than anti-fouling or anti-corrosive paints), tinters, </w:t>
      </w:r>
      <w:proofErr w:type="gramStart"/>
      <w:r w:rsidRPr="007651FF">
        <w:rPr>
          <w:color w:val="000000" w:themeColor="text1"/>
          <w:shd w:val="clear" w:color="auto" w:fill="FFFFFF"/>
        </w:rPr>
        <w:t>inks</w:t>
      </w:r>
      <w:proofErr w:type="gramEnd"/>
      <w:r w:rsidRPr="007651FF">
        <w:rPr>
          <w:color w:val="000000" w:themeColor="text1"/>
          <w:shd w:val="clear" w:color="auto" w:fill="FFFFFF"/>
        </w:rPr>
        <w:t xml:space="preserve"> or ink additives </w:t>
      </w:r>
      <w:r w:rsidRPr="007651FF">
        <w:rPr>
          <w:b/>
          <w:bCs/>
          <w:color w:val="000000" w:themeColor="text1"/>
          <w:shd w:val="clear" w:color="auto" w:fill="FFFFFF"/>
        </w:rPr>
        <w:t xml:space="preserve">except </w:t>
      </w:r>
      <w:r w:rsidRPr="007651FF">
        <w:rPr>
          <w:color w:val="000000" w:themeColor="text1"/>
          <w:shd w:val="clear" w:color="auto" w:fill="FFFFFF"/>
        </w:rPr>
        <w:t>in preparations containing 0.009</w:t>
      </w:r>
      <w:r w:rsidR="0031479A">
        <w:rPr>
          <w:color w:val="000000" w:themeColor="text1"/>
          <w:shd w:val="clear" w:color="auto" w:fill="FFFFFF"/>
        </w:rPr>
        <w:t xml:space="preserve">% </w:t>
      </w:r>
      <w:r w:rsidRPr="007651FF">
        <w:rPr>
          <w:color w:val="000000" w:themeColor="text1"/>
          <w:shd w:val="clear" w:color="auto" w:fill="FFFFFF"/>
        </w:rPr>
        <w:t>or less of lead calculated on the non-volatile content of the paint, tinter, ink or ink additive.</w:t>
      </w:r>
    </w:p>
    <w:bookmarkEnd w:id="48"/>
    <w:p w14:paraId="3C3CBFB2" w14:textId="77777777" w:rsidR="00F85F08" w:rsidRPr="009E40EE" w:rsidRDefault="00F85F08" w:rsidP="00F85F08">
      <w:pPr>
        <w:ind w:left="426"/>
        <w:rPr>
          <w:b/>
          <w:color w:val="000000"/>
          <w:shd w:val="clear" w:color="auto" w:fill="FFFFFF"/>
        </w:rPr>
      </w:pPr>
      <w:r>
        <w:rPr>
          <w:b/>
          <w:color w:val="000000"/>
          <w:shd w:val="clear" w:color="auto" w:fill="FFFFFF"/>
        </w:rPr>
        <w:t>Schedule 6</w:t>
      </w:r>
    </w:p>
    <w:p w14:paraId="0192F379" w14:textId="77777777" w:rsidR="00F85F08" w:rsidRPr="00C52FF7" w:rsidRDefault="00F85F08" w:rsidP="00DC36FC">
      <w:pPr>
        <w:ind w:left="720"/>
        <w:rPr>
          <w:rFonts w:cs="Arial"/>
        </w:rPr>
      </w:pPr>
      <w:r w:rsidRPr="00C52FF7">
        <w:rPr>
          <w:rFonts w:cs="Arial"/>
        </w:rPr>
        <w:t xml:space="preserve">LEAD COMPOUNDS </w:t>
      </w:r>
      <w:r w:rsidRPr="00C52FF7">
        <w:rPr>
          <w:rFonts w:cs="Arial"/>
          <w:b/>
        </w:rPr>
        <w:t>except</w:t>
      </w:r>
      <w:r w:rsidRPr="00C52FF7">
        <w:rPr>
          <w:rFonts w:cs="Arial"/>
        </w:rPr>
        <w:t>:</w:t>
      </w:r>
    </w:p>
    <w:p w14:paraId="7D931A55" w14:textId="169FAE68" w:rsidR="00F85F08" w:rsidRPr="00C52FF7" w:rsidRDefault="00F85F08" w:rsidP="00DC36FC">
      <w:pPr>
        <w:pStyle w:val="ListParagraph"/>
        <w:numPr>
          <w:ilvl w:val="0"/>
          <w:numId w:val="37"/>
        </w:numPr>
        <w:ind w:left="1145" w:hanging="425"/>
        <w:contextualSpacing w:val="0"/>
        <w:rPr>
          <w:rFonts w:ascii="Arial" w:hAnsi="Arial" w:cs="Arial"/>
          <w:sz w:val="20"/>
          <w:shd w:val="clear" w:color="auto" w:fill="FFFFFF"/>
        </w:rPr>
      </w:pPr>
      <w:r w:rsidRPr="00C52FF7">
        <w:rPr>
          <w:rFonts w:ascii="Arial" w:hAnsi="Arial" w:cs="Arial"/>
          <w:sz w:val="20"/>
          <w:shd w:val="clear" w:color="auto" w:fill="FFFFFF"/>
        </w:rPr>
        <w:t>when included in Schedule 4;</w:t>
      </w:r>
      <w:r w:rsidR="007A5D1C" w:rsidRPr="00C52FF7">
        <w:rPr>
          <w:rFonts w:ascii="Arial" w:hAnsi="Arial" w:cs="Arial"/>
          <w:sz w:val="20"/>
          <w:shd w:val="clear" w:color="auto" w:fill="FFFFFF"/>
        </w:rPr>
        <w:t xml:space="preserve"> or</w:t>
      </w:r>
    </w:p>
    <w:p w14:paraId="0F66239F" w14:textId="70EBEBE1" w:rsidR="00F85F08" w:rsidRPr="00C52FF7" w:rsidRDefault="00F85F08" w:rsidP="00DC36FC">
      <w:pPr>
        <w:pStyle w:val="ListParagraph"/>
        <w:numPr>
          <w:ilvl w:val="0"/>
          <w:numId w:val="37"/>
        </w:numPr>
        <w:ind w:left="1145" w:hanging="425"/>
        <w:contextualSpacing w:val="0"/>
        <w:rPr>
          <w:rFonts w:ascii="Arial" w:hAnsi="Arial" w:cs="Arial"/>
          <w:sz w:val="20"/>
          <w:shd w:val="clear" w:color="auto" w:fill="FFFFFF"/>
        </w:rPr>
      </w:pPr>
      <w:r w:rsidRPr="00C52FF7">
        <w:rPr>
          <w:rFonts w:ascii="Arial" w:hAnsi="Arial" w:cs="Arial"/>
          <w:sz w:val="20"/>
        </w:rPr>
        <w:t xml:space="preserve">in paints, tinters, </w:t>
      </w:r>
      <w:proofErr w:type="gramStart"/>
      <w:r w:rsidRPr="00C52FF7">
        <w:rPr>
          <w:rFonts w:ascii="Arial" w:hAnsi="Arial" w:cs="Arial"/>
          <w:sz w:val="20"/>
        </w:rPr>
        <w:t>inks</w:t>
      </w:r>
      <w:proofErr w:type="gramEnd"/>
      <w:r w:rsidRPr="00C52FF7">
        <w:rPr>
          <w:rFonts w:ascii="Arial" w:hAnsi="Arial" w:cs="Arial"/>
          <w:sz w:val="20"/>
        </w:rPr>
        <w:t xml:space="preserve"> or ink additives;</w:t>
      </w:r>
      <w:r w:rsidR="007A5D1C" w:rsidRPr="00C52FF7">
        <w:rPr>
          <w:rFonts w:ascii="Arial" w:hAnsi="Arial" w:cs="Arial"/>
          <w:sz w:val="20"/>
        </w:rPr>
        <w:t xml:space="preserve"> or</w:t>
      </w:r>
    </w:p>
    <w:p w14:paraId="5C7149A0" w14:textId="7A2F02F9" w:rsidR="00F85F08" w:rsidRPr="00C52FF7" w:rsidRDefault="00F85F08" w:rsidP="00DC36FC">
      <w:pPr>
        <w:pStyle w:val="ListParagraph"/>
        <w:numPr>
          <w:ilvl w:val="0"/>
          <w:numId w:val="37"/>
        </w:numPr>
        <w:ind w:left="1145" w:hanging="425"/>
        <w:contextualSpacing w:val="0"/>
        <w:rPr>
          <w:rFonts w:ascii="Arial" w:hAnsi="Arial" w:cs="Arial"/>
          <w:sz w:val="20"/>
          <w:shd w:val="clear" w:color="auto" w:fill="FFFFFF"/>
        </w:rPr>
      </w:pPr>
      <w:r w:rsidRPr="00C52FF7">
        <w:rPr>
          <w:rFonts w:ascii="Arial" w:hAnsi="Arial" w:cs="Arial"/>
          <w:sz w:val="20"/>
        </w:rPr>
        <w:t>in preparations for cosmetic use containing 100 mg/kg or less of lead;</w:t>
      </w:r>
      <w:r w:rsidR="007A5D1C" w:rsidRPr="00C52FF7">
        <w:rPr>
          <w:rFonts w:ascii="Arial" w:hAnsi="Arial" w:cs="Arial"/>
          <w:sz w:val="20"/>
        </w:rPr>
        <w:t xml:space="preserve"> or</w:t>
      </w:r>
    </w:p>
    <w:p w14:paraId="0122682E" w14:textId="77777777" w:rsidR="00F85F08" w:rsidRPr="00C52FF7" w:rsidRDefault="00F85F08" w:rsidP="00DC36FC">
      <w:pPr>
        <w:pStyle w:val="ListParagraph"/>
        <w:numPr>
          <w:ilvl w:val="0"/>
          <w:numId w:val="37"/>
        </w:numPr>
        <w:ind w:left="1145" w:hanging="425"/>
        <w:contextualSpacing w:val="0"/>
        <w:rPr>
          <w:rFonts w:ascii="Arial" w:hAnsi="Arial" w:cs="Arial"/>
          <w:sz w:val="20"/>
          <w:shd w:val="clear" w:color="auto" w:fill="FFFFFF"/>
        </w:rPr>
      </w:pPr>
      <w:r w:rsidRPr="00C52FF7">
        <w:rPr>
          <w:rFonts w:ascii="Arial" w:hAnsi="Arial" w:cs="Arial"/>
          <w:sz w:val="20"/>
        </w:rPr>
        <w:t>in pencil cores, finger colours, showcard colours, pastels, crayons, poster paints/colours or coloured chalks containing 100 mg/kg or less of lead; or</w:t>
      </w:r>
    </w:p>
    <w:p w14:paraId="20035327" w14:textId="77777777" w:rsidR="00F85F08" w:rsidRPr="00C52FF7" w:rsidRDefault="00F85F08" w:rsidP="00DC36FC">
      <w:pPr>
        <w:pStyle w:val="ListParagraph"/>
        <w:keepNext/>
        <w:numPr>
          <w:ilvl w:val="0"/>
          <w:numId w:val="37"/>
        </w:numPr>
        <w:ind w:left="1144" w:hanging="425"/>
        <w:contextualSpacing w:val="0"/>
        <w:rPr>
          <w:rFonts w:ascii="Arial" w:hAnsi="Arial" w:cs="Arial"/>
          <w:sz w:val="20"/>
          <w:shd w:val="clear" w:color="auto" w:fill="FFFFFF"/>
        </w:rPr>
      </w:pPr>
      <w:r w:rsidRPr="00C52FF7">
        <w:rPr>
          <w:rFonts w:ascii="Arial" w:hAnsi="Arial" w:cs="Arial"/>
          <w:sz w:val="20"/>
        </w:rPr>
        <w:t>in ceramic glazes when labelled with the warning statement:</w:t>
      </w:r>
    </w:p>
    <w:p w14:paraId="36729517" w14:textId="6AA6E638" w:rsidR="00F85F08" w:rsidRPr="00C52FF7" w:rsidRDefault="00F85F08" w:rsidP="00C52FF7">
      <w:pPr>
        <w:ind w:left="1570"/>
        <w:rPr>
          <w:rFonts w:cs="Arial"/>
        </w:rPr>
      </w:pPr>
      <w:r w:rsidRPr="00C52FF7">
        <w:rPr>
          <w:rFonts w:cs="Arial"/>
        </w:rPr>
        <w:t>CAUTION – Harmful if swallowed. Do not use on surfaces which contact food or drink</w:t>
      </w:r>
      <w:r w:rsidR="00C52FF7" w:rsidRPr="00C52FF7">
        <w:rPr>
          <w:rFonts w:cs="Arial"/>
        </w:rPr>
        <w:t xml:space="preserve"> </w:t>
      </w:r>
      <w:r w:rsidRPr="00C52FF7">
        <w:rPr>
          <w:rFonts w:cs="Arial"/>
        </w:rPr>
        <w:t>written in letters not less than 1.5 mm in height.</w:t>
      </w:r>
    </w:p>
    <w:p w14:paraId="47A313CB" w14:textId="77777777" w:rsidR="00F85F08" w:rsidRPr="00EA1706" w:rsidRDefault="00F85F08" w:rsidP="00F85F08">
      <w:pPr>
        <w:ind w:left="426"/>
        <w:rPr>
          <w:rFonts w:cstheme="minorHAnsi"/>
          <w:b/>
        </w:rPr>
      </w:pPr>
      <w:r w:rsidRPr="00EA1706">
        <w:rPr>
          <w:rFonts w:cstheme="minorHAnsi"/>
          <w:b/>
        </w:rPr>
        <w:t>Schedule 4</w:t>
      </w:r>
    </w:p>
    <w:p w14:paraId="563B1D4C" w14:textId="77777777" w:rsidR="00F85F08" w:rsidRDefault="00F85F08" w:rsidP="00DC36FC">
      <w:pPr>
        <w:ind w:left="720"/>
        <w:rPr>
          <w:rFonts w:cstheme="minorHAnsi"/>
        </w:rPr>
      </w:pPr>
      <w:r>
        <w:rPr>
          <w:szCs w:val="22"/>
        </w:rPr>
        <w:t>LEAD for human therapeutic use.</w:t>
      </w:r>
    </w:p>
    <w:p w14:paraId="3EE08EB6" w14:textId="5E5F2EE4" w:rsidR="00F216E2" w:rsidRPr="00C52FF7" w:rsidRDefault="00F216E2" w:rsidP="00F216E2">
      <w:pPr>
        <w:spacing w:before="240"/>
        <w:ind w:left="426"/>
        <w:rPr>
          <w:rFonts w:cs="Arial"/>
          <w:b/>
        </w:rPr>
      </w:pPr>
      <w:r w:rsidRPr="00C52FF7">
        <w:rPr>
          <w:rFonts w:cs="Arial"/>
          <w:b/>
        </w:rPr>
        <w:t>Appendix B, Clause 3</w:t>
      </w:r>
    </w:p>
    <w:tbl>
      <w:tblPr>
        <w:tblStyle w:val="TableTGAblue"/>
        <w:tblW w:w="8222" w:type="dxa"/>
        <w:tblInd w:w="699" w:type="dxa"/>
        <w:tblLook w:val="04A0" w:firstRow="1" w:lastRow="0" w:firstColumn="1" w:lastColumn="0" w:noHBand="0" w:noVBand="1"/>
      </w:tblPr>
      <w:tblGrid>
        <w:gridCol w:w="2055"/>
        <w:gridCol w:w="2056"/>
        <w:gridCol w:w="2055"/>
        <w:gridCol w:w="2056"/>
      </w:tblGrid>
      <w:tr w:rsidR="00DA2364" w:rsidRPr="00C52FF7" w14:paraId="763DC062" w14:textId="77777777" w:rsidTr="00DC3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hideMark/>
          </w:tcPr>
          <w:p w14:paraId="47CFA579" w14:textId="77777777" w:rsidR="00F216E2" w:rsidRPr="00C52FF7" w:rsidRDefault="00F216E2" w:rsidP="00150DCC">
            <w:pPr>
              <w:rPr>
                <w:rFonts w:cs="Arial"/>
                <w:sz w:val="20"/>
                <w:szCs w:val="20"/>
              </w:rPr>
            </w:pPr>
            <w:r w:rsidRPr="00C52FF7">
              <w:rPr>
                <w:rFonts w:cs="Arial"/>
                <w:sz w:val="20"/>
                <w:szCs w:val="20"/>
              </w:rPr>
              <w:t>SUBSTANCE</w:t>
            </w:r>
          </w:p>
        </w:tc>
        <w:tc>
          <w:tcPr>
            <w:tcW w:w="2056" w:type="dxa"/>
            <w:hideMark/>
          </w:tcPr>
          <w:p w14:paraId="040BE622" w14:textId="77777777" w:rsidR="00F216E2" w:rsidRPr="00C52FF7" w:rsidRDefault="00F216E2" w:rsidP="00150DC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DATE OF ENTRY</w:t>
            </w:r>
          </w:p>
        </w:tc>
        <w:tc>
          <w:tcPr>
            <w:tcW w:w="2055" w:type="dxa"/>
            <w:hideMark/>
          </w:tcPr>
          <w:p w14:paraId="57884B4A" w14:textId="77777777" w:rsidR="00F216E2" w:rsidRPr="00C52FF7" w:rsidRDefault="00F216E2" w:rsidP="00150DC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REASON FOR LISTING</w:t>
            </w:r>
          </w:p>
        </w:tc>
        <w:tc>
          <w:tcPr>
            <w:tcW w:w="2056" w:type="dxa"/>
            <w:hideMark/>
          </w:tcPr>
          <w:p w14:paraId="22BD44C7" w14:textId="77777777" w:rsidR="00F216E2" w:rsidRPr="00C52FF7" w:rsidRDefault="00F216E2" w:rsidP="00150DC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AREA OF USE</w:t>
            </w:r>
          </w:p>
        </w:tc>
      </w:tr>
      <w:tr w:rsidR="00F216E2" w:rsidRPr="00C52FF7" w14:paraId="17F6ECB8" w14:textId="77777777" w:rsidTr="00DC36FC">
        <w:tc>
          <w:tcPr>
            <w:cnfStyle w:val="001000000000" w:firstRow="0" w:lastRow="0" w:firstColumn="1" w:lastColumn="0" w:oddVBand="0" w:evenVBand="0" w:oddHBand="0" w:evenHBand="0" w:firstRowFirstColumn="0" w:firstRowLastColumn="0" w:lastRowFirstColumn="0" w:lastRowLastColumn="0"/>
            <w:tcW w:w="2055" w:type="dxa"/>
            <w:hideMark/>
          </w:tcPr>
          <w:p w14:paraId="0BEBD568" w14:textId="77777777" w:rsidR="00F216E2" w:rsidRPr="00C52FF7" w:rsidRDefault="00F216E2" w:rsidP="00150DCC">
            <w:pPr>
              <w:rPr>
                <w:rFonts w:eastAsia="Times New Roman" w:cs="Arial"/>
                <w:sz w:val="20"/>
                <w:szCs w:val="20"/>
              </w:rPr>
            </w:pPr>
            <w:r w:rsidRPr="00C52FF7">
              <w:rPr>
                <w:rFonts w:cs="Arial"/>
                <w:sz w:val="20"/>
                <w:szCs w:val="20"/>
              </w:rPr>
              <w:t>LEAD METALLIC</w:t>
            </w:r>
          </w:p>
        </w:tc>
        <w:tc>
          <w:tcPr>
            <w:tcW w:w="2056" w:type="dxa"/>
            <w:hideMark/>
          </w:tcPr>
          <w:p w14:paraId="7166BB30" w14:textId="77777777" w:rsidR="00F216E2" w:rsidRPr="00C52FF7" w:rsidRDefault="00F216E2" w:rsidP="00150DC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C52FF7">
              <w:rPr>
                <w:rFonts w:cs="Arial"/>
                <w:sz w:val="20"/>
                <w:szCs w:val="20"/>
              </w:rPr>
              <w:t>-</w:t>
            </w:r>
          </w:p>
        </w:tc>
        <w:tc>
          <w:tcPr>
            <w:tcW w:w="2055" w:type="dxa"/>
            <w:hideMark/>
          </w:tcPr>
          <w:p w14:paraId="0D281A6D" w14:textId="77777777" w:rsidR="00F216E2" w:rsidRPr="00C52FF7" w:rsidRDefault="00F216E2" w:rsidP="00150DC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C52FF7">
              <w:rPr>
                <w:rFonts w:cs="Arial"/>
                <w:sz w:val="20"/>
                <w:szCs w:val="20"/>
              </w:rPr>
              <w:t>a – Low Toxicity</w:t>
            </w:r>
          </w:p>
        </w:tc>
        <w:tc>
          <w:tcPr>
            <w:tcW w:w="2056" w:type="dxa"/>
            <w:hideMark/>
          </w:tcPr>
          <w:p w14:paraId="568A6FFC" w14:textId="77777777" w:rsidR="00F216E2" w:rsidRPr="00C52FF7" w:rsidRDefault="00F216E2" w:rsidP="00150DCC">
            <w:p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C52FF7">
              <w:rPr>
                <w:rFonts w:cs="Arial"/>
                <w:sz w:val="20"/>
                <w:szCs w:val="20"/>
              </w:rPr>
              <w:t>7.1 – Any use</w:t>
            </w:r>
          </w:p>
        </w:tc>
      </w:tr>
    </w:tbl>
    <w:p w14:paraId="34DFE28C" w14:textId="5D400A3D" w:rsidR="00F85F08" w:rsidRPr="00C52FF7" w:rsidRDefault="00F85F08" w:rsidP="007651FF">
      <w:pPr>
        <w:spacing w:before="240"/>
        <w:ind w:left="426"/>
        <w:rPr>
          <w:rFonts w:cs="Arial"/>
          <w:b/>
        </w:rPr>
      </w:pPr>
      <w:r w:rsidRPr="00C52FF7">
        <w:rPr>
          <w:rFonts w:cs="Arial"/>
          <w:b/>
        </w:rPr>
        <w:t xml:space="preserve">Appendix E, </w:t>
      </w:r>
      <w:r w:rsidR="00F216E2" w:rsidRPr="00C52FF7">
        <w:rPr>
          <w:rFonts w:cs="Arial"/>
          <w:b/>
        </w:rPr>
        <w:t>Clause</w:t>
      </w:r>
      <w:r w:rsidRPr="00C52FF7">
        <w:rPr>
          <w:rFonts w:cs="Arial"/>
          <w:b/>
        </w:rPr>
        <w:t xml:space="preserve"> </w:t>
      </w:r>
      <w:r w:rsidR="00F216E2" w:rsidRPr="00C52FF7">
        <w:rPr>
          <w:rFonts w:cs="Arial"/>
          <w:b/>
        </w:rPr>
        <w:t>3</w:t>
      </w:r>
    </w:p>
    <w:tbl>
      <w:tblPr>
        <w:tblStyle w:val="TableTGAblue"/>
        <w:tblW w:w="0" w:type="auto"/>
        <w:tblInd w:w="699" w:type="dxa"/>
        <w:tblLook w:val="04A0" w:firstRow="1" w:lastRow="0" w:firstColumn="1" w:lastColumn="0" w:noHBand="0" w:noVBand="1"/>
      </w:tblPr>
      <w:tblGrid>
        <w:gridCol w:w="2738"/>
        <w:gridCol w:w="5484"/>
      </w:tblGrid>
      <w:tr w:rsidR="00F85F08" w:rsidRPr="00C52FF7" w14:paraId="7B286FE1" w14:textId="77777777" w:rsidTr="00DC3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hideMark/>
          </w:tcPr>
          <w:p w14:paraId="0C02EAF5" w14:textId="77777777" w:rsidR="00F85F08" w:rsidRPr="00C52FF7" w:rsidRDefault="00F85F08" w:rsidP="00150DCC">
            <w:pPr>
              <w:rPr>
                <w:rFonts w:cs="Arial"/>
                <w:sz w:val="20"/>
                <w:szCs w:val="20"/>
              </w:rPr>
            </w:pPr>
            <w:r w:rsidRPr="00C52FF7">
              <w:rPr>
                <w:rFonts w:cs="Arial"/>
                <w:sz w:val="20"/>
                <w:szCs w:val="20"/>
              </w:rPr>
              <w:t>POISON</w:t>
            </w:r>
          </w:p>
        </w:tc>
        <w:tc>
          <w:tcPr>
            <w:tcW w:w="5484" w:type="dxa"/>
            <w:hideMark/>
          </w:tcPr>
          <w:p w14:paraId="66FC612A" w14:textId="77777777" w:rsidR="00F85F08" w:rsidRPr="00C52FF7" w:rsidRDefault="00F85F08" w:rsidP="00150DC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STANDARD STATEMENTS</w:t>
            </w:r>
          </w:p>
        </w:tc>
      </w:tr>
      <w:tr w:rsidR="00F85F08" w:rsidRPr="00C52FF7" w14:paraId="30151324" w14:textId="77777777" w:rsidTr="00DC36FC">
        <w:tc>
          <w:tcPr>
            <w:cnfStyle w:val="001000000000" w:firstRow="0" w:lastRow="0" w:firstColumn="1" w:lastColumn="0" w:oddVBand="0" w:evenVBand="0" w:oddHBand="0" w:evenHBand="0" w:firstRowFirstColumn="0" w:firstRowLastColumn="0" w:lastRowFirstColumn="0" w:lastRowLastColumn="0"/>
            <w:tcW w:w="2738" w:type="dxa"/>
          </w:tcPr>
          <w:p w14:paraId="595912F5" w14:textId="77777777" w:rsidR="00F85F08" w:rsidRPr="00C52FF7" w:rsidRDefault="00F85F08" w:rsidP="00150DCC">
            <w:pPr>
              <w:pStyle w:val="ListBullet"/>
              <w:numPr>
                <w:ilvl w:val="0"/>
                <w:numId w:val="0"/>
              </w:numPr>
              <w:ind w:left="360" w:hanging="360"/>
              <w:rPr>
                <w:rFonts w:cs="Arial"/>
                <w:sz w:val="20"/>
                <w:szCs w:val="20"/>
              </w:rPr>
            </w:pPr>
            <w:r w:rsidRPr="00C52FF7">
              <w:rPr>
                <w:rFonts w:cs="Arial"/>
                <w:sz w:val="20"/>
                <w:szCs w:val="20"/>
              </w:rPr>
              <w:t>LEAD COMPOUNDS</w:t>
            </w:r>
          </w:p>
        </w:tc>
        <w:tc>
          <w:tcPr>
            <w:tcW w:w="5484" w:type="dxa"/>
          </w:tcPr>
          <w:p w14:paraId="49392389"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F85F08" w:rsidRPr="00C52FF7" w14:paraId="69A1B7D8" w14:textId="77777777" w:rsidTr="00DC36FC">
        <w:tc>
          <w:tcPr>
            <w:cnfStyle w:val="001000000000" w:firstRow="0" w:lastRow="0" w:firstColumn="1" w:lastColumn="0" w:oddVBand="0" w:evenVBand="0" w:oddHBand="0" w:evenHBand="0" w:firstRowFirstColumn="0" w:firstRowLastColumn="0" w:lastRowFirstColumn="0" w:lastRowLastColumn="0"/>
            <w:tcW w:w="2738" w:type="dxa"/>
          </w:tcPr>
          <w:p w14:paraId="338C13C9" w14:textId="77777777" w:rsidR="00F85F08" w:rsidRPr="00C52FF7" w:rsidRDefault="00F85F08" w:rsidP="00F85F08">
            <w:pPr>
              <w:pStyle w:val="ListBullet"/>
              <w:numPr>
                <w:ilvl w:val="0"/>
                <w:numId w:val="34"/>
              </w:numPr>
              <w:rPr>
                <w:rFonts w:cs="Arial"/>
                <w:sz w:val="20"/>
                <w:szCs w:val="20"/>
              </w:rPr>
            </w:pPr>
            <w:r w:rsidRPr="00C52FF7">
              <w:rPr>
                <w:rFonts w:cs="Arial"/>
                <w:sz w:val="20"/>
                <w:szCs w:val="20"/>
              </w:rPr>
              <w:t xml:space="preserve">in hair cosmetics </w:t>
            </w:r>
          </w:p>
        </w:tc>
        <w:tc>
          <w:tcPr>
            <w:tcW w:w="5484" w:type="dxa"/>
          </w:tcPr>
          <w:p w14:paraId="1FDFD958"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bCs/>
                <w:sz w:val="20"/>
                <w:szCs w:val="20"/>
              </w:rPr>
              <w:t xml:space="preserve">A </w:t>
            </w:r>
            <w:r w:rsidRPr="00C52FF7">
              <w:rPr>
                <w:rFonts w:cs="Arial"/>
                <w:sz w:val="20"/>
                <w:szCs w:val="20"/>
              </w:rPr>
              <w:t>– For advice, contact a Poisons Information Centre (</w:t>
            </w:r>
            <w:proofErr w:type="gramStart"/>
            <w:r w:rsidRPr="00C52FF7">
              <w:rPr>
                <w:rFonts w:cs="Arial"/>
                <w:sz w:val="20"/>
                <w:szCs w:val="20"/>
              </w:rPr>
              <w:t>e.g.</w:t>
            </w:r>
            <w:proofErr w:type="gramEnd"/>
            <w:r w:rsidRPr="00C52FF7">
              <w:rPr>
                <w:rFonts w:cs="Arial"/>
                <w:sz w:val="20"/>
                <w:szCs w:val="20"/>
              </w:rPr>
              <w:t xml:space="preserve"> phone Australia 13 11 26; New Zealand 0800 764 766) or a doctor (at once).</w:t>
            </w:r>
          </w:p>
        </w:tc>
      </w:tr>
      <w:tr w:rsidR="00F85F08" w:rsidRPr="00C52FF7" w14:paraId="30CDE6B0" w14:textId="77777777" w:rsidTr="00DC36FC">
        <w:tc>
          <w:tcPr>
            <w:cnfStyle w:val="001000000000" w:firstRow="0" w:lastRow="0" w:firstColumn="1" w:lastColumn="0" w:oddVBand="0" w:evenVBand="0" w:oddHBand="0" w:evenHBand="0" w:firstRowFirstColumn="0" w:firstRowLastColumn="0" w:lastRowFirstColumn="0" w:lastRowLastColumn="0"/>
            <w:tcW w:w="2738" w:type="dxa"/>
          </w:tcPr>
          <w:p w14:paraId="7C16C01E" w14:textId="77777777" w:rsidR="00F85F08" w:rsidRPr="00C52FF7" w:rsidRDefault="00F85F08" w:rsidP="00F85F08">
            <w:pPr>
              <w:pStyle w:val="ListBullet"/>
              <w:numPr>
                <w:ilvl w:val="0"/>
                <w:numId w:val="36"/>
              </w:numPr>
              <w:rPr>
                <w:rFonts w:cs="Arial"/>
                <w:sz w:val="20"/>
                <w:szCs w:val="20"/>
              </w:rPr>
            </w:pPr>
            <w:r w:rsidRPr="00C52FF7">
              <w:rPr>
                <w:rFonts w:cs="Arial"/>
                <w:sz w:val="20"/>
                <w:szCs w:val="20"/>
              </w:rPr>
              <w:t>in other preparations</w:t>
            </w:r>
          </w:p>
        </w:tc>
        <w:tc>
          <w:tcPr>
            <w:tcW w:w="5484" w:type="dxa"/>
          </w:tcPr>
          <w:p w14:paraId="0FD53942"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bCs/>
                <w:sz w:val="20"/>
                <w:szCs w:val="20"/>
              </w:rPr>
              <w:t xml:space="preserve">A </w:t>
            </w:r>
            <w:r w:rsidRPr="00C52FF7">
              <w:rPr>
                <w:rFonts w:cs="Arial"/>
                <w:sz w:val="20"/>
                <w:szCs w:val="20"/>
              </w:rPr>
              <w:t>– For advice, contact a Poisons Information Centre (</w:t>
            </w:r>
            <w:proofErr w:type="gramStart"/>
            <w:r w:rsidRPr="00C52FF7">
              <w:rPr>
                <w:rFonts w:cs="Arial"/>
                <w:sz w:val="20"/>
                <w:szCs w:val="20"/>
              </w:rPr>
              <w:t>e.g.</w:t>
            </w:r>
            <w:proofErr w:type="gramEnd"/>
            <w:r w:rsidRPr="00C52FF7">
              <w:rPr>
                <w:rFonts w:cs="Arial"/>
                <w:sz w:val="20"/>
                <w:szCs w:val="20"/>
              </w:rPr>
              <w:t xml:space="preserve"> phone Australia 13 11 26; New Zealand 0800 764 766) or a doctor (at once).</w:t>
            </w:r>
          </w:p>
          <w:p w14:paraId="02026449"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bCs/>
                <w:sz w:val="20"/>
                <w:szCs w:val="20"/>
              </w:rPr>
              <w:t xml:space="preserve">S1 </w:t>
            </w:r>
            <w:r w:rsidRPr="00C52FF7">
              <w:rPr>
                <w:rFonts w:cs="Arial"/>
                <w:sz w:val="20"/>
                <w:szCs w:val="20"/>
              </w:rPr>
              <w:t>– If skin or hair contact occurs, remove contaminated clothing and flush skin and hair with running water.</w:t>
            </w:r>
          </w:p>
        </w:tc>
      </w:tr>
    </w:tbl>
    <w:p w14:paraId="6617C12F" w14:textId="0BECC05F" w:rsidR="00F85F08" w:rsidRPr="00C52FF7" w:rsidRDefault="00F85F08" w:rsidP="00C52FF7">
      <w:pPr>
        <w:keepNext/>
        <w:spacing w:before="240"/>
        <w:ind w:left="425"/>
        <w:rPr>
          <w:rFonts w:cs="Arial"/>
          <w:b/>
        </w:rPr>
      </w:pPr>
      <w:r w:rsidRPr="00C52FF7">
        <w:rPr>
          <w:rFonts w:cs="Arial"/>
          <w:b/>
        </w:rPr>
        <w:lastRenderedPageBreak/>
        <w:t xml:space="preserve">Appendix F, </w:t>
      </w:r>
      <w:r w:rsidR="00F216E2" w:rsidRPr="00C52FF7">
        <w:rPr>
          <w:rFonts w:cs="Arial"/>
          <w:b/>
        </w:rPr>
        <w:t>Clause</w:t>
      </w:r>
      <w:r w:rsidRPr="00C52FF7">
        <w:rPr>
          <w:rFonts w:cs="Arial"/>
          <w:b/>
        </w:rPr>
        <w:t xml:space="preserve"> </w:t>
      </w:r>
      <w:r w:rsidR="00F216E2" w:rsidRPr="00C52FF7">
        <w:rPr>
          <w:rFonts w:cs="Arial"/>
          <w:b/>
        </w:rPr>
        <w:t>4</w:t>
      </w:r>
    </w:p>
    <w:tbl>
      <w:tblPr>
        <w:tblStyle w:val="TableTGAblue"/>
        <w:tblW w:w="0" w:type="auto"/>
        <w:tblInd w:w="699" w:type="dxa"/>
        <w:tblLook w:val="04A0" w:firstRow="1" w:lastRow="0" w:firstColumn="1" w:lastColumn="0" w:noHBand="0" w:noVBand="1"/>
      </w:tblPr>
      <w:tblGrid>
        <w:gridCol w:w="2171"/>
        <w:gridCol w:w="3402"/>
        <w:gridCol w:w="2649"/>
      </w:tblGrid>
      <w:tr w:rsidR="000715DA" w:rsidRPr="00C52FF7" w14:paraId="4D36E2EE" w14:textId="77777777" w:rsidTr="00DC3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1" w:type="dxa"/>
            <w:hideMark/>
          </w:tcPr>
          <w:p w14:paraId="385B1159" w14:textId="77777777" w:rsidR="00F85F08" w:rsidRPr="00C52FF7" w:rsidRDefault="00F85F08" w:rsidP="00150DCC">
            <w:pPr>
              <w:rPr>
                <w:rFonts w:cs="Arial"/>
                <w:sz w:val="20"/>
                <w:szCs w:val="20"/>
              </w:rPr>
            </w:pPr>
            <w:r w:rsidRPr="00C52FF7">
              <w:rPr>
                <w:rFonts w:cs="Arial"/>
                <w:sz w:val="20"/>
                <w:szCs w:val="20"/>
              </w:rPr>
              <w:t>POISON</w:t>
            </w:r>
          </w:p>
        </w:tc>
        <w:tc>
          <w:tcPr>
            <w:tcW w:w="3402" w:type="dxa"/>
            <w:hideMark/>
          </w:tcPr>
          <w:p w14:paraId="18B5650B" w14:textId="77777777" w:rsidR="00F85F08" w:rsidRPr="00C52FF7" w:rsidRDefault="00F85F08" w:rsidP="00150DC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WARNING STATEMENTS</w:t>
            </w:r>
          </w:p>
        </w:tc>
        <w:tc>
          <w:tcPr>
            <w:tcW w:w="2649" w:type="dxa"/>
            <w:hideMark/>
          </w:tcPr>
          <w:p w14:paraId="01F20515" w14:textId="77777777" w:rsidR="00F85F08" w:rsidRPr="00C52FF7" w:rsidRDefault="00F85F08" w:rsidP="00150DCC">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SAFETY DIRECTION</w:t>
            </w:r>
          </w:p>
        </w:tc>
      </w:tr>
      <w:tr w:rsidR="000715DA" w:rsidRPr="00C52FF7" w14:paraId="3FA2BFFC" w14:textId="77777777" w:rsidTr="00DC36FC">
        <w:tc>
          <w:tcPr>
            <w:cnfStyle w:val="001000000000" w:firstRow="0" w:lastRow="0" w:firstColumn="1" w:lastColumn="0" w:oddVBand="0" w:evenVBand="0" w:oddHBand="0" w:evenHBand="0" w:firstRowFirstColumn="0" w:firstRowLastColumn="0" w:lastRowFirstColumn="0" w:lastRowLastColumn="0"/>
            <w:tcW w:w="2171" w:type="dxa"/>
          </w:tcPr>
          <w:p w14:paraId="381352C1" w14:textId="77777777" w:rsidR="00F85F08" w:rsidRPr="00C52FF7" w:rsidRDefault="00F85F08" w:rsidP="00150DCC">
            <w:pPr>
              <w:rPr>
                <w:rFonts w:cs="Arial"/>
                <w:sz w:val="20"/>
                <w:szCs w:val="20"/>
              </w:rPr>
            </w:pPr>
            <w:r w:rsidRPr="00C52FF7">
              <w:rPr>
                <w:rFonts w:cs="Arial"/>
                <w:sz w:val="20"/>
                <w:szCs w:val="20"/>
                <w:shd w:val="clear" w:color="auto" w:fill="FFFFFF"/>
              </w:rPr>
              <w:t>Glazing preparations containing LEAD COMPOUNDS.</w:t>
            </w:r>
          </w:p>
        </w:tc>
        <w:tc>
          <w:tcPr>
            <w:tcW w:w="3402" w:type="dxa"/>
          </w:tcPr>
          <w:p w14:paraId="585A805E"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C52FF7">
              <w:rPr>
                <w:rFonts w:cs="Arial"/>
                <w:b/>
                <w:sz w:val="20"/>
                <w:szCs w:val="20"/>
              </w:rPr>
              <w:t xml:space="preserve">50 </w:t>
            </w:r>
            <w:r w:rsidRPr="00C52FF7">
              <w:rPr>
                <w:rFonts w:cs="Arial"/>
                <w:sz w:val="20"/>
                <w:szCs w:val="20"/>
              </w:rPr>
              <w:t>-</w:t>
            </w:r>
            <w:r w:rsidRPr="00C52FF7">
              <w:rPr>
                <w:rFonts w:cs="Arial"/>
                <w:b/>
                <w:sz w:val="20"/>
                <w:szCs w:val="20"/>
              </w:rPr>
              <w:t xml:space="preserve"> </w:t>
            </w:r>
            <w:r w:rsidRPr="00C52FF7">
              <w:rPr>
                <w:rFonts w:cs="Arial"/>
                <w:sz w:val="20"/>
                <w:szCs w:val="20"/>
                <w:shd w:val="clear" w:color="auto" w:fill="FFFFFF"/>
              </w:rPr>
              <w:t>Unless adequately fired, utensils glazed with this preparation must not be used as containers for food or beverages; to do so may cause lead poisoning.</w:t>
            </w:r>
          </w:p>
        </w:tc>
        <w:tc>
          <w:tcPr>
            <w:tcW w:w="2649" w:type="dxa"/>
          </w:tcPr>
          <w:p w14:paraId="22FB7037" w14:textId="77777777" w:rsidR="00F85F08" w:rsidRPr="00C52FF7" w:rsidRDefault="00F85F08" w:rsidP="00150DC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715DA" w:rsidRPr="00C52FF7" w14:paraId="429BF85F" w14:textId="77777777" w:rsidTr="00DC36FC">
        <w:tc>
          <w:tcPr>
            <w:cnfStyle w:val="001000000000" w:firstRow="0" w:lastRow="0" w:firstColumn="1" w:lastColumn="0" w:oddVBand="0" w:evenVBand="0" w:oddHBand="0" w:evenHBand="0" w:firstRowFirstColumn="0" w:firstRowLastColumn="0" w:lastRowFirstColumn="0" w:lastRowLastColumn="0"/>
            <w:tcW w:w="2171" w:type="dxa"/>
          </w:tcPr>
          <w:p w14:paraId="38838131" w14:textId="77777777" w:rsidR="00F85F08" w:rsidRPr="00C52FF7" w:rsidRDefault="00F85F08" w:rsidP="00150DCC">
            <w:pPr>
              <w:pStyle w:val="Numberbullet2aitalicised"/>
              <w:numPr>
                <w:ilvl w:val="0"/>
                <w:numId w:val="0"/>
              </w:numPr>
              <w:rPr>
                <w:rFonts w:ascii="Arial" w:hAnsi="Arial" w:cs="Arial"/>
                <w:i w:val="0"/>
                <w:sz w:val="20"/>
                <w:szCs w:val="20"/>
              </w:rPr>
            </w:pPr>
            <w:r w:rsidRPr="00C52FF7">
              <w:rPr>
                <w:rFonts w:ascii="Arial" w:hAnsi="Arial" w:cs="Arial"/>
                <w:i w:val="0"/>
                <w:sz w:val="20"/>
                <w:szCs w:val="20"/>
              </w:rPr>
              <w:t>LEAD COMPOUNDS</w:t>
            </w:r>
          </w:p>
        </w:tc>
        <w:tc>
          <w:tcPr>
            <w:tcW w:w="3402" w:type="dxa"/>
          </w:tcPr>
          <w:p w14:paraId="28000427"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2649" w:type="dxa"/>
          </w:tcPr>
          <w:p w14:paraId="23AC0D5C" w14:textId="77777777" w:rsidR="00F85F08" w:rsidRPr="00C52FF7" w:rsidRDefault="00F85F08" w:rsidP="00150DC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0715DA" w:rsidRPr="00C52FF7" w14:paraId="18863787" w14:textId="77777777" w:rsidTr="00DC36FC">
        <w:tc>
          <w:tcPr>
            <w:cnfStyle w:val="001000000000" w:firstRow="0" w:lastRow="0" w:firstColumn="1" w:lastColumn="0" w:oddVBand="0" w:evenVBand="0" w:oddHBand="0" w:evenHBand="0" w:firstRowFirstColumn="0" w:firstRowLastColumn="0" w:lastRowFirstColumn="0" w:lastRowLastColumn="0"/>
            <w:tcW w:w="2171" w:type="dxa"/>
          </w:tcPr>
          <w:p w14:paraId="1D0DC86B" w14:textId="77777777" w:rsidR="00F85F08" w:rsidRPr="00C52FF7" w:rsidRDefault="00F85F08" w:rsidP="00F85F08">
            <w:pPr>
              <w:pStyle w:val="Numberbullet2aitalicised"/>
              <w:numPr>
                <w:ilvl w:val="0"/>
                <w:numId w:val="38"/>
              </w:numPr>
              <w:ind w:left="460" w:hanging="426"/>
              <w:rPr>
                <w:rFonts w:ascii="Arial" w:hAnsi="Arial" w:cs="Arial"/>
                <w:i w:val="0"/>
                <w:sz w:val="20"/>
                <w:szCs w:val="20"/>
              </w:rPr>
            </w:pPr>
            <w:r w:rsidRPr="00C52FF7">
              <w:rPr>
                <w:rFonts w:ascii="Arial" w:hAnsi="Arial" w:cs="Arial"/>
                <w:i w:val="0"/>
                <w:sz w:val="20"/>
                <w:szCs w:val="20"/>
              </w:rPr>
              <w:t>in hair cosmetics.</w:t>
            </w:r>
          </w:p>
        </w:tc>
        <w:tc>
          <w:tcPr>
            <w:tcW w:w="3402" w:type="dxa"/>
          </w:tcPr>
          <w:p w14:paraId="34CE76EE"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sz w:val="20"/>
                <w:szCs w:val="20"/>
              </w:rPr>
              <w:t>25</w:t>
            </w:r>
            <w:r w:rsidRPr="00C52FF7">
              <w:rPr>
                <w:rFonts w:cs="Arial"/>
                <w:sz w:val="20"/>
                <w:szCs w:val="20"/>
              </w:rPr>
              <w:t xml:space="preserve"> - Do not use on broken skin. Wash hands thoroughly after use.</w:t>
            </w:r>
          </w:p>
        </w:tc>
        <w:tc>
          <w:tcPr>
            <w:tcW w:w="2649" w:type="dxa"/>
          </w:tcPr>
          <w:p w14:paraId="6FB55BEE" w14:textId="77777777" w:rsidR="00F85F08" w:rsidRPr="00C52FF7" w:rsidRDefault="00F85F08" w:rsidP="00150DC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0715DA" w:rsidRPr="00C52FF7" w14:paraId="72EFB457" w14:textId="77777777" w:rsidTr="00DC36FC">
        <w:tc>
          <w:tcPr>
            <w:cnfStyle w:val="001000000000" w:firstRow="0" w:lastRow="0" w:firstColumn="1" w:lastColumn="0" w:oddVBand="0" w:evenVBand="0" w:oddHBand="0" w:evenHBand="0" w:firstRowFirstColumn="0" w:firstRowLastColumn="0" w:lastRowFirstColumn="0" w:lastRowLastColumn="0"/>
            <w:tcW w:w="2171" w:type="dxa"/>
          </w:tcPr>
          <w:p w14:paraId="2FE36BB3" w14:textId="77777777" w:rsidR="00F85F08" w:rsidRPr="00C52FF7" w:rsidRDefault="00F85F08" w:rsidP="00150DCC">
            <w:pPr>
              <w:pStyle w:val="Numberbullet2aitalicised"/>
              <w:rPr>
                <w:rFonts w:ascii="Arial" w:hAnsi="Arial" w:cs="Arial"/>
                <w:i w:val="0"/>
                <w:sz w:val="20"/>
                <w:szCs w:val="20"/>
              </w:rPr>
            </w:pPr>
            <w:r w:rsidRPr="00C52FF7">
              <w:rPr>
                <w:rFonts w:ascii="Arial" w:hAnsi="Arial" w:cs="Arial"/>
                <w:i w:val="0"/>
                <w:sz w:val="20"/>
                <w:szCs w:val="20"/>
              </w:rPr>
              <w:t>when in Schedule 6.</w:t>
            </w:r>
          </w:p>
        </w:tc>
        <w:tc>
          <w:tcPr>
            <w:tcW w:w="3402" w:type="dxa"/>
          </w:tcPr>
          <w:p w14:paraId="42A78DBD" w14:textId="77777777" w:rsidR="00F85F08" w:rsidRPr="00C52FF7" w:rsidRDefault="00F85F08" w:rsidP="00150DC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649" w:type="dxa"/>
          </w:tcPr>
          <w:p w14:paraId="30F57217" w14:textId="77777777" w:rsidR="00F85F08" w:rsidRPr="00C52FF7" w:rsidRDefault="00F85F08" w:rsidP="00150DCC">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sz w:val="20"/>
                <w:szCs w:val="20"/>
              </w:rPr>
              <w:t xml:space="preserve">1 </w:t>
            </w:r>
            <w:r w:rsidRPr="00C52FF7">
              <w:rPr>
                <w:rFonts w:cs="Arial"/>
                <w:sz w:val="20"/>
                <w:szCs w:val="20"/>
              </w:rPr>
              <w:t>- Avoid contact with eyes.</w:t>
            </w:r>
            <w:r w:rsidRPr="00C52FF7">
              <w:rPr>
                <w:rFonts w:cs="Arial"/>
                <w:b/>
                <w:sz w:val="20"/>
                <w:szCs w:val="20"/>
              </w:rPr>
              <w:br/>
              <w:t xml:space="preserve">4 </w:t>
            </w:r>
            <w:r w:rsidRPr="00C52FF7">
              <w:rPr>
                <w:rFonts w:cs="Arial"/>
                <w:sz w:val="20"/>
                <w:szCs w:val="20"/>
              </w:rPr>
              <w:t>- Avoid contact with skin.</w:t>
            </w:r>
            <w:r w:rsidRPr="00C52FF7">
              <w:rPr>
                <w:rFonts w:cs="Arial"/>
                <w:b/>
                <w:sz w:val="20"/>
                <w:szCs w:val="20"/>
              </w:rPr>
              <w:br/>
              <w:t xml:space="preserve">8 </w:t>
            </w:r>
            <w:r w:rsidRPr="00C52FF7">
              <w:rPr>
                <w:rFonts w:cs="Arial"/>
                <w:sz w:val="20"/>
                <w:szCs w:val="20"/>
              </w:rPr>
              <w:t>- Avoid breathing dust (or) vapour (or) spray mist.</w:t>
            </w:r>
          </w:p>
        </w:tc>
      </w:tr>
    </w:tbl>
    <w:p w14:paraId="5BF78E4D" w14:textId="77777777" w:rsidR="00F85F08" w:rsidRPr="00C52FF7" w:rsidRDefault="00F85F08" w:rsidP="007651FF">
      <w:pPr>
        <w:spacing w:before="240"/>
        <w:ind w:left="426"/>
        <w:rPr>
          <w:rFonts w:cs="Arial"/>
          <w:b/>
          <w:szCs w:val="22"/>
        </w:rPr>
      </w:pPr>
      <w:r w:rsidRPr="00C52FF7">
        <w:rPr>
          <w:rFonts w:cs="Arial"/>
          <w:b/>
          <w:szCs w:val="22"/>
        </w:rPr>
        <w:t>Index</w:t>
      </w:r>
    </w:p>
    <w:p w14:paraId="7ED9FC1E" w14:textId="2B69EA1D" w:rsidR="00F85F08" w:rsidRPr="00C52FF7" w:rsidRDefault="00F85F08" w:rsidP="007651FF">
      <w:pPr>
        <w:ind w:left="720"/>
        <w:rPr>
          <w:rFonts w:cs="Arial"/>
          <w:b/>
          <w:szCs w:val="22"/>
        </w:rPr>
      </w:pPr>
      <w:r w:rsidRPr="00C52FF7">
        <w:rPr>
          <w:rFonts w:cs="Arial"/>
          <w:b/>
          <w:szCs w:val="22"/>
        </w:rPr>
        <w:t>LEAD</w:t>
      </w:r>
      <w:r w:rsidRPr="00C52FF7">
        <w:rPr>
          <w:rFonts w:cs="Arial"/>
          <w:b/>
          <w:szCs w:val="22"/>
        </w:rPr>
        <w:br/>
      </w:r>
      <w:r w:rsidRPr="00C52FF7">
        <w:rPr>
          <w:rFonts w:cs="Arial"/>
          <w:szCs w:val="22"/>
        </w:rPr>
        <w:t>cross reference: GLAZING PREPARATIONS, PRINTING INKS or INK ADDITIVES, SELENIUM</w:t>
      </w:r>
      <w:r w:rsidR="00F216E2" w:rsidRPr="00C52FF7">
        <w:rPr>
          <w:rFonts w:cs="Arial"/>
          <w:szCs w:val="22"/>
        </w:rPr>
        <w:br/>
      </w:r>
      <w:r w:rsidRPr="00C52FF7">
        <w:rPr>
          <w:rFonts w:cs="Arial"/>
          <w:szCs w:val="22"/>
        </w:rPr>
        <w:t>Schedule 4</w:t>
      </w:r>
    </w:p>
    <w:p w14:paraId="13482F57" w14:textId="17416BEE" w:rsidR="00F85F08" w:rsidRPr="00C52FF7" w:rsidRDefault="00F85F08" w:rsidP="007651FF">
      <w:pPr>
        <w:ind w:left="720"/>
        <w:rPr>
          <w:rFonts w:cs="Arial"/>
          <w:b/>
          <w:szCs w:val="22"/>
        </w:rPr>
      </w:pPr>
      <w:r w:rsidRPr="00C52FF7">
        <w:rPr>
          <w:rFonts w:cs="Arial"/>
          <w:b/>
          <w:szCs w:val="22"/>
        </w:rPr>
        <w:t>LEAD COMPOUNDS</w:t>
      </w:r>
      <w:r w:rsidRPr="00C52FF7">
        <w:rPr>
          <w:rFonts w:cs="Arial"/>
          <w:b/>
          <w:szCs w:val="22"/>
        </w:rPr>
        <w:br/>
      </w:r>
      <w:r w:rsidRPr="00C52FF7">
        <w:rPr>
          <w:rFonts w:cs="Arial"/>
          <w:szCs w:val="22"/>
        </w:rPr>
        <w:t>cross reference: GLAZING PREPARATIONS, PRINTING INKS or INK ADDITIVES, SELENIUM</w:t>
      </w:r>
      <w:r w:rsidR="00F216E2" w:rsidRPr="00C52FF7">
        <w:rPr>
          <w:rFonts w:cs="Arial"/>
          <w:szCs w:val="22"/>
        </w:rPr>
        <w:br/>
      </w:r>
      <w:r w:rsidRPr="00C52FF7">
        <w:rPr>
          <w:rFonts w:cs="Arial"/>
          <w:szCs w:val="22"/>
        </w:rPr>
        <w:t>Schedule 10</w:t>
      </w:r>
      <w:r w:rsidRPr="00C52FF7">
        <w:rPr>
          <w:rFonts w:cs="Arial"/>
          <w:szCs w:val="22"/>
        </w:rPr>
        <w:br/>
        <w:t>Schedule 6</w:t>
      </w:r>
      <w:r w:rsidRPr="00C52FF7">
        <w:rPr>
          <w:rFonts w:cs="Arial"/>
          <w:szCs w:val="22"/>
        </w:rPr>
        <w:br/>
        <w:t xml:space="preserve">Appendix E, </w:t>
      </w:r>
      <w:r w:rsidR="00F216E2" w:rsidRPr="00C52FF7">
        <w:rPr>
          <w:rFonts w:cs="Arial"/>
          <w:szCs w:val="22"/>
        </w:rPr>
        <w:t>Clause 3</w:t>
      </w:r>
      <w:r w:rsidRPr="00C52FF7">
        <w:rPr>
          <w:rFonts w:cs="Arial"/>
          <w:szCs w:val="22"/>
        </w:rPr>
        <w:br/>
        <w:t xml:space="preserve">Appendix F, </w:t>
      </w:r>
      <w:r w:rsidR="00F216E2" w:rsidRPr="00C52FF7">
        <w:rPr>
          <w:rFonts w:cs="Arial"/>
          <w:szCs w:val="22"/>
        </w:rPr>
        <w:t>Clause</w:t>
      </w:r>
      <w:r w:rsidRPr="00C52FF7">
        <w:rPr>
          <w:rFonts w:cs="Arial"/>
          <w:szCs w:val="22"/>
        </w:rPr>
        <w:t xml:space="preserve"> </w:t>
      </w:r>
      <w:r w:rsidR="00F216E2" w:rsidRPr="00C52FF7">
        <w:rPr>
          <w:rFonts w:cs="Arial"/>
          <w:szCs w:val="22"/>
        </w:rPr>
        <w:t>4 (in glazing preparations)</w:t>
      </w:r>
      <w:r w:rsidRPr="00C52FF7">
        <w:rPr>
          <w:rFonts w:cs="Arial"/>
          <w:szCs w:val="22"/>
        </w:rPr>
        <w:br/>
        <w:t xml:space="preserve">Appendix F, </w:t>
      </w:r>
      <w:r w:rsidR="00F216E2" w:rsidRPr="00C52FF7">
        <w:rPr>
          <w:rFonts w:cs="Arial"/>
          <w:szCs w:val="22"/>
        </w:rPr>
        <w:t>Clause 4</w:t>
      </w:r>
    </w:p>
    <w:p w14:paraId="534CCD9C" w14:textId="77777777" w:rsidR="00F85F08" w:rsidRPr="00C52FF7" w:rsidRDefault="00F85F08" w:rsidP="007651FF">
      <w:pPr>
        <w:ind w:left="720"/>
        <w:rPr>
          <w:rFonts w:cs="Arial"/>
          <w:b/>
          <w:szCs w:val="22"/>
        </w:rPr>
      </w:pPr>
      <w:r w:rsidRPr="00C52FF7">
        <w:rPr>
          <w:rFonts w:cs="Arial"/>
          <w:b/>
          <w:szCs w:val="22"/>
        </w:rPr>
        <w:t>LEAD METALLIC</w:t>
      </w:r>
    </w:p>
    <w:p w14:paraId="4389D260" w14:textId="7CD5BECB" w:rsidR="00F85F08" w:rsidRPr="00C52FF7" w:rsidRDefault="00F85F08" w:rsidP="007651FF">
      <w:pPr>
        <w:ind w:left="720"/>
        <w:rPr>
          <w:rFonts w:cs="Arial"/>
          <w:szCs w:val="22"/>
        </w:rPr>
      </w:pPr>
      <w:r w:rsidRPr="00C52FF7">
        <w:rPr>
          <w:rFonts w:cs="Arial"/>
          <w:szCs w:val="22"/>
        </w:rPr>
        <w:t xml:space="preserve">Appendix B, </w:t>
      </w:r>
      <w:r w:rsidR="00F216E2" w:rsidRPr="00C52FF7">
        <w:rPr>
          <w:rFonts w:cs="Arial"/>
          <w:szCs w:val="22"/>
        </w:rPr>
        <w:t>Clause</w:t>
      </w:r>
      <w:r w:rsidRPr="00C52FF7">
        <w:rPr>
          <w:rFonts w:cs="Arial"/>
          <w:szCs w:val="22"/>
        </w:rPr>
        <w:t xml:space="preserve"> 3</w:t>
      </w:r>
    </w:p>
    <w:p w14:paraId="4E8FB824" w14:textId="320FEDD5" w:rsidR="00685E72" w:rsidRDefault="00DC36FC" w:rsidP="00685E72">
      <w:pPr>
        <w:pStyle w:val="Heading4"/>
      </w:pPr>
      <w:bookmarkStart w:id="49" w:name="_Toc122614243"/>
      <w:bookmarkStart w:id="50" w:name="_Toc131604375"/>
      <w:r>
        <w:t>Future s</w:t>
      </w:r>
      <w:r w:rsidR="00685E72">
        <w:t>cheduling</w:t>
      </w:r>
      <w:bookmarkEnd w:id="49"/>
      <w:bookmarkEnd w:id="50"/>
      <w:r>
        <w:t xml:space="preserve"> and proposed changes</w:t>
      </w:r>
    </w:p>
    <w:p w14:paraId="1BAB5433" w14:textId="5AB0BCF2" w:rsidR="005E35B5" w:rsidRPr="00C52FF7" w:rsidRDefault="005E35B5" w:rsidP="00685E72">
      <w:pPr>
        <w:rPr>
          <w:rFonts w:cs="Arial"/>
          <w:bCs/>
          <w:i/>
          <w:iCs/>
        </w:rPr>
      </w:pPr>
      <w:r w:rsidRPr="00C52FF7">
        <w:rPr>
          <w:rFonts w:cs="Arial"/>
          <w:bCs/>
          <w:i/>
          <w:iCs/>
        </w:rPr>
        <w:t xml:space="preserve">Note: </w:t>
      </w:r>
      <w:r w:rsidR="00061811" w:rsidRPr="00C52FF7">
        <w:rPr>
          <w:rFonts w:cs="Arial"/>
          <w:bCs/>
          <w:i/>
          <w:iCs/>
        </w:rPr>
        <w:t>the proposal is to amend entries that have not yet been introduced into the Poisons Standard</w:t>
      </w:r>
      <w:r w:rsidR="00DC36FC" w:rsidRPr="00C52FF7">
        <w:rPr>
          <w:rFonts w:cs="Arial"/>
          <w:bCs/>
          <w:i/>
          <w:iCs/>
        </w:rPr>
        <w:t xml:space="preserve"> pursuant to the </w:t>
      </w:r>
      <w:hyperlink r:id="rId48" w:history="1">
        <w:r w:rsidR="00DC36FC" w:rsidRPr="00C52FF7">
          <w:rPr>
            <w:rStyle w:val="Hyperlink"/>
            <w:rFonts w:cs="Arial"/>
            <w:i/>
            <w:iCs/>
          </w:rPr>
          <w:t>final decision</w:t>
        </w:r>
      </w:hyperlink>
      <w:r w:rsidR="00DC36FC" w:rsidRPr="00C52FF7">
        <w:rPr>
          <w:rStyle w:val="Hyperlink"/>
          <w:rFonts w:cs="Arial"/>
          <w:i/>
          <w:iCs/>
        </w:rPr>
        <w:t xml:space="preserve"> to amend the Poisons Standard</w:t>
      </w:r>
      <w:r w:rsidR="00DC36FC" w:rsidRPr="00C52FF7">
        <w:rPr>
          <w:rFonts w:cs="Arial"/>
          <w:i/>
          <w:iCs/>
        </w:rPr>
        <w:t xml:space="preserve"> published in September 2021</w:t>
      </w:r>
      <w:r w:rsidR="00DC36FC" w:rsidRPr="00C52FF7">
        <w:rPr>
          <w:rFonts w:cs="Arial"/>
          <w:bCs/>
          <w:i/>
          <w:iCs/>
        </w:rPr>
        <w:t>.</w:t>
      </w:r>
      <w:r w:rsidR="00061811" w:rsidRPr="00C52FF7">
        <w:rPr>
          <w:rFonts w:cs="Arial"/>
          <w:bCs/>
          <w:i/>
          <w:iCs/>
        </w:rPr>
        <w:t xml:space="preserve"> </w:t>
      </w:r>
      <w:r w:rsidR="00DC36FC" w:rsidRPr="00C52FF7">
        <w:rPr>
          <w:rFonts w:cs="Arial"/>
          <w:bCs/>
          <w:i/>
          <w:iCs/>
        </w:rPr>
        <w:t>F</w:t>
      </w:r>
      <w:r w:rsidRPr="00C52FF7">
        <w:rPr>
          <w:rFonts w:cs="Arial"/>
          <w:bCs/>
          <w:i/>
          <w:iCs/>
        </w:rPr>
        <w:t>or clarity</w:t>
      </w:r>
      <w:r w:rsidR="00DC36FC" w:rsidRPr="00C52FF7">
        <w:rPr>
          <w:rFonts w:cs="Arial"/>
          <w:bCs/>
          <w:i/>
          <w:iCs/>
        </w:rPr>
        <w:t>, the applicant’s proposed amendments</w:t>
      </w:r>
      <w:r w:rsidRPr="00C52FF7">
        <w:rPr>
          <w:rFonts w:cs="Arial"/>
          <w:bCs/>
          <w:i/>
          <w:iCs/>
        </w:rPr>
        <w:t xml:space="preserve"> </w:t>
      </w:r>
      <w:r w:rsidR="00DC36FC" w:rsidRPr="00C52FF7">
        <w:rPr>
          <w:rFonts w:cs="Arial"/>
          <w:bCs/>
          <w:i/>
          <w:iCs/>
        </w:rPr>
        <w:t xml:space="preserve">are shown </w:t>
      </w:r>
      <w:r w:rsidRPr="00C52FF7">
        <w:rPr>
          <w:rFonts w:cs="Arial"/>
          <w:bCs/>
          <w:i/>
          <w:iCs/>
        </w:rPr>
        <w:t xml:space="preserve">below </w:t>
      </w:r>
      <w:r w:rsidR="00DC36FC" w:rsidRPr="00C52FF7">
        <w:rPr>
          <w:rFonts w:cs="Arial"/>
          <w:bCs/>
          <w:i/>
          <w:iCs/>
        </w:rPr>
        <w:t xml:space="preserve">as changes compared to </w:t>
      </w:r>
      <w:r w:rsidR="00061811" w:rsidRPr="00C52FF7">
        <w:rPr>
          <w:rFonts w:cs="Arial"/>
          <w:bCs/>
          <w:i/>
          <w:iCs/>
        </w:rPr>
        <w:t xml:space="preserve">the </w:t>
      </w:r>
      <w:r w:rsidR="00DC36FC" w:rsidRPr="00C52FF7">
        <w:rPr>
          <w:rFonts w:cs="Arial"/>
          <w:bCs/>
          <w:i/>
          <w:iCs/>
        </w:rPr>
        <w:t xml:space="preserve">future </w:t>
      </w:r>
      <w:r w:rsidR="00061811" w:rsidRPr="00C52FF7">
        <w:rPr>
          <w:rFonts w:cs="Arial"/>
          <w:bCs/>
          <w:i/>
          <w:iCs/>
        </w:rPr>
        <w:t xml:space="preserve">entries for lead </w:t>
      </w:r>
      <w:r w:rsidR="00DC36FC" w:rsidRPr="00C52FF7">
        <w:rPr>
          <w:rFonts w:cs="Arial"/>
          <w:bCs/>
          <w:i/>
          <w:iCs/>
        </w:rPr>
        <w:t xml:space="preserve">as they are </w:t>
      </w:r>
      <w:r w:rsidR="00061811" w:rsidRPr="00C52FF7">
        <w:rPr>
          <w:rFonts w:cs="Arial"/>
          <w:bCs/>
          <w:i/>
          <w:iCs/>
        </w:rPr>
        <w:t>anticipated to appear in the Poisons Standard from 1 October 2023</w:t>
      </w:r>
      <w:r w:rsidRPr="00C52FF7">
        <w:rPr>
          <w:rFonts w:cs="Arial"/>
          <w:bCs/>
          <w:i/>
          <w:iCs/>
        </w:rPr>
        <w:t>.</w:t>
      </w:r>
    </w:p>
    <w:p w14:paraId="5E1C5807" w14:textId="172E886F" w:rsidR="00685E72" w:rsidRPr="00B53D47" w:rsidRDefault="00685E72" w:rsidP="00685E72">
      <w:pPr>
        <w:rPr>
          <w:b/>
        </w:rPr>
      </w:pPr>
      <w:r w:rsidRPr="00AA0B09">
        <w:rPr>
          <w:bCs/>
        </w:rPr>
        <w:t>The applicant’s proposed amendments to the Poisons Standard are</w:t>
      </w:r>
      <w:r w:rsidR="00EE2FCB" w:rsidRPr="00AA0B09">
        <w:rPr>
          <w:bCs/>
        </w:rPr>
        <w:t>:</w:t>
      </w:r>
      <w:r w:rsidRPr="00EE2FCB">
        <w:rPr>
          <w:rStyle w:val="FootnoteReference"/>
          <w:b/>
        </w:rPr>
        <w:footnoteReference w:id="25"/>
      </w:r>
    </w:p>
    <w:p w14:paraId="2B8C39B9" w14:textId="77777777" w:rsidR="001E0DAC" w:rsidRPr="00D0237E" w:rsidRDefault="001E0DAC" w:rsidP="001E0DAC">
      <w:pPr>
        <w:ind w:left="426"/>
        <w:rPr>
          <w:b/>
          <w:color w:val="000000"/>
          <w:shd w:val="clear" w:color="auto" w:fill="FFFFFF"/>
        </w:rPr>
      </w:pPr>
      <w:r w:rsidRPr="00D0237E">
        <w:rPr>
          <w:b/>
          <w:color w:val="000000"/>
          <w:shd w:val="clear" w:color="auto" w:fill="FFFFFF"/>
        </w:rPr>
        <w:t xml:space="preserve">PART 2, </w:t>
      </w:r>
      <w:r>
        <w:rPr>
          <w:b/>
          <w:color w:val="000000"/>
          <w:shd w:val="clear" w:color="auto" w:fill="FFFFFF"/>
        </w:rPr>
        <w:t>DIVISION 9 - General requirements</w:t>
      </w:r>
    </w:p>
    <w:p w14:paraId="3D8F3B75" w14:textId="4EA0DCD8" w:rsidR="001E0DAC" w:rsidRDefault="001E0DAC" w:rsidP="00DC36FC">
      <w:pPr>
        <w:ind w:left="1060" w:hanging="340"/>
        <w:rPr>
          <w:color w:val="000000"/>
          <w:shd w:val="clear" w:color="auto" w:fill="FFFFFF"/>
        </w:rPr>
      </w:pPr>
      <w:r>
        <w:rPr>
          <w:color w:val="000000"/>
          <w:shd w:val="clear" w:color="auto" w:fill="FFFFFF"/>
        </w:rPr>
        <w:t xml:space="preserve">(2) </w:t>
      </w:r>
      <w:r w:rsidRPr="007A5D1C">
        <w:rPr>
          <w:color w:val="000000"/>
          <w:shd w:val="clear" w:color="auto" w:fill="FFFFFF"/>
        </w:rPr>
        <w:t xml:space="preserve">An </w:t>
      </w:r>
      <w:r w:rsidRPr="007651FF">
        <w:rPr>
          <w:strike/>
          <w:color w:val="FF0000"/>
          <w:shd w:val="clear" w:color="auto" w:fill="FFFFFF"/>
        </w:rPr>
        <w:t>anti</w:t>
      </w:r>
      <w:r w:rsidRPr="007651FF">
        <w:rPr>
          <w:rFonts w:ascii="Cambria Math" w:hAnsi="Cambria Math" w:cs="Cambria Math"/>
          <w:strike/>
          <w:color w:val="FF0000"/>
          <w:shd w:val="clear" w:color="auto" w:fill="FFFFFF"/>
        </w:rPr>
        <w:t>‑</w:t>
      </w:r>
      <w:r w:rsidRPr="007651FF">
        <w:rPr>
          <w:strike/>
          <w:color w:val="FF0000"/>
          <w:shd w:val="clear" w:color="auto" w:fill="FFFFFF"/>
        </w:rPr>
        <w:t xml:space="preserve">fouling or </w:t>
      </w:r>
      <w:r w:rsidRPr="007651FF">
        <w:rPr>
          <w:color w:val="000000" w:themeColor="text1"/>
          <w:shd w:val="clear" w:color="auto" w:fill="FFFFFF"/>
        </w:rPr>
        <w:t>anti</w:t>
      </w:r>
      <w:r w:rsidRPr="007651FF">
        <w:rPr>
          <w:rFonts w:ascii="Cambria Math" w:hAnsi="Cambria Math" w:cs="Cambria Math"/>
          <w:color w:val="000000" w:themeColor="text1"/>
          <w:shd w:val="clear" w:color="auto" w:fill="FFFFFF"/>
        </w:rPr>
        <w:t>‑</w:t>
      </w:r>
      <w:r w:rsidRPr="007651FF">
        <w:rPr>
          <w:color w:val="000000" w:themeColor="text1"/>
          <w:shd w:val="clear" w:color="auto" w:fill="FFFFFF"/>
        </w:rPr>
        <w:t xml:space="preserve">corrosive </w:t>
      </w:r>
      <w:r w:rsidRPr="007A5D1C">
        <w:rPr>
          <w:color w:val="000000"/>
          <w:shd w:val="clear" w:color="auto" w:fill="FFFFFF"/>
        </w:rPr>
        <w:t xml:space="preserve">paint containing more </w:t>
      </w:r>
      <w:r w:rsidRPr="007651FF">
        <w:rPr>
          <w:color w:val="000000" w:themeColor="text1"/>
          <w:shd w:val="clear" w:color="auto" w:fill="FFFFFF"/>
        </w:rPr>
        <w:t>than 0.</w:t>
      </w:r>
      <w:r w:rsidR="00BC0B35" w:rsidRPr="007651FF">
        <w:rPr>
          <w:color w:val="000000" w:themeColor="text1"/>
          <w:shd w:val="clear" w:color="auto" w:fill="FFFFFF"/>
        </w:rPr>
        <w:t>009</w:t>
      </w:r>
      <w:r w:rsidRPr="007651FF">
        <w:rPr>
          <w:color w:val="000000" w:themeColor="text1"/>
          <w:shd w:val="clear" w:color="auto" w:fill="FFFFFF"/>
        </w:rPr>
        <w:t>%</w:t>
      </w:r>
      <w:r w:rsidR="001B0CAD" w:rsidRPr="007651FF">
        <w:rPr>
          <w:color w:val="000000" w:themeColor="text1"/>
          <w:shd w:val="clear" w:color="auto" w:fill="FFFFFF"/>
        </w:rPr>
        <w:t xml:space="preserve"> </w:t>
      </w:r>
      <w:r w:rsidRPr="007A5D1C">
        <w:rPr>
          <w:color w:val="000000"/>
          <w:shd w:val="clear" w:color="auto" w:fill="FFFFFF"/>
        </w:rPr>
        <w:t>lead (the proportion of lead for the purposes of this section is calculated as a percentage of the element present in the non</w:t>
      </w:r>
      <w:r w:rsidRPr="007A5D1C">
        <w:rPr>
          <w:rFonts w:ascii="Cambria Math" w:hAnsi="Cambria Math" w:cs="Cambria Math"/>
          <w:color w:val="000000"/>
          <w:shd w:val="clear" w:color="auto" w:fill="FFFFFF"/>
        </w:rPr>
        <w:t>‑</w:t>
      </w:r>
      <w:r w:rsidRPr="007A5D1C">
        <w:rPr>
          <w:color w:val="000000"/>
          <w:shd w:val="clear" w:color="auto" w:fill="FFFFFF"/>
        </w:rPr>
        <w:t xml:space="preserve">volatile content of the paint) must not be manufactured, </w:t>
      </w:r>
      <w:proofErr w:type="gramStart"/>
      <w:r w:rsidRPr="007A5D1C">
        <w:rPr>
          <w:color w:val="000000"/>
          <w:shd w:val="clear" w:color="auto" w:fill="FFFFFF"/>
        </w:rPr>
        <w:t>supplied</w:t>
      </w:r>
      <w:proofErr w:type="gramEnd"/>
      <w:r w:rsidRPr="007A5D1C">
        <w:rPr>
          <w:color w:val="000000"/>
          <w:shd w:val="clear" w:color="auto" w:fill="FFFFFF"/>
        </w:rPr>
        <w:t xml:space="preserve"> or used.</w:t>
      </w:r>
    </w:p>
    <w:p w14:paraId="4DB82383" w14:textId="167443FD" w:rsidR="001B0CAD" w:rsidRDefault="001B0CAD" w:rsidP="00DC36FC">
      <w:pPr>
        <w:ind w:left="1060" w:hanging="340"/>
        <w:rPr>
          <w:color w:val="000000"/>
          <w:shd w:val="clear" w:color="auto" w:fill="FFFFFF"/>
        </w:rPr>
      </w:pPr>
      <w:r w:rsidRPr="007651FF">
        <w:rPr>
          <w:color w:val="00B050"/>
          <w:shd w:val="clear" w:color="auto" w:fill="FFFFFF"/>
        </w:rPr>
        <w:lastRenderedPageBreak/>
        <w:t xml:space="preserve">(3) </w:t>
      </w:r>
      <w:r w:rsidRPr="007651FF">
        <w:rPr>
          <w:color w:val="00B050"/>
          <w:u w:val="single"/>
          <w:shd w:val="clear" w:color="auto" w:fill="FFFFFF"/>
        </w:rPr>
        <w:t>An anti</w:t>
      </w:r>
      <w:r w:rsidRPr="007651FF">
        <w:rPr>
          <w:rFonts w:ascii="Cambria Math" w:hAnsi="Cambria Math" w:cs="Cambria Math"/>
          <w:color w:val="00B050"/>
          <w:u w:val="single"/>
          <w:shd w:val="clear" w:color="auto" w:fill="FFFFFF"/>
        </w:rPr>
        <w:t>‑</w:t>
      </w:r>
      <w:r>
        <w:rPr>
          <w:color w:val="00B050"/>
          <w:u w:val="single"/>
          <w:shd w:val="clear" w:color="auto" w:fill="FFFFFF"/>
        </w:rPr>
        <w:t>fouling</w:t>
      </w:r>
      <w:r w:rsidRPr="007651FF">
        <w:rPr>
          <w:color w:val="00B050"/>
          <w:u w:val="single"/>
          <w:shd w:val="clear" w:color="auto" w:fill="FFFFFF"/>
        </w:rPr>
        <w:t xml:space="preserve"> paint containing more than 0.0</w:t>
      </w:r>
      <w:r>
        <w:rPr>
          <w:color w:val="00B050"/>
          <w:u w:val="single"/>
          <w:shd w:val="clear" w:color="auto" w:fill="FFFFFF"/>
        </w:rPr>
        <w:t>6</w:t>
      </w:r>
      <w:r w:rsidRPr="007651FF">
        <w:rPr>
          <w:color w:val="00B050"/>
          <w:u w:val="single"/>
          <w:shd w:val="clear" w:color="auto" w:fill="FFFFFF"/>
        </w:rPr>
        <w:t>%</w:t>
      </w:r>
      <w:r w:rsidRPr="00914679">
        <w:rPr>
          <w:color w:val="00B050"/>
          <w:u w:val="single"/>
          <w:shd w:val="clear" w:color="auto" w:fill="FFFFFF"/>
        </w:rPr>
        <w:t xml:space="preserve"> </w:t>
      </w:r>
      <w:r w:rsidRPr="007651FF">
        <w:rPr>
          <w:color w:val="00B050"/>
          <w:u w:val="single"/>
          <w:shd w:val="clear" w:color="auto" w:fill="FFFFFF"/>
        </w:rPr>
        <w:t>lead (the proportion of lead for the purposes of this section is calculated as a percentage of the element present in the non</w:t>
      </w:r>
      <w:r w:rsidRPr="007651FF">
        <w:rPr>
          <w:rFonts w:ascii="Cambria Math" w:hAnsi="Cambria Math" w:cs="Cambria Math"/>
          <w:color w:val="00B050"/>
          <w:u w:val="single"/>
          <w:shd w:val="clear" w:color="auto" w:fill="FFFFFF"/>
        </w:rPr>
        <w:t>‑</w:t>
      </w:r>
      <w:r w:rsidRPr="007651FF">
        <w:rPr>
          <w:color w:val="00B050"/>
          <w:u w:val="single"/>
          <w:shd w:val="clear" w:color="auto" w:fill="FFFFFF"/>
        </w:rPr>
        <w:t xml:space="preserve">volatile content of the paint) must not be manufactured, </w:t>
      </w:r>
      <w:proofErr w:type="gramStart"/>
      <w:r w:rsidRPr="007651FF">
        <w:rPr>
          <w:color w:val="00B050"/>
          <w:u w:val="single"/>
          <w:shd w:val="clear" w:color="auto" w:fill="FFFFFF"/>
        </w:rPr>
        <w:t>supplied</w:t>
      </w:r>
      <w:proofErr w:type="gramEnd"/>
      <w:r w:rsidRPr="007651FF">
        <w:rPr>
          <w:color w:val="00B050"/>
          <w:u w:val="single"/>
          <w:shd w:val="clear" w:color="auto" w:fill="FFFFFF"/>
        </w:rPr>
        <w:t xml:space="preserve"> or used.</w:t>
      </w:r>
    </w:p>
    <w:p w14:paraId="3AE8DBC2" w14:textId="6D026B61" w:rsidR="001E0DAC" w:rsidRDefault="001E0DAC" w:rsidP="00DC36FC">
      <w:pPr>
        <w:ind w:left="1060" w:hanging="340"/>
        <w:rPr>
          <w:color w:val="000000"/>
          <w:shd w:val="clear" w:color="auto" w:fill="FFFFFF"/>
        </w:rPr>
      </w:pPr>
      <w:r>
        <w:rPr>
          <w:color w:val="000000"/>
          <w:shd w:val="clear" w:color="auto" w:fill="FFFFFF"/>
        </w:rPr>
        <w:t>(</w:t>
      </w:r>
      <w:r w:rsidR="001B0CAD" w:rsidRPr="007651FF">
        <w:rPr>
          <w:strike/>
          <w:color w:val="FF0000"/>
          <w:shd w:val="clear" w:color="auto" w:fill="FFFFFF"/>
        </w:rPr>
        <w:t>3</w:t>
      </w:r>
      <w:r w:rsidR="001B0CAD" w:rsidRPr="007651FF">
        <w:rPr>
          <w:color w:val="00B050"/>
          <w:shd w:val="clear" w:color="auto" w:fill="FFFFFF"/>
        </w:rPr>
        <w:t>4</w:t>
      </w:r>
      <w:r>
        <w:rPr>
          <w:color w:val="000000"/>
          <w:shd w:val="clear" w:color="auto" w:fill="FFFFFF"/>
        </w:rPr>
        <w:t>)</w:t>
      </w:r>
      <w:r w:rsidRPr="007A5D1C">
        <w:t xml:space="preserve"> </w:t>
      </w:r>
      <w:r w:rsidRPr="007A5D1C">
        <w:rPr>
          <w:color w:val="000000"/>
          <w:shd w:val="clear" w:color="auto" w:fill="FFFFFF"/>
        </w:rPr>
        <w:t>A paint (other than an anti</w:t>
      </w:r>
      <w:r w:rsidRPr="007A5D1C">
        <w:rPr>
          <w:rFonts w:ascii="Cambria Math" w:hAnsi="Cambria Math" w:cs="Cambria Math"/>
          <w:color w:val="000000"/>
          <w:shd w:val="clear" w:color="auto" w:fill="FFFFFF"/>
        </w:rPr>
        <w:t>‑</w:t>
      </w:r>
      <w:r w:rsidRPr="007A5D1C">
        <w:rPr>
          <w:color w:val="000000"/>
          <w:shd w:val="clear" w:color="auto" w:fill="FFFFFF"/>
        </w:rPr>
        <w:t>fouling or anti</w:t>
      </w:r>
      <w:r w:rsidRPr="007A5D1C">
        <w:rPr>
          <w:rFonts w:ascii="Cambria Math" w:hAnsi="Cambria Math" w:cs="Cambria Math"/>
          <w:color w:val="000000"/>
          <w:shd w:val="clear" w:color="auto" w:fill="FFFFFF"/>
        </w:rPr>
        <w:t>‑</w:t>
      </w:r>
      <w:r w:rsidRPr="007A5D1C">
        <w:rPr>
          <w:color w:val="000000"/>
          <w:shd w:val="clear" w:color="auto" w:fill="FFFFFF"/>
        </w:rPr>
        <w:t>corrosive paint) or tinter containing more than 0.009% lead (calculated as a percentage of the element present in the non</w:t>
      </w:r>
      <w:r w:rsidRPr="007A5D1C">
        <w:rPr>
          <w:rFonts w:ascii="Cambria Math" w:hAnsi="Cambria Math" w:cs="Cambria Math"/>
          <w:color w:val="000000"/>
          <w:shd w:val="clear" w:color="auto" w:fill="FFFFFF"/>
        </w:rPr>
        <w:t>‑</w:t>
      </w:r>
      <w:r w:rsidRPr="007A5D1C">
        <w:rPr>
          <w:color w:val="000000"/>
          <w:shd w:val="clear" w:color="auto" w:fill="FFFFFF"/>
        </w:rPr>
        <w:t xml:space="preserve">volatile content of the paint) must not be manufactured, </w:t>
      </w:r>
      <w:proofErr w:type="gramStart"/>
      <w:r w:rsidRPr="007A5D1C">
        <w:rPr>
          <w:color w:val="000000"/>
          <w:shd w:val="clear" w:color="auto" w:fill="FFFFFF"/>
        </w:rPr>
        <w:t>supplied</w:t>
      </w:r>
      <w:proofErr w:type="gramEnd"/>
      <w:r w:rsidRPr="007A5D1C">
        <w:rPr>
          <w:color w:val="000000"/>
          <w:shd w:val="clear" w:color="auto" w:fill="FFFFFF"/>
        </w:rPr>
        <w:t xml:space="preserve"> or used.</w:t>
      </w:r>
    </w:p>
    <w:p w14:paraId="12437CAB" w14:textId="77777777" w:rsidR="001E0DAC" w:rsidRPr="00C52FF7" w:rsidRDefault="001E0DAC" w:rsidP="007651FF">
      <w:pPr>
        <w:spacing w:before="240"/>
        <w:ind w:left="426"/>
        <w:rPr>
          <w:rFonts w:cs="Arial"/>
          <w:b/>
          <w:color w:val="000000"/>
          <w:shd w:val="clear" w:color="auto" w:fill="FFFFFF"/>
        </w:rPr>
      </w:pPr>
      <w:r w:rsidRPr="00C52FF7">
        <w:rPr>
          <w:rFonts w:cs="Arial"/>
          <w:b/>
          <w:color w:val="000000"/>
          <w:shd w:val="clear" w:color="auto" w:fill="FFFFFF"/>
        </w:rPr>
        <w:t>Schedule 10</w:t>
      </w:r>
    </w:p>
    <w:p w14:paraId="421261C5" w14:textId="77777777" w:rsidR="001E0DAC" w:rsidRPr="00C52FF7" w:rsidRDefault="001E0DAC" w:rsidP="00DC36FC">
      <w:pPr>
        <w:ind w:left="720"/>
        <w:contextualSpacing/>
        <w:rPr>
          <w:rFonts w:cs="Arial"/>
          <w:color w:val="000000"/>
          <w:shd w:val="clear" w:color="auto" w:fill="FFFFFF"/>
        </w:rPr>
      </w:pPr>
      <w:r w:rsidRPr="00C52FF7">
        <w:rPr>
          <w:rFonts w:cs="Arial"/>
          <w:color w:val="000000"/>
          <w:shd w:val="clear" w:color="auto" w:fill="FFFFFF"/>
        </w:rPr>
        <w:t>LEAD COMPOUNDS</w:t>
      </w:r>
      <w:r w:rsidRPr="00C52FF7">
        <w:rPr>
          <w:rFonts w:cs="Arial"/>
          <w:color w:val="000000" w:themeColor="text1"/>
          <w:shd w:val="clear" w:color="auto" w:fill="FFFFFF"/>
        </w:rPr>
        <w:t>:</w:t>
      </w:r>
    </w:p>
    <w:p w14:paraId="6054FB77" w14:textId="4704BC95" w:rsidR="001B0CAD" w:rsidRPr="00C52FF7" w:rsidRDefault="001E0DAC" w:rsidP="00DC36FC">
      <w:pPr>
        <w:pStyle w:val="ListParagraph"/>
        <w:numPr>
          <w:ilvl w:val="0"/>
          <w:numId w:val="39"/>
        </w:numPr>
        <w:ind w:left="1156" w:hanging="437"/>
        <w:contextualSpacing w:val="0"/>
        <w:rPr>
          <w:rFonts w:ascii="Arial" w:hAnsi="Arial" w:cs="Arial"/>
          <w:color w:val="000000" w:themeColor="text1"/>
          <w:sz w:val="20"/>
          <w:shd w:val="clear" w:color="auto" w:fill="FFFFFF"/>
        </w:rPr>
      </w:pPr>
      <w:r w:rsidRPr="00C52FF7">
        <w:rPr>
          <w:rFonts w:ascii="Arial" w:hAnsi="Arial" w:cs="Arial"/>
          <w:color w:val="000000" w:themeColor="text1"/>
          <w:sz w:val="20"/>
          <w:shd w:val="clear" w:color="auto" w:fill="FFFFFF"/>
        </w:rPr>
        <w:t xml:space="preserve">in </w:t>
      </w:r>
      <w:r w:rsidRPr="00C52FF7">
        <w:rPr>
          <w:rFonts w:ascii="Arial" w:hAnsi="Arial" w:cs="Arial"/>
          <w:strike/>
          <w:color w:val="FF0000"/>
          <w:sz w:val="20"/>
          <w:shd w:val="clear" w:color="auto" w:fill="FFFFFF"/>
        </w:rPr>
        <w:t>anti-fouling or</w:t>
      </w:r>
      <w:r w:rsidRPr="00C52FF7">
        <w:rPr>
          <w:rFonts w:ascii="Arial" w:hAnsi="Arial" w:cs="Arial"/>
          <w:color w:val="FF0000"/>
          <w:sz w:val="20"/>
          <w:shd w:val="clear" w:color="auto" w:fill="FFFFFF"/>
        </w:rPr>
        <w:t xml:space="preserve"> </w:t>
      </w:r>
      <w:r w:rsidRPr="00C52FF7">
        <w:rPr>
          <w:rFonts w:ascii="Arial" w:hAnsi="Arial" w:cs="Arial"/>
          <w:color w:val="000000" w:themeColor="text1"/>
          <w:sz w:val="20"/>
          <w:shd w:val="clear" w:color="auto" w:fill="FFFFFF"/>
        </w:rPr>
        <w:t xml:space="preserve">anti-corrosive paints </w:t>
      </w:r>
      <w:r w:rsidRPr="00C52FF7">
        <w:rPr>
          <w:rFonts w:ascii="Arial" w:hAnsi="Arial" w:cs="Arial"/>
          <w:b/>
          <w:color w:val="000000" w:themeColor="text1"/>
          <w:sz w:val="20"/>
          <w:shd w:val="clear" w:color="auto" w:fill="FFFFFF"/>
        </w:rPr>
        <w:t>except</w:t>
      </w:r>
      <w:r w:rsidRPr="00C52FF7">
        <w:rPr>
          <w:rFonts w:ascii="Arial" w:hAnsi="Arial" w:cs="Arial"/>
          <w:color w:val="000000" w:themeColor="text1"/>
          <w:sz w:val="20"/>
          <w:shd w:val="clear" w:color="auto" w:fill="FFFFFF"/>
        </w:rPr>
        <w:t xml:space="preserve"> in preparations containing 0.</w:t>
      </w:r>
      <w:r w:rsidR="00BC0B35" w:rsidRPr="00C52FF7">
        <w:rPr>
          <w:rFonts w:ascii="Arial" w:hAnsi="Arial" w:cs="Arial"/>
          <w:color w:val="000000" w:themeColor="text1"/>
          <w:sz w:val="20"/>
          <w:shd w:val="clear" w:color="auto" w:fill="FFFFFF"/>
        </w:rPr>
        <w:t>009</w:t>
      </w:r>
      <w:r w:rsidRPr="00C52FF7">
        <w:rPr>
          <w:rFonts w:ascii="Arial" w:hAnsi="Arial" w:cs="Arial"/>
          <w:color w:val="000000" w:themeColor="text1"/>
          <w:sz w:val="20"/>
          <w:shd w:val="clear" w:color="auto" w:fill="FFFFFF"/>
        </w:rPr>
        <w:t>%</w:t>
      </w:r>
      <w:r w:rsidR="001B0CAD" w:rsidRPr="00C52FF7">
        <w:rPr>
          <w:rFonts w:ascii="Arial" w:hAnsi="Arial" w:cs="Arial"/>
          <w:color w:val="000000" w:themeColor="text1"/>
          <w:sz w:val="20"/>
          <w:shd w:val="clear" w:color="auto" w:fill="FFFFFF"/>
        </w:rPr>
        <w:t xml:space="preserve"> </w:t>
      </w:r>
      <w:r w:rsidRPr="00C52FF7">
        <w:rPr>
          <w:rFonts w:ascii="Arial" w:hAnsi="Arial" w:cs="Arial"/>
          <w:color w:val="000000" w:themeColor="text1"/>
          <w:sz w:val="20"/>
          <w:shd w:val="clear" w:color="auto" w:fill="FFFFFF"/>
        </w:rPr>
        <w:t>or less of lead calculated on the non-volatile content of the paint; or</w:t>
      </w:r>
    </w:p>
    <w:p w14:paraId="243B35A8" w14:textId="77777777" w:rsidR="001B0CAD" w:rsidRPr="00C52FF7" w:rsidRDefault="001B0CAD" w:rsidP="00DC36FC">
      <w:pPr>
        <w:pStyle w:val="ListParagraph"/>
        <w:numPr>
          <w:ilvl w:val="0"/>
          <w:numId w:val="39"/>
        </w:numPr>
        <w:ind w:left="1156" w:hanging="437"/>
        <w:contextualSpacing w:val="0"/>
        <w:rPr>
          <w:rFonts w:ascii="Arial" w:hAnsi="Arial" w:cs="Arial"/>
          <w:color w:val="00B050"/>
          <w:sz w:val="20"/>
          <w:u w:val="single"/>
          <w:shd w:val="clear" w:color="auto" w:fill="FFFFFF"/>
        </w:rPr>
      </w:pPr>
      <w:r w:rsidRPr="00C52FF7">
        <w:rPr>
          <w:rFonts w:ascii="Arial" w:hAnsi="Arial" w:cs="Arial"/>
          <w:color w:val="00B050"/>
          <w:sz w:val="20"/>
          <w:u w:val="single"/>
          <w:shd w:val="clear" w:color="auto" w:fill="FFFFFF"/>
        </w:rPr>
        <w:t xml:space="preserve">in anti-fouling paints </w:t>
      </w:r>
      <w:r w:rsidRPr="00C52FF7">
        <w:rPr>
          <w:rFonts w:ascii="Arial" w:hAnsi="Arial" w:cs="Arial"/>
          <w:b/>
          <w:color w:val="00B050"/>
          <w:sz w:val="20"/>
          <w:u w:val="single"/>
          <w:shd w:val="clear" w:color="auto" w:fill="FFFFFF"/>
        </w:rPr>
        <w:t>except</w:t>
      </w:r>
      <w:r w:rsidRPr="00C52FF7">
        <w:rPr>
          <w:rFonts w:ascii="Arial" w:hAnsi="Arial" w:cs="Arial"/>
          <w:color w:val="00B050"/>
          <w:sz w:val="20"/>
          <w:u w:val="single"/>
          <w:shd w:val="clear" w:color="auto" w:fill="FFFFFF"/>
        </w:rPr>
        <w:t xml:space="preserve"> in preparations containing 0.06% or less of lead calculated on the non-volatile content of the paint; or</w:t>
      </w:r>
    </w:p>
    <w:p w14:paraId="30A45637" w14:textId="63B965AF" w:rsidR="001E0DAC" w:rsidRPr="00C52FF7" w:rsidRDefault="001E0DAC" w:rsidP="00DC36FC">
      <w:pPr>
        <w:pStyle w:val="ListParagraph"/>
        <w:numPr>
          <w:ilvl w:val="0"/>
          <w:numId w:val="39"/>
        </w:numPr>
        <w:ind w:left="1156" w:hanging="437"/>
        <w:contextualSpacing w:val="0"/>
        <w:rPr>
          <w:rFonts w:ascii="Arial" w:hAnsi="Arial" w:cs="Arial"/>
          <w:color w:val="000000" w:themeColor="text1"/>
          <w:sz w:val="20"/>
          <w:u w:val="single"/>
          <w:shd w:val="clear" w:color="auto" w:fill="FFFFFF"/>
        </w:rPr>
      </w:pPr>
      <w:r w:rsidRPr="00C52FF7">
        <w:rPr>
          <w:rFonts w:ascii="Arial" w:hAnsi="Arial" w:cs="Arial"/>
          <w:color w:val="000000" w:themeColor="text1"/>
          <w:sz w:val="20"/>
          <w:shd w:val="clear" w:color="auto" w:fill="FFFFFF"/>
        </w:rPr>
        <w:t xml:space="preserve">in paints (other than anti-fouling or anti-corrosive paints), tinters, </w:t>
      </w:r>
      <w:proofErr w:type="gramStart"/>
      <w:r w:rsidRPr="00C52FF7">
        <w:rPr>
          <w:rFonts w:ascii="Arial" w:hAnsi="Arial" w:cs="Arial"/>
          <w:color w:val="000000" w:themeColor="text1"/>
          <w:sz w:val="20"/>
          <w:shd w:val="clear" w:color="auto" w:fill="FFFFFF"/>
        </w:rPr>
        <w:t>inks</w:t>
      </w:r>
      <w:proofErr w:type="gramEnd"/>
      <w:r w:rsidRPr="00C52FF7">
        <w:rPr>
          <w:rFonts w:ascii="Arial" w:hAnsi="Arial" w:cs="Arial"/>
          <w:color w:val="000000" w:themeColor="text1"/>
          <w:sz w:val="20"/>
          <w:shd w:val="clear" w:color="auto" w:fill="FFFFFF"/>
        </w:rPr>
        <w:t xml:space="preserve"> or ink additives </w:t>
      </w:r>
      <w:r w:rsidRPr="00C52FF7">
        <w:rPr>
          <w:rFonts w:ascii="Arial" w:hAnsi="Arial" w:cs="Arial"/>
          <w:b/>
          <w:bCs/>
          <w:color w:val="000000" w:themeColor="text1"/>
          <w:sz w:val="20"/>
          <w:shd w:val="clear" w:color="auto" w:fill="FFFFFF"/>
        </w:rPr>
        <w:t xml:space="preserve">except </w:t>
      </w:r>
      <w:r w:rsidRPr="00C52FF7">
        <w:rPr>
          <w:rFonts w:ascii="Arial" w:hAnsi="Arial" w:cs="Arial"/>
          <w:color w:val="000000" w:themeColor="text1"/>
          <w:sz w:val="20"/>
          <w:shd w:val="clear" w:color="auto" w:fill="FFFFFF"/>
        </w:rPr>
        <w:t>in preparations containing 0.009% or less of lead calculated on the non-volatile content of the paint, tinter, ink or ink additive.</w:t>
      </w:r>
    </w:p>
    <w:p w14:paraId="1748BDBF" w14:textId="77777777" w:rsidR="00685E72" w:rsidRDefault="00685E72" w:rsidP="00685E72">
      <w:pPr>
        <w:pStyle w:val="Heading4"/>
      </w:pPr>
      <w:bookmarkStart w:id="51" w:name="_Toc122614244"/>
      <w:bookmarkStart w:id="52" w:name="_Toc131604376"/>
      <w:r>
        <w:t>Background</w:t>
      </w:r>
      <w:bookmarkEnd w:id="51"/>
      <w:bookmarkEnd w:id="52"/>
    </w:p>
    <w:p w14:paraId="7037CA8D" w14:textId="09BE48C8" w:rsidR="00F007C3" w:rsidRPr="00C52FF7" w:rsidRDefault="005607AB" w:rsidP="00685E72">
      <w:pPr>
        <w:rPr>
          <w:rFonts w:cs="Arial"/>
        </w:rPr>
      </w:pPr>
      <w:r w:rsidRPr="00C52FF7">
        <w:rPr>
          <w:rFonts w:cs="Arial"/>
        </w:rPr>
        <w:t>Anti-fouling paints are applied to the hulls of water vessels to prevent biofouling, which reduces streamlining and increases fuel consumption, as well as</w:t>
      </w:r>
      <w:r w:rsidR="0013560F" w:rsidRPr="00C52FF7">
        <w:rPr>
          <w:rFonts w:cs="Arial"/>
        </w:rPr>
        <w:t xml:space="preserve"> increasing</w:t>
      </w:r>
      <w:r w:rsidRPr="00C52FF7">
        <w:rPr>
          <w:rFonts w:cs="Arial"/>
        </w:rPr>
        <w:t xml:space="preserve"> the risk of introduction of invasive species. </w:t>
      </w:r>
      <w:r w:rsidR="00D241DA" w:rsidRPr="00C52FF7">
        <w:rPr>
          <w:rFonts w:cs="Arial"/>
        </w:rPr>
        <w:t>A</w:t>
      </w:r>
      <w:r w:rsidRPr="00C52FF7">
        <w:rPr>
          <w:rFonts w:cs="Arial"/>
        </w:rPr>
        <w:t xml:space="preserve">nti-fouling paints </w:t>
      </w:r>
      <w:r w:rsidR="00D241DA" w:rsidRPr="00C52FF7">
        <w:rPr>
          <w:rFonts w:cs="Arial"/>
        </w:rPr>
        <w:t xml:space="preserve">most commonly used </w:t>
      </w:r>
      <w:r w:rsidRPr="00C52FF7">
        <w:rPr>
          <w:rFonts w:cs="Arial"/>
        </w:rPr>
        <w:t xml:space="preserve">in Australia </w:t>
      </w:r>
      <w:r w:rsidR="00D241DA" w:rsidRPr="00C52FF7">
        <w:rPr>
          <w:rFonts w:cs="Arial"/>
        </w:rPr>
        <w:t xml:space="preserve">presently </w:t>
      </w:r>
      <w:r w:rsidRPr="00C52FF7">
        <w:rPr>
          <w:rFonts w:cs="Arial"/>
        </w:rPr>
        <w:t>are based on recycled copper, which contains lead as an impurity.</w:t>
      </w:r>
      <w:r w:rsidR="00A55D19" w:rsidRPr="00C52FF7">
        <w:rPr>
          <w:rFonts w:cs="Arial"/>
        </w:rPr>
        <w:t xml:space="preserve"> </w:t>
      </w:r>
    </w:p>
    <w:p w14:paraId="2B34AE1D" w14:textId="26B7A466" w:rsidR="002052ED" w:rsidRPr="00C52FF7" w:rsidRDefault="00A55D19" w:rsidP="00685E72">
      <w:pPr>
        <w:rPr>
          <w:rFonts w:cs="Arial"/>
        </w:rPr>
      </w:pPr>
      <w:r w:rsidRPr="00C52FF7">
        <w:rPr>
          <w:rFonts w:cs="Arial"/>
        </w:rPr>
        <w:t>The permissible level of lead in anti-fouling paints is due to be reduced to 90 mg/kg</w:t>
      </w:r>
      <w:r w:rsidR="003131B4" w:rsidRPr="00C52FF7">
        <w:rPr>
          <w:rFonts w:cs="Arial"/>
        </w:rPr>
        <w:t xml:space="preserve"> (equivalent to </w:t>
      </w:r>
      <w:r w:rsidR="00A715D5" w:rsidRPr="00C52FF7">
        <w:rPr>
          <w:rFonts w:cs="Arial"/>
        </w:rPr>
        <w:t xml:space="preserve">90 ppm or </w:t>
      </w:r>
      <w:r w:rsidR="003131B4" w:rsidRPr="00C52FF7">
        <w:rPr>
          <w:rFonts w:cs="Arial"/>
        </w:rPr>
        <w:t>0.009%)</w:t>
      </w:r>
      <w:r w:rsidRPr="00C52FF7">
        <w:rPr>
          <w:rFonts w:cs="Arial"/>
        </w:rPr>
        <w:t xml:space="preserve"> in the </w:t>
      </w:r>
      <w:r w:rsidR="006152E4" w:rsidRPr="00C52FF7">
        <w:rPr>
          <w:rFonts w:cs="Arial"/>
        </w:rPr>
        <w:t>Therapeutic Goods (Poisons Standard - October 2023) Instrument 2023</w:t>
      </w:r>
      <w:r w:rsidR="00F007C3" w:rsidRPr="00C52FF7">
        <w:rPr>
          <w:rFonts w:cs="Arial"/>
        </w:rPr>
        <w:t xml:space="preserve"> pursuant to a </w:t>
      </w:r>
      <w:hyperlink r:id="rId49" w:history="1">
        <w:r w:rsidR="00F007C3" w:rsidRPr="00C52FF7">
          <w:rPr>
            <w:rStyle w:val="Hyperlink"/>
            <w:rFonts w:cs="Arial"/>
          </w:rPr>
          <w:t>final decision</w:t>
        </w:r>
      </w:hyperlink>
      <w:r w:rsidR="00F007C3" w:rsidRPr="00C52FF7">
        <w:rPr>
          <w:rFonts w:cs="Arial"/>
        </w:rPr>
        <w:t xml:space="preserve"> of the chemicals scheduling delegate </w:t>
      </w:r>
      <w:r w:rsidR="007651FF" w:rsidRPr="00C52FF7">
        <w:rPr>
          <w:rFonts w:cs="Arial"/>
        </w:rPr>
        <w:t>on September 2021</w:t>
      </w:r>
      <w:r w:rsidRPr="00C52FF7">
        <w:rPr>
          <w:rFonts w:cs="Arial"/>
        </w:rPr>
        <w:t>.</w:t>
      </w:r>
      <w:r w:rsidR="00104104" w:rsidRPr="00C52FF7">
        <w:rPr>
          <w:rFonts w:cs="Arial"/>
        </w:rPr>
        <w:t xml:space="preserve"> The decision was made due to the public health concerns pertaining to lead, being a substance with known cumulative toxicity to humans. There is no regulatory threshold for human exposure, below which is considered safe. Instead, international standards highlight the need to reduce exposure to lead from various sources to as low as possible or eliminated altogether. In a similar manner, the United Nations Environment Program has endorsed lower limits for the presence of lead in paint, with the 90 mg/kg limit being adopted by several countries for some or all types of paints and coatings.</w:t>
      </w:r>
    </w:p>
    <w:p w14:paraId="25A28060" w14:textId="77777777" w:rsidR="007651FF" w:rsidRDefault="007651FF" w:rsidP="007651FF">
      <w:pPr>
        <w:pStyle w:val="Heading4"/>
      </w:pPr>
      <w:bookmarkStart w:id="53" w:name="_Toc131604377"/>
      <w:bookmarkStart w:id="54" w:name="_Toc122614245"/>
      <w:r>
        <w:t>Summary of applicant’s reasons for the proposal</w:t>
      </w:r>
      <w:bookmarkEnd w:id="53"/>
    </w:p>
    <w:p w14:paraId="0FF5AB3F" w14:textId="571A3DB2" w:rsidR="00A55D19" w:rsidRPr="00A55D19" w:rsidRDefault="00A55D19" w:rsidP="00A55D19">
      <w:pPr>
        <w:pStyle w:val="ListBullet"/>
      </w:pPr>
      <w:bookmarkStart w:id="55" w:name="_Toc122614246"/>
      <w:bookmarkEnd w:id="54"/>
      <w:r>
        <w:t>L</w:t>
      </w:r>
      <w:r w:rsidRPr="00A55D19">
        <w:t>ead is an impurity in the zinc and copper used in a range of specialty paints – anti</w:t>
      </w:r>
      <w:r>
        <w:t>-</w:t>
      </w:r>
      <w:r w:rsidRPr="00A55D19">
        <w:t>fouling and anti</w:t>
      </w:r>
      <w:r>
        <w:t>-</w:t>
      </w:r>
      <w:r w:rsidRPr="00A55D19">
        <w:t xml:space="preserve">corrosive paints. </w:t>
      </w:r>
    </w:p>
    <w:p w14:paraId="3BEDA16F" w14:textId="27C9B9B3" w:rsidR="00A55D19" w:rsidRDefault="00A55D19" w:rsidP="00701989">
      <w:pPr>
        <w:pStyle w:val="ListBullet"/>
      </w:pPr>
      <w:r w:rsidRPr="00A55D19">
        <w:t xml:space="preserve">Achieving a </w:t>
      </w:r>
      <w:proofErr w:type="gramStart"/>
      <w:r w:rsidRPr="00A55D19">
        <w:t>90</w:t>
      </w:r>
      <w:r w:rsidR="00A715D5">
        <w:t xml:space="preserve"> </w:t>
      </w:r>
      <w:r w:rsidRPr="00A55D19">
        <w:t>ppm</w:t>
      </w:r>
      <w:proofErr w:type="gramEnd"/>
      <w:r w:rsidRPr="00A55D19">
        <w:t xml:space="preserve"> lead limit is possible for anti</w:t>
      </w:r>
      <w:r>
        <w:t>-</w:t>
      </w:r>
      <w:r w:rsidRPr="00A55D19">
        <w:t>corrosive paints containing zinc. However, it is not currently feasible for anti</w:t>
      </w:r>
      <w:r w:rsidR="00E926E4">
        <w:t>-</w:t>
      </w:r>
      <w:r w:rsidRPr="00A55D19">
        <w:t>fouling paints based on cuprous oxide.</w:t>
      </w:r>
      <w:r>
        <w:t xml:space="preserve"> </w:t>
      </w:r>
      <w:r w:rsidRPr="00A55D19">
        <w:t xml:space="preserve">This is recognised by other governments, including the European Union, </w:t>
      </w:r>
      <w:proofErr w:type="gramStart"/>
      <w:r w:rsidRPr="00A55D19">
        <w:t>Singapore</w:t>
      </w:r>
      <w:proofErr w:type="gramEnd"/>
      <w:r w:rsidRPr="00A55D19">
        <w:t xml:space="preserve"> and United States. It is also recognised by the UNEP, the agency promoting the adoption of the </w:t>
      </w:r>
      <w:proofErr w:type="gramStart"/>
      <w:r w:rsidRPr="00A55D19">
        <w:t>90</w:t>
      </w:r>
      <w:r w:rsidR="00A715D5">
        <w:t xml:space="preserve"> </w:t>
      </w:r>
      <w:r w:rsidRPr="00A55D19">
        <w:t>ppm</w:t>
      </w:r>
      <w:proofErr w:type="gramEnd"/>
      <w:r w:rsidRPr="00A55D19">
        <w:t xml:space="preserve"> limit.</w:t>
      </w:r>
    </w:p>
    <w:p w14:paraId="50BE8995" w14:textId="1C43F680" w:rsidR="00A55D19" w:rsidRPr="00A55D19" w:rsidRDefault="00A55D19" w:rsidP="00701989">
      <w:pPr>
        <w:pStyle w:val="ListBullet"/>
      </w:pPr>
      <w:r w:rsidRPr="00A55D19">
        <w:t xml:space="preserve">Australia is alone in applying the </w:t>
      </w:r>
      <w:proofErr w:type="gramStart"/>
      <w:r w:rsidRPr="00A55D19">
        <w:t>90</w:t>
      </w:r>
      <w:r w:rsidR="00A715D5">
        <w:t xml:space="preserve"> </w:t>
      </w:r>
      <w:r w:rsidRPr="00A55D19">
        <w:t>ppm</w:t>
      </w:r>
      <w:proofErr w:type="gramEnd"/>
      <w:r w:rsidRPr="00A55D19">
        <w:t xml:space="preserve"> limit to anti</w:t>
      </w:r>
      <w:r>
        <w:t>-</w:t>
      </w:r>
      <w:r w:rsidRPr="00A55D19">
        <w:t>fouling</w:t>
      </w:r>
      <w:r>
        <w:t xml:space="preserve"> paints</w:t>
      </w:r>
      <w:r w:rsidRPr="00A55D19">
        <w:t>.</w:t>
      </w:r>
    </w:p>
    <w:p w14:paraId="38B103D4" w14:textId="733FDF92" w:rsidR="00A55D19" w:rsidRPr="00A55D19" w:rsidRDefault="00A55D19" w:rsidP="00A55D19">
      <w:pPr>
        <w:pStyle w:val="ListBullet"/>
      </w:pPr>
      <w:r w:rsidRPr="00A55D19">
        <w:t>Australia’s failure to align its anti</w:t>
      </w:r>
      <w:r>
        <w:t>-</w:t>
      </w:r>
      <w:r w:rsidRPr="00A55D19">
        <w:t xml:space="preserve">fouling </w:t>
      </w:r>
      <w:r w:rsidR="00A715D5">
        <w:t xml:space="preserve">paint </w:t>
      </w:r>
      <w:r w:rsidRPr="00A55D19">
        <w:t>standards with those applying in other jurisdictions will have significant impact on the cost and availability</w:t>
      </w:r>
      <w:r w:rsidR="00A715D5">
        <w:t xml:space="preserve"> of</w:t>
      </w:r>
      <w:r w:rsidRPr="00A55D19">
        <w:t xml:space="preserve"> anti</w:t>
      </w:r>
      <w:r>
        <w:t>-</w:t>
      </w:r>
      <w:r w:rsidRPr="00A55D19">
        <w:t>fouling paints in Australia. This will have flow-on implications for the Australian industries that rely on copper-based anti</w:t>
      </w:r>
      <w:r>
        <w:t>-</w:t>
      </w:r>
      <w:r w:rsidRPr="00A55D19">
        <w:t>fouling</w:t>
      </w:r>
      <w:r>
        <w:t xml:space="preserve"> paints</w:t>
      </w:r>
      <w:r w:rsidRPr="00A55D19">
        <w:t xml:space="preserve">, including ship building and repairs, maritime transportation, maritime tourism, maritime </w:t>
      </w:r>
      <w:proofErr w:type="gramStart"/>
      <w:r w:rsidRPr="00A55D19">
        <w:t>infrastructure</w:t>
      </w:r>
      <w:proofErr w:type="gramEnd"/>
      <w:r w:rsidRPr="00A55D19">
        <w:t xml:space="preserve"> and the commercial fishing fleet. It will also have impacts for leisure craft and vessels.</w:t>
      </w:r>
    </w:p>
    <w:p w14:paraId="79ECA8AA" w14:textId="5C44A1EF" w:rsidR="00A55D19" w:rsidRPr="00A55D19" w:rsidRDefault="00A55D19" w:rsidP="00A55D19">
      <w:pPr>
        <w:pStyle w:val="ListBullet"/>
      </w:pPr>
      <w:r w:rsidRPr="00A55D19">
        <w:t>Human exposure to anti</w:t>
      </w:r>
      <w:r>
        <w:t>-</w:t>
      </w:r>
      <w:r w:rsidRPr="00A55D19">
        <w:t>fouling paints is extremely limited. Once applied, anti</w:t>
      </w:r>
      <w:r>
        <w:t>-</w:t>
      </w:r>
      <w:r w:rsidRPr="00A55D19">
        <w:t>fouling sits below the waterline on the vessel’s hull. Most Australians will never be exposed to anti</w:t>
      </w:r>
      <w:r>
        <w:t>-</w:t>
      </w:r>
      <w:r w:rsidRPr="00A55D19">
        <w:t>fouling</w:t>
      </w:r>
      <w:r>
        <w:t xml:space="preserve"> paints</w:t>
      </w:r>
      <w:r w:rsidRPr="00A55D19">
        <w:t>.</w:t>
      </w:r>
      <w:r w:rsidR="00A715D5">
        <w:t xml:space="preserve"> </w:t>
      </w:r>
      <w:r w:rsidRPr="00A55D19">
        <w:lastRenderedPageBreak/>
        <w:t>Hence, the public health risk from exposure to the low levels of lead in anti</w:t>
      </w:r>
      <w:r>
        <w:t>-</w:t>
      </w:r>
      <w:r w:rsidRPr="00A55D19">
        <w:t xml:space="preserve">fouling </w:t>
      </w:r>
      <w:r>
        <w:t xml:space="preserve">paints </w:t>
      </w:r>
      <w:r w:rsidRPr="00A55D19">
        <w:t xml:space="preserve">is extremely low, particularly at the </w:t>
      </w:r>
      <w:proofErr w:type="gramStart"/>
      <w:r w:rsidRPr="00A55D19">
        <w:t>600</w:t>
      </w:r>
      <w:r w:rsidR="00A715D5">
        <w:t xml:space="preserve"> </w:t>
      </w:r>
      <w:r w:rsidRPr="00A55D19">
        <w:t>ppm</w:t>
      </w:r>
      <w:proofErr w:type="gramEnd"/>
      <w:r w:rsidRPr="00A55D19">
        <w:t xml:space="preserve"> level. </w:t>
      </w:r>
    </w:p>
    <w:p w14:paraId="1A4A1564" w14:textId="77777777" w:rsidR="00685E72" w:rsidRDefault="00685E72" w:rsidP="00685E72">
      <w:pPr>
        <w:pStyle w:val="Heading4"/>
      </w:pPr>
      <w:bookmarkStart w:id="56" w:name="_Toc131604378"/>
      <w:r>
        <w:t>Key uses / expected use</w:t>
      </w:r>
      <w:bookmarkEnd w:id="55"/>
      <w:bookmarkEnd w:id="56"/>
    </w:p>
    <w:p w14:paraId="27234EC8" w14:textId="3508BED4" w:rsidR="00685E72" w:rsidRDefault="00A55D19" w:rsidP="00685E72">
      <w:r w:rsidRPr="00A55D19">
        <w:t>I</w:t>
      </w:r>
      <w:r w:rsidR="00685E72" w:rsidRPr="00A55D19">
        <w:t xml:space="preserve">ndustrial </w:t>
      </w:r>
      <w:r w:rsidRPr="00A55D19">
        <w:t xml:space="preserve">and commercial </w:t>
      </w:r>
      <w:r w:rsidR="00685E72" w:rsidRPr="00A55D19">
        <w:t>use</w:t>
      </w:r>
      <w:r w:rsidRPr="00A55D19">
        <w:t xml:space="preserve"> – water vessels including yachts, </w:t>
      </w:r>
      <w:proofErr w:type="gramStart"/>
      <w:r w:rsidRPr="00A55D19">
        <w:t>boats</w:t>
      </w:r>
      <w:proofErr w:type="gramEnd"/>
      <w:r w:rsidRPr="00A55D19">
        <w:t xml:space="preserve"> and ships.</w:t>
      </w:r>
    </w:p>
    <w:p w14:paraId="10922401" w14:textId="77777777" w:rsidR="00685E72" w:rsidRDefault="00685E72" w:rsidP="00685E72">
      <w:pPr>
        <w:pStyle w:val="Heading4"/>
      </w:pPr>
      <w:bookmarkStart w:id="57" w:name="_Toc122614247"/>
      <w:bookmarkStart w:id="58" w:name="_Toc131604379"/>
      <w:r w:rsidRPr="00DC5AE0">
        <w:t xml:space="preserve">Australian </w:t>
      </w:r>
      <w:r>
        <w:t>regulations</w:t>
      </w:r>
      <w:bookmarkEnd w:id="57"/>
      <w:bookmarkEnd w:id="58"/>
      <w:r w:rsidRPr="00DC5AE0">
        <w:t xml:space="preserve"> </w:t>
      </w:r>
    </w:p>
    <w:p w14:paraId="19BC4A27" w14:textId="6DCEB172" w:rsidR="00685E72" w:rsidRPr="00C52FF7" w:rsidRDefault="00685E72" w:rsidP="00685E72">
      <w:pPr>
        <w:pStyle w:val="ListBullet"/>
        <w:rPr>
          <w:rFonts w:cs="Arial"/>
        </w:rPr>
      </w:pPr>
      <w:r w:rsidRPr="00C52FF7">
        <w:rPr>
          <w:rFonts w:cs="Arial"/>
        </w:rPr>
        <w:t xml:space="preserve">According to the </w:t>
      </w:r>
      <w:hyperlink r:id="rId50" w:history="1">
        <w:r w:rsidRPr="00C52FF7">
          <w:rPr>
            <w:rStyle w:val="Hyperlink"/>
            <w:rFonts w:cs="Arial"/>
          </w:rPr>
          <w:t>TGA Ingredient Database</w:t>
        </w:r>
      </w:hyperlink>
      <w:r w:rsidRPr="00C52FF7">
        <w:rPr>
          <w:rFonts w:cs="Arial"/>
        </w:rPr>
        <w:t>,</w:t>
      </w:r>
      <w:r w:rsidRPr="00C52FF7">
        <w:rPr>
          <w:rStyle w:val="FootnoteReference"/>
          <w:rFonts w:cs="Arial"/>
        </w:rPr>
        <w:footnoteReference w:id="26"/>
      </w:r>
      <w:r w:rsidRPr="00C52FF7">
        <w:rPr>
          <w:rFonts w:cs="Arial"/>
        </w:rPr>
        <w:t xml:space="preserve"> </w:t>
      </w:r>
      <w:r w:rsidR="00BD062A" w:rsidRPr="00C52FF7">
        <w:rPr>
          <w:rFonts w:cs="Arial"/>
        </w:rPr>
        <w:t>lead</w:t>
      </w:r>
      <w:r w:rsidRPr="00C52FF7">
        <w:rPr>
          <w:rFonts w:cs="Arial"/>
        </w:rPr>
        <w:t xml:space="preserve"> is:</w:t>
      </w:r>
    </w:p>
    <w:p w14:paraId="2D7A634B" w14:textId="4763A1D7" w:rsidR="00BD062A" w:rsidRPr="00C52FF7" w:rsidRDefault="00BD062A" w:rsidP="00BD062A">
      <w:pPr>
        <w:pStyle w:val="ListBullet2"/>
        <w:rPr>
          <w:rFonts w:cs="Arial"/>
        </w:rPr>
      </w:pPr>
      <w:r w:rsidRPr="00C52FF7">
        <w:rPr>
          <w:rFonts w:cs="Arial"/>
        </w:rPr>
        <w:t>Available for use as an Active Ingredient in Biologicals, Export Only, Listed Medicines Over the Counter and Prescription Medicines;</w:t>
      </w:r>
    </w:p>
    <w:p w14:paraId="5444A319" w14:textId="19271D27" w:rsidR="00BD062A" w:rsidRPr="00C52FF7" w:rsidRDefault="00BD062A" w:rsidP="00BD062A">
      <w:pPr>
        <w:pStyle w:val="ListBullet2"/>
        <w:rPr>
          <w:rFonts w:cs="Arial"/>
        </w:rPr>
      </w:pPr>
      <w:r w:rsidRPr="00C52FF7">
        <w:rPr>
          <w:rFonts w:cs="Arial"/>
        </w:rPr>
        <w:t>Available for use in Listed Medicines as a Homeopathic Ingredient only;</w:t>
      </w:r>
    </w:p>
    <w:p w14:paraId="0C9617A5" w14:textId="10AD294C" w:rsidR="00BD062A" w:rsidRPr="00C52FF7" w:rsidRDefault="00BD062A" w:rsidP="00BD062A">
      <w:pPr>
        <w:pStyle w:val="ListBullet2"/>
        <w:rPr>
          <w:rFonts w:cs="Arial"/>
        </w:rPr>
      </w:pPr>
      <w:r w:rsidRPr="00C52FF7">
        <w:rPr>
          <w:rFonts w:cs="Arial"/>
        </w:rPr>
        <w:t>Available for use as an Excipient Ingredient in Biologicals, Devices and Prescription Medicines;</w:t>
      </w:r>
    </w:p>
    <w:p w14:paraId="09B8962B" w14:textId="5C6E0AC3" w:rsidR="00685E72" w:rsidRPr="00C52FF7" w:rsidRDefault="00BD062A" w:rsidP="00BD062A">
      <w:pPr>
        <w:pStyle w:val="ListBullet2"/>
        <w:rPr>
          <w:rFonts w:cs="Arial"/>
        </w:rPr>
      </w:pPr>
      <w:r w:rsidRPr="00C52FF7">
        <w:rPr>
          <w:rFonts w:cs="Arial"/>
        </w:rPr>
        <w:t>Available for use as an Equivalent Ingredient in Listed Medicines.</w:t>
      </w:r>
    </w:p>
    <w:p w14:paraId="23CB625D" w14:textId="12E7BE2D" w:rsidR="00685E72" w:rsidRPr="00C52FF7" w:rsidRDefault="00685E72" w:rsidP="00BD062A">
      <w:pPr>
        <w:pStyle w:val="ListBullet"/>
        <w:rPr>
          <w:rFonts w:cs="Arial"/>
        </w:rPr>
      </w:pPr>
      <w:r w:rsidRPr="00C52FF7">
        <w:rPr>
          <w:rFonts w:cs="Arial"/>
        </w:rPr>
        <w:t>As of M</w:t>
      </w:r>
      <w:r w:rsidR="00BD062A" w:rsidRPr="00C52FF7">
        <w:rPr>
          <w:rFonts w:cs="Arial"/>
        </w:rPr>
        <w:t>arc</w:t>
      </w:r>
      <w:r w:rsidRPr="00C52FF7">
        <w:rPr>
          <w:rFonts w:cs="Arial"/>
        </w:rPr>
        <w:t>h 20</w:t>
      </w:r>
      <w:r w:rsidR="00BD062A" w:rsidRPr="00C52FF7">
        <w:rPr>
          <w:rFonts w:cs="Arial"/>
        </w:rPr>
        <w:t>23</w:t>
      </w:r>
      <w:r w:rsidRPr="00C52FF7">
        <w:rPr>
          <w:rFonts w:cs="Arial"/>
        </w:rPr>
        <w:t xml:space="preserve">, there were </w:t>
      </w:r>
      <w:r w:rsidR="00BD062A" w:rsidRPr="00C52FF7">
        <w:rPr>
          <w:rFonts w:cs="Arial"/>
        </w:rPr>
        <w:t>no</w:t>
      </w:r>
      <w:r w:rsidRPr="00C52FF7">
        <w:rPr>
          <w:rFonts w:cs="Arial"/>
        </w:rPr>
        <w:t xml:space="preserve"> medicines currently active on the </w:t>
      </w:r>
      <w:hyperlink r:id="rId51" w:history="1">
        <w:r w:rsidRPr="00C52FF7">
          <w:rPr>
            <w:rStyle w:val="Hyperlink"/>
            <w:rFonts w:cs="Arial"/>
          </w:rPr>
          <w:t>Australian Register of Therapeutic Goods (ARTG)</w:t>
        </w:r>
      </w:hyperlink>
      <w:r w:rsidRPr="00C52FF7">
        <w:rPr>
          <w:rStyle w:val="FootnoteReference"/>
          <w:rFonts w:cs="Arial"/>
        </w:rPr>
        <w:footnoteReference w:id="27"/>
      </w:r>
      <w:r w:rsidRPr="00C52FF7">
        <w:rPr>
          <w:rFonts w:cs="Arial"/>
        </w:rPr>
        <w:t xml:space="preserve"> that contain </w:t>
      </w:r>
      <w:r w:rsidR="00BD062A" w:rsidRPr="00C52FF7">
        <w:rPr>
          <w:rFonts w:cs="Arial"/>
        </w:rPr>
        <w:t>lead</w:t>
      </w:r>
      <w:r w:rsidRPr="00C52FF7">
        <w:rPr>
          <w:rFonts w:cs="Arial"/>
        </w:rPr>
        <w:t xml:space="preserve"> as an active ingredient.</w:t>
      </w:r>
    </w:p>
    <w:p w14:paraId="2240D554" w14:textId="2D92C9C7" w:rsidR="00685E72" w:rsidRPr="00C52FF7" w:rsidRDefault="00685E72" w:rsidP="00685E72">
      <w:pPr>
        <w:pStyle w:val="ListBullet"/>
        <w:keepNext/>
        <w:keepLines/>
        <w:rPr>
          <w:rFonts w:cs="Arial"/>
        </w:rPr>
      </w:pPr>
      <w:r w:rsidRPr="00C52FF7">
        <w:rPr>
          <w:rFonts w:cs="Arial"/>
        </w:rPr>
        <w:t xml:space="preserve">According to the </w:t>
      </w:r>
      <w:hyperlink r:id="rId52" w:history="1">
        <w:r w:rsidRPr="00C52FF7">
          <w:rPr>
            <w:rStyle w:val="Hyperlink"/>
            <w:rFonts w:cs="Arial"/>
          </w:rPr>
          <w:t>Therapeutic Goods (Permissible Ingredients) Determination</w:t>
        </w:r>
      </w:hyperlink>
      <w:r w:rsidRPr="00C52FF7">
        <w:rPr>
          <w:rStyle w:val="FootnoteReference"/>
          <w:rFonts w:cs="Arial"/>
        </w:rPr>
        <w:footnoteReference w:id="28"/>
      </w:r>
      <w:r w:rsidRPr="00C52FF7">
        <w:rPr>
          <w:rFonts w:cs="Arial"/>
        </w:rPr>
        <w:t xml:space="preserve"> No.</w:t>
      </w:r>
      <w:r w:rsidR="00A54E17" w:rsidRPr="00C52FF7">
        <w:rPr>
          <w:rFonts w:cs="Arial"/>
        </w:rPr>
        <w:t>1</w:t>
      </w:r>
      <w:r w:rsidRPr="00C52FF7">
        <w:rPr>
          <w:rFonts w:cs="Arial"/>
        </w:rPr>
        <w:t xml:space="preserve"> of 20</w:t>
      </w:r>
      <w:r w:rsidR="00A54E17" w:rsidRPr="00C52FF7">
        <w:rPr>
          <w:rFonts w:cs="Arial"/>
        </w:rPr>
        <w:t>23</w:t>
      </w:r>
      <w:r w:rsidRPr="00C52FF7">
        <w:rPr>
          <w:rFonts w:cs="Arial"/>
        </w:rPr>
        <w:t xml:space="preserve">, </w:t>
      </w:r>
      <w:r w:rsidR="00A54E17" w:rsidRPr="00C52FF7">
        <w:rPr>
          <w:rFonts w:cs="Arial"/>
        </w:rPr>
        <w:t>lead</w:t>
      </w:r>
      <w:r w:rsidRPr="00C52FF7">
        <w:rPr>
          <w:rFonts w:cs="Arial"/>
        </w:rPr>
        <w:t xml:space="preserve"> is permitted to be included in listed medicines as follows:</w:t>
      </w:r>
    </w:p>
    <w:tbl>
      <w:tblPr>
        <w:tblStyle w:val="TableTGAblue"/>
        <w:tblW w:w="0" w:type="auto"/>
        <w:tblInd w:w="360" w:type="dxa"/>
        <w:tblLook w:val="04A0" w:firstRow="1" w:lastRow="0" w:firstColumn="1" w:lastColumn="0" w:noHBand="0" w:noVBand="1"/>
      </w:tblPr>
      <w:tblGrid>
        <w:gridCol w:w="751"/>
        <w:gridCol w:w="2625"/>
        <w:gridCol w:w="1087"/>
        <w:gridCol w:w="4227"/>
      </w:tblGrid>
      <w:tr w:rsidR="00685E72" w:rsidRPr="00C52FF7" w14:paraId="7BED8BFA" w14:textId="77777777" w:rsidTr="00463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2C44AD9E" w14:textId="77777777" w:rsidR="00685E72" w:rsidRPr="00C52FF7" w:rsidRDefault="00685E72" w:rsidP="00A54E17">
            <w:pPr>
              <w:pStyle w:val="ListBullet"/>
              <w:keepLines/>
              <w:numPr>
                <w:ilvl w:val="0"/>
                <w:numId w:val="0"/>
              </w:numPr>
              <w:spacing w:before="60" w:after="60"/>
              <w:rPr>
                <w:rFonts w:cs="Arial"/>
                <w:color w:val="FFFFFF" w:themeColor="background1"/>
                <w:sz w:val="20"/>
                <w:szCs w:val="20"/>
              </w:rPr>
            </w:pPr>
            <w:r w:rsidRPr="00C52FF7">
              <w:rPr>
                <w:rFonts w:cs="Arial"/>
                <w:color w:val="FFFFFF" w:themeColor="background1"/>
                <w:sz w:val="20"/>
                <w:szCs w:val="20"/>
              </w:rPr>
              <w:t>Item</w:t>
            </w:r>
          </w:p>
        </w:tc>
        <w:tc>
          <w:tcPr>
            <w:tcW w:w="2892" w:type="dxa"/>
          </w:tcPr>
          <w:p w14:paraId="61C53F6B" w14:textId="77777777" w:rsidR="00685E72" w:rsidRPr="00C52FF7" w:rsidRDefault="00685E72" w:rsidP="00A54E17">
            <w:pPr>
              <w:pStyle w:val="ListBullet"/>
              <w:keepLines/>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C52FF7">
              <w:rPr>
                <w:rFonts w:cs="Arial"/>
                <w:color w:val="FFFFFF" w:themeColor="background1"/>
                <w:sz w:val="20"/>
                <w:szCs w:val="20"/>
              </w:rPr>
              <w:t>Ingredient name</w:t>
            </w:r>
          </w:p>
        </w:tc>
        <w:tc>
          <w:tcPr>
            <w:tcW w:w="1100" w:type="dxa"/>
          </w:tcPr>
          <w:p w14:paraId="671ECE7A" w14:textId="77777777" w:rsidR="00685E72" w:rsidRPr="00C52FF7" w:rsidRDefault="00685E72" w:rsidP="00A54E17">
            <w:pPr>
              <w:pStyle w:val="ListBullet"/>
              <w:keepLines/>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C52FF7">
              <w:rPr>
                <w:rFonts w:cs="Arial"/>
                <w:color w:val="FFFFFF" w:themeColor="background1"/>
                <w:sz w:val="20"/>
                <w:szCs w:val="20"/>
              </w:rPr>
              <w:t>Purpose</w:t>
            </w:r>
          </w:p>
        </w:tc>
        <w:tc>
          <w:tcPr>
            <w:tcW w:w="4734" w:type="dxa"/>
          </w:tcPr>
          <w:p w14:paraId="23E3F9A9" w14:textId="77777777" w:rsidR="00685E72" w:rsidRPr="00C52FF7" w:rsidRDefault="00685E72" w:rsidP="00A54E17">
            <w:pPr>
              <w:pStyle w:val="ListBullet"/>
              <w:keepLines/>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C52FF7">
              <w:rPr>
                <w:rFonts w:cs="Arial"/>
                <w:color w:val="FFFFFF" w:themeColor="background1"/>
                <w:sz w:val="20"/>
                <w:szCs w:val="20"/>
              </w:rPr>
              <w:t>Specific requirements</w:t>
            </w:r>
          </w:p>
        </w:tc>
      </w:tr>
      <w:tr w:rsidR="00685E72" w:rsidRPr="00C52FF7" w14:paraId="20EFE78B" w14:textId="77777777" w:rsidTr="0046377D">
        <w:tc>
          <w:tcPr>
            <w:cnfStyle w:val="001000000000" w:firstRow="0" w:lastRow="0" w:firstColumn="1" w:lastColumn="0" w:oddVBand="0" w:evenVBand="0" w:oddHBand="0" w:evenHBand="0" w:firstRowFirstColumn="0" w:firstRowLastColumn="0" w:lastRowFirstColumn="0" w:lastRowLastColumn="0"/>
            <w:tcW w:w="768" w:type="dxa"/>
          </w:tcPr>
          <w:p w14:paraId="631FEFE0" w14:textId="57423970" w:rsidR="00685E72" w:rsidRPr="00C52FF7" w:rsidRDefault="00A54E17" w:rsidP="00A54E17">
            <w:pPr>
              <w:keepNext/>
              <w:keepLines/>
              <w:spacing w:before="60" w:after="60"/>
              <w:rPr>
                <w:rFonts w:cs="Arial"/>
                <w:sz w:val="20"/>
                <w:szCs w:val="20"/>
              </w:rPr>
            </w:pPr>
            <w:r w:rsidRPr="00C52FF7">
              <w:rPr>
                <w:rFonts w:cs="Arial"/>
                <w:sz w:val="20"/>
                <w:szCs w:val="20"/>
              </w:rPr>
              <w:t>2981</w:t>
            </w:r>
          </w:p>
        </w:tc>
        <w:tc>
          <w:tcPr>
            <w:tcW w:w="2892" w:type="dxa"/>
          </w:tcPr>
          <w:p w14:paraId="5B426088" w14:textId="4C699A08" w:rsidR="00685E72" w:rsidRPr="00C52FF7" w:rsidRDefault="00A54E17" w:rsidP="00A54E17">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LEAD</w:t>
            </w:r>
          </w:p>
        </w:tc>
        <w:tc>
          <w:tcPr>
            <w:tcW w:w="1100" w:type="dxa"/>
          </w:tcPr>
          <w:p w14:paraId="1C7E1A6C" w14:textId="1E0C83FD" w:rsidR="00685E72" w:rsidRPr="00C52FF7" w:rsidRDefault="00A54E17" w:rsidP="00A54E17">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H</w:t>
            </w:r>
          </w:p>
        </w:tc>
        <w:tc>
          <w:tcPr>
            <w:tcW w:w="4734" w:type="dxa"/>
          </w:tcPr>
          <w:p w14:paraId="1E762A37" w14:textId="77777777" w:rsidR="00685E72" w:rsidRPr="00C52FF7" w:rsidRDefault="00A54E17" w:rsidP="00A54E17">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Only for use as an active homeopathic ingredient.</w:t>
            </w:r>
          </w:p>
          <w:p w14:paraId="2CC872FC" w14:textId="66067F49" w:rsidR="00A54E17" w:rsidRPr="00C52FF7" w:rsidRDefault="00A54E17" w:rsidP="00A54E17">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The concentration in the medicine must be no more than 0.001%.</w:t>
            </w:r>
          </w:p>
        </w:tc>
      </w:tr>
      <w:tr w:rsidR="00685E72" w:rsidRPr="00C52FF7" w14:paraId="46B5A513" w14:textId="77777777" w:rsidTr="0046377D">
        <w:tc>
          <w:tcPr>
            <w:cnfStyle w:val="001000000000" w:firstRow="0" w:lastRow="0" w:firstColumn="1" w:lastColumn="0" w:oddVBand="0" w:evenVBand="0" w:oddHBand="0" w:evenHBand="0" w:firstRowFirstColumn="0" w:firstRowLastColumn="0" w:lastRowFirstColumn="0" w:lastRowLastColumn="0"/>
            <w:tcW w:w="9494" w:type="dxa"/>
            <w:gridSpan w:val="4"/>
          </w:tcPr>
          <w:p w14:paraId="2E92899A" w14:textId="7E9FA289" w:rsidR="00685E72" w:rsidRPr="00C52FF7" w:rsidRDefault="00685E72" w:rsidP="00A54E17">
            <w:pPr>
              <w:keepNext/>
              <w:keepLines/>
              <w:spacing w:before="60" w:after="60"/>
              <w:rPr>
                <w:rFonts w:cs="Arial"/>
                <w:sz w:val="20"/>
              </w:rPr>
            </w:pPr>
            <w:r w:rsidRPr="00C52FF7">
              <w:rPr>
                <w:rFonts w:cs="Arial"/>
                <w:sz w:val="16"/>
                <w:szCs w:val="16"/>
              </w:rPr>
              <w:t>H = homoeopathic preparation ingredient meaning an ingredient that is a constituent of a homoeopathic preparation</w:t>
            </w:r>
          </w:p>
        </w:tc>
      </w:tr>
    </w:tbl>
    <w:p w14:paraId="299B922C" w14:textId="39114E1C" w:rsidR="00685E72" w:rsidRPr="00C52FF7" w:rsidRDefault="00A54E17" w:rsidP="00685E72">
      <w:pPr>
        <w:pStyle w:val="ListBullet"/>
        <w:keepNext/>
        <w:keepLines/>
        <w:rPr>
          <w:rFonts w:cs="Arial"/>
        </w:rPr>
      </w:pPr>
      <w:r w:rsidRPr="00C52FF7">
        <w:rPr>
          <w:rFonts w:cs="Arial"/>
        </w:rPr>
        <w:t>Lead is not included in t</w:t>
      </w:r>
      <w:r w:rsidR="00685E72" w:rsidRPr="00C52FF7">
        <w:rPr>
          <w:rFonts w:cs="Arial"/>
        </w:rPr>
        <w:t xml:space="preserve">he </w:t>
      </w:r>
      <w:hyperlink r:id="rId53" w:history="1">
        <w:r w:rsidR="00685E72" w:rsidRPr="00C52FF7">
          <w:rPr>
            <w:rStyle w:val="Hyperlink"/>
            <w:rFonts w:cs="Arial"/>
          </w:rPr>
          <w:t>TGA prescribing medicines in pregnancy database</w:t>
        </w:r>
      </w:hyperlink>
      <w:r w:rsidRPr="00C52FF7">
        <w:rPr>
          <w:rStyle w:val="Hyperlink"/>
          <w:rFonts w:cs="Arial"/>
          <w:color w:val="auto"/>
          <w:u w:val="none"/>
        </w:rPr>
        <w:t>.</w:t>
      </w:r>
      <w:r w:rsidR="00685E72" w:rsidRPr="00C52FF7">
        <w:rPr>
          <w:rStyle w:val="FootnoteReference"/>
          <w:rFonts w:cs="Arial"/>
        </w:rPr>
        <w:footnoteReference w:id="29"/>
      </w:r>
    </w:p>
    <w:p w14:paraId="7D991980" w14:textId="02E247DF" w:rsidR="00685E72" w:rsidRPr="00C52FF7" w:rsidRDefault="00685E72" w:rsidP="00A54E17">
      <w:pPr>
        <w:pStyle w:val="ListBullet"/>
        <w:rPr>
          <w:rFonts w:cs="Arial"/>
        </w:rPr>
      </w:pPr>
      <w:r w:rsidRPr="00C52FF7">
        <w:rPr>
          <w:rFonts w:cs="Arial"/>
        </w:rPr>
        <w:t xml:space="preserve">There are no warning statements pertaining to </w:t>
      </w:r>
      <w:r w:rsidR="00A54E17" w:rsidRPr="00C52FF7">
        <w:rPr>
          <w:rFonts w:cs="Arial"/>
        </w:rPr>
        <w:t>lead</w:t>
      </w:r>
      <w:r w:rsidRPr="00C52FF7">
        <w:rPr>
          <w:rFonts w:cs="Arial"/>
        </w:rPr>
        <w:t xml:space="preserve"> in the </w:t>
      </w:r>
      <w:hyperlink r:id="rId54" w:history="1">
        <w:r w:rsidRPr="00C52FF7">
          <w:rPr>
            <w:rStyle w:val="Hyperlink"/>
            <w:rFonts w:cs="Arial"/>
          </w:rPr>
          <w:t>Therapeutic Goods (Medicines Advisory Statements) Specification 2021</w:t>
        </w:r>
      </w:hyperlink>
      <w:r w:rsidR="00A54E17" w:rsidRPr="00C52FF7">
        <w:rPr>
          <w:rStyle w:val="Hyperlink"/>
          <w:rFonts w:cs="Arial"/>
          <w:color w:val="auto"/>
          <w:u w:val="none"/>
        </w:rPr>
        <w:t>.</w:t>
      </w:r>
      <w:r w:rsidRPr="00C52FF7">
        <w:rPr>
          <w:rStyle w:val="FootnoteReference"/>
          <w:rFonts w:cs="Arial"/>
        </w:rPr>
        <w:footnoteReference w:id="30"/>
      </w:r>
    </w:p>
    <w:p w14:paraId="4B8039CF" w14:textId="75FF62EB" w:rsidR="00685E72" w:rsidRPr="00C52FF7" w:rsidRDefault="00685E72" w:rsidP="00A54E17">
      <w:pPr>
        <w:pStyle w:val="ListBullet"/>
        <w:rPr>
          <w:rFonts w:cs="Arial"/>
          <w:i/>
          <w:color w:val="8496B0" w:themeColor="text2" w:themeTint="99"/>
        </w:rPr>
      </w:pPr>
      <w:r w:rsidRPr="00C52FF7">
        <w:rPr>
          <w:rFonts w:cs="Arial"/>
        </w:rPr>
        <w:t xml:space="preserve">As of </w:t>
      </w:r>
      <w:r w:rsidR="00A54E17" w:rsidRPr="00C52FF7">
        <w:rPr>
          <w:rFonts w:cs="Arial"/>
        </w:rPr>
        <w:t xml:space="preserve">March </w:t>
      </w:r>
      <w:r w:rsidRPr="00C52FF7">
        <w:rPr>
          <w:rFonts w:cs="Arial"/>
        </w:rPr>
        <w:t>20</w:t>
      </w:r>
      <w:r w:rsidR="00A54E17" w:rsidRPr="00C52FF7">
        <w:rPr>
          <w:rFonts w:cs="Arial"/>
        </w:rPr>
        <w:t>23</w:t>
      </w:r>
      <w:r w:rsidRPr="00C52FF7">
        <w:rPr>
          <w:rFonts w:cs="Arial"/>
        </w:rPr>
        <w:t xml:space="preserve">, there were </w:t>
      </w:r>
      <w:r w:rsidR="00A54E17" w:rsidRPr="00C52FF7">
        <w:rPr>
          <w:rFonts w:cs="Arial"/>
        </w:rPr>
        <w:t>no</w:t>
      </w:r>
      <w:r w:rsidRPr="00C52FF7">
        <w:rPr>
          <w:rFonts w:cs="Arial"/>
        </w:rPr>
        <w:t xml:space="preserve"> reports of adverse events for products containing </w:t>
      </w:r>
      <w:r w:rsidR="00A54E17" w:rsidRPr="00C52FF7">
        <w:rPr>
          <w:rFonts w:cs="Arial"/>
        </w:rPr>
        <w:t xml:space="preserve">lead </w:t>
      </w:r>
      <w:r w:rsidRPr="00C52FF7">
        <w:rPr>
          <w:rFonts w:cs="Arial"/>
        </w:rPr>
        <w:t xml:space="preserve">as an active ingredient on the </w:t>
      </w:r>
      <w:hyperlink r:id="rId55" w:history="1">
        <w:r w:rsidRPr="00C52FF7">
          <w:rPr>
            <w:rStyle w:val="Hyperlink"/>
            <w:rFonts w:cs="Arial"/>
          </w:rPr>
          <w:t>Database of Adverse Event Notifications (DAEN)</w:t>
        </w:r>
      </w:hyperlink>
      <w:r w:rsidR="00A54E17" w:rsidRPr="00C52FF7">
        <w:rPr>
          <w:rStyle w:val="Hyperlink"/>
          <w:rFonts w:cs="Arial"/>
          <w:color w:val="auto"/>
          <w:u w:val="none"/>
        </w:rPr>
        <w:t>.</w:t>
      </w:r>
      <w:r w:rsidRPr="00C52FF7">
        <w:rPr>
          <w:rStyle w:val="FootnoteReference"/>
          <w:rFonts w:cs="Arial"/>
        </w:rPr>
        <w:footnoteReference w:id="31"/>
      </w:r>
    </w:p>
    <w:p w14:paraId="113696E4" w14:textId="040186F9" w:rsidR="00685E72" w:rsidRPr="00C52FF7" w:rsidRDefault="00685E72" w:rsidP="00685E72">
      <w:pPr>
        <w:pStyle w:val="ListBullet"/>
        <w:rPr>
          <w:rFonts w:cs="Arial"/>
        </w:rPr>
      </w:pPr>
      <w:r w:rsidRPr="00C52FF7">
        <w:rPr>
          <w:rFonts w:cs="Arial"/>
        </w:rPr>
        <w:t>As of M</w:t>
      </w:r>
      <w:r w:rsidR="00A54E17" w:rsidRPr="00C52FF7">
        <w:rPr>
          <w:rFonts w:cs="Arial"/>
        </w:rPr>
        <w:t>arc</w:t>
      </w:r>
      <w:r w:rsidRPr="00C52FF7">
        <w:rPr>
          <w:rFonts w:cs="Arial"/>
        </w:rPr>
        <w:t>h 20</w:t>
      </w:r>
      <w:r w:rsidR="00A54E17" w:rsidRPr="00C52FF7">
        <w:rPr>
          <w:rFonts w:cs="Arial"/>
        </w:rPr>
        <w:t>23</w:t>
      </w:r>
      <w:r w:rsidRPr="00C52FF7">
        <w:rPr>
          <w:rFonts w:cs="Arial"/>
        </w:rPr>
        <w:t>, there w</w:t>
      </w:r>
      <w:r w:rsidR="00A54E17" w:rsidRPr="00C52FF7">
        <w:rPr>
          <w:rFonts w:cs="Arial"/>
        </w:rPr>
        <w:t>as</w:t>
      </w:r>
      <w:r w:rsidRPr="00C52FF7">
        <w:rPr>
          <w:rFonts w:cs="Arial"/>
        </w:rPr>
        <w:t xml:space="preserve"> </w:t>
      </w:r>
      <w:r w:rsidR="00A54E17" w:rsidRPr="00C52FF7">
        <w:rPr>
          <w:rFonts w:cs="Arial"/>
        </w:rPr>
        <w:t>one</w:t>
      </w:r>
      <w:r w:rsidRPr="00C52FF7">
        <w:rPr>
          <w:rFonts w:cs="Arial"/>
        </w:rPr>
        <w:t xml:space="preserve"> product containing </w:t>
      </w:r>
      <w:r w:rsidR="00A54E17" w:rsidRPr="00C52FF7">
        <w:rPr>
          <w:rFonts w:cs="Arial"/>
        </w:rPr>
        <w:t xml:space="preserve">lead (as lead acetate) </w:t>
      </w:r>
      <w:r w:rsidRPr="00C52FF7">
        <w:rPr>
          <w:rFonts w:cs="Arial"/>
        </w:rPr>
        <w:t xml:space="preserve">listed on the </w:t>
      </w:r>
      <w:hyperlink r:id="rId56" w:history="1">
        <w:r w:rsidRPr="00C52FF7">
          <w:rPr>
            <w:rStyle w:val="Hyperlink"/>
            <w:rFonts w:cs="Arial"/>
          </w:rPr>
          <w:t>Public Chemical Registration Information System Search (</w:t>
        </w:r>
        <w:proofErr w:type="spellStart"/>
        <w:r w:rsidRPr="00C52FF7">
          <w:rPr>
            <w:rStyle w:val="Hyperlink"/>
            <w:rFonts w:cs="Arial"/>
          </w:rPr>
          <w:t>PubCRIS</w:t>
        </w:r>
        <w:proofErr w:type="spellEnd"/>
        <w:r w:rsidRPr="00C52FF7">
          <w:rPr>
            <w:rStyle w:val="Hyperlink"/>
            <w:rFonts w:cs="Arial"/>
          </w:rPr>
          <w:t>)</w:t>
        </w:r>
      </w:hyperlink>
      <w:r w:rsidRPr="00C52FF7">
        <w:rPr>
          <w:rFonts w:cs="Arial"/>
        </w:rPr>
        <w:t>.</w:t>
      </w:r>
      <w:r w:rsidRPr="00C52FF7">
        <w:rPr>
          <w:rStyle w:val="FootnoteReference"/>
          <w:rFonts w:cs="Arial"/>
        </w:rPr>
        <w:footnoteReference w:id="32"/>
      </w:r>
      <w:r w:rsidRPr="00C52FF7">
        <w:rPr>
          <w:rFonts w:cs="Arial"/>
        </w:rPr>
        <w:t xml:space="preserve"> </w:t>
      </w:r>
      <w:r w:rsidR="00A54E17" w:rsidRPr="00C52FF7">
        <w:rPr>
          <w:rFonts w:cs="Arial"/>
        </w:rPr>
        <w:t>The product is a dermatological antiseptic lotion.</w:t>
      </w:r>
    </w:p>
    <w:p w14:paraId="694DA7C7" w14:textId="57AD417F" w:rsidR="00685E72" w:rsidRPr="00C52FF7" w:rsidRDefault="00685E72" w:rsidP="00A54E17">
      <w:pPr>
        <w:pStyle w:val="ListBullet"/>
        <w:rPr>
          <w:rFonts w:cs="Arial"/>
        </w:rPr>
      </w:pPr>
      <w:r w:rsidRPr="00C52FF7">
        <w:rPr>
          <w:rFonts w:cs="Arial"/>
        </w:rPr>
        <w:t>In 2009-2019 the</w:t>
      </w:r>
      <w:r w:rsidR="00A54E17" w:rsidRPr="00C52FF7">
        <w:rPr>
          <w:rFonts w:cs="Arial"/>
        </w:rPr>
        <w:t>re were no</w:t>
      </w:r>
      <w:r w:rsidRPr="00C52FF7">
        <w:rPr>
          <w:rFonts w:cs="Arial"/>
        </w:rPr>
        <w:t xml:space="preserve"> adverse experiences recorded for </w:t>
      </w:r>
      <w:r w:rsidR="00A54E17" w:rsidRPr="00C52FF7">
        <w:rPr>
          <w:rFonts w:cs="Arial"/>
        </w:rPr>
        <w:t xml:space="preserve">lead </w:t>
      </w:r>
      <w:r w:rsidRPr="00C52FF7">
        <w:rPr>
          <w:rFonts w:cs="Arial"/>
        </w:rPr>
        <w:t xml:space="preserve">in the </w:t>
      </w:r>
      <w:hyperlink r:id="rId57" w:history="1">
        <w:r w:rsidRPr="00C52FF7">
          <w:rPr>
            <w:rStyle w:val="Hyperlink"/>
            <w:rFonts w:cs="Arial"/>
          </w:rPr>
          <w:t>APVMA Adverse Experience Reporting Program</w:t>
        </w:r>
      </w:hyperlink>
      <w:r w:rsidRPr="00C52FF7">
        <w:rPr>
          <w:rStyle w:val="Hyperlink"/>
          <w:rFonts w:cs="Arial"/>
        </w:rPr>
        <w:t xml:space="preserve"> database (AERP)</w:t>
      </w:r>
      <w:r w:rsidR="001638A1" w:rsidRPr="00C52FF7">
        <w:rPr>
          <w:rStyle w:val="Hyperlink"/>
          <w:rFonts w:cs="Arial"/>
          <w:color w:val="auto"/>
          <w:u w:val="none"/>
        </w:rPr>
        <w:t>.</w:t>
      </w:r>
      <w:r w:rsidRPr="00C52FF7">
        <w:rPr>
          <w:rStyle w:val="FootnoteReference"/>
          <w:rFonts w:cs="Arial"/>
        </w:rPr>
        <w:footnoteReference w:id="33"/>
      </w:r>
    </w:p>
    <w:p w14:paraId="632A6418" w14:textId="4A17B1AF" w:rsidR="00685E72" w:rsidRPr="00CB687C" w:rsidRDefault="00685E72" w:rsidP="00685E72">
      <w:pPr>
        <w:pStyle w:val="Heading4"/>
      </w:pPr>
      <w:bookmarkStart w:id="59" w:name="_Toc122614248"/>
      <w:bookmarkStart w:id="60" w:name="_Toc131604380"/>
      <w:r>
        <w:lastRenderedPageBreak/>
        <w:t>International regulations</w:t>
      </w:r>
      <w:bookmarkEnd w:id="59"/>
      <w:bookmarkEnd w:id="60"/>
    </w:p>
    <w:p w14:paraId="2B841D43" w14:textId="7A54C30D" w:rsidR="001638A1" w:rsidRPr="001638A1" w:rsidRDefault="001638A1" w:rsidP="001638A1">
      <w:pPr>
        <w:pStyle w:val="ListBullet"/>
        <w:numPr>
          <w:ilvl w:val="0"/>
          <w:numId w:val="0"/>
        </w:numPr>
        <w:ind w:left="360" w:hanging="360"/>
        <w:rPr>
          <w:i/>
          <w:iCs/>
        </w:rPr>
      </w:pPr>
      <w:r w:rsidRPr="001638A1">
        <w:rPr>
          <w:i/>
          <w:iCs/>
        </w:rPr>
        <w:t>The regulations cited below pertain only to lead in anti-fouling paints.</w:t>
      </w:r>
    </w:p>
    <w:p w14:paraId="3EEB6A09" w14:textId="2886C091" w:rsidR="00685E72" w:rsidRPr="00C52FF7" w:rsidRDefault="001638A1" w:rsidP="00C95157">
      <w:pPr>
        <w:pStyle w:val="ListBullet"/>
        <w:rPr>
          <w:rFonts w:cs="Arial"/>
        </w:rPr>
      </w:pPr>
      <w:r w:rsidRPr="00C52FF7">
        <w:rPr>
          <w:rFonts w:cs="Arial"/>
        </w:rPr>
        <w:t xml:space="preserve">The </w:t>
      </w:r>
      <w:hyperlink r:id="rId58" w:history="1">
        <w:r w:rsidRPr="00C52FF7">
          <w:rPr>
            <w:rStyle w:val="Hyperlink"/>
            <w:rFonts w:cs="Arial"/>
          </w:rPr>
          <w:t>United Nations Environment Programme</w:t>
        </w:r>
      </w:hyperlink>
      <w:r w:rsidR="00A715D5" w:rsidRPr="00C52FF7">
        <w:rPr>
          <w:rStyle w:val="FootnoteReference"/>
          <w:rFonts w:cs="Arial"/>
          <w:color w:val="auto"/>
        </w:rPr>
        <w:footnoteReference w:id="34"/>
      </w:r>
      <w:r w:rsidRPr="00C52FF7">
        <w:rPr>
          <w:rFonts w:cs="Arial"/>
        </w:rPr>
        <w:t xml:space="preserve"> </w:t>
      </w:r>
      <w:r w:rsidR="0088025A" w:rsidRPr="00C52FF7">
        <w:rPr>
          <w:rFonts w:cs="Arial"/>
        </w:rPr>
        <w:t xml:space="preserve">statement </w:t>
      </w:r>
      <w:r w:rsidR="008E3607" w:rsidRPr="00C52FF7">
        <w:rPr>
          <w:rFonts w:cs="Arial"/>
        </w:rPr>
        <w:t xml:space="preserve">on the regulation of lead paint </w:t>
      </w:r>
      <w:r w:rsidR="0088025A" w:rsidRPr="00C52FF7">
        <w:rPr>
          <w:rFonts w:cs="Arial"/>
        </w:rPr>
        <w:t>indicat</w:t>
      </w:r>
      <w:r w:rsidR="008E3607" w:rsidRPr="00C52FF7">
        <w:rPr>
          <w:rFonts w:cs="Arial"/>
        </w:rPr>
        <w:t>es</w:t>
      </w:r>
      <w:r w:rsidR="0088025A" w:rsidRPr="00C52FF7">
        <w:rPr>
          <w:rFonts w:cs="Arial"/>
        </w:rPr>
        <w:t xml:space="preserve"> that due to the presence of lead impurity in recycled copper, copper-based marine anti-fouling coatings would not be able to consistently meet a 90 ppm lead limit at this time.</w:t>
      </w:r>
    </w:p>
    <w:p w14:paraId="1F5F1ECC" w14:textId="2E6035E7" w:rsidR="00C95157" w:rsidRPr="00C52FF7" w:rsidRDefault="00C95157" w:rsidP="00C95157">
      <w:pPr>
        <w:pStyle w:val="ListBullet"/>
        <w:rPr>
          <w:rStyle w:val="Hyperlink"/>
          <w:rFonts w:cs="Arial"/>
          <w:color w:val="333F48"/>
          <w:u w:val="none"/>
        </w:rPr>
      </w:pPr>
      <w:r w:rsidRPr="00C52FF7">
        <w:rPr>
          <w:rStyle w:val="Hyperlink"/>
          <w:rFonts w:cs="Arial"/>
          <w:color w:val="auto"/>
          <w:u w:val="none"/>
        </w:rPr>
        <w:t>The</w:t>
      </w:r>
      <w:r w:rsidRPr="00C52FF7">
        <w:rPr>
          <w:rStyle w:val="Hyperlink"/>
          <w:rFonts w:cs="Arial"/>
          <w:color w:val="333F48"/>
          <w:u w:val="none"/>
        </w:rPr>
        <w:t xml:space="preserve"> </w:t>
      </w:r>
      <w:hyperlink r:id="rId59" w:history="1">
        <w:r w:rsidRPr="00C52FF7">
          <w:rPr>
            <w:rStyle w:val="Hyperlink"/>
            <w:rFonts w:cs="Arial"/>
          </w:rPr>
          <w:t>Performance Specification on Paint System, Anticorrosive and Antifouling, Ship Hull 2013</w:t>
        </w:r>
      </w:hyperlink>
      <w:r w:rsidRPr="00C52FF7">
        <w:rPr>
          <w:rStyle w:val="Hyperlink"/>
          <w:rFonts w:cs="Arial"/>
          <w:color w:val="333F48"/>
          <w:u w:val="none"/>
        </w:rPr>
        <w:t>,</w:t>
      </w:r>
      <w:r w:rsidR="00A715D5" w:rsidRPr="00C52FF7">
        <w:rPr>
          <w:rStyle w:val="FootnoteReference"/>
          <w:rFonts w:cs="Arial"/>
          <w:color w:val="auto"/>
        </w:rPr>
        <w:footnoteReference w:id="35"/>
      </w:r>
      <w:r w:rsidRPr="00C52FF7">
        <w:rPr>
          <w:rStyle w:val="Hyperlink"/>
          <w:rFonts w:cs="Arial"/>
          <w:color w:val="auto"/>
          <w:u w:val="none"/>
        </w:rPr>
        <w:t xml:space="preserve"> as approved for use by all Departments and Agencies of the United States Department of Defence, limits lead levels in anti-fouling topcoat paints</w:t>
      </w:r>
      <w:r w:rsidR="008E3607" w:rsidRPr="00C52FF7">
        <w:rPr>
          <w:rStyle w:val="Hyperlink"/>
          <w:rFonts w:cs="Arial"/>
          <w:color w:val="auto"/>
          <w:u w:val="none"/>
        </w:rPr>
        <w:t xml:space="preserve"> to 600 mg/L of soluble lead and/or its compounds and less than 0.06 weight percent total lead and/or its compounds.</w:t>
      </w:r>
    </w:p>
    <w:p w14:paraId="3C00B709" w14:textId="2229ED8D" w:rsidR="00465BED" w:rsidRPr="00C52FF7" w:rsidRDefault="004467E6" w:rsidP="00C95157">
      <w:pPr>
        <w:pStyle w:val="ListBullet"/>
        <w:rPr>
          <w:rStyle w:val="Hyperlink"/>
          <w:rFonts w:cs="Arial"/>
          <w:color w:val="000000" w:themeColor="text1"/>
          <w:u w:val="none"/>
        </w:rPr>
      </w:pPr>
      <w:r w:rsidRPr="00C52FF7">
        <w:rPr>
          <w:rStyle w:val="Hyperlink"/>
          <w:rFonts w:cs="Arial"/>
          <w:color w:val="000000" w:themeColor="text1"/>
          <w:u w:val="none"/>
        </w:rPr>
        <w:t>T</w:t>
      </w:r>
      <w:r w:rsidR="00465BED" w:rsidRPr="00C52FF7">
        <w:rPr>
          <w:rStyle w:val="Hyperlink"/>
          <w:rFonts w:cs="Arial"/>
          <w:color w:val="000000" w:themeColor="text1"/>
          <w:u w:val="none"/>
        </w:rPr>
        <w:t>he European Union (EU) evaluated and approved a limit of 1200 ppm residual lead contamination in cuprous oxide which often comprises less than 50% by weight in marine antifouling coatings, generally resulting in less than 600 ppm lead in the marine anti-fouling coating.</w:t>
      </w:r>
      <w:r w:rsidR="00465BED" w:rsidRPr="00C52FF7">
        <w:rPr>
          <w:rStyle w:val="FootnoteReference"/>
          <w:rFonts w:cs="Arial"/>
        </w:rPr>
        <w:footnoteReference w:id="36"/>
      </w:r>
    </w:p>
    <w:p w14:paraId="61E2AD4D" w14:textId="77777777" w:rsidR="00154CF5" w:rsidRPr="00C52FF7" w:rsidRDefault="004467E6" w:rsidP="00154CF5">
      <w:pPr>
        <w:pStyle w:val="ListBullet"/>
        <w:rPr>
          <w:rStyle w:val="FootnoteReference"/>
          <w:rFonts w:cs="Arial"/>
          <w:vertAlign w:val="baseline"/>
        </w:rPr>
      </w:pPr>
      <w:r w:rsidRPr="00C52FF7">
        <w:rPr>
          <w:rFonts w:cs="Arial"/>
        </w:rPr>
        <w:t xml:space="preserve">The </w:t>
      </w:r>
      <w:hyperlink r:id="rId60" w:history="1">
        <w:r w:rsidRPr="00C52FF7">
          <w:rPr>
            <w:rStyle w:val="Hyperlink"/>
            <w:rFonts w:cs="Arial"/>
          </w:rPr>
          <w:t>Environmental Protection And Management Act (Amendment Of Second Schedule) Order 2021</w:t>
        </w:r>
      </w:hyperlink>
      <w:r w:rsidRPr="00C52FF7">
        <w:rPr>
          <w:rFonts w:cs="Arial"/>
        </w:rPr>
        <w:t xml:space="preserve">, implemented by the Ministry of Sustainability and the Environment, Singapore, excludes anti-fouling and anti-corrosive paints from </w:t>
      </w:r>
      <w:r w:rsidR="00F226D0" w:rsidRPr="00C52FF7">
        <w:rPr>
          <w:rFonts w:cs="Arial"/>
        </w:rPr>
        <w:t>the provisions on lead compounds in paint in Part I “Toxic Substances” of Appendix 2 of the Environmental Protection Administration Law (</w:t>
      </w:r>
      <w:r w:rsidRPr="00C52FF7">
        <w:rPr>
          <w:rFonts w:cs="Arial"/>
        </w:rPr>
        <w:t>90-ppm limit</w:t>
      </w:r>
      <w:r w:rsidR="00F226D0" w:rsidRPr="00C52FF7">
        <w:rPr>
          <w:rFonts w:cs="Arial"/>
        </w:rPr>
        <w:t>)</w:t>
      </w:r>
      <w:r w:rsidRPr="00C52FF7">
        <w:rPr>
          <w:rFonts w:cs="Arial"/>
        </w:rPr>
        <w:t>.</w:t>
      </w:r>
      <w:r w:rsidRPr="00C52FF7">
        <w:rPr>
          <w:rStyle w:val="FootnoteReference"/>
          <w:rFonts w:cs="Arial"/>
        </w:rPr>
        <w:t xml:space="preserve"> </w:t>
      </w:r>
      <w:r w:rsidRPr="00C52FF7">
        <w:rPr>
          <w:rStyle w:val="FootnoteReference"/>
          <w:rFonts w:cs="Arial"/>
        </w:rPr>
        <w:footnoteReference w:id="37"/>
      </w:r>
    </w:p>
    <w:p w14:paraId="44580F23" w14:textId="317AA9B5" w:rsidR="00F226D0" w:rsidRPr="00C52FF7" w:rsidRDefault="00154CF5" w:rsidP="00154CF5">
      <w:pPr>
        <w:pStyle w:val="ListBullet"/>
        <w:rPr>
          <w:rFonts w:cs="Arial"/>
        </w:rPr>
      </w:pPr>
      <w:r w:rsidRPr="00C52FF7">
        <w:rPr>
          <w:rFonts w:cs="Arial"/>
        </w:rPr>
        <w:t>The Vietnam Chemical Agency (</w:t>
      </w:r>
      <w:proofErr w:type="spellStart"/>
      <w:r w:rsidRPr="00C52FF7">
        <w:rPr>
          <w:rFonts w:cs="Arial"/>
        </w:rPr>
        <w:t>Vinachemia</w:t>
      </w:r>
      <w:proofErr w:type="spellEnd"/>
      <w:r w:rsidRPr="00C52FF7">
        <w:rPr>
          <w:rFonts w:cs="Arial"/>
        </w:rPr>
        <w:t xml:space="preserve">) has a </w:t>
      </w:r>
      <w:proofErr w:type="gramStart"/>
      <w:r w:rsidRPr="00C52FF7">
        <w:rPr>
          <w:rFonts w:cs="Arial"/>
        </w:rPr>
        <w:t>600</w:t>
      </w:r>
      <w:r w:rsidR="00D9443F" w:rsidRPr="00C52FF7">
        <w:rPr>
          <w:rFonts w:cs="Arial"/>
        </w:rPr>
        <w:t xml:space="preserve"> ppm</w:t>
      </w:r>
      <w:proofErr w:type="gramEnd"/>
      <w:r w:rsidRPr="00C52FF7">
        <w:rPr>
          <w:rFonts w:cs="Arial"/>
        </w:rPr>
        <w:t xml:space="preserve"> limit for all paints</w:t>
      </w:r>
      <w:r w:rsidR="008A75BC" w:rsidRPr="00C52FF7">
        <w:rPr>
          <w:rFonts w:cs="Arial"/>
        </w:rPr>
        <w:t xml:space="preserve"> from March 2021</w:t>
      </w:r>
      <w:r w:rsidR="00D9443F" w:rsidRPr="00C52FF7">
        <w:rPr>
          <w:rFonts w:cs="Arial"/>
        </w:rPr>
        <w:t>,</w:t>
      </w:r>
      <w:r w:rsidR="008A75BC" w:rsidRPr="00C52FF7">
        <w:rPr>
          <w:rFonts w:cs="Arial"/>
        </w:rPr>
        <w:t xml:space="preserve"> with a 90 ppm limit of 5 years post-implementation. However,</w:t>
      </w:r>
      <w:r w:rsidRPr="00C52FF7">
        <w:rPr>
          <w:rFonts w:cs="Arial"/>
        </w:rPr>
        <w:t xml:space="preserve"> anti-</w:t>
      </w:r>
      <w:proofErr w:type="spellStart"/>
      <w:r w:rsidRPr="00C52FF7">
        <w:rPr>
          <w:rFonts w:cs="Arial"/>
        </w:rPr>
        <w:t>foulings</w:t>
      </w:r>
      <w:proofErr w:type="spellEnd"/>
      <w:r w:rsidRPr="00C52FF7">
        <w:rPr>
          <w:rFonts w:cs="Arial"/>
        </w:rPr>
        <w:t xml:space="preserve"> are exempt</w:t>
      </w:r>
      <w:r w:rsidR="00D9443F" w:rsidRPr="00C52FF7">
        <w:rPr>
          <w:rFonts w:cs="Arial"/>
        </w:rPr>
        <w:t xml:space="preserve">, </w:t>
      </w:r>
      <w:r w:rsidRPr="00C52FF7">
        <w:rPr>
          <w:rFonts w:cs="Arial"/>
        </w:rPr>
        <w:t xml:space="preserve">classified under a different HS code prescribed in the </w:t>
      </w:r>
      <w:r w:rsidR="008A75BC" w:rsidRPr="00C52FF7">
        <w:rPr>
          <w:rFonts w:cs="Arial"/>
        </w:rPr>
        <w:t>National Technical R</w:t>
      </w:r>
      <w:r w:rsidRPr="00C52FF7">
        <w:rPr>
          <w:rFonts w:cs="Arial"/>
        </w:rPr>
        <w:t>egulations.</w:t>
      </w:r>
      <w:r w:rsidR="00D9443F" w:rsidRPr="00C52FF7">
        <w:rPr>
          <w:rStyle w:val="FootnoteReference"/>
          <w:rFonts w:cs="Arial"/>
        </w:rPr>
        <w:t xml:space="preserve"> </w:t>
      </w:r>
      <w:r w:rsidR="00D9443F" w:rsidRPr="00C52FF7">
        <w:rPr>
          <w:rStyle w:val="FootnoteReference"/>
          <w:rFonts w:cs="Arial"/>
        </w:rPr>
        <w:footnoteReference w:id="38"/>
      </w:r>
      <w:r w:rsidR="00D9443F" w:rsidRPr="00C52FF7">
        <w:rPr>
          <w:rFonts w:cs="Arial"/>
          <w:vertAlign w:val="superscript"/>
        </w:rPr>
        <w:t>,</w:t>
      </w:r>
      <w:r w:rsidR="00D9443F" w:rsidRPr="00C52FF7">
        <w:rPr>
          <w:rStyle w:val="FootnoteReference"/>
          <w:rFonts w:cs="Arial"/>
        </w:rPr>
        <w:footnoteReference w:id="39"/>
      </w:r>
    </w:p>
    <w:p w14:paraId="49CD44BE" w14:textId="412BA708" w:rsidR="00104104" w:rsidRDefault="00104104" w:rsidP="00104104">
      <w:pPr>
        <w:pStyle w:val="Heading4"/>
      </w:pPr>
      <w:bookmarkStart w:id="62" w:name="_Toc131604381"/>
      <w:r>
        <w:t>Information sought by the delegate</w:t>
      </w:r>
      <w:bookmarkEnd w:id="62"/>
    </w:p>
    <w:p w14:paraId="21A052F8" w14:textId="7D3F1394" w:rsidR="00104104" w:rsidRPr="00104104" w:rsidRDefault="00465EAB" w:rsidP="00DE411A">
      <w:r>
        <w:t>I</w:t>
      </w:r>
      <w:r w:rsidR="001E004C">
        <w:t xml:space="preserve">nformation is sought in relation to any matter that is required to be taken into account by the decision-maker </w:t>
      </w:r>
      <w:r w:rsidR="00104104">
        <w:t>(where relevant) to protect public health</w:t>
      </w:r>
      <w:r w:rsidR="001E004C">
        <w:t xml:space="preserve"> in accordance with subsection 52</w:t>
      </w:r>
      <w:proofErr w:type="gramStart"/>
      <w:r w:rsidR="001E004C">
        <w:t>E(</w:t>
      </w:r>
      <w:proofErr w:type="gramEnd"/>
      <w:r w:rsidR="001E004C">
        <w:t xml:space="preserve">1) of the </w:t>
      </w:r>
      <w:r w:rsidR="001E004C" w:rsidRPr="00AD2CA3">
        <w:rPr>
          <w:i/>
          <w:iCs/>
        </w:rPr>
        <w:t>Therapeutic Goods Act 1989</w:t>
      </w:r>
      <w:r w:rsidR="00104104">
        <w:t xml:space="preserve">. </w:t>
      </w:r>
      <w:r>
        <w:t>However, t</w:t>
      </w:r>
      <w:r w:rsidR="00104104">
        <w:t xml:space="preserve">he decision maker is </w:t>
      </w:r>
      <w:r>
        <w:t xml:space="preserve">particularly </w:t>
      </w:r>
      <w:r w:rsidR="00104104">
        <w:t>seeking information regarding the risk</w:t>
      </w:r>
      <w:r>
        <w:t>s</w:t>
      </w:r>
      <w:r w:rsidR="00104104">
        <w:t xml:space="preserve"> when applying or removing </w:t>
      </w:r>
      <w:r>
        <w:t xml:space="preserve">lead-containing </w:t>
      </w:r>
      <w:r w:rsidR="00104104">
        <w:t>anti-fouling paints</w:t>
      </w:r>
      <w:r>
        <w:t xml:space="preserve"> from objects such as marine vessels undergoing maintenance</w:t>
      </w:r>
      <w:r w:rsidR="00FE23C2">
        <w:t xml:space="preserve">. </w:t>
      </w:r>
      <w:r>
        <w:t xml:space="preserve">This includes the current </w:t>
      </w:r>
      <w:r w:rsidR="00FE23C2">
        <w:t>risk mitigation practices of persons within the industry</w:t>
      </w:r>
      <w:r>
        <w:t xml:space="preserve"> using and disposing of anti-fouling paints</w:t>
      </w:r>
      <w:r w:rsidR="00FE23C2">
        <w:t>.</w:t>
      </w:r>
    </w:p>
    <w:p w14:paraId="2700A894" w14:textId="3B8CE6E4" w:rsidR="002469EC" w:rsidRPr="009401F6" w:rsidRDefault="002469EC" w:rsidP="002469EC">
      <w:pPr>
        <w:pStyle w:val="Heading3"/>
        <w:ind w:left="576" w:hanging="576"/>
      </w:pPr>
      <w:bookmarkStart w:id="63" w:name="_Toc131604382"/>
      <w:r>
        <w:t>2.2</w:t>
      </w:r>
      <w:r>
        <w:tab/>
      </w:r>
      <w:proofErr w:type="spellStart"/>
      <w:r>
        <w:t>Ibotenic</w:t>
      </w:r>
      <w:proofErr w:type="spellEnd"/>
      <w:r>
        <w:t xml:space="preserve"> acid</w:t>
      </w:r>
      <w:bookmarkEnd w:id="63"/>
    </w:p>
    <w:p w14:paraId="5F4FF3BB" w14:textId="77777777" w:rsidR="002469EC" w:rsidRDefault="002469EC" w:rsidP="002469EC">
      <w:pPr>
        <w:pStyle w:val="Heading4"/>
      </w:pPr>
      <w:bookmarkStart w:id="64" w:name="_Toc131604383"/>
      <w:r>
        <w:t>Proposal</w:t>
      </w:r>
      <w:bookmarkEnd w:id="64"/>
    </w:p>
    <w:p w14:paraId="7FEF9DD5" w14:textId="45D562E6" w:rsidR="00DB6696" w:rsidRPr="00D75206" w:rsidRDefault="00DB6696" w:rsidP="00DB6696">
      <w:r>
        <w:t xml:space="preserve">The applicant has proposed </w:t>
      </w:r>
      <w:r w:rsidR="001F3ADC">
        <w:t xml:space="preserve">the </w:t>
      </w:r>
      <w:r>
        <w:t xml:space="preserve">creation of new entries in Schedule 4 and Schedule 7 for </w:t>
      </w:r>
      <w:proofErr w:type="spellStart"/>
      <w:r>
        <w:t>ibotenic</w:t>
      </w:r>
      <w:proofErr w:type="spellEnd"/>
      <w:r>
        <w:t xml:space="preserve"> acid. The </w:t>
      </w:r>
      <w:r w:rsidR="001F3ADC">
        <w:t>S</w:t>
      </w:r>
      <w:r>
        <w:t xml:space="preserve">chedule 4 entry is intended to </w:t>
      </w:r>
      <w:r w:rsidR="001F3ADC">
        <w:t xml:space="preserve">capture </w:t>
      </w:r>
      <w:r>
        <w:t>therapeutic use, while the Schedule 7 entry will cover all other uses of the substance.</w:t>
      </w:r>
    </w:p>
    <w:p w14:paraId="34895D3F" w14:textId="77777777" w:rsidR="002469EC" w:rsidRDefault="002469EC" w:rsidP="002469EC">
      <w:pPr>
        <w:pStyle w:val="Heading4"/>
      </w:pPr>
      <w:bookmarkStart w:id="65" w:name="_Toc131604384"/>
      <w:r>
        <w:lastRenderedPageBreak/>
        <w:t>CAS number:</w:t>
      </w:r>
      <w:bookmarkEnd w:id="65"/>
    </w:p>
    <w:p w14:paraId="14CB1634" w14:textId="42BF4A35" w:rsidR="002469EC" w:rsidRDefault="00DB6696" w:rsidP="002469EC">
      <w:r>
        <w:t>2552-55-8</w:t>
      </w:r>
    </w:p>
    <w:p w14:paraId="4E1F73F9" w14:textId="77777777" w:rsidR="002469EC" w:rsidRDefault="002469EC" w:rsidP="002469EC">
      <w:pPr>
        <w:pStyle w:val="Heading4"/>
      </w:pPr>
      <w:bookmarkStart w:id="66" w:name="_Toc131604385"/>
      <w:r>
        <w:t>Alternative names</w:t>
      </w:r>
      <w:bookmarkEnd w:id="66"/>
    </w:p>
    <w:p w14:paraId="616A0D51" w14:textId="220DE64C" w:rsidR="00DB6696" w:rsidRPr="00DB6696" w:rsidRDefault="00DB6696" w:rsidP="00DB6696">
      <w:r w:rsidRPr="00DB6696">
        <w:t>α-</w:t>
      </w:r>
      <w:r w:rsidR="007B6865">
        <w:t>a</w:t>
      </w:r>
      <w:r w:rsidRPr="00DB6696">
        <w:t>mino-2,3-dihydro-3-oxo-5-isoxazoleacetic acid</w:t>
      </w:r>
      <w:r>
        <w:t xml:space="preserve">; </w:t>
      </w:r>
      <w:r w:rsidRPr="00DB6696">
        <w:t>α-amino-3-hydroxy-5-isoxazoleacetic acid; amino-(3-hydroxy-5-</w:t>
      </w:r>
      <w:proofErr w:type="gramStart"/>
      <w:r w:rsidRPr="00DB6696">
        <w:t>isoxazolyl)acetic</w:t>
      </w:r>
      <w:proofErr w:type="gramEnd"/>
      <w:r w:rsidRPr="00DB6696">
        <w:t xml:space="preserve"> acid</w:t>
      </w:r>
    </w:p>
    <w:p w14:paraId="4CB244EC" w14:textId="77777777" w:rsidR="002469EC" w:rsidRPr="002C1070" w:rsidRDefault="002469EC" w:rsidP="002469EC">
      <w:pPr>
        <w:pStyle w:val="Heading4"/>
      </w:pPr>
      <w:bookmarkStart w:id="67" w:name="_Toc131604386"/>
      <w:r>
        <w:t>Applicant</w:t>
      </w:r>
      <w:bookmarkEnd w:id="67"/>
    </w:p>
    <w:p w14:paraId="6E0B02B9" w14:textId="672D573D" w:rsidR="002469EC" w:rsidRPr="003639D9" w:rsidRDefault="002469EC" w:rsidP="002469EC">
      <w:r w:rsidRPr="00DB6696">
        <w:t>Private applicant</w:t>
      </w:r>
    </w:p>
    <w:p w14:paraId="3774701D" w14:textId="77777777" w:rsidR="002469EC" w:rsidRDefault="002469EC" w:rsidP="002469EC">
      <w:pPr>
        <w:pStyle w:val="Heading4"/>
      </w:pPr>
      <w:bookmarkStart w:id="68" w:name="_Toc131604387"/>
      <w:r>
        <w:t>Proposed Scheduling</w:t>
      </w:r>
      <w:bookmarkEnd w:id="68"/>
    </w:p>
    <w:p w14:paraId="672A60B8" w14:textId="6A43D540" w:rsidR="002469EC" w:rsidRPr="00EE5268" w:rsidRDefault="00DB6696" w:rsidP="00DB6696">
      <w:pPr>
        <w:rPr>
          <w:rFonts w:cstheme="minorHAnsi"/>
        </w:rPr>
      </w:pPr>
      <w:proofErr w:type="spellStart"/>
      <w:r>
        <w:rPr>
          <w:rFonts w:cstheme="minorHAnsi"/>
        </w:rPr>
        <w:t>Ibotenic</w:t>
      </w:r>
      <w:proofErr w:type="spellEnd"/>
      <w:r>
        <w:rPr>
          <w:rFonts w:cstheme="minorHAnsi"/>
        </w:rPr>
        <w:t xml:space="preserve"> acid</w:t>
      </w:r>
      <w:r w:rsidR="002469EC" w:rsidRPr="00AF12F6">
        <w:rPr>
          <w:rFonts w:cstheme="minorHAnsi"/>
        </w:rPr>
        <w:t xml:space="preserve"> is not </w:t>
      </w:r>
      <w:r w:rsidR="002469EC" w:rsidRPr="00EE5268">
        <w:rPr>
          <w:rFonts w:cstheme="minorHAnsi"/>
        </w:rPr>
        <w:t>specifically scheduled in the current Poisons Standard.</w:t>
      </w:r>
    </w:p>
    <w:p w14:paraId="5FCD50CD" w14:textId="38F5E632" w:rsidR="002469EC" w:rsidRPr="00EE5268" w:rsidRDefault="002469EC" w:rsidP="002469EC">
      <w:pPr>
        <w:rPr>
          <w:bCs/>
        </w:rPr>
      </w:pPr>
      <w:r w:rsidRPr="00EE5268">
        <w:rPr>
          <w:bCs/>
        </w:rPr>
        <w:t>The applicant’s proposed amendments to the Poisons Standard are</w:t>
      </w:r>
      <w:r w:rsidR="00DB6696" w:rsidRPr="00EE5268">
        <w:rPr>
          <w:bCs/>
        </w:rPr>
        <w:t>:</w:t>
      </w:r>
      <w:r w:rsidRPr="00EE5268">
        <w:rPr>
          <w:rStyle w:val="FootnoteReference"/>
          <w:bCs/>
        </w:rPr>
        <w:footnoteReference w:id="40"/>
      </w:r>
    </w:p>
    <w:p w14:paraId="62A1C022" w14:textId="4849841F" w:rsidR="002469EC" w:rsidRPr="00CD40FB" w:rsidRDefault="002469EC" w:rsidP="002469EC">
      <w:pPr>
        <w:ind w:left="426"/>
        <w:rPr>
          <w:b/>
        </w:rPr>
      </w:pPr>
      <w:r w:rsidRPr="00EE5268">
        <w:rPr>
          <w:b/>
        </w:rPr>
        <w:t xml:space="preserve">Schedule </w:t>
      </w:r>
      <w:r w:rsidR="00EE5268" w:rsidRPr="00EE5268">
        <w:rPr>
          <w:b/>
        </w:rPr>
        <w:t>4</w:t>
      </w:r>
      <w:r w:rsidRPr="00EE5268">
        <w:rPr>
          <w:b/>
        </w:rPr>
        <w:t xml:space="preserve"> – New Entry</w:t>
      </w:r>
    </w:p>
    <w:p w14:paraId="7254B543" w14:textId="7C11A539" w:rsidR="002469EC" w:rsidRPr="007B6865" w:rsidRDefault="00EE5268" w:rsidP="00EE5268">
      <w:pPr>
        <w:ind w:left="720"/>
        <w:rPr>
          <w:rFonts w:cstheme="minorHAnsi"/>
          <w:color w:val="00B050"/>
          <w:u w:val="single"/>
        </w:rPr>
      </w:pPr>
      <w:r w:rsidRPr="007B6865">
        <w:rPr>
          <w:rFonts w:cstheme="minorHAnsi"/>
          <w:color w:val="00B050"/>
          <w:u w:val="single"/>
        </w:rPr>
        <w:t>IBOTENIC ACID for therapeutic use in preparations included in the Australian Register of Therapeutic Goods.</w:t>
      </w:r>
    </w:p>
    <w:p w14:paraId="4BFC8008" w14:textId="10A56A1E" w:rsidR="00EE5268" w:rsidRPr="00EE5268" w:rsidRDefault="00EE5268" w:rsidP="002469EC">
      <w:pPr>
        <w:ind w:left="426"/>
        <w:rPr>
          <w:rFonts w:cstheme="minorHAnsi"/>
          <w:b/>
          <w:bCs/>
        </w:rPr>
      </w:pPr>
      <w:r w:rsidRPr="00EE5268">
        <w:rPr>
          <w:rFonts w:cstheme="minorHAnsi"/>
          <w:b/>
          <w:bCs/>
        </w:rPr>
        <w:t>Schedule 7 – New Entry</w:t>
      </w:r>
    </w:p>
    <w:p w14:paraId="34E4B3D0" w14:textId="2F3C2BF2" w:rsidR="00EE5268" w:rsidRPr="007B6865" w:rsidRDefault="00EE5268" w:rsidP="00EE5268">
      <w:pPr>
        <w:ind w:left="426" w:firstLine="294"/>
        <w:rPr>
          <w:rFonts w:cstheme="minorHAnsi"/>
          <w:color w:val="00B050"/>
          <w:u w:val="single"/>
        </w:rPr>
      </w:pPr>
      <w:r w:rsidRPr="007B6865">
        <w:rPr>
          <w:rFonts w:cstheme="minorHAnsi"/>
          <w:color w:val="00B050"/>
          <w:u w:val="single"/>
        </w:rPr>
        <w:t xml:space="preserve">IBOTENIC ACID </w:t>
      </w:r>
      <w:r w:rsidRPr="009D77C4">
        <w:rPr>
          <w:rFonts w:cstheme="minorHAnsi"/>
          <w:b/>
          <w:bCs/>
          <w:color w:val="00B050"/>
          <w:u w:val="single"/>
        </w:rPr>
        <w:t>except</w:t>
      </w:r>
      <w:r w:rsidRPr="007B6865">
        <w:rPr>
          <w:rFonts w:cstheme="minorHAnsi"/>
          <w:color w:val="00B050"/>
          <w:u w:val="single"/>
        </w:rPr>
        <w:t xml:space="preserve"> when included in Schedule 4.</w:t>
      </w:r>
    </w:p>
    <w:p w14:paraId="14521996" w14:textId="326EAC92" w:rsidR="002469EC" w:rsidRDefault="002469EC" w:rsidP="002469EC">
      <w:pPr>
        <w:ind w:left="426"/>
        <w:rPr>
          <w:b/>
        </w:rPr>
      </w:pPr>
      <w:r w:rsidRPr="00EE5268">
        <w:rPr>
          <w:b/>
        </w:rPr>
        <w:t>Index – New Entry</w:t>
      </w:r>
    </w:p>
    <w:p w14:paraId="2CAC4193" w14:textId="5D97C769" w:rsidR="002469EC" w:rsidRPr="009D77C4" w:rsidRDefault="00EE5268" w:rsidP="00EE5268">
      <w:pPr>
        <w:ind w:left="426" w:firstLine="294"/>
        <w:rPr>
          <w:rFonts w:cstheme="minorHAnsi"/>
          <w:b/>
          <w:bCs/>
          <w:color w:val="00B050"/>
          <w:u w:val="single"/>
        </w:rPr>
      </w:pPr>
      <w:r w:rsidRPr="009D77C4">
        <w:rPr>
          <w:rFonts w:cstheme="minorHAnsi"/>
          <w:b/>
          <w:bCs/>
          <w:color w:val="00B050"/>
          <w:u w:val="single"/>
        </w:rPr>
        <w:t>IBOTENIC ACID</w:t>
      </w:r>
    </w:p>
    <w:p w14:paraId="22C9E794" w14:textId="5C4AA6FC" w:rsidR="00EE5268" w:rsidRPr="007B6865" w:rsidRDefault="00EE5268" w:rsidP="002469EC">
      <w:pPr>
        <w:ind w:left="426"/>
        <w:rPr>
          <w:rFonts w:cstheme="minorHAnsi"/>
          <w:color w:val="00B050"/>
          <w:u w:val="single"/>
        </w:rPr>
      </w:pPr>
      <w:r w:rsidRPr="00914679">
        <w:rPr>
          <w:rFonts w:cstheme="minorHAnsi"/>
          <w:color w:val="00B050"/>
        </w:rPr>
        <w:tab/>
      </w:r>
      <w:r w:rsidRPr="007B6865">
        <w:rPr>
          <w:rFonts w:cstheme="minorHAnsi"/>
          <w:color w:val="00B050"/>
          <w:u w:val="single"/>
        </w:rPr>
        <w:t>Schedule 7</w:t>
      </w:r>
      <w:r w:rsidRPr="007B6865">
        <w:rPr>
          <w:rFonts w:cstheme="minorHAnsi"/>
          <w:color w:val="00B050"/>
          <w:u w:val="single"/>
        </w:rPr>
        <w:br/>
      </w:r>
      <w:r w:rsidRPr="00914679">
        <w:rPr>
          <w:rFonts w:cstheme="minorHAnsi"/>
          <w:color w:val="00B050"/>
        </w:rPr>
        <w:tab/>
      </w:r>
      <w:r w:rsidRPr="007B6865">
        <w:rPr>
          <w:rFonts w:cstheme="minorHAnsi"/>
          <w:color w:val="00B050"/>
          <w:u w:val="single"/>
        </w:rPr>
        <w:t>Schedule 4</w:t>
      </w:r>
    </w:p>
    <w:p w14:paraId="6045EDAE" w14:textId="77777777" w:rsidR="002469EC" w:rsidRDefault="002469EC" w:rsidP="002469EC">
      <w:pPr>
        <w:pStyle w:val="Heading4"/>
      </w:pPr>
      <w:bookmarkStart w:id="69" w:name="_Toc131604388"/>
      <w:r>
        <w:t>Background</w:t>
      </w:r>
      <w:bookmarkEnd w:id="69"/>
    </w:p>
    <w:p w14:paraId="75BC0A8B" w14:textId="52588D30" w:rsidR="002469EC" w:rsidRDefault="00EE5268" w:rsidP="002469EC">
      <w:proofErr w:type="spellStart"/>
      <w:r>
        <w:t>Ibotenic</w:t>
      </w:r>
      <w:proofErr w:type="spellEnd"/>
      <w:r>
        <w:t xml:space="preserve"> acid is a psychoactive constituent of </w:t>
      </w:r>
      <w:proofErr w:type="spellStart"/>
      <w:r w:rsidRPr="00EE5268">
        <w:rPr>
          <w:i/>
          <w:iCs/>
        </w:rPr>
        <w:t>Amarita</w:t>
      </w:r>
      <w:proofErr w:type="spellEnd"/>
      <w:r w:rsidRPr="00EE5268">
        <w:rPr>
          <w:i/>
          <w:iCs/>
        </w:rPr>
        <w:t xml:space="preserve"> spp</w:t>
      </w:r>
      <w:r>
        <w:t xml:space="preserve">. </w:t>
      </w:r>
      <w:r w:rsidR="005C4470">
        <w:t>m</w:t>
      </w:r>
      <w:r>
        <w:t>ushrooms</w:t>
      </w:r>
      <w:r w:rsidR="005C4470">
        <w:t xml:space="preserve"> </w:t>
      </w:r>
      <w:r w:rsidR="00B95CB9">
        <w:t>with a history of use in indigenous cultural ceremonies</w:t>
      </w:r>
      <w:r>
        <w:t>.</w:t>
      </w:r>
      <w:r w:rsidR="005C4470" w:rsidRPr="005C4470">
        <w:t xml:space="preserve"> </w:t>
      </w:r>
      <w:proofErr w:type="spellStart"/>
      <w:r w:rsidR="005C4470">
        <w:t>Ibotenic</w:t>
      </w:r>
      <w:proofErr w:type="spellEnd"/>
      <w:r w:rsidR="005C4470">
        <w:t xml:space="preserve"> acid is a prodrug</w:t>
      </w:r>
      <w:r w:rsidR="00DC1BC2">
        <w:t xml:space="preserve">, as after ingestion it is </w:t>
      </w:r>
      <w:r w:rsidR="00D241DA">
        <w:t xml:space="preserve">partially </w:t>
      </w:r>
      <w:r w:rsidR="00DC1BC2">
        <w:t>metabolised into the pharmacologically active substance</w:t>
      </w:r>
      <w:r w:rsidR="005C4470">
        <w:t xml:space="preserve"> </w:t>
      </w:r>
      <w:proofErr w:type="spellStart"/>
      <w:r w:rsidR="005C4470">
        <w:t>muscimol</w:t>
      </w:r>
      <w:proofErr w:type="spellEnd"/>
      <w:r w:rsidR="00465EAB">
        <w:t xml:space="preserve">, which is </w:t>
      </w:r>
      <w:r w:rsidR="005C4470">
        <w:t xml:space="preserve">currently included in Schedule 9 of the Poisons Standard. </w:t>
      </w:r>
      <w:proofErr w:type="spellStart"/>
      <w:r w:rsidR="00DC1BC2" w:rsidRPr="00DC1BC2">
        <w:t>Ibotenic</w:t>
      </w:r>
      <w:proofErr w:type="spellEnd"/>
      <w:r w:rsidR="00DC1BC2" w:rsidRPr="00DC1BC2">
        <w:t xml:space="preserve"> acid and </w:t>
      </w:r>
      <w:proofErr w:type="spellStart"/>
      <w:r w:rsidR="00DC1BC2" w:rsidRPr="00DC1BC2">
        <w:t>muscimol</w:t>
      </w:r>
      <w:proofErr w:type="spellEnd"/>
      <w:r w:rsidR="00DC1BC2" w:rsidRPr="00DC1BC2">
        <w:t xml:space="preserve"> are isoxazole derivatives that resemble the neurotransmitters glutamate and GABA, respectively</w:t>
      </w:r>
      <w:r w:rsidR="00DC1BC2">
        <w:t xml:space="preserve">, having </w:t>
      </w:r>
      <w:r w:rsidR="00DC1BC2" w:rsidRPr="00DC1BC2">
        <w:t>central nervous system (CNS) effects such as euphoria, disorientation, agitation, and occasionally seizures</w:t>
      </w:r>
      <w:r w:rsidR="000F2C4F">
        <w:t>.</w:t>
      </w:r>
    </w:p>
    <w:p w14:paraId="49ED6AA2" w14:textId="77777777" w:rsidR="002469EC" w:rsidRDefault="002469EC" w:rsidP="002469EC">
      <w:pPr>
        <w:pStyle w:val="Heading4"/>
      </w:pPr>
      <w:bookmarkStart w:id="70" w:name="_Toc131604389"/>
      <w:r>
        <w:t>Summary of applicant’s reasons for the proposal</w:t>
      </w:r>
      <w:bookmarkEnd w:id="70"/>
    </w:p>
    <w:p w14:paraId="6D71A0D9" w14:textId="73E477B9" w:rsidR="000F2C4F" w:rsidRPr="000F2C4F" w:rsidRDefault="000F2C4F" w:rsidP="000F2C4F">
      <w:pPr>
        <w:pStyle w:val="ListBullet"/>
        <w:rPr>
          <w:b/>
          <w:bCs/>
        </w:rPr>
      </w:pPr>
      <w:proofErr w:type="spellStart"/>
      <w:r w:rsidRPr="000F2C4F">
        <w:t>Ibotenic</w:t>
      </w:r>
      <w:proofErr w:type="spellEnd"/>
      <w:r w:rsidRPr="000F2C4F">
        <w:t xml:space="preserve"> acid is a hazardous psychedelic neurotoxin </w:t>
      </w:r>
      <w:r w:rsidR="009E4096">
        <w:t xml:space="preserve">that should be in Schedule 7 according to the toxicity of the substance. </w:t>
      </w:r>
      <w:r w:rsidRPr="000F2C4F">
        <w:t xml:space="preserve">However, </w:t>
      </w:r>
      <w:proofErr w:type="spellStart"/>
      <w:r w:rsidRPr="000F2C4F">
        <w:t>ibotenic</w:t>
      </w:r>
      <w:proofErr w:type="spellEnd"/>
      <w:r w:rsidRPr="000F2C4F">
        <w:t xml:space="preserve"> acid is approved by the T</w:t>
      </w:r>
      <w:r w:rsidR="009E4096">
        <w:t xml:space="preserve">herapeutic Good Administration </w:t>
      </w:r>
      <w:r w:rsidRPr="000F2C4F">
        <w:t xml:space="preserve">to be used as an ingredient in therapeutic biological devices. </w:t>
      </w:r>
    </w:p>
    <w:p w14:paraId="24C59E57" w14:textId="786AC680" w:rsidR="000F2C4F" w:rsidRPr="000F2C4F" w:rsidRDefault="000F2C4F" w:rsidP="000F2C4F">
      <w:pPr>
        <w:pStyle w:val="ListBullet"/>
        <w:rPr>
          <w:b/>
          <w:bCs/>
        </w:rPr>
      </w:pPr>
      <w:r w:rsidRPr="000F2C4F">
        <w:t xml:space="preserve">Due to the severe neurotoxic nature of </w:t>
      </w:r>
      <w:proofErr w:type="spellStart"/>
      <w:r w:rsidRPr="000F2C4F">
        <w:t>ibotenic</w:t>
      </w:r>
      <w:proofErr w:type="spellEnd"/>
      <w:r w:rsidRPr="000F2C4F">
        <w:t xml:space="preserve"> acid, therapeutic </w:t>
      </w:r>
      <w:r>
        <w:t xml:space="preserve">use of the substance </w:t>
      </w:r>
      <w:r w:rsidRPr="000F2C4F">
        <w:t xml:space="preserve">should have overview and responsibility of a medical practitioner as a Schedule 4 poison. </w:t>
      </w:r>
    </w:p>
    <w:p w14:paraId="66330DC2" w14:textId="71FA2761" w:rsidR="002469EC" w:rsidRDefault="002469EC" w:rsidP="002469EC">
      <w:pPr>
        <w:pStyle w:val="Heading4"/>
      </w:pPr>
      <w:bookmarkStart w:id="71" w:name="_Toc131604390"/>
      <w:r>
        <w:t>Key uses / expected use</w:t>
      </w:r>
      <w:bookmarkEnd w:id="71"/>
    </w:p>
    <w:p w14:paraId="4FA3C83B" w14:textId="54A10253" w:rsidR="002469EC" w:rsidRDefault="002469EC" w:rsidP="002469EC">
      <w:r w:rsidRPr="003B45D1">
        <w:t xml:space="preserve">Medicines, </w:t>
      </w:r>
      <w:r w:rsidR="003B45D1">
        <w:t>medical research</w:t>
      </w:r>
    </w:p>
    <w:p w14:paraId="594569D5" w14:textId="77777777" w:rsidR="002469EC" w:rsidRDefault="002469EC" w:rsidP="002469EC">
      <w:pPr>
        <w:pStyle w:val="Heading4"/>
      </w:pPr>
      <w:bookmarkStart w:id="72" w:name="_Toc131604391"/>
      <w:r>
        <w:lastRenderedPageBreak/>
        <w:t>Australian regulations</w:t>
      </w:r>
      <w:bookmarkEnd w:id="72"/>
    </w:p>
    <w:p w14:paraId="4A8A5120" w14:textId="5B64AC49" w:rsidR="002469EC" w:rsidRPr="00C52FF7" w:rsidRDefault="002469EC" w:rsidP="002E1B79">
      <w:pPr>
        <w:pStyle w:val="ListBullet"/>
        <w:rPr>
          <w:rFonts w:cs="Arial"/>
        </w:rPr>
      </w:pPr>
      <w:r w:rsidRPr="00C52FF7">
        <w:rPr>
          <w:rFonts w:cs="Arial"/>
        </w:rPr>
        <w:t xml:space="preserve">According to the </w:t>
      </w:r>
      <w:hyperlink r:id="rId61" w:history="1">
        <w:r w:rsidRPr="00C52FF7">
          <w:rPr>
            <w:rStyle w:val="Hyperlink"/>
            <w:rFonts w:cs="Arial"/>
          </w:rPr>
          <w:t>TGA Ingredient Database</w:t>
        </w:r>
      </w:hyperlink>
      <w:r w:rsidRPr="00C52FF7">
        <w:rPr>
          <w:rFonts w:cs="Arial"/>
        </w:rPr>
        <w:t>,</w:t>
      </w:r>
      <w:r w:rsidRPr="00C52FF7">
        <w:rPr>
          <w:rStyle w:val="FootnoteReference"/>
          <w:rFonts w:cs="Arial"/>
        </w:rPr>
        <w:footnoteReference w:id="41"/>
      </w:r>
      <w:r w:rsidRPr="00C52FF7">
        <w:rPr>
          <w:rFonts w:cs="Arial"/>
        </w:rPr>
        <w:t xml:space="preserve"> </w:t>
      </w:r>
      <w:proofErr w:type="spellStart"/>
      <w:r w:rsidR="002E1B79" w:rsidRPr="00C52FF7">
        <w:rPr>
          <w:rFonts w:cs="Arial"/>
        </w:rPr>
        <w:t>ibotenic</w:t>
      </w:r>
      <w:proofErr w:type="spellEnd"/>
      <w:r w:rsidR="002E1B79" w:rsidRPr="00C52FF7">
        <w:rPr>
          <w:rFonts w:cs="Arial"/>
        </w:rPr>
        <w:t xml:space="preserve"> acid</w:t>
      </w:r>
      <w:r w:rsidRPr="00C52FF7">
        <w:rPr>
          <w:rFonts w:cs="Arial"/>
        </w:rPr>
        <w:t xml:space="preserve"> is:</w:t>
      </w:r>
    </w:p>
    <w:p w14:paraId="403240E4" w14:textId="55C849E6" w:rsidR="002E1B79" w:rsidRPr="00C52FF7" w:rsidRDefault="00ED591C" w:rsidP="002E1B79">
      <w:pPr>
        <w:pStyle w:val="ListBullet2"/>
        <w:rPr>
          <w:rFonts w:cs="Arial"/>
        </w:rPr>
      </w:pPr>
      <w:r w:rsidRPr="00C52FF7">
        <w:rPr>
          <w:rFonts w:cs="Arial"/>
        </w:rPr>
        <w:t xml:space="preserve">Not available as an Active Ingredient in any </w:t>
      </w:r>
      <w:r w:rsidR="000715DA" w:rsidRPr="00C52FF7">
        <w:rPr>
          <w:rFonts w:cs="Arial"/>
        </w:rPr>
        <w:t>therapeutic good;</w:t>
      </w:r>
    </w:p>
    <w:p w14:paraId="2450DD17" w14:textId="5C55EAC9" w:rsidR="00ED591C" w:rsidRPr="00C52FF7" w:rsidRDefault="00ED591C" w:rsidP="002E1B79">
      <w:pPr>
        <w:pStyle w:val="ListBullet2"/>
        <w:rPr>
          <w:rFonts w:cs="Arial"/>
        </w:rPr>
      </w:pPr>
      <w:bookmarkStart w:id="73" w:name="_Hlk131597065"/>
      <w:r w:rsidRPr="00C52FF7">
        <w:rPr>
          <w:rFonts w:cs="Arial"/>
        </w:rPr>
        <w:t>Available for use as an Excipient Ingredient in Device</w:t>
      </w:r>
      <w:r w:rsidR="009E4096" w:rsidRPr="00C52FF7">
        <w:rPr>
          <w:rFonts w:cs="Arial"/>
        </w:rPr>
        <w:t>s</w:t>
      </w:r>
      <w:bookmarkEnd w:id="73"/>
      <w:r w:rsidRPr="00C52FF7">
        <w:rPr>
          <w:rFonts w:cs="Arial"/>
        </w:rPr>
        <w:t>;</w:t>
      </w:r>
    </w:p>
    <w:p w14:paraId="519C6925" w14:textId="7FC7E3A7" w:rsidR="00ED591C" w:rsidRPr="00C52FF7" w:rsidRDefault="00ED591C" w:rsidP="002E1B79">
      <w:pPr>
        <w:pStyle w:val="ListBullet2"/>
        <w:rPr>
          <w:rFonts w:cs="Arial"/>
        </w:rPr>
      </w:pPr>
      <w:r w:rsidRPr="00C52FF7">
        <w:rPr>
          <w:rFonts w:cs="Arial"/>
        </w:rPr>
        <w:t xml:space="preserve">Not available as an Equivalent Ingredient in any </w:t>
      </w:r>
      <w:r w:rsidR="00E2510F" w:rsidRPr="00C52FF7">
        <w:rPr>
          <w:rFonts w:cs="Arial"/>
        </w:rPr>
        <w:t>therapeutic good</w:t>
      </w:r>
      <w:r w:rsidRPr="00C52FF7">
        <w:rPr>
          <w:rFonts w:cs="Arial"/>
        </w:rPr>
        <w:t>.</w:t>
      </w:r>
    </w:p>
    <w:p w14:paraId="32A7CCB8" w14:textId="598209EE" w:rsidR="002469EC" w:rsidRPr="00C52FF7" w:rsidRDefault="002469EC" w:rsidP="00ED591C">
      <w:pPr>
        <w:pStyle w:val="ListBullet"/>
        <w:rPr>
          <w:rFonts w:cs="Arial"/>
          <w:i/>
          <w:color w:val="44546A" w:themeColor="text2"/>
        </w:rPr>
      </w:pPr>
      <w:r w:rsidRPr="00C52FF7">
        <w:rPr>
          <w:rFonts w:cs="Arial"/>
        </w:rPr>
        <w:t>As of M</w:t>
      </w:r>
      <w:r w:rsidR="00ED591C" w:rsidRPr="00C52FF7">
        <w:rPr>
          <w:rFonts w:cs="Arial"/>
        </w:rPr>
        <w:t>arc</w:t>
      </w:r>
      <w:r w:rsidRPr="00C52FF7">
        <w:rPr>
          <w:rFonts w:cs="Arial"/>
        </w:rPr>
        <w:t>h 20</w:t>
      </w:r>
      <w:r w:rsidR="00ED591C" w:rsidRPr="00C52FF7">
        <w:rPr>
          <w:rFonts w:cs="Arial"/>
        </w:rPr>
        <w:t>23</w:t>
      </w:r>
      <w:r w:rsidRPr="00C52FF7">
        <w:rPr>
          <w:rFonts w:cs="Arial"/>
        </w:rPr>
        <w:t xml:space="preserve">, there were </w:t>
      </w:r>
      <w:r w:rsidR="00ED591C" w:rsidRPr="00C52FF7">
        <w:rPr>
          <w:rFonts w:cs="Arial"/>
        </w:rPr>
        <w:t>no</w:t>
      </w:r>
      <w:r w:rsidRPr="00C52FF7">
        <w:rPr>
          <w:rFonts w:cs="Arial"/>
        </w:rPr>
        <w:t xml:space="preserve"> medicines currently active on the </w:t>
      </w:r>
      <w:hyperlink r:id="rId62" w:history="1">
        <w:r w:rsidRPr="00C52FF7">
          <w:rPr>
            <w:rStyle w:val="Hyperlink"/>
            <w:rFonts w:cs="Arial"/>
          </w:rPr>
          <w:t>Australian Register of Therapeutic Goods (ARTG)</w:t>
        </w:r>
      </w:hyperlink>
      <w:r w:rsidRPr="00C52FF7">
        <w:rPr>
          <w:rStyle w:val="FootnoteReference"/>
          <w:rFonts w:cs="Arial"/>
        </w:rPr>
        <w:footnoteReference w:id="42"/>
      </w:r>
      <w:r w:rsidRPr="00C52FF7">
        <w:rPr>
          <w:rFonts w:cs="Arial"/>
        </w:rPr>
        <w:t xml:space="preserve"> that contain </w:t>
      </w:r>
      <w:proofErr w:type="spellStart"/>
      <w:r w:rsidR="00ED591C" w:rsidRPr="00C52FF7">
        <w:rPr>
          <w:rFonts w:cs="Arial"/>
        </w:rPr>
        <w:t>ibotenic</w:t>
      </w:r>
      <w:proofErr w:type="spellEnd"/>
      <w:r w:rsidR="00ED591C" w:rsidRPr="00C52FF7">
        <w:rPr>
          <w:rFonts w:cs="Arial"/>
        </w:rPr>
        <w:t xml:space="preserve"> acid </w:t>
      </w:r>
      <w:r w:rsidRPr="00C52FF7">
        <w:rPr>
          <w:rFonts w:cs="Arial"/>
        </w:rPr>
        <w:t xml:space="preserve">as an active ingredient. </w:t>
      </w:r>
    </w:p>
    <w:p w14:paraId="6A65708E" w14:textId="5E956C7D" w:rsidR="002469EC" w:rsidRPr="00C52FF7" w:rsidRDefault="007420C5" w:rsidP="002469EC">
      <w:pPr>
        <w:pStyle w:val="ListBullet"/>
        <w:rPr>
          <w:rFonts w:cs="Arial"/>
        </w:rPr>
      </w:pPr>
      <w:proofErr w:type="spellStart"/>
      <w:r w:rsidRPr="00C52FF7">
        <w:rPr>
          <w:rFonts w:cs="Arial"/>
        </w:rPr>
        <w:t>Ibotenic</w:t>
      </w:r>
      <w:proofErr w:type="spellEnd"/>
      <w:r w:rsidRPr="00C52FF7">
        <w:rPr>
          <w:rFonts w:cs="Arial"/>
        </w:rPr>
        <w:t xml:space="preserve"> acid</w:t>
      </w:r>
      <w:r w:rsidR="002469EC" w:rsidRPr="00C52FF7">
        <w:rPr>
          <w:rFonts w:cs="Arial"/>
        </w:rPr>
        <w:t xml:space="preserve"> is not permitted to be included in listed medicines as it is not included in the </w:t>
      </w:r>
      <w:hyperlink r:id="rId63" w:history="1">
        <w:r w:rsidR="002469EC" w:rsidRPr="00C52FF7">
          <w:rPr>
            <w:rStyle w:val="Hyperlink"/>
            <w:rFonts w:cs="Arial"/>
          </w:rPr>
          <w:t>Therapeutic Goods (Permissible Ingredients) Determination</w:t>
        </w:r>
      </w:hyperlink>
      <w:r w:rsidR="002469EC" w:rsidRPr="00C52FF7">
        <w:rPr>
          <w:rStyle w:val="FootnoteReference"/>
          <w:rFonts w:cs="Arial"/>
        </w:rPr>
        <w:footnoteReference w:id="43"/>
      </w:r>
      <w:r w:rsidR="002469EC" w:rsidRPr="00C52FF7">
        <w:rPr>
          <w:rFonts w:cs="Arial"/>
        </w:rPr>
        <w:t xml:space="preserve"> No.</w:t>
      </w:r>
      <w:r w:rsidRPr="00C52FF7">
        <w:rPr>
          <w:rFonts w:cs="Arial"/>
        </w:rPr>
        <w:t>1</w:t>
      </w:r>
      <w:r w:rsidR="002469EC" w:rsidRPr="00C52FF7">
        <w:rPr>
          <w:rFonts w:cs="Arial"/>
        </w:rPr>
        <w:t xml:space="preserve"> of 20</w:t>
      </w:r>
      <w:r w:rsidRPr="00C52FF7">
        <w:rPr>
          <w:rFonts w:cs="Arial"/>
        </w:rPr>
        <w:t>23</w:t>
      </w:r>
      <w:r w:rsidR="002469EC" w:rsidRPr="00C52FF7">
        <w:rPr>
          <w:rFonts w:cs="Arial"/>
        </w:rPr>
        <w:t xml:space="preserve">. </w:t>
      </w:r>
    </w:p>
    <w:p w14:paraId="3709E120" w14:textId="59B8E4D7" w:rsidR="002469EC" w:rsidRPr="00C52FF7" w:rsidRDefault="007420C5" w:rsidP="002469EC">
      <w:pPr>
        <w:pStyle w:val="ListBullet"/>
        <w:keepNext/>
        <w:keepLines/>
        <w:rPr>
          <w:rFonts w:cs="Arial"/>
        </w:rPr>
      </w:pPr>
      <w:proofErr w:type="spellStart"/>
      <w:r w:rsidRPr="00C52FF7">
        <w:rPr>
          <w:rFonts w:cs="Arial"/>
        </w:rPr>
        <w:t>Ibotenic</w:t>
      </w:r>
      <w:proofErr w:type="spellEnd"/>
      <w:r w:rsidRPr="00C52FF7">
        <w:rPr>
          <w:rFonts w:cs="Arial"/>
        </w:rPr>
        <w:t xml:space="preserve"> acid is not included in t</w:t>
      </w:r>
      <w:r w:rsidR="002469EC" w:rsidRPr="00C52FF7">
        <w:rPr>
          <w:rFonts w:cs="Arial"/>
        </w:rPr>
        <w:t xml:space="preserve">he </w:t>
      </w:r>
      <w:hyperlink r:id="rId64" w:history="1">
        <w:r w:rsidR="002469EC" w:rsidRPr="00C52FF7">
          <w:rPr>
            <w:rStyle w:val="Hyperlink"/>
            <w:rFonts w:cs="Arial"/>
          </w:rPr>
          <w:t>TGA prescribing medicines in pregnancy database</w:t>
        </w:r>
      </w:hyperlink>
      <w:r w:rsidRPr="00C52FF7">
        <w:rPr>
          <w:rStyle w:val="Hyperlink"/>
          <w:rFonts w:cs="Arial"/>
          <w:color w:val="auto"/>
          <w:u w:val="none"/>
        </w:rPr>
        <w:t>.</w:t>
      </w:r>
      <w:r w:rsidR="002469EC" w:rsidRPr="00C52FF7">
        <w:rPr>
          <w:rStyle w:val="FootnoteReference"/>
          <w:rFonts w:cs="Arial"/>
        </w:rPr>
        <w:footnoteReference w:id="44"/>
      </w:r>
    </w:p>
    <w:p w14:paraId="6B3C1A9B" w14:textId="385CDCA4" w:rsidR="002469EC" w:rsidRPr="00C52FF7" w:rsidRDefault="002469EC" w:rsidP="002469EC">
      <w:pPr>
        <w:pStyle w:val="ListBullet"/>
        <w:rPr>
          <w:rFonts w:cs="Arial"/>
        </w:rPr>
      </w:pPr>
      <w:r w:rsidRPr="00C52FF7">
        <w:rPr>
          <w:rFonts w:cs="Arial"/>
        </w:rPr>
        <w:t xml:space="preserve">There are no warning statements pertaining to </w:t>
      </w:r>
      <w:proofErr w:type="spellStart"/>
      <w:r w:rsidR="007420C5" w:rsidRPr="00C52FF7">
        <w:rPr>
          <w:rFonts w:cs="Arial"/>
        </w:rPr>
        <w:t>ibotenic</w:t>
      </w:r>
      <w:proofErr w:type="spellEnd"/>
      <w:r w:rsidR="007420C5" w:rsidRPr="00C52FF7">
        <w:rPr>
          <w:rFonts w:cs="Arial"/>
        </w:rPr>
        <w:t xml:space="preserve"> acid</w:t>
      </w:r>
      <w:r w:rsidRPr="00C52FF7">
        <w:rPr>
          <w:rFonts w:cs="Arial"/>
        </w:rPr>
        <w:t xml:space="preserve"> in the </w:t>
      </w:r>
      <w:hyperlink r:id="rId65" w:history="1">
        <w:r w:rsidRPr="00C52FF7">
          <w:rPr>
            <w:rStyle w:val="Hyperlink"/>
            <w:rFonts w:cs="Arial"/>
          </w:rPr>
          <w:t>Therapeutic Goods (Medicines Advisory Statements) Specification 2021</w:t>
        </w:r>
      </w:hyperlink>
      <w:r w:rsidR="007420C5" w:rsidRPr="00C52FF7">
        <w:rPr>
          <w:rStyle w:val="Hyperlink"/>
          <w:rFonts w:cs="Arial"/>
          <w:color w:val="auto"/>
          <w:u w:val="none"/>
        </w:rPr>
        <w:t>.</w:t>
      </w:r>
      <w:r w:rsidRPr="00C52FF7">
        <w:rPr>
          <w:rStyle w:val="FootnoteReference"/>
          <w:rFonts w:cs="Arial"/>
        </w:rPr>
        <w:footnoteReference w:id="45"/>
      </w:r>
    </w:p>
    <w:p w14:paraId="083CBC80" w14:textId="74E07F78" w:rsidR="002469EC" w:rsidRPr="00C52FF7" w:rsidRDefault="002469EC" w:rsidP="007420C5">
      <w:pPr>
        <w:pStyle w:val="ListBullet"/>
        <w:rPr>
          <w:rFonts w:cs="Arial"/>
          <w:i/>
          <w:color w:val="8496B0" w:themeColor="text2" w:themeTint="99"/>
        </w:rPr>
      </w:pPr>
      <w:r w:rsidRPr="00C52FF7">
        <w:rPr>
          <w:rFonts w:cs="Arial"/>
        </w:rPr>
        <w:t>As of M</w:t>
      </w:r>
      <w:r w:rsidR="007420C5" w:rsidRPr="00C52FF7">
        <w:rPr>
          <w:rFonts w:cs="Arial"/>
        </w:rPr>
        <w:t>arc</w:t>
      </w:r>
      <w:r w:rsidRPr="00C52FF7">
        <w:rPr>
          <w:rFonts w:cs="Arial"/>
        </w:rPr>
        <w:t>h 20</w:t>
      </w:r>
      <w:r w:rsidR="007420C5" w:rsidRPr="00C52FF7">
        <w:rPr>
          <w:rFonts w:cs="Arial"/>
        </w:rPr>
        <w:t>23</w:t>
      </w:r>
      <w:r w:rsidRPr="00C52FF7">
        <w:rPr>
          <w:rFonts w:cs="Arial"/>
        </w:rPr>
        <w:t xml:space="preserve">, there were </w:t>
      </w:r>
      <w:r w:rsidR="007420C5" w:rsidRPr="00C52FF7">
        <w:rPr>
          <w:rFonts w:cs="Arial"/>
        </w:rPr>
        <w:t>no</w:t>
      </w:r>
      <w:r w:rsidRPr="00C52FF7">
        <w:rPr>
          <w:rFonts w:cs="Arial"/>
        </w:rPr>
        <w:t xml:space="preserve"> reports of adverse events for products containing </w:t>
      </w:r>
      <w:proofErr w:type="spellStart"/>
      <w:r w:rsidR="007420C5" w:rsidRPr="00C52FF7">
        <w:rPr>
          <w:rFonts w:cs="Arial"/>
        </w:rPr>
        <w:t>ibotenic</w:t>
      </w:r>
      <w:proofErr w:type="spellEnd"/>
      <w:r w:rsidR="007420C5" w:rsidRPr="00C52FF7">
        <w:rPr>
          <w:rFonts w:cs="Arial"/>
        </w:rPr>
        <w:t xml:space="preserve"> acid </w:t>
      </w:r>
      <w:r w:rsidRPr="00C52FF7">
        <w:rPr>
          <w:rFonts w:cs="Arial"/>
        </w:rPr>
        <w:t xml:space="preserve">as an active ingredient on the </w:t>
      </w:r>
      <w:hyperlink r:id="rId66" w:history="1">
        <w:r w:rsidRPr="00C52FF7">
          <w:rPr>
            <w:rStyle w:val="Hyperlink"/>
            <w:rFonts w:cs="Arial"/>
          </w:rPr>
          <w:t>Database of Adverse Event Notifications (DAEN)</w:t>
        </w:r>
      </w:hyperlink>
      <w:r w:rsidR="007420C5" w:rsidRPr="00C52FF7">
        <w:rPr>
          <w:rFonts w:cs="Arial"/>
        </w:rPr>
        <w:t>.</w:t>
      </w:r>
      <w:r w:rsidRPr="00C52FF7">
        <w:rPr>
          <w:rStyle w:val="FootnoteReference"/>
          <w:rFonts w:cs="Arial"/>
        </w:rPr>
        <w:footnoteReference w:id="46"/>
      </w:r>
    </w:p>
    <w:p w14:paraId="1D1829C8" w14:textId="32B64C3E" w:rsidR="002469EC" w:rsidRPr="009E4096" w:rsidRDefault="002469EC" w:rsidP="002469EC">
      <w:pPr>
        <w:pStyle w:val="ListBullet"/>
        <w:rPr>
          <w:rFonts w:asciiTheme="minorHAnsi" w:hAnsiTheme="minorHAnsi" w:cstheme="minorHAnsi"/>
        </w:rPr>
      </w:pPr>
      <w:r w:rsidRPr="00C52FF7">
        <w:rPr>
          <w:rFonts w:cs="Arial"/>
        </w:rPr>
        <w:t>As of M</w:t>
      </w:r>
      <w:r w:rsidR="007420C5" w:rsidRPr="00C52FF7">
        <w:rPr>
          <w:rFonts w:cs="Arial"/>
        </w:rPr>
        <w:t>arc</w:t>
      </w:r>
      <w:r w:rsidRPr="00C52FF7">
        <w:rPr>
          <w:rFonts w:cs="Arial"/>
        </w:rPr>
        <w:t>h 20</w:t>
      </w:r>
      <w:r w:rsidR="007420C5" w:rsidRPr="00C52FF7">
        <w:rPr>
          <w:rFonts w:cs="Arial"/>
        </w:rPr>
        <w:t>23</w:t>
      </w:r>
      <w:r w:rsidRPr="00C52FF7">
        <w:rPr>
          <w:rFonts w:cs="Arial"/>
        </w:rPr>
        <w:t>, there were no</w:t>
      </w:r>
      <w:r w:rsidR="007420C5" w:rsidRPr="00C52FF7">
        <w:rPr>
          <w:rFonts w:cs="Arial"/>
        </w:rPr>
        <w:t xml:space="preserve"> </w:t>
      </w:r>
      <w:r w:rsidRPr="00C52FF7">
        <w:rPr>
          <w:rFonts w:cs="Arial"/>
        </w:rPr>
        <w:t xml:space="preserve">products containing </w:t>
      </w:r>
      <w:proofErr w:type="spellStart"/>
      <w:r w:rsidR="007420C5" w:rsidRPr="00C52FF7">
        <w:rPr>
          <w:rFonts w:cs="Arial"/>
        </w:rPr>
        <w:t>ibotenic</w:t>
      </w:r>
      <w:proofErr w:type="spellEnd"/>
      <w:r w:rsidR="007420C5" w:rsidRPr="00C52FF7">
        <w:rPr>
          <w:rFonts w:cs="Arial"/>
        </w:rPr>
        <w:t xml:space="preserve"> acid </w:t>
      </w:r>
      <w:r w:rsidRPr="00C52FF7">
        <w:rPr>
          <w:rFonts w:cs="Arial"/>
        </w:rPr>
        <w:t xml:space="preserve">as an active ingredient/constituent or scheduled substance listed on the </w:t>
      </w:r>
      <w:hyperlink r:id="rId67" w:history="1">
        <w:r w:rsidRPr="00C52FF7">
          <w:rPr>
            <w:rStyle w:val="Hyperlink"/>
            <w:rFonts w:cs="Arial"/>
          </w:rPr>
          <w:t>Public Chemical Registration Information System Search (</w:t>
        </w:r>
        <w:proofErr w:type="spellStart"/>
        <w:r w:rsidRPr="00C52FF7">
          <w:rPr>
            <w:rStyle w:val="Hyperlink"/>
            <w:rFonts w:cs="Arial"/>
          </w:rPr>
          <w:t>PubCRIS</w:t>
        </w:r>
        <w:proofErr w:type="spellEnd"/>
        <w:r w:rsidRPr="00C52FF7">
          <w:rPr>
            <w:rStyle w:val="Hyperlink"/>
            <w:rFonts w:cs="Arial"/>
          </w:rPr>
          <w:t>)</w:t>
        </w:r>
      </w:hyperlink>
      <w:r w:rsidRPr="009E4096">
        <w:rPr>
          <w:rFonts w:asciiTheme="minorHAnsi" w:hAnsiTheme="minorHAnsi" w:cstheme="minorHAnsi"/>
        </w:rPr>
        <w:t>.</w:t>
      </w:r>
      <w:r w:rsidRPr="009E4096">
        <w:rPr>
          <w:rStyle w:val="FootnoteReference"/>
          <w:rFonts w:asciiTheme="minorHAnsi" w:hAnsiTheme="minorHAnsi" w:cstheme="minorHAnsi"/>
        </w:rPr>
        <w:footnoteReference w:id="47"/>
      </w:r>
      <w:r w:rsidRPr="009E4096">
        <w:rPr>
          <w:rFonts w:asciiTheme="minorHAnsi" w:hAnsiTheme="minorHAnsi" w:cstheme="minorHAnsi"/>
        </w:rPr>
        <w:t xml:space="preserve"> </w:t>
      </w:r>
    </w:p>
    <w:p w14:paraId="73A8E703" w14:textId="77777777" w:rsidR="002469EC" w:rsidRPr="00CB687C" w:rsidRDefault="002469EC" w:rsidP="002469EC">
      <w:pPr>
        <w:pStyle w:val="Heading4"/>
      </w:pPr>
      <w:bookmarkStart w:id="74" w:name="_Toc131604392"/>
      <w:r>
        <w:t>International regulations</w:t>
      </w:r>
      <w:bookmarkEnd w:id="74"/>
    </w:p>
    <w:p w14:paraId="6DDEFDFA" w14:textId="6197FA0B" w:rsidR="002469EC" w:rsidRPr="00C52FF7" w:rsidRDefault="00FD7FDE" w:rsidP="00FD7FDE">
      <w:pPr>
        <w:pStyle w:val="ListBullet"/>
        <w:rPr>
          <w:rFonts w:cs="Arial"/>
        </w:rPr>
      </w:pPr>
      <w:r w:rsidRPr="00C52FF7">
        <w:rPr>
          <w:rFonts w:cs="Arial"/>
        </w:rPr>
        <w:t xml:space="preserve">According to the </w:t>
      </w:r>
      <w:hyperlink r:id="rId68" w:history="1">
        <w:r w:rsidRPr="00C52FF7">
          <w:rPr>
            <w:rStyle w:val="Hyperlink"/>
            <w:rFonts w:cs="Arial"/>
          </w:rPr>
          <w:t>European Chemicals Agency (ECHA)</w:t>
        </w:r>
      </w:hyperlink>
      <w:r w:rsidRPr="00C52FF7">
        <w:rPr>
          <w:rFonts w:cs="Arial"/>
        </w:rPr>
        <w:t>,</w:t>
      </w:r>
      <w:r w:rsidR="00E95F37" w:rsidRPr="00C52FF7">
        <w:rPr>
          <w:rStyle w:val="FootnoteReference"/>
          <w:rFonts w:cs="Arial"/>
        </w:rPr>
        <w:footnoteReference w:id="48"/>
      </w:r>
      <w:r w:rsidRPr="00C52FF7">
        <w:rPr>
          <w:rFonts w:cs="Arial"/>
        </w:rPr>
        <w:t xml:space="preserve"> </w:t>
      </w:r>
      <w:proofErr w:type="spellStart"/>
      <w:r w:rsidRPr="00C52FF7">
        <w:rPr>
          <w:rFonts w:cs="Arial"/>
        </w:rPr>
        <w:t>ibotenic</w:t>
      </w:r>
      <w:proofErr w:type="spellEnd"/>
      <w:r w:rsidRPr="00C52FF7">
        <w:rPr>
          <w:rFonts w:cs="Arial"/>
        </w:rPr>
        <w:t xml:space="preserve"> acid is toxic if swallowed.</w:t>
      </w:r>
    </w:p>
    <w:p w14:paraId="14DD7292" w14:textId="51392F16" w:rsidR="00FD7FDE" w:rsidRPr="00C52FF7" w:rsidRDefault="00FD7FDE" w:rsidP="00FD7FDE">
      <w:pPr>
        <w:pStyle w:val="ListBullet"/>
        <w:rPr>
          <w:rStyle w:val="Hyperlink"/>
          <w:rFonts w:cs="Arial"/>
          <w:color w:val="333F48"/>
          <w:u w:val="none"/>
        </w:rPr>
      </w:pPr>
      <w:proofErr w:type="spellStart"/>
      <w:r w:rsidRPr="00C52FF7">
        <w:rPr>
          <w:rStyle w:val="Hyperlink"/>
          <w:rFonts w:cs="Arial"/>
          <w:color w:val="000000" w:themeColor="text1"/>
          <w:u w:val="none"/>
        </w:rPr>
        <w:t>Ibotenic</w:t>
      </w:r>
      <w:proofErr w:type="spellEnd"/>
      <w:r w:rsidRPr="00C52FF7">
        <w:rPr>
          <w:rStyle w:val="Hyperlink"/>
          <w:rFonts w:cs="Arial"/>
          <w:color w:val="000000" w:themeColor="text1"/>
          <w:u w:val="none"/>
        </w:rPr>
        <w:t xml:space="preserve"> acid is not included in the databases of the </w:t>
      </w:r>
      <w:hyperlink r:id="rId69" w:history="1">
        <w:r w:rsidRPr="00C52FF7">
          <w:rPr>
            <w:rStyle w:val="Hyperlink"/>
            <w:rFonts w:cs="Arial"/>
          </w:rPr>
          <w:t>European Commission for cosmetic ingredients (</w:t>
        </w:r>
        <w:proofErr w:type="spellStart"/>
        <w:r w:rsidRPr="00C52FF7">
          <w:rPr>
            <w:rStyle w:val="Hyperlink"/>
            <w:rFonts w:cs="Arial"/>
          </w:rPr>
          <w:t>CosIng</w:t>
        </w:r>
        <w:proofErr w:type="spellEnd"/>
        <w:r w:rsidRPr="00C52FF7">
          <w:rPr>
            <w:rStyle w:val="Hyperlink"/>
            <w:rFonts w:cs="Arial"/>
          </w:rPr>
          <w:t>)</w:t>
        </w:r>
      </w:hyperlink>
      <w:r w:rsidRPr="00C52FF7">
        <w:rPr>
          <w:rStyle w:val="Hyperlink"/>
          <w:rFonts w:cs="Arial"/>
          <w:color w:val="333F48"/>
          <w:u w:val="none"/>
        </w:rPr>
        <w:t>,</w:t>
      </w:r>
      <w:r w:rsidR="00CB1E73" w:rsidRPr="00C52FF7">
        <w:rPr>
          <w:rStyle w:val="FootnoteReference"/>
          <w:rFonts w:cs="Arial"/>
        </w:rPr>
        <w:footnoteReference w:id="49"/>
      </w:r>
      <w:r w:rsidRPr="00C52FF7">
        <w:rPr>
          <w:rStyle w:val="Hyperlink"/>
          <w:rFonts w:cs="Arial"/>
          <w:color w:val="333F48"/>
          <w:u w:val="none"/>
        </w:rPr>
        <w:t xml:space="preserve"> </w:t>
      </w:r>
      <w:r w:rsidRPr="00C52FF7">
        <w:rPr>
          <w:rStyle w:val="Hyperlink"/>
          <w:rFonts w:cs="Arial"/>
          <w:color w:val="000000" w:themeColor="text1"/>
          <w:u w:val="none"/>
        </w:rPr>
        <w:t>the</w:t>
      </w:r>
      <w:r w:rsidRPr="00C52FF7">
        <w:rPr>
          <w:rStyle w:val="Hyperlink"/>
          <w:rFonts w:cs="Arial"/>
          <w:color w:val="333F48"/>
          <w:u w:val="none"/>
        </w:rPr>
        <w:t xml:space="preserve"> </w:t>
      </w:r>
      <w:hyperlink r:id="rId70" w:history="1">
        <w:r w:rsidRPr="00C52FF7">
          <w:rPr>
            <w:rStyle w:val="Hyperlink"/>
            <w:rFonts w:cs="Arial"/>
          </w:rPr>
          <w:t>New Zealand Inventory of Chemicals (</w:t>
        </w:r>
        <w:proofErr w:type="spellStart"/>
        <w:r w:rsidRPr="00C52FF7">
          <w:rPr>
            <w:rStyle w:val="Hyperlink"/>
            <w:rFonts w:cs="Arial"/>
          </w:rPr>
          <w:t>NZIoC</w:t>
        </w:r>
        <w:proofErr w:type="spellEnd"/>
        <w:r w:rsidRPr="00C52FF7">
          <w:rPr>
            <w:rStyle w:val="Hyperlink"/>
            <w:rFonts w:cs="Arial"/>
          </w:rPr>
          <w:t>)</w:t>
        </w:r>
      </w:hyperlink>
      <w:r w:rsidR="00CB1E73" w:rsidRPr="00C52FF7">
        <w:rPr>
          <w:rStyle w:val="FootnoteReference"/>
          <w:rFonts w:cs="Arial"/>
          <w:color w:val="auto"/>
        </w:rPr>
        <w:footnoteReference w:id="50"/>
      </w:r>
      <w:r w:rsidRPr="00C52FF7">
        <w:rPr>
          <w:rStyle w:val="Hyperlink"/>
          <w:rFonts w:cs="Arial"/>
          <w:color w:val="000000" w:themeColor="text1"/>
          <w:u w:val="none"/>
        </w:rPr>
        <w:t xml:space="preserve"> or </w:t>
      </w:r>
      <w:hyperlink r:id="rId71" w:history="1">
        <w:proofErr w:type="spellStart"/>
        <w:r w:rsidRPr="00C52FF7">
          <w:rPr>
            <w:rStyle w:val="Hyperlink"/>
            <w:rFonts w:cs="Arial"/>
          </w:rPr>
          <w:t>Medsafe</w:t>
        </w:r>
        <w:proofErr w:type="spellEnd"/>
        <w:r w:rsidRPr="00C52FF7">
          <w:rPr>
            <w:rStyle w:val="Hyperlink"/>
            <w:rFonts w:cs="Arial"/>
          </w:rPr>
          <w:t xml:space="preserve"> Medicines Classification Database</w:t>
        </w:r>
      </w:hyperlink>
      <w:r w:rsidRPr="00C52FF7">
        <w:rPr>
          <w:rStyle w:val="Hyperlink"/>
          <w:rFonts w:cs="Arial"/>
          <w:color w:val="333F48"/>
          <w:u w:val="none"/>
        </w:rPr>
        <w:t>,</w:t>
      </w:r>
      <w:r w:rsidR="00CB1E73" w:rsidRPr="00C52FF7">
        <w:rPr>
          <w:rStyle w:val="FootnoteReference"/>
          <w:rFonts w:cs="Arial"/>
        </w:rPr>
        <w:footnoteReference w:id="51"/>
      </w:r>
      <w:r w:rsidRPr="00C52FF7">
        <w:rPr>
          <w:rStyle w:val="Hyperlink"/>
          <w:rFonts w:cs="Arial"/>
          <w:color w:val="000000" w:themeColor="text1"/>
          <w:u w:val="none"/>
        </w:rPr>
        <w:t xml:space="preserve"> the </w:t>
      </w:r>
      <w:hyperlink r:id="rId72" w:history="1">
        <w:r w:rsidR="009E4096" w:rsidRPr="00C52FF7">
          <w:rPr>
            <w:rStyle w:val="Hyperlink"/>
            <w:rFonts w:cs="Arial"/>
          </w:rPr>
          <w:t>United States Food and Drug Administration</w:t>
        </w:r>
      </w:hyperlink>
      <w:r w:rsidR="00CB1E73" w:rsidRPr="00C52FF7">
        <w:rPr>
          <w:rStyle w:val="FootnoteReference"/>
          <w:rFonts w:cs="Arial"/>
          <w:color w:val="auto"/>
        </w:rPr>
        <w:footnoteReference w:id="52"/>
      </w:r>
      <w:r w:rsidRPr="00C52FF7">
        <w:rPr>
          <w:rStyle w:val="Hyperlink"/>
          <w:rFonts w:cs="Arial"/>
          <w:color w:val="333F48"/>
          <w:u w:val="none"/>
        </w:rPr>
        <w:t xml:space="preserve"> </w:t>
      </w:r>
      <w:r w:rsidRPr="00C52FF7">
        <w:rPr>
          <w:rStyle w:val="Hyperlink"/>
          <w:rFonts w:cs="Arial"/>
          <w:color w:val="000000" w:themeColor="text1"/>
          <w:u w:val="none"/>
        </w:rPr>
        <w:t xml:space="preserve">or the </w:t>
      </w:r>
      <w:hyperlink r:id="rId73" w:history="1">
        <w:r w:rsidRPr="00C52FF7">
          <w:rPr>
            <w:rStyle w:val="Hyperlink"/>
            <w:rFonts w:cs="Arial"/>
          </w:rPr>
          <w:t>Health Canada Drug Product Database</w:t>
        </w:r>
      </w:hyperlink>
      <w:r w:rsidRPr="00C52FF7">
        <w:rPr>
          <w:rStyle w:val="Hyperlink"/>
          <w:rFonts w:cs="Arial"/>
          <w:color w:val="333F48"/>
          <w:u w:val="none"/>
        </w:rPr>
        <w:t>.</w:t>
      </w:r>
      <w:r w:rsidR="00BC4F7F" w:rsidRPr="00C52FF7">
        <w:rPr>
          <w:rStyle w:val="FootnoteReference"/>
          <w:rFonts w:cs="Arial"/>
        </w:rPr>
        <w:footnoteReference w:id="53"/>
      </w:r>
    </w:p>
    <w:p w14:paraId="27829A76" w14:textId="23A29AC2" w:rsidR="002469EC" w:rsidRPr="009401F6" w:rsidRDefault="002469EC" w:rsidP="009D77C4">
      <w:pPr>
        <w:pStyle w:val="Heading3"/>
        <w:ind w:left="576" w:hanging="576"/>
      </w:pPr>
      <w:bookmarkStart w:id="75" w:name="_Toc131604393"/>
      <w:r>
        <w:t>2.3</w:t>
      </w:r>
      <w:r>
        <w:tab/>
        <w:t>Amygdalin and hydrocyanic acid</w:t>
      </w:r>
      <w:bookmarkEnd w:id="75"/>
    </w:p>
    <w:p w14:paraId="586C6E58" w14:textId="77777777" w:rsidR="002469EC" w:rsidRDefault="002469EC" w:rsidP="009D77C4">
      <w:pPr>
        <w:pStyle w:val="Heading4"/>
      </w:pPr>
      <w:bookmarkStart w:id="76" w:name="_Toc131604394"/>
      <w:r>
        <w:t>Proposal</w:t>
      </w:r>
      <w:bookmarkEnd w:id="76"/>
    </w:p>
    <w:p w14:paraId="52D1F8C4" w14:textId="6E2D2DA7" w:rsidR="002469EC" w:rsidRPr="00D75206" w:rsidRDefault="00E20FDD" w:rsidP="009D77C4">
      <w:pPr>
        <w:keepNext/>
      </w:pPr>
      <w:r>
        <w:t xml:space="preserve">The applicant has proposed amendment of </w:t>
      </w:r>
      <w:r w:rsidR="00465EAB">
        <w:t xml:space="preserve">the </w:t>
      </w:r>
      <w:r w:rsidR="008E6389">
        <w:t xml:space="preserve">Poisons Standard to </w:t>
      </w:r>
      <w:proofErr w:type="gramStart"/>
      <w:r w:rsidR="008E6389">
        <w:t>exclude,</w:t>
      </w:r>
      <w:proofErr w:type="gramEnd"/>
      <w:r w:rsidR="008E6389">
        <w:t xml:space="preserve"> from </w:t>
      </w:r>
      <w:r>
        <w:t>the Schedule 10 entry for amygdalin and the Schedule 4 entry for hydrocyanic acid</w:t>
      </w:r>
      <w:r w:rsidR="008E6389">
        <w:t>,</w:t>
      </w:r>
      <w:r>
        <w:t xml:space="preserve"> </w:t>
      </w:r>
      <w:r w:rsidR="002C70CE">
        <w:t xml:space="preserve">preparations of </w:t>
      </w:r>
      <w:r>
        <w:t xml:space="preserve">Wild Cherry Bark </w:t>
      </w:r>
      <w:r w:rsidR="002C70CE">
        <w:lastRenderedPageBreak/>
        <w:t>containing these substances</w:t>
      </w:r>
      <w:r w:rsidR="00465EAB">
        <w:t>. The exclusion is</w:t>
      </w:r>
      <w:r w:rsidR="002C70CE">
        <w:t xml:space="preserve"> subject to </w:t>
      </w:r>
      <w:r>
        <w:t>additional labelling requirements</w:t>
      </w:r>
      <w:r w:rsidR="002C70CE">
        <w:t xml:space="preserve"> and the </w:t>
      </w:r>
      <w:r>
        <w:t xml:space="preserve">maximum recommended daily dose </w:t>
      </w:r>
      <w:r w:rsidR="002C70CE">
        <w:t xml:space="preserve">being </w:t>
      </w:r>
      <w:r>
        <w:t>less than 5 mg of amygdalin</w:t>
      </w:r>
      <w:r w:rsidR="00EC3206">
        <w:t xml:space="preserve"> or 0.3</w:t>
      </w:r>
      <w:r w:rsidR="002C70CE">
        <w:t xml:space="preserve"> </w:t>
      </w:r>
      <w:r w:rsidR="00EC3206">
        <w:t>mg of hydrocyanic acid</w:t>
      </w:r>
      <w:r>
        <w:t>.</w:t>
      </w:r>
    </w:p>
    <w:p w14:paraId="5C414607" w14:textId="77777777" w:rsidR="002469EC" w:rsidRDefault="002469EC" w:rsidP="002469EC">
      <w:pPr>
        <w:pStyle w:val="Heading4"/>
      </w:pPr>
      <w:bookmarkStart w:id="77" w:name="_Toc131604395"/>
      <w:r>
        <w:t>CAS number:</w:t>
      </w:r>
      <w:bookmarkEnd w:id="77"/>
    </w:p>
    <w:p w14:paraId="4F2857AE" w14:textId="0920F8AE" w:rsidR="002469EC" w:rsidRDefault="00E20FDD" w:rsidP="002469EC">
      <w:r>
        <w:t>29883-15-6 (amygdalin)</w:t>
      </w:r>
    </w:p>
    <w:p w14:paraId="50F0DF49" w14:textId="2E263768" w:rsidR="00E20FDD" w:rsidRDefault="00E20FDD" w:rsidP="002469EC">
      <w:r>
        <w:t>74-90-8 (hydrocyanic acid)</w:t>
      </w:r>
    </w:p>
    <w:p w14:paraId="59B87F95" w14:textId="77777777" w:rsidR="002469EC" w:rsidRDefault="002469EC" w:rsidP="002469EC">
      <w:pPr>
        <w:pStyle w:val="Heading4"/>
      </w:pPr>
      <w:bookmarkStart w:id="78" w:name="_Toc131604396"/>
      <w:r>
        <w:t>Alternative names</w:t>
      </w:r>
      <w:bookmarkEnd w:id="78"/>
    </w:p>
    <w:p w14:paraId="16035B03" w14:textId="5DB5C56D" w:rsidR="002469EC" w:rsidRDefault="00E20FDD" w:rsidP="002469EC">
      <w:r>
        <w:t xml:space="preserve">AMYGDALIN: </w:t>
      </w:r>
      <w:proofErr w:type="spellStart"/>
      <w:r w:rsidRPr="00E20FDD">
        <w:t>amygdaloside</w:t>
      </w:r>
      <w:proofErr w:type="spellEnd"/>
      <w:r w:rsidRPr="00E20FDD">
        <w:t>; mandelonitrile-β-gentiobioside; D-mandelonitrile-β-D-glucosido-6-β-D-glucoside</w:t>
      </w:r>
      <w:r>
        <w:t xml:space="preserve">; </w:t>
      </w:r>
      <w:r w:rsidRPr="00E20FDD">
        <w:br/>
        <w:t>(α</w:t>
      </w:r>
      <w:r w:rsidRPr="00E20FDD">
        <w:rPr>
          <w:i/>
          <w:iCs/>
        </w:rPr>
        <w:t>R</w:t>
      </w:r>
      <w:r w:rsidRPr="00E20FDD">
        <w:t>)-α-[(6-</w:t>
      </w:r>
      <w:r w:rsidRPr="00E20FDD">
        <w:rPr>
          <w:i/>
          <w:iCs/>
        </w:rPr>
        <w:t>O-</w:t>
      </w:r>
      <w:r w:rsidRPr="00E20FDD">
        <w:t>β-D-Glucopyranosyl-β-D-</w:t>
      </w:r>
      <w:proofErr w:type="gramStart"/>
      <w:r w:rsidRPr="00E20FDD">
        <w:t>glucopyranosyl)oxy</w:t>
      </w:r>
      <w:proofErr w:type="gramEnd"/>
      <w:r w:rsidRPr="00E20FDD">
        <w:t>]benzeneacetonitrile</w:t>
      </w:r>
      <w:r>
        <w:t>; laetrile</w:t>
      </w:r>
    </w:p>
    <w:p w14:paraId="621BD4E6" w14:textId="7FE6594F" w:rsidR="00E20FDD" w:rsidRPr="002C1070" w:rsidRDefault="00E20FDD" w:rsidP="002469EC">
      <w:r>
        <w:t>HYDROCYANIC ACID: hydrogen cyanide; formonitrile; prussic acid; AC</w:t>
      </w:r>
    </w:p>
    <w:p w14:paraId="19C73A70" w14:textId="77777777" w:rsidR="002469EC" w:rsidRPr="002C1070" w:rsidRDefault="002469EC" w:rsidP="002469EC">
      <w:pPr>
        <w:pStyle w:val="Heading4"/>
      </w:pPr>
      <w:bookmarkStart w:id="79" w:name="_Toc131604397"/>
      <w:r>
        <w:t>Applicant</w:t>
      </w:r>
      <w:bookmarkEnd w:id="79"/>
    </w:p>
    <w:p w14:paraId="0B19A4F2" w14:textId="08107E82" w:rsidR="002469EC" w:rsidRPr="003639D9" w:rsidRDefault="002469EC" w:rsidP="002469EC">
      <w:r w:rsidRPr="00E20FDD">
        <w:t>Private applicant</w:t>
      </w:r>
    </w:p>
    <w:p w14:paraId="71D98B9D" w14:textId="77777777" w:rsidR="002469EC" w:rsidRDefault="002469EC" w:rsidP="002469EC">
      <w:pPr>
        <w:pStyle w:val="Heading4"/>
      </w:pPr>
      <w:bookmarkStart w:id="80" w:name="_Toc131604398"/>
      <w:r>
        <w:t>Proposed Scheduling</w:t>
      </w:r>
      <w:bookmarkEnd w:id="80"/>
    </w:p>
    <w:p w14:paraId="34940598" w14:textId="40C22DC5" w:rsidR="002469EC" w:rsidRPr="00C52FF7" w:rsidRDefault="002469EC" w:rsidP="002469EC">
      <w:pPr>
        <w:rPr>
          <w:rFonts w:cs="Arial"/>
          <w:bCs/>
        </w:rPr>
      </w:pPr>
      <w:r w:rsidRPr="00EC3206">
        <w:rPr>
          <w:bCs/>
        </w:rPr>
        <w:t xml:space="preserve">The </w:t>
      </w:r>
      <w:r w:rsidRPr="00C52FF7">
        <w:rPr>
          <w:rFonts w:cs="Arial"/>
          <w:bCs/>
        </w:rPr>
        <w:t>applicant’s proposed amendments to the Poisons Standard are</w:t>
      </w:r>
      <w:r w:rsidR="00E20FDD" w:rsidRPr="00C52FF7">
        <w:rPr>
          <w:rFonts w:cs="Arial"/>
          <w:bCs/>
        </w:rPr>
        <w:t>:</w:t>
      </w:r>
      <w:r w:rsidRPr="00C52FF7">
        <w:rPr>
          <w:rStyle w:val="FootnoteReference"/>
          <w:rFonts w:cs="Arial"/>
          <w:bCs/>
        </w:rPr>
        <w:footnoteReference w:id="54"/>
      </w:r>
    </w:p>
    <w:p w14:paraId="2DA76AF1" w14:textId="53043258" w:rsidR="002469EC" w:rsidRPr="00C52FF7" w:rsidRDefault="002469EC" w:rsidP="002469EC">
      <w:pPr>
        <w:ind w:left="426"/>
        <w:rPr>
          <w:rFonts w:cs="Arial"/>
          <w:b/>
        </w:rPr>
      </w:pPr>
      <w:r w:rsidRPr="00C52FF7">
        <w:rPr>
          <w:rFonts w:cs="Arial"/>
          <w:b/>
        </w:rPr>
        <w:t xml:space="preserve">Schedule </w:t>
      </w:r>
      <w:r w:rsidR="00E20FDD" w:rsidRPr="00C52FF7">
        <w:rPr>
          <w:rFonts w:cs="Arial"/>
          <w:b/>
        </w:rPr>
        <w:t>10</w:t>
      </w:r>
      <w:r w:rsidRPr="00C52FF7">
        <w:rPr>
          <w:rFonts w:cs="Arial"/>
          <w:b/>
        </w:rPr>
        <w:t xml:space="preserve"> –</w:t>
      </w:r>
      <w:r w:rsidR="00E20FDD" w:rsidRPr="00C52FF7">
        <w:rPr>
          <w:rFonts w:cs="Arial"/>
          <w:b/>
        </w:rPr>
        <w:t xml:space="preserve"> </w:t>
      </w:r>
      <w:r w:rsidRPr="00C52FF7">
        <w:rPr>
          <w:rFonts w:cs="Arial"/>
          <w:b/>
        </w:rPr>
        <w:t>Amend Entry</w:t>
      </w:r>
    </w:p>
    <w:p w14:paraId="0ABE6769" w14:textId="15361C2E" w:rsidR="002469EC" w:rsidRPr="00C52FF7" w:rsidRDefault="00E20FDD" w:rsidP="00797AE0">
      <w:pPr>
        <w:ind w:left="426" w:firstLine="294"/>
        <w:rPr>
          <w:rFonts w:cs="Arial"/>
          <w:color w:val="00B050"/>
          <w:u w:val="single"/>
        </w:rPr>
      </w:pPr>
      <w:r w:rsidRPr="00C52FF7">
        <w:rPr>
          <w:rFonts w:cs="Arial"/>
        </w:rPr>
        <w:t>AMYGDALIN for therapeutic use</w:t>
      </w:r>
      <w:r w:rsidRPr="00C52FF7">
        <w:rPr>
          <w:rFonts w:cs="Arial"/>
          <w:color w:val="00B050"/>
          <w:u w:val="single"/>
        </w:rPr>
        <w:t>,</w:t>
      </w:r>
      <w:r w:rsidRPr="00C52FF7">
        <w:rPr>
          <w:rFonts w:cs="Arial"/>
          <w:u w:val="single"/>
        </w:rPr>
        <w:t xml:space="preserve"> </w:t>
      </w:r>
      <w:r w:rsidRPr="00C52FF7">
        <w:rPr>
          <w:rFonts w:cs="Arial"/>
          <w:b/>
          <w:bCs/>
          <w:color w:val="00B050"/>
          <w:u w:val="single"/>
        </w:rPr>
        <w:t>except</w:t>
      </w:r>
      <w:r w:rsidRPr="00C52FF7">
        <w:rPr>
          <w:rFonts w:cs="Arial"/>
          <w:color w:val="00B050"/>
          <w:u w:val="single"/>
        </w:rPr>
        <w:t>:</w:t>
      </w:r>
    </w:p>
    <w:p w14:paraId="57E3D2DF" w14:textId="45DF4245" w:rsidR="00E20FDD" w:rsidRPr="00C52FF7" w:rsidRDefault="00E20FDD" w:rsidP="00E20FDD">
      <w:pPr>
        <w:pStyle w:val="ListParagraph"/>
        <w:numPr>
          <w:ilvl w:val="0"/>
          <w:numId w:val="32"/>
        </w:numPr>
        <w:rPr>
          <w:rFonts w:ascii="Arial" w:hAnsi="Arial" w:cs="Arial"/>
          <w:color w:val="00B050"/>
          <w:sz w:val="20"/>
          <w:u w:val="single"/>
        </w:rPr>
      </w:pPr>
      <w:r w:rsidRPr="00C52FF7">
        <w:rPr>
          <w:rFonts w:ascii="Arial" w:hAnsi="Arial" w:cs="Arial"/>
          <w:color w:val="00B050"/>
          <w:sz w:val="20"/>
          <w:u w:val="single"/>
        </w:rPr>
        <w:t>in preparations entered on the ARTG containing Wild Cherry Bark (Prunus serotina) containing amygdalin as a naturally occurring constituent; and</w:t>
      </w:r>
    </w:p>
    <w:p w14:paraId="27889B06" w14:textId="71C4E848" w:rsidR="00E20FDD" w:rsidRPr="00C52FF7" w:rsidRDefault="00E20FDD" w:rsidP="00E20FDD">
      <w:pPr>
        <w:pStyle w:val="ListParagraph"/>
        <w:numPr>
          <w:ilvl w:val="0"/>
          <w:numId w:val="32"/>
        </w:numPr>
        <w:rPr>
          <w:rFonts w:ascii="Arial" w:hAnsi="Arial" w:cs="Arial"/>
          <w:color w:val="00B050"/>
          <w:sz w:val="20"/>
          <w:u w:val="single"/>
        </w:rPr>
      </w:pPr>
      <w:r w:rsidRPr="00C52FF7">
        <w:rPr>
          <w:rFonts w:ascii="Arial" w:hAnsi="Arial" w:cs="Arial"/>
          <w:color w:val="00B050"/>
          <w:sz w:val="20"/>
          <w:u w:val="single"/>
        </w:rPr>
        <w:t>where the preparation is labelled, in bold face letters not less than 1.5 mm high:</w:t>
      </w:r>
    </w:p>
    <w:p w14:paraId="4C5378BF" w14:textId="346355C0" w:rsidR="00E20FDD" w:rsidRPr="00C52FF7" w:rsidRDefault="00797AE0" w:rsidP="00E20FDD">
      <w:pPr>
        <w:pStyle w:val="ListParagraph"/>
        <w:numPr>
          <w:ilvl w:val="1"/>
          <w:numId w:val="32"/>
        </w:numPr>
        <w:rPr>
          <w:rFonts w:ascii="Arial" w:hAnsi="Arial" w:cs="Arial"/>
          <w:color w:val="00B050"/>
          <w:sz w:val="20"/>
          <w:u w:val="single"/>
        </w:rPr>
      </w:pPr>
      <w:r w:rsidRPr="00C52FF7">
        <w:rPr>
          <w:rFonts w:ascii="Arial" w:hAnsi="Arial" w:cs="Arial"/>
          <w:color w:val="00B050"/>
          <w:sz w:val="20"/>
          <w:u w:val="single"/>
        </w:rPr>
        <w:t>f</w:t>
      </w:r>
      <w:r w:rsidR="00E20FDD" w:rsidRPr="00C52FF7">
        <w:rPr>
          <w:rFonts w:ascii="Arial" w:hAnsi="Arial" w:cs="Arial"/>
          <w:color w:val="00B050"/>
          <w:sz w:val="20"/>
          <w:u w:val="single"/>
        </w:rPr>
        <w:t>or adult use</w:t>
      </w:r>
    </w:p>
    <w:p w14:paraId="7ED9FF8C" w14:textId="0A220C74" w:rsidR="00E20FDD" w:rsidRPr="00C52FF7" w:rsidRDefault="00797AE0" w:rsidP="00E20FDD">
      <w:pPr>
        <w:pStyle w:val="ListParagraph"/>
        <w:numPr>
          <w:ilvl w:val="1"/>
          <w:numId w:val="32"/>
        </w:numPr>
        <w:rPr>
          <w:rFonts w:ascii="Arial" w:hAnsi="Arial" w:cs="Arial"/>
          <w:color w:val="00B050"/>
          <w:sz w:val="20"/>
          <w:u w:val="single"/>
        </w:rPr>
      </w:pPr>
      <w:r w:rsidRPr="00C52FF7">
        <w:rPr>
          <w:rFonts w:ascii="Arial" w:hAnsi="Arial" w:cs="Arial"/>
          <w:color w:val="00B050"/>
          <w:sz w:val="20"/>
          <w:u w:val="single"/>
        </w:rPr>
        <w:t>n</w:t>
      </w:r>
      <w:r w:rsidR="00E20FDD" w:rsidRPr="00C52FF7">
        <w:rPr>
          <w:rFonts w:ascii="Arial" w:hAnsi="Arial" w:cs="Arial"/>
          <w:color w:val="00B050"/>
          <w:sz w:val="20"/>
          <w:u w:val="single"/>
        </w:rPr>
        <w:t>ot for use in pregnancy</w:t>
      </w:r>
    </w:p>
    <w:p w14:paraId="1A411681" w14:textId="776E7014" w:rsidR="00E20FDD" w:rsidRPr="00C52FF7" w:rsidRDefault="00797AE0" w:rsidP="00E20FDD">
      <w:pPr>
        <w:pStyle w:val="ListParagraph"/>
        <w:numPr>
          <w:ilvl w:val="1"/>
          <w:numId w:val="32"/>
        </w:numPr>
        <w:rPr>
          <w:rFonts w:ascii="Arial" w:hAnsi="Arial" w:cs="Arial"/>
          <w:color w:val="00B050"/>
          <w:sz w:val="20"/>
          <w:u w:val="single"/>
        </w:rPr>
      </w:pPr>
      <w:r w:rsidRPr="00C52FF7">
        <w:rPr>
          <w:rFonts w:ascii="Arial" w:hAnsi="Arial" w:cs="Arial"/>
          <w:color w:val="00B050"/>
          <w:sz w:val="20"/>
          <w:u w:val="single"/>
        </w:rPr>
        <w:t>i</w:t>
      </w:r>
      <w:r w:rsidR="00E20FDD" w:rsidRPr="00C52FF7">
        <w:rPr>
          <w:rFonts w:ascii="Arial" w:hAnsi="Arial" w:cs="Arial"/>
          <w:color w:val="00B050"/>
          <w:sz w:val="20"/>
          <w:u w:val="single"/>
        </w:rPr>
        <w:t>f symptoms persist, seek professional advice</w:t>
      </w:r>
    </w:p>
    <w:p w14:paraId="15946D8C" w14:textId="59BA5C22" w:rsidR="00E20FDD" w:rsidRPr="00C52FF7" w:rsidRDefault="00E20FDD" w:rsidP="00E20FDD">
      <w:pPr>
        <w:pStyle w:val="ListParagraph"/>
        <w:numPr>
          <w:ilvl w:val="0"/>
          <w:numId w:val="32"/>
        </w:numPr>
        <w:rPr>
          <w:rFonts w:ascii="Arial" w:hAnsi="Arial" w:cs="Arial"/>
          <w:sz w:val="20"/>
          <w:u w:val="single"/>
        </w:rPr>
      </w:pPr>
      <w:r w:rsidRPr="00C52FF7">
        <w:rPr>
          <w:rFonts w:ascii="Arial" w:hAnsi="Arial" w:cs="Arial"/>
          <w:color w:val="00B050"/>
          <w:sz w:val="20"/>
          <w:u w:val="single"/>
        </w:rPr>
        <w:t>the maximum recommended daily dose of the preparation provides less than 5 mg of amygdalin</w:t>
      </w:r>
      <w:r w:rsidRPr="00C52FF7">
        <w:rPr>
          <w:rFonts w:ascii="Arial" w:hAnsi="Arial" w:cs="Arial"/>
          <w:sz w:val="20"/>
          <w:u w:val="single"/>
        </w:rPr>
        <w:t>.</w:t>
      </w:r>
    </w:p>
    <w:p w14:paraId="74FEDBCB" w14:textId="77777777" w:rsidR="00FC1EA7" w:rsidRPr="00C52FF7" w:rsidRDefault="00FC1EA7" w:rsidP="007E0EB1">
      <w:pPr>
        <w:ind w:left="426"/>
        <w:rPr>
          <w:rFonts w:cs="Arial"/>
          <w:b/>
          <w:bCs/>
        </w:rPr>
      </w:pPr>
    </w:p>
    <w:p w14:paraId="3869DD4C" w14:textId="77777777" w:rsidR="00FC1EA7" w:rsidRPr="00C52FF7" w:rsidRDefault="00FC1EA7" w:rsidP="00FC1EA7">
      <w:pPr>
        <w:ind w:left="426"/>
        <w:rPr>
          <w:rFonts w:cs="Arial"/>
          <w:b/>
          <w:bCs/>
        </w:rPr>
      </w:pPr>
      <w:r w:rsidRPr="00C52FF7">
        <w:rPr>
          <w:rFonts w:cs="Arial"/>
          <w:b/>
          <w:bCs/>
        </w:rPr>
        <w:t>Schedule 7</w:t>
      </w:r>
    </w:p>
    <w:p w14:paraId="505B71B1" w14:textId="77777777" w:rsidR="00FC1EA7" w:rsidRPr="00C52FF7" w:rsidRDefault="00FC1EA7" w:rsidP="00FC1EA7">
      <w:pPr>
        <w:ind w:left="426" w:firstLine="294"/>
        <w:rPr>
          <w:rFonts w:cs="Arial"/>
          <w:color w:val="000000" w:themeColor="text1"/>
          <w:u w:val="single"/>
        </w:rPr>
      </w:pPr>
      <w:r w:rsidRPr="00C52FF7">
        <w:rPr>
          <w:rFonts w:cs="Arial"/>
        </w:rPr>
        <w:t xml:space="preserve">HYDROCYANIC </w:t>
      </w:r>
      <w:r w:rsidRPr="00C52FF7">
        <w:rPr>
          <w:rFonts w:cs="Arial"/>
          <w:color w:val="000000" w:themeColor="text1"/>
        </w:rPr>
        <w:t xml:space="preserve">ACID </w:t>
      </w:r>
      <w:r w:rsidRPr="00C52FF7">
        <w:rPr>
          <w:rFonts w:cs="Arial"/>
          <w:b/>
          <w:bCs/>
          <w:color w:val="000000" w:themeColor="text1"/>
        </w:rPr>
        <w:t>except</w:t>
      </w:r>
      <w:r w:rsidRPr="00C52FF7">
        <w:rPr>
          <w:rFonts w:cs="Arial"/>
          <w:color w:val="000000" w:themeColor="text1"/>
        </w:rPr>
        <w:t>:</w:t>
      </w:r>
    </w:p>
    <w:p w14:paraId="5F257F45" w14:textId="77777777" w:rsidR="00FC1EA7" w:rsidRPr="00C52FF7" w:rsidRDefault="00FC1EA7" w:rsidP="00FC1EA7">
      <w:pPr>
        <w:pStyle w:val="ListParagraph"/>
        <w:numPr>
          <w:ilvl w:val="0"/>
          <w:numId w:val="40"/>
        </w:numPr>
        <w:rPr>
          <w:rFonts w:ascii="Arial" w:hAnsi="Arial" w:cs="Arial"/>
          <w:color w:val="000000" w:themeColor="text1"/>
          <w:sz w:val="20"/>
        </w:rPr>
      </w:pPr>
      <w:r w:rsidRPr="00C52FF7">
        <w:rPr>
          <w:rFonts w:ascii="Arial" w:hAnsi="Arial" w:cs="Arial"/>
          <w:color w:val="000000" w:themeColor="text1"/>
          <w:sz w:val="20"/>
        </w:rPr>
        <w:t>when included in Schedule 4; or</w:t>
      </w:r>
    </w:p>
    <w:p w14:paraId="3C907074" w14:textId="77777777" w:rsidR="00FC1EA7" w:rsidRPr="00C52FF7" w:rsidRDefault="00FC1EA7" w:rsidP="00FC1EA7">
      <w:pPr>
        <w:pStyle w:val="ListParagraph"/>
        <w:numPr>
          <w:ilvl w:val="0"/>
          <w:numId w:val="40"/>
        </w:numPr>
        <w:rPr>
          <w:rFonts w:ascii="Arial" w:hAnsi="Arial" w:cs="Arial"/>
          <w:color w:val="000000" w:themeColor="text1"/>
          <w:sz w:val="20"/>
        </w:rPr>
      </w:pPr>
      <w:r w:rsidRPr="00C52FF7">
        <w:rPr>
          <w:rFonts w:ascii="Arial" w:hAnsi="Arial" w:cs="Arial"/>
          <w:color w:val="000000"/>
          <w:sz w:val="20"/>
        </w:rPr>
        <w:t>its salts and derivatives other than cyanides separately specified in this Schedule.</w:t>
      </w:r>
    </w:p>
    <w:p w14:paraId="532C5ED6" w14:textId="77777777" w:rsidR="00FC1EA7" w:rsidRPr="00C52FF7" w:rsidRDefault="00FC1EA7" w:rsidP="007E0EB1">
      <w:pPr>
        <w:ind w:left="426"/>
        <w:rPr>
          <w:rFonts w:cs="Arial"/>
          <w:b/>
          <w:bCs/>
        </w:rPr>
      </w:pPr>
    </w:p>
    <w:p w14:paraId="0E25A09D" w14:textId="7042F135" w:rsidR="00797AE0" w:rsidRPr="00C52FF7" w:rsidRDefault="00797AE0" w:rsidP="007E0EB1">
      <w:pPr>
        <w:ind w:left="426"/>
        <w:rPr>
          <w:rFonts w:cs="Arial"/>
          <w:b/>
          <w:bCs/>
        </w:rPr>
      </w:pPr>
      <w:r w:rsidRPr="00C52FF7">
        <w:rPr>
          <w:rFonts w:cs="Arial"/>
          <w:b/>
          <w:bCs/>
        </w:rPr>
        <w:t>Schedule 4 – Amend entry</w:t>
      </w:r>
    </w:p>
    <w:p w14:paraId="5D6D7BA3" w14:textId="7EB55909" w:rsidR="007E0EB1" w:rsidRPr="00C52FF7" w:rsidRDefault="00922B20" w:rsidP="00797AE0">
      <w:pPr>
        <w:ind w:left="426" w:firstLine="294"/>
        <w:rPr>
          <w:rFonts w:cs="Arial"/>
          <w:color w:val="00B050"/>
        </w:rPr>
      </w:pPr>
      <w:r w:rsidRPr="00C52FF7">
        <w:rPr>
          <w:rFonts w:cs="Arial"/>
        </w:rPr>
        <w:t>HYDROCYANIC ACID for therapeutic use</w:t>
      </w:r>
      <w:r w:rsidRPr="00C52FF7">
        <w:rPr>
          <w:rFonts w:cs="Arial"/>
          <w:color w:val="00B050"/>
          <w:u w:val="single"/>
        </w:rPr>
        <w:t xml:space="preserve">, </w:t>
      </w:r>
      <w:r w:rsidRPr="00C52FF7">
        <w:rPr>
          <w:rFonts w:cs="Arial"/>
          <w:b/>
          <w:bCs/>
          <w:color w:val="00B050"/>
          <w:u w:val="single"/>
        </w:rPr>
        <w:t>except</w:t>
      </w:r>
      <w:r w:rsidRPr="00C52FF7">
        <w:rPr>
          <w:rFonts w:cs="Arial"/>
          <w:color w:val="00B050"/>
          <w:u w:val="single"/>
        </w:rPr>
        <w:t>:</w:t>
      </w:r>
    </w:p>
    <w:p w14:paraId="16D1577D" w14:textId="3B612ACA" w:rsidR="00922B20" w:rsidRPr="00C52FF7" w:rsidRDefault="00922B20" w:rsidP="00922B20">
      <w:pPr>
        <w:pStyle w:val="ListParagraph"/>
        <w:numPr>
          <w:ilvl w:val="0"/>
          <w:numId w:val="33"/>
        </w:numPr>
        <w:rPr>
          <w:rFonts w:ascii="Arial" w:hAnsi="Arial" w:cs="Arial"/>
          <w:color w:val="00B050"/>
          <w:sz w:val="20"/>
          <w:u w:val="single"/>
        </w:rPr>
      </w:pPr>
      <w:r w:rsidRPr="00C52FF7">
        <w:rPr>
          <w:rFonts w:ascii="Arial" w:hAnsi="Arial" w:cs="Arial"/>
          <w:color w:val="00B050"/>
          <w:sz w:val="20"/>
          <w:u w:val="single"/>
        </w:rPr>
        <w:t>in preparations entered on the ARTG containing Wild Cherry Bark (Prunus serotina) containing hydrocyanic acid and/or amygdalin as naturally occurring constituents; and</w:t>
      </w:r>
    </w:p>
    <w:p w14:paraId="19B367BE" w14:textId="08B28654" w:rsidR="00922B20" w:rsidRPr="00C52FF7" w:rsidRDefault="00922B20" w:rsidP="00922B20">
      <w:pPr>
        <w:pStyle w:val="ListParagraph"/>
        <w:numPr>
          <w:ilvl w:val="0"/>
          <w:numId w:val="33"/>
        </w:numPr>
        <w:rPr>
          <w:rFonts w:ascii="Arial" w:hAnsi="Arial" w:cs="Arial"/>
          <w:color w:val="00B050"/>
          <w:sz w:val="20"/>
          <w:u w:val="single"/>
        </w:rPr>
      </w:pPr>
      <w:r w:rsidRPr="00C52FF7">
        <w:rPr>
          <w:rFonts w:ascii="Arial" w:hAnsi="Arial" w:cs="Arial"/>
          <w:color w:val="00B050"/>
          <w:sz w:val="20"/>
          <w:u w:val="single"/>
        </w:rPr>
        <w:t>where the preparation is labelled, in bold face letters not less than 1.5 mm high:</w:t>
      </w:r>
    </w:p>
    <w:p w14:paraId="43D80973" w14:textId="360E82EB" w:rsidR="00922B20" w:rsidRPr="00C52FF7" w:rsidRDefault="00922B20" w:rsidP="00922B20">
      <w:pPr>
        <w:pStyle w:val="ListParagraph"/>
        <w:numPr>
          <w:ilvl w:val="1"/>
          <w:numId w:val="33"/>
        </w:numPr>
        <w:rPr>
          <w:rFonts w:ascii="Arial" w:hAnsi="Arial" w:cs="Arial"/>
          <w:color w:val="00B050"/>
          <w:sz w:val="20"/>
          <w:u w:val="single"/>
        </w:rPr>
      </w:pPr>
      <w:r w:rsidRPr="00C52FF7">
        <w:rPr>
          <w:rFonts w:ascii="Arial" w:hAnsi="Arial" w:cs="Arial"/>
          <w:color w:val="00B050"/>
          <w:sz w:val="20"/>
          <w:u w:val="single"/>
        </w:rPr>
        <w:t>for adult use</w:t>
      </w:r>
    </w:p>
    <w:p w14:paraId="65C13614" w14:textId="3ED04310" w:rsidR="00922B20" w:rsidRPr="00C52FF7" w:rsidRDefault="00922B20" w:rsidP="00922B20">
      <w:pPr>
        <w:pStyle w:val="ListParagraph"/>
        <w:numPr>
          <w:ilvl w:val="1"/>
          <w:numId w:val="33"/>
        </w:numPr>
        <w:rPr>
          <w:rFonts w:ascii="Arial" w:hAnsi="Arial" w:cs="Arial"/>
          <w:color w:val="00B050"/>
          <w:sz w:val="20"/>
          <w:u w:val="single"/>
        </w:rPr>
      </w:pPr>
      <w:r w:rsidRPr="00C52FF7">
        <w:rPr>
          <w:rFonts w:ascii="Arial" w:hAnsi="Arial" w:cs="Arial"/>
          <w:color w:val="00B050"/>
          <w:sz w:val="20"/>
          <w:u w:val="single"/>
        </w:rPr>
        <w:t>not for use in pregnancy</w:t>
      </w:r>
    </w:p>
    <w:p w14:paraId="4C9E25D5" w14:textId="6132A6C8" w:rsidR="00922B20" w:rsidRPr="00C52FF7" w:rsidRDefault="00922B20" w:rsidP="00922B20">
      <w:pPr>
        <w:pStyle w:val="ListParagraph"/>
        <w:numPr>
          <w:ilvl w:val="1"/>
          <w:numId w:val="33"/>
        </w:numPr>
        <w:rPr>
          <w:rFonts w:ascii="Arial" w:hAnsi="Arial" w:cs="Arial"/>
          <w:color w:val="00B050"/>
          <w:sz w:val="20"/>
          <w:u w:val="single"/>
        </w:rPr>
      </w:pPr>
      <w:r w:rsidRPr="00C52FF7">
        <w:rPr>
          <w:rFonts w:ascii="Arial" w:hAnsi="Arial" w:cs="Arial"/>
          <w:color w:val="00B050"/>
          <w:sz w:val="20"/>
          <w:u w:val="single"/>
        </w:rPr>
        <w:t>if symptoms persist, seek professional advice</w:t>
      </w:r>
    </w:p>
    <w:p w14:paraId="6F3532DA" w14:textId="7A4541C2" w:rsidR="00922B20" w:rsidRDefault="00922B20" w:rsidP="00922B20">
      <w:pPr>
        <w:pStyle w:val="ListParagraph"/>
        <w:numPr>
          <w:ilvl w:val="0"/>
          <w:numId w:val="33"/>
        </w:numPr>
        <w:rPr>
          <w:rFonts w:ascii="Arial" w:hAnsi="Arial" w:cs="Arial"/>
          <w:sz w:val="20"/>
          <w:u w:val="single"/>
        </w:rPr>
      </w:pPr>
      <w:r w:rsidRPr="00C52FF7">
        <w:rPr>
          <w:rFonts w:ascii="Arial" w:hAnsi="Arial" w:cs="Arial"/>
          <w:color w:val="00B050"/>
          <w:sz w:val="20"/>
          <w:u w:val="single"/>
        </w:rPr>
        <w:lastRenderedPageBreak/>
        <w:t>the maximum recommended daily dose of the preparation provides less than 0.3 mg of hydrocyanic acid (including the theoretical yield from the complete hydrolysis of any amygdalin present)</w:t>
      </w:r>
      <w:r w:rsidRPr="00C52FF7">
        <w:rPr>
          <w:rFonts w:ascii="Arial" w:hAnsi="Arial" w:cs="Arial"/>
          <w:sz w:val="20"/>
          <w:u w:val="single"/>
        </w:rPr>
        <w:t>.</w:t>
      </w:r>
    </w:p>
    <w:p w14:paraId="4DF89FF2" w14:textId="77777777" w:rsidR="00C52FF7" w:rsidRDefault="00C52FF7" w:rsidP="00C52FF7">
      <w:pPr>
        <w:pStyle w:val="ListParagraph"/>
        <w:ind w:left="1080"/>
        <w:rPr>
          <w:rFonts w:ascii="Arial" w:hAnsi="Arial" w:cs="Arial"/>
          <w:sz w:val="20"/>
          <w:u w:val="single"/>
        </w:rPr>
      </w:pPr>
    </w:p>
    <w:p w14:paraId="0A5B6ED9" w14:textId="77777777" w:rsidR="00C52FF7" w:rsidRDefault="00C52FF7" w:rsidP="00C52FF7">
      <w:pPr>
        <w:ind w:left="720"/>
        <w:rPr>
          <w:rFonts w:cs="Arial"/>
          <w:b/>
          <w:bCs/>
        </w:rPr>
      </w:pPr>
      <w:r>
        <w:rPr>
          <w:rFonts w:cs="Arial"/>
          <w:b/>
          <w:bCs/>
        </w:rPr>
        <w:t>INDEX</w:t>
      </w:r>
    </w:p>
    <w:p w14:paraId="4001F60D" w14:textId="21490BEE" w:rsidR="00C52FF7" w:rsidRPr="00C52FF7" w:rsidRDefault="00C52FF7" w:rsidP="00C52FF7">
      <w:pPr>
        <w:ind w:left="720"/>
        <w:rPr>
          <w:rFonts w:cs="Arial"/>
        </w:rPr>
      </w:pPr>
      <w:r w:rsidRPr="00C52FF7">
        <w:rPr>
          <w:rFonts w:cs="Arial"/>
          <w:b/>
          <w:bCs/>
        </w:rPr>
        <w:t>AMYGDALIN</w:t>
      </w:r>
      <w:r w:rsidRPr="00C52FF7">
        <w:rPr>
          <w:rFonts w:cs="Arial"/>
          <w:b/>
          <w:bCs/>
        </w:rPr>
        <w:br/>
      </w:r>
      <w:r w:rsidRPr="00C52FF7">
        <w:rPr>
          <w:rFonts w:cs="Arial"/>
        </w:rPr>
        <w:t>cross reference: APRICOT KERNELS</w:t>
      </w:r>
    </w:p>
    <w:p w14:paraId="65FA912E" w14:textId="2059F0A4" w:rsidR="00C52FF7" w:rsidRDefault="00C52FF7" w:rsidP="00C52FF7">
      <w:pPr>
        <w:ind w:left="720"/>
        <w:rPr>
          <w:rFonts w:cs="Arial"/>
        </w:rPr>
      </w:pPr>
      <w:r w:rsidRPr="00C52FF7">
        <w:rPr>
          <w:rFonts w:cs="Arial"/>
        </w:rPr>
        <w:t>Schedule 10</w:t>
      </w:r>
    </w:p>
    <w:p w14:paraId="6961968D" w14:textId="77777777" w:rsidR="00C52FF7" w:rsidRPr="00C52FF7" w:rsidRDefault="00C52FF7" w:rsidP="00C52FF7">
      <w:pPr>
        <w:ind w:left="720"/>
        <w:rPr>
          <w:rFonts w:cs="Arial"/>
        </w:rPr>
      </w:pPr>
      <w:r w:rsidRPr="00C52FF7">
        <w:rPr>
          <w:rFonts w:cs="Arial"/>
          <w:b/>
          <w:bCs/>
        </w:rPr>
        <w:t>HYDROCYANIC ACID</w:t>
      </w:r>
      <w:r w:rsidRPr="00C52FF7">
        <w:rPr>
          <w:rFonts w:cs="Arial"/>
          <w:b/>
          <w:bCs/>
        </w:rPr>
        <w:br/>
      </w:r>
      <w:r w:rsidRPr="00C52FF7">
        <w:rPr>
          <w:rFonts w:cs="Arial"/>
        </w:rPr>
        <w:t>cross reference: CYANIDES, APRICOT KERNELS</w:t>
      </w:r>
    </w:p>
    <w:p w14:paraId="63AD152F" w14:textId="18982897" w:rsidR="00C52FF7" w:rsidRPr="00C52FF7" w:rsidRDefault="00C52FF7" w:rsidP="00C52FF7">
      <w:pPr>
        <w:ind w:left="720"/>
        <w:rPr>
          <w:rFonts w:cs="Arial"/>
        </w:rPr>
      </w:pPr>
      <w:r w:rsidRPr="00C52FF7">
        <w:rPr>
          <w:rFonts w:cs="Arial"/>
        </w:rPr>
        <w:t>Schedule 7</w:t>
      </w:r>
      <w:r w:rsidRPr="00C52FF7">
        <w:rPr>
          <w:rFonts w:cs="Arial"/>
        </w:rPr>
        <w:br/>
        <w:t>Schedule 4</w:t>
      </w:r>
      <w:r w:rsidRPr="00C52FF7">
        <w:rPr>
          <w:rFonts w:cs="Arial"/>
        </w:rPr>
        <w:br/>
        <w:t>Appendix F, clause 4</w:t>
      </w:r>
      <w:r w:rsidRPr="00C52FF7">
        <w:rPr>
          <w:rFonts w:cs="Arial"/>
        </w:rPr>
        <w:br/>
        <w:t>Appendix G, clause 1</w:t>
      </w:r>
      <w:r w:rsidRPr="00C52FF7">
        <w:rPr>
          <w:rFonts w:cs="Arial"/>
        </w:rPr>
        <w:br/>
        <w:t>Appendix J, clause 1</w:t>
      </w:r>
    </w:p>
    <w:p w14:paraId="038BE76F" w14:textId="7272BC4D" w:rsidR="00FC1EA7" w:rsidRPr="00DE411A" w:rsidRDefault="00FC1EA7" w:rsidP="00DE411A">
      <w:pPr>
        <w:spacing w:before="240"/>
        <w:rPr>
          <w:i/>
          <w:iCs/>
        </w:rPr>
      </w:pPr>
      <w:r w:rsidRPr="00DE411A">
        <w:rPr>
          <w:i/>
          <w:iCs/>
        </w:rPr>
        <w:t xml:space="preserve">Secretariat note: </w:t>
      </w:r>
      <w:r>
        <w:rPr>
          <w:i/>
          <w:iCs/>
        </w:rPr>
        <w:t>the proposed scheduling as</w:t>
      </w:r>
      <w:r w:rsidR="00B56497">
        <w:rPr>
          <w:i/>
          <w:iCs/>
        </w:rPr>
        <w:t xml:space="preserve"> shown</w:t>
      </w:r>
      <w:r>
        <w:rPr>
          <w:i/>
          <w:iCs/>
        </w:rPr>
        <w:t xml:space="preserve"> above would cause the relevant Wild Cherry Bark preparations containing hydrocyanic acid to be in Schedule 7, rather than not be scheduled. To give effect to the applicant’s intent, an amendment (not depicted above) to the Schedule 7 (Dangerous Poisons) entry for hydrocyanic acid would be required to exclude </w:t>
      </w:r>
      <w:r w:rsidRPr="00DA2364">
        <w:rPr>
          <w:i/>
          <w:iCs/>
        </w:rPr>
        <w:t xml:space="preserve">all </w:t>
      </w:r>
      <w:r w:rsidR="00B56497">
        <w:rPr>
          <w:i/>
          <w:iCs/>
        </w:rPr>
        <w:t xml:space="preserve">therapeutic </w:t>
      </w:r>
      <w:r w:rsidRPr="00DA2364">
        <w:rPr>
          <w:i/>
          <w:iCs/>
        </w:rPr>
        <w:t xml:space="preserve">uses that are </w:t>
      </w:r>
      <w:r w:rsidR="00B56497">
        <w:rPr>
          <w:i/>
          <w:iCs/>
        </w:rPr>
        <w:t xml:space="preserve">proposed by the applicant to be excluded from </w:t>
      </w:r>
      <w:r w:rsidRPr="00DA2364">
        <w:rPr>
          <w:i/>
          <w:iCs/>
        </w:rPr>
        <w:t>S</w:t>
      </w:r>
      <w:r>
        <w:rPr>
          <w:i/>
          <w:iCs/>
        </w:rPr>
        <w:t xml:space="preserve">chedule </w:t>
      </w:r>
      <w:r w:rsidRPr="00DA2364">
        <w:rPr>
          <w:i/>
          <w:iCs/>
        </w:rPr>
        <w:t>4</w:t>
      </w:r>
      <w:r w:rsidR="00B56497">
        <w:rPr>
          <w:i/>
          <w:iCs/>
        </w:rPr>
        <w:t>.</w:t>
      </w:r>
      <w:r w:rsidRPr="00DA2364">
        <w:rPr>
          <w:i/>
          <w:iCs/>
        </w:rPr>
        <w:t xml:space="preserve"> </w:t>
      </w:r>
    </w:p>
    <w:p w14:paraId="420D2395" w14:textId="307A0739" w:rsidR="002469EC" w:rsidRDefault="002469EC" w:rsidP="002469EC">
      <w:pPr>
        <w:pStyle w:val="Heading4"/>
      </w:pPr>
      <w:bookmarkStart w:id="81" w:name="_Toc131604399"/>
      <w:r>
        <w:t>Background</w:t>
      </w:r>
      <w:bookmarkEnd w:id="81"/>
    </w:p>
    <w:p w14:paraId="1601CCB7" w14:textId="0C5739A5" w:rsidR="006767C1" w:rsidRPr="0007726C" w:rsidRDefault="006767C1" w:rsidP="00E716C3">
      <w:r w:rsidRPr="006767C1">
        <w:t xml:space="preserve">Amygdalin is a cyanogenic glycoside found naturally in many plants including cassava, sorghum, lima beans, bitter almonds, apricot </w:t>
      </w:r>
      <w:proofErr w:type="gramStart"/>
      <w:r w:rsidRPr="006767C1">
        <w:t>kernels</w:t>
      </w:r>
      <w:proofErr w:type="gramEnd"/>
      <w:r w:rsidRPr="006767C1">
        <w:t xml:space="preserve"> and seeds of other plants in the Prunus gen</w:t>
      </w:r>
      <w:r w:rsidRPr="00E716C3">
        <w:t xml:space="preserve">us. </w:t>
      </w:r>
      <w:r w:rsidR="0007726C" w:rsidRPr="0007726C">
        <w:t xml:space="preserve">Amygdalin hydrolyses to </w:t>
      </w:r>
      <w:r w:rsidR="0007726C">
        <w:t>hydrocyanic acid, a high</w:t>
      </w:r>
      <w:r w:rsidR="002C70CE">
        <w:t>ly</w:t>
      </w:r>
      <w:r w:rsidR="0007726C">
        <w:t xml:space="preserve"> poisonous compound,</w:t>
      </w:r>
      <w:r w:rsidR="0007726C" w:rsidRPr="0007726C">
        <w:t xml:space="preserve"> through beta-glucoside enzymes in human digestive tract. </w:t>
      </w:r>
      <w:r w:rsidR="000715DA">
        <w:t>Plants containing a</w:t>
      </w:r>
      <w:r w:rsidR="000715DA" w:rsidRPr="000715DA">
        <w:t>mygdalin and hydrocyanic acid</w:t>
      </w:r>
      <w:r w:rsidR="000715DA">
        <w:t xml:space="preserve"> are used in </w:t>
      </w:r>
      <w:r w:rsidR="000715DA" w:rsidRPr="000715DA">
        <w:t>traditional Chinese medicine</w:t>
      </w:r>
      <w:r w:rsidR="000715DA">
        <w:t>s for the treatment of a variety of indications</w:t>
      </w:r>
      <w:r w:rsidR="000715DA" w:rsidRPr="000715DA">
        <w:t xml:space="preserve">. </w:t>
      </w:r>
      <w:r w:rsidRPr="00E716C3">
        <w:t>Amygdalin has previously been, and to a certain extent continues to be, promoted as an alternative treatment for cancer.</w:t>
      </w:r>
    </w:p>
    <w:p w14:paraId="596D6B2E" w14:textId="5B0CD2DA" w:rsidR="002469EC" w:rsidRDefault="002469EC" w:rsidP="002469EC">
      <w:pPr>
        <w:pStyle w:val="Heading4"/>
      </w:pPr>
      <w:bookmarkStart w:id="82" w:name="_Toc131604400"/>
      <w:r>
        <w:t>Summary of applicant’s reasons for the proposal</w:t>
      </w:r>
      <w:bookmarkEnd w:id="82"/>
    </w:p>
    <w:p w14:paraId="755EBAB8" w14:textId="077F0BC9" w:rsidR="00E716C3" w:rsidRPr="00E716C3" w:rsidRDefault="00E716C3" w:rsidP="00E716C3">
      <w:pPr>
        <w:pStyle w:val="ListBullet"/>
      </w:pPr>
      <w:r w:rsidRPr="00E716C3">
        <w:t xml:space="preserve">PRUNUS SEROTINA (Wild Cherry Bark) is included in the </w:t>
      </w:r>
      <w:r w:rsidRPr="00E716C3">
        <w:rPr>
          <w:i/>
          <w:iCs/>
        </w:rPr>
        <w:t xml:space="preserve">Therapeutic Goods (Permissible Ingredients) Determination (No. 5) 2022 </w:t>
      </w:r>
      <w:r w:rsidRPr="00E716C3">
        <w:t>(entry 4208) as an Active, Excipient or Homeopathic</w:t>
      </w:r>
      <w:r w:rsidR="0007726C">
        <w:t xml:space="preserve"> ingredient</w:t>
      </w:r>
      <w:r w:rsidRPr="00E716C3">
        <w:t xml:space="preserve">. Amygdalin and hydrocyanic acid are mandatory components of the ingredient: the concentration of amygdalin must be 0% and the concentration of hydrocyanic acid must be no more than 1 microgram/kg or 1 microgram/L. </w:t>
      </w:r>
    </w:p>
    <w:p w14:paraId="55B5BAC5" w14:textId="3F65F18C" w:rsidR="002469EC" w:rsidRDefault="00E716C3" w:rsidP="00E716C3">
      <w:pPr>
        <w:pStyle w:val="ListBullet"/>
      </w:pPr>
      <w:r w:rsidRPr="00E716C3">
        <w:t>It is not possible to achieve an amygdalin concentration of 0% in crude Wild Cherry Bark material. The current scheduling of amygdalin thus effectively bans Wild Cherry Bark from use in therapeutic goods. This applies to listed complementary medicines on the ARTG as well as raw materials used by herbal medicine practitioners to compound extemporaneous medicines that are exempt from inclusion on the ARTG</w:t>
      </w:r>
      <w:r w:rsidR="002469EC" w:rsidRPr="00E716C3">
        <w:t>.</w:t>
      </w:r>
    </w:p>
    <w:p w14:paraId="44F06871" w14:textId="457860A5" w:rsidR="00E716C3" w:rsidRPr="00E716C3" w:rsidRDefault="00E716C3" w:rsidP="00E716C3">
      <w:pPr>
        <w:pStyle w:val="ListBullet"/>
      </w:pPr>
      <w:r w:rsidRPr="00E716C3">
        <w:t xml:space="preserve">The Scheduling Policy Framework for Medicines and Chemicals allows for a cut-off from </w:t>
      </w:r>
      <w:r>
        <w:t xml:space="preserve">scheduling </w:t>
      </w:r>
      <w:r w:rsidRPr="00E716C3">
        <w:t>where the substance no longer meets the factors for inclusion in th</w:t>
      </w:r>
      <w:r>
        <w:t>e</w:t>
      </w:r>
      <w:r w:rsidRPr="00E716C3">
        <w:t xml:space="preserve"> Schedule or in any other Schedule in the Poisons Standard. </w:t>
      </w:r>
      <w:r>
        <w:t>A</w:t>
      </w:r>
      <w:r w:rsidRPr="00E716C3">
        <w:t xml:space="preserve">mygdalin at less than 5 mg per daily dose in adults </w:t>
      </w:r>
      <w:r>
        <w:t xml:space="preserve">and </w:t>
      </w:r>
      <w:r w:rsidRPr="00E716C3">
        <w:t xml:space="preserve">hydrocyanic acid at less than 0.3 mg per daily dose </w:t>
      </w:r>
      <w:r w:rsidR="00BC4F7F">
        <w:t xml:space="preserve">each </w:t>
      </w:r>
      <w:r w:rsidRPr="00E716C3">
        <w:t>meet this criterion.</w:t>
      </w:r>
    </w:p>
    <w:p w14:paraId="37CB0975" w14:textId="77777777" w:rsidR="002469EC" w:rsidRDefault="002469EC" w:rsidP="002469EC">
      <w:pPr>
        <w:pStyle w:val="Heading4"/>
      </w:pPr>
      <w:bookmarkStart w:id="83" w:name="_Toc131604401"/>
      <w:r>
        <w:t>Key uses / expected use</w:t>
      </w:r>
      <w:bookmarkEnd w:id="83"/>
    </w:p>
    <w:p w14:paraId="0336AAF2" w14:textId="5A228EFF" w:rsidR="002469EC" w:rsidRDefault="002469EC" w:rsidP="002469EC">
      <w:r w:rsidRPr="00E716C3">
        <w:t>Medicines</w:t>
      </w:r>
    </w:p>
    <w:p w14:paraId="6348A66E" w14:textId="77777777" w:rsidR="002469EC" w:rsidRDefault="002469EC" w:rsidP="002469EC">
      <w:pPr>
        <w:pStyle w:val="Heading4"/>
      </w:pPr>
      <w:bookmarkStart w:id="84" w:name="_Toc131604402"/>
      <w:r>
        <w:lastRenderedPageBreak/>
        <w:t>Australian regulations</w:t>
      </w:r>
      <w:bookmarkEnd w:id="84"/>
    </w:p>
    <w:p w14:paraId="2BA845C6" w14:textId="5DE501C2" w:rsidR="002469EC" w:rsidRPr="00C52FF7" w:rsidRDefault="002469EC" w:rsidP="00931FC3">
      <w:pPr>
        <w:pStyle w:val="ListBullet"/>
        <w:rPr>
          <w:rFonts w:cs="Arial"/>
        </w:rPr>
      </w:pPr>
      <w:r w:rsidRPr="00C52FF7">
        <w:rPr>
          <w:rFonts w:cs="Arial"/>
        </w:rPr>
        <w:t xml:space="preserve">According to the </w:t>
      </w:r>
      <w:hyperlink r:id="rId74" w:history="1">
        <w:r w:rsidRPr="00C52FF7">
          <w:rPr>
            <w:rStyle w:val="Hyperlink"/>
            <w:rFonts w:cs="Arial"/>
          </w:rPr>
          <w:t>TGA Ingredient Database</w:t>
        </w:r>
      </w:hyperlink>
      <w:r w:rsidRPr="00C52FF7">
        <w:rPr>
          <w:rFonts w:cs="Arial"/>
        </w:rPr>
        <w:t>,</w:t>
      </w:r>
      <w:r w:rsidRPr="00C52FF7">
        <w:rPr>
          <w:rStyle w:val="FootnoteReference"/>
          <w:rFonts w:cs="Arial"/>
        </w:rPr>
        <w:footnoteReference w:id="55"/>
      </w:r>
      <w:r w:rsidRPr="00C52FF7">
        <w:rPr>
          <w:rFonts w:cs="Arial"/>
        </w:rPr>
        <w:t xml:space="preserve"> </w:t>
      </w:r>
      <w:r w:rsidR="00931FC3" w:rsidRPr="00C52FF7">
        <w:rPr>
          <w:rFonts w:cs="Arial"/>
        </w:rPr>
        <w:t xml:space="preserve">amygdalin </w:t>
      </w:r>
      <w:r w:rsidRPr="00C52FF7">
        <w:rPr>
          <w:rFonts w:cs="Arial"/>
        </w:rPr>
        <w:t>is:</w:t>
      </w:r>
    </w:p>
    <w:p w14:paraId="35816843" w14:textId="094B226C" w:rsidR="00931FC3" w:rsidRPr="00C52FF7" w:rsidRDefault="00931FC3" w:rsidP="00931FC3">
      <w:pPr>
        <w:pStyle w:val="ListBullet2"/>
        <w:rPr>
          <w:rFonts w:cs="Arial"/>
        </w:rPr>
      </w:pPr>
      <w:r w:rsidRPr="00C52FF7">
        <w:rPr>
          <w:rFonts w:cs="Arial"/>
        </w:rPr>
        <w:t xml:space="preserve">Not available as an Active Ingredient in any </w:t>
      </w:r>
      <w:r w:rsidR="000715DA" w:rsidRPr="00C52FF7">
        <w:rPr>
          <w:rFonts w:cs="Arial"/>
        </w:rPr>
        <w:t>therapeutic good</w:t>
      </w:r>
      <w:r w:rsidRPr="00C52FF7">
        <w:rPr>
          <w:rFonts w:cs="Arial"/>
        </w:rPr>
        <w:t>;</w:t>
      </w:r>
    </w:p>
    <w:p w14:paraId="4E2120C7" w14:textId="2274348C" w:rsidR="00931FC3" w:rsidRPr="00C52FF7" w:rsidRDefault="00931FC3" w:rsidP="00931FC3">
      <w:pPr>
        <w:pStyle w:val="ListBullet2"/>
        <w:rPr>
          <w:rFonts w:cs="Arial"/>
        </w:rPr>
      </w:pPr>
      <w:r w:rsidRPr="00C52FF7">
        <w:rPr>
          <w:rFonts w:cs="Arial"/>
        </w:rPr>
        <w:t xml:space="preserve">Not available as an Excipient Ingredient in any </w:t>
      </w:r>
      <w:r w:rsidR="00E2510F" w:rsidRPr="00C52FF7">
        <w:rPr>
          <w:rFonts w:cs="Arial"/>
        </w:rPr>
        <w:t>therapeutic good</w:t>
      </w:r>
      <w:r w:rsidRPr="00C52FF7">
        <w:rPr>
          <w:rFonts w:cs="Arial"/>
        </w:rPr>
        <w:t>;</w:t>
      </w:r>
    </w:p>
    <w:p w14:paraId="0DE188A6" w14:textId="5F9C33A3" w:rsidR="00931FC3" w:rsidRPr="00C52FF7" w:rsidRDefault="00931FC3" w:rsidP="00931FC3">
      <w:pPr>
        <w:pStyle w:val="ListBullet2"/>
        <w:rPr>
          <w:rFonts w:cs="Arial"/>
        </w:rPr>
      </w:pPr>
      <w:r w:rsidRPr="00C52FF7">
        <w:rPr>
          <w:rFonts w:cs="Arial"/>
        </w:rPr>
        <w:t>Available for use as an Equivalent Ingredient in Export Only and Listed Medicines.</w:t>
      </w:r>
    </w:p>
    <w:p w14:paraId="5B6B20B2" w14:textId="675480B0" w:rsidR="00931FC3" w:rsidRPr="00C52FF7" w:rsidRDefault="00931FC3" w:rsidP="00931FC3">
      <w:pPr>
        <w:pStyle w:val="ListBullet2"/>
        <w:numPr>
          <w:ilvl w:val="0"/>
          <w:numId w:val="0"/>
        </w:numPr>
        <w:ind w:left="425"/>
        <w:rPr>
          <w:rFonts w:cs="Arial"/>
        </w:rPr>
      </w:pPr>
      <w:r w:rsidRPr="00C52FF7">
        <w:rPr>
          <w:rFonts w:cs="Arial"/>
        </w:rPr>
        <w:t>Hydrocyanic acid (as hydrogen cyanide) is:</w:t>
      </w:r>
    </w:p>
    <w:p w14:paraId="09A204BF" w14:textId="3D219AC9" w:rsidR="00931FC3" w:rsidRPr="00C52FF7" w:rsidRDefault="00931FC3" w:rsidP="00931FC3">
      <w:pPr>
        <w:pStyle w:val="ListBullet2"/>
        <w:rPr>
          <w:rFonts w:cs="Arial"/>
        </w:rPr>
      </w:pPr>
      <w:r w:rsidRPr="00C52FF7">
        <w:rPr>
          <w:rFonts w:cs="Arial"/>
        </w:rPr>
        <w:t>Available for use as an Active Ingredient in Biologicals, Export Only, Listed Medicines, Over the Counter and Prescription Medicines;</w:t>
      </w:r>
    </w:p>
    <w:p w14:paraId="0675D241" w14:textId="7DFCBB84" w:rsidR="00931FC3" w:rsidRPr="00C52FF7" w:rsidRDefault="00931FC3" w:rsidP="00931FC3">
      <w:pPr>
        <w:pStyle w:val="ListBullet2"/>
        <w:rPr>
          <w:rFonts w:cs="Arial"/>
        </w:rPr>
      </w:pPr>
      <w:r w:rsidRPr="00C52FF7">
        <w:rPr>
          <w:rFonts w:cs="Arial"/>
        </w:rPr>
        <w:t>Available for use in Listed Medicines as a Homeopathic Ingredient only;</w:t>
      </w:r>
    </w:p>
    <w:p w14:paraId="63B2B668" w14:textId="2DDBC762" w:rsidR="00931FC3" w:rsidRPr="00C52FF7" w:rsidRDefault="00931FC3" w:rsidP="00931FC3">
      <w:pPr>
        <w:pStyle w:val="ListBullet2"/>
        <w:rPr>
          <w:rFonts w:cs="Arial"/>
        </w:rPr>
      </w:pPr>
      <w:r w:rsidRPr="00C52FF7">
        <w:rPr>
          <w:rFonts w:cs="Arial"/>
        </w:rPr>
        <w:t>Available for use as an Excipient Ingredient in Biologicals, Devices and Prescription Medicines.</w:t>
      </w:r>
    </w:p>
    <w:p w14:paraId="71898B27" w14:textId="0E5D3361" w:rsidR="002469EC" w:rsidRPr="00C52FF7" w:rsidRDefault="002469EC" w:rsidP="002469EC">
      <w:pPr>
        <w:pStyle w:val="ListBullet"/>
        <w:rPr>
          <w:rFonts w:cs="Arial"/>
        </w:rPr>
      </w:pPr>
      <w:r w:rsidRPr="00C52FF7">
        <w:rPr>
          <w:rFonts w:cs="Arial"/>
        </w:rPr>
        <w:t>As of M</w:t>
      </w:r>
      <w:r w:rsidR="00931FC3" w:rsidRPr="00C52FF7">
        <w:rPr>
          <w:rFonts w:cs="Arial"/>
        </w:rPr>
        <w:t>arc</w:t>
      </w:r>
      <w:r w:rsidRPr="00C52FF7">
        <w:rPr>
          <w:rFonts w:cs="Arial"/>
        </w:rPr>
        <w:t>h 20</w:t>
      </w:r>
      <w:r w:rsidR="00931FC3" w:rsidRPr="00C52FF7">
        <w:rPr>
          <w:rFonts w:cs="Arial"/>
        </w:rPr>
        <w:t>23</w:t>
      </w:r>
      <w:r w:rsidRPr="00C52FF7">
        <w:rPr>
          <w:rFonts w:cs="Arial"/>
        </w:rPr>
        <w:t xml:space="preserve">, there were </w:t>
      </w:r>
      <w:r w:rsidR="00931FC3" w:rsidRPr="00C52FF7">
        <w:rPr>
          <w:rFonts w:cs="Arial"/>
        </w:rPr>
        <w:t>no</w:t>
      </w:r>
      <w:r w:rsidRPr="00C52FF7">
        <w:rPr>
          <w:rFonts w:cs="Arial"/>
        </w:rPr>
        <w:t xml:space="preserve"> medicines currently active on the </w:t>
      </w:r>
      <w:hyperlink r:id="rId75" w:history="1">
        <w:r w:rsidRPr="00C52FF7">
          <w:rPr>
            <w:rStyle w:val="Hyperlink"/>
            <w:rFonts w:cs="Arial"/>
          </w:rPr>
          <w:t>Australian Register of Therapeutic Goods (ARTG)</w:t>
        </w:r>
      </w:hyperlink>
      <w:r w:rsidRPr="00C52FF7">
        <w:rPr>
          <w:rStyle w:val="FootnoteReference"/>
          <w:rFonts w:cs="Arial"/>
        </w:rPr>
        <w:footnoteReference w:id="56"/>
      </w:r>
      <w:r w:rsidRPr="00C52FF7">
        <w:rPr>
          <w:rFonts w:cs="Arial"/>
        </w:rPr>
        <w:t xml:space="preserve"> that contain </w:t>
      </w:r>
      <w:r w:rsidR="00931FC3" w:rsidRPr="00C52FF7">
        <w:rPr>
          <w:rFonts w:cs="Arial"/>
        </w:rPr>
        <w:t xml:space="preserve">amygdalin or hydrocyanic acid </w:t>
      </w:r>
      <w:r w:rsidRPr="00C52FF7">
        <w:rPr>
          <w:rFonts w:cs="Arial"/>
        </w:rPr>
        <w:t xml:space="preserve">as an active ingredient. </w:t>
      </w:r>
    </w:p>
    <w:p w14:paraId="41D0BD1F" w14:textId="19436DCA" w:rsidR="002469EC" w:rsidRPr="00C52FF7" w:rsidRDefault="00931FC3" w:rsidP="002469EC">
      <w:pPr>
        <w:pStyle w:val="ListBullet"/>
        <w:rPr>
          <w:rFonts w:cs="Arial"/>
        </w:rPr>
      </w:pPr>
      <w:r w:rsidRPr="00C52FF7">
        <w:rPr>
          <w:rFonts w:cs="Arial"/>
        </w:rPr>
        <w:t>Amygdalin</w:t>
      </w:r>
      <w:r w:rsidR="002469EC" w:rsidRPr="00C52FF7">
        <w:rPr>
          <w:rFonts w:cs="Arial"/>
        </w:rPr>
        <w:t xml:space="preserve"> is not permitted to be included in listed medicines as it is not included in the </w:t>
      </w:r>
      <w:hyperlink r:id="rId76" w:history="1">
        <w:r w:rsidR="002469EC" w:rsidRPr="00C52FF7">
          <w:rPr>
            <w:rStyle w:val="Hyperlink"/>
            <w:rFonts w:cs="Arial"/>
          </w:rPr>
          <w:t>Therapeutic Goods (Permissible Ingredients) Determination</w:t>
        </w:r>
      </w:hyperlink>
      <w:r w:rsidR="002469EC" w:rsidRPr="00C52FF7">
        <w:rPr>
          <w:rStyle w:val="FootnoteReference"/>
          <w:rFonts w:cs="Arial"/>
        </w:rPr>
        <w:footnoteReference w:id="57"/>
      </w:r>
      <w:r w:rsidR="002469EC" w:rsidRPr="00C52FF7">
        <w:rPr>
          <w:rFonts w:cs="Arial"/>
        </w:rPr>
        <w:t xml:space="preserve"> No.</w:t>
      </w:r>
      <w:r w:rsidRPr="00C52FF7">
        <w:rPr>
          <w:rFonts w:cs="Arial"/>
        </w:rPr>
        <w:t>1</w:t>
      </w:r>
      <w:r w:rsidR="002469EC" w:rsidRPr="00C52FF7">
        <w:rPr>
          <w:rFonts w:cs="Arial"/>
        </w:rPr>
        <w:t xml:space="preserve"> of 20</w:t>
      </w:r>
      <w:r w:rsidRPr="00C52FF7">
        <w:rPr>
          <w:rFonts w:cs="Arial"/>
        </w:rPr>
        <w:t>23</w:t>
      </w:r>
      <w:r w:rsidR="002469EC" w:rsidRPr="00C52FF7">
        <w:rPr>
          <w:rFonts w:cs="Arial"/>
        </w:rPr>
        <w:t xml:space="preserve">. </w:t>
      </w:r>
    </w:p>
    <w:p w14:paraId="563FED45" w14:textId="0263137B" w:rsidR="002469EC" w:rsidRPr="00C52FF7" w:rsidRDefault="002469EC" w:rsidP="002469EC">
      <w:pPr>
        <w:pStyle w:val="ListBullet"/>
        <w:keepNext/>
        <w:keepLines/>
        <w:rPr>
          <w:rFonts w:cs="Arial"/>
        </w:rPr>
      </w:pPr>
      <w:r w:rsidRPr="00C52FF7">
        <w:rPr>
          <w:rFonts w:cs="Arial"/>
        </w:rPr>
        <w:t xml:space="preserve">According to the </w:t>
      </w:r>
      <w:hyperlink r:id="rId77" w:history="1">
        <w:r w:rsidRPr="00C52FF7">
          <w:rPr>
            <w:rStyle w:val="Hyperlink"/>
            <w:rFonts w:cs="Arial"/>
          </w:rPr>
          <w:t>Therapeutic Goods (Permissible Ingredients) Determination</w:t>
        </w:r>
      </w:hyperlink>
      <w:r w:rsidRPr="00C52FF7">
        <w:rPr>
          <w:rStyle w:val="FootnoteReference"/>
          <w:rFonts w:cs="Arial"/>
        </w:rPr>
        <w:footnoteReference w:id="58"/>
      </w:r>
      <w:r w:rsidRPr="00C52FF7">
        <w:rPr>
          <w:rFonts w:cs="Arial"/>
        </w:rPr>
        <w:t xml:space="preserve"> No.</w:t>
      </w:r>
      <w:r w:rsidR="001C3E22" w:rsidRPr="00C52FF7">
        <w:rPr>
          <w:rFonts w:cs="Arial"/>
        </w:rPr>
        <w:t>1</w:t>
      </w:r>
      <w:r w:rsidRPr="00C52FF7">
        <w:rPr>
          <w:rFonts w:cs="Arial"/>
        </w:rPr>
        <w:t xml:space="preserve"> of 20</w:t>
      </w:r>
      <w:r w:rsidR="001C3E22" w:rsidRPr="00C52FF7">
        <w:rPr>
          <w:rFonts w:cs="Arial"/>
        </w:rPr>
        <w:t>23</w:t>
      </w:r>
      <w:r w:rsidRPr="00C52FF7">
        <w:rPr>
          <w:rFonts w:cs="Arial"/>
        </w:rPr>
        <w:t xml:space="preserve">, </w:t>
      </w:r>
      <w:r w:rsidR="00931FC3" w:rsidRPr="00C52FF7">
        <w:rPr>
          <w:rFonts w:cs="Arial"/>
        </w:rPr>
        <w:t>hydrocyanic acid (as hydrogen cyanide)</w:t>
      </w:r>
      <w:r w:rsidRPr="00C52FF7">
        <w:rPr>
          <w:rFonts w:cs="Arial"/>
        </w:rPr>
        <w:t xml:space="preserve"> is permitted to be included in listed medicines as follows:</w:t>
      </w:r>
    </w:p>
    <w:tbl>
      <w:tblPr>
        <w:tblStyle w:val="TableTGAblue"/>
        <w:tblW w:w="0" w:type="auto"/>
        <w:tblInd w:w="360" w:type="dxa"/>
        <w:tblLook w:val="04A0" w:firstRow="1" w:lastRow="0" w:firstColumn="1" w:lastColumn="0" w:noHBand="0" w:noVBand="1"/>
      </w:tblPr>
      <w:tblGrid>
        <w:gridCol w:w="750"/>
        <w:gridCol w:w="2646"/>
        <w:gridCol w:w="1087"/>
        <w:gridCol w:w="4207"/>
      </w:tblGrid>
      <w:tr w:rsidR="002469EC" w:rsidRPr="00C52FF7" w14:paraId="4E7E7BE1" w14:textId="77777777" w:rsidTr="00463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14:paraId="6D7E5032" w14:textId="77777777" w:rsidR="002469EC" w:rsidRPr="00C52FF7" w:rsidRDefault="002469EC" w:rsidP="001C3E22">
            <w:pPr>
              <w:pStyle w:val="ListBullet"/>
              <w:keepLines/>
              <w:numPr>
                <w:ilvl w:val="0"/>
                <w:numId w:val="0"/>
              </w:numPr>
              <w:spacing w:before="60" w:after="60"/>
              <w:rPr>
                <w:rFonts w:cs="Arial"/>
                <w:color w:val="FFFFFF" w:themeColor="background1"/>
                <w:sz w:val="20"/>
                <w:szCs w:val="20"/>
              </w:rPr>
            </w:pPr>
            <w:r w:rsidRPr="00C52FF7">
              <w:rPr>
                <w:rFonts w:cs="Arial"/>
                <w:color w:val="FFFFFF" w:themeColor="background1"/>
                <w:sz w:val="20"/>
                <w:szCs w:val="20"/>
              </w:rPr>
              <w:t>Item</w:t>
            </w:r>
          </w:p>
        </w:tc>
        <w:tc>
          <w:tcPr>
            <w:tcW w:w="2892" w:type="dxa"/>
          </w:tcPr>
          <w:p w14:paraId="21D79018" w14:textId="77777777" w:rsidR="002469EC" w:rsidRPr="00C52FF7" w:rsidRDefault="002469EC" w:rsidP="001C3E22">
            <w:pPr>
              <w:pStyle w:val="ListBullet"/>
              <w:keepLines/>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C52FF7">
              <w:rPr>
                <w:rFonts w:cs="Arial"/>
                <w:color w:val="FFFFFF" w:themeColor="background1"/>
                <w:sz w:val="20"/>
                <w:szCs w:val="20"/>
              </w:rPr>
              <w:t>Ingredient name</w:t>
            </w:r>
          </w:p>
        </w:tc>
        <w:tc>
          <w:tcPr>
            <w:tcW w:w="1100" w:type="dxa"/>
          </w:tcPr>
          <w:p w14:paraId="65BF9AFE" w14:textId="77777777" w:rsidR="002469EC" w:rsidRPr="00C52FF7" w:rsidRDefault="002469EC" w:rsidP="001C3E22">
            <w:pPr>
              <w:pStyle w:val="ListBullet"/>
              <w:keepLines/>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C52FF7">
              <w:rPr>
                <w:rFonts w:cs="Arial"/>
                <w:color w:val="FFFFFF" w:themeColor="background1"/>
                <w:sz w:val="20"/>
                <w:szCs w:val="20"/>
              </w:rPr>
              <w:t>Purpose</w:t>
            </w:r>
          </w:p>
        </w:tc>
        <w:tc>
          <w:tcPr>
            <w:tcW w:w="4734" w:type="dxa"/>
          </w:tcPr>
          <w:p w14:paraId="02A9FDE9" w14:textId="77777777" w:rsidR="002469EC" w:rsidRPr="00C52FF7" w:rsidRDefault="002469EC" w:rsidP="001C3E22">
            <w:pPr>
              <w:pStyle w:val="ListBullet"/>
              <w:keepLines/>
              <w:numPr>
                <w:ilvl w:val="0"/>
                <w:numId w:val="0"/>
              </w:numPr>
              <w:spacing w:before="60" w:after="60"/>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r w:rsidRPr="00C52FF7">
              <w:rPr>
                <w:rFonts w:cs="Arial"/>
                <w:color w:val="FFFFFF" w:themeColor="background1"/>
                <w:sz w:val="20"/>
                <w:szCs w:val="20"/>
              </w:rPr>
              <w:t>Specific requirements</w:t>
            </w:r>
          </w:p>
        </w:tc>
      </w:tr>
      <w:tr w:rsidR="002469EC" w:rsidRPr="00C52FF7" w14:paraId="3264CAFD" w14:textId="77777777" w:rsidTr="0046377D">
        <w:tc>
          <w:tcPr>
            <w:cnfStyle w:val="001000000000" w:firstRow="0" w:lastRow="0" w:firstColumn="1" w:lastColumn="0" w:oddVBand="0" w:evenVBand="0" w:oddHBand="0" w:evenHBand="0" w:firstRowFirstColumn="0" w:firstRowLastColumn="0" w:lastRowFirstColumn="0" w:lastRowLastColumn="0"/>
            <w:tcW w:w="768" w:type="dxa"/>
          </w:tcPr>
          <w:p w14:paraId="65635555" w14:textId="446CEA72" w:rsidR="002469EC" w:rsidRPr="00C52FF7" w:rsidRDefault="00931FC3" w:rsidP="001C3E22">
            <w:pPr>
              <w:keepNext/>
              <w:keepLines/>
              <w:spacing w:before="60" w:after="60"/>
              <w:rPr>
                <w:rFonts w:cs="Arial"/>
                <w:sz w:val="20"/>
                <w:szCs w:val="20"/>
              </w:rPr>
            </w:pPr>
            <w:r w:rsidRPr="00C52FF7">
              <w:rPr>
                <w:rFonts w:cs="Arial"/>
                <w:sz w:val="20"/>
                <w:szCs w:val="20"/>
              </w:rPr>
              <w:t>2602</w:t>
            </w:r>
          </w:p>
        </w:tc>
        <w:tc>
          <w:tcPr>
            <w:tcW w:w="2892" w:type="dxa"/>
          </w:tcPr>
          <w:p w14:paraId="2ECD929E" w14:textId="7A1AFC09" w:rsidR="002469EC" w:rsidRPr="00C52FF7" w:rsidRDefault="00931FC3" w:rsidP="001C3E22">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HYDROGEN CYANIDE</w:t>
            </w:r>
          </w:p>
        </w:tc>
        <w:tc>
          <w:tcPr>
            <w:tcW w:w="1100" w:type="dxa"/>
          </w:tcPr>
          <w:p w14:paraId="1F7E9117" w14:textId="4E73CD4E" w:rsidR="002469EC" w:rsidRPr="00C52FF7" w:rsidRDefault="001C3E22" w:rsidP="001C3E22">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H</w:t>
            </w:r>
          </w:p>
        </w:tc>
        <w:tc>
          <w:tcPr>
            <w:tcW w:w="4734" w:type="dxa"/>
          </w:tcPr>
          <w:p w14:paraId="5590E317" w14:textId="32A179E4" w:rsidR="002469EC" w:rsidRPr="00C52FF7" w:rsidRDefault="001C3E22" w:rsidP="001C3E22">
            <w:pPr>
              <w:keepNext/>
              <w:keepLines/>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Only for use as an active homeopathic ingredient</w:t>
            </w:r>
          </w:p>
        </w:tc>
      </w:tr>
      <w:tr w:rsidR="002469EC" w:rsidRPr="00C52FF7" w14:paraId="33F6BDC3" w14:textId="77777777" w:rsidTr="0046377D">
        <w:tc>
          <w:tcPr>
            <w:cnfStyle w:val="001000000000" w:firstRow="0" w:lastRow="0" w:firstColumn="1" w:lastColumn="0" w:oddVBand="0" w:evenVBand="0" w:oddHBand="0" w:evenHBand="0" w:firstRowFirstColumn="0" w:firstRowLastColumn="0" w:lastRowFirstColumn="0" w:lastRowLastColumn="0"/>
            <w:tcW w:w="9494" w:type="dxa"/>
            <w:gridSpan w:val="4"/>
          </w:tcPr>
          <w:p w14:paraId="5FCC1962" w14:textId="346E611B" w:rsidR="002469EC" w:rsidRPr="00C52FF7" w:rsidRDefault="002469EC" w:rsidP="001C3E22">
            <w:pPr>
              <w:keepNext/>
              <w:keepLines/>
              <w:spacing w:before="60" w:after="60"/>
              <w:rPr>
                <w:rFonts w:cs="Arial"/>
                <w:sz w:val="20"/>
              </w:rPr>
            </w:pPr>
            <w:r w:rsidRPr="00C52FF7">
              <w:rPr>
                <w:rFonts w:cs="Arial"/>
                <w:sz w:val="16"/>
                <w:szCs w:val="16"/>
              </w:rPr>
              <w:t>H = homoeopathic preparation ingredient meaning an ingredient that is a constituent of a homoeopathic preparation</w:t>
            </w:r>
          </w:p>
        </w:tc>
      </w:tr>
    </w:tbl>
    <w:p w14:paraId="19286589" w14:textId="6BBD15EB" w:rsidR="002469EC" w:rsidRPr="00C52FF7" w:rsidRDefault="00A97596" w:rsidP="002469EC">
      <w:pPr>
        <w:pStyle w:val="ListBullet"/>
        <w:keepNext/>
        <w:keepLines/>
        <w:rPr>
          <w:rFonts w:cs="Arial"/>
        </w:rPr>
      </w:pPr>
      <w:r w:rsidRPr="00C52FF7">
        <w:rPr>
          <w:rFonts w:cs="Arial"/>
        </w:rPr>
        <w:t>Neither amygdalin nor hydrocyanic acid are included in the</w:t>
      </w:r>
      <w:r w:rsidR="002469EC" w:rsidRPr="00C52FF7">
        <w:rPr>
          <w:rFonts w:cs="Arial"/>
        </w:rPr>
        <w:t xml:space="preserve"> </w:t>
      </w:r>
      <w:hyperlink r:id="rId78" w:history="1">
        <w:r w:rsidR="002469EC" w:rsidRPr="00C52FF7">
          <w:rPr>
            <w:rStyle w:val="Hyperlink"/>
            <w:rFonts w:cs="Arial"/>
          </w:rPr>
          <w:t>TGA prescribing medicines in pregnancy database</w:t>
        </w:r>
      </w:hyperlink>
      <w:r w:rsidRPr="00C52FF7">
        <w:rPr>
          <w:rStyle w:val="Hyperlink"/>
          <w:rFonts w:cs="Arial"/>
          <w:color w:val="auto"/>
          <w:u w:val="none"/>
        </w:rPr>
        <w:t>.</w:t>
      </w:r>
      <w:r w:rsidR="002469EC" w:rsidRPr="00C52FF7">
        <w:rPr>
          <w:rStyle w:val="FootnoteReference"/>
          <w:rFonts w:cs="Arial"/>
        </w:rPr>
        <w:footnoteReference w:id="59"/>
      </w:r>
    </w:p>
    <w:p w14:paraId="463F6C6C" w14:textId="5B51A460" w:rsidR="002469EC" w:rsidRPr="00C52FF7" w:rsidRDefault="002469EC" w:rsidP="002469EC">
      <w:pPr>
        <w:pStyle w:val="ListBullet"/>
        <w:rPr>
          <w:rFonts w:cs="Arial"/>
        </w:rPr>
      </w:pPr>
      <w:r w:rsidRPr="00C52FF7">
        <w:rPr>
          <w:rFonts w:cs="Arial"/>
        </w:rPr>
        <w:t xml:space="preserve">There are no warning statements pertaining to </w:t>
      </w:r>
      <w:r w:rsidR="00A97596" w:rsidRPr="00C52FF7">
        <w:rPr>
          <w:rFonts w:cs="Arial"/>
        </w:rPr>
        <w:t>amygdalin or hydrocyanic acid</w:t>
      </w:r>
      <w:r w:rsidRPr="00C52FF7">
        <w:rPr>
          <w:rFonts w:cs="Arial"/>
        </w:rPr>
        <w:t xml:space="preserve"> in the </w:t>
      </w:r>
      <w:hyperlink r:id="rId79" w:history="1">
        <w:r w:rsidRPr="00C52FF7">
          <w:rPr>
            <w:rStyle w:val="Hyperlink"/>
            <w:rFonts w:cs="Arial"/>
          </w:rPr>
          <w:t>Therapeutic Goods (Medicines Advisory Statements) Specification 2021</w:t>
        </w:r>
      </w:hyperlink>
      <w:r w:rsidR="00A97596" w:rsidRPr="00C52FF7">
        <w:rPr>
          <w:rStyle w:val="Hyperlink"/>
          <w:rFonts w:cs="Arial"/>
          <w:color w:val="auto"/>
          <w:u w:val="none"/>
        </w:rPr>
        <w:t>.</w:t>
      </w:r>
      <w:r w:rsidRPr="00C52FF7">
        <w:rPr>
          <w:rStyle w:val="FootnoteReference"/>
          <w:rFonts w:cs="Arial"/>
        </w:rPr>
        <w:footnoteReference w:id="60"/>
      </w:r>
    </w:p>
    <w:p w14:paraId="511D7DF2" w14:textId="2C73980A" w:rsidR="00A97596" w:rsidRPr="00C52FF7" w:rsidRDefault="002469EC" w:rsidP="00A97596">
      <w:pPr>
        <w:pStyle w:val="ListBullet"/>
        <w:rPr>
          <w:rFonts w:cs="Arial"/>
          <w:i/>
          <w:color w:val="8496B0" w:themeColor="text2" w:themeTint="99"/>
        </w:rPr>
      </w:pPr>
      <w:r w:rsidRPr="00C52FF7">
        <w:rPr>
          <w:rFonts w:cs="Arial"/>
        </w:rPr>
        <w:t>As of M</w:t>
      </w:r>
      <w:r w:rsidR="00A97596" w:rsidRPr="00C52FF7">
        <w:rPr>
          <w:rFonts w:cs="Arial"/>
        </w:rPr>
        <w:t>arc</w:t>
      </w:r>
      <w:r w:rsidRPr="00C52FF7">
        <w:rPr>
          <w:rFonts w:cs="Arial"/>
        </w:rPr>
        <w:t>h 20</w:t>
      </w:r>
      <w:r w:rsidR="00A97596" w:rsidRPr="00C52FF7">
        <w:rPr>
          <w:rFonts w:cs="Arial"/>
        </w:rPr>
        <w:t>23</w:t>
      </w:r>
      <w:r w:rsidRPr="00C52FF7">
        <w:rPr>
          <w:rFonts w:cs="Arial"/>
        </w:rPr>
        <w:t xml:space="preserve">, there were </w:t>
      </w:r>
      <w:r w:rsidR="00A97596" w:rsidRPr="00C52FF7">
        <w:rPr>
          <w:rFonts w:cs="Arial"/>
        </w:rPr>
        <w:t>no</w:t>
      </w:r>
      <w:r w:rsidRPr="00C52FF7">
        <w:rPr>
          <w:rFonts w:cs="Arial"/>
        </w:rPr>
        <w:t xml:space="preserve"> reports of adverse events for products containing </w:t>
      </w:r>
      <w:r w:rsidR="00A97596" w:rsidRPr="00C52FF7">
        <w:rPr>
          <w:rFonts w:cs="Arial"/>
        </w:rPr>
        <w:t xml:space="preserve">amygdalin or hydrocyanic acid </w:t>
      </w:r>
      <w:r w:rsidRPr="00C52FF7">
        <w:rPr>
          <w:rFonts w:cs="Arial"/>
        </w:rPr>
        <w:t xml:space="preserve">as an active ingredient on the </w:t>
      </w:r>
      <w:hyperlink r:id="rId80" w:history="1">
        <w:r w:rsidRPr="00C52FF7">
          <w:rPr>
            <w:rStyle w:val="Hyperlink"/>
            <w:rFonts w:cs="Arial"/>
          </w:rPr>
          <w:t>Database of Adverse Event Notifications (DAEN)</w:t>
        </w:r>
      </w:hyperlink>
      <w:r w:rsidR="00A97596" w:rsidRPr="00C52FF7">
        <w:rPr>
          <w:rFonts w:cs="Arial"/>
        </w:rPr>
        <w:t>.</w:t>
      </w:r>
      <w:r w:rsidRPr="00C52FF7">
        <w:rPr>
          <w:rStyle w:val="FootnoteReference"/>
          <w:rFonts w:cs="Arial"/>
        </w:rPr>
        <w:footnoteReference w:id="61"/>
      </w:r>
      <w:r w:rsidRPr="00C52FF7">
        <w:rPr>
          <w:rFonts w:cs="Arial"/>
        </w:rPr>
        <w:t xml:space="preserve"> </w:t>
      </w:r>
    </w:p>
    <w:p w14:paraId="51A88EDA" w14:textId="4FF31FAE" w:rsidR="002469EC" w:rsidRPr="00C52FF7" w:rsidRDefault="002469EC" w:rsidP="002469EC">
      <w:pPr>
        <w:pStyle w:val="ListBullet"/>
        <w:rPr>
          <w:rFonts w:cs="Arial"/>
        </w:rPr>
      </w:pPr>
      <w:r w:rsidRPr="00C52FF7">
        <w:rPr>
          <w:rFonts w:cs="Arial"/>
        </w:rPr>
        <w:t>As of M</w:t>
      </w:r>
      <w:r w:rsidR="00A97596" w:rsidRPr="00C52FF7">
        <w:rPr>
          <w:rFonts w:cs="Arial"/>
        </w:rPr>
        <w:t>arc</w:t>
      </w:r>
      <w:r w:rsidRPr="00C52FF7">
        <w:rPr>
          <w:rFonts w:cs="Arial"/>
        </w:rPr>
        <w:t>h 20</w:t>
      </w:r>
      <w:r w:rsidR="00A97596" w:rsidRPr="00C52FF7">
        <w:rPr>
          <w:rFonts w:cs="Arial"/>
        </w:rPr>
        <w:t>23</w:t>
      </w:r>
      <w:r w:rsidRPr="00C52FF7">
        <w:rPr>
          <w:rFonts w:cs="Arial"/>
        </w:rPr>
        <w:t xml:space="preserve">, there were </w:t>
      </w:r>
      <w:r w:rsidR="00A97596" w:rsidRPr="00C52FF7">
        <w:rPr>
          <w:rFonts w:cs="Arial"/>
        </w:rPr>
        <w:t>2</w:t>
      </w:r>
      <w:r w:rsidRPr="00C52FF7">
        <w:rPr>
          <w:rFonts w:cs="Arial"/>
        </w:rPr>
        <w:t xml:space="preserve"> products containing </w:t>
      </w:r>
      <w:r w:rsidR="00930423" w:rsidRPr="00C52FF7">
        <w:rPr>
          <w:rFonts w:cs="Arial"/>
        </w:rPr>
        <w:t>hydrocyanic acid (as hydrogen cyanide)</w:t>
      </w:r>
      <w:r w:rsidRPr="00C52FF7">
        <w:rPr>
          <w:rFonts w:cs="Arial"/>
        </w:rPr>
        <w:t xml:space="preserve"> as an active ingredient/constituent or scheduled substance listed on the </w:t>
      </w:r>
      <w:hyperlink r:id="rId81" w:history="1">
        <w:r w:rsidRPr="00C52FF7">
          <w:rPr>
            <w:rStyle w:val="Hyperlink"/>
            <w:rFonts w:cs="Arial"/>
          </w:rPr>
          <w:t>Public Chemical Registration Information System Search (</w:t>
        </w:r>
        <w:proofErr w:type="spellStart"/>
        <w:r w:rsidRPr="00C52FF7">
          <w:rPr>
            <w:rStyle w:val="Hyperlink"/>
            <w:rFonts w:cs="Arial"/>
          </w:rPr>
          <w:t>PubCRIS</w:t>
        </w:r>
        <w:proofErr w:type="spellEnd"/>
        <w:r w:rsidRPr="00C52FF7">
          <w:rPr>
            <w:rStyle w:val="Hyperlink"/>
            <w:rFonts w:cs="Arial"/>
          </w:rPr>
          <w:t>)</w:t>
        </w:r>
      </w:hyperlink>
      <w:r w:rsidRPr="00C52FF7">
        <w:rPr>
          <w:rFonts w:cs="Arial"/>
        </w:rPr>
        <w:t>.</w:t>
      </w:r>
      <w:r w:rsidRPr="00C52FF7">
        <w:rPr>
          <w:rStyle w:val="FootnoteReference"/>
          <w:rFonts w:cs="Arial"/>
        </w:rPr>
        <w:footnoteReference w:id="62"/>
      </w:r>
      <w:r w:rsidRPr="00C52FF7">
        <w:rPr>
          <w:rFonts w:cs="Arial"/>
        </w:rPr>
        <w:t xml:space="preserve"> </w:t>
      </w:r>
      <w:r w:rsidR="00930423" w:rsidRPr="00C52FF7">
        <w:rPr>
          <w:rFonts w:cs="Arial"/>
        </w:rPr>
        <w:t>Both products are mixed function pesticides.</w:t>
      </w:r>
    </w:p>
    <w:p w14:paraId="37D75902" w14:textId="6453ED89" w:rsidR="002469EC" w:rsidRPr="00C52FF7" w:rsidRDefault="002469EC" w:rsidP="002469EC">
      <w:pPr>
        <w:pStyle w:val="ListBullet"/>
        <w:rPr>
          <w:rFonts w:cs="Arial"/>
        </w:rPr>
      </w:pPr>
      <w:r w:rsidRPr="00C52FF7">
        <w:rPr>
          <w:rFonts w:cs="Arial"/>
        </w:rPr>
        <w:lastRenderedPageBreak/>
        <w:t>In 2009-2019 the</w:t>
      </w:r>
      <w:r w:rsidR="00930423" w:rsidRPr="00C52FF7">
        <w:rPr>
          <w:rFonts w:cs="Arial"/>
        </w:rPr>
        <w:t>re were no</w:t>
      </w:r>
      <w:r w:rsidRPr="00C52FF7">
        <w:rPr>
          <w:rFonts w:cs="Arial"/>
        </w:rPr>
        <w:t xml:space="preserve"> adverse experiences recorded for </w:t>
      </w:r>
      <w:r w:rsidR="00930423" w:rsidRPr="00C52FF7">
        <w:rPr>
          <w:rFonts w:cs="Arial"/>
        </w:rPr>
        <w:t xml:space="preserve">hydrocyanic acid </w:t>
      </w:r>
      <w:r w:rsidRPr="00C52FF7">
        <w:rPr>
          <w:rFonts w:cs="Arial"/>
        </w:rPr>
        <w:t xml:space="preserve">in the </w:t>
      </w:r>
      <w:hyperlink r:id="rId82" w:history="1">
        <w:r w:rsidRPr="00C52FF7">
          <w:rPr>
            <w:rStyle w:val="Hyperlink"/>
            <w:rFonts w:cs="Arial"/>
          </w:rPr>
          <w:t>APVMA Adverse Experience Reporting Program</w:t>
        </w:r>
      </w:hyperlink>
      <w:r w:rsidRPr="00C52FF7">
        <w:rPr>
          <w:rStyle w:val="Hyperlink"/>
          <w:rFonts w:cs="Arial"/>
        </w:rPr>
        <w:t xml:space="preserve"> database (AERP)</w:t>
      </w:r>
      <w:r w:rsidR="00930423" w:rsidRPr="00C52FF7">
        <w:rPr>
          <w:rStyle w:val="Hyperlink"/>
          <w:rFonts w:cs="Arial"/>
          <w:color w:val="auto"/>
          <w:u w:val="none"/>
        </w:rPr>
        <w:t>.</w:t>
      </w:r>
      <w:r w:rsidRPr="00C52FF7">
        <w:rPr>
          <w:rStyle w:val="FootnoteReference"/>
          <w:rFonts w:cs="Arial"/>
        </w:rPr>
        <w:footnoteReference w:id="63"/>
      </w:r>
    </w:p>
    <w:p w14:paraId="1E853948" w14:textId="77777777" w:rsidR="002469EC" w:rsidRPr="00CB687C" w:rsidRDefault="002469EC" w:rsidP="002469EC">
      <w:pPr>
        <w:pStyle w:val="Heading4"/>
      </w:pPr>
      <w:bookmarkStart w:id="85" w:name="_Toc131604403"/>
      <w:r>
        <w:t>International regulations</w:t>
      </w:r>
      <w:bookmarkEnd w:id="85"/>
    </w:p>
    <w:p w14:paraId="72FBFCFA" w14:textId="1406E85A" w:rsidR="002469EC" w:rsidRPr="00C52FF7" w:rsidRDefault="00A72A16" w:rsidP="002469EC">
      <w:pPr>
        <w:pStyle w:val="ListBullet"/>
        <w:rPr>
          <w:rFonts w:cs="Arial"/>
        </w:rPr>
      </w:pPr>
      <w:hyperlink r:id="rId83" w:history="1">
        <w:r w:rsidR="00074FF6" w:rsidRPr="00C52FF7">
          <w:rPr>
            <w:rStyle w:val="Hyperlink"/>
            <w:rFonts w:cs="Arial"/>
          </w:rPr>
          <w:t xml:space="preserve">New Zealand </w:t>
        </w:r>
        <w:proofErr w:type="spellStart"/>
        <w:r w:rsidR="00074FF6" w:rsidRPr="00C52FF7">
          <w:rPr>
            <w:rStyle w:val="Hyperlink"/>
            <w:rFonts w:cs="Arial"/>
          </w:rPr>
          <w:t>Medsafe’s</w:t>
        </w:r>
        <w:proofErr w:type="spellEnd"/>
        <w:r w:rsidR="00074FF6" w:rsidRPr="00C52FF7">
          <w:rPr>
            <w:rStyle w:val="Hyperlink"/>
            <w:rFonts w:cs="Arial"/>
          </w:rPr>
          <w:t xml:space="preserve"> Medicines Classification Database</w:t>
        </w:r>
      </w:hyperlink>
      <w:r w:rsidR="00BC4F7F" w:rsidRPr="00C52FF7">
        <w:rPr>
          <w:rStyle w:val="FootnoteReference"/>
          <w:rFonts w:cs="Arial"/>
          <w:color w:val="auto"/>
        </w:rPr>
        <w:footnoteReference w:id="64"/>
      </w:r>
      <w:r w:rsidR="00074FF6" w:rsidRPr="00C52FF7">
        <w:rPr>
          <w:rFonts w:cs="Arial"/>
        </w:rPr>
        <w:t xml:space="preserve"> lists amygdalin as a prescription medicine at all strengths. Hydrocyanic acid is included in the same database as follows:</w:t>
      </w:r>
    </w:p>
    <w:tbl>
      <w:tblPr>
        <w:tblStyle w:val="TableTGAblue"/>
        <w:tblW w:w="0" w:type="auto"/>
        <w:tblInd w:w="357" w:type="dxa"/>
        <w:tblLook w:val="04A0" w:firstRow="1" w:lastRow="0" w:firstColumn="1" w:lastColumn="0" w:noHBand="0" w:noVBand="1"/>
      </w:tblPr>
      <w:tblGrid>
        <w:gridCol w:w="1619"/>
        <w:gridCol w:w="5380"/>
        <w:gridCol w:w="1694"/>
      </w:tblGrid>
      <w:tr w:rsidR="00074FF6" w:rsidRPr="00C52FF7" w14:paraId="67414AA8" w14:textId="77777777" w:rsidTr="004635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EEE5D49" w14:textId="4637CC58" w:rsidR="00074FF6" w:rsidRPr="00C52FF7" w:rsidRDefault="00074FF6" w:rsidP="00074FF6">
            <w:pPr>
              <w:pStyle w:val="ListBullet"/>
              <w:numPr>
                <w:ilvl w:val="0"/>
                <w:numId w:val="0"/>
              </w:numPr>
              <w:rPr>
                <w:rFonts w:cs="Arial"/>
                <w:color w:val="FFFFFF" w:themeColor="background1"/>
              </w:rPr>
            </w:pPr>
            <w:r w:rsidRPr="00C52FF7">
              <w:rPr>
                <w:rFonts w:cs="Arial"/>
                <w:color w:val="FFFFFF" w:themeColor="background1"/>
              </w:rPr>
              <w:t>Ingredient</w:t>
            </w:r>
          </w:p>
        </w:tc>
        <w:tc>
          <w:tcPr>
            <w:tcW w:w="5386" w:type="dxa"/>
          </w:tcPr>
          <w:p w14:paraId="197DC2DE" w14:textId="6EC5F2AD" w:rsidR="00074FF6" w:rsidRPr="00C52FF7" w:rsidRDefault="00074FF6" w:rsidP="00074FF6">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C52FF7">
              <w:rPr>
                <w:rFonts w:cs="Arial"/>
                <w:color w:val="FFFFFF" w:themeColor="background1"/>
              </w:rPr>
              <w:t>Conditions (if any)</w:t>
            </w:r>
          </w:p>
        </w:tc>
        <w:tc>
          <w:tcPr>
            <w:tcW w:w="1694" w:type="dxa"/>
          </w:tcPr>
          <w:p w14:paraId="08A9702E" w14:textId="39337271" w:rsidR="00074FF6" w:rsidRPr="00C52FF7" w:rsidRDefault="00074FF6" w:rsidP="00074FF6">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C52FF7">
              <w:rPr>
                <w:rFonts w:cs="Arial"/>
                <w:color w:val="FFFFFF" w:themeColor="background1"/>
              </w:rPr>
              <w:t>Classification</w:t>
            </w:r>
          </w:p>
        </w:tc>
      </w:tr>
      <w:tr w:rsidR="00074FF6" w:rsidRPr="00C52FF7" w14:paraId="29675110" w14:textId="77777777" w:rsidTr="00463579">
        <w:tc>
          <w:tcPr>
            <w:cnfStyle w:val="001000000000" w:firstRow="0" w:lastRow="0" w:firstColumn="1" w:lastColumn="0" w:oddVBand="0" w:evenVBand="0" w:oddHBand="0" w:evenHBand="0" w:firstRowFirstColumn="0" w:firstRowLastColumn="0" w:lastRowFirstColumn="0" w:lastRowLastColumn="0"/>
            <w:tcW w:w="1620" w:type="dxa"/>
          </w:tcPr>
          <w:p w14:paraId="4EDA06D7" w14:textId="3F5D3358" w:rsidR="00074FF6" w:rsidRPr="00C52FF7" w:rsidRDefault="00074FF6" w:rsidP="0036441B">
            <w:pPr>
              <w:pStyle w:val="ListBullet"/>
              <w:numPr>
                <w:ilvl w:val="0"/>
                <w:numId w:val="0"/>
              </w:numPr>
              <w:spacing w:before="60" w:after="60"/>
              <w:rPr>
                <w:rFonts w:cs="Arial"/>
                <w:sz w:val="20"/>
                <w:szCs w:val="20"/>
              </w:rPr>
            </w:pPr>
            <w:r w:rsidRPr="00C52FF7">
              <w:rPr>
                <w:rFonts w:cs="Arial"/>
                <w:sz w:val="20"/>
                <w:szCs w:val="20"/>
              </w:rPr>
              <w:t>Hydrocyanic acid</w:t>
            </w:r>
          </w:p>
        </w:tc>
        <w:tc>
          <w:tcPr>
            <w:tcW w:w="5386" w:type="dxa"/>
          </w:tcPr>
          <w:p w14:paraId="0B13E87F" w14:textId="1A69CAC9" w:rsidR="00074FF6" w:rsidRPr="00C52FF7" w:rsidRDefault="00A9708F" w:rsidP="0036441B">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bCs/>
                <w:sz w:val="20"/>
                <w:szCs w:val="20"/>
              </w:rPr>
              <w:t>e</w:t>
            </w:r>
            <w:r w:rsidR="00074FF6" w:rsidRPr="00C52FF7">
              <w:rPr>
                <w:rFonts w:cs="Arial"/>
                <w:b/>
                <w:bCs/>
                <w:sz w:val="20"/>
                <w:szCs w:val="20"/>
              </w:rPr>
              <w:t>xcept</w:t>
            </w:r>
            <w:r w:rsidR="00074FF6" w:rsidRPr="00C52FF7">
              <w:rPr>
                <w:rFonts w:cs="Arial"/>
                <w:sz w:val="20"/>
                <w:szCs w:val="20"/>
              </w:rPr>
              <w:t xml:space="preserve"> when specified elsewhere in this schedule;</w:t>
            </w:r>
          </w:p>
          <w:p w14:paraId="1D4550F5" w14:textId="11EA13C3" w:rsidR="00074FF6" w:rsidRPr="00C52FF7" w:rsidRDefault="00A9708F" w:rsidP="0036441B">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bCs/>
                <w:sz w:val="20"/>
                <w:szCs w:val="20"/>
              </w:rPr>
              <w:t>e</w:t>
            </w:r>
            <w:r w:rsidR="00074FF6" w:rsidRPr="00C52FF7">
              <w:rPr>
                <w:rFonts w:cs="Arial"/>
                <w:b/>
                <w:bCs/>
                <w:sz w:val="20"/>
                <w:szCs w:val="20"/>
              </w:rPr>
              <w:t>xcept</w:t>
            </w:r>
            <w:r w:rsidR="00074FF6" w:rsidRPr="00C52FF7">
              <w:rPr>
                <w:rFonts w:cs="Arial"/>
                <w:sz w:val="20"/>
                <w:szCs w:val="20"/>
              </w:rPr>
              <w:t xml:space="preserve"> in medicines containing 1 microgram or less per litre or per kilogram</w:t>
            </w:r>
          </w:p>
        </w:tc>
        <w:tc>
          <w:tcPr>
            <w:tcW w:w="1694" w:type="dxa"/>
          </w:tcPr>
          <w:p w14:paraId="073F7B3C" w14:textId="1BC95AE5" w:rsidR="00074FF6" w:rsidRPr="00C52FF7" w:rsidRDefault="00074FF6" w:rsidP="00463579">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Prescription</w:t>
            </w:r>
          </w:p>
        </w:tc>
      </w:tr>
      <w:tr w:rsidR="00074FF6" w:rsidRPr="00C52FF7" w14:paraId="7FB109AE" w14:textId="77777777" w:rsidTr="00463579">
        <w:tc>
          <w:tcPr>
            <w:cnfStyle w:val="001000000000" w:firstRow="0" w:lastRow="0" w:firstColumn="1" w:lastColumn="0" w:oddVBand="0" w:evenVBand="0" w:oddHBand="0" w:evenHBand="0" w:firstRowFirstColumn="0" w:firstRowLastColumn="0" w:lastRowFirstColumn="0" w:lastRowLastColumn="0"/>
            <w:tcW w:w="1620" w:type="dxa"/>
          </w:tcPr>
          <w:p w14:paraId="7B9DA95A" w14:textId="6AC5BE26" w:rsidR="00074FF6" w:rsidRPr="00C52FF7" w:rsidRDefault="00074FF6" w:rsidP="0036441B">
            <w:pPr>
              <w:pStyle w:val="ListBullet"/>
              <w:numPr>
                <w:ilvl w:val="0"/>
                <w:numId w:val="0"/>
              </w:numPr>
              <w:spacing w:before="60" w:after="60"/>
              <w:rPr>
                <w:rFonts w:cs="Arial"/>
                <w:sz w:val="20"/>
                <w:szCs w:val="20"/>
              </w:rPr>
            </w:pPr>
            <w:r w:rsidRPr="00C52FF7">
              <w:rPr>
                <w:rFonts w:cs="Arial"/>
                <w:sz w:val="20"/>
                <w:szCs w:val="20"/>
              </w:rPr>
              <w:t>Hydrocyanic acid</w:t>
            </w:r>
          </w:p>
        </w:tc>
        <w:tc>
          <w:tcPr>
            <w:tcW w:w="5386" w:type="dxa"/>
          </w:tcPr>
          <w:p w14:paraId="2A3848A6" w14:textId="639D4BEB" w:rsidR="00074FF6" w:rsidRPr="00C52FF7" w:rsidRDefault="00A9708F" w:rsidP="0036441B">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f</w:t>
            </w:r>
            <w:r w:rsidR="00074FF6" w:rsidRPr="00C52FF7">
              <w:rPr>
                <w:rFonts w:cs="Arial"/>
                <w:sz w:val="20"/>
                <w:szCs w:val="20"/>
              </w:rPr>
              <w:t>or oral use in packs containing 5 milligrams or less and more than 0.5 milligrams;</w:t>
            </w:r>
          </w:p>
          <w:p w14:paraId="6A76DA07" w14:textId="755F250E" w:rsidR="00074FF6" w:rsidRPr="00C52FF7" w:rsidRDefault="00A9708F" w:rsidP="0036441B">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b/>
                <w:bCs/>
                <w:sz w:val="20"/>
                <w:szCs w:val="20"/>
              </w:rPr>
              <w:t>e</w:t>
            </w:r>
            <w:r w:rsidR="00074FF6" w:rsidRPr="00C52FF7">
              <w:rPr>
                <w:rFonts w:cs="Arial"/>
                <w:b/>
                <w:bCs/>
                <w:sz w:val="20"/>
                <w:szCs w:val="20"/>
              </w:rPr>
              <w:t>xcept</w:t>
            </w:r>
            <w:r w:rsidR="00074FF6" w:rsidRPr="00C52FF7">
              <w:rPr>
                <w:rFonts w:cs="Arial"/>
                <w:sz w:val="20"/>
                <w:szCs w:val="20"/>
              </w:rPr>
              <w:t xml:space="preserve"> in medicines containing 1 microgram or less per litre or per kilogram</w:t>
            </w:r>
          </w:p>
        </w:tc>
        <w:tc>
          <w:tcPr>
            <w:tcW w:w="1694" w:type="dxa"/>
          </w:tcPr>
          <w:p w14:paraId="6C9733F4" w14:textId="28B78FEE" w:rsidR="00074FF6" w:rsidRPr="00C52FF7" w:rsidRDefault="00074FF6" w:rsidP="00463579">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C52FF7">
              <w:rPr>
                <w:rFonts w:cs="Arial"/>
                <w:sz w:val="20"/>
                <w:szCs w:val="20"/>
              </w:rPr>
              <w:t>Pharmacy Only</w:t>
            </w:r>
          </w:p>
        </w:tc>
      </w:tr>
      <w:tr w:rsidR="00074FF6" w:rsidRPr="00A9708F" w14:paraId="57A0B7BF" w14:textId="77777777" w:rsidTr="00463579">
        <w:tc>
          <w:tcPr>
            <w:cnfStyle w:val="001000000000" w:firstRow="0" w:lastRow="0" w:firstColumn="1" w:lastColumn="0" w:oddVBand="0" w:evenVBand="0" w:oddHBand="0" w:evenHBand="0" w:firstRowFirstColumn="0" w:firstRowLastColumn="0" w:lastRowFirstColumn="0" w:lastRowLastColumn="0"/>
            <w:tcW w:w="1620" w:type="dxa"/>
          </w:tcPr>
          <w:p w14:paraId="45CD43BC" w14:textId="3F1C9E3B" w:rsidR="00074FF6" w:rsidRPr="00A9708F" w:rsidRDefault="00074FF6" w:rsidP="0036441B">
            <w:pPr>
              <w:pStyle w:val="ListBullet"/>
              <w:numPr>
                <w:ilvl w:val="0"/>
                <w:numId w:val="0"/>
              </w:numPr>
              <w:spacing w:before="60" w:after="60"/>
              <w:rPr>
                <w:sz w:val="20"/>
                <w:szCs w:val="20"/>
              </w:rPr>
            </w:pPr>
            <w:r w:rsidRPr="00A9708F">
              <w:rPr>
                <w:sz w:val="20"/>
                <w:szCs w:val="20"/>
              </w:rPr>
              <w:t>Hydrocyanic acid</w:t>
            </w:r>
          </w:p>
        </w:tc>
        <w:tc>
          <w:tcPr>
            <w:tcW w:w="5386" w:type="dxa"/>
          </w:tcPr>
          <w:p w14:paraId="197928AF" w14:textId="47C735E7" w:rsidR="00074FF6" w:rsidRPr="00A9708F" w:rsidRDefault="00A9708F" w:rsidP="0036441B">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A9708F">
              <w:rPr>
                <w:sz w:val="20"/>
                <w:szCs w:val="20"/>
              </w:rPr>
              <w:t>f</w:t>
            </w:r>
            <w:r w:rsidR="00074FF6" w:rsidRPr="00A9708F">
              <w:rPr>
                <w:sz w:val="20"/>
                <w:szCs w:val="20"/>
              </w:rPr>
              <w:t>or oral use in packs containing 0.5 milligrams or less;</w:t>
            </w:r>
          </w:p>
          <w:p w14:paraId="6EAC4FF2" w14:textId="1AE05C6C" w:rsidR="00074FF6" w:rsidRPr="00A9708F" w:rsidRDefault="00A9708F" w:rsidP="0036441B">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A9708F">
              <w:rPr>
                <w:sz w:val="20"/>
                <w:szCs w:val="20"/>
              </w:rPr>
              <w:t>i</w:t>
            </w:r>
            <w:r w:rsidR="00074FF6" w:rsidRPr="00A9708F">
              <w:rPr>
                <w:sz w:val="20"/>
                <w:szCs w:val="20"/>
              </w:rPr>
              <w:t>n medicines containing 1 microgram or less per litre or per kilogram</w:t>
            </w:r>
          </w:p>
        </w:tc>
        <w:tc>
          <w:tcPr>
            <w:tcW w:w="1694" w:type="dxa"/>
          </w:tcPr>
          <w:p w14:paraId="6383F025" w14:textId="0D43A68D" w:rsidR="00074FF6" w:rsidRPr="00A9708F" w:rsidRDefault="00074FF6" w:rsidP="00463579">
            <w:pPr>
              <w:pStyle w:val="ListBullet"/>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A9708F">
              <w:rPr>
                <w:sz w:val="20"/>
                <w:szCs w:val="20"/>
              </w:rPr>
              <w:t>General Sale</w:t>
            </w:r>
          </w:p>
        </w:tc>
      </w:tr>
    </w:tbl>
    <w:p w14:paraId="021B558C" w14:textId="77777777" w:rsidR="00074FF6" w:rsidRDefault="00074FF6" w:rsidP="00074FF6">
      <w:pPr>
        <w:pStyle w:val="ListBullet"/>
        <w:numPr>
          <w:ilvl w:val="0"/>
          <w:numId w:val="0"/>
        </w:numPr>
        <w:ind w:left="360"/>
      </w:pPr>
    </w:p>
    <w:p w14:paraId="482504BF" w14:textId="09F3322C" w:rsidR="002469EC" w:rsidRPr="00C52FF7" w:rsidRDefault="00463579" w:rsidP="002469EC">
      <w:pPr>
        <w:pStyle w:val="ListBullet"/>
        <w:rPr>
          <w:rFonts w:cs="Arial"/>
          <w:color w:val="0000FF"/>
          <w:u w:val="single"/>
        </w:rPr>
      </w:pPr>
      <w:r w:rsidRPr="00C52FF7">
        <w:rPr>
          <w:rFonts w:cs="Arial"/>
        </w:rPr>
        <w:t xml:space="preserve">The </w:t>
      </w:r>
      <w:hyperlink r:id="rId84" w:history="1">
        <w:r w:rsidR="00676BCE" w:rsidRPr="00C52FF7">
          <w:rPr>
            <w:rStyle w:val="Hyperlink"/>
            <w:rFonts w:cs="Arial"/>
          </w:rPr>
          <w:t>United States Food and Drug Administration</w:t>
        </w:r>
      </w:hyperlink>
      <w:r w:rsidR="000A62D0" w:rsidRPr="00C52FF7">
        <w:rPr>
          <w:rStyle w:val="FootnoteReference"/>
          <w:rFonts w:cs="Arial"/>
          <w:color w:val="auto"/>
        </w:rPr>
        <w:footnoteReference w:id="65"/>
      </w:r>
      <w:r w:rsidRPr="00C52FF7">
        <w:rPr>
          <w:rFonts w:cs="Arial"/>
        </w:rPr>
        <w:t xml:space="preserve"> database does not include any products containing amygdalin or hydrocyanic acid.</w:t>
      </w:r>
      <w:r w:rsidR="002469EC" w:rsidRPr="00C52FF7">
        <w:rPr>
          <w:rFonts w:cs="Arial"/>
        </w:rPr>
        <w:t xml:space="preserve"> </w:t>
      </w:r>
    </w:p>
    <w:p w14:paraId="7BC3A847" w14:textId="5429BB41" w:rsidR="00463579" w:rsidRPr="00C52FF7" w:rsidRDefault="00A72A16" w:rsidP="002469EC">
      <w:pPr>
        <w:pStyle w:val="ListBullet"/>
        <w:rPr>
          <w:rStyle w:val="Hyperlink"/>
          <w:rFonts w:cs="Arial"/>
          <w:u w:val="none"/>
        </w:rPr>
      </w:pPr>
      <w:hyperlink r:id="rId85" w:history="1">
        <w:r w:rsidR="00463579" w:rsidRPr="00C52FF7">
          <w:rPr>
            <w:rStyle w:val="Hyperlink"/>
            <w:rFonts w:cs="Arial"/>
          </w:rPr>
          <w:t>Health Canada’s Drug Product Database</w:t>
        </w:r>
      </w:hyperlink>
      <w:r w:rsidR="000A62D0" w:rsidRPr="00C52FF7">
        <w:rPr>
          <w:rStyle w:val="FootnoteReference"/>
          <w:rFonts w:cs="Arial"/>
          <w:color w:val="auto"/>
        </w:rPr>
        <w:footnoteReference w:id="66"/>
      </w:r>
      <w:r w:rsidR="00463579" w:rsidRPr="00C52FF7">
        <w:rPr>
          <w:rStyle w:val="Hyperlink"/>
          <w:rFonts w:cs="Arial"/>
          <w:color w:val="333F48"/>
          <w:u w:val="none"/>
        </w:rPr>
        <w:t xml:space="preserve"> </w:t>
      </w:r>
      <w:r w:rsidR="00463579" w:rsidRPr="00C52FF7">
        <w:rPr>
          <w:rStyle w:val="Hyperlink"/>
          <w:rFonts w:cs="Arial"/>
          <w:color w:val="000000" w:themeColor="text1"/>
          <w:u w:val="none"/>
        </w:rPr>
        <w:t>does include any marketed products that contain amygdalin or hydrocyanic acid as an active ingredient.</w:t>
      </w:r>
    </w:p>
    <w:p w14:paraId="0A8F58FE" w14:textId="77777777" w:rsidR="00685E72" w:rsidRDefault="00685E72" w:rsidP="00685E72">
      <w:pPr>
        <w:pStyle w:val="Heading2"/>
      </w:pPr>
      <w:bookmarkStart w:id="86" w:name="_How_to_respond"/>
      <w:bookmarkStart w:id="87" w:name="_Toc122614249"/>
      <w:bookmarkStart w:id="88" w:name="_Toc131604404"/>
      <w:bookmarkEnd w:id="86"/>
      <w:r>
        <w:t>How to respond</w:t>
      </w:r>
      <w:bookmarkEnd w:id="87"/>
      <w:bookmarkEnd w:id="88"/>
    </w:p>
    <w:p w14:paraId="3855C80A" w14:textId="42B758A5" w:rsidR="00685E72" w:rsidRPr="00C52FF7" w:rsidRDefault="00685E72" w:rsidP="00685E72">
      <w:pPr>
        <w:pStyle w:val="ListBullet"/>
        <w:numPr>
          <w:ilvl w:val="0"/>
          <w:numId w:val="0"/>
        </w:numPr>
        <w:rPr>
          <w:rFonts w:cs="Arial"/>
        </w:rPr>
      </w:pPr>
      <w:r w:rsidRPr="00C52FF7">
        <w:rPr>
          <w:rFonts w:cs="Arial"/>
        </w:rPr>
        <w:t xml:space="preserve">Submissions must be provided by the closing date of </w:t>
      </w:r>
      <w:r w:rsidR="00DE411A" w:rsidRPr="00C52FF7">
        <w:rPr>
          <w:rFonts w:cs="Arial"/>
          <w:b/>
        </w:rPr>
        <w:t>15</w:t>
      </w:r>
      <w:r w:rsidRPr="00C52FF7">
        <w:rPr>
          <w:rFonts w:cs="Arial"/>
          <w:b/>
        </w:rPr>
        <w:t xml:space="preserve"> </w:t>
      </w:r>
      <w:r w:rsidR="000A62D0" w:rsidRPr="00C52FF7">
        <w:rPr>
          <w:rFonts w:cs="Arial"/>
          <w:b/>
        </w:rPr>
        <w:t>May</w:t>
      </w:r>
      <w:r w:rsidR="0084553A" w:rsidRPr="00C52FF7">
        <w:rPr>
          <w:rFonts w:cs="Arial"/>
          <w:b/>
        </w:rPr>
        <w:t xml:space="preserve"> </w:t>
      </w:r>
      <w:r w:rsidRPr="00C52FF7">
        <w:rPr>
          <w:rFonts w:cs="Arial"/>
          <w:b/>
        </w:rPr>
        <w:t>20</w:t>
      </w:r>
      <w:r w:rsidR="0084553A" w:rsidRPr="00C52FF7">
        <w:rPr>
          <w:rFonts w:cs="Arial"/>
          <w:b/>
        </w:rPr>
        <w:t>23</w:t>
      </w:r>
      <w:r w:rsidRPr="00C52FF7">
        <w:rPr>
          <w:rFonts w:cs="Arial"/>
        </w:rPr>
        <w:t xml:space="preserve"> through our </w:t>
      </w:r>
      <w:hyperlink r:id="rId86" w:history="1">
        <w:r w:rsidRPr="00C52FF7">
          <w:rPr>
            <w:rStyle w:val="Hyperlink"/>
            <w:rFonts w:cs="Arial"/>
          </w:rPr>
          <w:t>consultation hub</w:t>
        </w:r>
      </w:hyperlink>
      <w:r w:rsidRPr="00C52FF7">
        <w:rPr>
          <w:rFonts w:cs="Arial"/>
        </w:rPr>
        <w:t>. Any submission about any of the proposals to amend the Poisons Standard will be considered at the next meeting of the </w:t>
      </w:r>
      <w:hyperlink r:id="rId87" w:history="1">
        <w:r w:rsidRPr="00C52FF7">
          <w:rPr>
            <w:rStyle w:val="Hyperlink"/>
            <w:rFonts w:cs="Arial"/>
          </w:rPr>
          <w:t>Advisory Committee on Medicines Scheduling (ACMS)</w:t>
        </w:r>
      </w:hyperlink>
      <w:r w:rsidRPr="00C52FF7">
        <w:rPr>
          <w:rFonts w:cs="Arial"/>
        </w:rPr>
        <w:t>, meeting of the </w:t>
      </w:r>
      <w:hyperlink r:id="rId88" w:history="1">
        <w:r w:rsidRPr="00C52FF7">
          <w:rPr>
            <w:rStyle w:val="Hyperlink"/>
            <w:rFonts w:cs="Arial"/>
          </w:rPr>
          <w:t>Advisory Committee on Chemicals Scheduling (ACCS)</w:t>
        </w:r>
      </w:hyperlink>
      <w:r w:rsidRPr="00C52FF7">
        <w:rPr>
          <w:rFonts w:cs="Arial"/>
        </w:rPr>
        <w:t>, or a joint meeting of these two committees.</w:t>
      </w:r>
    </w:p>
    <w:p w14:paraId="4DE7F136" w14:textId="53815E15" w:rsidR="00685E72" w:rsidRPr="00C52FF7" w:rsidRDefault="00685E72" w:rsidP="00685E72">
      <w:pPr>
        <w:pStyle w:val="Heading2"/>
        <w:rPr>
          <w:rFonts w:cs="Arial"/>
        </w:rPr>
      </w:pPr>
      <w:bookmarkStart w:id="89" w:name="_Toc122614250"/>
      <w:bookmarkStart w:id="90" w:name="_Toc131604405"/>
      <w:r w:rsidRPr="00C52FF7">
        <w:rPr>
          <w:rFonts w:cs="Arial"/>
        </w:rPr>
        <w:t>What will happen</w:t>
      </w:r>
      <w:bookmarkEnd w:id="89"/>
      <w:bookmarkEnd w:id="90"/>
    </w:p>
    <w:p w14:paraId="561D8CB1" w14:textId="77777777" w:rsidR="00685E72" w:rsidRPr="00C52FF7" w:rsidRDefault="00685E72" w:rsidP="00685E72">
      <w:pPr>
        <w:rPr>
          <w:rFonts w:cs="Arial"/>
        </w:rPr>
      </w:pPr>
      <w:r w:rsidRPr="00C52FF7">
        <w:rPr>
          <w:rFonts w:cs="Arial"/>
        </w:rPr>
        <w:t xml:space="preserve">All public submissions will be published on the TGA website at </w:t>
      </w:r>
      <w:hyperlink r:id="rId89" w:history="1">
        <w:r w:rsidRPr="00C52FF7">
          <w:rPr>
            <w:rStyle w:val="Hyperlink"/>
            <w:rFonts w:cs="Arial"/>
          </w:rPr>
          <w:t>Public submissions on scheduling matters</w:t>
        </w:r>
      </w:hyperlink>
      <w:r w:rsidRPr="00C52FF7">
        <w:rPr>
          <w:rFonts w:cs="Arial"/>
        </w:rPr>
        <w:t xml:space="preserve">, unless marked confidential or indicated otherwise in the submission coversheet (see </w:t>
      </w:r>
      <w:hyperlink r:id="rId90" w:history="1">
        <w:r w:rsidRPr="00C52FF7">
          <w:rPr>
            <w:rStyle w:val="Hyperlink"/>
            <w:rFonts w:cs="Arial"/>
          </w:rPr>
          <w:t>Privacy information</w:t>
        </w:r>
      </w:hyperlink>
      <w:r w:rsidRPr="00C52FF7">
        <w:rPr>
          <w:rFonts w:cs="Arial"/>
        </w:rPr>
        <w:t>).</w:t>
      </w:r>
    </w:p>
    <w:p w14:paraId="46AB479B" w14:textId="2F515AAD" w:rsidR="00685E72" w:rsidRPr="00C52FF7" w:rsidRDefault="00685E72" w:rsidP="00685E72">
      <w:pPr>
        <w:rPr>
          <w:rFonts w:cs="Arial"/>
        </w:rPr>
      </w:pPr>
      <w:r w:rsidRPr="00C52FF7">
        <w:rPr>
          <w:rFonts w:cs="Arial"/>
        </w:rPr>
        <w:t xml:space="preserve">Following consideration of public submissions received before the closing date and advice from the expert advisory committee/s, decisions on the proposed amendments will be published as interim decisions on the TGA website: </w:t>
      </w:r>
      <w:hyperlink r:id="rId91" w:history="1">
        <w:r w:rsidRPr="00C52FF7">
          <w:rPr>
            <w:rStyle w:val="Hyperlink"/>
            <w:rFonts w:cs="Arial"/>
          </w:rPr>
          <w:t>Scheduling delegate's interim decisions &amp; invitations for further comment</w:t>
        </w:r>
      </w:hyperlink>
      <w:r w:rsidRPr="00C52FF7">
        <w:rPr>
          <w:rFonts w:cs="Arial"/>
        </w:rPr>
        <w:t xml:space="preserve"> </w:t>
      </w:r>
      <w:r w:rsidR="0084553A" w:rsidRPr="00C52FF7">
        <w:rPr>
          <w:rFonts w:cs="Arial"/>
        </w:rPr>
        <w:t>i</w:t>
      </w:r>
      <w:r w:rsidRPr="00C52FF7">
        <w:rPr>
          <w:rFonts w:cs="Arial"/>
        </w:rPr>
        <w:t xml:space="preserve">n </w:t>
      </w:r>
      <w:r w:rsidR="0084553A" w:rsidRPr="00C52FF7">
        <w:rPr>
          <w:rFonts w:cs="Arial"/>
          <w:b/>
        </w:rPr>
        <w:t>September</w:t>
      </w:r>
      <w:r w:rsidRPr="00C52FF7">
        <w:rPr>
          <w:rFonts w:cs="Arial"/>
          <w:b/>
        </w:rPr>
        <w:t xml:space="preserve"> 20</w:t>
      </w:r>
      <w:r w:rsidR="0084553A" w:rsidRPr="00C52FF7">
        <w:rPr>
          <w:rFonts w:cs="Arial"/>
          <w:b/>
        </w:rPr>
        <w:t>23</w:t>
      </w:r>
      <w:r w:rsidRPr="00C52FF7">
        <w:rPr>
          <w:rFonts w:cs="Arial"/>
        </w:rPr>
        <w:t>.</w:t>
      </w:r>
    </w:p>
    <w:p w14:paraId="6BD7A14D" w14:textId="77777777" w:rsidR="00685E72" w:rsidRPr="00685E72" w:rsidRDefault="00685E72" w:rsidP="00685E72"/>
    <w:p w14:paraId="1BC43B7E" w14:textId="2A886BA6" w:rsidR="00F02AEC" w:rsidRPr="00215D48" w:rsidRDefault="00F02AEC" w:rsidP="00BA0DFC">
      <w:pPr>
        <w:pStyle w:val="NonTOCheading2"/>
      </w:pPr>
      <w:r w:rsidRPr="00215D48">
        <w:lastRenderedPageBreak/>
        <w:t>Version history</w:t>
      </w:r>
    </w:p>
    <w:tbl>
      <w:tblPr>
        <w:tblStyle w:val="TGABlack2023"/>
        <w:tblW w:w="9038" w:type="dxa"/>
        <w:tblLayout w:type="fixed"/>
        <w:tblLook w:val="04A0" w:firstRow="1" w:lastRow="0" w:firstColumn="1" w:lastColumn="0" w:noHBand="0" w:noVBand="1"/>
      </w:tblPr>
      <w:tblGrid>
        <w:gridCol w:w="1276"/>
        <w:gridCol w:w="3242"/>
        <w:gridCol w:w="2712"/>
        <w:gridCol w:w="1808"/>
      </w:tblGrid>
      <w:tr w:rsidR="00F02AEC" w:rsidRPr="00215D48" w14:paraId="4E9F1DFF" w14:textId="77777777" w:rsidTr="00FA4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22B11A9" w14:textId="77777777" w:rsidR="00F02AEC" w:rsidRPr="00215D48" w:rsidRDefault="00F02AEC" w:rsidP="00B33C56">
            <w:bookmarkStart w:id="91" w:name="ColumnTitle_4"/>
            <w:r w:rsidRPr="00215D48">
              <w:t>Version</w:t>
            </w:r>
          </w:p>
        </w:tc>
        <w:tc>
          <w:tcPr>
            <w:tcW w:w="3242" w:type="dxa"/>
          </w:tcPr>
          <w:p w14:paraId="595165C5" w14:textId="77777777" w:rsidR="00F02AEC" w:rsidRPr="00215D48" w:rsidRDefault="00F02AEC" w:rsidP="00B33C56">
            <w:pPr>
              <w:cnfStyle w:val="100000000000" w:firstRow="1" w:lastRow="0" w:firstColumn="0" w:lastColumn="0" w:oddVBand="0" w:evenVBand="0" w:oddHBand="0" w:evenHBand="0" w:firstRowFirstColumn="0" w:firstRowLastColumn="0" w:lastRowFirstColumn="0" w:lastRowLastColumn="0"/>
            </w:pPr>
            <w:r w:rsidRPr="00215D48">
              <w:t>Description of change</w:t>
            </w:r>
          </w:p>
        </w:tc>
        <w:tc>
          <w:tcPr>
            <w:tcW w:w="2712" w:type="dxa"/>
          </w:tcPr>
          <w:p w14:paraId="22BA2D8E" w14:textId="77777777" w:rsidR="00F02AEC" w:rsidRPr="00215D48" w:rsidRDefault="00F02AEC" w:rsidP="00B33C56">
            <w:pPr>
              <w:cnfStyle w:val="100000000000" w:firstRow="1" w:lastRow="0" w:firstColumn="0" w:lastColumn="0" w:oddVBand="0" w:evenVBand="0" w:oddHBand="0" w:evenHBand="0" w:firstRowFirstColumn="0" w:firstRowLastColumn="0" w:lastRowFirstColumn="0" w:lastRowLastColumn="0"/>
            </w:pPr>
            <w:r w:rsidRPr="00215D48">
              <w:t>Author</w:t>
            </w:r>
          </w:p>
        </w:tc>
        <w:tc>
          <w:tcPr>
            <w:tcW w:w="1808" w:type="dxa"/>
          </w:tcPr>
          <w:p w14:paraId="5B726525" w14:textId="77777777" w:rsidR="00F02AEC" w:rsidRPr="00215D48" w:rsidRDefault="00F02AEC" w:rsidP="00B33C56">
            <w:pPr>
              <w:cnfStyle w:val="100000000000" w:firstRow="1" w:lastRow="0" w:firstColumn="0" w:lastColumn="0" w:oddVBand="0" w:evenVBand="0" w:oddHBand="0" w:evenHBand="0" w:firstRowFirstColumn="0" w:firstRowLastColumn="0" w:lastRowFirstColumn="0" w:lastRowLastColumn="0"/>
            </w:pPr>
            <w:r w:rsidRPr="00215D48">
              <w:t>Effective date</w:t>
            </w:r>
          </w:p>
        </w:tc>
      </w:tr>
      <w:bookmarkEnd w:id="91"/>
      <w:tr w:rsidR="00F02AEC" w:rsidRPr="00215D48" w14:paraId="09156107" w14:textId="77777777" w:rsidTr="00FA49C3">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494EAC82" w14:textId="77777777" w:rsidR="00F02AEC" w:rsidRPr="00215D48" w:rsidRDefault="00F02AEC" w:rsidP="00B33C56">
            <w:r w:rsidRPr="00215D48">
              <w:t>V1.0</w:t>
            </w:r>
          </w:p>
        </w:tc>
        <w:tc>
          <w:tcPr>
            <w:tcW w:w="3242" w:type="dxa"/>
          </w:tcPr>
          <w:p w14:paraId="6A3CCE24" w14:textId="77777777" w:rsidR="00F02AEC" w:rsidRPr="00215D48" w:rsidRDefault="00F02AEC" w:rsidP="00B33C56">
            <w:pPr>
              <w:cnfStyle w:val="000000000000" w:firstRow="0" w:lastRow="0" w:firstColumn="0" w:lastColumn="0" w:oddVBand="0" w:evenVBand="0" w:oddHBand="0" w:evenHBand="0" w:firstRowFirstColumn="0" w:firstRowLastColumn="0" w:lastRowFirstColumn="0" w:lastRowLastColumn="0"/>
            </w:pPr>
            <w:r w:rsidRPr="00215D48">
              <w:t>Original publication</w:t>
            </w:r>
          </w:p>
        </w:tc>
        <w:tc>
          <w:tcPr>
            <w:tcW w:w="2712" w:type="dxa"/>
          </w:tcPr>
          <w:p w14:paraId="39BD2FE4" w14:textId="363CB285" w:rsidR="00F02AEC" w:rsidRPr="00215D48" w:rsidRDefault="00B54EA6" w:rsidP="00B33C56">
            <w:pPr>
              <w:cnfStyle w:val="000000000000" w:firstRow="0" w:lastRow="0" w:firstColumn="0" w:lastColumn="0" w:oddVBand="0" w:evenVBand="0" w:oddHBand="0" w:evenHBand="0" w:firstRowFirstColumn="0" w:firstRowLastColumn="0" w:lastRowFirstColumn="0" w:lastRowLastColumn="0"/>
            </w:pPr>
            <w:r>
              <w:t>Scheduling and Chemicals Policy Section</w:t>
            </w:r>
          </w:p>
        </w:tc>
        <w:tc>
          <w:tcPr>
            <w:tcW w:w="1808" w:type="dxa"/>
          </w:tcPr>
          <w:p w14:paraId="29E31E7D" w14:textId="1E2CD4E4" w:rsidR="00F02AEC" w:rsidRPr="00215D48" w:rsidRDefault="00B54EA6" w:rsidP="00926B0E">
            <w:pPr>
              <w:cnfStyle w:val="000000000000" w:firstRow="0" w:lastRow="0" w:firstColumn="0" w:lastColumn="0" w:oddVBand="0" w:evenVBand="0" w:oddHBand="0" w:evenHBand="0" w:firstRowFirstColumn="0" w:firstRowLastColumn="0" w:lastRowFirstColumn="0" w:lastRowLastColumn="0"/>
            </w:pPr>
            <w:r>
              <w:t>April 2023</w:t>
            </w:r>
          </w:p>
        </w:tc>
      </w:tr>
    </w:tbl>
    <w:p w14:paraId="14380530" w14:textId="77777777" w:rsidR="00F02AEC" w:rsidRPr="00215D48" w:rsidRDefault="00F02AEC" w:rsidP="00706634">
      <w:pPr>
        <w:spacing w:after="0" w:line="240" w:lineRule="auto"/>
        <w:sectPr w:rsidR="00F02AEC" w:rsidRPr="00215D48" w:rsidSect="00AE7C6A">
          <w:headerReference w:type="default" r:id="rId92"/>
          <w:footerReference w:type="default" r:id="rId93"/>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02AEC" w:rsidRPr="00215D48" w14:paraId="5F4CFCE1" w14:textId="77777777" w:rsidTr="00564BBE">
        <w:trPr>
          <w:trHeight w:hRule="exact" w:val="565"/>
          <w:jc w:val="center"/>
        </w:trPr>
        <w:tc>
          <w:tcPr>
            <w:tcW w:w="9145" w:type="dxa"/>
          </w:tcPr>
          <w:p w14:paraId="442BCC64" w14:textId="77777777" w:rsidR="00F02AEC" w:rsidRPr="00215D48" w:rsidRDefault="00F02AEC" w:rsidP="00564BBE">
            <w:pPr>
              <w:pStyle w:val="TGASignoff"/>
            </w:pPr>
            <w:r w:rsidRPr="00215D48">
              <w:lastRenderedPageBreak/>
              <w:t>Therapeutic Goods Administration</w:t>
            </w:r>
          </w:p>
        </w:tc>
      </w:tr>
      <w:tr w:rsidR="00F02AEC" w:rsidRPr="00215D48" w14:paraId="7A4D9E91" w14:textId="77777777" w:rsidTr="00564BBE">
        <w:trPr>
          <w:trHeight w:val="963"/>
          <w:jc w:val="center"/>
        </w:trPr>
        <w:tc>
          <w:tcPr>
            <w:tcW w:w="9145" w:type="dxa"/>
            <w:tcMar>
              <w:top w:w="28" w:type="dxa"/>
            </w:tcMar>
          </w:tcPr>
          <w:p w14:paraId="278E3ACD" w14:textId="77777777" w:rsidR="00F02AEC" w:rsidRPr="00215D48" w:rsidRDefault="00F02AEC" w:rsidP="00EB5622">
            <w:pPr>
              <w:pStyle w:val="Address"/>
              <w:jc w:val="center"/>
            </w:pPr>
            <w:r w:rsidRPr="00215D48">
              <w:t>PO Box 100 Woden ACT 2606 Australia</w:t>
            </w:r>
          </w:p>
          <w:p w14:paraId="16729601" w14:textId="77777777" w:rsidR="00F02AEC" w:rsidRDefault="00F02AEC">
            <w:pPr>
              <w:pStyle w:val="Address"/>
              <w:jc w:val="center"/>
              <w:rPr>
                <w:sz w:val="22"/>
                <w:szCs w:val="22"/>
              </w:rPr>
            </w:pPr>
            <w:r w:rsidRPr="00215D48">
              <w:t xml:space="preserve">Email: </w:t>
            </w:r>
            <w:hyperlink r:id="rId94" w:history="1">
              <w:r w:rsidRPr="00215D48">
                <w:rPr>
                  <w:rStyle w:val="Hyperlink"/>
                </w:rPr>
                <w:t>info@tga.gov.au</w:t>
              </w:r>
            </w:hyperlink>
            <w:r w:rsidRPr="00215D48">
              <w:t xml:space="preserve">  Phone: 1800 020 </w:t>
            </w:r>
            <w:proofErr w:type="gramStart"/>
            <w:r w:rsidRPr="00215D48">
              <w:t>653  Fax</w:t>
            </w:r>
            <w:proofErr w:type="gramEnd"/>
            <w:r w:rsidRPr="00215D48">
              <w:t xml:space="preserve">: </w:t>
            </w:r>
            <w:r w:rsidRPr="00BA0DFC">
              <w:t>02 6203 1605</w:t>
            </w:r>
          </w:p>
          <w:p w14:paraId="44F15B70" w14:textId="77777777" w:rsidR="00F02AEC" w:rsidRPr="00215D48" w:rsidRDefault="00A72A16">
            <w:pPr>
              <w:pStyle w:val="Address"/>
              <w:jc w:val="center"/>
              <w:rPr>
                <w:rStyle w:val="Hyperlink"/>
                <w:b/>
                <w:color w:val="auto"/>
                <w:sz w:val="22"/>
              </w:rPr>
            </w:pPr>
            <w:hyperlink r:id="rId95" w:history="1">
              <w:r w:rsidR="00F02AEC" w:rsidRPr="00C4721A">
                <w:rPr>
                  <w:rStyle w:val="Hyperlink"/>
                  <w:b/>
                </w:rPr>
                <w:t>https://www.tga.gov.au</w:t>
              </w:r>
            </w:hyperlink>
          </w:p>
        </w:tc>
      </w:tr>
      <w:tr w:rsidR="00F02AEC" w:rsidRPr="00215D48" w14:paraId="5407F49B" w14:textId="77777777" w:rsidTr="00564BBE">
        <w:trPr>
          <w:trHeight w:val="251"/>
          <w:jc w:val="center"/>
        </w:trPr>
        <w:tc>
          <w:tcPr>
            <w:tcW w:w="9145" w:type="dxa"/>
            <w:tcMar>
              <w:top w:w="28" w:type="dxa"/>
            </w:tcMar>
          </w:tcPr>
          <w:p w14:paraId="0EC91A70" w14:textId="0ED09766" w:rsidR="00F02AEC" w:rsidRPr="00215D48" w:rsidRDefault="00F02AEC" w:rsidP="00EB5622">
            <w:pPr>
              <w:pStyle w:val="Address"/>
              <w:jc w:val="center"/>
            </w:pPr>
          </w:p>
        </w:tc>
      </w:tr>
    </w:tbl>
    <w:p w14:paraId="39E12073" w14:textId="77777777" w:rsidR="002216A7" w:rsidRDefault="00A72A16"/>
    <w:sectPr w:rsidR="002216A7" w:rsidSect="00AE7C6A">
      <w:headerReference w:type="first" r:id="rId96"/>
      <w:footerReference w:type="first" r:id="rId97"/>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7645" w14:textId="77777777" w:rsidR="00D12291" w:rsidRDefault="00D12291" w:rsidP="00F02AEC">
      <w:pPr>
        <w:spacing w:after="0" w:line="240" w:lineRule="auto"/>
      </w:pPr>
      <w:r>
        <w:separator/>
      </w:r>
    </w:p>
  </w:endnote>
  <w:endnote w:type="continuationSeparator" w:id="0">
    <w:p w14:paraId="0C694682" w14:textId="77777777" w:rsidR="00D12291" w:rsidRDefault="00D12291" w:rsidP="00F0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02AEC" w:rsidRPr="00257138" w14:paraId="4CFC1A7C" w14:textId="77777777" w:rsidTr="000B30E5">
      <w:trPr>
        <w:trHeight w:val="423"/>
      </w:trPr>
      <w:tc>
        <w:tcPr>
          <w:tcW w:w="4360" w:type="dxa"/>
          <w:tcBorders>
            <w:top w:val="single" w:sz="4" w:space="0" w:color="auto"/>
          </w:tcBorders>
        </w:tcPr>
        <w:p w14:paraId="1B77F06E" w14:textId="77777777" w:rsidR="00F02AEC" w:rsidRDefault="00F02AEC" w:rsidP="000B30E5">
          <w:pPr>
            <w:pStyle w:val="Footer"/>
          </w:pPr>
        </w:p>
        <w:p w14:paraId="634F6009" w14:textId="77777777" w:rsidR="00F02AEC" w:rsidRPr="00257138" w:rsidRDefault="00F02AEC" w:rsidP="00406DB9">
          <w:pPr>
            <w:pStyle w:val="Footer"/>
          </w:pPr>
          <w:r w:rsidRPr="00257138">
            <w:t>Document title</w:t>
          </w:r>
        </w:p>
      </w:tc>
      <w:tc>
        <w:tcPr>
          <w:tcW w:w="4360" w:type="dxa"/>
          <w:tcBorders>
            <w:top w:val="single" w:sz="4" w:space="0" w:color="auto"/>
          </w:tcBorders>
        </w:tcPr>
        <w:sdt>
          <w:sdtPr>
            <w:id w:val="1087729233"/>
            <w:docPartObj>
              <w:docPartGallery w:val="Page Numbers (Top of Page)"/>
              <w:docPartUnique/>
            </w:docPartObj>
          </w:sdtPr>
          <w:sdtEndPr/>
          <w:sdtContent>
            <w:p w14:paraId="77241C52" w14:textId="77777777" w:rsidR="00F02AEC" w:rsidRDefault="00F02AEC" w:rsidP="000B30E5">
              <w:pPr>
                <w:pStyle w:val="Footer"/>
                <w:jc w:val="right"/>
              </w:pPr>
            </w:p>
            <w:p w14:paraId="3F5F7AF0" w14:textId="77777777" w:rsidR="00F02AEC" w:rsidRPr="00257138" w:rsidRDefault="00F02AEC" w:rsidP="000B30E5">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rsidR="00A72A16">
                <w:fldChar w:fldCharType="begin"/>
              </w:r>
              <w:r w:rsidR="00A72A16">
                <w:instrText xml:space="preserve"> NUMPAGES  </w:instrText>
              </w:r>
              <w:r w:rsidR="00A72A16">
                <w:fldChar w:fldCharType="separate"/>
              </w:r>
              <w:r>
                <w:rPr>
                  <w:noProof/>
                </w:rPr>
                <w:t>2</w:t>
              </w:r>
              <w:r w:rsidR="00A72A16">
                <w:rPr>
                  <w:noProof/>
                </w:rPr>
                <w:fldChar w:fldCharType="end"/>
              </w:r>
            </w:p>
          </w:sdtContent>
        </w:sdt>
      </w:tc>
    </w:tr>
    <w:tr w:rsidR="00F02AEC" w:rsidRPr="00257138" w14:paraId="0D40ABB3" w14:textId="77777777" w:rsidTr="000B30E5">
      <w:trPr>
        <w:trHeight w:val="263"/>
      </w:trPr>
      <w:tc>
        <w:tcPr>
          <w:tcW w:w="4360" w:type="dxa"/>
        </w:tcPr>
        <w:p w14:paraId="7E90E3F4" w14:textId="77777777" w:rsidR="00F02AEC" w:rsidRPr="00257138" w:rsidRDefault="00F02AEC" w:rsidP="000B30E5">
          <w:pPr>
            <w:pStyle w:val="Footer"/>
          </w:pPr>
          <w:r w:rsidRPr="00257138">
            <w:t xml:space="preserve">V1.0 </w:t>
          </w:r>
          <w:r>
            <w:t>Month</w:t>
          </w:r>
          <w:r w:rsidRPr="00257138">
            <w:t xml:space="preserve"> 201</w:t>
          </w:r>
          <w:r>
            <w:t>2</w:t>
          </w:r>
        </w:p>
      </w:tc>
      <w:tc>
        <w:tcPr>
          <w:tcW w:w="4360" w:type="dxa"/>
        </w:tcPr>
        <w:p w14:paraId="178610D6" w14:textId="77777777" w:rsidR="00F02AEC" w:rsidRPr="00257138" w:rsidRDefault="00F02AEC" w:rsidP="000B30E5">
          <w:pPr>
            <w:pStyle w:val="Footer"/>
            <w:jc w:val="right"/>
          </w:pPr>
        </w:p>
      </w:tc>
    </w:tr>
  </w:tbl>
  <w:p w14:paraId="0507B039" w14:textId="77777777" w:rsidR="00F02AEC" w:rsidRPr="00826007" w:rsidRDefault="00F02AEC" w:rsidP="000B30E5">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57EE" w14:textId="77777777" w:rsidR="00F02AEC" w:rsidRDefault="00F02AEC" w:rsidP="00816164">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7338"/>
      <w:gridCol w:w="1734"/>
    </w:tblGrid>
    <w:tr w:rsidR="00F02AEC" w:rsidRPr="004A3084" w14:paraId="5ABB6CD7" w14:textId="77777777" w:rsidTr="00855666">
      <w:trPr>
        <w:trHeight w:val="423"/>
      </w:trPr>
      <w:tc>
        <w:tcPr>
          <w:tcW w:w="7338" w:type="dxa"/>
          <w:tcBorders>
            <w:top w:val="single" w:sz="4" w:space="0" w:color="auto"/>
          </w:tcBorders>
        </w:tcPr>
        <w:p w14:paraId="102C175F" w14:textId="2688A847" w:rsidR="00F02AEC" w:rsidRPr="004A3084" w:rsidRDefault="009F279F" w:rsidP="00F54CA9">
          <w:pPr>
            <w:pStyle w:val="Footer"/>
          </w:pPr>
          <w:r w:rsidRPr="00676BCE">
            <w:rPr>
              <w:color w:val="000000" w:themeColor="text1"/>
            </w:rPr>
            <w:t xml:space="preserve">Consultation: Proposed amendments to the Poisons Standard – ACCS, ACMS and joint ACCS/ACMS meetings, </w:t>
          </w:r>
          <w:r w:rsidR="00495DB1" w:rsidRPr="00676BCE">
            <w:rPr>
              <w:color w:val="000000" w:themeColor="text1"/>
            </w:rPr>
            <w:t>June 2023</w:t>
          </w:r>
        </w:p>
      </w:tc>
      <w:tc>
        <w:tcPr>
          <w:tcW w:w="1734" w:type="dxa"/>
          <w:tcBorders>
            <w:top w:val="single" w:sz="4" w:space="0" w:color="auto"/>
          </w:tcBorders>
        </w:tcPr>
        <w:sdt>
          <w:sdtPr>
            <w:id w:val="11571659"/>
            <w:docPartObj>
              <w:docPartGallery w:val="Page Numbers (Top of Page)"/>
              <w:docPartUnique/>
            </w:docPartObj>
          </w:sdtPr>
          <w:sdtEndPr/>
          <w:sdtContent>
            <w:p w14:paraId="06894226" w14:textId="77777777" w:rsidR="00F02AEC" w:rsidRPr="004A3084" w:rsidRDefault="00F02AEC" w:rsidP="00231E8D">
              <w:pPr>
                <w:pStyle w:val="Footer"/>
                <w:jc w:val="right"/>
              </w:pPr>
              <w:r w:rsidRPr="004A3084">
                <w:t xml:space="preserve">Page </w:t>
              </w:r>
              <w:r>
                <w:fldChar w:fldCharType="begin"/>
              </w:r>
              <w:r>
                <w:instrText xml:space="preserve"> PAGE </w:instrText>
              </w:r>
              <w:r>
                <w:fldChar w:fldCharType="separate"/>
              </w:r>
              <w:r>
                <w:rPr>
                  <w:noProof/>
                </w:rPr>
                <w:t>6</w:t>
              </w:r>
              <w:r>
                <w:rPr>
                  <w:noProof/>
                </w:rPr>
                <w:fldChar w:fldCharType="end"/>
              </w:r>
              <w:r w:rsidRPr="004A3084">
                <w:t xml:space="preserve"> of </w:t>
              </w:r>
              <w:r w:rsidR="00A72A16">
                <w:fldChar w:fldCharType="begin"/>
              </w:r>
              <w:r w:rsidR="00A72A16">
                <w:instrText xml:space="preserve"> NUMPAGES  </w:instrText>
              </w:r>
              <w:r w:rsidR="00A72A16">
                <w:fldChar w:fldCharType="separate"/>
              </w:r>
              <w:r>
                <w:rPr>
                  <w:noProof/>
                </w:rPr>
                <w:t>7</w:t>
              </w:r>
              <w:r w:rsidR="00A72A16">
                <w:rPr>
                  <w:noProof/>
                </w:rPr>
                <w:fldChar w:fldCharType="end"/>
              </w:r>
            </w:p>
          </w:sdtContent>
        </w:sdt>
      </w:tc>
    </w:tr>
  </w:tbl>
  <w:p w14:paraId="634B676B" w14:textId="77777777" w:rsidR="00F02AEC" w:rsidRPr="00826007" w:rsidRDefault="00F02AEC" w:rsidP="004A3084">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58BA" w14:textId="77777777" w:rsidR="00A77452" w:rsidRPr="008E3C43" w:rsidRDefault="00A72A16"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518D" w14:textId="77777777" w:rsidR="00D12291" w:rsidRDefault="00D12291" w:rsidP="00F02AEC">
      <w:pPr>
        <w:spacing w:after="0" w:line="240" w:lineRule="auto"/>
      </w:pPr>
      <w:r>
        <w:separator/>
      </w:r>
    </w:p>
  </w:footnote>
  <w:footnote w:type="continuationSeparator" w:id="0">
    <w:p w14:paraId="7F57DF68" w14:textId="77777777" w:rsidR="00D12291" w:rsidRDefault="00D12291" w:rsidP="00F02AEC">
      <w:pPr>
        <w:spacing w:after="0" w:line="240" w:lineRule="auto"/>
      </w:pPr>
      <w:r>
        <w:continuationSeparator/>
      </w:r>
    </w:p>
  </w:footnote>
  <w:footnote w:id="1">
    <w:p w14:paraId="7C5A0CF1" w14:textId="744C806A" w:rsidR="00BD0BC1" w:rsidRPr="007B0975" w:rsidRDefault="00BD0BC1">
      <w:pPr>
        <w:pStyle w:val="FootnoteText"/>
        <w:rPr>
          <w:rFonts w:asciiTheme="minorHAnsi" w:hAnsiTheme="minorHAnsi" w:cstheme="minorHAnsi"/>
          <w:sz w:val="18"/>
          <w:szCs w:val="18"/>
        </w:rPr>
      </w:pPr>
      <w:r w:rsidRPr="00676BCE">
        <w:rPr>
          <w:rStyle w:val="FootnoteReference"/>
          <w:rFonts w:asciiTheme="minorHAnsi" w:hAnsiTheme="minorHAnsi" w:cstheme="minorHAnsi"/>
          <w:color w:val="000000" w:themeColor="text1"/>
          <w:sz w:val="18"/>
          <w:szCs w:val="18"/>
        </w:rPr>
        <w:footnoteRef/>
      </w:r>
      <w:r w:rsidRPr="00676BCE">
        <w:rPr>
          <w:rFonts w:asciiTheme="minorHAnsi" w:hAnsiTheme="minorHAnsi" w:cstheme="minorHAnsi"/>
          <w:color w:val="000000" w:themeColor="text1"/>
          <w:sz w:val="18"/>
          <w:szCs w:val="18"/>
        </w:rPr>
        <w:t xml:space="preserve"> </w:t>
      </w:r>
      <w:bookmarkStart w:id="10" w:name="_Hlk117709548"/>
      <w:r w:rsidRPr="00676BCE">
        <w:rPr>
          <w:rFonts w:asciiTheme="minorHAnsi" w:hAnsiTheme="minorHAnsi" w:cstheme="minorHAnsi"/>
          <w:color w:val="000000" w:themeColor="text1"/>
          <w:sz w:val="18"/>
          <w:szCs w:val="18"/>
        </w:rPr>
        <w:t>Proposed additions are shown in green underlined font, proposed deletions are shown in red strikethrough font, and text without this formatting represents the current text in the Poisons Standard.</w:t>
      </w:r>
      <w:bookmarkEnd w:id="10"/>
    </w:p>
  </w:footnote>
  <w:footnote w:id="2">
    <w:p w14:paraId="7ABDD608" w14:textId="77777777" w:rsidR="002469EC" w:rsidRPr="00DA5D4C" w:rsidRDefault="002469EC" w:rsidP="002469EC">
      <w:pPr>
        <w:pStyle w:val="FootnoteText"/>
        <w:rPr>
          <w:rFonts w:asciiTheme="minorHAnsi" w:hAnsiTheme="minorHAnsi" w:cstheme="minorHAnsi"/>
          <w:sz w:val="18"/>
          <w:szCs w:val="18"/>
        </w:rPr>
      </w:pPr>
      <w:r w:rsidRPr="00DA5D4C">
        <w:rPr>
          <w:rStyle w:val="FootnoteReference"/>
          <w:rFonts w:asciiTheme="minorHAnsi" w:hAnsiTheme="minorHAnsi" w:cstheme="minorHAnsi"/>
          <w:color w:val="auto"/>
          <w:sz w:val="18"/>
          <w:szCs w:val="18"/>
        </w:rPr>
        <w:footnoteRef/>
      </w:r>
      <w:r w:rsidRPr="00DA5D4C">
        <w:rPr>
          <w:rFonts w:asciiTheme="minorHAnsi" w:hAnsiTheme="minorHAnsi" w:cstheme="minorHAnsi"/>
          <w:color w:val="auto"/>
          <w:sz w:val="18"/>
          <w:szCs w:val="18"/>
        </w:rPr>
        <w:t xml:space="preserve"> TGA Ingredient Database </w:t>
      </w:r>
      <w:hyperlink r:id="rId1" w:history="1">
        <w:r w:rsidRPr="00DA5D4C">
          <w:rPr>
            <w:rStyle w:val="Hyperlink"/>
            <w:rFonts w:asciiTheme="minorHAnsi" w:hAnsiTheme="minorHAnsi" w:cstheme="minorHAnsi"/>
            <w:sz w:val="18"/>
            <w:szCs w:val="18"/>
          </w:rPr>
          <w:t>https://www.ebs.tga.gov.au/</w:t>
        </w:r>
      </w:hyperlink>
    </w:p>
  </w:footnote>
  <w:footnote w:id="3">
    <w:p w14:paraId="5FC8F0E2" w14:textId="77777777" w:rsidR="002469EC" w:rsidRPr="00DA5D4C" w:rsidRDefault="002469EC" w:rsidP="002469EC">
      <w:pPr>
        <w:pStyle w:val="FootnoteText"/>
        <w:rPr>
          <w:rFonts w:asciiTheme="minorHAnsi" w:hAnsiTheme="minorHAnsi" w:cstheme="minorHAnsi"/>
          <w:sz w:val="18"/>
          <w:szCs w:val="18"/>
        </w:rPr>
      </w:pPr>
      <w:r w:rsidRPr="00DA5D4C">
        <w:rPr>
          <w:rStyle w:val="FootnoteReference"/>
          <w:rFonts w:asciiTheme="minorHAnsi" w:hAnsiTheme="minorHAnsi" w:cstheme="minorHAnsi"/>
          <w:color w:val="auto"/>
          <w:sz w:val="18"/>
          <w:szCs w:val="18"/>
        </w:rPr>
        <w:footnoteRef/>
      </w:r>
      <w:r w:rsidRPr="00DA5D4C">
        <w:rPr>
          <w:rFonts w:asciiTheme="minorHAnsi" w:hAnsiTheme="minorHAnsi" w:cstheme="minorHAnsi"/>
          <w:color w:val="auto"/>
          <w:sz w:val="18"/>
          <w:szCs w:val="18"/>
        </w:rPr>
        <w:t xml:space="preserve"> ARTG database </w:t>
      </w:r>
      <w:hyperlink r:id="rId2" w:history="1">
        <w:r w:rsidRPr="00DA5D4C">
          <w:rPr>
            <w:rStyle w:val="Hyperlink"/>
            <w:rFonts w:asciiTheme="minorHAnsi" w:hAnsiTheme="minorHAnsi" w:cstheme="minorHAnsi"/>
            <w:sz w:val="18"/>
            <w:szCs w:val="18"/>
          </w:rPr>
          <w:t>https://www.tga.gov.au/artg</w:t>
        </w:r>
      </w:hyperlink>
      <w:r w:rsidRPr="00DA5D4C">
        <w:rPr>
          <w:rFonts w:asciiTheme="minorHAnsi" w:hAnsiTheme="minorHAnsi" w:cstheme="minorHAnsi"/>
          <w:sz w:val="18"/>
          <w:szCs w:val="18"/>
        </w:rPr>
        <w:t xml:space="preserve"> </w:t>
      </w:r>
    </w:p>
  </w:footnote>
  <w:footnote w:id="4">
    <w:p w14:paraId="3ACDF13B" w14:textId="77777777" w:rsidR="002469EC" w:rsidRPr="00DA5D4C" w:rsidRDefault="002469EC" w:rsidP="002469EC">
      <w:pPr>
        <w:pStyle w:val="FootnoteText"/>
        <w:rPr>
          <w:rFonts w:asciiTheme="minorHAnsi" w:hAnsiTheme="minorHAnsi" w:cstheme="minorHAnsi"/>
          <w:sz w:val="18"/>
          <w:szCs w:val="18"/>
        </w:rPr>
      </w:pPr>
      <w:r w:rsidRPr="00DA5D4C">
        <w:rPr>
          <w:rStyle w:val="FootnoteReference"/>
          <w:rFonts w:asciiTheme="minorHAnsi" w:hAnsiTheme="minorHAnsi" w:cstheme="minorHAnsi"/>
          <w:color w:val="auto"/>
          <w:sz w:val="18"/>
          <w:szCs w:val="18"/>
        </w:rPr>
        <w:footnoteRef/>
      </w:r>
      <w:r w:rsidRPr="00DA5D4C">
        <w:rPr>
          <w:rFonts w:asciiTheme="minorHAnsi" w:hAnsiTheme="minorHAnsi" w:cstheme="minorHAnsi"/>
          <w:color w:val="auto"/>
          <w:sz w:val="18"/>
          <w:szCs w:val="18"/>
        </w:rPr>
        <w:t xml:space="preserve"> Therapeutic Goods (Permissible Ingredients) Determination </w:t>
      </w:r>
      <w:hyperlink r:id="rId3" w:history="1">
        <w:r w:rsidRPr="00DA5D4C">
          <w:rPr>
            <w:rStyle w:val="Hyperlink"/>
            <w:rFonts w:asciiTheme="minorHAnsi" w:hAnsiTheme="minorHAnsi" w:cstheme="minorHAnsi"/>
            <w:sz w:val="18"/>
            <w:szCs w:val="18"/>
          </w:rPr>
          <w:t>https://www.legislation.gov.au/Search/Therapeutic%20Goods%20$LB$Permissible%20Ingredients$RB$%20Determination</w:t>
        </w:r>
      </w:hyperlink>
      <w:r w:rsidRPr="00DA5D4C">
        <w:rPr>
          <w:rFonts w:asciiTheme="minorHAnsi" w:hAnsiTheme="minorHAnsi" w:cstheme="minorHAnsi"/>
          <w:sz w:val="18"/>
          <w:szCs w:val="18"/>
        </w:rPr>
        <w:t xml:space="preserve"> </w:t>
      </w:r>
    </w:p>
  </w:footnote>
  <w:footnote w:id="5">
    <w:p w14:paraId="31A6E08A" w14:textId="77777777" w:rsidR="002469EC" w:rsidRPr="00DA5D4C" w:rsidRDefault="002469EC" w:rsidP="002469EC">
      <w:pPr>
        <w:pStyle w:val="FootnoteText"/>
        <w:rPr>
          <w:rFonts w:asciiTheme="minorHAnsi" w:hAnsiTheme="minorHAnsi" w:cstheme="minorHAnsi"/>
          <w:sz w:val="18"/>
          <w:szCs w:val="18"/>
        </w:rPr>
      </w:pPr>
      <w:r w:rsidRPr="00DA5D4C">
        <w:rPr>
          <w:rStyle w:val="FootnoteReference"/>
          <w:rFonts w:asciiTheme="minorHAnsi" w:hAnsiTheme="minorHAnsi" w:cstheme="minorHAnsi"/>
          <w:color w:val="auto"/>
          <w:sz w:val="18"/>
          <w:szCs w:val="18"/>
        </w:rPr>
        <w:footnoteRef/>
      </w:r>
      <w:r w:rsidRPr="00DA5D4C">
        <w:rPr>
          <w:rFonts w:asciiTheme="minorHAnsi" w:hAnsiTheme="minorHAnsi" w:cstheme="minorHAnsi"/>
          <w:color w:val="auto"/>
          <w:sz w:val="18"/>
          <w:szCs w:val="18"/>
        </w:rPr>
        <w:t xml:space="preserve"> TGA prescribing medicines in pregnancy database </w:t>
      </w:r>
      <w:hyperlink r:id="rId4" w:history="1">
        <w:r w:rsidRPr="00DA5D4C">
          <w:rPr>
            <w:rStyle w:val="Hyperlink"/>
            <w:rFonts w:asciiTheme="minorHAnsi" w:hAnsiTheme="minorHAnsi" w:cstheme="minorHAnsi"/>
            <w:sz w:val="18"/>
            <w:szCs w:val="18"/>
          </w:rPr>
          <w:t>https://www.tga.gov.au/prescribing-medicines-pregnancy-database</w:t>
        </w:r>
      </w:hyperlink>
      <w:r w:rsidRPr="00DA5D4C">
        <w:rPr>
          <w:rFonts w:asciiTheme="minorHAnsi" w:hAnsiTheme="minorHAnsi" w:cstheme="minorHAnsi"/>
          <w:sz w:val="18"/>
          <w:szCs w:val="18"/>
        </w:rPr>
        <w:t xml:space="preserve"> </w:t>
      </w:r>
    </w:p>
  </w:footnote>
  <w:footnote w:id="6">
    <w:p w14:paraId="3F48F335" w14:textId="6153B337" w:rsidR="002469EC" w:rsidRPr="00DA5D4C" w:rsidRDefault="002469EC" w:rsidP="002469EC">
      <w:pPr>
        <w:pStyle w:val="FootnoteText"/>
        <w:rPr>
          <w:rFonts w:asciiTheme="minorHAnsi" w:hAnsiTheme="minorHAnsi" w:cstheme="minorHAnsi"/>
          <w:sz w:val="18"/>
          <w:szCs w:val="18"/>
        </w:rPr>
      </w:pPr>
      <w:r w:rsidRPr="00DA5D4C">
        <w:rPr>
          <w:rStyle w:val="FootnoteReference"/>
          <w:rFonts w:asciiTheme="minorHAnsi" w:hAnsiTheme="minorHAnsi" w:cstheme="minorHAnsi"/>
          <w:sz w:val="18"/>
          <w:szCs w:val="18"/>
        </w:rPr>
        <w:footnoteRef/>
      </w:r>
      <w:r w:rsidRPr="00DA5D4C">
        <w:rPr>
          <w:rFonts w:asciiTheme="minorHAnsi" w:hAnsiTheme="minorHAnsi" w:cstheme="minorHAnsi"/>
          <w:sz w:val="18"/>
          <w:szCs w:val="18"/>
        </w:rPr>
        <w:t xml:space="preserve"> </w:t>
      </w:r>
      <w:r w:rsidRPr="00DA5D4C">
        <w:rPr>
          <w:rFonts w:asciiTheme="minorHAnsi" w:hAnsiTheme="minorHAnsi" w:cstheme="minorHAnsi"/>
          <w:color w:val="auto"/>
          <w:sz w:val="18"/>
          <w:szCs w:val="18"/>
        </w:rPr>
        <w:t xml:space="preserve">Therapeutic Goods (Medicines Advisory Statements) Specification 2021 </w:t>
      </w:r>
      <w:hyperlink r:id="rId5" w:history="1">
        <w:r w:rsidR="00DA5D4C" w:rsidRPr="00BE5BFF">
          <w:rPr>
            <w:rStyle w:val="Hyperlink"/>
            <w:rFonts w:asciiTheme="minorHAnsi" w:hAnsiTheme="minorHAnsi" w:cstheme="minorHAnsi"/>
            <w:sz w:val="18"/>
            <w:szCs w:val="18"/>
          </w:rPr>
          <w:t>https://www.legislation.gov.au/Details/F2021L01888</w:t>
        </w:r>
      </w:hyperlink>
      <w:r w:rsidRPr="00DA5D4C">
        <w:rPr>
          <w:rFonts w:asciiTheme="minorHAnsi" w:hAnsiTheme="minorHAnsi" w:cstheme="minorHAnsi"/>
          <w:sz w:val="18"/>
          <w:szCs w:val="18"/>
        </w:rPr>
        <w:t xml:space="preserve"> </w:t>
      </w:r>
    </w:p>
  </w:footnote>
  <w:footnote w:id="7">
    <w:p w14:paraId="6CA71384" w14:textId="77777777" w:rsidR="002469EC" w:rsidRPr="00105CEE" w:rsidRDefault="002469EC" w:rsidP="002469EC">
      <w:pPr>
        <w:pStyle w:val="FootnoteText"/>
        <w:rPr>
          <w:sz w:val="18"/>
          <w:szCs w:val="18"/>
        </w:rPr>
      </w:pPr>
      <w:r w:rsidRPr="00DA5D4C">
        <w:rPr>
          <w:rStyle w:val="FootnoteReference"/>
          <w:rFonts w:asciiTheme="minorHAnsi" w:hAnsiTheme="minorHAnsi" w:cstheme="minorHAnsi"/>
          <w:sz w:val="18"/>
          <w:szCs w:val="18"/>
        </w:rPr>
        <w:footnoteRef/>
      </w:r>
      <w:r w:rsidRPr="00DA5D4C">
        <w:rPr>
          <w:rFonts w:asciiTheme="minorHAnsi" w:hAnsiTheme="minorHAnsi" w:cstheme="minorHAnsi"/>
          <w:sz w:val="18"/>
          <w:szCs w:val="18"/>
        </w:rPr>
        <w:t xml:space="preserve"> </w:t>
      </w:r>
      <w:r w:rsidRPr="00DA5D4C">
        <w:rPr>
          <w:rFonts w:asciiTheme="minorHAnsi" w:hAnsiTheme="minorHAnsi" w:cstheme="minorHAnsi"/>
          <w:color w:val="auto"/>
          <w:sz w:val="18"/>
          <w:szCs w:val="18"/>
        </w:rPr>
        <w:t xml:space="preserve">Database of Adverse Event Notifications (DAEN)  </w:t>
      </w:r>
      <w:hyperlink r:id="rId6" w:history="1">
        <w:r w:rsidRPr="00DA5D4C">
          <w:rPr>
            <w:rStyle w:val="Hyperlink"/>
            <w:rFonts w:asciiTheme="minorHAnsi" w:hAnsiTheme="minorHAnsi" w:cstheme="minorHAnsi"/>
            <w:sz w:val="18"/>
            <w:szCs w:val="18"/>
          </w:rPr>
          <w:t>https://apps.tga.gov.au/Prod/daen/daen-entry.aspx</w:t>
        </w:r>
      </w:hyperlink>
      <w:r w:rsidRPr="00105CEE">
        <w:rPr>
          <w:sz w:val="18"/>
          <w:szCs w:val="18"/>
        </w:rPr>
        <w:t xml:space="preserve"> </w:t>
      </w:r>
    </w:p>
  </w:footnote>
  <w:footnote w:id="8">
    <w:p w14:paraId="60A491EF" w14:textId="77777777" w:rsidR="002469EC" w:rsidRPr="00AA4EF4" w:rsidRDefault="002469EC" w:rsidP="002469EC">
      <w:pPr>
        <w:pStyle w:val="FootnoteText"/>
        <w:rPr>
          <w:rFonts w:asciiTheme="minorHAnsi" w:hAnsiTheme="minorHAnsi" w:cstheme="minorHAnsi"/>
          <w:sz w:val="18"/>
          <w:szCs w:val="18"/>
        </w:rPr>
      </w:pPr>
      <w:r w:rsidRPr="00AA4EF4">
        <w:rPr>
          <w:rStyle w:val="FootnoteReference"/>
          <w:color w:val="auto"/>
          <w:sz w:val="18"/>
          <w:szCs w:val="18"/>
        </w:rPr>
        <w:footnoteRef/>
      </w:r>
      <w:r w:rsidRPr="00105CEE">
        <w:rPr>
          <w:sz w:val="18"/>
          <w:szCs w:val="18"/>
        </w:rPr>
        <w:t xml:space="preserve"> </w:t>
      </w:r>
      <w:r w:rsidRPr="00AA4EF4">
        <w:rPr>
          <w:rFonts w:asciiTheme="minorHAnsi" w:hAnsiTheme="minorHAnsi" w:cstheme="minorHAnsi"/>
          <w:color w:val="auto"/>
          <w:sz w:val="18"/>
          <w:szCs w:val="18"/>
        </w:rPr>
        <w:t>Public Chemical Registration Information System Search (</w:t>
      </w:r>
      <w:proofErr w:type="spellStart"/>
      <w:r w:rsidRPr="00AA4EF4">
        <w:rPr>
          <w:rFonts w:asciiTheme="minorHAnsi" w:hAnsiTheme="minorHAnsi" w:cstheme="minorHAnsi"/>
          <w:color w:val="auto"/>
          <w:sz w:val="18"/>
          <w:szCs w:val="18"/>
        </w:rPr>
        <w:t>PubCRIS</w:t>
      </w:r>
      <w:proofErr w:type="spellEnd"/>
      <w:r w:rsidRPr="00AA4EF4">
        <w:rPr>
          <w:rFonts w:asciiTheme="minorHAnsi" w:hAnsiTheme="minorHAnsi" w:cstheme="minorHAnsi"/>
          <w:color w:val="auto"/>
          <w:sz w:val="18"/>
          <w:szCs w:val="18"/>
        </w:rPr>
        <w:t xml:space="preserve">) </w:t>
      </w:r>
      <w:hyperlink r:id="rId7" w:history="1">
        <w:r w:rsidRPr="00AA4EF4">
          <w:rPr>
            <w:rStyle w:val="Hyperlink"/>
            <w:rFonts w:asciiTheme="minorHAnsi" w:hAnsiTheme="minorHAnsi" w:cstheme="minorHAnsi"/>
            <w:sz w:val="18"/>
            <w:szCs w:val="18"/>
          </w:rPr>
          <w:t>https://portal.apvma.gov.au/pubcris</w:t>
        </w:r>
      </w:hyperlink>
      <w:r w:rsidRPr="00AA4EF4">
        <w:rPr>
          <w:rFonts w:asciiTheme="minorHAnsi" w:hAnsiTheme="minorHAnsi" w:cstheme="minorHAnsi"/>
          <w:sz w:val="18"/>
          <w:szCs w:val="18"/>
        </w:rPr>
        <w:t xml:space="preserve"> </w:t>
      </w:r>
    </w:p>
  </w:footnote>
  <w:footnote w:id="9">
    <w:p w14:paraId="0773C70B" w14:textId="1B1313BB" w:rsidR="00F2212C" w:rsidRPr="00AA4EF4" w:rsidRDefault="00F2212C">
      <w:pPr>
        <w:pStyle w:val="FootnoteText"/>
        <w:rPr>
          <w:rFonts w:asciiTheme="minorHAnsi" w:hAnsiTheme="minorHAnsi" w:cstheme="minorHAnsi"/>
          <w:sz w:val="18"/>
          <w:szCs w:val="18"/>
        </w:rPr>
      </w:pPr>
      <w:r w:rsidRPr="00AA4EF4">
        <w:rPr>
          <w:rStyle w:val="FootnoteReference"/>
          <w:rFonts w:asciiTheme="minorHAnsi" w:hAnsiTheme="minorHAnsi" w:cstheme="minorHAnsi"/>
          <w:color w:val="auto"/>
          <w:sz w:val="18"/>
          <w:szCs w:val="18"/>
        </w:rPr>
        <w:footnoteRef/>
      </w:r>
      <w:r w:rsidRPr="00AA4EF4">
        <w:rPr>
          <w:rFonts w:asciiTheme="minorHAnsi" w:hAnsiTheme="minorHAnsi" w:cstheme="minorHAnsi"/>
          <w:color w:val="auto"/>
          <w:sz w:val="18"/>
          <w:szCs w:val="18"/>
        </w:rPr>
        <w:t xml:space="preserve"> HPRA </w:t>
      </w:r>
      <w:hyperlink r:id="rId8" w:history="1">
        <w:r w:rsidRPr="00AA4EF4">
          <w:rPr>
            <w:rStyle w:val="Hyperlink"/>
            <w:rFonts w:asciiTheme="minorHAnsi" w:hAnsiTheme="minorHAnsi" w:cstheme="minorHAnsi"/>
            <w:sz w:val="18"/>
            <w:szCs w:val="18"/>
          </w:rPr>
          <w:t>www.hpra.ie/homepage/medicines/medicines-information/find-a-medicine/results/item?compare=PA23180/018/003,PA23180/018/002</w:t>
        </w:r>
      </w:hyperlink>
    </w:p>
  </w:footnote>
  <w:footnote w:id="10">
    <w:p w14:paraId="44C06EE9" w14:textId="170BDE05" w:rsidR="00C02E41" w:rsidRPr="00AA4EF4" w:rsidRDefault="00C02E41">
      <w:pPr>
        <w:pStyle w:val="FootnoteText"/>
        <w:rPr>
          <w:rFonts w:asciiTheme="minorHAnsi" w:hAnsiTheme="minorHAnsi" w:cstheme="minorHAnsi"/>
          <w:sz w:val="18"/>
          <w:szCs w:val="18"/>
        </w:rPr>
      </w:pPr>
      <w:r w:rsidRPr="00AA4EF4">
        <w:rPr>
          <w:rStyle w:val="FootnoteReference"/>
          <w:rFonts w:asciiTheme="minorHAnsi" w:hAnsiTheme="minorHAnsi" w:cstheme="minorHAnsi"/>
          <w:color w:val="auto"/>
          <w:sz w:val="18"/>
          <w:szCs w:val="18"/>
        </w:rPr>
        <w:footnoteRef/>
      </w:r>
      <w:r w:rsidRPr="00AA4EF4">
        <w:rPr>
          <w:rFonts w:asciiTheme="minorHAnsi" w:hAnsiTheme="minorHAnsi" w:cstheme="minorHAnsi"/>
          <w:color w:val="auto"/>
          <w:sz w:val="18"/>
          <w:szCs w:val="18"/>
        </w:rPr>
        <w:t xml:space="preserve"> Health Canada </w:t>
      </w:r>
      <w:hyperlink r:id="rId9" w:history="1">
        <w:r w:rsidRPr="00AA4EF4">
          <w:rPr>
            <w:rStyle w:val="Hyperlink"/>
            <w:rFonts w:asciiTheme="minorHAnsi" w:hAnsiTheme="minorHAnsi" w:cstheme="minorHAnsi"/>
            <w:sz w:val="18"/>
            <w:szCs w:val="18"/>
          </w:rPr>
          <w:t>health-products.canada.ca/</w:t>
        </w:r>
        <w:proofErr w:type="spellStart"/>
        <w:r w:rsidRPr="00AA4EF4">
          <w:rPr>
            <w:rStyle w:val="Hyperlink"/>
            <w:rFonts w:asciiTheme="minorHAnsi" w:hAnsiTheme="minorHAnsi" w:cstheme="minorHAnsi"/>
            <w:sz w:val="18"/>
            <w:szCs w:val="18"/>
          </w:rPr>
          <w:t>dpd-bdpp</w:t>
        </w:r>
        <w:proofErr w:type="spellEnd"/>
        <w:r w:rsidRPr="00AA4EF4">
          <w:rPr>
            <w:rStyle w:val="Hyperlink"/>
            <w:rFonts w:asciiTheme="minorHAnsi" w:hAnsiTheme="minorHAnsi" w:cstheme="minorHAnsi"/>
            <w:sz w:val="18"/>
            <w:szCs w:val="18"/>
          </w:rPr>
          <w:t>/dispatch-repartition</w:t>
        </w:r>
      </w:hyperlink>
    </w:p>
  </w:footnote>
  <w:footnote w:id="11">
    <w:p w14:paraId="1F3AB62A" w14:textId="7F9E0161" w:rsidR="00FD2E05" w:rsidRPr="00AA4EF4" w:rsidRDefault="00FD2E05">
      <w:pPr>
        <w:pStyle w:val="FootnoteText"/>
        <w:rPr>
          <w:rFonts w:asciiTheme="minorHAnsi" w:hAnsiTheme="minorHAnsi" w:cstheme="minorHAnsi"/>
          <w:sz w:val="18"/>
          <w:szCs w:val="18"/>
        </w:rPr>
      </w:pPr>
      <w:r w:rsidRPr="00AA4EF4">
        <w:rPr>
          <w:rStyle w:val="FootnoteReference"/>
          <w:rFonts w:asciiTheme="minorHAnsi" w:hAnsiTheme="minorHAnsi" w:cstheme="minorHAnsi"/>
          <w:color w:val="auto"/>
          <w:sz w:val="18"/>
          <w:szCs w:val="18"/>
        </w:rPr>
        <w:footnoteRef/>
      </w:r>
      <w:r w:rsidRPr="00AA4EF4">
        <w:rPr>
          <w:rFonts w:asciiTheme="minorHAnsi" w:hAnsiTheme="minorHAnsi" w:cstheme="minorHAnsi"/>
          <w:color w:val="auto"/>
          <w:sz w:val="18"/>
          <w:szCs w:val="18"/>
        </w:rPr>
        <w:t xml:space="preserve"> NZ </w:t>
      </w:r>
      <w:proofErr w:type="spellStart"/>
      <w:r w:rsidRPr="00AA4EF4">
        <w:rPr>
          <w:rFonts w:asciiTheme="minorHAnsi" w:hAnsiTheme="minorHAnsi" w:cstheme="minorHAnsi"/>
          <w:color w:val="auto"/>
          <w:sz w:val="18"/>
          <w:szCs w:val="18"/>
        </w:rPr>
        <w:t>Medsafe</w:t>
      </w:r>
      <w:proofErr w:type="spellEnd"/>
      <w:r w:rsidRPr="00AA4EF4">
        <w:rPr>
          <w:rFonts w:asciiTheme="minorHAnsi" w:hAnsiTheme="minorHAnsi" w:cstheme="minorHAnsi"/>
          <w:color w:val="auto"/>
          <w:sz w:val="18"/>
          <w:szCs w:val="18"/>
        </w:rPr>
        <w:t xml:space="preserve"> </w:t>
      </w:r>
      <w:hyperlink r:id="rId10" w:history="1">
        <w:r w:rsidRPr="00AA4EF4">
          <w:rPr>
            <w:rStyle w:val="Hyperlink"/>
            <w:rFonts w:asciiTheme="minorHAnsi" w:hAnsiTheme="minorHAnsi" w:cstheme="minorHAnsi"/>
            <w:sz w:val="18"/>
            <w:szCs w:val="18"/>
          </w:rPr>
          <w:t>http://www.medsafe.govt.nz/profs/class/classintro.asp</w:t>
        </w:r>
      </w:hyperlink>
    </w:p>
  </w:footnote>
  <w:footnote w:id="12">
    <w:p w14:paraId="0145426A" w14:textId="1990788D" w:rsidR="00FD2E05" w:rsidRPr="00AA4EF4" w:rsidRDefault="00FD2E05">
      <w:pPr>
        <w:pStyle w:val="FootnoteText"/>
        <w:rPr>
          <w:rFonts w:asciiTheme="minorHAnsi" w:hAnsiTheme="minorHAnsi" w:cstheme="minorHAnsi"/>
          <w:sz w:val="18"/>
          <w:szCs w:val="18"/>
        </w:rPr>
      </w:pPr>
      <w:r w:rsidRPr="00AA4EF4">
        <w:rPr>
          <w:rStyle w:val="FootnoteReference"/>
          <w:rFonts w:asciiTheme="minorHAnsi" w:hAnsiTheme="minorHAnsi" w:cstheme="minorHAnsi"/>
          <w:color w:val="auto"/>
          <w:sz w:val="18"/>
          <w:szCs w:val="18"/>
        </w:rPr>
        <w:footnoteRef/>
      </w:r>
      <w:r w:rsidRPr="00AA4EF4">
        <w:rPr>
          <w:rFonts w:asciiTheme="minorHAnsi" w:hAnsiTheme="minorHAnsi" w:cstheme="minorHAnsi"/>
          <w:color w:val="auto"/>
          <w:sz w:val="18"/>
          <w:szCs w:val="18"/>
        </w:rPr>
        <w:t xml:space="preserve"> </w:t>
      </w:r>
      <w:proofErr w:type="spellStart"/>
      <w:r w:rsidRPr="00AA4EF4">
        <w:rPr>
          <w:rFonts w:asciiTheme="minorHAnsi" w:hAnsiTheme="minorHAnsi" w:cstheme="minorHAnsi"/>
          <w:color w:val="auto"/>
          <w:sz w:val="18"/>
          <w:szCs w:val="18"/>
        </w:rPr>
        <w:t>Drugs@FDA</w:t>
      </w:r>
      <w:proofErr w:type="spellEnd"/>
      <w:r w:rsidRPr="00AA4EF4">
        <w:rPr>
          <w:rFonts w:asciiTheme="minorHAnsi" w:hAnsiTheme="minorHAnsi" w:cstheme="minorHAnsi"/>
          <w:color w:val="auto"/>
          <w:sz w:val="18"/>
          <w:szCs w:val="18"/>
        </w:rPr>
        <w:t xml:space="preserve"> </w:t>
      </w:r>
      <w:hyperlink r:id="rId11" w:history="1">
        <w:r w:rsidRPr="00AA4EF4">
          <w:rPr>
            <w:rStyle w:val="Hyperlink"/>
            <w:rFonts w:asciiTheme="minorHAnsi" w:hAnsiTheme="minorHAnsi" w:cstheme="minorHAnsi"/>
            <w:sz w:val="18"/>
            <w:szCs w:val="18"/>
          </w:rPr>
          <w:t>www.accessdata.fda.gov/scripts/cder/daf/index.cfm?event=BasicSearch.process</w:t>
        </w:r>
      </w:hyperlink>
    </w:p>
  </w:footnote>
  <w:footnote w:id="13">
    <w:p w14:paraId="5373D327" w14:textId="64073E47" w:rsidR="00FD2E05" w:rsidRDefault="00FD2E05">
      <w:pPr>
        <w:pStyle w:val="FootnoteText"/>
      </w:pPr>
      <w:r w:rsidRPr="00AA4EF4">
        <w:rPr>
          <w:rStyle w:val="FootnoteReference"/>
          <w:rFonts w:asciiTheme="minorHAnsi" w:hAnsiTheme="minorHAnsi" w:cstheme="minorHAnsi"/>
          <w:color w:val="auto"/>
          <w:sz w:val="18"/>
          <w:szCs w:val="18"/>
        </w:rPr>
        <w:footnoteRef/>
      </w:r>
      <w:r w:rsidRPr="00AA4EF4">
        <w:rPr>
          <w:rFonts w:asciiTheme="minorHAnsi" w:hAnsiTheme="minorHAnsi" w:cstheme="minorHAnsi"/>
          <w:color w:val="auto"/>
          <w:sz w:val="18"/>
          <w:szCs w:val="18"/>
        </w:rPr>
        <w:t xml:space="preserve"> UK Govt statement on laxatives </w:t>
      </w:r>
      <w:hyperlink r:id="rId12" w:history="1">
        <w:r w:rsidRPr="00AA4EF4">
          <w:rPr>
            <w:rStyle w:val="Hyperlink"/>
            <w:rFonts w:asciiTheme="minorHAnsi" w:hAnsiTheme="minorHAnsi" w:cstheme="minorHAnsi"/>
            <w:sz w:val="18"/>
            <w:szCs w:val="18"/>
          </w:rPr>
          <w:t>www.gov.uk/drug-safety-update/stimulant-laxatives-bisacodyl-senna-and-sennosides-sodium-picosulfate-available-over-the-counter-new-measures-to-support-safe-use</w:t>
        </w:r>
      </w:hyperlink>
    </w:p>
  </w:footnote>
  <w:footnote w:id="14">
    <w:p w14:paraId="0D71BE9C" w14:textId="77777777" w:rsidR="00A32EA5" w:rsidRPr="00AA4EF4" w:rsidRDefault="00A32EA5" w:rsidP="00A32EA5">
      <w:pPr>
        <w:pStyle w:val="FootnoteText"/>
        <w:rPr>
          <w:rFonts w:asciiTheme="minorHAnsi" w:hAnsiTheme="minorHAnsi" w:cstheme="minorHAnsi"/>
          <w:sz w:val="18"/>
          <w:szCs w:val="18"/>
        </w:rPr>
      </w:pPr>
      <w:r w:rsidRPr="00AA4EF4">
        <w:rPr>
          <w:rStyle w:val="FootnoteReference"/>
          <w:rFonts w:asciiTheme="minorHAnsi" w:hAnsiTheme="minorHAnsi" w:cstheme="minorHAnsi"/>
          <w:color w:val="auto"/>
          <w:sz w:val="18"/>
          <w:szCs w:val="18"/>
        </w:rPr>
        <w:footnoteRef/>
      </w:r>
      <w:r w:rsidRPr="00AA4EF4">
        <w:rPr>
          <w:rFonts w:asciiTheme="minorHAnsi" w:hAnsiTheme="minorHAnsi" w:cstheme="minorHAnsi"/>
          <w:color w:val="auto"/>
          <w:sz w:val="18"/>
          <w:szCs w:val="18"/>
        </w:rPr>
        <w:t xml:space="preserve"> Proposed additions are shown in green underlined font, proposed deletions are shown in red strikethrough font, and text without this formatting represents the current text in the Poisons Standard.</w:t>
      </w:r>
    </w:p>
  </w:footnote>
  <w:footnote w:id="15">
    <w:p w14:paraId="163AD493" w14:textId="77777777" w:rsidR="006E4A7C" w:rsidRPr="0018568F" w:rsidRDefault="006E4A7C" w:rsidP="006E4A7C">
      <w:pPr>
        <w:pStyle w:val="FootnoteText"/>
        <w:rPr>
          <w:rFonts w:asciiTheme="minorHAnsi" w:hAnsiTheme="minorHAnsi" w:cstheme="minorHAnsi"/>
          <w:sz w:val="18"/>
          <w:szCs w:val="18"/>
        </w:rPr>
      </w:pPr>
      <w:r w:rsidRPr="0018568F">
        <w:rPr>
          <w:rStyle w:val="FootnoteReference"/>
          <w:rFonts w:asciiTheme="minorHAnsi" w:hAnsiTheme="minorHAnsi" w:cstheme="minorHAnsi"/>
          <w:color w:val="auto"/>
          <w:sz w:val="18"/>
          <w:szCs w:val="18"/>
        </w:rPr>
        <w:footnoteRef/>
      </w:r>
      <w:r w:rsidRPr="0018568F">
        <w:rPr>
          <w:rFonts w:asciiTheme="minorHAnsi" w:hAnsiTheme="minorHAnsi" w:cstheme="minorHAnsi"/>
          <w:color w:val="auto"/>
          <w:sz w:val="18"/>
          <w:szCs w:val="18"/>
        </w:rPr>
        <w:t xml:space="preserve"> ARTG database </w:t>
      </w:r>
      <w:hyperlink r:id="rId13" w:history="1">
        <w:r w:rsidRPr="0018568F">
          <w:rPr>
            <w:rStyle w:val="Hyperlink"/>
            <w:rFonts w:asciiTheme="minorHAnsi" w:hAnsiTheme="minorHAnsi" w:cstheme="minorHAnsi"/>
            <w:sz w:val="18"/>
            <w:szCs w:val="18"/>
          </w:rPr>
          <w:t>https://www.tga.gov.au/artg</w:t>
        </w:r>
      </w:hyperlink>
      <w:r w:rsidRPr="0018568F">
        <w:rPr>
          <w:rFonts w:asciiTheme="minorHAnsi" w:hAnsiTheme="minorHAnsi" w:cstheme="minorHAnsi"/>
          <w:sz w:val="18"/>
          <w:szCs w:val="18"/>
        </w:rPr>
        <w:t xml:space="preserve"> </w:t>
      </w:r>
    </w:p>
  </w:footnote>
  <w:footnote w:id="16">
    <w:p w14:paraId="5CCC75E7" w14:textId="77777777" w:rsidR="00685E72" w:rsidRPr="0018568F" w:rsidRDefault="00685E72" w:rsidP="00685E72">
      <w:pPr>
        <w:pStyle w:val="FootnoteText"/>
        <w:rPr>
          <w:rFonts w:asciiTheme="minorHAnsi" w:hAnsiTheme="minorHAnsi" w:cstheme="minorHAnsi"/>
          <w:sz w:val="18"/>
          <w:szCs w:val="18"/>
        </w:rPr>
      </w:pPr>
      <w:r w:rsidRPr="0018568F">
        <w:rPr>
          <w:rStyle w:val="FootnoteReference"/>
          <w:rFonts w:asciiTheme="minorHAnsi" w:hAnsiTheme="minorHAnsi" w:cstheme="minorHAnsi"/>
          <w:color w:val="000000" w:themeColor="text1"/>
          <w:sz w:val="18"/>
          <w:szCs w:val="18"/>
        </w:rPr>
        <w:footnoteRef/>
      </w:r>
      <w:r w:rsidRPr="0018568F">
        <w:rPr>
          <w:rFonts w:asciiTheme="minorHAnsi" w:hAnsiTheme="minorHAnsi" w:cstheme="minorHAnsi"/>
          <w:color w:val="000000" w:themeColor="text1"/>
          <w:sz w:val="18"/>
          <w:szCs w:val="18"/>
        </w:rPr>
        <w:t xml:space="preserve"> TGA Ingredient Database </w:t>
      </w:r>
      <w:hyperlink r:id="rId14" w:history="1">
        <w:r w:rsidRPr="0018568F">
          <w:rPr>
            <w:rStyle w:val="Hyperlink"/>
            <w:rFonts w:asciiTheme="minorHAnsi" w:hAnsiTheme="minorHAnsi" w:cstheme="minorHAnsi"/>
            <w:sz w:val="18"/>
            <w:szCs w:val="18"/>
          </w:rPr>
          <w:t>https://www.ebs.tga.gov.au/</w:t>
        </w:r>
      </w:hyperlink>
    </w:p>
  </w:footnote>
  <w:footnote w:id="17">
    <w:p w14:paraId="253F4B02" w14:textId="77777777" w:rsidR="00685E72" w:rsidRPr="0018568F" w:rsidRDefault="00685E72" w:rsidP="00685E72">
      <w:pPr>
        <w:pStyle w:val="FootnoteText"/>
        <w:rPr>
          <w:rFonts w:asciiTheme="minorHAnsi" w:hAnsiTheme="minorHAnsi" w:cstheme="minorHAnsi"/>
          <w:sz w:val="18"/>
          <w:szCs w:val="18"/>
        </w:rPr>
      </w:pPr>
      <w:r w:rsidRPr="0018568F">
        <w:rPr>
          <w:rStyle w:val="FootnoteReference"/>
          <w:rFonts w:asciiTheme="minorHAnsi" w:hAnsiTheme="minorHAnsi" w:cstheme="minorHAnsi"/>
          <w:color w:val="000000" w:themeColor="text1"/>
          <w:sz w:val="18"/>
          <w:szCs w:val="18"/>
        </w:rPr>
        <w:footnoteRef/>
      </w:r>
      <w:r w:rsidRPr="0018568F">
        <w:rPr>
          <w:rFonts w:asciiTheme="minorHAnsi" w:hAnsiTheme="minorHAnsi" w:cstheme="minorHAnsi"/>
          <w:color w:val="000000" w:themeColor="text1"/>
          <w:sz w:val="18"/>
          <w:szCs w:val="18"/>
        </w:rPr>
        <w:t xml:space="preserve"> Therapeutic Goods (Permissible Ingredients) Determination </w:t>
      </w:r>
      <w:hyperlink r:id="rId15" w:history="1">
        <w:r w:rsidRPr="0018568F">
          <w:rPr>
            <w:rStyle w:val="Hyperlink"/>
            <w:rFonts w:asciiTheme="minorHAnsi" w:hAnsiTheme="minorHAnsi" w:cstheme="minorHAnsi"/>
            <w:sz w:val="18"/>
            <w:szCs w:val="18"/>
          </w:rPr>
          <w:t>https://www.legislation.gov.au/Search/Therapeutic%20Goods%20$LB$Permissible%20Ingredients$RB$%20Determination</w:t>
        </w:r>
      </w:hyperlink>
      <w:r w:rsidRPr="0018568F">
        <w:rPr>
          <w:rFonts w:asciiTheme="minorHAnsi" w:hAnsiTheme="minorHAnsi" w:cstheme="minorHAnsi"/>
          <w:sz w:val="18"/>
          <w:szCs w:val="18"/>
        </w:rPr>
        <w:t xml:space="preserve"> </w:t>
      </w:r>
    </w:p>
  </w:footnote>
  <w:footnote w:id="18">
    <w:p w14:paraId="4BD5B471" w14:textId="77777777" w:rsidR="00685E72" w:rsidRPr="0018568F" w:rsidRDefault="00685E72" w:rsidP="00685E72">
      <w:pPr>
        <w:pStyle w:val="FootnoteText"/>
        <w:rPr>
          <w:rFonts w:asciiTheme="minorHAnsi" w:hAnsiTheme="minorHAnsi" w:cstheme="minorHAnsi"/>
          <w:sz w:val="18"/>
          <w:szCs w:val="18"/>
        </w:rPr>
      </w:pPr>
      <w:r w:rsidRPr="0018568F">
        <w:rPr>
          <w:rStyle w:val="FootnoteReference"/>
          <w:rFonts w:asciiTheme="minorHAnsi" w:hAnsiTheme="minorHAnsi" w:cstheme="minorHAnsi"/>
          <w:color w:val="000000" w:themeColor="text1"/>
          <w:sz w:val="18"/>
          <w:szCs w:val="18"/>
        </w:rPr>
        <w:footnoteRef/>
      </w:r>
      <w:r w:rsidRPr="0018568F">
        <w:rPr>
          <w:rFonts w:asciiTheme="minorHAnsi" w:hAnsiTheme="minorHAnsi" w:cstheme="minorHAnsi"/>
          <w:color w:val="000000" w:themeColor="text1"/>
          <w:sz w:val="18"/>
          <w:szCs w:val="18"/>
        </w:rPr>
        <w:t xml:space="preserve"> TGA prescribing medicines in pregnancy database </w:t>
      </w:r>
      <w:hyperlink r:id="rId16" w:history="1">
        <w:r w:rsidRPr="0018568F">
          <w:rPr>
            <w:rStyle w:val="Hyperlink"/>
            <w:rFonts w:asciiTheme="minorHAnsi" w:hAnsiTheme="minorHAnsi" w:cstheme="minorHAnsi"/>
            <w:sz w:val="18"/>
            <w:szCs w:val="18"/>
          </w:rPr>
          <w:t>https://www.tga.gov.au/prescribing-medicines-pregnancy-database</w:t>
        </w:r>
      </w:hyperlink>
      <w:r w:rsidRPr="0018568F">
        <w:rPr>
          <w:rFonts w:asciiTheme="minorHAnsi" w:hAnsiTheme="minorHAnsi" w:cstheme="minorHAnsi"/>
          <w:sz w:val="18"/>
          <w:szCs w:val="18"/>
        </w:rPr>
        <w:t xml:space="preserve"> </w:t>
      </w:r>
    </w:p>
  </w:footnote>
  <w:footnote w:id="19">
    <w:p w14:paraId="7BEF090D" w14:textId="77777777" w:rsidR="00685E72" w:rsidRPr="0018568F" w:rsidRDefault="00685E72" w:rsidP="00685E72">
      <w:pPr>
        <w:pStyle w:val="FootnoteText"/>
        <w:rPr>
          <w:rFonts w:asciiTheme="minorHAnsi" w:hAnsiTheme="minorHAnsi" w:cstheme="minorHAnsi"/>
          <w:sz w:val="18"/>
          <w:szCs w:val="18"/>
        </w:rPr>
      </w:pPr>
      <w:r w:rsidRPr="0018568F">
        <w:rPr>
          <w:rStyle w:val="FootnoteReference"/>
          <w:rFonts w:asciiTheme="minorHAnsi" w:hAnsiTheme="minorHAnsi" w:cstheme="minorHAnsi"/>
          <w:color w:val="000000" w:themeColor="text1"/>
          <w:sz w:val="18"/>
          <w:szCs w:val="18"/>
        </w:rPr>
        <w:footnoteRef/>
      </w:r>
      <w:r w:rsidRPr="0018568F">
        <w:rPr>
          <w:rFonts w:asciiTheme="minorHAnsi" w:hAnsiTheme="minorHAnsi" w:cstheme="minorHAnsi"/>
          <w:color w:val="000000" w:themeColor="text1"/>
          <w:sz w:val="18"/>
          <w:szCs w:val="18"/>
        </w:rPr>
        <w:t xml:space="preserve"> Therapeutic Goods (Medicines Advisory Statements) Specification 2021 </w:t>
      </w:r>
      <w:r w:rsidRPr="0018568F">
        <w:rPr>
          <w:rStyle w:val="Hyperlink"/>
          <w:rFonts w:asciiTheme="minorHAnsi" w:hAnsiTheme="minorHAnsi" w:cstheme="minorHAnsi"/>
          <w:color w:val="000000" w:themeColor="text1"/>
          <w:sz w:val="18"/>
          <w:szCs w:val="18"/>
        </w:rPr>
        <w:t xml:space="preserve"> </w:t>
      </w:r>
      <w:hyperlink r:id="rId17" w:history="1">
        <w:r w:rsidRPr="0018568F">
          <w:rPr>
            <w:rStyle w:val="Hyperlink"/>
            <w:rFonts w:asciiTheme="minorHAnsi" w:hAnsiTheme="minorHAnsi" w:cstheme="minorHAnsi"/>
            <w:sz w:val="18"/>
            <w:szCs w:val="18"/>
          </w:rPr>
          <w:t>https://www.legislation.gov.au/Details/F2021L01888</w:t>
        </w:r>
      </w:hyperlink>
      <w:r w:rsidRPr="0018568F">
        <w:rPr>
          <w:rFonts w:asciiTheme="minorHAnsi" w:hAnsiTheme="minorHAnsi" w:cstheme="minorHAnsi"/>
          <w:sz w:val="18"/>
          <w:szCs w:val="18"/>
        </w:rPr>
        <w:t xml:space="preserve"> </w:t>
      </w:r>
    </w:p>
  </w:footnote>
  <w:footnote w:id="20">
    <w:p w14:paraId="1C3B2DE3" w14:textId="77777777" w:rsidR="00685E72" w:rsidRPr="00105CEE" w:rsidRDefault="00685E72" w:rsidP="00685E72">
      <w:pPr>
        <w:pStyle w:val="FootnoteText"/>
        <w:rPr>
          <w:sz w:val="18"/>
          <w:szCs w:val="18"/>
        </w:rPr>
      </w:pPr>
      <w:r w:rsidRPr="0018568F">
        <w:rPr>
          <w:rStyle w:val="FootnoteReference"/>
          <w:rFonts w:asciiTheme="minorHAnsi" w:hAnsiTheme="minorHAnsi" w:cstheme="minorHAnsi"/>
          <w:color w:val="000000" w:themeColor="text1"/>
          <w:sz w:val="18"/>
          <w:szCs w:val="18"/>
        </w:rPr>
        <w:footnoteRef/>
      </w:r>
      <w:r w:rsidRPr="0018568F">
        <w:rPr>
          <w:rFonts w:asciiTheme="minorHAnsi" w:hAnsiTheme="minorHAnsi" w:cstheme="minorHAnsi"/>
          <w:color w:val="000000" w:themeColor="text1"/>
          <w:sz w:val="18"/>
          <w:szCs w:val="18"/>
        </w:rPr>
        <w:t xml:space="preserve"> Database of Adverse Event Notifications (DAEN)  </w:t>
      </w:r>
      <w:hyperlink r:id="rId18" w:history="1">
        <w:r w:rsidRPr="0018568F">
          <w:rPr>
            <w:rStyle w:val="Hyperlink"/>
            <w:rFonts w:asciiTheme="minorHAnsi" w:hAnsiTheme="minorHAnsi" w:cstheme="minorHAnsi"/>
            <w:sz w:val="18"/>
            <w:szCs w:val="18"/>
          </w:rPr>
          <w:t>https://apps.tga.gov.au/Prod/daen/daen-entry.aspx</w:t>
        </w:r>
      </w:hyperlink>
      <w:r w:rsidRPr="00105CEE">
        <w:rPr>
          <w:sz w:val="18"/>
          <w:szCs w:val="18"/>
        </w:rPr>
        <w:t xml:space="preserve"> </w:t>
      </w:r>
    </w:p>
  </w:footnote>
  <w:footnote w:id="21">
    <w:p w14:paraId="255C222D" w14:textId="77777777" w:rsidR="00685E72" w:rsidRPr="0018568F" w:rsidRDefault="00685E72" w:rsidP="00685E72">
      <w:pPr>
        <w:pStyle w:val="FootnoteText"/>
        <w:rPr>
          <w:rFonts w:asciiTheme="minorHAnsi" w:hAnsiTheme="minorHAnsi" w:cstheme="minorHAnsi"/>
          <w:sz w:val="18"/>
          <w:szCs w:val="18"/>
        </w:rPr>
      </w:pPr>
      <w:r w:rsidRPr="0018568F">
        <w:rPr>
          <w:rStyle w:val="FootnoteReference"/>
          <w:rFonts w:asciiTheme="minorHAnsi" w:hAnsiTheme="minorHAnsi" w:cstheme="minorHAnsi"/>
          <w:color w:val="000000" w:themeColor="text1"/>
          <w:sz w:val="18"/>
          <w:szCs w:val="18"/>
        </w:rPr>
        <w:footnoteRef/>
      </w:r>
      <w:r w:rsidRPr="0018568F">
        <w:rPr>
          <w:rFonts w:asciiTheme="minorHAnsi" w:hAnsiTheme="minorHAnsi" w:cstheme="minorHAnsi"/>
          <w:color w:val="000000" w:themeColor="text1"/>
          <w:sz w:val="18"/>
          <w:szCs w:val="18"/>
        </w:rPr>
        <w:t xml:space="preserve"> Public Chemical Registration Information System Search (</w:t>
      </w:r>
      <w:proofErr w:type="spellStart"/>
      <w:r w:rsidRPr="0018568F">
        <w:rPr>
          <w:rFonts w:asciiTheme="minorHAnsi" w:hAnsiTheme="minorHAnsi" w:cstheme="minorHAnsi"/>
          <w:color w:val="000000" w:themeColor="text1"/>
          <w:sz w:val="18"/>
          <w:szCs w:val="18"/>
        </w:rPr>
        <w:t>PubCRIS</w:t>
      </w:r>
      <w:proofErr w:type="spellEnd"/>
      <w:r w:rsidRPr="0018568F">
        <w:rPr>
          <w:rFonts w:asciiTheme="minorHAnsi" w:hAnsiTheme="minorHAnsi" w:cstheme="minorHAnsi"/>
          <w:color w:val="000000" w:themeColor="text1"/>
          <w:sz w:val="18"/>
          <w:szCs w:val="18"/>
        </w:rPr>
        <w:t xml:space="preserve">) </w:t>
      </w:r>
      <w:hyperlink r:id="rId19" w:history="1">
        <w:r w:rsidRPr="0018568F">
          <w:rPr>
            <w:rStyle w:val="Hyperlink"/>
            <w:rFonts w:asciiTheme="minorHAnsi" w:hAnsiTheme="minorHAnsi" w:cstheme="minorHAnsi"/>
            <w:sz w:val="18"/>
            <w:szCs w:val="18"/>
          </w:rPr>
          <w:t>https://portal.apvma.gov.au/pubcris</w:t>
        </w:r>
      </w:hyperlink>
      <w:r w:rsidRPr="0018568F">
        <w:rPr>
          <w:rFonts w:asciiTheme="minorHAnsi" w:hAnsiTheme="minorHAnsi" w:cstheme="minorHAnsi"/>
          <w:sz w:val="18"/>
          <w:szCs w:val="18"/>
        </w:rPr>
        <w:t xml:space="preserve"> </w:t>
      </w:r>
    </w:p>
  </w:footnote>
  <w:footnote w:id="22">
    <w:p w14:paraId="11A79B90" w14:textId="77F02861" w:rsidR="001F1C46" w:rsidRDefault="001F1C46">
      <w:pPr>
        <w:pStyle w:val="FootnoteText"/>
      </w:pPr>
      <w:r w:rsidRPr="001F1C46">
        <w:rPr>
          <w:rStyle w:val="FootnoteReference"/>
          <w:sz w:val="18"/>
          <w:szCs w:val="18"/>
        </w:rPr>
        <w:footnoteRef/>
      </w:r>
      <w:r w:rsidRPr="001F1C46">
        <w:rPr>
          <w:sz w:val="18"/>
          <w:szCs w:val="18"/>
        </w:rPr>
        <w:t xml:space="preserve"> </w:t>
      </w:r>
      <w:proofErr w:type="spellStart"/>
      <w:r w:rsidRPr="00AA0B09">
        <w:rPr>
          <w:color w:val="000000" w:themeColor="text1"/>
          <w:sz w:val="18"/>
          <w:szCs w:val="18"/>
        </w:rPr>
        <w:t>Drugs@FDA</w:t>
      </w:r>
      <w:proofErr w:type="spellEnd"/>
      <w:r w:rsidRPr="00AA0B09">
        <w:rPr>
          <w:color w:val="000000" w:themeColor="text1"/>
          <w:sz w:val="18"/>
          <w:szCs w:val="18"/>
        </w:rPr>
        <w:t xml:space="preserve"> </w:t>
      </w:r>
      <w:hyperlink r:id="rId20" w:history="1">
        <w:r w:rsidRPr="001F1C46">
          <w:rPr>
            <w:rStyle w:val="Hyperlink"/>
            <w:sz w:val="18"/>
            <w:szCs w:val="18"/>
          </w:rPr>
          <w:t>www.accessdata.fda.gov/scripts/cder/daf/index.cfm?event=BasicSearch.process</w:t>
        </w:r>
      </w:hyperlink>
    </w:p>
  </w:footnote>
  <w:footnote w:id="23">
    <w:p w14:paraId="1DC2A023" w14:textId="75B24D79" w:rsidR="003131B4" w:rsidRDefault="003131B4">
      <w:pPr>
        <w:pStyle w:val="FootnoteText"/>
      </w:pPr>
      <w:r w:rsidRPr="00AA0B09">
        <w:rPr>
          <w:rStyle w:val="FootnoteReference"/>
          <w:color w:val="000000" w:themeColor="text1"/>
        </w:rPr>
        <w:footnoteRef/>
      </w:r>
      <w:r w:rsidRPr="00AA0B09">
        <w:rPr>
          <w:color w:val="000000" w:themeColor="text1"/>
        </w:rPr>
        <w:t xml:space="preserve"> </w:t>
      </w:r>
      <w:proofErr w:type="spellStart"/>
      <w:r w:rsidRPr="00AA0B09">
        <w:rPr>
          <w:color w:val="000000" w:themeColor="text1"/>
          <w:sz w:val="18"/>
          <w:szCs w:val="18"/>
        </w:rPr>
        <w:t>Medsafe</w:t>
      </w:r>
      <w:proofErr w:type="spellEnd"/>
      <w:r w:rsidRPr="00AA0B09">
        <w:rPr>
          <w:color w:val="000000" w:themeColor="text1"/>
          <w:sz w:val="18"/>
          <w:szCs w:val="18"/>
        </w:rPr>
        <w:t xml:space="preserve"> </w:t>
      </w:r>
      <w:hyperlink r:id="rId21" w:history="1">
        <w:r w:rsidRPr="003131B4">
          <w:rPr>
            <w:rStyle w:val="Hyperlink"/>
            <w:sz w:val="18"/>
            <w:szCs w:val="18"/>
          </w:rPr>
          <w:t>www.medsafe.govt.nz/profs/class/classintro.asp</w:t>
        </w:r>
      </w:hyperlink>
    </w:p>
  </w:footnote>
  <w:footnote w:id="24">
    <w:p w14:paraId="05D01A0A" w14:textId="5C8FBC36" w:rsidR="003131B4" w:rsidRDefault="003131B4">
      <w:pPr>
        <w:pStyle w:val="FootnoteText"/>
      </w:pPr>
      <w:r w:rsidRPr="00AA0B09">
        <w:rPr>
          <w:rStyle w:val="FootnoteReference"/>
          <w:color w:val="000000" w:themeColor="text1"/>
        </w:rPr>
        <w:footnoteRef/>
      </w:r>
      <w:r w:rsidRPr="00AA0B09">
        <w:rPr>
          <w:color w:val="000000" w:themeColor="text1"/>
        </w:rPr>
        <w:t xml:space="preserve"> </w:t>
      </w:r>
      <w:r w:rsidRPr="00AA0B09">
        <w:rPr>
          <w:color w:val="000000" w:themeColor="text1"/>
          <w:sz w:val="18"/>
          <w:szCs w:val="18"/>
        </w:rPr>
        <w:t xml:space="preserve">Health Canada </w:t>
      </w:r>
      <w:hyperlink r:id="rId22" w:anchor="results" w:history="1">
        <w:r w:rsidRPr="003131B4">
          <w:rPr>
            <w:rStyle w:val="Hyperlink"/>
            <w:sz w:val="18"/>
            <w:szCs w:val="18"/>
          </w:rPr>
          <w:t>health-products.canada.ca/</w:t>
        </w:r>
        <w:proofErr w:type="spellStart"/>
        <w:r w:rsidRPr="003131B4">
          <w:rPr>
            <w:rStyle w:val="Hyperlink"/>
            <w:sz w:val="18"/>
            <w:szCs w:val="18"/>
          </w:rPr>
          <w:t>dpd-bdpp</w:t>
        </w:r>
        <w:proofErr w:type="spellEnd"/>
        <w:r w:rsidRPr="003131B4">
          <w:rPr>
            <w:rStyle w:val="Hyperlink"/>
            <w:sz w:val="18"/>
            <w:szCs w:val="18"/>
          </w:rPr>
          <w:t>/</w:t>
        </w:r>
        <w:proofErr w:type="spellStart"/>
        <w:r w:rsidRPr="003131B4">
          <w:rPr>
            <w:rStyle w:val="Hyperlink"/>
            <w:sz w:val="18"/>
            <w:szCs w:val="18"/>
          </w:rPr>
          <w:t>dispatch-repartition#results</w:t>
        </w:r>
        <w:proofErr w:type="spellEnd"/>
      </w:hyperlink>
    </w:p>
  </w:footnote>
  <w:footnote w:id="25">
    <w:p w14:paraId="69A4B0D3" w14:textId="1D3D030A" w:rsidR="00685E72" w:rsidRPr="00AA0B09" w:rsidRDefault="00685E72" w:rsidP="00685E72">
      <w:pPr>
        <w:pStyle w:val="FootnoteText"/>
        <w:rPr>
          <w:rFonts w:asciiTheme="minorHAnsi" w:hAnsiTheme="minorHAnsi" w:cstheme="minorHAnsi"/>
        </w:rPr>
      </w:pPr>
      <w:r w:rsidRPr="00AA0B09">
        <w:rPr>
          <w:rStyle w:val="FootnoteReference"/>
          <w:rFonts w:asciiTheme="minorHAnsi" w:hAnsiTheme="minorHAnsi" w:cstheme="minorHAnsi"/>
          <w:color w:val="000000" w:themeColor="text1"/>
        </w:rPr>
        <w:footnoteRef/>
      </w:r>
      <w:r w:rsidRPr="00AA0B09">
        <w:rPr>
          <w:rFonts w:asciiTheme="minorHAnsi" w:hAnsiTheme="minorHAnsi" w:cstheme="minorHAnsi"/>
          <w:color w:val="000000" w:themeColor="text1"/>
        </w:rPr>
        <w:t xml:space="preserve"> Proposed additions are shown in green underlined font, proposed deletions are shown in red strikethrough font, and text without this formatting represents the text in the Poisons Standard</w:t>
      </w:r>
      <w:r w:rsidR="00DC36FC">
        <w:rPr>
          <w:rFonts w:asciiTheme="minorHAnsi" w:hAnsiTheme="minorHAnsi" w:cstheme="minorHAnsi"/>
          <w:color w:val="000000" w:themeColor="text1"/>
        </w:rPr>
        <w:t xml:space="preserve"> as it is currently due to appear from 1 October 2023</w:t>
      </w:r>
      <w:r w:rsidRPr="00AA0B09">
        <w:rPr>
          <w:rFonts w:asciiTheme="minorHAnsi" w:hAnsiTheme="minorHAnsi" w:cstheme="minorHAnsi"/>
          <w:color w:val="000000" w:themeColor="text1"/>
        </w:rPr>
        <w:t>.</w:t>
      </w:r>
      <w:r w:rsidR="001E004C">
        <w:rPr>
          <w:rFonts w:asciiTheme="minorHAnsi" w:hAnsiTheme="minorHAnsi" w:cstheme="minorHAnsi"/>
          <w:color w:val="000000" w:themeColor="text1"/>
        </w:rPr>
        <w:t xml:space="preserve"> Only parts or schedules of the Poisons Standard that are proposed to be amended by the current applicant are depicted—refer to ‘Current Scheduling’ for a comprehensive view of entries for lead in the Poisons Standard.</w:t>
      </w:r>
    </w:p>
  </w:footnote>
  <w:footnote w:id="26">
    <w:p w14:paraId="6E2073A7" w14:textId="77777777" w:rsidR="00685E72" w:rsidRPr="007D4EC1" w:rsidRDefault="00685E72" w:rsidP="00685E72">
      <w:pPr>
        <w:pStyle w:val="FootnoteText"/>
        <w:rPr>
          <w:rFonts w:asciiTheme="minorHAnsi" w:hAnsiTheme="minorHAnsi" w:cstheme="minorHAnsi"/>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TGA Ingredient Database </w:t>
      </w:r>
      <w:hyperlink r:id="rId23" w:history="1">
        <w:r w:rsidRPr="007D4EC1">
          <w:rPr>
            <w:rStyle w:val="Hyperlink"/>
            <w:rFonts w:asciiTheme="minorHAnsi" w:hAnsiTheme="minorHAnsi" w:cstheme="minorHAnsi"/>
            <w:sz w:val="18"/>
            <w:szCs w:val="18"/>
          </w:rPr>
          <w:t>https://www.ebs.tga.gov.au/</w:t>
        </w:r>
      </w:hyperlink>
    </w:p>
  </w:footnote>
  <w:footnote w:id="27">
    <w:p w14:paraId="6E01C82C" w14:textId="77777777" w:rsidR="00685E72" w:rsidRPr="007D4EC1" w:rsidRDefault="00685E72" w:rsidP="00685E72">
      <w:pPr>
        <w:pStyle w:val="FootnoteText"/>
        <w:rPr>
          <w:rFonts w:asciiTheme="minorHAnsi" w:hAnsiTheme="minorHAnsi" w:cstheme="minorHAnsi"/>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ARTG database </w:t>
      </w:r>
      <w:hyperlink r:id="rId24" w:history="1">
        <w:r w:rsidRPr="007D4EC1">
          <w:rPr>
            <w:rStyle w:val="Hyperlink"/>
            <w:rFonts w:asciiTheme="minorHAnsi" w:hAnsiTheme="minorHAnsi" w:cstheme="minorHAnsi"/>
            <w:sz w:val="18"/>
            <w:szCs w:val="18"/>
          </w:rPr>
          <w:t>https://www.tga.gov.au/artg</w:t>
        </w:r>
      </w:hyperlink>
      <w:r w:rsidRPr="007D4EC1">
        <w:rPr>
          <w:rFonts w:asciiTheme="minorHAnsi" w:hAnsiTheme="minorHAnsi" w:cstheme="minorHAnsi"/>
          <w:sz w:val="18"/>
          <w:szCs w:val="18"/>
        </w:rPr>
        <w:t xml:space="preserve"> </w:t>
      </w:r>
    </w:p>
  </w:footnote>
  <w:footnote w:id="28">
    <w:p w14:paraId="41B94438" w14:textId="77777777" w:rsidR="00685E72" w:rsidRPr="007D4EC1" w:rsidRDefault="00685E72" w:rsidP="00685E72">
      <w:pPr>
        <w:pStyle w:val="FootnoteText"/>
        <w:rPr>
          <w:rFonts w:asciiTheme="minorHAnsi" w:hAnsiTheme="minorHAnsi" w:cstheme="minorHAnsi"/>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Therapeutic Goods (Permissible Ingredients) Determination  </w:t>
      </w:r>
      <w:hyperlink r:id="rId25" w:history="1">
        <w:r w:rsidRPr="007D4EC1">
          <w:rPr>
            <w:rStyle w:val="Hyperlink"/>
            <w:rFonts w:asciiTheme="minorHAnsi" w:hAnsiTheme="minorHAnsi" w:cstheme="minorHAnsi"/>
            <w:sz w:val="18"/>
            <w:szCs w:val="18"/>
          </w:rPr>
          <w:t>https://www.legislation.gov.au/Search/Therapeutic%20Goods%20$LB$Permissible%20Ingredients$RB$%20Determination</w:t>
        </w:r>
      </w:hyperlink>
      <w:r w:rsidRPr="007D4EC1">
        <w:rPr>
          <w:rFonts w:asciiTheme="minorHAnsi" w:hAnsiTheme="minorHAnsi" w:cstheme="minorHAnsi"/>
          <w:sz w:val="18"/>
          <w:szCs w:val="18"/>
        </w:rPr>
        <w:t xml:space="preserve"> </w:t>
      </w:r>
    </w:p>
  </w:footnote>
  <w:footnote w:id="29">
    <w:p w14:paraId="7B7AF34E" w14:textId="77777777" w:rsidR="00685E72" w:rsidRPr="007D4EC1" w:rsidRDefault="00685E72" w:rsidP="00685E72">
      <w:pPr>
        <w:pStyle w:val="FootnoteText"/>
        <w:rPr>
          <w:rFonts w:asciiTheme="minorHAnsi" w:hAnsiTheme="minorHAnsi" w:cstheme="minorHAnsi"/>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TGA prescribing medicines in pregnancy database </w:t>
      </w:r>
      <w:hyperlink r:id="rId26" w:history="1">
        <w:r w:rsidRPr="007D4EC1">
          <w:rPr>
            <w:rStyle w:val="Hyperlink"/>
            <w:rFonts w:asciiTheme="minorHAnsi" w:hAnsiTheme="minorHAnsi" w:cstheme="minorHAnsi"/>
            <w:sz w:val="18"/>
            <w:szCs w:val="18"/>
          </w:rPr>
          <w:t>https://www.tga.gov.au/prescribing-medicines-pregnancy-database</w:t>
        </w:r>
      </w:hyperlink>
      <w:r w:rsidRPr="007D4EC1">
        <w:rPr>
          <w:rFonts w:asciiTheme="minorHAnsi" w:hAnsiTheme="minorHAnsi" w:cstheme="minorHAnsi"/>
          <w:sz w:val="18"/>
          <w:szCs w:val="18"/>
        </w:rPr>
        <w:t xml:space="preserve"> </w:t>
      </w:r>
    </w:p>
  </w:footnote>
  <w:footnote w:id="30">
    <w:p w14:paraId="205A9B37" w14:textId="77777777" w:rsidR="00685E72" w:rsidRPr="007D4EC1" w:rsidRDefault="00685E72" w:rsidP="00685E72">
      <w:pPr>
        <w:pStyle w:val="FootnoteText"/>
        <w:rPr>
          <w:rFonts w:asciiTheme="minorHAnsi" w:hAnsiTheme="minorHAnsi" w:cstheme="minorHAnsi"/>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Therapeutic Goods (Medicines Advisory Statements) Specification 2021 </w:t>
      </w:r>
      <w:r w:rsidRPr="007D4EC1">
        <w:rPr>
          <w:rStyle w:val="Hyperlink"/>
          <w:rFonts w:asciiTheme="minorHAnsi" w:hAnsiTheme="minorHAnsi" w:cstheme="minorHAnsi"/>
          <w:color w:val="auto"/>
          <w:sz w:val="18"/>
          <w:szCs w:val="18"/>
        </w:rPr>
        <w:t xml:space="preserve"> </w:t>
      </w:r>
      <w:hyperlink r:id="rId27" w:history="1">
        <w:r w:rsidRPr="007D4EC1">
          <w:rPr>
            <w:rStyle w:val="Hyperlink"/>
            <w:rFonts w:asciiTheme="minorHAnsi" w:hAnsiTheme="minorHAnsi" w:cstheme="minorHAnsi"/>
            <w:sz w:val="18"/>
            <w:szCs w:val="18"/>
          </w:rPr>
          <w:t>https://www.legislation.gov.au/Details/F2021L01888</w:t>
        </w:r>
      </w:hyperlink>
      <w:r w:rsidRPr="007D4EC1">
        <w:rPr>
          <w:rFonts w:asciiTheme="minorHAnsi" w:hAnsiTheme="minorHAnsi" w:cstheme="minorHAnsi"/>
          <w:sz w:val="18"/>
          <w:szCs w:val="18"/>
        </w:rPr>
        <w:t xml:space="preserve"> </w:t>
      </w:r>
    </w:p>
  </w:footnote>
  <w:footnote w:id="31">
    <w:p w14:paraId="4F01416E" w14:textId="77777777" w:rsidR="00685E72" w:rsidRPr="007D4EC1" w:rsidRDefault="00685E72" w:rsidP="00685E72">
      <w:pPr>
        <w:pStyle w:val="FootnoteText"/>
        <w:rPr>
          <w:rFonts w:asciiTheme="minorHAnsi" w:hAnsiTheme="minorHAnsi" w:cstheme="minorHAnsi"/>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Database of Adverse Event Notifications (DAEN)  </w:t>
      </w:r>
      <w:hyperlink r:id="rId28" w:history="1">
        <w:r w:rsidRPr="007D4EC1">
          <w:rPr>
            <w:rStyle w:val="Hyperlink"/>
            <w:rFonts w:asciiTheme="minorHAnsi" w:hAnsiTheme="minorHAnsi" w:cstheme="minorHAnsi"/>
            <w:sz w:val="18"/>
            <w:szCs w:val="18"/>
          </w:rPr>
          <w:t>https://apps.tga.gov.au/Prod/daen/daen-entry.aspx</w:t>
        </w:r>
      </w:hyperlink>
      <w:r w:rsidRPr="007D4EC1">
        <w:rPr>
          <w:rFonts w:asciiTheme="minorHAnsi" w:hAnsiTheme="minorHAnsi" w:cstheme="minorHAnsi"/>
          <w:sz w:val="18"/>
          <w:szCs w:val="18"/>
        </w:rPr>
        <w:t xml:space="preserve"> </w:t>
      </w:r>
    </w:p>
  </w:footnote>
  <w:footnote w:id="32">
    <w:p w14:paraId="7E37F87E" w14:textId="77777777" w:rsidR="00685E72" w:rsidRPr="007D4EC1" w:rsidRDefault="00685E72" w:rsidP="00685E72">
      <w:pPr>
        <w:pStyle w:val="FootnoteText"/>
        <w:rPr>
          <w:rFonts w:asciiTheme="minorHAnsi" w:hAnsiTheme="minorHAnsi" w:cstheme="minorHAnsi"/>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Public Chemical Registration Information System Search (</w:t>
      </w:r>
      <w:proofErr w:type="spellStart"/>
      <w:r w:rsidRPr="007D4EC1">
        <w:rPr>
          <w:rFonts w:asciiTheme="minorHAnsi" w:hAnsiTheme="minorHAnsi" w:cstheme="minorHAnsi"/>
          <w:color w:val="auto"/>
          <w:sz w:val="18"/>
          <w:szCs w:val="18"/>
        </w:rPr>
        <w:t>PubCRIS</w:t>
      </w:r>
      <w:proofErr w:type="spellEnd"/>
      <w:r w:rsidRPr="007D4EC1">
        <w:rPr>
          <w:rFonts w:asciiTheme="minorHAnsi" w:hAnsiTheme="minorHAnsi" w:cstheme="minorHAnsi"/>
          <w:color w:val="auto"/>
          <w:sz w:val="18"/>
          <w:szCs w:val="18"/>
        </w:rPr>
        <w:t xml:space="preserve">) </w:t>
      </w:r>
      <w:hyperlink r:id="rId29" w:history="1">
        <w:r w:rsidRPr="007D4EC1">
          <w:rPr>
            <w:rStyle w:val="Hyperlink"/>
            <w:rFonts w:asciiTheme="minorHAnsi" w:hAnsiTheme="minorHAnsi" w:cstheme="minorHAnsi"/>
            <w:sz w:val="18"/>
            <w:szCs w:val="18"/>
          </w:rPr>
          <w:t>https://portal.apvma.gov.au/pubcris</w:t>
        </w:r>
      </w:hyperlink>
      <w:r w:rsidRPr="007D4EC1">
        <w:rPr>
          <w:rFonts w:asciiTheme="minorHAnsi" w:hAnsiTheme="minorHAnsi" w:cstheme="minorHAnsi"/>
          <w:sz w:val="18"/>
          <w:szCs w:val="18"/>
        </w:rPr>
        <w:t xml:space="preserve"> </w:t>
      </w:r>
    </w:p>
  </w:footnote>
  <w:footnote w:id="33">
    <w:p w14:paraId="4444EA51" w14:textId="77777777" w:rsidR="00685E72" w:rsidRPr="00105CEE" w:rsidRDefault="00685E72" w:rsidP="00685E72">
      <w:pPr>
        <w:pStyle w:val="FootnoteText"/>
        <w:rPr>
          <w:sz w:val="18"/>
          <w:szCs w:val="18"/>
        </w:rPr>
      </w:pPr>
      <w:r w:rsidRPr="007D4EC1">
        <w:rPr>
          <w:rStyle w:val="FootnoteReference"/>
          <w:rFonts w:asciiTheme="minorHAnsi" w:hAnsiTheme="minorHAnsi" w:cstheme="minorHAnsi"/>
          <w:color w:val="auto"/>
          <w:sz w:val="18"/>
          <w:szCs w:val="18"/>
        </w:rPr>
        <w:footnoteRef/>
      </w:r>
      <w:r w:rsidRPr="007D4EC1">
        <w:rPr>
          <w:rFonts w:asciiTheme="minorHAnsi" w:hAnsiTheme="minorHAnsi" w:cstheme="minorHAnsi"/>
          <w:color w:val="auto"/>
          <w:sz w:val="18"/>
          <w:szCs w:val="18"/>
        </w:rPr>
        <w:t xml:space="preserve"> APVMA Adverse Experience Reporting Program</w:t>
      </w:r>
      <w:r w:rsidRPr="007D4EC1">
        <w:rPr>
          <w:rStyle w:val="Hyperlink"/>
          <w:rFonts w:asciiTheme="minorHAnsi" w:hAnsiTheme="minorHAnsi" w:cstheme="minorHAnsi"/>
          <w:color w:val="auto"/>
          <w:sz w:val="18"/>
          <w:szCs w:val="18"/>
          <w:u w:val="none"/>
        </w:rPr>
        <w:t xml:space="preserve"> database (AERP)</w:t>
      </w:r>
      <w:r w:rsidRPr="007D4EC1">
        <w:rPr>
          <w:rFonts w:asciiTheme="minorHAnsi" w:hAnsiTheme="minorHAnsi" w:cstheme="minorHAnsi"/>
          <w:color w:val="auto"/>
          <w:sz w:val="18"/>
          <w:szCs w:val="18"/>
        </w:rPr>
        <w:t xml:space="preserve"> </w:t>
      </w:r>
      <w:hyperlink r:id="rId30" w:history="1">
        <w:r w:rsidRPr="007D4EC1">
          <w:rPr>
            <w:rStyle w:val="Hyperlink"/>
            <w:rFonts w:asciiTheme="minorHAnsi" w:hAnsiTheme="minorHAnsi" w:cstheme="minorHAnsi"/>
            <w:sz w:val="18"/>
            <w:szCs w:val="18"/>
          </w:rPr>
          <w:t>https://apvma.gov.au/node/10946</w:t>
        </w:r>
      </w:hyperlink>
      <w:r w:rsidRPr="00105CEE">
        <w:rPr>
          <w:sz w:val="18"/>
          <w:szCs w:val="18"/>
        </w:rPr>
        <w:t xml:space="preserve"> </w:t>
      </w:r>
    </w:p>
  </w:footnote>
  <w:footnote w:id="34">
    <w:p w14:paraId="54964946" w14:textId="1E7F23F0" w:rsidR="00A715D5" w:rsidRPr="007D4EC1" w:rsidRDefault="00A715D5">
      <w:pPr>
        <w:pStyle w:val="FootnoteText"/>
        <w:rPr>
          <w:rFonts w:asciiTheme="minorHAnsi" w:hAnsiTheme="minorHAnsi" w:cstheme="minorHAnsi"/>
          <w:sz w:val="18"/>
          <w:szCs w:val="18"/>
        </w:rPr>
      </w:pPr>
      <w:r w:rsidRPr="007D4EC1">
        <w:rPr>
          <w:rStyle w:val="FootnoteReference"/>
          <w:rFonts w:asciiTheme="minorHAnsi" w:hAnsiTheme="minorHAnsi" w:cstheme="minorHAnsi"/>
          <w:sz w:val="18"/>
          <w:szCs w:val="18"/>
        </w:rPr>
        <w:footnoteRef/>
      </w:r>
      <w:r w:rsidRPr="007D4EC1">
        <w:rPr>
          <w:rFonts w:asciiTheme="minorHAnsi" w:hAnsiTheme="minorHAnsi" w:cstheme="minorHAnsi"/>
          <w:sz w:val="18"/>
          <w:szCs w:val="18"/>
        </w:rPr>
        <w:t xml:space="preserve"> </w:t>
      </w:r>
      <w:hyperlink r:id="rId31" w:history="1">
        <w:r w:rsidRPr="007D4EC1">
          <w:rPr>
            <w:rStyle w:val="Hyperlink"/>
            <w:rFonts w:asciiTheme="minorHAnsi" w:hAnsiTheme="minorHAnsi" w:cstheme="minorHAnsi"/>
            <w:sz w:val="18"/>
            <w:szCs w:val="18"/>
          </w:rPr>
          <w:t>www.unep.org/explore-topics/chemicals-waste/what-we-do/emerging-issues/global-alliance-eliminate-lead-paint/faq</w:t>
        </w:r>
      </w:hyperlink>
    </w:p>
  </w:footnote>
  <w:footnote w:id="35">
    <w:p w14:paraId="5DE720A8" w14:textId="618F1ADE" w:rsidR="00A715D5" w:rsidRPr="007B6865" w:rsidRDefault="00A715D5">
      <w:pPr>
        <w:pStyle w:val="FootnoteText"/>
        <w:rPr>
          <w:rFonts w:asciiTheme="minorHAnsi" w:hAnsiTheme="minorHAnsi" w:cstheme="minorHAnsi"/>
        </w:rPr>
      </w:pPr>
      <w:r w:rsidRPr="007B6865">
        <w:rPr>
          <w:rStyle w:val="FootnoteReference"/>
          <w:rFonts w:asciiTheme="minorHAnsi" w:hAnsiTheme="minorHAnsi" w:cstheme="minorHAnsi"/>
          <w:sz w:val="18"/>
          <w:szCs w:val="18"/>
        </w:rPr>
        <w:footnoteRef/>
      </w:r>
      <w:r w:rsidRPr="007B6865">
        <w:rPr>
          <w:rFonts w:asciiTheme="minorHAnsi" w:hAnsiTheme="minorHAnsi" w:cstheme="minorHAnsi"/>
          <w:sz w:val="18"/>
          <w:szCs w:val="18"/>
        </w:rPr>
        <w:t xml:space="preserve"> </w:t>
      </w:r>
      <w:hyperlink r:id="rId32" w:history="1">
        <w:r w:rsidR="00E95F37" w:rsidRPr="007B6865">
          <w:rPr>
            <w:rStyle w:val="Hyperlink"/>
            <w:rFonts w:asciiTheme="minorHAnsi" w:hAnsiTheme="minorHAnsi" w:cstheme="minorHAnsi"/>
            <w:sz w:val="18"/>
            <w:szCs w:val="18"/>
          </w:rPr>
          <w:t>everyspec.com/MIL-PRF/MIL-PRF-010000-29999/MIL-PRF-24647D_8111/</w:t>
        </w:r>
      </w:hyperlink>
    </w:p>
  </w:footnote>
  <w:footnote w:id="36">
    <w:p w14:paraId="617D494A" w14:textId="54558EE4" w:rsidR="00465BED" w:rsidRPr="004467E6" w:rsidRDefault="00465BED">
      <w:pPr>
        <w:pStyle w:val="FootnoteText"/>
        <w:rPr>
          <w:rFonts w:asciiTheme="minorHAnsi" w:hAnsiTheme="minorHAnsi" w:cstheme="minorHAnsi"/>
          <w:sz w:val="18"/>
          <w:szCs w:val="18"/>
        </w:rPr>
      </w:pPr>
      <w:r w:rsidRPr="004467E6">
        <w:rPr>
          <w:rStyle w:val="FootnoteReference"/>
          <w:rFonts w:asciiTheme="minorHAnsi" w:hAnsiTheme="minorHAnsi" w:cstheme="minorHAnsi"/>
          <w:color w:val="000000" w:themeColor="text1"/>
          <w:sz w:val="18"/>
          <w:szCs w:val="18"/>
        </w:rPr>
        <w:footnoteRef/>
      </w:r>
      <w:r w:rsidRPr="004467E6">
        <w:rPr>
          <w:rFonts w:asciiTheme="minorHAnsi" w:hAnsiTheme="minorHAnsi" w:cstheme="minorHAnsi"/>
          <w:color w:val="000000" w:themeColor="text1"/>
          <w:sz w:val="18"/>
          <w:szCs w:val="18"/>
        </w:rPr>
        <w:t xml:space="preserve"> </w:t>
      </w:r>
      <w:r w:rsidR="004467E6" w:rsidRPr="004467E6">
        <w:rPr>
          <w:rFonts w:asciiTheme="minorHAnsi" w:hAnsiTheme="minorHAnsi" w:cstheme="minorHAnsi"/>
          <w:color w:val="000000" w:themeColor="text1"/>
          <w:sz w:val="18"/>
          <w:szCs w:val="18"/>
        </w:rPr>
        <w:t>This statement was accepted and supported by the United Nations Environment Programme (UNEP) and the UN Lead Paint Alliance. It is available on the UNEP website under “Answers to Questions about Lead Paint and Lead Paint Laws (FAQs).”</w:t>
      </w:r>
    </w:p>
  </w:footnote>
  <w:footnote w:id="37">
    <w:p w14:paraId="7B5D15EB" w14:textId="368211E8" w:rsidR="004467E6" w:rsidRPr="004467E6" w:rsidRDefault="004467E6" w:rsidP="004467E6">
      <w:pPr>
        <w:pStyle w:val="FootnoteText"/>
        <w:rPr>
          <w:rFonts w:asciiTheme="minorHAnsi" w:hAnsiTheme="minorHAnsi" w:cstheme="minorHAnsi"/>
          <w:color w:val="000000" w:themeColor="text1"/>
          <w:sz w:val="18"/>
          <w:szCs w:val="18"/>
        </w:rPr>
      </w:pPr>
      <w:r w:rsidRPr="004467E6">
        <w:rPr>
          <w:rStyle w:val="FootnoteReference"/>
          <w:rFonts w:asciiTheme="minorHAnsi" w:hAnsiTheme="minorHAnsi" w:cstheme="minorHAnsi"/>
          <w:color w:val="000000" w:themeColor="text1"/>
          <w:sz w:val="18"/>
          <w:szCs w:val="18"/>
        </w:rPr>
        <w:footnoteRef/>
      </w:r>
      <w:r w:rsidRPr="004467E6">
        <w:rPr>
          <w:rFonts w:asciiTheme="minorHAnsi" w:hAnsiTheme="minorHAnsi" w:cstheme="minorHAnsi"/>
          <w:color w:val="000000" w:themeColor="text1"/>
          <w:sz w:val="18"/>
          <w:szCs w:val="18"/>
        </w:rPr>
        <w:t xml:space="preserve"> </w:t>
      </w:r>
      <w:bookmarkStart w:id="61" w:name="_Hlk130985061"/>
      <w:r w:rsidRPr="004467E6">
        <w:rPr>
          <w:rFonts w:asciiTheme="minorHAnsi" w:hAnsiTheme="minorHAnsi" w:cstheme="minorHAnsi"/>
          <w:color w:val="000000" w:themeColor="text1"/>
          <w:sz w:val="18"/>
          <w:szCs w:val="18"/>
        </w:rPr>
        <w:t>Environmental Protection And</w:t>
      </w:r>
      <w:r>
        <w:rPr>
          <w:rFonts w:asciiTheme="minorHAnsi" w:hAnsiTheme="minorHAnsi" w:cstheme="minorHAnsi"/>
          <w:color w:val="000000" w:themeColor="text1"/>
          <w:sz w:val="18"/>
          <w:szCs w:val="18"/>
        </w:rPr>
        <w:t xml:space="preserve"> </w:t>
      </w:r>
      <w:r w:rsidRPr="004467E6">
        <w:rPr>
          <w:rFonts w:asciiTheme="minorHAnsi" w:hAnsiTheme="minorHAnsi" w:cstheme="minorHAnsi"/>
          <w:color w:val="000000" w:themeColor="text1"/>
          <w:sz w:val="18"/>
          <w:szCs w:val="18"/>
        </w:rPr>
        <w:t>Management Act (Amendment Of</w:t>
      </w:r>
      <w:r>
        <w:rPr>
          <w:rFonts w:asciiTheme="minorHAnsi" w:hAnsiTheme="minorHAnsi" w:cstheme="minorHAnsi"/>
          <w:color w:val="000000" w:themeColor="text1"/>
          <w:sz w:val="18"/>
          <w:szCs w:val="18"/>
        </w:rPr>
        <w:t xml:space="preserve"> </w:t>
      </w:r>
      <w:r w:rsidRPr="004467E6">
        <w:rPr>
          <w:rFonts w:asciiTheme="minorHAnsi" w:hAnsiTheme="minorHAnsi" w:cstheme="minorHAnsi"/>
          <w:color w:val="000000" w:themeColor="text1"/>
          <w:sz w:val="18"/>
          <w:szCs w:val="18"/>
        </w:rPr>
        <w:t xml:space="preserve">Second Schedule) Order 2021 </w:t>
      </w:r>
      <w:bookmarkEnd w:id="61"/>
      <w:r w:rsidRPr="004467E6">
        <w:rPr>
          <w:rFonts w:asciiTheme="minorHAnsi" w:hAnsiTheme="minorHAnsi" w:cstheme="minorHAnsi"/>
          <w:sz w:val="18"/>
          <w:szCs w:val="18"/>
        </w:rPr>
        <w:t xml:space="preserve">- </w:t>
      </w:r>
      <w:hyperlink r:id="rId33" w:history="1">
        <w:r w:rsidRPr="004467E6">
          <w:rPr>
            <w:rStyle w:val="Hyperlink"/>
            <w:rFonts w:asciiTheme="minorHAnsi" w:hAnsiTheme="minorHAnsi" w:cstheme="minorHAnsi"/>
            <w:sz w:val="18"/>
            <w:szCs w:val="18"/>
          </w:rPr>
          <w:t>https://sso.agc.gov.sg/SL-Supp/S365-2021/Published/20210603?DocDate=20210603&amp;ViewType=Pdf&amp;_=20210604054914</w:t>
        </w:r>
      </w:hyperlink>
      <w:r>
        <w:t xml:space="preserve"> </w:t>
      </w:r>
    </w:p>
  </w:footnote>
  <w:footnote w:id="38">
    <w:p w14:paraId="7323F164" w14:textId="183914A7" w:rsidR="00D9443F" w:rsidRPr="00D9443F" w:rsidRDefault="00D9443F" w:rsidP="00D9443F">
      <w:pPr>
        <w:pStyle w:val="FootnoteText"/>
        <w:rPr>
          <w:rFonts w:asciiTheme="minorHAnsi" w:hAnsiTheme="minorHAnsi" w:cstheme="minorHAnsi"/>
          <w:sz w:val="18"/>
          <w:szCs w:val="18"/>
        </w:rPr>
      </w:pPr>
      <w:r w:rsidRPr="00723E3F">
        <w:rPr>
          <w:rStyle w:val="FootnoteReference"/>
          <w:rFonts w:asciiTheme="minorHAnsi" w:hAnsiTheme="minorHAnsi" w:cstheme="minorHAnsi"/>
          <w:color w:val="000000" w:themeColor="text1"/>
          <w:sz w:val="18"/>
          <w:szCs w:val="18"/>
        </w:rPr>
        <w:footnoteRef/>
      </w:r>
      <w:r w:rsidR="00723E3F" w:rsidRPr="00723E3F">
        <w:rPr>
          <w:rFonts w:asciiTheme="minorHAnsi" w:hAnsiTheme="minorHAnsi" w:cstheme="minorHAnsi"/>
          <w:color w:val="000000" w:themeColor="text1"/>
          <w:sz w:val="18"/>
          <w:szCs w:val="18"/>
        </w:rPr>
        <w:t xml:space="preserve">National technical regulation on the limits of total lead in paints - </w:t>
      </w:r>
      <w:hyperlink r:id="rId34" w:history="1">
        <w:r w:rsidR="00723E3F" w:rsidRPr="001709A1">
          <w:rPr>
            <w:rStyle w:val="Hyperlink"/>
            <w:rFonts w:asciiTheme="minorHAnsi" w:hAnsiTheme="minorHAnsi" w:cstheme="minorHAnsi"/>
            <w:sz w:val="18"/>
            <w:szCs w:val="18"/>
          </w:rPr>
          <w:t>https://images.chemycal.com/Media/Files/TBT/20_5970_00_x.pdf</w:t>
        </w:r>
      </w:hyperlink>
      <w:r>
        <w:rPr>
          <w:rFonts w:asciiTheme="minorHAnsi" w:hAnsiTheme="minorHAnsi" w:cstheme="minorHAnsi"/>
          <w:sz w:val="18"/>
          <w:szCs w:val="18"/>
        </w:rPr>
        <w:t xml:space="preserve"> </w:t>
      </w:r>
      <w:r w:rsidRPr="00D9443F">
        <w:rPr>
          <w:rFonts w:asciiTheme="minorHAnsi" w:hAnsiTheme="minorHAnsi" w:cstheme="minorHAnsi"/>
          <w:sz w:val="18"/>
          <w:szCs w:val="18"/>
        </w:rPr>
        <w:t xml:space="preserve"> </w:t>
      </w:r>
    </w:p>
  </w:footnote>
  <w:footnote w:id="39">
    <w:p w14:paraId="1D02A47A" w14:textId="124AD983" w:rsidR="00D9443F" w:rsidRPr="00D9443F" w:rsidRDefault="00D9443F">
      <w:pPr>
        <w:pStyle w:val="FootnoteText"/>
        <w:rPr>
          <w:rFonts w:asciiTheme="minorHAnsi" w:hAnsiTheme="minorHAnsi" w:cstheme="minorHAnsi"/>
          <w:sz w:val="18"/>
          <w:szCs w:val="18"/>
        </w:rPr>
      </w:pPr>
      <w:r w:rsidRPr="00D9443F">
        <w:rPr>
          <w:rStyle w:val="FootnoteReference"/>
          <w:rFonts w:asciiTheme="minorHAnsi" w:hAnsiTheme="minorHAnsi" w:cstheme="minorHAnsi"/>
          <w:color w:val="000000" w:themeColor="text1"/>
          <w:sz w:val="18"/>
          <w:szCs w:val="18"/>
        </w:rPr>
        <w:footnoteRef/>
      </w:r>
      <w:r w:rsidRPr="00D9443F">
        <w:rPr>
          <w:rFonts w:asciiTheme="minorHAnsi" w:hAnsiTheme="minorHAnsi" w:cstheme="minorHAnsi"/>
          <w:color w:val="000000" w:themeColor="text1"/>
          <w:sz w:val="18"/>
          <w:szCs w:val="18"/>
        </w:rPr>
        <w:t xml:space="preserve"> </w:t>
      </w:r>
      <w:r w:rsidR="00723E3F">
        <w:rPr>
          <w:rFonts w:asciiTheme="minorHAnsi" w:hAnsiTheme="minorHAnsi" w:cstheme="minorHAnsi"/>
          <w:color w:val="000000" w:themeColor="text1"/>
          <w:sz w:val="18"/>
          <w:szCs w:val="18"/>
        </w:rPr>
        <w:t xml:space="preserve">Lead paint in Vietnam, October 2021 IPEN </w:t>
      </w:r>
      <w:hyperlink r:id="rId35" w:history="1">
        <w:r w:rsidR="00723E3F" w:rsidRPr="001709A1">
          <w:rPr>
            <w:rStyle w:val="Hyperlink"/>
            <w:rFonts w:asciiTheme="minorHAnsi" w:hAnsiTheme="minorHAnsi" w:cstheme="minorHAnsi"/>
            <w:sz w:val="18"/>
            <w:szCs w:val="18"/>
          </w:rPr>
          <w:t>https://ipen.org/sites/default/files/documents/ipen-2021-lead-paint-vietnam_v1_5-en.pdf</w:t>
        </w:r>
      </w:hyperlink>
      <w:r>
        <w:rPr>
          <w:rFonts w:asciiTheme="minorHAnsi" w:hAnsiTheme="minorHAnsi" w:cstheme="minorHAnsi"/>
          <w:color w:val="000000" w:themeColor="text1"/>
          <w:sz w:val="18"/>
          <w:szCs w:val="18"/>
        </w:rPr>
        <w:t xml:space="preserve"> </w:t>
      </w:r>
    </w:p>
  </w:footnote>
  <w:footnote w:id="40">
    <w:p w14:paraId="233B2FB7" w14:textId="77777777" w:rsidR="002469EC" w:rsidRPr="00FD185C" w:rsidRDefault="002469EC" w:rsidP="002469EC">
      <w:pPr>
        <w:pStyle w:val="FootnoteText"/>
        <w:rPr>
          <w:sz w:val="18"/>
          <w:szCs w:val="18"/>
        </w:rPr>
      </w:pPr>
      <w:r w:rsidRPr="007B6865">
        <w:rPr>
          <w:rStyle w:val="FootnoteReference"/>
          <w:rFonts w:asciiTheme="minorHAnsi" w:hAnsiTheme="minorHAnsi" w:cstheme="minorHAnsi"/>
          <w:color w:val="auto"/>
          <w:sz w:val="18"/>
          <w:szCs w:val="18"/>
        </w:rPr>
        <w:footnoteRef/>
      </w:r>
      <w:r w:rsidRPr="007B6865">
        <w:rPr>
          <w:rFonts w:asciiTheme="minorHAnsi" w:hAnsiTheme="minorHAnsi" w:cstheme="minorHAnsi"/>
          <w:color w:val="auto"/>
          <w:sz w:val="18"/>
          <w:szCs w:val="18"/>
        </w:rPr>
        <w:t xml:space="preserve"> Proposed additions are shown in green underlined font, proposed deletions are shown in red strikethrough font, and text without this formatting represents the current text in the Poisons Standard.</w:t>
      </w:r>
    </w:p>
  </w:footnote>
  <w:footnote w:id="41">
    <w:p w14:paraId="30A234FB" w14:textId="77777777" w:rsidR="002469EC" w:rsidRPr="009E4096" w:rsidRDefault="002469EC" w:rsidP="002469EC">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TGA Ingredient Database </w:t>
      </w:r>
      <w:hyperlink r:id="rId36" w:history="1">
        <w:r w:rsidRPr="009E4096">
          <w:rPr>
            <w:rStyle w:val="Hyperlink"/>
            <w:rFonts w:asciiTheme="minorHAnsi" w:hAnsiTheme="minorHAnsi" w:cstheme="minorHAnsi"/>
            <w:sz w:val="18"/>
            <w:szCs w:val="18"/>
          </w:rPr>
          <w:t>https://www.ebs.tga.gov.au/</w:t>
        </w:r>
      </w:hyperlink>
    </w:p>
  </w:footnote>
  <w:footnote w:id="42">
    <w:p w14:paraId="59D74F2F" w14:textId="77777777" w:rsidR="002469EC" w:rsidRPr="009E4096" w:rsidRDefault="002469EC" w:rsidP="002469EC">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ARTG database </w:t>
      </w:r>
      <w:hyperlink r:id="rId37" w:history="1">
        <w:r w:rsidRPr="009E4096">
          <w:rPr>
            <w:rStyle w:val="Hyperlink"/>
            <w:rFonts w:asciiTheme="minorHAnsi" w:hAnsiTheme="minorHAnsi" w:cstheme="minorHAnsi"/>
            <w:sz w:val="18"/>
            <w:szCs w:val="18"/>
          </w:rPr>
          <w:t>https://www.tga.gov.au/artg</w:t>
        </w:r>
      </w:hyperlink>
      <w:r w:rsidRPr="009E4096">
        <w:rPr>
          <w:rFonts w:asciiTheme="minorHAnsi" w:hAnsiTheme="minorHAnsi" w:cstheme="minorHAnsi"/>
          <w:sz w:val="18"/>
          <w:szCs w:val="18"/>
        </w:rPr>
        <w:t xml:space="preserve"> </w:t>
      </w:r>
    </w:p>
  </w:footnote>
  <w:footnote w:id="43">
    <w:p w14:paraId="34059B49" w14:textId="77777777" w:rsidR="002469EC" w:rsidRPr="009E4096" w:rsidRDefault="002469EC" w:rsidP="002469EC">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Therapeutic Goods (Permissible Ingredients) Determination </w:t>
      </w:r>
      <w:hyperlink r:id="rId38" w:history="1">
        <w:r w:rsidRPr="009E4096">
          <w:rPr>
            <w:rStyle w:val="Hyperlink"/>
            <w:rFonts w:asciiTheme="minorHAnsi" w:hAnsiTheme="minorHAnsi" w:cstheme="minorHAnsi"/>
            <w:sz w:val="18"/>
            <w:szCs w:val="18"/>
          </w:rPr>
          <w:t>https://www.legislation.gov.au/Search/Therapeutic%20Goods%20$LB$Permissible%20Ingredients$RB$%20Determination</w:t>
        </w:r>
      </w:hyperlink>
      <w:r w:rsidRPr="009E4096">
        <w:rPr>
          <w:rFonts w:asciiTheme="minorHAnsi" w:hAnsiTheme="minorHAnsi" w:cstheme="minorHAnsi"/>
          <w:sz w:val="18"/>
          <w:szCs w:val="18"/>
        </w:rPr>
        <w:t xml:space="preserve"> </w:t>
      </w:r>
    </w:p>
  </w:footnote>
  <w:footnote w:id="44">
    <w:p w14:paraId="1B5732AF" w14:textId="77777777" w:rsidR="002469EC" w:rsidRPr="009E4096" w:rsidRDefault="002469EC" w:rsidP="002469EC">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TGA prescribing medicines in pregnancy database </w:t>
      </w:r>
      <w:hyperlink r:id="rId39" w:history="1">
        <w:r w:rsidRPr="009E4096">
          <w:rPr>
            <w:rStyle w:val="Hyperlink"/>
            <w:rFonts w:asciiTheme="minorHAnsi" w:hAnsiTheme="minorHAnsi" w:cstheme="minorHAnsi"/>
            <w:sz w:val="18"/>
            <w:szCs w:val="18"/>
          </w:rPr>
          <w:t>https://www.tga.gov.au/prescribing-medicines-pregnancy-database</w:t>
        </w:r>
      </w:hyperlink>
      <w:r w:rsidRPr="009E4096">
        <w:rPr>
          <w:rFonts w:asciiTheme="minorHAnsi" w:hAnsiTheme="minorHAnsi" w:cstheme="minorHAnsi"/>
          <w:sz w:val="18"/>
          <w:szCs w:val="18"/>
        </w:rPr>
        <w:t xml:space="preserve"> </w:t>
      </w:r>
    </w:p>
  </w:footnote>
  <w:footnote w:id="45">
    <w:p w14:paraId="658A5657" w14:textId="77777777" w:rsidR="002469EC" w:rsidRPr="009E4096" w:rsidRDefault="002469EC" w:rsidP="002469EC">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Therapeutic Goods (Medicines Advisory Statements) Specification 2021 </w:t>
      </w:r>
      <w:r w:rsidRPr="009E4096">
        <w:rPr>
          <w:rStyle w:val="Hyperlink"/>
          <w:rFonts w:asciiTheme="minorHAnsi" w:hAnsiTheme="minorHAnsi" w:cstheme="minorHAnsi"/>
          <w:color w:val="000000" w:themeColor="text1"/>
          <w:sz w:val="18"/>
          <w:szCs w:val="18"/>
        </w:rPr>
        <w:t xml:space="preserve"> </w:t>
      </w:r>
      <w:hyperlink r:id="rId40" w:history="1">
        <w:r w:rsidRPr="009E4096">
          <w:rPr>
            <w:rStyle w:val="Hyperlink"/>
            <w:rFonts w:asciiTheme="minorHAnsi" w:hAnsiTheme="minorHAnsi" w:cstheme="minorHAnsi"/>
            <w:sz w:val="18"/>
            <w:szCs w:val="18"/>
          </w:rPr>
          <w:t>https://www.legislation.gov.au/Details/F2021L01888</w:t>
        </w:r>
      </w:hyperlink>
      <w:r w:rsidRPr="009E4096">
        <w:rPr>
          <w:rFonts w:asciiTheme="minorHAnsi" w:hAnsiTheme="minorHAnsi" w:cstheme="minorHAnsi"/>
          <w:sz w:val="18"/>
          <w:szCs w:val="18"/>
        </w:rPr>
        <w:t xml:space="preserve"> </w:t>
      </w:r>
    </w:p>
  </w:footnote>
  <w:footnote w:id="46">
    <w:p w14:paraId="071F336E" w14:textId="77777777" w:rsidR="002469EC" w:rsidRPr="009E4096" w:rsidRDefault="002469EC" w:rsidP="002469EC">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Database of Adverse Event Notifications (DAEN)  </w:t>
      </w:r>
      <w:hyperlink r:id="rId41" w:history="1">
        <w:r w:rsidRPr="009E4096">
          <w:rPr>
            <w:rStyle w:val="Hyperlink"/>
            <w:rFonts w:asciiTheme="minorHAnsi" w:hAnsiTheme="minorHAnsi" w:cstheme="minorHAnsi"/>
            <w:sz w:val="18"/>
            <w:szCs w:val="18"/>
          </w:rPr>
          <w:t>https://apps.tga.gov.au/Prod/daen/daen-entry.aspx</w:t>
        </w:r>
      </w:hyperlink>
      <w:r w:rsidRPr="009E4096">
        <w:rPr>
          <w:rFonts w:asciiTheme="minorHAnsi" w:hAnsiTheme="minorHAnsi" w:cstheme="minorHAnsi"/>
          <w:sz w:val="18"/>
          <w:szCs w:val="18"/>
        </w:rPr>
        <w:t xml:space="preserve"> </w:t>
      </w:r>
    </w:p>
  </w:footnote>
  <w:footnote w:id="47">
    <w:p w14:paraId="5304C50C" w14:textId="77777777" w:rsidR="002469EC" w:rsidRPr="009E4096" w:rsidRDefault="002469EC" w:rsidP="002469EC">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Public Chemical Registration Information System Search (</w:t>
      </w:r>
      <w:proofErr w:type="spellStart"/>
      <w:r w:rsidRPr="009E4096">
        <w:rPr>
          <w:rFonts w:asciiTheme="minorHAnsi" w:hAnsiTheme="minorHAnsi" w:cstheme="minorHAnsi"/>
          <w:color w:val="000000" w:themeColor="text1"/>
          <w:sz w:val="18"/>
          <w:szCs w:val="18"/>
        </w:rPr>
        <w:t>PubCRIS</w:t>
      </w:r>
      <w:proofErr w:type="spellEnd"/>
      <w:r w:rsidRPr="009E4096">
        <w:rPr>
          <w:rFonts w:asciiTheme="minorHAnsi" w:hAnsiTheme="minorHAnsi" w:cstheme="minorHAnsi"/>
          <w:color w:val="000000" w:themeColor="text1"/>
          <w:sz w:val="18"/>
          <w:szCs w:val="18"/>
        </w:rPr>
        <w:t xml:space="preserve">) </w:t>
      </w:r>
      <w:hyperlink r:id="rId42" w:history="1">
        <w:r w:rsidRPr="009E4096">
          <w:rPr>
            <w:rStyle w:val="Hyperlink"/>
            <w:rFonts w:asciiTheme="minorHAnsi" w:hAnsiTheme="minorHAnsi" w:cstheme="minorHAnsi"/>
            <w:sz w:val="18"/>
            <w:szCs w:val="18"/>
          </w:rPr>
          <w:t>https://portal.apvma.gov.au/pubcris</w:t>
        </w:r>
      </w:hyperlink>
      <w:r w:rsidRPr="009E4096">
        <w:rPr>
          <w:rFonts w:asciiTheme="minorHAnsi" w:hAnsiTheme="minorHAnsi" w:cstheme="minorHAnsi"/>
          <w:sz w:val="18"/>
          <w:szCs w:val="18"/>
        </w:rPr>
        <w:t xml:space="preserve"> </w:t>
      </w:r>
    </w:p>
  </w:footnote>
  <w:footnote w:id="48">
    <w:p w14:paraId="1E6068EA" w14:textId="0A1E6F73" w:rsidR="00E95F37" w:rsidRPr="009E4096" w:rsidRDefault="00E95F37">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ECHA </w:t>
      </w:r>
      <w:hyperlink r:id="rId43" w:history="1">
        <w:r w:rsidRPr="009E4096">
          <w:rPr>
            <w:rStyle w:val="Hyperlink"/>
            <w:rFonts w:asciiTheme="minorHAnsi" w:hAnsiTheme="minorHAnsi" w:cstheme="minorHAnsi"/>
            <w:sz w:val="18"/>
            <w:szCs w:val="18"/>
          </w:rPr>
          <w:t>echa.europa.eu/substance-information/-/</w:t>
        </w:r>
        <w:proofErr w:type="spellStart"/>
        <w:r w:rsidRPr="009E4096">
          <w:rPr>
            <w:rStyle w:val="Hyperlink"/>
            <w:rFonts w:asciiTheme="minorHAnsi" w:hAnsiTheme="minorHAnsi" w:cstheme="minorHAnsi"/>
            <w:sz w:val="18"/>
            <w:szCs w:val="18"/>
          </w:rPr>
          <w:t>substanceinfo</w:t>
        </w:r>
        <w:proofErr w:type="spellEnd"/>
        <w:r w:rsidRPr="009E4096">
          <w:rPr>
            <w:rStyle w:val="Hyperlink"/>
            <w:rFonts w:asciiTheme="minorHAnsi" w:hAnsiTheme="minorHAnsi" w:cstheme="minorHAnsi"/>
            <w:sz w:val="18"/>
            <w:szCs w:val="18"/>
          </w:rPr>
          <w:t>/100.165.123</w:t>
        </w:r>
      </w:hyperlink>
    </w:p>
  </w:footnote>
  <w:footnote w:id="49">
    <w:p w14:paraId="3F0102B1" w14:textId="1502134E" w:rsidR="00CB1E73" w:rsidRPr="009E4096" w:rsidRDefault="00CB1E73">
      <w:pPr>
        <w:pStyle w:val="FootnoteText"/>
        <w:rPr>
          <w:rFonts w:asciiTheme="minorHAnsi" w:hAnsiTheme="minorHAnsi" w:cstheme="minorHAnsi"/>
          <w:sz w:val="18"/>
          <w:szCs w:val="18"/>
        </w:rPr>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w:t>
      </w:r>
      <w:proofErr w:type="spellStart"/>
      <w:r w:rsidRPr="009E4096">
        <w:rPr>
          <w:rFonts w:asciiTheme="minorHAnsi" w:hAnsiTheme="minorHAnsi" w:cstheme="minorHAnsi"/>
          <w:color w:val="000000" w:themeColor="text1"/>
          <w:sz w:val="18"/>
          <w:szCs w:val="18"/>
        </w:rPr>
        <w:t>CosIng</w:t>
      </w:r>
      <w:proofErr w:type="spellEnd"/>
      <w:r w:rsidRPr="009E4096">
        <w:rPr>
          <w:rFonts w:asciiTheme="minorHAnsi" w:hAnsiTheme="minorHAnsi" w:cstheme="minorHAnsi"/>
          <w:color w:val="000000" w:themeColor="text1"/>
          <w:sz w:val="18"/>
          <w:szCs w:val="18"/>
        </w:rPr>
        <w:t xml:space="preserve"> </w:t>
      </w:r>
      <w:hyperlink r:id="rId44" w:history="1">
        <w:r w:rsidRPr="009E4096">
          <w:rPr>
            <w:rStyle w:val="Hyperlink"/>
            <w:rFonts w:asciiTheme="minorHAnsi" w:hAnsiTheme="minorHAnsi" w:cstheme="minorHAnsi"/>
            <w:sz w:val="18"/>
            <w:szCs w:val="18"/>
          </w:rPr>
          <w:t>ec.europa.eu/growth/tools-databases/cosing/index.cfm?fuseaction=</w:t>
        </w:r>
        <w:proofErr w:type="gramStart"/>
        <w:r w:rsidRPr="009E4096">
          <w:rPr>
            <w:rStyle w:val="Hyperlink"/>
            <w:rFonts w:asciiTheme="minorHAnsi" w:hAnsiTheme="minorHAnsi" w:cstheme="minorHAnsi"/>
            <w:sz w:val="18"/>
            <w:szCs w:val="18"/>
          </w:rPr>
          <w:t>search.results</w:t>
        </w:r>
        <w:proofErr w:type="gramEnd"/>
      </w:hyperlink>
    </w:p>
  </w:footnote>
  <w:footnote w:id="50">
    <w:p w14:paraId="5BD38676" w14:textId="6DA9666D" w:rsidR="00CB1E73" w:rsidRDefault="00CB1E73">
      <w:pPr>
        <w:pStyle w:val="FootnoteText"/>
      </w:pPr>
      <w:r w:rsidRPr="009E4096">
        <w:rPr>
          <w:rStyle w:val="FootnoteReference"/>
          <w:rFonts w:asciiTheme="minorHAnsi" w:hAnsiTheme="minorHAnsi" w:cstheme="minorHAnsi"/>
          <w:color w:val="000000" w:themeColor="text1"/>
          <w:sz w:val="18"/>
          <w:szCs w:val="18"/>
        </w:rPr>
        <w:footnoteRef/>
      </w:r>
      <w:r w:rsidRPr="009E4096">
        <w:rPr>
          <w:rFonts w:asciiTheme="minorHAnsi" w:hAnsiTheme="minorHAnsi" w:cstheme="minorHAnsi"/>
          <w:color w:val="000000" w:themeColor="text1"/>
          <w:sz w:val="18"/>
          <w:szCs w:val="18"/>
        </w:rPr>
        <w:t xml:space="preserve"> </w:t>
      </w:r>
      <w:proofErr w:type="spellStart"/>
      <w:r w:rsidRPr="009E4096">
        <w:rPr>
          <w:rFonts w:asciiTheme="minorHAnsi" w:hAnsiTheme="minorHAnsi" w:cstheme="minorHAnsi"/>
          <w:color w:val="000000" w:themeColor="text1"/>
          <w:sz w:val="18"/>
          <w:szCs w:val="18"/>
        </w:rPr>
        <w:t>NZIoC</w:t>
      </w:r>
      <w:proofErr w:type="spellEnd"/>
      <w:r w:rsidRPr="009E4096">
        <w:rPr>
          <w:rFonts w:asciiTheme="minorHAnsi" w:hAnsiTheme="minorHAnsi" w:cstheme="minorHAnsi"/>
          <w:color w:val="000000" w:themeColor="text1"/>
          <w:sz w:val="18"/>
          <w:szCs w:val="18"/>
        </w:rPr>
        <w:t xml:space="preserve"> </w:t>
      </w:r>
      <w:hyperlink r:id="rId45" w:history="1">
        <w:r w:rsidRPr="009E4096">
          <w:rPr>
            <w:rStyle w:val="Hyperlink"/>
            <w:rFonts w:asciiTheme="minorHAnsi" w:hAnsiTheme="minorHAnsi" w:cstheme="minorHAnsi"/>
            <w:sz w:val="18"/>
            <w:szCs w:val="18"/>
          </w:rPr>
          <w:t>www.epa.govt.nz/database-search/new-zealand-inventory-of-chemicals-nzioc/DatabaseSearchForm/?SiteDatabaseSearchFilters=36&amp;Keyword=ibotenic&amp;DatabaseType=NZIOC</w:t>
        </w:r>
      </w:hyperlink>
    </w:p>
  </w:footnote>
  <w:footnote w:id="51">
    <w:p w14:paraId="26861896" w14:textId="7A764CB5" w:rsidR="00CB1E73" w:rsidRPr="00EC3206" w:rsidRDefault="00CB1E73">
      <w:pPr>
        <w:pStyle w:val="FootnoteText"/>
        <w:rPr>
          <w:rFonts w:asciiTheme="minorHAnsi" w:hAnsiTheme="minorHAnsi" w:cstheme="minorHAnsi"/>
          <w:sz w:val="18"/>
          <w:szCs w:val="18"/>
        </w:rPr>
      </w:pPr>
      <w:r w:rsidRPr="00EC3206">
        <w:rPr>
          <w:rStyle w:val="FootnoteReference"/>
          <w:rFonts w:asciiTheme="minorHAnsi" w:hAnsiTheme="minorHAnsi" w:cstheme="minorHAnsi"/>
          <w:color w:val="000000" w:themeColor="text1"/>
          <w:sz w:val="18"/>
          <w:szCs w:val="18"/>
        </w:rPr>
        <w:footnoteRef/>
      </w:r>
      <w:r w:rsidRPr="00EC3206">
        <w:rPr>
          <w:rFonts w:asciiTheme="minorHAnsi" w:hAnsiTheme="minorHAnsi" w:cstheme="minorHAnsi"/>
          <w:color w:val="000000" w:themeColor="text1"/>
          <w:sz w:val="18"/>
          <w:szCs w:val="18"/>
        </w:rPr>
        <w:t xml:space="preserve"> </w:t>
      </w:r>
      <w:proofErr w:type="spellStart"/>
      <w:r w:rsidRPr="00EC3206">
        <w:rPr>
          <w:rFonts w:asciiTheme="minorHAnsi" w:hAnsiTheme="minorHAnsi" w:cstheme="minorHAnsi"/>
          <w:color w:val="000000" w:themeColor="text1"/>
          <w:sz w:val="18"/>
          <w:szCs w:val="18"/>
        </w:rPr>
        <w:t>Medsafe</w:t>
      </w:r>
      <w:proofErr w:type="spellEnd"/>
      <w:r w:rsidRPr="00EC3206">
        <w:rPr>
          <w:rFonts w:asciiTheme="minorHAnsi" w:hAnsiTheme="minorHAnsi" w:cstheme="minorHAnsi"/>
          <w:color w:val="000000" w:themeColor="text1"/>
          <w:sz w:val="18"/>
          <w:szCs w:val="18"/>
        </w:rPr>
        <w:t xml:space="preserve"> </w:t>
      </w:r>
      <w:hyperlink r:id="rId46" w:history="1">
        <w:r w:rsidRPr="00EC3206">
          <w:rPr>
            <w:rStyle w:val="Hyperlink"/>
            <w:rFonts w:asciiTheme="minorHAnsi" w:hAnsiTheme="minorHAnsi" w:cstheme="minorHAnsi"/>
            <w:sz w:val="18"/>
            <w:szCs w:val="18"/>
          </w:rPr>
          <w:t>www.medsafe.govt.nz/profs/class/classintro.asp</w:t>
        </w:r>
      </w:hyperlink>
    </w:p>
  </w:footnote>
  <w:footnote w:id="52">
    <w:p w14:paraId="77B4C61E" w14:textId="3B454492" w:rsidR="00CB1E73" w:rsidRPr="00EC3206" w:rsidRDefault="00CB1E73">
      <w:pPr>
        <w:pStyle w:val="FootnoteText"/>
        <w:rPr>
          <w:rFonts w:asciiTheme="minorHAnsi" w:hAnsiTheme="minorHAnsi" w:cstheme="minorHAnsi"/>
          <w:sz w:val="18"/>
          <w:szCs w:val="18"/>
        </w:rPr>
      </w:pPr>
      <w:r w:rsidRPr="00EC3206">
        <w:rPr>
          <w:rStyle w:val="FootnoteReference"/>
          <w:rFonts w:asciiTheme="minorHAnsi" w:hAnsiTheme="minorHAnsi" w:cstheme="minorHAnsi"/>
          <w:color w:val="000000" w:themeColor="text1"/>
          <w:sz w:val="18"/>
          <w:szCs w:val="18"/>
        </w:rPr>
        <w:footnoteRef/>
      </w:r>
      <w:r w:rsidRPr="00EC3206">
        <w:rPr>
          <w:rFonts w:asciiTheme="minorHAnsi" w:hAnsiTheme="minorHAnsi" w:cstheme="minorHAnsi"/>
          <w:color w:val="000000" w:themeColor="text1"/>
          <w:sz w:val="18"/>
          <w:szCs w:val="18"/>
        </w:rPr>
        <w:t xml:space="preserve"> </w:t>
      </w:r>
      <w:proofErr w:type="spellStart"/>
      <w:r w:rsidRPr="00EC3206">
        <w:rPr>
          <w:rFonts w:asciiTheme="minorHAnsi" w:hAnsiTheme="minorHAnsi" w:cstheme="minorHAnsi"/>
          <w:color w:val="000000" w:themeColor="text1"/>
          <w:sz w:val="18"/>
          <w:szCs w:val="18"/>
        </w:rPr>
        <w:t>Drugs@FDA</w:t>
      </w:r>
      <w:proofErr w:type="spellEnd"/>
      <w:r w:rsidRPr="00EC3206">
        <w:rPr>
          <w:rFonts w:asciiTheme="minorHAnsi" w:hAnsiTheme="minorHAnsi" w:cstheme="minorHAnsi"/>
          <w:color w:val="000000" w:themeColor="text1"/>
          <w:sz w:val="18"/>
          <w:szCs w:val="18"/>
        </w:rPr>
        <w:t xml:space="preserve"> </w:t>
      </w:r>
      <w:hyperlink r:id="rId47" w:history="1">
        <w:r w:rsidRPr="00EC3206">
          <w:rPr>
            <w:rStyle w:val="Hyperlink"/>
            <w:rFonts w:asciiTheme="minorHAnsi" w:hAnsiTheme="minorHAnsi" w:cstheme="minorHAnsi"/>
            <w:sz w:val="18"/>
            <w:szCs w:val="18"/>
          </w:rPr>
          <w:t>www.accessdata.fda.gov/scripts/cder/daf/index.cfm?event=BasicSearch.process</w:t>
        </w:r>
      </w:hyperlink>
    </w:p>
  </w:footnote>
  <w:footnote w:id="53">
    <w:p w14:paraId="5F04B699" w14:textId="0F5EDC4F" w:rsidR="00BC4F7F" w:rsidRPr="00EC3206" w:rsidRDefault="00BC4F7F">
      <w:pPr>
        <w:pStyle w:val="FootnoteText"/>
        <w:rPr>
          <w:rFonts w:asciiTheme="minorHAnsi" w:hAnsiTheme="minorHAnsi" w:cstheme="minorHAnsi"/>
          <w:sz w:val="18"/>
          <w:szCs w:val="18"/>
        </w:rPr>
      </w:pPr>
      <w:r w:rsidRPr="00EC3206">
        <w:rPr>
          <w:rStyle w:val="FootnoteReference"/>
          <w:rFonts w:asciiTheme="minorHAnsi" w:hAnsiTheme="minorHAnsi" w:cstheme="minorHAnsi"/>
          <w:color w:val="000000" w:themeColor="text1"/>
          <w:sz w:val="18"/>
          <w:szCs w:val="18"/>
        </w:rPr>
        <w:footnoteRef/>
      </w:r>
      <w:r w:rsidRPr="00EC3206">
        <w:rPr>
          <w:rFonts w:asciiTheme="minorHAnsi" w:hAnsiTheme="minorHAnsi" w:cstheme="minorHAnsi"/>
          <w:color w:val="000000" w:themeColor="text1"/>
          <w:sz w:val="18"/>
          <w:szCs w:val="18"/>
        </w:rPr>
        <w:t xml:space="preserve"> Health Canada </w:t>
      </w:r>
      <w:hyperlink r:id="rId48" w:history="1">
        <w:r w:rsidRPr="00EC3206">
          <w:rPr>
            <w:rStyle w:val="Hyperlink"/>
            <w:rFonts w:asciiTheme="minorHAnsi" w:hAnsiTheme="minorHAnsi" w:cstheme="minorHAnsi"/>
            <w:sz w:val="18"/>
            <w:szCs w:val="18"/>
          </w:rPr>
          <w:t>health-products.canada.ca/</w:t>
        </w:r>
        <w:proofErr w:type="spellStart"/>
        <w:r w:rsidRPr="00EC3206">
          <w:rPr>
            <w:rStyle w:val="Hyperlink"/>
            <w:rFonts w:asciiTheme="minorHAnsi" w:hAnsiTheme="minorHAnsi" w:cstheme="minorHAnsi"/>
            <w:sz w:val="18"/>
            <w:szCs w:val="18"/>
          </w:rPr>
          <w:t>dpd-bdpp</w:t>
        </w:r>
        <w:proofErr w:type="spellEnd"/>
        <w:r w:rsidRPr="00EC3206">
          <w:rPr>
            <w:rStyle w:val="Hyperlink"/>
            <w:rFonts w:asciiTheme="minorHAnsi" w:hAnsiTheme="minorHAnsi" w:cstheme="minorHAnsi"/>
            <w:sz w:val="18"/>
            <w:szCs w:val="18"/>
          </w:rPr>
          <w:t>/dispatch-repartition</w:t>
        </w:r>
      </w:hyperlink>
    </w:p>
  </w:footnote>
  <w:footnote w:id="54">
    <w:p w14:paraId="44ED7682" w14:textId="77777777" w:rsidR="002469EC" w:rsidRPr="00EC3206" w:rsidRDefault="002469EC" w:rsidP="002469EC">
      <w:pPr>
        <w:pStyle w:val="FootnoteText"/>
        <w:rPr>
          <w:rFonts w:asciiTheme="minorHAnsi" w:hAnsiTheme="minorHAnsi" w:cstheme="minorHAnsi"/>
          <w:sz w:val="18"/>
          <w:szCs w:val="18"/>
        </w:rPr>
      </w:pPr>
      <w:r w:rsidRPr="00EC3206">
        <w:rPr>
          <w:rStyle w:val="FootnoteReference"/>
          <w:rFonts w:asciiTheme="minorHAnsi" w:hAnsiTheme="minorHAnsi" w:cstheme="minorHAnsi"/>
          <w:color w:val="000000" w:themeColor="text1"/>
          <w:sz w:val="18"/>
          <w:szCs w:val="18"/>
        </w:rPr>
        <w:footnoteRef/>
      </w:r>
      <w:r w:rsidRPr="00EC3206">
        <w:rPr>
          <w:rFonts w:asciiTheme="minorHAnsi" w:hAnsiTheme="minorHAnsi" w:cstheme="minorHAnsi"/>
          <w:color w:val="000000" w:themeColor="text1"/>
          <w:sz w:val="18"/>
          <w:szCs w:val="18"/>
        </w:rPr>
        <w:t xml:space="preserve"> Proposed additions are shown in green underlined font, proposed deletions are shown in red strikethrough font, and text without this formatting represents the current text in the Poisons Standard.</w:t>
      </w:r>
    </w:p>
  </w:footnote>
  <w:footnote w:id="55">
    <w:p w14:paraId="64E83C0E" w14:textId="77777777" w:rsidR="002469EC" w:rsidRPr="00DE411A" w:rsidRDefault="002469EC" w:rsidP="002469EC">
      <w:pPr>
        <w:pStyle w:val="FootnoteText"/>
        <w:rPr>
          <w:rFonts w:asciiTheme="minorHAnsi" w:hAnsiTheme="minorHAnsi" w:cstheme="minorHAnsi"/>
          <w:sz w:val="18"/>
          <w:szCs w:val="18"/>
        </w:rPr>
      </w:pPr>
      <w:r w:rsidRPr="00DE411A">
        <w:rPr>
          <w:rStyle w:val="FootnoteReference"/>
          <w:rFonts w:asciiTheme="minorHAnsi" w:hAnsiTheme="minorHAnsi" w:cstheme="minorHAnsi"/>
          <w:color w:val="000000" w:themeColor="text1"/>
          <w:sz w:val="18"/>
          <w:szCs w:val="18"/>
        </w:rPr>
        <w:footnoteRef/>
      </w:r>
      <w:r w:rsidRPr="00DE411A">
        <w:rPr>
          <w:rFonts w:asciiTheme="minorHAnsi" w:hAnsiTheme="minorHAnsi" w:cstheme="minorHAnsi"/>
          <w:color w:val="000000" w:themeColor="text1"/>
          <w:sz w:val="18"/>
          <w:szCs w:val="18"/>
        </w:rPr>
        <w:t xml:space="preserve"> TGA Ingredient Database </w:t>
      </w:r>
      <w:hyperlink r:id="rId49" w:history="1">
        <w:r w:rsidRPr="00DE411A">
          <w:rPr>
            <w:rStyle w:val="Hyperlink"/>
            <w:rFonts w:asciiTheme="minorHAnsi" w:hAnsiTheme="minorHAnsi" w:cstheme="minorHAnsi"/>
            <w:sz w:val="18"/>
            <w:szCs w:val="18"/>
          </w:rPr>
          <w:t>https://www.ebs.tga.gov.au/</w:t>
        </w:r>
      </w:hyperlink>
    </w:p>
  </w:footnote>
  <w:footnote w:id="56">
    <w:p w14:paraId="3C54D554" w14:textId="77777777" w:rsidR="002469EC" w:rsidRPr="00C673A4" w:rsidRDefault="002469EC" w:rsidP="002469EC">
      <w:pPr>
        <w:pStyle w:val="FootnoteText"/>
        <w:rPr>
          <w:rFonts w:asciiTheme="minorHAnsi" w:hAnsiTheme="minorHAnsi" w:cstheme="minorHAnsi"/>
          <w:sz w:val="18"/>
          <w:szCs w:val="18"/>
        </w:rPr>
      </w:pPr>
      <w:r w:rsidRPr="00C673A4">
        <w:rPr>
          <w:rStyle w:val="FootnoteReference"/>
          <w:rFonts w:asciiTheme="minorHAnsi" w:hAnsiTheme="minorHAnsi" w:cstheme="minorHAnsi"/>
          <w:sz w:val="18"/>
          <w:szCs w:val="18"/>
        </w:rPr>
        <w:footnoteRef/>
      </w:r>
      <w:r w:rsidRPr="00C673A4">
        <w:rPr>
          <w:rFonts w:asciiTheme="minorHAnsi" w:hAnsiTheme="minorHAnsi" w:cstheme="minorHAnsi"/>
          <w:sz w:val="18"/>
          <w:szCs w:val="18"/>
        </w:rPr>
        <w:t xml:space="preserve"> </w:t>
      </w:r>
      <w:r w:rsidRPr="00C673A4">
        <w:rPr>
          <w:rFonts w:asciiTheme="minorHAnsi" w:hAnsiTheme="minorHAnsi" w:cstheme="minorHAnsi"/>
          <w:color w:val="000000" w:themeColor="text1"/>
          <w:sz w:val="18"/>
          <w:szCs w:val="18"/>
        </w:rPr>
        <w:t xml:space="preserve">ARTG database </w:t>
      </w:r>
      <w:hyperlink r:id="rId50" w:history="1">
        <w:r w:rsidRPr="00C673A4">
          <w:rPr>
            <w:rStyle w:val="Hyperlink"/>
            <w:rFonts w:asciiTheme="minorHAnsi" w:hAnsiTheme="minorHAnsi" w:cstheme="minorHAnsi"/>
            <w:sz w:val="18"/>
            <w:szCs w:val="18"/>
          </w:rPr>
          <w:t>https://www.tga.gov.au/artg</w:t>
        </w:r>
      </w:hyperlink>
      <w:r w:rsidRPr="00C673A4">
        <w:rPr>
          <w:rFonts w:asciiTheme="minorHAnsi" w:hAnsiTheme="minorHAnsi" w:cstheme="minorHAnsi"/>
          <w:sz w:val="18"/>
          <w:szCs w:val="18"/>
        </w:rPr>
        <w:t xml:space="preserve"> </w:t>
      </w:r>
    </w:p>
  </w:footnote>
  <w:footnote w:id="57">
    <w:p w14:paraId="1D88D51A" w14:textId="77777777" w:rsidR="002469EC" w:rsidRPr="00C673A4" w:rsidRDefault="002469EC" w:rsidP="002469EC">
      <w:pPr>
        <w:pStyle w:val="FootnoteText"/>
        <w:rPr>
          <w:rFonts w:asciiTheme="minorHAnsi" w:hAnsiTheme="minorHAnsi" w:cstheme="minorHAnsi"/>
          <w:sz w:val="18"/>
          <w:szCs w:val="18"/>
        </w:rPr>
      </w:pPr>
      <w:r w:rsidRPr="00C673A4">
        <w:rPr>
          <w:rStyle w:val="FootnoteReference"/>
          <w:rFonts w:asciiTheme="minorHAnsi" w:hAnsiTheme="minorHAnsi" w:cstheme="minorHAnsi"/>
          <w:color w:val="000000" w:themeColor="text1"/>
          <w:sz w:val="18"/>
          <w:szCs w:val="18"/>
        </w:rPr>
        <w:footnoteRef/>
      </w:r>
      <w:r w:rsidRPr="00C673A4">
        <w:rPr>
          <w:rFonts w:asciiTheme="minorHAnsi" w:hAnsiTheme="minorHAnsi" w:cstheme="minorHAnsi"/>
          <w:color w:val="000000" w:themeColor="text1"/>
          <w:sz w:val="18"/>
          <w:szCs w:val="18"/>
        </w:rPr>
        <w:t xml:space="preserve"> Therapeutic Goods (Permissible Ingredients) Determination </w:t>
      </w:r>
      <w:hyperlink r:id="rId51" w:history="1">
        <w:r w:rsidRPr="00C673A4">
          <w:rPr>
            <w:rStyle w:val="Hyperlink"/>
            <w:rFonts w:asciiTheme="minorHAnsi" w:hAnsiTheme="minorHAnsi" w:cstheme="minorHAnsi"/>
            <w:sz w:val="18"/>
            <w:szCs w:val="18"/>
          </w:rPr>
          <w:t>https://www.legislation.gov.au/Search/Therapeutic%20Goods%20$LB$Permissible%20Ingredients$RB$%20Determination</w:t>
        </w:r>
      </w:hyperlink>
      <w:r w:rsidRPr="00C673A4">
        <w:rPr>
          <w:rFonts w:asciiTheme="minorHAnsi" w:hAnsiTheme="minorHAnsi" w:cstheme="minorHAnsi"/>
          <w:sz w:val="18"/>
          <w:szCs w:val="18"/>
        </w:rPr>
        <w:t xml:space="preserve"> </w:t>
      </w:r>
    </w:p>
  </w:footnote>
  <w:footnote w:id="58">
    <w:p w14:paraId="25641B44" w14:textId="77777777" w:rsidR="002469EC" w:rsidRPr="00C673A4" w:rsidRDefault="002469EC" w:rsidP="002469EC">
      <w:pPr>
        <w:pStyle w:val="FootnoteText"/>
        <w:rPr>
          <w:rFonts w:asciiTheme="minorHAnsi" w:hAnsiTheme="minorHAnsi" w:cstheme="minorHAnsi"/>
          <w:sz w:val="18"/>
          <w:szCs w:val="18"/>
        </w:rPr>
      </w:pPr>
      <w:r w:rsidRPr="00C673A4">
        <w:rPr>
          <w:rStyle w:val="FootnoteReference"/>
          <w:rFonts w:asciiTheme="minorHAnsi" w:hAnsiTheme="minorHAnsi" w:cstheme="minorHAnsi"/>
          <w:color w:val="000000" w:themeColor="text1"/>
          <w:sz w:val="18"/>
          <w:szCs w:val="18"/>
        </w:rPr>
        <w:footnoteRef/>
      </w:r>
      <w:r w:rsidRPr="00C673A4">
        <w:rPr>
          <w:rFonts w:asciiTheme="minorHAnsi" w:hAnsiTheme="minorHAnsi" w:cstheme="minorHAnsi"/>
          <w:color w:val="000000" w:themeColor="text1"/>
          <w:sz w:val="18"/>
          <w:szCs w:val="18"/>
        </w:rPr>
        <w:t xml:space="preserve"> Therapeutic Goods (Permissible Ingredients) Determination  </w:t>
      </w:r>
      <w:hyperlink r:id="rId52" w:history="1">
        <w:r w:rsidRPr="00C673A4">
          <w:rPr>
            <w:rStyle w:val="Hyperlink"/>
            <w:rFonts w:asciiTheme="minorHAnsi" w:hAnsiTheme="minorHAnsi" w:cstheme="minorHAnsi"/>
            <w:sz w:val="18"/>
            <w:szCs w:val="18"/>
          </w:rPr>
          <w:t>https://www.legislation.gov.au/Search/Therapeutic%20Goods%20$LB$Permissible%20Ingredients$RB$%20Determination</w:t>
        </w:r>
      </w:hyperlink>
      <w:r w:rsidRPr="00C673A4">
        <w:rPr>
          <w:rFonts w:asciiTheme="minorHAnsi" w:hAnsiTheme="minorHAnsi" w:cstheme="minorHAnsi"/>
          <w:sz w:val="18"/>
          <w:szCs w:val="18"/>
        </w:rPr>
        <w:t xml:space="preserve"> </w:t>
      </w:r>
    </w:p>
  </w:footnote>
  <w:footnote w:id="59">
    <w:p w14:paraId="0C76CADC" w14:textId="77777777" w:rsidR="002469EC" w:rsidRPr="00C673A4" w:rsidRDefault="002469EC" w:rsidP="002469EC">
      <w:pPr>
        <w:pStyle w:val="FootnoteText"/>
        <w:rPr>
          <w:rFonts w:asciiTheme="minorHAnsi" w:hAnsiTheme="minorHAnsi" w:cstheme="minorHAnsi"/>
          <w:sz w:val="18"/>
          <w:szCs w:val="18"/>
        </w:rPr>
      </w:pPr>
      <w:r w:rsidRPr="00C673A4">
        <w:rPr>
          <w:rStyle w:val="FootnoteReference"/>
          <w:rFonts w:asciiTheme="minorHAnsi" w:hAnsiTheme="minorHAnsi" w:cstheme="minorHAnsi"/>
          <w:color w:val="000000" w:themeColor="text1"/>
          <w:sz w:val="18"/>
          <w:szCs w:val="18"/>
        </w:rPr>
        <w:footnoteRef/>
      </w:r>
      <w:r w:rsidRPr="00C673A4">
        <w:rPr>
          <w:rFonts w:asciiTheme="minorHAnsi" w:hAnsiTheme="minorHAnsi" w:cstheme="minorHAnsi"/>
          <w:color w:val="000000" w:themeColor="text1"/>
          <w:sz w:val="18"/>
          <w:szCs w:val="18"/>
        </w:rPr>
        <w:t xml:space="preserve"> TGA prescribing medicines in pregnancy database </w:t>
      </w:r>
      <w:hyperlink r:id="rId53" w:history="1">
        <w:r w:rsidRPr="00C673A4">
          <w:rPr>
            <w:rStyle w:val="Hyperlink"/>
            <w:rFonts w:asciiTheme="minorHAnsi" w:hAnsiTheme="minorHAnsi" w:cstheme="minorHAnsi"/>
            <w:sz w:val="18"/>
            <w:szCs w:val="18"/>
          </w:rPr>
          <w:t>https://www.tga.gov.au/prescribing-medicines-pregnancy-database</w:t>
        </w:r>
      </w:hyperlink>
      <w:r w:rsidRPr="00C673A4">
        <w:rPr>
          <w:rFonts w:asciiTheme="minorHAnsi" w:hAnsiTheme="minorHAnsi" w:cstheme="minorHAnsi"/>
          <w:sz w:val="18"/>
          <w:szCs w:val="18"/>
        </w:rPr>
        <w:t xml:space="preserve"> </w:t>
      </w:r>
    </w:p>
  </w:footnote>
  <w:footnote w:id="60">
    <w:p w14:paraId="758CE770" w14:textId="77777777" w:rsidR="002469EC" w:rsidRPr="00C673A4" w:rsidRDefault="002469EC" w:rsidP="002469EC">
      <w:pPr>
        <w:pStyle w:val="FootnoteText"/>
        <w:rPr>
          <w:rFonts w:asciiTheme="minorHAnsi" w:hAnsiTheme="minorHAnsi" w:cstheme="minorHAnsi"/>
          <w:sz w:val="18"/>
          <w:szCs w:val="18"/>
        </w:rPr>
      </w:pPr>
      <w:r w:rsidRPr="00C673A4">
        <w:rPr>
          <w:rStyle w:val="FootnoteReference"/>
          <w:rFonts w:asciiTheme="minorHAnsi" w:hAnsiTheme="minorHAnsi" w:cstheme="minorHAnsi"/>
          <w:color w:val="000000" w:themeColor="text1"/>
          <w:sz w:val="18"/>
          <w:szCs w:val="18"/>
        </w:rPr>
        <w:footnoteRef/>
      </w:r>
      <w:r w:rsidRPr="00C673A4">
        <w:rPr>
          <w:rFonts w:asciiTheme="minorHAnsi" w:hAnsiTheme="minorHAnsi" w:cstheme="minorHAnsi"/>
          <w:color w:val="000000" w:themeColor="text1"/>
          <w:sz w:val="18"/>
          <w:szCs w:val="18"/>
        </w:rPr>
        <w:t xml:space="preserve"> Therapeutic Goods (Medicines Advisory Statements) Specification 2021 </w:t>
      </w:r>
      <w:r w:rsidRPr="00C673A4">
        <w:rPr>
          <w:rStyle w:val="Hyperlink"/>
          <w:rFonts w:asciiTheme="minorHAnsi" w:hAnsiTheme="minorHAnsi" w:cstheme="minorHAnsi"/>
          <w:color w:val="000000" w:themeColor="text1"/>
          <w:sz w:val="18"/>
          <w:szCs w:val="18"/>
        </w:rPr>
        <w:t xml:space="preserve"> </w:t>
      </w:r>
      <w:hyperlink r:id="rId54" w:history="1">
        <w:r w:rsidRPr="00C673A4">
          <w:rPr>
            <w:rStyle w:val="Hyperlink"/>
            <w:rFonts w:asciiTheme="minorHAnsi" w:hAnsiTheme="minorHAnsi" w:cstheme="minorHAnsi"/>
            <w:sz w:val="18"/>
            <w:szCs w:val="18"/>
          </w:rPr>
          <w:t>https://www.legislation.gov.au/Details/F2021L01888</w:t>
        </w:r>
      </w:hyperlink>
      <w:r w:rsidRPr="00C673A4">
        <w:rPr>
          <w:rFonts w:asciiTheme="minorHAnsi" w:hAnsiTheme="minorHAnsi" w:cstheme="minorHAnsi"/>
          <w:sz w:val="18"/>
          <w:szCs w:val="18"/>
        </w:rPr>
        <w:t xml:space="preserve"> </w:t>
      </w:r>
    </w:p>
  </w:footnote>
  <w:footnote w:id="61">
    <w:p w14:paraId="3997AB93" w14:textId="77777777" w:rsidR="002469EC" w:rsidRPr="00C673A4" w:rsidRDefault="002469EC" w:rsidP="002469EC">
      <w:pPr>
        <w:pStyle w:val="FootnoteText"/>
        <w:rPr>
          <w:rFonts w:asciiTheme="minorHAnsi" w:hAnsiTheme="minorHAnsi" w:cstheme="minorHAnsi"/>
          <w:sz w:val="18"/>
          <w:szCs w:val="18"/>
        </w:rPr>
      </w:pPr>
      <w:r w:rsidRPr="00676BCE">
        <w:rPr>
          <w:rStyle w:val="FootnoteReference"/>
          <w:rFonts w:asciiTheme="minorHAnsi" w:hAnsiTheme="minorHAnsi" w:cstheme="minorHAnsi"/>
          <w:color w:val="000000" w:themeColor="text1"/>
          <w:sz w:val="18"/>
          <w:szCs w:val="18"/>
        </w:rPr>
        <w:footnoteRef/>
      </w:r>
      <w:r w:rsidRPr="00676BCE">
        <w:rPr>
          <w:rFonts w:asciiTheme="minorHAnsi" w:hAnsiTheme="minorHAnsi" w:cstheme="minorHAnsi"/>
          <w:color w:val="000000" w:themeColor="text1"/>
          <w:sz w:val="18"/>
          <w:szCs w:val="18"/>
        </w:rPr>
        <w:t xml:space="preserve"> Database of Adverse Event Notifications (DAEN)  </w:t>
      </w:r>
      <w:hyperlink r:id="rId55" w:history="1">
        <w:r w:rsidRPr="00C673A4">
          <w:rPr>
            <w:rStyle w:val="Hyperlink"/>
            <w:rFonts w:asciiTheme="minorHAnsi" w:hAnsiTheme="minorHAnsi" w:cstheme="minorHAnsi"/>
            <w:sz w:val="18"/>
            <w:szCs w:val="18"/>
          </w:rPr>
          <w:t>https://apps.tga.gov.au/Prod/daen/daen-entry.aspx</w:t>
        </w:r>
      </w:hyperlink>
      <w:r w:rsidRPr="00C673A4">
        <w:rPr>
          <w:rFonts w:asciiTheme="minorHAnsi" w:hAnsiTheme="minorHAnsi" w:cstheme="minorHAnsi"/>
          <w:sz w:val="18"/>
          <w:szCs w:val="18"/>
        </w:rPr>
        <w:t xml:space="preserve"> </w:t>
      </w:r>
    </w:p>
  </w:footnote>
  <w:footnote w:id="62">
    <w:p w14:paraId="0A9DF1DC" w14:textId="77777777" w:rsidR="002469EC" w:rsidRPr="00C673A4" w:rsidRDefault="002469EC" w:rsidP="002469EC">
      <w:pPr>
        <w:pStyle w:val="FootnoteText"/>
        <w:rPr>
          <w:rFonts w:asciiTheme="minorHAnsi" w:hAnsiTheme="minorHAnsi" w:cstheme="minorHAnsi"/>
          <w:sz w:val="18"/>
          <w:szCs w:val="18"/>
        </w:rPr>
      </w:pPr>
      <w:r w:rsidRPr="00676BCE">
        <w:rPr>
          <w:rStyle w:val="FootnoteReference"/>
          <w:rFonts w:asciiTheme="minorHAnsi" w:hAnsiTheme="minorHAnsi" w:cstheme="minorHAnsi"/>
          <w:color w:val="000000" w:themeColor="text1"/>
          <w:sz w:val="18"/>
          <w:szCs w:val="18"/>
        </w:rPr>
        <w:footnoteRef/>
      </w:r>
      <w:r w:rsidRPr="00676BCE">
        <w:rPr>
          <w:rFonts w:asciiTheme="minorHAnsi" w:hAnsiTheme="minorHAnsi" w:cstheme="minorHAnsi"/>
          <w:color w:val="000000" w:themeColor="text1"/>
          <w:sz w:val="18"/>
          <w:szCs w:val="18"/>
        </w:rPr>
        <w:t xml:space="preserve"> Public Chemical Registration Information System Search (</w:t>
      </w:r>
      <w:proofErr w:type="spellStart"/>
      <w:r w:rsidRPr="00676BCE">
        <w:rPr>
          <w:rFonts w:asciiTheme="minorHAnsi" w:hAnsiTheme="minorHAnsi" w:cstheme="minorHAnsi"/>
          <w:color w:val="000000" w:themeColor="text1"/>
          <w:sz w:val="18"/>
          <w:szCs w:val="18"/>
        </w:rPr>
        <w:t>PubCRIS</w:t>
      </w:r>
      <w:proofErr w:type="spellEnd"/>
      <w:r w:rsidRPr="00676BCE">
        <w:rPr>
          <w:rFonts w:asciiTheme="minorHAnsi" w:hAnsiTheme="minorHAnsi" w:cstheme="minorHAnsi"/>
          <w:color w:val="000000" w:themeColor="text1"/>
          <w:sz w:val="18"/>
          <w:szCs w:val="18"/>
        </w:rPr>
        <w:t xml:space="preserve">) </w:t>
      </w:r>
      <w:hyperlink r:id="rId56" w:history="1">
        <w:r w:rsidRPr="00C673A4">
          <w:rPr>
            <w:rStyle w:val="Hyperlink"/>
            <w:rFonts w:asciiTheme="minorHAnsi" w:hAnsiTheme="minorHAnsi" w:cstheme="minorHAnsi"/>
            <w:sz w:val="18"/>
            <w:szCs w:val="18"/>
          </w:rPr>
          <w:t>https://portal.apvma.gov.au/pubcris</w:t>
        </w:r>
      </w:hyperlink>
      <w:r w:rsidRPr="00C673A4">
        <w:rPr>
          <w:rFonts w:asciiTheme="minorHAnsi" w:hAnsiTheme="minorHAnsi" w:cstheme="minorHAnsi"/>
          <w:sz w:val="18"/>
          <w:szCs w:val="18"/>
        </w:rPr>
        <w:t xml:space="preserve"> </w:t>
      </w:r>
    </w:p>
  </w:footnote>
  <w:footnote w:id="63">
    <w:p w14:paraId="68543506" w14:textId="77777777" w:rsidR="002469EC" w:rsidRPr="00C673A4" w:rsidRDefault="002469EC" w:rsidP="002469EC">
      <w:pPr>
        <w:pStyle w:val="FootnoteText"/>
        <w:rPr>
          <w:rFonts w:asciiTheme="minorHAnsi" w:hAnsiTheme="minorHAnsi" w:cstheme="minorHAnsi"/>
          <w:sz w:val="18"/>
          <w:szCs w:val="18"/>
        </w:rPr>
      </w:pPr>
      <w:r w:rsidRPr="00676BCE">
        <w:rPr>
          <w:rStyle w:val="FootnoteReference"/>
          <w:rFonts w:asciiTheme="minorHAnsi" w:hAnsiTheme="minorHAnsi" w:cstheme="minorHAnsi"/>
          <w:color w:val="000000" w:themeColor="text1"/>
          <w:sz w:val="18"/>
          <w:szCs w:val="18"/>
        </w:rPr>
        <w:footnoteRef/>
      </w:r>
      <w:r w:rsidRPr="00676BCE">
        <w:rPr>
          <w:rFonts w:asciiTheme="minorHAnsi" w:hAnsiTheme="minorHAnsi" w:cstheme="minorHAnsi"/>
          <w:color w:val="000000" w:themeColor="text1"/>
          <w:sz w:val="18"/>
          <w:szCs w:val="18"/>
        </w:rPr>
        <w:t xml:space="preserve"> APVMA Adverse Experience Reporting Program</w:t>
      </w:r>
      <w:r w:rsidRPr="00676BCE">
        <w:rPr>
          <w:rStyle w:val="Hyperlink"/>
          <w:rFonts w:asciiTheme="minorHAnsi" w:hAnsiTheme="minorHAnsi" w:cstheme="minorHAnsi"/>
          <w:color w:val="000000" w:themeColor="text1"/>
          <w:sz w:val="18"/>
          <w:szCs w:val="18"/>
        </w:rPr>
        <w:t xml:space="preserve"> </w:t>
      </w:r>
      <w:r w:rsidRPr="00C673A4">
        <w:rPr>
          <w:rStyle w:val="Hyperlink"/>
          <w:rFonts w:asciiTheme="minorHAnsi" w:hAnsiTheme="minorHAnsi" w:cstheme="minorHAnsi"/>
          <w:sz w:val="18"/>
          <w:szCs w:val="18"/>
        </w:rPr>
        <w:t>database (AERP)</w:t>
      </w:r>
      <w:r w:rsidRPr="00C673A4">
        <w:rPr>
          <w:rFonts w:asciiTheme="minorHAnsi" w:hAnsiTheme="minorHAnsi" w:cstheme="minorHAnsi"/>
          <w:sz w:val="18"/>
          <w:szCs w:val="18"/>
        </w:rPr>
        <w:t xml:space="preserve"> </w:t>
      </w:r>
      <w:hyperlink r:id="rId57" w:history="1">
        <w:r w:rsidRPr="00C673A4">
          <w:rPr>
            <w:rStyle w:val="Hyperlink"/>
            <w:rFonts w:asciiTheme="minorHAnsi" w:hAnsiTheme="minorHAnsi" w:cstheme="minorHAnsi"/>
            <w:sz w:val="18"/>
            <w:szCs w:val="18"/>
          </w:rPr>
          <w:t>https://apvma.gov.au/node/10946</w:t>
        </w:r>
      </w:hyperlink>
      <w:r w:rsidRPr="00C673A4">
        <w:rPr>
          <w:rFonts w:asciiTheme="minorHAnsi" w:hAnsiTheme="minorHAnsi" w:cstheme="minorHAnsi"/>
          <w:sz w:val="18"/>
          <w:szCs w:val="18"/>
        </w:rPr>
        <w:t xml:space="preserve"> </w:t>
      </w:r>
    </w:p>
  </w:footnote>
  <w:footnote w:id="64">
    <w:p w14:paraId="680C7C5D" w14:textId="33634068" w:rsidR="00BC4F7F" w:rsidRDefault="00BC4F7F">
      <w:pPr>
        <w:pStyle w:val="FootnoteText"/>
      </w:pPr>
      <w:r w:rsidRPr="00676BCE">
        <w:rPr>
          <w:rStyle w:val="FootnoteReference"/>
          <w:rFonts w:asciiTheme="minorHAnsi" w:hAnsiTheme="minorHAnsi" w:cstheme="minorHAnsi"/>
          <w:color w:val="000000" w:themeColor="text1"/>
          <w:sz w:val="18"/>
          <w:szCs w:val="18"/>
        </w:rPr>
        <w:footnoteRef/>
      </w:r>
      <w:r w:rsidRPr="00676BCE">
        <w:rPr>
          <w:rFonts w:asciiTheme="minorHAnsi" w:hAnsiTheme="minorHAnsi" w:cstheme="minorHAnsi"/>
          <w:color w:val="000000" w:themeColor="text1"/>
          <w:sz w:val="18"/>
          <w:szCs w:val="18"/>
        </w:rPr>
        <w:t xml:space="preserve"> </w:t>
      </w:r>
      <w:proofErr w:type="spellStart"/>
      <w:r w:rsidRPr="00676BCE">
        <w:rPr>
          <w:rFonts w:asciiTheme="minorHAnsi" w:hAnsiTheme="minorHAnsi" w:cstheme="minorHAnsi"/>
          <w:color w:val="000000" w:themeColor="text1"/>
          <w:sz w:val="18"/>
          <w:szCs w:val="18"/>
        </w:rPr>
        <w:t>Medsafe</w:t>
      </w:r>
      <w:proofErr w:type="spellEnd"/>
      <w:r w:rsidRPr="00676BCE">
        <w:rPr>
          <w:rFonts w:asciiTheme="minorHAnsi" w:hAnsiTheme="minorHAnsi" w:cstheme="minorHAnsi"/>
          <w:color w:val="000000" w:themeColor="text1"/>
          <w:sz w:val="18"/>
          <w:szCs w:val="18"/>
        </w:rPr>
        <w:t xml:space="preserve"> </w:t>
      </w:r>
      <w:hyperlink r:id="rId58" w:history="1">
        <w:r w:rsidRPr="00C673A4">
          <w:rPr>
            <w:rStyle w:val="Hyperlink"/>
            <w:rFonts w:asciiTheme="minorHAnsi" w:hAnsiTheme="minorHAnsi" w:cstheme="minorHAnsi"/>
            <w:sz w:val="18"/>
            <w:szCs w:val="18"/>
          </w:rPr>
          <w:t>www.medsafe.govt.nz/profs/class/classintro.asp</w:t>
        </w:r>
      </w:hyperlink>
    </w:p>
  </w:footnote>
  <w:footnote w:id="65">
    <w:p w14:paraId="53C1CF0E" w14:textId="3124AF65" w:rsidR="000A62D0" w:rsidRPr="00676BCE" w:rsidRDefault="000A62D0">
      <w:pPr>
        <w:pStyle w:val="FootnoteText"/>
        <w:rPr>
          <w:rFonts w:asciiTheme="minorHAnsi" w:hAnsiTheme="minorHAnsi" w:cstheme="minorHAnsi"/>
        </w:rPr>
      </w:pPr>
      <w:r w:rsidRPr="00676BCE">
        <w:rPr>
          <w:rStyle w:val="FootnoteReference"/>
          <w:rFonts w:asciiTheme="minorHAnsi" w:hAnsiTheme="minorHAnsi" w:cstheme="minorHAnsi"/>
          <w:color w:val="000000" w:themeColor="text1"/>
        </w:rPr>
        <w:footnoteRef/>
      </w:r>
      <w:r w:rsidRPr="00676BCE">
        <w:rPr>
          <w:rFonts w:asciiTheme="minorHAnsi" w:hAnsiTheme="minorHAnsi" w:cstheme="minorHAnsi"/>
          <w:color w:val="000000" w:themeColor="text1"/>
        </w:rPr>
        <w:t xml:space="preserve"> </w:t>
      </w:r>
      <w:proofErr w:type="spellStart"/>
      <w:r w:rsidRPr="00676BCE">
        <w:rPr>
          <w:rFonts w:asciiTheme="minorHAnsi" w:hAnsiTheme="minorHAnsi" w:cstheme="minorHAnsi"/>
          <w:color w:val="000000" w:themeColor="text1"/>
          <w:sz w:val="18"/>
          <w:szCs w:val="18"/>
        </w:rPr>
        <w:t>Drugs@FDA</w:t>
      </w:r>
      <w:proofErr w:type="spellEnd"/>
      <w:r w:rsidRPr="00676BCE">
        <w:rPr>
          <w:rFonts w:asciiTheme="minorHAnsi" w:hAnsiTheme="minorHAnsi" w:cstheme="minorHAnsi"/>
          <w:color w:val="000000" w:themeColor="text1"/>
          <w:sz w:val="18"/>
          <w:szCs w:val="18"/>
        </w:rPr>
        <w:t xml:space="preserve"> </w:t>
      </w:r>
      <w:hyperlink r:id="rId59" w:history="1">
        <w:r w:rsidRPr="00676BCE">
          <w:rPr>
            <w:rStyle w:val="Hyperlink"/>
            <w:rFonts w:asciiTheme="minorHAnsi" w:hAnsiTheme="minorHAnsi" w:cstheme="minorHAnsi"/>
            <w:sz w:val="18"/>
            <w:szCs w:val="18"/>
          </w:rPr>
          <w:t>www.accessdata.fda.gov/scripts/cder/daf/index.cfm?event=BasicSearch.process</w:t>
        </w:r>
      </w:hyperlink>
    </w:p>
  </w:footnote>
  <w:footnote w:id="66">
    <w:p w14:paraId="600190CB" w14:textId="731AFA3B" w:rsidR="000A62D0" w:rsidRDefault="000A62D0">
      <w:pPr>
        <w:pStyle w:val="FootnoteText"/>
      </w:pPr>
      <w:r w:rsidRPr="00676BCE">
        <w:rPr>
          <w:rStyle w:val="FootnoteReference"/>
          <w:rFonts w:asciiTheme="minorHAnsi" w:hAnsiTheme="minorHAnsi" w:cstheme="minorHAnsi"/>
          <w:color w:val="000000" w:themeColor="text1"/>
        </w:rPr>
        <w:footnoteRef/>
      </w:r>
      <w:r w:rsidRPr="00676BCE">
        <w:rPr>
          <w:rFonts w:asciiTheme="minorHAnsi" w:hAnsiTheme="minorHAnsi" w:cstheme="minorHAnsi"/>
          <w:color w:val="000000" w:themeColor="text1"/>
        </w:rPr>
        <w:t xml:space="preserve"> </w:t>
      </w:r>
      <w:r w:rsidRPr="00676BCE">
        <w:rPr>
          <w:rFonts w:asciiTheme="minorHAnsi" w:hAnsiTheme="minorHAnsi" w:cstheme="minorHAnsi"/>
          <w:color w:val="000000" w:themeColor="text1"/>
          <w:sz w:val="18"/>
          <w:szCs w:val="18"/>
        </w:rPr>
        <w:t xml:space="preserve">Health Canada </w:t>
      </w:r>
      <w:hyperlink r:id="rId60" w:history="1">
        <w:r w:rsidRPr="00676BCE">
          <w:rPr>
            <w:rStyle w:val="Hyperlink"/>
            <w:rFonts w:asciiTheme="minorHAnsi" w:hAnsiTheme="minorHAnsi" w:cstheme="minorHAnsi"/>
            <w:sz w:val="18"/>
            <w:szCs w:val="18"/>
          </w:rPr>
          <w:t>health-products.canada.ca/</w:t>
        </w:r>
        <w:proofErr w:type="spellStart"/>
        <w:r w:rsidRPr="00676BCE">
          <w:rPr>
            <w:rStyle w:val="Hyperlink"/>
            <w:rFonts w:asciiTheme="minorHAnsi" w:hAnsiTheme="minorHAnsi" w:cstheme="minorHAnsi"/>
            <w:sz w:val="18"/>
            <w:szCs w:val="18"/>
          </w:rPr>
          <w:t>dpd-bdpp</w:t>
        </w:r>
        <w:proofErr w:type="spellEnd"/>
        <w:r w:rsidRPr="00676BCE">
          <w:rPr>
            <w:rStyle w:val="Hyperlink"/>
            <w:rFonts w:asciiTheme="minorHAnsi" w:hAnsiTheme="minorHAnsi" w:cstheme="minorHAnsi"/>
            <w:sz w:val="18"/>
            <w:szCs w:val="18"/>
          </w:rPr>
          <w:t>/dispatch-repartition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1BED" w14:textId="77777777" w:rsidR="00F02AEC" w:rsidRPr="00CB0550" w:rsidRDefault="00F02AEC" w:rsidP="00CB055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F02AEC" w:rsidRPr="002B29B2" w14:paraId="35940C1E" w14:textId="77777777" w:rsidTr="00F71E1E">
      <w:trPr>
        <w:trHeight w:hRule="exact" w:val="8845"/>
      </w:trPr>
      <w:tc>
        <w:tcPr>
          <w:tcW w:w="11964" w:type="dxa"/>
          <w:vAlign w:val="center"/>
        </w:tcPr>
        <w:p w14:paraId="0799E287" w14:textId="10E55BE8" w:rsidR="00F02AEC" w:rsidRPr="002B29B2" w:rsidRDefault="00F02AEC" w:rsidP="006A2426">
          <w:pPr>
            <w:ind w:left="-57"/>
            <w:rPr>
              <w:noProof/>
            </w:rPr>
          </w:pPr>
        </w:p>
      </w:tc>
    </w:tr>
  </w:tbl>
  <w:p w14:paraId="0BA1A1C9" w14:textId="77777777" w:rsidR="00F02AEC" w:rsidRDefault="00CB0550" w:rsidP="006D03E5">
    <w:pPr>
      <w:rPr>
        <w:noProof/>
      </w:rPr>
    </w:pPr>
    <w:r>
      <w:rPr>
        <w:noProof/>
        <w:lang w:eastAsia="en-AU"/>
      </w:rPr>
      <w:drawing>
        <wp:anchor distT="0" distB="0" distL="114300" distR="114300" simplePos="0" relativeHeight="251661312" behindDoc="0" locked="0" layoutInCell="1" allowOverlap="1" wp14:anchorId="30FCA57B" wp14:editId="67652F2E">
          <wp:simplePos x="0" y="0"/>
          <wp:positionH relativeFrom="column">
            <wp:posOffset>-400050</wp:posOffset>
          </wp:positionH>
          <wp:positionV relativeFrom="paragraph">
            <wp:posOffset>-116205</wp:posOffset>
          </wp:positionV>
          <wp:extent cx="2676525" cy="621665"/>
          <wp:effectExtent l="0" t="0" r="9525" b="698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6525"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2AEC" w:rsidRPr="002B29B2">
      <w:rPr>
        <w:noProof/>
        <w:lang w:eastAsia="en-AU"/>
      </w:rPr>
      <w:drawing>
        <wp:anchor distT="0" distB="0" distL="114300" distR="114300" simplePos="0" relativeHeight="251660288" behindDoc="0" locked="0" layoutInCell="0" allowOverlap="1" wp14:anchorId="2FCFED33" wp14:editId="56CB902C">
          <wp:simplePos x="0" y="0"/>
          <wp:positionH relativeFrom="page">
            <wp:align>left</wp:align>
          </wp:positionH>
          <wp:positionV relativeFrom="page">
            <wp:posOffset>3239495</wp:posOffset>
          </wp:positionV>
          <wp:extent cx="7663815" cy="432309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0FA4" w14:textId="77777777" w:rsidR="00F02AEC" w:rsidRDefault="00F02AEC" w:rsidP="00C3408D">
    <w:pPr>
      <w:pStyle w:val="Header"/>
    </w:pPr>
    <w:r w:rsidRPr="000F5176">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CB5" w14:textId="77777777" w:rsidR="00A77452" w:rsidRPr="00FE501F" w:rsidRDefault="00A72A16"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15:restartNumberingAfterBreak="0">
    <w:nsid w:val="FFFFFF88"/>
    <w:multiLevelType w:val="singleLevel"/>
    <w:tmpl w:val="0E1EEFDA"/>
    <w:lvl w:ilvl="0">
      <w:start w:val="1"/>
      <w:numFmt w:val="decimal"/>
      <w:pStyle w:val="ListNumber"/>
      <w:lvlText w:val="%1."/>
      <w:lvlJc w:val="left"/>
      <w:pPr>
        <w:tabs>
          <w:tab w:val="num" w:pos="360"/>
        </w:tabs>
        <w:ind w:left="360" w:hanging="360"/>
      </w:pPr>
      <w:rPr>
        <w:rFonts w:cs="Times New Roman"/>
      </w:rPr>
    </w:lvl>
  </w:abstractNum>
  <w:abstractNum w:abstractNumId="3" w15:restartNumberingAfterBreak="0">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6327D"/>
    <w:multiLevelType w:val="hybridMultilevel"/>
    <w:tmpl w:val="43EE8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19A30ED"/>
    <w:multiLevelType w:val="hybridMultilevel"/>
    <w:tmpl w:val="076AD1A2"/>
    <w:lvl w:ilvl="0" w:tplc="23CEFCB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3AA3734"/>
    <w:multiLevelType w:val="hybridMultilevel"/>
    <w:tmpl w:val="81CE2DFE"/>
    <w:lvl w:ilvl="0" w:tplc="7828397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0EC66A08"/>
    <w:multiLevelType w:val="hybridMultilevel"/>
    <w:tmpl w:val="FF02857C"/>
    <w:lvl w:ilvl="0" w:tplc="9DB6C6B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10053F11"/>
    <w:multiLevelType w:val="multilevel"/>
    <w:tmpl w:val="E58A81F0"/>
    <w:styleLink w:val="NumberBullet"/>
    <w:lvl w:ilvl="0">
      <w:start w:val="1"/>
      <w:numFmt w:val="decimal"/>
      <w:pStyle w:val="Numberbullet0"/>
      <w:lvlText w:val="%1."/>
      <w:lvlJc w:val="left"/>
      <w:pPr>
        <w:ind w:left="360" w:hanging="360"/>
      </w:pPr>
      <w:rPr>
        <w:rFonts w:ascii="Arial" w:hAnsi="Arial"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9" w15:restartNumberingAfterBreak="0">
    <w:nsid w:val="11A81D8D"/>
    <w:multiLevelType w:val="hybridMultilevel"/>
    <w:tmpl w:val="CCD0BBDA"/>
    <w:lvl w:ilvl="0" w:tplc="AFD05C3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832B84"/>
    <w:multiLevelType w:val="hybridMultilevel"/>
    <w:tmpl w:val="21308EF2"/>
    <w:lvl w:ilvl="0" w:tplc="56F8C5C8">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168F13E9"/>
    <w:multiLevelType w:val="multilevel"/>
    <w:tmpl w:val="8578D822"/>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BD74D0"/>
    <w:multiLevelType w:val="hybridMultilevel"/>
    <w:tmpl w:val="64BE2784"/>
    <w:lvl w:ilvl="0" w:tplc="4BD20BAA">
      <w:start w:val="1"/>
      <w:numFmt w:val="lowerRoman"/>
      <w:pStyle w:val="ListBulleti"/>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CEF3ACD"/>
    <w:multiLevelType w:val="multilevel"/>
    <w:tmpl w:val="0748BD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F954581"/>
    <w:multiLevelType w:val="hybridMultilevel"/>
    <w:tmpl w:val="BBECD7F8"/>
    <w:lvl w:ilvl="0" w:tplc="B8AE80E8">
      <w:start w:val="1"/>
      <w:numFmt w:val="lowerLetter"/>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20B44E74"/>
    <w:multiLevelType w:val="hybridMultilevel"/>
    <w:tmpl w:val="E64EE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EB1BE1"/>
    <w:multiLevelType w:val="hybridMultilevel"/>
    <w:tmpl w:val="8DFA1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9" w15:restartNumberingAfterBreak="0">
    <w:nsid w:val="269853D4"/>
    <w:multiLevelType w:val="hybridMultilevel"/>
    <w:tmpl w:val="B6428C62"/>
    <w:lvl w:ilvl="0" w:tplc="FB989380">
      <w:start w:val="1"/>
      <w:numFmt w:val="lowerLetter"/>
      <w:lvlText w:val="(%1)"/>
      <w:lvlJc w:val="left"/>
      <w:pPr>
        <w:ind w:left="1080" w:hanging="360"/>
      </w:pPr>
      <w:rPr>
        <w:rFonts w:hint="default"/>
        <w:color w:val="00B05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E924211"/>
    <w:multiLevelType w:val="hybridMultilevel"/>
    <w:tmpl w:val="34C493BE"/>
    <w:lvl w:ilvl="0" w:tplc="5E685644">
      <w:start w:val="1"/>
      <w:numFmt w:val="lowerLetter"/>
      <w:pStyle w:val="ListBulleta"/>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0">
    <w:nsid w:val="362021A4"/>
    <w:multiLevelType w:val="hybridMultilevel"/>
    <w:tmpl w:val="9632A0DE"/>
    <w:lvl w:ilvl="0" w:tplc="B878500C">
      <w:start w:val="4"/>
      <w:numFmt w:val="bullet"/>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90A6A8C"/>
    <w:multiLevelType w:val="hybridMultilevel"/>
    <w:tmpl w:val="4A0617C6"/>
    <w:lvl w:ilvl="0" w:tplc="5ACCB550">
      <w:start w:val="1"/>
      <w:numFmt w:val="lowerLetter"/>
      <w:pStyle w:val="Numberbullet2aitalicised"/>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D0089"/>
    <w:multiLevelType w:val="hybridMultilevel"/>
    <w:tmpl w:val="4964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B53477"/>
    <w:multiLevelType w:val="hybridMultilevel"/>
    <w:tmpl w:val="6A34E582"/>
    <w:lvl w:ilvl="0" w:tplc="78C0DEFE">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4AE0ED5"/>
    <w:multiLevelType w:val="hybridMultilevel"/>
    <w:tmpl w:val="69880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CB1466"/>
    <w:multiLevelType w:val="hybridMultilevel"/>
    <w:tmpl w:val="FB489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8"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4E0344"/>
    <w:multiLevelType w:val="hybridMultilevel"/>
    <w:tmpl w:val="73D6611C"/>
    <w:lvl w:ilvl="0" w:tplc="23EEBC9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0" w15:restartNumberingAfterBreak="0">
    <w:nsid w:val="55C77F98"/>
    <w:multiLevelType w:val="hybridMultilevel"/>
    <w:tmpl w:val="68F88AE4"/>
    <w:lvl w:ilvl="0" w:tplc="D6D8B654">
      <w:numFmt w:val="bullet"/>
      <w:lvlText w:val="-"/>
      <w:lvlJc w:val="left"/>
      <w:pPr>
        <w:ind w:left="1800" w:hanging="360"/>
      </w:pPr>
      <w:rPr>
        <w:rFonts w:ascii="Cambria" w:eastAsia="Cambria" w:hAnsi="Cambria" w:cstheme="min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0125856"/>
    <w:multiLevelType w:val="hybridMultilevel"/>
    <w:tmpl w:val="256621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652609"/>
    <w:multiLevelType w:val="hybridMultilevel"/>
    <w:tmpl w:val="9A1A7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0C7033"/>
    <w:multiLevelType w:val="hybridMultilevel"/>
    <w:tmpl w:val="71C4DD5A"/>
    <w:lvl w:ilvl="0" w:tplc="3E965642">
      <w:start w:val="1"/>
      <w:numFmt w:val="lowerLetter"/>
      <w:lvlText w:val="(%1)"/>
      <w:lvlJc w:val="left"/>
      <w:pPr>
        <w:ind w:left="1080" w:hanging="360"/>
      </w:pPr>
      <w:rPr>
        <w:rFonts w:hint="default"/>
        <w:color w:val="00B05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D5527DE"/>
    <w:multiLevelType w:val="hybridMultilevel"/>
    <w:tmpl w:val="5E9C0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BD7B19"/>
    <w:multiLevelType w:val="hybridMultilevel"/>
    <w:tmpl w:val="8C68DD7A"/>
    <w:lvl w:ilvl="0" w:tplc="81B47C08">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lvlOverride w:ilvl="0">
      <w:lvl w:ilvl="0">
        <w:start w:val="4"/>
        <w:numFmt w:val="bullet"/>
        <w:pStyle w:val="ListBullet"/>
        <w:lvlText w:val="•"/>
        <w:lvlJc w:val="left"/>
        <w:pPr>
          <w:ind w:left="360" w:hanging="360"/>
        </w:pPr>
      </w:lvl>
    </w:lvlOverride>
  </w:num>
  <w:num w:numId="2">
    <w:abstractNumId w:val="8"/>
  </w:num>
  <w:num w:numId="3">
    <w:abstractNumId w:val="11"/>
  </w:num>
  <w:num w:numId="4">
    <w:abstractNumId w:val="28"/>
  </w:num>
  <w:num w:numId="5">
    <w:abstractNumId w:val="18"/>
  </w:num>
  <w:num w:numId="6">
    <w:abstractNumId w:val="27"/>
  </w:num>
  <w:num w:numId="7">
    <w:abstractNumId w:val="3"/>
  </w:num>
  <w:num w:numId="8">
    <w:abstractNumId w:val="1"/>
  </w:num>
  <w:num w:numId="9">
    <w:abstractNumId w:val="0"/>
  </w:num>
  <w:num w:numId="10">
    <w:abstractNumId w:val="16"/>
  </w:num>
  <w:num w:numId="11">
    <w:abstractNumId w:val="21"/>
  </w:num>
  <w:num w:numId="12">
    <w:abstractNumId w:val="35"/>
  </w:num>
  <w:num w:numId="13">
    <w:abstractNumId w:val="4"/>
  </w:num>
  <w:num w:numId="14">
    <w:abstractNumId w:val="5"/>
  </w:num>
  <w:num w:numId="15">
    <w:abstractNumId w:val="9"/>
  </w:num>
  <w:num w:numId="16">
    <w:abstractNumId w:val="30"/>
  </w:num>
  <w:num w:numId="17">
    <w:abstractNumId w:val="32"/>
  </w:num>
  <w:num w:numId="18">
    <w:abstractNumId w:val="31"/>
  </w:num>
  <w:num w:numId="19">
    <w:abstractNumId w:val="17"/>
  </w:num>
  <w:num w:numId="20">
    <w:abstractNumId w:val="26"/>
  </w:num>
  <w:num w:numId="21">
    <w:abstractNumId w:val="34"/>
  </w:num>
  <w:num w:numId="22">
    <w:abstractNumId w:val="25"/>
  </w:num>
  <w:num w:numId="23">
    <w:abstractNumId w:val="14"/>
  </w:num>
  <w:num w:numId="24">
    <w:abstractNumId w:val="20"/>
  </w:num>
  <w:num w:numId="25">
    <w:abstractNumId w:val="13"/>
  </w:num>
  <w:num w:numId="26">
    <w:abstractNumId w:val="10"/>
  </w:num>
  <w:num w:numId="27">
    <w:abstractNumId w:val="7"/>
  </w:num>
  <w:num w:numId="28">
    <w:abstractNumId w:val="6"/>
  </w:num>
  <w:num w:numId="29">
    <w:abstractNumId w:val="20"/>
    <w:lvlOverride w:ilvl="0">
      <w:startOverride w:val="1"/>
    </w:lvlOverride>
  </w:num>
  <w:num w:numId="30">
    <w:abstractNumId w:val="20"/>
    <w:lvlOverride w:ilvl="0">
      <w:startOverride w:val="1"/>
    </w:lvlOverride>
  </w:num>
  <w:num w:numId="31">
    <w:abstractNumId w:val="2"/>
  </w:num>
  <w:num w:numId="32">
    <w:abstractNumId w:val="19"/>
  </w:num>
  <w:num w:numId="33">
    <w:abstractNumId w:val="33"/>
  </w:num>
  <w:num w:numId="34">
    <w:abstractNumId w:val="12"/>
  </w:num>
  <w:num w:numId="35">
    <w:abstractNumId w:val="22"/>
  </w:num>
  <w:num w:numId="36">
    <w:abstractNumId w:val="12"/>
  </w:num>
  <w:num w:numId="37">
    <w:abstractNumId w:val="29"/>
  </w:num>
  <w:num w:numId="38">
    <w:abstractNumId w:val="22"/>
    <w:lvlOverride w:ilvl="0">
      <w:startOverride w:val="1"/>
    </w:lvlOverride>
  </w:num>
  <w:num w:numId="39">
    <w:abstractNumId w:val="15"/>
  </w:num>
  <w:num w:numId="40">
    <w:abstractNumId w:val="2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72"/>
    <w:rsid w:val="00005C3C"/>
    <w:rsid w:val="000128EB"/>
    <w:rsid w:val="000218A3"/>
    <w:rsid w:val="000219D3"/>
    <w:rsid w:val="00033F7D"/>
    <w:rsid w:val="00041C06"/>
    <w:rsid w:val="00061811"/>
    <w:rsid w:val="000715DA"/>
    <w:rsid w:val="00074FF6"/>
    <w:rsid w:val="0007726C"/>
    <w:rsid w:val="00094B81"/>
    <w:rsid w:val="000A62D0"/>
    <w:rsid w:val="000B10D5"/>
    <w:rsid w:val="000F2C4F"/>
    <w:rsid w:val="00100DF2"/>
    <w:rsid w:val="00104104"/>
    <w:rsid w:val="00111A9B"/>
    <w:rsid w:val="00116DAE"/>
    <w:rsid w:val="0012473C"/>
    <w:rsid w:val="001277B7"/>
    <w:rsid w:val="0013560F"/>
    <w:rsid w:val="00153078"/>
    <w:rsid w:val="00154CF5"/>
    <w:rsid w:val="001638A1"/>
    <w:rsid w:val="0017192A"/>
    <w:rsid w:val="00175CD8"/>
    <w:rsid w:val="0018568F"/>
    <w:rsid w:val="00191EE0"/>
    <w:rsid w:val="00194309"/>
    <w:rsid w:val="001A0A49"/>
    <w:rsid w:val="001B0CAD"/>
    <w:rsid w:val="001C2599"/>
    <w:rsid w:val="001C3E22"/>
    <w:rsid w:val="001D7CE9"/>
    <w:rsid w:val="001E004C"/>
    <w:rsid w:val="001E0DAC"/>
    <w:rsid w:val="001F1C46"/>
    <w:rsid w:val="001F353A"/>
    <w:rsid w:val="001F3ADC"/>
    <w:rsid w:val="002052ED"/>
    <w:rsid w:val="00206C40"/>
    <w:rsid w:val="002241CC"/>
    <w:rsid w:val="002469EC"/>
    <w:rsid w:val="00284FB7"/>
    <w:rsid w:val="002A31EB"/>
    <w:rsid w:val="002C5653"/>
    <w:rsid w:val="002C70CE"/>
    <w:rsid w:val="002E1B79"/>
    <w:rsid w:val="003008D8"/>
    <w:rsid w:val="003102A0"/>
    <w:rsid w:val="003131B4"/>
    <w:rsid w:val="0031479A"/>
    <w:rsid w:val="0035444D"/>
    <w:rsid w:val="0036441B"/>
    <w:rsid w:val="003B45D1"/>
    <w:rsid w:val="003B54F8"/>
    <w:rsid w:val="00403A31"/>
    <w:rsid w:val="004246B8"/>
    <w:rsid w:val="004257D7"/>
    <w:rsid w:val="004467E6"/>
    <w:rsid w:val="004503FA"/>
    <w:rsid w:val="004515C6"/>
    <w:rsid w:val="00463579"/>
    <w:rsid w:val="00465BED"/>
    <w:rsid w:val="00465EAB"/>
    <w:rsid w:val="00495DB1"/>
    <w:rsid w:val="004D0BE2"/>
    <w:rsid w:val="0055048F"/>
    <w:rsid w:val="005607AB"/>
    <w:rsid w:val="0058575E"/>
    <w:rsid w:val="005C4470"/>
    <w:rsid w:val="005E35B5"/>
    <w:rsid w:val="005E6FF2"/>
    <w:rsid w:val="005F55CB"/>
    <w:rsid w:val="00602154"/>
    <w:rsid w:val="006129B0"/>
    <w:rsid w:val="006152E4"/>
    <w:rsid w:val="00667AE4"/>
    <w:rsid w:val="006767C1"/>
    <w:rsid w:val="00676BCE"/>
    <w:rsid w:val="00685E72"/>
    <w:rsid w:val="00693AE9"/>
    <w:rsid w:val="006976C5"/>
    <w:rsid w:val="006A1F0B"/>
    <w:rsid w:val="006C60CA"/>
    <w:rsid w:val="006E4A7C"/>
    <w:rsid w:val="006F56C7"/>
    <w:rsid w:val="00723E3F"/>
    <w:rsid w:val="00724D09"/>
    <w:rsid w:val="007276F9"/>
    <w:rsid w:val="007420C5"/>
    <w:rsid w:val="00746990"/>
    <w:rsid w:val="007651FF"/>
    <w:rsid w:val="007933CD"/>
    <w:rsid w:val="00795F66"/>
    <w:rsid w:val="00797AE0"/>
    <w:rsid w:val="007A5D1C"/>
    <w:rsid w:val="007B0975"/>
    <w:rsid w:val="007B6865"/>
    <w:rsid w:val="007D4EC1"/>
    <w:rsid w:val="007E0EB1"/>
    <w:rsid w:val="007E4263"/>
    <w:rsid w:val="007F0A77"/>
    <w:rsid w:val="0081040F"/>
    <w:rsid w:val="008329DB"/>
    <w:rsid w:val="00834DA0"/>
    <w:rsid w:val="0084553A"/>
    <w:rsid w:val="00855666"/>
    <w:rsid w:val="00864376"/>
    <w:rsid w:val="00867A5D"/>
    <w:rsid w:val="00874EB1"/>
    <w:rsid w:val="0088025A"/>
    <w:rsid w:val="008A75BC"/>
    <w:rsid w:val="008C2451"/>
    <w:rsid w:val="008D6CFC"/>
    <w:rsid w:val="008E3607"/>
    <w:rsid w:val="008E40EE"/>
    <w:rsid w:val="008E6389"/>
    <w:rsid w:val="008F0AE7"/>
    <w:rsid w:val="0090387E"/>
    <w:rsid w:val="00914679"/>
    <w:rsid w:val="00922B20"/>
    <w:rsid w:val="00925501"/>
    <w:rsid w:val="00930423"/>
    <w:rsid w:val="00930D58"/>
    <w:rsid w:val="00931FC3"/>
    <w:rsid w:val="00945FF4"/>
    <w:rsid w:val="00960FBB"/>
    <w:rsid w:val="00963C5C"/>
    <w:rsid w:val="00974830"/>
    <w:rsid w:val="009D77C4"/>
    <w:rsid w:val="009E0775"/>
    <w:rsid w:val="009E0D60"/>
    <w:rsid w:val="009E11C1"/>
    <w:rsid w:val="009E4096"/>
    <w:rsid w:val="009F279F"/>
    <w:rsid w:val="00A12A07"/>
    <w:rsid w:val="00A32EA5"/>
    <w:rsid w:val="00A36B81"/>
    <w:rsid w:val="00A54E17"/>
    <w:rsid w:val="00A55D19"/>
    <w:rsid w:val="00A715D5"/>
    <w:rsid w:val="00A72A16"/>
    <w:rsid w:val="00A8397C"/>
    <w:rsid w:val="00A9708F"/>
    <w:rsid w:val="00A97596"/>
    <w:rsid w:val="00AA0B09"/>
    <w:rsid w:val="00AA247D"/>
    <w:rsid w:val="00AA4EF4"/>
    <w:rsid w:val="00AA5EE4"/>
    <w:rsid w:val="00AA6A85"/>
    <w:rsid w:val="00AB0D1B"/>
    <w:rsid w:val="00AB7CBF"/>
    <w:rsid w:val="00AD2CA3"/>
    <w:rsid w:val="00B240DF"/>
    <w:rsid w:val="00B26B0D"/>
    <w:rsid w:val="00B46BC0"/>
    <w:rsid w:val="00B54EA6"/>
    <w:rsid w:val="00B56497"/>
    <w:rsid w:val="00B95CB9"/>
    <w:rsid w:val="00B97F9C"/>
    <w:rsid w:val="00BB0A6B"/>
    <w:rsid w:val="00BC0B35"/>
    <w:rsid w:val="00BC4F7F"/>
    <w:rsid w:val="00BD062A"/>
    <w:rsid w:val="00BD0BC1"/>
    <w:rsid w:val="00C02E41"/>
    <w:rsid w:val="00C064BD"/>
    <w:rsid w:val="00C1083F"/>
    <w:rsid w:val="00C52FF7"/>
    <w:rsid w:val="00C673A4"/>
    <w:rsid w:val="00C71504"/>
    <w:rsid w:val="00C8178B"/>
    <w:rsid w:val="00C95157"/>
    <w:rsid w:val="00CA48E4"/>
    <w:rsid w:val="00CB0550"/>
    <w:rsid w:val="00CB1E73"/>
    <w:rsid w:val="00CB4A67"/>
    <w:rsid w:val="00CC6BAE"/>
    <w:rsid w:val="00CD354B"/>
    <w:rsid w:val="00CD5417"/>
    <w:rsid w:val="00D03BFF"/>
    <w:rsid w:val="00D078BE"/>
    <w:rsid w:val="00D12291"/>
    <w:rsid w:val="00D13F8A"/>
    <w:rsid w:val="00D241DA"/>
    <w:rsid w:val="00D415D6"/>
    <w:rsid w:val="00D52FBE"/>
    <w:rsid w:val="00D548D0"/>
    <w:rsid w:val="00D73026"/>
    <w:rsid w:val="00D73F99"/>
    <w:rsid w:val="00D76414"/>
    <w:rsid w:val="00D85C8B"/>
    <w:rsid w:val="00D918D5"/>
    <w:rsid w:val="00D937BD"/>
    <w:rsid w:val="00D9443F"/>
    <w:rsid w:val="00DA2364"/>
    <w:rsid w:val="00DA5D4C"/>
    <w:rsid w:val="00DB6696"/>
    <w:rsid w:val="00DC1BC2"/>
    <w:rsid w:val="00DC36FC"/>
    <w:rsid w:val="00DE411A"/>
    <w:rsid w:val="00E02FCC"/>
    <w:rsid w:val="00E07685"/>
    <w:rsid w:val="00E07BF1"/>
    <w:rsid w:val="00E11B44"/>
    <w:rsid w:val="00E20FDD"/>
    <w:rsid w:val="00E2510F"/>
    <w:rsid w:val="00E311F3"/>
    <w:rsid w:val="00E4027C"/>
    <w:rsid w:val="00E53D3F"/>
    <w:rsid w:val="00E63479"/>
    <w:rsid w:val="00E716C3"/>
    <w:rsid w:val="00E744A2"/>
    <w:rsid w:val="00E74A00"/>
    <w:rsid w:val="00E752E5"/>
    <w:rsid w:val="00E926E4"/>
    <w:rsid w:val="00E95F37"/>
    <w:rsid w:val="00EC3206"/>
    <w:rsid w:val="00ED4152"/>
    <w:rsid w:val="00ED591C"/>
    <w:rsid w:val="00EE2FCB"/>
    <w:rsid w:val="00EE5268"/>
    <w:rsid w:val="00EF538F"/>
    <w:rsid w:val="00F007C3"/>
    <w:rsid w:val="00F02AEC"/>
    <w:rsid w:val="00F216E2"/>
    <w:rsid w:val="00F2212C"/>
    <w:rsid w:val="00F226D0"/>
    <w:rsid w:val="00F34E79"/>
    <w:rsid w:val="00F379DE"/>
    <w:rsid w:val="00F85F08"/>
    <w:rsid w:val="00F87F89"/>
    <w:rsid w:val="00FA2828"/>
    <w:rsid w:val="00FA49C3"/>
    <w:rsid w:val="00FC1EA7"/>
    <w:rsid w:val="00FD2E05"/>
    <w:rsid w:val="00FD735C"/>
    <w:rsid w:val="00FD7FDE"/>
    <w:rsid w:val="00FE23C2"/>
    <w:rsid w:val="00FF6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0F104"/>
  <w15:chartTrackingRefBased/>
  <w15:docId w15:val="{4905FCE5-1683-452F-9994-07B3E763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DE"/>
    <w:rPr>
      <w:rFonts w:ascii="Arial" w:hAnsi="Arial"/>
    </w:rPr>
  </w:style>
  <w:style w:type="paragraph" w:styleId="Heading1">
    <w:name w:val="heading 1"/>
    <w:basedOn w:val="Normal"/>
    <w:next w:val="Normal"/>
    <w:link w:val="Heading1Char"/>
    <w:rsid w:val="00685E72"/>
    <w:pPr>
      <w:keepNext/>
      <w:keepLines/>
      <w:spacing w:before="360" w:after="240" w:line="240" w:lineRule="atLeast"/>
      <w:outlineLvl w:val="0"/>
    </w:pPr>
    <w:rPr>
      <w:rFonts w:eastAsia="Times New Roman" w:cs="Times New Roman"/>
      <w:b/>
      <w:bCs/>
      <w:sz w:val="48"/>
      <w:szCs w:val="48"/>
    </w:rPr>
  </w:style>
  <w:style w:type="paragraph" w:styleId="Heading2">
    <w:name w:val="heading 2"/>
    <w:basedOn w:val="Normal"/>
    <w:next w:val="Normal"/>
    <w:link w:val="Heading2Char"/>
    <w:qFormat/>
    <w:rsid w:val="00F02AEC"/>
    <w:pPr>
      <w:keepNext/>
      <w:keepLines/>
      <w:spacing w:before="480" w:line="240" w:lineRule="atLeast"/>
      <w:outlineLvl w:val="1"/>
    </w:pPr>
    <w:rPr>
      <w:rFonts w:eastAsia="Times New Roman" w:cs="Times New Roman"/>
      <w:b/>
      <w:bCs/>
      <w:color w:val="001871"/>
      <w:sz w:val="38"/>
      <w:szCs w:val="38"/>
    </w:rPr>
  </w:style>
  <w:style w:type="paragraph" w:styleId="Heading3">
    <w:name w:val="heading 3"/>
    <w:basedOn w:val="Normal"/>
    <w:next w:val="Normal"/>
    <w:link w:val="Heading3Char"/>
    <w:qFormat/>
    <w:rsid w:val="00F02AEC"/>
    <w:pPr>
      <w:keepNext/>
      <w:keepLines/>
      <w:spacing w:before="480" w:line="240" w:lineRule="atLeast"/>
      <w:outlineLvl w:val="2"/>
    </w:pPr>
    <w:rPr>
      <w:rFonts w:eastAsia="Times New Roman" w:cs="Times New Roman"/>
      <w:b/>
      <w:bCs/>
      <w:color w:val="001871"/>
      <w:sz w:val="32"/>
      <w:szCs w:val="32"/>
    </w:rPr>
  </w:style>
  <w:style w:type="paragraph" w:styleId="Heading4">
    <w:name w:val="heading 4"/>
    <w:basedOn w:val="Normal"/>
    <w:next w:val="Normal"/>
    <w:link w:val="Heading4Char"/>
    <w:qFormat/>
    <w:rsid w:val="00F02AEC"/>
    <w:pPr>
      <w:keepNext/>
      <w:keepLines/>
      <w:spacing w:before="360" w:line="240" w:lineRule="atLeast"/>
      <w:outlineLvl w:val="3"/>
    </w:pPr>
    <w:rPr>
      <w:rFonts w:eastAsia="Cambria" w:cs="Times New Roman"/>
      <w:b/>
      <w:bCs/>
      <w:color w:val="001871"/>
      <w:sz w:val="28"/>
      <w:szCs w:val="26"/>
    </w:rPr>
  </w:style>
  <w:style w:type="paragraph" w:styleId="Heading5">
    <w:name w:val="heading 5"/>
    <w:basedOn w:val="Normal"/>
    <w:next w:val="Normal"/>
    <w:link w:val="Heading5Char"/>
    <w:uiPriority w:val="9"/>
    <w:rsid w:val="00F02AEC"/>
    <w:pPr>
      <w:keepNext/>
      <w:keepLines/>
      <w:spacing w:before="240" w:line="240" w:lineRule="atLeast"/>
      <w:outlineLvl w:val="4"/>
    </w:pPr>
    <w:rPr>
      <w:rFonts w:eastAsia="Times New Roman" w:cs="Times New Roman"/>
      <w:b/>
      <w:bCs/>
      <w:i/>
      <w:color w:val="001871"/>
      <w:sz w:val="26"/>
      <w:szCs w:val="26"/>
    </w:rPr>
  </w:style>
  <w:style w:type="paragraph" w:styleId="Heading6">
    <w:name w:val="heading 6"/>
    <w:basedOn w:val="Normal"/>
    <w:next w:val="Normal"/>
    <w:link w:val="Heading6Char"/>
    <w:uiPriority w:val="9"/>
    <w:rsid w:val="00F02AEC"/>
    <w:pPr>
      <w:keepNext/>
      <w:keepLines/>
      <w:spacing w:before="240" w:line="240" w:lineRule="atLeast"/>
      <w:outlineLvl w:val="5"/>
    </w:pPr>
    <w:rPr>
      <w:rFonts w:eastAsia="Times New Roman" w:cs="Times New Roman"/>
      <w:b/>
      <w:bCs/>
      <w:i/>
      <w:color w:val="001871"/>
      <w:sz w:val="24"/>
      <w:szCs w:val="21"/>
    </w:rPr>
  </w:style>
  <w:style w:type="paragraph" w:styleId="Heading7">
    <w:name w:val="heading 7"/>
    <w:basedOn w:val="Normal"/>
    <w:next w:val="Normal"/>
    <w:link w:val="Heading7Char"/>
    <w:uiPriority w:val="9"/>
    <w:rsid w:val="00685E72"/>
    <w:pPr>
      <w:keepNext/>
      <w:keepLines/>
      <w:spacing w:before="240" w:after="60" w:line="180" w:lineRule="atLeast"/>
      <w:ind w:left="1296" w:hanging="1296"/>
      <w:outlineLvl w:val="6"/>
    </w:pPr>
    <w:rPr>
      <w:rFonts w:ascii="Cambria" w:eastAsia="Times New Roman" w:hAnsi="Cambria" w:cs="Times New Roman"/>
      <w:bCs/>
      <w:i/>
      <w:sz w:val="22"/>
      <w:szCs w:val="22"/>
    </w:rPr>
  </w:style>
  <w:style w:type="paragraph" w:styleId="Heading8">
    <w:name w:val="heading 8"/>
    <w:basedOn w:val="Normal"/>
    <w:next w:val="Normal"/>
    <w:link w:val="Heading8Char"/>
    <w:uiPriority w:val="9"/>
    <w:semiHidden/>
    <w:unhideWhenUsed/>
    <w:qFormat/>
    <w:rsid w:val="00685E72"/>
    <w:pPr>
      <w:keepNext/>
      <w:keepLines/>
      <w:spacing w:before="200" w:after="0" w:line="240" w:lineRule="atLeast"/>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85E72"/>
    <w:pPr>
      <w:keepNext/>
      <w:keepLines/>
      <w:spacing w:before="200" w:after="0" w:line="240" w:lineRule="atLeast"/>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8329DB"/>
    <w:pPr>
      <w:spacing w:before="80" w:after="40" w:line="264" w:lineRule="auto"/>
      <w:ind w:left="113"/>
    </w:pPr>
    <w:rPr>
      <w:rFonts w:ascii="Arial" w:eastAsia="Cambria" w:hAnsi="Arial"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rPr>
      <w:cantSplit/>
    </w:trPr>
    <w:tcPr>
      <w:shd w:val="clear" w:color="auto" w:fill="FFFFFF" w:themeFill="background1"/>
    </w:tcPr>
    <w:tblStylePr w:type="firstRow">
      <w:pPr>
        <w:keepNext/>
        <w:wordWrap/>
      </w:pPr>
      <w:rPr>
        <w:rFonts w:ascii="Arial" w:hAnsi="Arial"/>
        <w:b/>
        <w:color w:val="263287"/>
        <w:sz w:val="22"/>
      </w:rPr>
      <w:tblPr/>
      <w:trPr>
        <w:tblHeader/>
      </w:trPr>
      <w:tcPr>
        <w:shd w:val="clear" w:color="auto" w:fill="DEEAF6" w:themeFill="accent5" w:themeFillTint="33"/>
      </w:tcPr>
    </w:tblStylePr>
    <w:tblStylePr w:type="firstCol">
      <w:pPr>
        <w:keepNext w:val="0"/>
        <w:wordWrap/>
      </w:pPr>
    </w:tblStylePr>
  </w:style>
  <w:style w:type="character" w:customStyle="1" w:styleId="Heading2Char">
    <w:name w:val="Heading 2 Char"/>
    <w:basedOn w:val="DefaultParagraphFont"/>
    <w:link w:val="Heading2"/>
    <w:rsid w:val="00F02AEC"/>
    <w:rPr>
      <w:rFonts w:ascii="Arial" w:eastAsia="Times New Roman" w:hAnsi="Arial" w:cs="Times New Roman"/>
      <w:b/>
      <w:bCs/>
      <w:color w:val="001871"/>
      <w:sz w:val="38"/>
      <w:szCs w:val="38"/>
    </w:rPr>
  </w:style>
  <w:style w:type="character" w:customStyle="1" w:styleId="Heading3Char">
    <w:name w:val="Heading 3 Char"/>
    <w:basedOn w:val="DefaultParagraphFont"/>
    <w:link w:val="Heading3"/>
    <w:rsid w:val="00F02AEC"/>
    <w:rPr>
      <w:rFonts w:ascii="Arial" w:eastAsia="Times New Roman" w:hAnsi="Arial" w:cs="Times New Roman"/>
      <w:b/>
      <w:bCs/>
      <w:color w:val="001871"/>
      <w:sz w:val="32"/>
      <w:szCs w:val="32"/>
    </w:rPr>
  </w:style>
  <w:style w:type="character" w:customStyle="1" w:styleId="Heading4Char">
    <w:name w:val="Heading 4 Char"/>
    <w:basedOn w:val="DefaultParagraphFont"/>
    <w:link w:val="Heading4"/>
    <w:rsid w:val="00F02AEC"/>
    <w:rPr>
      <w:rFonts w:ascii="Arial" w:eastAsia="Cambria" w:hAnsi="Arial" w:cs="Times New Roman"/>
      <w:b/>
      <w:bCs/>
      <w:color w:val="001871"/>
      <w:sz w:val="28"/>
      <w:szCs w:val="26"/>
    </w:rPr>
  </w:style>
  <w:style w:type="character" w:customStyle="1" w:styleId="Heading5Char">
    <w:name w:val="Heading 5 Char"/>
    <w:basedOn w:val="DefaultParagraphFont"/>
    <w:link w:val="Heading5"/>
    <w:uiPriority w:val="9"/>
    <w:rsid w:val="00F02AEC"/>
    <w:rPr>
      <w:rFonts w:ascii="Arial" w:eastAsia="Times New Roman" w:hAnsi="Arial" w:cs="Times New Roman"/>
      <w:b/>
      <w:bCs/>
      <w:i/>
      <w:color w:val="001871"/>
      <w:sz w:val="26"/>
      <w:szCs w:val="26"/>
    </w:rPr>
  </w:style>
  <w:style w:type="character" w:customStyle="1" w:styleId="Heading6Char">
    <w:name w:val="Heading 6 Char"/>
    <w:basedOn w:val="DefaultParagraphFont"/>
    <w:link w:val="Heading6"/>
    <w:uiPriority w:val="9"/>
    <w:rsid w:val="00F02AEC"/>
    <w:rPr>
      <w:rFonts w:ascii="Arial" w:eastAsia="Times New Roman" w:hAnsi="Arial" w:cs="Times New Roman"/>
      <w:b/>
      <w:bCs/>
      <w:i/>
      <w:color w:val="001871"/>
      <w:sz w:val="24"/>
      <w:szCs w:val="21"/>
    </w:rPr>
  </w:style>
  <w:style w:type="paragraph" w:styleId="Date">
    <w:name w:val="Date"/>
    <w:basedOn w:val="Normal"/>
    <w:next w:val="Normal"/>
    <w:link w:val="DateChar"/>
    <w:uiPriority w:val="99"/>
    <w:rsid w:val="00F02AEC"/>
    <w:pPr>
      <w:spacing w:before="120" w:after="0" w:line="240" w:lineRule="atLeast"/>
    </w:pPr>
    <w:rPr>
      <w:rFonts w:eastAsia="Cambria" w:cs="Times New Roman"/>
      <w:color w:val="333F4A"/>
      <w:sz w:val="28"/>
    </w:rPr>
  </w:style>
  <w:style w:type="character" w:customStyle="1" w:styleId="DateChar">
    <w:name w:val="Date Char"/>
    <w:basedOn w:val="DefaultParagraphFont"/>
    <w:link w:val="Date"/>
    <w:uiPriority w:val="99"/>
    <w:rsid w:val="00F02AEC"/>
    <w:rPr>
      <w:rFonts w:ascii="Arial" w:eastAsia="Cambria" w:hAnsi="Arial" w:cs="Times New Roman"/>
      <w:color w:val="333F4A"/>
      <w:sz w:val="28"/>
      <w:szCs w:val="20"/>
    </w:rPr>
  </w:style>
  <w:style w:type="paragraph" w:styleId="Footer">
    <w:name w:val="footer"/>
    <w:basedOn w:val="Normal"/>
    <w:link w:val="FooterChar"/>
    <w:uiPriority w:val="99"/>
    <w:rsid w:val="00F02AEC"/>
    <w:pPr>
      <w:tabs>
        <w:tab w:val="center" w:pos="4513"/>
        <w:tab w:val="right" w:pos="9026"/>
      </w:tabs>
      <w:spacing w:after="0" w:line="240" w:lineRule="auto"/>
    </w:pPr>
    <w:rPr>
      <w:rFonts w:eastAsia="Cambria" w:cs="Times New Roman"/>
      <w:color w:val="333F4A"/>
      <w:sz w:val="17"/>
    </w:rPr>
  </w:style>
  <w:style w:type="character" w:customStyle="1" w:styleId="FooterChar">
    <w:name w:val="Footer Char"/>
    <w:basedOn w:val="DefaultParagraphFont"/>
    <w:link w:val="Footer"/>
    <w:uiPriority w:val="99"/>
    <w:rsid w:val="00F02AEC"/>
    <w:rPr>
      <w:rFonts w:ascii="Arial" w:eastAsia="Cambria" w:hAnsi="Arial" w:cs="Times New Roman"/>
      <w:color w:val="333F4A"/>
      <w:sz w:val="17"/>
      <w:szCs w:val="20"/>
    </w:rPr>
  </w:style>
  <w:style w:type="paragraph" w:styleId="Header">
    <w:name w:val="header"/>
    <w:basedOn w:val="Normal"/>
    <w:link w:val="HeaderChar"/>
    <w:uiPriority w:val="99"/>
    <w:rsid w:val="00F02AEC"/>
    <w:pPr>
      <w:pBdr>
        <w:bottom w:val="single" w:sz="4" w:space="3" w:color="auto"/>
      </w:pBdr>
      <w:tabs>
        <w:tab w:val="center" w:pos="4513"/>
        <w:tab w:val="right" w:pos="9026"/>
      </w:tabs>
      <w:spacing w:after="0" w:line="240" w:lineRule="auto"/>
      <w:jc w:val="right"/>
    </w:pPr>
    <w:rPr>
      <w:rFonts w:eastAsia="Cambria" w:cs="Times New Roman"/>
      <w:color w:val="333F4A"/>
      <w:sz w:val="17"/>
    </w:rPr>
  </w:style>
  <w:style w:type="character" w:customStyle="1" w:styleId="HeaderChar">
    <w:name w:val="Header Char"/>
    <w:basedOn w:val="DefaultParagraphFont"/>
    <w:link w:val="Header"/>
    <w:uiPriority w:val="99"/>
    <w:rsid w:val="00F02AEC"/>
    <w:rPr>
      <w:rFonts w:ascii="Arial" w:eastAsia="Cambria" w:hAnsi="Arial" w:cs="Times New Roman"/>
      <w:color w:val="333F4A"/>
      <w:sz w:val="17"/>
      <w:szCs w:val="20"/>
    </w:rPr>
  </w:style>
  <w:style w:type="character" w:styleId="Hyperlink">
    <w:name w:val="Hyperlink"/>
    <w:aliases w:val="OECD Hyperlink"/>
    <w:basedOn w:val="DefaultParagraphFont"/>
    <w:uiPriority w:val="99"/>
    <w:unhideWhenUsed/>
    <w:rsid w:val="00F02AEC"/>
    <w:rPr>
      <w:rFonts w:ascii="Arial" w:hAnsi="Arial"/>
      <w:color w:val="0000FF"/>
      <w:u w:val="single"/>
    </w:rPr>
  </w:style>
  <w:style w:type="paragraph" w:customStyle="1" w:styleId="LegalCopy">
    <w:name w:val="Legal Copy"/>
    <w:basedOn w:val="Footer"/>
    <w:rsid w:val="00F02AEC"/>
  </w:style>
  <w:style w:type="paragraph" w:customStyle="1" w:styleId="LegalSubheading">
    <w:name w:val="Legal Subheading"/>
    <w:basedOn w:val="Footer"/>
    <w:rsid w:val="00F02AEC"/>
    <w:pPr>
      <w:outlineLvl w:val="1"/>
    </w:pPr>
    <w:rPr>
      <w:b/>
    </w:rPr>
  </w:style>
  <w:style w:type="paragraph" w:styleId="ListBullet">
    <w:name w:val="List Bullet"/>
    <w:basedOn w:val="Normal"/>
    <w:uiPriority w:val="2"/>
    <w:qFormat/>
    <w:rsid w:val="00F379DE"/>
    <w:pPr>
      <w:numPr>
        <w:numId w:val="1"/>
      </w:numPr>
      <w:spacing w:before="120" w:after="180" w:line="240" w:lineRule="atLeast"/>
    </w:pPr>
    <w:rPr>
      <w:rFonts w:eastAsia="Cambria" w:cs="Times New Roman"/>
      <w:color w:val="000000" w:themeColor="text1"/>
    </w:rPr>
  </w:style>
  <w:style w:type="paragraph" w:styleId="ListBullet2">
    <w:name w:val="List Bullet 2"/>
    <w:basedOn w:val="Normal"/>
    <w:uiPriority w:val="2"/>
    <w:qFormat/>
    <w:rsid w:val="00F379DE"/>
    <w:pPr>
      <w:numPr>
        <w:ilvl w:val="1"/>
        <w:numId w:val="1"/>
      </w:numPr>
      <w:spacing w:before="120" w:after="180" w:line="240" w:lineRule="atLeast"/>
      <w:ind w:left="850" w:hanging="425"/>
    </w:pPr>
    <w:rPr>
      <w:rFonts w:eastAsia="Cambria" w:cs="Times New Roman"/>
      <w:color w:val="000000" w:themeColor="text1"/>
    </w:rPr>
  </w:style>
  <w:style w:type="paragraph" w:styleId="ListBullet3">
    <w:name w:val="List Bullet 3"/>
    <w:basedOn w:val="Normal"/>
    <w:uiPriority w:val="2"/>
    <w:qFormat/>
    <w:rsid w:val="00F02AEC"/>
    <w:pPr>
      <w:numPr>
        <w:numId w:val="3"/>
      </w:numPr>
      <w:spacing w:before="120" w:after="180" w:line="240" w:lineRule="atLeast"/>
      <w:ind w:left="1276" w:hanging="425"/>
    </w:pPr>
    <w:rPr>
      <w:rFonts w:eastAsia="Cambria" w:cs="Times New Roman"/>
      <w:color w:val="333F48"/>
    </w:rPr>
  </w:style>
  <w:style w:type="numbering" w:customStyle="1" w:styleId="ListBullets">
    <w:name w:val="ListBullets"/>
    <w:uiPriority w:val="99"/>
    <w:locked/>
    <w:rsid w:val="00F02AEC"/>
    <w:pPr>
      <w:numPr>
        <w:numId w:val="34"/>
      </w:numPr>
    </w:pPr>
  </w:style>
  <w:style w:type="paragraph" w:customStyle="1" w:styleId="Numberbullet0">
    <w:name w:val="Number bullet"/>
    <w:basedOn w:val="ListBullet"/>
    <w:qFormat/>
    <w:rsid w:val="00B46BC0"/>
    <w:pPr>
      <w:numPr>
        <w:numId w:val="2"/>
      </w:numPr>
    </w:pPr>
  </w:style>
  <w:style w:type="paragraph" w:customStyle="1" w:styleId="Numberbullet2">
    <w:name w:val="Number bullet 2"/>
    <w:basedOn w:val="ListBullet2"/>
    <w:qFormat/>
    <w:rsid w:val="00F379DE"/>
    <w:pPr>
      <w:numPr>
        <w:numId w:val="2"/>
      </w:numPr>
      <w:ind w:left="850" w:hanging="425"/>
    </w:pPr>
  </w:style>
  <w:style w:type="paragraph" w:customStyle="1" w:styleId="Numberbullet3">
    <w:name w:val="Number bullet 3"/>
    <w:basedOn w:val="Normal"/>
    <w:qFormat/>
    <w:rsid w:val="00F02AEC"/>
    <w:pPr>
      <w:numPr>
        <w:numId w:val="4"/>
      </w:numPr>
      <w:spacing w:before="120" w:after="180" w:line="240" w:lineRule="atLeast"/>
      <w:ind w:left="1361" w:hanging="397"/>
    </w:pPr>
    <w:rPr>
      <w:rFonts w:eastAsia="Cambria" w:cs="Times New Roman"/>
      <w:color w:val="333F48"/>
    </w:rPr>
  </w:style>
  <w:style w:type="numbering" w:customStyle="1" w:styleId="NumberBullet">
    <w:name w:val="NumberBullet"/>
    <w:uiPriority w:val="99"/>
    <w:locked/>
    <w:rsid w:val="00F02AEC"/>
    <w:pPr>
      <w:numPr>
        <w:numId w:val="2"/>
      </w:numPr>
    </w:pPr>
  </w:style>
  <w:style w:type="paragraph" w:styleId="Subtitle">
    <w:name w:val="Subtitle"/>
    <w:basedOn w:val="Normal"/>
    <w:link w:val="SubtitleChar"/>
    <w:uiPriority w:val="11"/>
    <w:rsid w:val="00F02AEC"/>
    <w:pPr>
      <w:numPr>
        <w:ilvl w:val="1"/>
      </w:numPr>
      <w:spacing w:after="0" w:line="240" w:lineRule="atLeast"/>
      <w:ind w:left="170"/>
    </w:pPr>
    <w:rPr>
      <w:rFonts w:eastAsia="Times New Roman" w:cs="Times New Roman"/>
      <w:bCs/>
      <w:iCs/>
      <w:color w:val="006BA6"/>
      <w:sz w:val="40"/>
      <w:szCs w:val="24"/>
    </w:rPr>
  </w:style>
  <w:style w:type="character" w:customStyle="1" w:styleId="SubtitleChar">
    <w:name w:val="Subtitle Char"/>
    <w:basedOn w:val="DefaultParagraphFont"/>
    <w:link w:val="Subtitle"/>
    <w:uiPriority w:val="11"/>
    <w:rsid w:val="00F02AEC"/>
    <w:rPr>
      <w:rFonts w:ascii="Arial" w:eastAsia="Times New Roman" w:hAnsi="Arial" w:cs="Times New Roman"/>
      <w:bCs/>
      <w:iCs/>
      <w:color w:val="006BA6"/>
      <w:sz w:val="40"/>
      <w:szCs w:val="24"/>
    </w:rPr>
  </w:style>
  <w:style w:type="table" w:styleId="TableGrid">
    <w:name w:val="Table Grid"/>
    <w:basedOn w:val="TableNormal"/>
    <w:uiPriority w:val="39"/>
    <w:rsid w:val="00F02AEC"/>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ASignoff">
    <w:name w:val="TGA Signoff"/>
    <w:basedOn w:val="Normal"/>
    <w:rsid w:val="00F02AEC"/>
    <w:pPr>
      <w:spacing w:before="120" w:after="360" w:line="240" w:lineRule="atLeast"/>
      <w:jc w:val="center"/>
    </w:pPr>
    <w:rPr>
      <w:rFonts w:eastAsia="Cambria" w:cs="Times New Roman"/>
      <w:b/>
      <w:color w:val="333F48"/>
      <w:sz w:val="28"/>
    </w:rPr>
  </w:style>
  <w:style w:type="paragraph" w:styleId="Title">
    <w:name w:val="Title"/>
    <w:link w:val="TitleChar"/>
    <w:uiPriority w:val="10"/>
    <w:rsid w:val="00F02AEC"/>
    <w:pPr>
      <w:spacing w:line="240" w:lineRule="auto"/>
      <w:contextualSpacing/>
      <w:outlineLvl w:val="0"/>
    </w:pPr>
    <w:rPr>
      <w:rFonts w:ascii="Arial" w:eastAsia="Times New Roman" w:hAnsi="Arial" w:cs="Times New Roman"/>
      <w:color w:val="001871"/>
      <w:spacing w:val="5"/>
      <w:kern w:val="28"/>
      <w:sz w:val="52"/>
      <w:szCs w:val="52"/>
    </w:rPr>
  </w:style>
  <w:style w:type="character" w:customStyle="1" w:styleId="TitleChar">
    <w:name w:val="Title Char"/>
    <w:basedOn w:val="DefaultParagraphFont"/>
    <w:link w:val="Title"/>
    <w:uiPriority w:val="10"/>
    <w:rsid w:val="00F02AEC"/>
    <w:rPr>
      <w:rFonts w:ascii="Arial" w:eastAsia="Times New Roman" w:hAnsi="Arial" w:cs="Times New Roman"/>
      <w:color w:val="001871"/>
      <w:spacing w:val="5"/>
      <w:kern w:val="28"/>
      <w:sz w:val="52"/>
      <w:szCs w:val="52"/>
    </w:rPr>
  </w:style>
  <w:style w:type="paragraph" w:styleId="TOC1">
    <w:name w:val="toc 1"/>
    <w:basedOn w:val="Normal"/>
    <w:next w:val="Normal"/>
    <w:uiPriority w:val="39"/>
    <w:unhideWhenUsed/>
    <w:rsid w:val="00F02AEC"/>
    <w:pPr>
      <w:keepNext/>
      <w:keepLines/>
      <w:tabs>
        <w:tab w:val="right" w:leader="underscore" w:pos="8505"/>
      </w:tabs>
      <w:spacing w:before="120" w:after="200" w:line="240" w:lineRule="atLeast"/>
    </w:pPr>
    <w:rPr>
      <w:rFonts w:eastAsia="Cambria" w:cs="Times New Roman"/>
      <w:b/>
      <w:color w:val="333F48"/>
      <w:sz w:val="32"/>
    </w:rPr>
  </w:style>
  <w:style w:type="paragraph" w:styleId="TOC2">
    <w:name w:val="toc 2"/>
    <w:basedOn w:val="Normal"/>
    <w:next w:val="Normal"/>
    <w:uiPriority w:val="39"/>
    <w:unhideWhenUsed/>
    <w:rsid w:val="00F02AEC"/>
    <w:pPr>
      <w:keepNext/>
      <w:keepLines/>
      <w:tabs>
        <w:tab w:val="right" w:leader="underscore" w:pos="8505"/>
      </w:tabs>
      <w:spacing w:before="120" w:after="100" w:line="240" w:lineRule="atLeast"/>
      <w:ind w:left="425"/>
    </w:pPr>
    <w:rPr>
      <w:rFonts w:eastAsia="Cambria" w:cs="Times New Roman"/>
      <w:b/>
      <w:color w:val="333F48"/>
      <w:sz w:val="25"/>
    </w:rPr>
  </w:style>
  <w:style w:type="paragraph" w:styleId="TOC3">
    <w:name w:val="toc 3"/>
    <w:basedOn w:val="Normal"/>
    <w:next w:val="Normal"/>
    <w:uiPriority w:val="39"/>
    <w:unhideWhenUsed/>
    <w:rsid w:val="00F02AEC"/>
    <w:pPr>
      <w:keepNext/>
      <w:keepLines/>
      <w:tabs>
        <w:tab w:val="right" w:leader="hyphen" w:pos="8505"/>
      </w:tabs>
      <w:spacing w:before="120" w:after="100" w:line="240" w:lineRule="atLeast"/>
      <w:ind w:left="851"/>
    </w:pPr>
    <w:rPr>
      <w:rFonts w:eastAsia="Cambria" w:cs="Times New Roman"/>
      <w:b/>
      <w:color w:val="333F48"/>
    </w:rPr>
  </w:style>
  <w:style w:type="paragraph" w:styleId="FootnoteText">
    <w:name w:val="footnote text"/>
    <w:basedOn w:val="Normal"/>
    <w:link w:val="FootnoteTextChar"/>
    <w:uiPriority w:val="99"/>
    <w:rsid w:val="00F02AEC"/>
    <w:pPr>
      <w:keepLines/>
      <w:spacing w:after="0" w:line="240" w:lineRule="atLeast"/>
    </w:pPr>
    <w:rPr>
      <w:rFonts w:eastAsia="Cambria" w:cs="Times New Roman"/>
      <w:color w:val="333F48"/>
    </w:rPr>
  </w:style>
  <w:style w:type="character" w:customStyle="1" w:styleId="FootnoteTextChar">
    <w:name w:val="Footnote Text Char"/>
    <w:basedOn w:val="DefaultParagraphFont"/>
    <w:link w:val="FootnoteText"/>
    <w:uiPriority w:val="99"/>
    <w:rsid w:val="00F02AEC"/>
    <w:rPr>
      <w:rFonts w:ascii="Arial" w:eastAsia="Cambria" w:hAnsi="Arial" w:cs="Times New Roman"/>
      <w:color w:val="333F48"/>
      <w:sz w:val="20"/>
      <w:szCs w:val="20"/>
    </w:rPr>
  </w:style>
  <w:style w:type="character" w:styleId="FootnoteReference">
    <w:name w:val="footnote reference"/>
    <w:basedOn w:val="DefaultParagraphFont"/>
    <w:uiPriority w:val="99"/>
    <w:unhideWhenUsed/>
    <w:rsid w:val="00F02AEC"/>
    <w:rPr>
      <w:vertAlign w:val="superscript"/>
    </w:rPr>
  </w:style>
  <w:style w:type="paragraph" w:customStyle="1" w:styleId="NonTOCheading2">
    <w:name w:val="Non TOC heading 2"/>
    <w:basedOn w:val="Normal"/>
    <w:next w:val="Normal"/>
    <w:rsid w:val="00F02AEC"/>
    <w:pPr>
      <w:keepNext/>
      <w:keepLines/>
      <w:pageBreakBefore/>
      <w:spacing w:after="180" w:line="240" w:lineRule="atLeast"/>
      <w:outlineLvl w:val="1"/>
    </w:pPr>
    <w:rPr>
      <w:rFonts w:eastAsia="Cambria" w:cs="Times New Roman"/>
      <w:b/>
      <w:color w:val="001871"/>
      <w:sz w:val="38"/>
    </w:rPr>
  </w:style>
  <w:style w:type="paragraph" w:customStyle="1" w:styleId="Headernoline">
    <w:name w:val="Header no line"/>
    <w:basedOn w:val="Header"/>
    <w:rsid w:val="00F02AEC"/>
    <w:pPr>
      <w:pBdr>
        <w:bottom w:val="none" w:sz="0" w:space="0" w:color="auto"/>
      </w:pBdr>
      <w:spacing w:line="240" w:lineRule="atLeast"/>
    </w:pPr>
  </w:style>
  <w:style w:type="paragraph" w:customStyle="1" w:styleId="Tabledescription">
    <w:name w:val="Table description"/>
    <w:basedOn w:val="Normal"/>
    <w:next w:val="Normal"/>
    <w:rsid w:val="00F02AEC"/>
    <w:pPr>
      <w:spacing w:before="120" w:after="240" w:line="180" w:lineRule="atLeast"/>
    </w:pPr>
    <w:rPr>
      <w:rFonts w:eastAsia="Cambria" w:cs="Times New Roman"/>
      <w:color w:val="333F48"/>
      <w:sz w:val="18"/>
    </w:rPr>
  </w:style>
  <w:style w:type="paragraph" w:customStyle="1" w:styleId="Tabletitle">
    <w:name w:val="Table title"/>
    <w:basedOn w:val="Normal"/>
    <w:next w:val="Normal"/>
    <w:rsid w:val="00F02AEC"/>
    <w:pPr>
      <w:keepNext/>
      <w:spacing w:before="120" w:after="180" w:line="240" w:lineRule="atLeast"/>
    </w:pPr>
    <w:rPr>
      <w:rFonts w:eastAsia="Cambria" w:cs="Times New Roman"/>
      <w:b/>
      <w:color w:val="333F48"/>
    </w:rPr>
  </w:style>
  <w:style w:type="paragraph" w:customStyle="1" w:styleId="Address">
    <w:name w:val="Address"/>
    <w:basedOn w:val="Normal"/>
    <w:rsid w:val="00F02AEC"/>
    <w:pPr>
      <w:spacing w:after="0" w:line="240" w:lineRule="auto"/>
    </w:pPr>
    <w:rPr>
      <w:rFonts w:eastAsia="Cambria" w:cs="Times New Roman"/>
      <w:color w:val="333F48"/>
      <w:sz w:val="21"/>
    </w:rPr>
  </w:style>
  <w:style w:type="paragraph" w:customStyle="1" w:styleId="ListBullet-dotick">
    <w:name w:val="List Bullet - do (tick)"/>
    <w:basedOn w:val="ListBullet"/>
    <w:autoRedefine/>
    <w:uiPriority w:val="1"/>
    <w:qFormat/>
    <w:rsid w:val="00F02AEC"/>
    <w:pPr>
      <w:numPr>
        <w:numId w:val="5"/>
      </w:numPr>
      <w:tabs>
        <w:tab w:val="left" w:pos="425"/>
      </w:tabs>
    </w:pPr>
  </w:style>
  <w:style w:type="paragraph" w:customStyle="1" w:styleId="ListBullet-donotcross">
    <w:name w:val="List Bullet - do not (cross)"/>
    <w:basedOn w:val="ListBullet"/>
    <w:autoRedefine/>
    <w:uiPriority w:val="1"/>
    <w:qFormat/>
    <w:rsid w:val="00F02AEC"/>
    <w:pPr>
      <w:numPr>
        <w:numId w:val="6"/>
      </w:numPr>
      <w:ind w:left="357" w:hanging="357"/>
    </w:pPr>
    <w:rPr>
      <w:rFonts w:eastAsiaTheme="minorHAnsi" w:cstheme="minorBidi"/>
      <w:szCs w:val="22"/>
    </w:rPr>
  </w:style>
  <w:style w:type="table" w:customStyle="1" w:styleId="TGABlack2023">
    <w:name w:val="TGA Black 2023"/>
    <w:basedOn w:val="TableTGAblue2023"/>
    <w:uiPriority w:val="99"/>
    <w:rsid w:val="00FA49C3"/>
    <w:pPr>
      <w:spacing w:line="240" w:lineRule="auto"/>
    </w:pPr>
    <w:tblPr>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71717" w:themeFill="background2" w:themeFillShade="1A"/>
      </w:tcPr>
    </w:tblStylePr>
    <w:tblStylePr w:type="firstCol">
      <w:pPr>
        <w:keepNext w:val="0"/>
        <w:wordWrap/>
      </w:pPr>
    </w:tblStylePr>
  </w:style>
  <w:style w:type="character" w:customStyle="1" w:styleId="Heading1Char">
    <w:name w:val="Heading 1 Char"/>
    <w:basedOn w:val="DefaultParagraphFont"/>
    <w:link w:val="Heading1"/>
    <w:rsid w:val="00685E72"/>
    <w:rPr>
      <w:rFonts w:ascii="Arial" w:eastAsia="Times New Roman" w:hAnsi="Arial" w:cs="Times New Roman"/>
      <w:b/>
      <w:bCs/>
      <w:sz w:val="48"/>
      <w:szCs w:val="48"/>
    </w:rPr>
  </w:style>
  <w:style w:type="character" w:customStyle="1" w:styleId="Heading7Char">
    <w:name w:val="Heading 7 Char"/>
    <w:basedOn w:val="DefaultParagraphFont"/>
    <w:link w:val="Heading7"/>
    <w:uiPriority w:val="9"/>
    <w:rsid w:val="00685E72"/>
    <w:rPr>
      <w:rFonts w:ascii="Cambria" w:eastAsia="Times New Roman" w:hAnsi="Cambria" w:cs="Times New Roman"/>
      <w:bCs/>
      <w:i/>
      <w:sz w:val="22"/>
      <w:szCs w:val="22"/>
    </w:rPr>
  </w:style>
  <w:style w:type="character" w:customStyle="1" w:styleId="Heading8Char">
    <w:name w:val="Heading 8 Char"/>
    <w:basedOn w:val="DefaultParagraphFont"/>
    <w:link w:val="Heading8"/>
    <w:uiPriority w:val="9"/>
    <w:semiHidden/>
    <w:rsid w:val="00685E7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85E72"/>
    <w:rPr>
      <w:rFonts w:asciiTheme="majorHAnsi" w:eastAsiaTheme="majorEastAsia" w:hAnsiTheme="majorHAnsi" w:cstheme="majorBidi"/>
      <w:i/>
      <w:iCs/>
      <w:color w:val="404040" w:themeColor="text1" w:themeTint="BF"/>
    </w:rPr>
  </w:style>
  <w:style w:type="paragraph" w:styleId="DocumentMap">
    <w:name w:val="Document Map"/>
    <w:basedOn w:val="Normal"/>
    <w:link w:val="DocumentMapChar"/>
    <w:uiPriority w:val="99"/>
    <w:semiHidden/>
    <w:unhideWhenUsed/>
    <w:rsid w:val="00685E72"/>
    <w:pPr>
      <w:spacing w:after="0" w:line="240" w:lineRule="auto"/>
    </w:pPr>
    <w:rPr>
      <w:rFonts w:ascii="Tahoma" w:eastAsia="Cambria" w:hAnsi="Tahoma" w:cs="Tahoma"/>
      <w:sz w:val="16"/>
      <w:szCs w:val="16"/>
    </w:rPr>
  </w:style>
  <w:style w:type="character" w:customStyle="1" w:styleId="DocumentMapChar">
    <w:name w:val="Document Map Char"/>
    <w:basedOn w:val="DefaultParagraphFont"/>
    <w:link w:val="DocumentMap"/>
    <w:uiPriority w:val="99"/>
    <w:semiHidden/>
    <w:rsid w:val="00685E72"/>
    <w:rPr>
      <w:rFonts w:ascii="Tahoma" w:eastAsia="Cambria" w:hAnsi="Tahoma" w:cs="Tahoma"/>
      <w:sz w:val="16"/>
      <w:szCs w:val="16"/>
    </w:rPr>
  </w:style>
  <w:style w:type="paragraph" w:styleId="BalloonText">
    <w:name w:val="Balloon Text"/>
    <w:basedOn w:val="Normal"/>
    <w:link w:val="BalloonTextChar"/>
    <w:uiPriority w:val="99"/>
    <w:semiHidden/>
    <w:unhideWhenUsed/>
    <w:rsid w:val="00685E72"/>
    <w:pPr>
      <w:spacing w:before="120" w:after="0" w:line="240" w:lineRule="atLeast"/>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685E72"/>
    <w:rPr>
      <w:rFonts w:ascii="Tahoma" w:eastAsia="Cambria" w:hAnsi="Tahoma" w:cs="Tahoma"/>
      <w:sz w:val="16"/>
      <w:szCs w:val="16"/>
    </w:rPr>
  </w:style>
  <w:style w:type="paragraph" w:styleId="TOC4">
    <w:name w:val="toc 4"/>
    <w:basedOn w:val="Normal"/>
    <w:next w:val="Normal"/>
    <w:autoRedefine/>
    <w:uiPriority w:val="39"/>
    <w:semiHidden/>
    <w:unhideWhenUsed/>
    <w:rsid w:val="00685E72"/>
    <w:pPr>
      <w:tabs>
        <w:tab w:val="right" w:leader="hyphen" w:pos="8505"/>
      </w:tabs>
      <w:spacing w:before="120" w:after="100" w:line="240" w:lineRule="atLeast"/>
      <w:ind w:left="1276"/>
    </w:pPr>
    <w:rPr>
      <w:rFonts w:ascii="Cambria" w:eastAsia="Cambria" w:hAnsi="Cambria" w:cs="Times New Roman"/>
      <w:sz w:val="22"/>
    </w:rPr>
  </w:style>
  <w:style w:type="paragraph" w:styleId="TOC5">
    <w:name w:val="toc 5"/>
    <w:basedOn w:val="Normal"/>
    <w:next w:val="Normal"/>
    <w:autoRedefine/>
    <w:uiPriority w:val="39"/>
    <w:semiHidden/>
    <w:unhideWhenUsed/>
    <w:rsid w:val="00685E72"/>
    <w:pPr>
      <w:tabs>
        <w:tab w:val="right" w:leader="dot" w:pos="8505"/>
      </w:tabs>
      <w:spacing w:before="120" w:after="100" w:line="240" w:lineRule="atLeast"/>
      <w:ind w:left="1701"/>
    </w:pPr>
    <w:rPr>
      <w:rFonts w:ascii="Cambria" w:eastAsia="Cambria" w:hAnsi="Cambria" w:cs="Times New Roman"/>
      <w:noProof/>
      <w:sz w:val="22"/>
    </w:rPr>
  </w:style>
  <w:style w:type="paragraph" w:styleId="TOC6">
    <w:name w:val="toc 6"/>
    <w:basedOn w:val="Normal"/>
    <w:next w:val="Normal"/>
    <w:autoRedefine/>
    <w:uiPriority w:val="39"/>
    <w:semiHidden/>
    <w:unhideWhenUsed/>
    <w:rsid w:val="00685E72"/>
    <w:pPr>
      <w:tabs>
        <w:tab w:val="right" w:pos="8505"/>
      </w:tabs>
      <w:spacing w:before="120" w:after="100" w:line="240" w:lineRule="atLeast"/>
      <w:ind w:left="2126"/>
    </w:pPr>
    <w:rPr>
      <w:rFonts w:ascii="Cambria" w:eastAsia="Cambria" w:hAnsi="Cambria" w:cs="Times New Roman"/>
      <w:sz w:val="22"/>
    </w:rPr>
  </w:style>
  <w:style w:type="paragraph" w:styleId="TOC7">
    <w:name w:val="toc 7"/>
    <w:basedOn w:val="Normal"/>
    <w:next w:val="Normal"/>
    <w:autoRedefine/>
    <w:uiPriority w:val="39"/>
    <w:semiHidden/>
    <w:unhideWhenUsed/>
    <w:rsid w:val="00685E72"/>
    <w:pPr>
      <w:spacing w:before="120" w:after="100" w:line="240" w:lineRule="atLeast"/>
      <w:ind w:left="2211"/>
    </w:pPr>
    <w:rPr>
      <w:rFonts w:ascii="Cambria" w:eastAsia="Cambria" w:hAnsi="Cambria" w:cs="Times New Roman"/>
      <w:sz w:val="22"/>
    </w:rPr>
  </w:style>
  <w:style w:type="character" w:styleId="FollowedHyperlink">
    <w:name w:val="FollowedHyperlink"/>
    <w:basedOn w:val="DefaultParagraphFont"/>
    <w:semiHidden/>
    <w:unhideWhenUsed/>
    <w:rsid w:val="00685E72"/>
    <w:rPr>
      <w:color w:val="800080"/>
      <w:u w:val="single"/>
    </w:rPr>
  </w:style>
  <w:style w:type="paragraph" w:customStyle="1" w:styleId="HeaderNoLine0">
    <w:name w:val="Header No Line"/>
    <w:basedOn w:val="Header"/>
    <w:rsid w:val="00685E72"/>
    <w:pPr>
      <w:pBdr>
        <w:bottom w:val="none" w:sz="0" w:space="0" w:color="auto"/>
      </w:pBdr>
    </w:pPr>
    <w:rPr>
      <w:rFonts w:ascii="Cambria" w:hAnsi="Cambria"/>
      <w:color w:val="auto"/>
    </w:rPr>
  </w:style>
  <w:style w:type="table" w:styleId="LightShading-Accent2">
    <w:name w:val="Light Shading Accent 2"/>
    <w:basedOn w:val="TableNormal"/>
    <w:uiPriority w:val="60"/>
    <w:rsid w:val="00685E72"/>
    <w:pPr>
      <w:spacing w:after="0" w:line="240" w:lineRule="auto"/>
    </w:pPr>
    <w:rPr>
      <w:rFonts w:ascii="Cambria" w:eastAsia="Calibri" w:hAnsi="Cambria" w:cs="Times New Roman"/>
      <w:color w:val="943634"/>
      <w:sz w:val="21"/>
      <w:szCs w:val="21"/>
      <w:lang w:eastAsia="en-A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5">
    <w:name w:val="Medium Grid 2 Accent 5"/>
    <w:basedOn w:val="TableNormal"/>
    <w:uiPriority w:val="68"/>
    <w:rsid w:val="00685E72"/>
    <w:pPr>
      <w:spacing w:after="0" w:line="240" w:lineRule="auto"/>
    </w:pPr>
    <w:rPr>
      <w:rFonts w:ascii="Cambria" w:eastAsia="Times New Roman" w:hAnsi="Cambria" w:cs="Times New Roman"/>
      <w:color w:val="000000"/>
      <w:sz w:val="21"/>
      <w:szCs w:val="21"/>
      <w:lang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PlaceholderText">
    <w:name w:val="Placeholder Text"/>
    <w:basedOn w:val="DefaultParagraphFont"/>
    <w:uiPriority w:val="99"/>
    <w:semiHidden/>
    <w:rsid w:val="00685E72"/>
    <w:rPr>
      <w:color w:val="808080"/>
    </w:rPr>
  </w:style>
  <w:style w:type="paragraph" w:customStyle="1" w:styleId="Reference">
    <w:name w:val="Reference"/>
    <w:basedOn w:val="Normal"/>
    <w:rsid w:val="00685E72"/>
    <w:pPr>
      <w:spacing w:before="40" w:after="0" w:line="240" w:lineRule="atLeast"/>
      <w:ind w:left="170" w:hanging="170"/>
    </w:pPr>
    <w:rPr>
      <w:rFonts w:ascii="Cambria" w:eastAsia="Cambria" w:hAnsi="Cambria" w:cs="Times New Roman"/>
      <w:sz w:val="19"/>
    </w:rPr>
  </w:style>
  <w:style w:type="paragraph" w:styleId="EndnoteText">
    <w:name w:val="endnote text"/>
    <w:basedOn w:val="FootnoteText"/>
    <w:link w:val="EndnoteTextChar"/>
    <w:semiHidden/>
    <w:unhideWhenUsed/>
    <w:rsid w:val="00685E72"/>
    <w:rPr>
      <w:rFonts w:asciiTheme="minorHAnsi" w:hAnsiTheme="minorHAnsi" w:cstheme="minorBidi"/>
      <w:color w:val="auto"/>
      <w:szCs w:val="22"/>
    </w:rPr>
  </w:style>
  <w:style w:type="character" w:customStyle="1" w:styleId="EndnoteTextChar">
    <w:name w:val="Endnote Text Char"/>
    <w:basedOn w:val="DefaultParagraphFont"/>
    <w:link w:val="EndnoteText"/>
    <w:semiHidden/>
    <w:rsid w:val="00685E72"/>
    <w:rPr>
      <w:rFonts w:eastAsia="Cambria"/>
      <w:szCs w:val="22"/>
    </w:rPr>
  </w:style>
  <w:style w:type="table" w:customStyle="1" w:styleId="TableTGAblue">
    <w:name w:val="Table TGA blue"/>
    <w:basedOn w:val="TableNormal"/>
    <w:uiPriority w:val="99"/>
    <w:qFormat/>
    <w:rsid w:val="00685E72"/>
    <w:pPr>
      <w:spacing w:after="0" w:line="240" w:lineRule="auto"/>
    </w:pPr>
    <w:rPr>
      <w:rFonts w:ascii="Cambria" w:eastAsia="Cambria" w:hAnsi="Cambria" w:cs="Times New Roman"/>
      <w:color w:val="000000"/>
      <w:sz w:val="22"/>
      <w:szCs w:val="21"/>
      <w:lang w:eastAsia="en-AU"/>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685E72"/>
    <w:pPr>
      <w:spacing w:before="60" w:after="0" w:line="240" w:lineRule="auto"/>
    </w:pPr>
    <w:rPr>
      <w:rFonts w:ascii="Cambria" w:eastAsia="Cambria" w:hAnsi="Cambria" w:cs="Times New Roman"/>
      <w:color w:val="000000"/>
      <w:sz w:val="22"/>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styleId="TOCHeading">
    <w:name w:val="TOC Heading"/>
    <w:basedOn w:val="Heading1"/>
    <w:next w:val="Normal"/>
    <w:uiPriority w:val="39"/>
    <w:semiHidden/>
    <w:unhideWhenUsed/>
    <w:qFormat/>
    <w:rsid w:val="00685E72"/>
    <w:pPr>
      <w:spacing w:before="480" w:after="0" w:line="276" w:lineRule="auto"/>
      <w:outlineLvl w:val="9"/>
    </w:pPr>
    <w:rPr>
      <w:color w:val="002035"/>
      <w:sz w:val="28"/>
      <w:lang w:val="en-US"/>
    </w:rPr>
  </w:style>
  <w:style w:type="numbering" w:customStyle="1" w:styleId="NumberBullet1">
    <w:name w:val="NumberBullet1"/>
    <w:uiPriority w:val="99"/>
    <w:rsid w:val="00685E72"/>
  </w:style>
  <w:style w:type="numbering" w:customStyle="1" w:styleId="ListBullets1">
    <w:name w:val="ListBullets1"/>
    <w:uiPriority w:val="99"/>
    <w:rsid w:val="00685E72"/>
  </w:style>
  <w:style w:type="character" w:styleId="EndnoteReference">
    <w:name w:val="endnote reference"/>
    <w:basedOn w:val="DefaultParagraphFont"/>
    <w:uiPriority w:val="99"/>
    <w:semiHidden/>
    <w:unhideWhenUsed/>
    <w:rsid w:val="00685E72"/>
    <w:rPr>
      <w:vertAlign w:val="superscript"/>
    </w:rPr>
  </w:style>
  <w:style w:type="table" w:customStyle="1" w:styleId="LightShading1">
    <w:name w:val="Light Shading1"/>
    <w:basedOn w:val="TableNormal"/>
    <w:uiPriority w:val="60"/>
    <w:rsid w:val="00685E72"/>
    <w:pPr>
      <w:spacing w:after="0" w:line="240" w:lineRule="auto"/>
    </w:pPr>
    <w:rPr>
      <w:rFonts w:ascii="Cambria" w:eastAsia="Cambria" w:hAnsi="Cambria"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description">
    <w:name w:val="Figure description"/>
    <w:basedOn w:val="Normal"/>
    <w:next w:val="Normal"/>
    <w:rsid w:val="00685E72"/>
    <w:pPr>
      <w:spacing w:before="120" w:after="240" w:line="180" w:lineRule="atLeast"/>
    </w:pPr>
    <w:rPr>
      <w:rFonts w:ascii="Cambria" w:eastAsia="Cambria" w:hAnsi="Cambria" w:cs="Times New Roman"/>
      <w:sz w:val="18"/>
    </w:rPr>
  </w:style>
  <w:style w:type="paragraph" w:customStyle="1" w:styleId="Figuretitle">
    <w:name w:val="Figure title"/>
    <w:basedOn w:val="Normal"/>
    <w:next w:val="Normal"/>
    <w:rsid w:val="00685E72"/>
    <w:pPr>
      <w:keepNext/>
      <w:keepLines/>
      <w:spacing w:before="120" w:after="180" w:line="240" w:lineRule="atLeast"/>
    </w:pPr>
    <w:rPr>
      <w:rFonts w:ascii="Cambria" w:eastAsia="Cambria" w:hAnsi="Cambria" w:cs="Times New Roman"/>
      <w:b/>
      <w:sz w:val="22"/>
    </w:rPr>
  </w:style>
  <w:style w:type="paragraph" w:customStyle="1" w:styleId="Quotation">
    <w:name w:val="Quotation"/>
    <w:basedOn w:val="Normal"/>
    <w:next w:val="Normal"/>
    <w:uiPriority w:val="4"/>
    <w:qFormat/>
    <w:rsid w:val="00685E72"/>
    <w:pPr>
      <w:spacing w:before="120" w:after="180" w:line="240" w:lineRule="atLeast"/>
      <w:ind w:left="425"/>
    </w:pPr>
    <w:rPr>
      <w:rFonts w:ascii="Cambria" w:eastAsia="Cambria" w:hAnsi="Cambria" w:cs="Times New Roman"/>
    </w:rPr>
  </w:style>
  <w:style w:type="character" w:styleId="CommentReference">
    <w:name w:val="annotation reference"/>
    <w:basedOn w:val="DefaultParagraphFont"/>
    <w:uiPriority w:val="99"/>
    <w:semiHidden/>
    <w:unhideWhenUsed/>
    <w:rsid w:val="00685E72"/>
    <w:rPr>
      <w:sz w:val="16"/>
      <w:szCs w:val="16"/>
    </w:rPr>
  </w:style>
  <w:style w:type="paragraph" w:styleId="CommentText">
    <w:name w:val="annotation text"/>
    <w:basedOn w:val="Normal"/>
    <w:link w:val="CommentTextChar"/>
    <w:uiPriority w:val="99"/>
    <w:unhideWhenUsed/>
    <w:rsid w:val="00685E72"/>
    <w:pPr>
      <w:spacing w:before="120" w:after="180" w:line="240" w:lineRule="auto"/>
    </w:pPr>
    <w:rPr>
      <w:rFonts w:ascii="Cambria" w:eastAsia="Cambria" w:hAnsi="Cambria" w:cs="Times New Roman"/>
    </w:rPr>
  </w:style>
  <w:style w:type="character" w:customStyle="1" w:styleId="CommentTextChar">
    <w:name w:val="Comment Text Char"/>
    <w:basedOn w:val="DefaultParagraphFont"/>
    <w:link w:val="CommentText"/>
    <w:uiPriority w:val="99"/>
    <w:rsid w:val="00685E72"/>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685E72"/>
    <w:rPr>
      <w:b/>
      <w:bCs/>
    </w:rPr>
  </w:style>
  <w:style w:type="character" w:customStyle="1" w:styleId="CommentSubjectChar">
    <w:name w:val="Comment Subject Char"/>
    <w:basedOn w:val="CommentTextChar"/>
    <w:link w:val="CommentSubject"/>
    <w:uiPriority w:val="99"/>
    <w:semiHidden/>
    <w:rsid w:val="00685E72"/>
    <w:rPr>
      <w:rFonts w:ascii="Cambria" w:eastAsia="Cambria" w:hAnsi="Cambria" w:cs="Times New Roman"/>
      <w:b/>
      <w:bCs/>
    </w:rPr>
  </w:style>
  <w:style w:type="paragraph" w:styleId="ListParagraph">
    <w:name w:val="List Paragraph"/>
    <w:basedOn w:val="Normal"/>
    <w:uiPriority w:val="34"/>
    <w:qFormat/>
    <w:rsid w:val="00685E72"/>
    <w:pPr>
      <w:spacing w:before="120" w:after="180" w:line="240" w:lineRule="atLeast"/>
      <w:ind w:left="720"/>
      <w:contextualSpacing/>
    </w:pPr>
    <w:rPr>
      <w:rFonts w:ascii="Cambria" w:eastAsia="Cambria" w:hAnsi="Cambria" w:cs="Times New Roman"/>
      <w:sz w:val="22"/>
    </w:rPr>
  </w:style>
  <w:style w:type="table" w:styleId="LightList-Accent1">
    <w:name w:val="Light List Accent 1"/>
    <w:basedOn w:val="TableNormal"/>
    <w:uiPriority w:val="61"/>
    <w:rsid w:val="00685E72"/>
    <w:pPr>
      <w:spacing w:after="0" w:line="240" w:lineRule="auto"/>
    </w:pPr>
    <w:rPr>
      <w:rFonts w:eastAsiaTheme="minorEastAsia"/>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9">
    <w:name w:val="toc 9"/>
    <w:basedOn w:val="Normal"/>
    <w:next w:val="Normal"/>
    <w:autoRedefine/>
    <w:uiPriority w:val="39"/>
    <w:semiHidden/>
    <w:unhideWhenUsed/>
    <w:rsid w:val="00685E72"/>
    <w:pPr>
      <w:spacing w:before="120" w:after="100" w:line="240" w:lineRule="atLeast"/>
      <w:ind w:left="1760"/>
    </w:pPr>
    <w:rPr>
      <w:rFonts w:ascii="Cambria" w:eastAsia="Cambria" w:hAnsi="Cambria" w:cs="Times New Roman"/>
      <w:sz w:val="22"/>
    </w:rPr>
  </w:style>
  <w:style w:type="paragraph" w:customStyle="1" w:styleId="TableTitle0">
    <w:name w:val="Table Title"/>
    <w:basedOn w:val="Normal"/>
    <w:next w:val="Normal"/>
    <w:qFormat/>
    <w:rsid w:val="00685E72"/>
    <w:pPr>
      <w:spacing w:before="180" w:after="180" w:line="240" w:lineRule="atLeast"/>
    </w:pPr>
    <w:rPr>
      <w:rFonts w:ascii="Cambria" w:eastAsia="Cambria" w:hAnsi="Cambria" w:cs="Times New Roman"/>
      <w:b/>
      <w:sz w:val="22"/>
    </w:rPr>
  </w:style>
  <w:style w:type="character" w:styleId="Strong">
    <w:name w:val="Strong"/>
    <w:basedOn w:val="DefaultParagraphFont"/>
    <w:uiPriority w:val="22"/>
    <w:qFormat/>
    <w:rsid w:val="00685E72"/>
    <w:rPr>
      <w:b/>
      <w:bCs/>
    </w:rPr>
  </w:style>
  <w:style w:type="paragraph" w:customStyle="1" w:styleId="Default">
    <w:name w:val="Default"/>
    <w:rsid w:val="00685E72"/>
    <w:pPr>
      <w:autoSpaceDE w:val="0"/>
      <w:autoSpaceDN w:val="0"/>
      <w:adjustRightInd w:val="0"/>
      <w:spacing w:after="0" w:line="240" w:lineRule="auto"/>
    </w:pPr>
    <w:rPr>
      <w:rFonts w:ascii="Times New Roman" w:eastAsia="Cambria" w:hAnsi="Times New Roman" w:cs="Times New Roman"/>
      <w:color w:val="000000"/>
      <w:sz w:val="24"/>
      <w:szCs w:val="24"/>
      <w:lang w:eastAsia="en-AU"/>
    </w:rPr>
  </w:style>
  <w:style w:type="character" w:customStyle="1" w:styleId="fontstyle01">
    <w:name w:val="fontstyle01"/>
    <w:basedOn w:val="DefaultParagraphFont"/>
    <w:rsid w:val="00685E72"/>
    <w:rPr>
      <w:rFonts w:ascii="Cambria" w:hAnsi="Cambria" w:hint="default"/>
      <w:b w:val="0"/>
      <w:bCs w:val="0"/>
      <w:i w:val="0"/>
      <w:iCs w:val="0"/>
      <w:color w:val="000000"/>
      <w:sz w:val="22"/>
      <w:szCs w:val="22"/>
    </w:rPr>
  </w:style>
  <w:style w:type="character" w:customStyle="1" w:styleId="fontstyle21">
    <w:name w:val="fontstyle21"/>
    <w:basedOn w:val="DefaultParagraphFont"/>
    <w:rsid w:val="00685E72"/>
    <w:rPr>
      <w:rFonts w:ascii="Cambria-Bold" w:hAnsi="Cambria-Bold" w:hint="default"/>
      <w:b/>
      <w:bCs/>
      <w:i w:val="0"/>
      <w:iCs w:val="0"/>
      <w:color w:val="000000"/>
      <w:sz w:val="22"/>
      <w:szCs w:val="22"/>
    </w:rPr>
  </w:style>
  <w:style w:type="paragraph" w:styleId="Revision">
    <w:name w:val="Revision"/>
    <w:hidden/>
    <w:uiPriority w:val="99"/>
    <w:semiHidden/>
    <w:rsid w:val="00685E72"/>
    <w:pPr>
      <w:spacing w:after="0" w:line="240" w:lineRule="auto"/>
    </w:pPr>
    <w:rPr>
      <w:rFonts w:ascii="Cambria" w:eastAsia="Cambria" w:hAnsi="Cambria" w:cs="Times New Roman"/>
      <w:sz w:val="22"/>
    </w:rPr>
  </w:style>
  <w:style w:type="paragraph" w:customStyle="1" w:styleId="ListBulleta">
    <w:name w:val="List Bullet a)"/>
    <w:basedOn w:val="ListBullet"/>
    <w:uiPriority w:val="1"/>
    <w:qFormat/>
    <w:rsid w:val="00685E72"/>
    <w:pPr>
      <w:numPr>
        <w:numId w:val="24"/>
      </w:numPr>
    </w:pPr>
    <w:rPr>
      <w:rFonts w:ascii="Cambria" w:hAnsi="Cambria"/>
      <w:color w:val="auto"/>
      <w:sz w:val="22"/>
    </w:rPr>
  </w:style>
  <w:style w:type="paragraph" w:customStyle="1" w:styleId="ListBulleti">
    <w:name w:val="List Bullet i)"/>
    <w:basedOn w:val="ListBullet"/>
    <w:uiPriority w:val="1"/>
    <w:qFormat/>
    <w:rsid w:val="00685E72"/>
    <w:pPr>
      <w:numPr>
        <w:numId w:val="25"/>
      </w:numPr>
    </w:pPr>
    <w:rPr>
      <w:rFonts w:ascii="Cambria" w:hAnsi="Cambria"/>
      <w:color w:val="auto"/>
      <w:sz w:val="22"/>
    </w:rPr>
  </w:style>
  <w:style w:type="character" w:customStyle="1" w:styleId="Style1">
    <w:name w:val="Style1"/>
    <w:basedOn w:val="DefaultParagraphFont"/>
    <w:uiPriority w:val="1"/>
    <w:rsid w:val="00685E72"/>
    <w:rPr>
      <w:rFonts w:ascii="Cambria" w:hAnsi="Cambria"/>
      <w:sz w:val="22"/>
    </w:rPr>
  </w:style>
  <w:style w:type="paragraph" w:styleId="NormalWeb">
    <w:name w:val="Normal (Web)"/>
    <w:basedOn w:val="Normal"/>
    <w:uiPriority w:val="99"/>
    <w:semiHidden/>
    <w:unhideWhenUsed/>
    <w:rsid w:val="00685E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85E72"/>
    <w:rPr>
      <w:color w:val="605E5C"/>
      <w:shd w:val="clear" w:color="auto" w:fill="E1DFDD"/>
    </w:rPr>
  </w:style>
  <w:style w:type="paragraph" w:styleId="ListNumber">
    <w:name w:val="List Number"/>
    <w:basedOn w:val="Normal"/>
    <w:uiPriority w:val="99"/>
    <w:unhideWhenUsed/>
    <w:rsid w:val="00A55D19"/>
    <w:pPr>
      <w:numPr>
        <w:numId w:val="31"/>
      </w:numPr>
      <w:tabs>
        <w:tab w:val="clear" w:pos="360"/>
        <w:tab w:val="num" w:pos="432"/>
        <w:tab w:val="num" w:pos="720"/>
        <w:tab w:val="left" w:pos="1440"/>
      </w:tabs>
      <w:spacing w:after="240" w:line="240" w:lineRule="auto"/>
      <w:contextualSpacing/>
    </w:pPr>
    <w:rPr>
      <w:rFonts w:ascii="Times New Roman" w:eastAsia="Times New Roman" w:hAnsi="Times New Roman" w:cs="Times New Roman"/>
      <w:sz w:val="24"/>
      <w:szCs w:val="24"/>
      <w:lang w:eastAsia="en-AU"/>
    </w:rPr>
  </w:style>
  <w:style w:type="paragraph" w:customStyle="1" w:styleId="Numberbullet2aitalicised">
    <w:name w:val="Number bullet 2 a) italicised"/>
    <w:basedOn w:val="Numberbullet2"/>
    <w:uiPriority w:val="1"/>
    <w:qFormat/>
    <w:rsid w:val="00F85F08"/>
    <w:pPr>
      <w:numPr>
        <w:ilvl w:val="0"/>
        <w:numId w:val="35"/>
      </w:numPr>
      <w:spacing w:after="120"/>
      <w:ind w:left="426" w:hanging="426"/>
    </w:pPr>
    <w:rPr>
      <w:rFonts w:ascii="Cambria" w:hAnsi="Cambria"/>
      <w:i/>
      <w:color w:val="auto"/>
      <w:sz w:val="22"/>
    </w:rPr>
  </w:style>
  <w:style w:type="paragraph" w:customStyle="1" w:styleId="poisonsstandardscheduleentry">
    <w:name w:val="poisonsstandardscheduleentry"/>
    <w:basedOn w:val="Normal"/>
    <w:rsid w:val="00DA23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DA236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379D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1">
      <w:bodyDiv w:val="1"/>
      <w:marLeft w:val="0"/>
      <w:marRight w:val="0"/>
      <w:marTop w:val="0"/>
      <w:marBottom w:val="0"/>
      <w:divBdr>
        <w:top w:val="none" w:sz="0" w:space="0" w:color="auto"/>
        <w:left w:val="none" w:sz="0" w:space="0" w:color="auto"/>
        <w:bottom w:val="none" w:sz="0" w:space="0" w:color="auto"/>
        <w:right w:val="none" w:sz="0" w:space="0" w:color="auto"/>
      </w:divBdr>
    </w:div>
    <w:div w:id="144012951">
      <w:bodyDiv w:val="1"/>
      <w:marLeft w:val="0"/>
      <w:marRight w:val="0"/>
      <w:marTop w:val="0"/>
      <w:marBottom w:val="0"/>
      <w:divBdr>
        <w:top w:val="none" w:sz="0" w:space="0" w:color="auto"/>
        <w:left w:val="none" w:sz="0" w:space="0" w:color="auto"/>
        <w:bottom w:val="none" w:sz="0" w:space="0" w:color="auto"/>
        <w:right w:val="none" w:sz="0" w:space="0" w:color="auto"/>
      </w:divBdr>
    </w:div>
    <w:div w:id="878779062">
      <w:bodyDiv w:val="1"/>
      <w:marLeft w:val="0"/>
      <w:marRight w:val="0"/>
      <w:marTop w:val="0"/>
      <w:marBottom w:val="0"/>
      <w:divBdr>
        <w:top w:val="none" w:sz="0" w:space="0" w:color="auto"/>
        <w:left w:val="none" w:sz="0" w:space="0" w:color="auto"/>
        <w:bottom w:val="none" w:sz="0" w:space="0" w:color="auto"/>
        <w:right w:val="none" w:sz="0" w:space="0" w:color="auto"/>
      </w:divBdr>
    </w:div>
    <w:div w:id="954098839">
      <w:bodyDiv w:val="1"/>
      <w:marLeft w:val="0"/>
      <w:marRight w:val="0"/>
      <w:marTop w:val="0"/>
      <w:marBottom w:val="0"/>
      <w:divBdr>
        <w:top w:val="none" w:sz="0" w:space="0" w:color="auto"/>
        <w:left w:val="none" w:sz="0" w:space="0" w:color="auto"/>
        <w:bottom w:val="none" w:sz="0" w:space="0" w:color="auto"/>
        <w:right w:val="none" w:sz="0" w:space="0" w:color="auto"/>
      </w:divBdr>
    </w:div>
    <w:div w:id="1022786602">
      <w:bodyDiv w:val="1"/>
      <w:marLeft w:val="0"/>
      <w:marRight w:val="0"/>
      <w:marTop w:val="0"/>
      <w:marBottom w:val="0"/>
      <w:divBdr>
        <w:top w:val="none" w:sz="0" w:space="0" w:color="auto"/>
        <w:left w:val="none" w:sz="0" w:space="0" w:color="auto"/>
        <w:bottom w:val="none" w:sz="0" w:space="0" w:color="auto"/>
        <w:right w:val="none" w:sz="0" w:space="0" w:color="auto"/>
      </w:divBdr>
    </w:div>
    <w:div w:id="1075513161">
      <w:bodyDiv w:val="1"/>
      <w:marLeft w:val="0"/>
      <w:marRight w:val="0"/>
      <w:marTop w:val="0"/>
      <w:marBottom w:val="0"/>
      <w:divBdr>
        <w:top w:val="none" w:sz="0" w:space="0" w:color="auto"/>
        <w:left w:val="none" w:sz="0" w:space="0" w:color="auto"/>
        <w:bottom w:val="none" w:sz="0" w:space="0" w:color="auto"/>
        <w:right w:val="none" w:sz="0" w:space="0" w:color="auto"/>
      </w:divBdr>
    </w:div>
    <w:div w:id="1392463713">
      <w:bodyDiv w:val="1"/>
      <w:marLeft w:val="0"/>
      <w:marRight w:val="0"/>
      <w:marTop w:val="0"/>
      <w:marBottom w:val="0"/>
      <w:divBdr>
        <w:top w:val="none" w:sz="0" w:space="0" w:color="auto"/>
        <w:left w:val="none" w:sz="0" w:space="0" w:color="auto"/>
        <w:bottom w:val="none" w:sz="0" w:space="0" w:color="auto"/>
        <w:right w:val="none" w:sz="0" w:space="0" w:color="auto"/>
      </w:divBdr>
    </w:div>
    <w:div w:id="1661151111">
      <w:bodyDiv w:val="1"/>
      <w:marLeft w:val="0"/>
      <w:marRight w:val="0"/>
      <w:marTop w:val="0"/>
      <w:marBottom w:val="0"/>
      <w:divBdr>
        <w:top w:val="none" w:sz="0" w:space="0" w:color="auto"/>
        <w:left w:val="none" w:sz="0" w:space="0" w:color="auto"/>
        <w:bottom w:val="none" w:sz="0" w:space="0" w:color="auto"/>
        <w:right w:val="none" w:sz="0" w:space="0" w:color="auto"/>
      </w:divBdr>
    </w:div>
    <w:div w:id="1737170115">
      <w:bodyDiv w:val="1"/>
      <w:marLeft w:val="0"/>
      <w:marRight w:val="0"/>
      <w:marTop w:val="0"/>
      <w:marBottom w:val="0"/>
      <w:divBdr>
        <w:top w:val="none" w:sz="0" w:space="0" w:color="auto"/>
        <w:left w:val="none" w:sz="0" w:space="0" w:color="auto"/>
        <w:bottom w:val="none" w:sz="0" w:space="0" w:color="auto"/>
        <w:right w:val="none" w:sz="0" w:space="0" w:color="auto"/>
      </w:divBdr>
    </w:div>
    <w:div w:id="1970285930">
      <w:bodyDiv w:val="1"/>
      <w:marLeft w:val="0"/>
      <w:marRight w:val="0"/>
      <w:marTop w:val="0"/>
      <w:marBottom w:val="0"/>
      <w:divBdr>
        <w:top w:val="none" w:sz="0" w:space="0" w:color="auto"/>
        <w:left w:val="none" w:sz="0" w:space="0" w:color="auto"/>
        <w:bottom w:val="none" w:sz="0" w:space="0" w:color="auto"/>
        <w:right w:val="none" w:sz="0" w:space="0" w:color="auto"/>
      </w:divBdr>
    </w:div>
    <w:div w:id="21472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tions.tga.gov.au/tga/scheduling-pre-meeting-june-2023" TargetMode="External"/><Relationship Id="rId26" Type="http://schemas.openxmlformats.org/officeDocument/2006/relationships/hyperlink" Target="https://www.tga.gov.au/artg" TargetMode="External"/><Relationship Id="rId39" Type="http://schemas.openxmlformats.org/officeDocument/2006/relationships/hyperlink" Target="https://www.legislation.gov.au/Search/Therapeutic%20Goods%20$LB$Permissible%20Ingredients$RB$%20Determination" TargetMode="External"/><Relationship Id="rId21" Type="http://schemas.openxmlformats.org/officeDocument/2006/relationships/hyperlink" Target="https://consultations.tga.gov.au/tga/scheduling-pre-meeting-june-2023" TargetMode="External"/><Relationship Id="rId34" Type="http://schemas.openxmlformats.org/officeDocument/2006/relationships/hyperlink" Target="https://www.medsafe.govt.nz/profs/class/classintro.asp" TargetMode="External"/><Relationship Id="rId42" Type="http://schemas.openxmlformats.org/officeDocument/2006/relationships/hyperlink" Target="https://apps.tga.gov.au/Prod/daen/daen-entry.aspx" TargetMode="External"/><Relationship Id="rId47" Type="http://schemas.openxmlformats.org/officeDocument/2006/relationships/hyperlink" Target="https://www.tga.gov.au/resources/publication/scheduling-decisions-final/notice-final-decisions-amend-or-not-amend-current-poisons-standard" TargetMode="External"/><Relationship Id="rId50" Type="http://schemas.openxmlformats.org/officeDocument/2006/relationships/hyperlink" Target="https://www.ebs.tga.gov.au/" TargetMode="External"/><Relationship Id="rId55" Type="http://schemas.openxmlformats.org/officeDocument/2006/relationships/hyperlink" Target="https://apps.tga.gov.au/Prod/daen/daen-entry.aspx" TargetMode="External"/><Relationship Id="rId63" Type="http://schemas.openxmlformats.org/officeDocument/2006/relationships/hyperlink" Target="https://www.legislation.gov.au/Search/Therapeutic%20Goods%20$LB$Permissible%20Ingredients$RB$%20Determination" TargetMode="External"/><Relationship Id="rId68" Type="http://schemas.openxmlformats.org/officeDocument/2006/relationships/hyperlink" Target="https://echa.europa.eu/substance-information/-/substanceinfo/100.165.123" TargetMode="External"/><Relationship Id="rId76" Type="http://schemas.openxmlformats.org/officeDocument/2006/relationships/hyperlink" Target="https://www.legislation.gov.au/Search/Therapeutic%20Goods%20$LB$Permissible%20Ingredients$RB$%20Determination" TargetMode="External"/><Relationship Id="rId84" Type="http://schemas.openxmlformats.org/officeDocument/2006/relationships/hyperlink" Target="https://www.accessdata.fda.gov/scripts/cder/daf/index.cfm?event=BasicSearch.process" TargetMode="External"/><Relationship Id="rId89" Type="http://schemas.openxmlformats.org/officeDocument/2006/relationships/hyperlink" Target="https://www.tga.gov.au/resources/publication/scheduling-submissions"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medsafe.govt.nz/profs/class/classintro.asp"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edicines.scheduling@health.gov.au" TargetMode="External"/><Relationship Id="rId29" Type="http://schemas.openxmlformats.org/officeDocument/2006/relationships/hyperlink" Target="https://www.legislation.gov.au/Details/F2021L01888" TargetMode="External"/><Relationship Id="rId11" Type="http://schemas.openxmlformats.org/officeDocument/2006/relationships/footer" Target="footer2.xml"/><Relationship Id="rId24" Type="http://schemas.openxmlformats.org/officeDocument/2006/relationships/hyperlink" Target="mailto:medicines.scheduling@health.gov.au" TargetMode="External"/><Relationship Id="rId32" Type="http://schemas.openxmlformats.org/officeDocument/2006/relationships/hyperlink" Target="https://www.hpra.ie/homepage/medicines/medicines-information/find-a-medicine/results/item?compare=PA23180/018/003,PA23180/018/002" TargetMode="External"/><Relationship Id="rId37" Type="http://schemas.openxmlformats.org/officeDocument/2006/relationships/hyperlink" Target="https://www.tga.gov.au/artg" TargetMode="External"/><Relationship Id="rId40" Type="http://schemas.openxmlformats.org/officeDocument/2006/relationships/hyperlink" Target="https://www.tga.gov.au/prescribing-medicines-pregnancy-database" TargetMode="External"/><Relationship Id="rId45" Type="http://schemas.openxmlformats.org/officeDocument/2006/relationships/hyperlink" Target="https://www.medsafe.govt.nz/profs/class/classintro.asp" TargetMode="External"/><Relationship Id="rId53" Type="http://schemas.openxmlformats.org/officeDocument/2006/relationships/hyperlink" Target="https://www.tga.gov.au/prescribing-medicines-pregnancy-database" TargetMode="External"/><Relationship Id="rId58" Type="http://schemas.openxmlformats.org/officeDocument/2006/relationships/hyperlink" Target="https://www.unep.org/explore-topics/chemicals-waste/what-we-do/emerging-issues/global-alliance-eliminate-lead-paint/faq" TargetMode="External"/><Relationship Id="rId66" Type="http://schemas.openxmlformats.org/officeDocument/2006/relationships/hyperlink" Target="https://apps.tga.gov.au/Prod/daen/daen-entry.aspx" TargetMode="External"/><Relationship Id="rId74" Type="http://schemas.openxmlformats.org/officeDocument/2006/relationships/hyperlink" Target="https://www.ebs.tga.gov.au/" TargetMode="External"/><Relationship Id="rId79" Type="http://schemas.openxmlformats.org/officeDocument/2006/relationships/hyperlink" Target="https://www.legislation.gov.au/Details/F2021L01888" TargetMode="External"/><Relationship Id="rId87" Type="http://schemas.openxmlformats.org/officeDocument/2006/relationships/hyperlink" Target="https://www.tga.gov.au/about-tga/advisory-bodies-and-committees/advisory-committee-medicines-scheduling-acms" TargetMode="External"/><Relationship Id="rId5" Type="http://schemas.openxmlformats.org/officeDocument/2006/relationships/webSettings" Target="webSettings.xml"/><Relationship Id="rId61" Type="http://schemas.openxmlformats.org/officeDocument/2006/relationships/hyperlink" Target="https://www.ebs.tga.gov.au/" TargetMode="External"/><Relationship Id="rId82" Type="http://schemas.openxmlformats.org/officeDocument/2006/relationships/hyperlink" Target="https://apvma.gov.au/node/10946" TargetMode="External"/><Relationship Id="rId90" Type="http://schemas.openxmlformats.org/officeDocument/2006/relationships/hyperlink" Target="https://www.tga.gov.au/resources/resource/forms/scheduling-consultation-coversheets" TargetMode="External"/><Relationship Id="rId95" Type="http://schemas.openxmlformats.org/officeDocument/2006/relationships/hyperlink" Target="https://www.tga.gov.au" TargetMode="External"/><Relationship Id="rId14" Type="http://schemas.openxmlformats.org/officeDocument/2006/relationships/hyperlink" Target="https://www.tga.gov.au/committee/advisory-committee-medicines-scheduling-acms" TargetMode="External"/><Relationship Id="rId22" Type="http://schemas.openxmlformats.org/officeDocument/2006/relationships/hyperlink" Target="https://www.tga.gov.au/committee/advisory-committee-medicines-scheduling-acms" TargetMode="External"/><Relationship Id="rId27" Type="http://schemas.openxmlformats.org/officeDocument/2006/relationships/hyperlink" Target="https://www.legislation.gov.au/Search/Therapeutic%20Goods%20$LB$Permissible%20Ingredients$RB$%20Determination" TargetMode="External"/><Relationship Id="rId30" Type="http://schemas.openxmlformats.org/officeDocument/2006/relationships/hyperlink" Target="https://apps.tga.gov.au/Prod/daen/daen-entry.aspx" TargetMode="External"/><Relationship Id="rId35" Type="http://schemas.openxmlformats.org/officeDocument/2006/relationships/hyperlink" Target="https://www.accessdata.fda.gov/scripts/cder/daf/index.cfm?event=BasicSearch.process" TargetMode="External"/><Relationship Id="rId43" Type="http://schemas.openxmlformats.org/officeDocument/2006/relationships/hyperlink" Target="https://portal.apvma.gov.au/pubcris" TargetMode="External"/><Relationship Id="rId48" Type="http://schemas.openxmlformats.org/officeDocument/2006/relationships/hyperlink" Target="https://www.tga.gov.au/resources/publication/scheduling-decisions-final/notice-final-decisions-amend-or-not-amend-current-poisons-standard" TargetMode="External"/><Relationship Id="rId56" Type="http://schemas.openxmlformats.org/officeDocument/2006/relationships/hyperlink" Target="https://portal.apvma.gov.au/pubcris" TargetMode="External"/><Relationship Id="rId64" Type="http://schemas.openxmlformats.org/officeDocument/2006/relationships/hyperlink" Target="https://www.tga.gov.au/prescribing-medicines-pregnancy-database" TargetMode="External"/><Relationship Id="rId69" Type="http://schemas.openxmlformats.org/officeDocument/2006/relationships/hyperlink" Target="https://ec.europa.eu/growth/tools-databases/cosing/index.cfm?fuseaction=search.results" TargetMode="External"/><Relationship Id="rId77" Type="http://schemas.openxmlformats.org/officeDocument/2006/relationships/hyperlink" Target="https://www.legislation.gov.au/Search/Therapeutic%20Goods%20$LB$Permissible%20Ingredients$RB$%20Determination" TargetMode="External"/><Relationship Id="rId8" Type="http://schemas.openxmlformats.org/officeDocument/2006/relationships/header" Target="header1.xml"/><Relationship Id="rId51" Type="http://schemas.openxmlformats.org/officeDocument/2006/relationships/hyperlink" Target="https://www.tga.gov.au/artg" TargetMode="External"/><Relationship Id="rId72" Type="http://schemas.openxmlformats.org/officeDocument/2006/relationships/hyperlink" Target="https://www.accessdata.fda.gov/scripts/cder/daf/index.cfm?event=BasicSearch.process" TargetMode="External"/><Relationship Id="rId80" Type="http://schemas.openxmlformats.org/officeDocument/2006/relationships/hyperlink" Target="https://apps.tga.gov.au/Prod/daen/daen-entry.aspx" TargetMode="External"/><Relationship Id="rId85" Type="http://schemas.openxmlformats.org/officeDocument/2006/relationships/hyperlink" Target="https://health-products.canada.ca/dpd-bdpp/dispatch-repartition" TargetMode="External"/><Relationship Id="rId93" Type="http://schemas.openxmlformats.org/officeDocument/2006/relationships/footer" Target="footer3.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tga.copyright@tga.gov.au" TargetMode="External"/><Relationship Id="rId25" Type="http://schemas.openxmlformats.org/officeDocument/2006/relationships/hyperlink" Target="https://www.ebs.tga.gov.au/" TargetMode="External"/><Relationship Id="rId33" Type="http://schemas.openxmlformats.org/officeDocument/2006/relationships/hyperlink" Target="https://health-products.canada.ca/dpd-bdpp/dispatch-repartition" TargetMode="External"/><Relationship Id="rId38" Type="http://schemas.openxmlformats.org/officeDocument/2006/relationships/hyperlink" Target="https://www.ebs.tga.gov.au/" TargetMode="External"/><Relationship Id="rId46" Type="http://schemas.openxmlformats.org/officeDocument/2006/relationships/hyperlink" Target="https://health-products.canada.ca/dpd-bdpp/dispatch-repartition" TargetMode="External"/><Relationship Id="rId59" Type="http://schemas.openxmlformats.org/officeDocument/2006/relationships/hyperlink" Target="http://everyspec.com/MIL-PRF/MIL-PRF-010000-29999/MIL-PRF-24647D_8111/" TargetMode="External"/><Relationship Id="rId67" Type="http://schemas.openxmlformats.org/officeDocument/2006/relationships/hyperlink" Target="https://portal.apvma.gov.au/pubcris" TargetMode="External"/><Relationship Id="rId41" Type="http://schemas.openxmlformats.org/officeDocument/2006/relationships/hyperlink" Target="https://www.legislation.gov.au/Details/F2021L01888" TargetMode="External"/><Relationship Id="rId54" Type="http://schemas.openxmlformats.org/officeDocument/2006/relationships/hyperlink" Target="https://www.legislation.gov.au/Details/F2021L01888" TargetMode="External"/><Relationship Id="rId62" Type="http://schemas.openxmlformats.org/officeDocument/2006/relationships/hyperlink" Target="https://www.tga.gov.au/artg" TargetMode="External"/><Relationship Id="rId70" Type="http://schemas.openxmlformats.org/officeDocument/2006/relationships/hyperlink" Target="https://www.epa.govt.nz/database-search/new-zealand-inventory-of-chemicals-nzioc/DatabaseSearchForm/?SiteDatabaseSearchFilters=36&amp;Keyword=ibotenic&amp;DatabaseType=NZIOC" TargetMode="External"/><Relationship Id="rId75" Type="http://schemas.openxmlformats.org/officeDocument/2006/relationships/hyperlink" Target="https://www.tga.gov.au/artg" TargetMode="External"/><Relationship Id="rId83" Type="http://schemas.openxmlformats.org/officeDocument/2006/relationships/hyperlink" Target="https://www.medsafe.govt.nz/profs/class/classintro.asp" TargetMode="External"/><Relationship Id="rId88" Type="http://schemas.openxmlformats.org/officeDocument/2006/relationships/hyperlink" Target="https://www.tga.gov.au/about-tga/advisory-bodies-and-committees/advisory-committee-chemicals-scheduling-accs" TargetMode="External"/><Relationship Id="rId91" Type="http://schemas.openxmlformats.org/officeDocument/2006/relationships/hyperlink" Target="https://www.tga.gov.au/resources/publication/scheduling-decisions-interim" TargetMode="External"/><Relationship Id="rId9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ga.gov.au/committee/advisory-committee-chemicals-scheduling-accs" TargetMode="External"/><Relationship Id="rId23" Type="http://schemas.openxmlformats.org/officeDocument/2006/relationships/hyperlink" Target="https://www.tga.gov.au/committee/advisory-committee-chemicals-scheduling-accs" TargetMode="External"/><Relationship Id="rId28" Type="http://schemas.openxmlformats.org/officeDocument/2006/relationships/hyperlink" Target="https://www.tga.gov.au/prescribing-medicines-pregnancy-database" TargetMode="External"/><Relationship Id="rId36" Type="http://schemas.openxmlformats.org/officeDocument/2006/relationships/hyperlink" Target="https://www.gov.uk/drug-safety-update/stimulant-laxatives-bisacodyl-senna-and-sennosides-sodium-picosulfate-available-over-the-counter-new-measures-to-support-safe-use" TargetMode="External"/><Relationship Id="rId49" Type="http://schemas.openxmlformats.org/officeDocument/2006/relationships/hyperlink" Target="https://www.tga.gov.au/resources/publication/scheduling-decisions-final/notice-final-decisions-amend-or-not-amend-current-poisons-standard" TargetMode="External"/><Relationship Id="rId57" Type="http://schemas.openxmlformats.org/officeDocument/2006/relationships/hyperlink" Target="https://apvma.gov.au/node/10946" TargetMode="External"/><Relationship Id="rId10" Type="http://schemas.openxmlformats.org/officeDocument/2006/relationships/header" Target="header2.xml"/><Relationship Id="rId31" Type="http://schemas.openxmlformats.org/officeDocument/2006/relationships/hyperlink" Target="https://portal.apvma.gov.au/pubcris" TargetMode="External"/><Relationship Id="rId44" Type="http://schemas.openxmlformats.org/officeDocument/2006/relationships/hyperlink" Target="https://www.accessdata.fda.gov/scripts/cder/daf/index.cfm?event=BasicSearch.process" TargetMode="External"/><Relationship Id="rId52" Type="http://schemas.openxmlformats.org/officeDocument/2006/relationships/hyperlink" Target="https://www.legislation.gov.au/Search/Therapeutic%20Goods%20$LB$Permissible%20Ingredients$RB$%20Determination" TargetMode="External"/><Relationship Id="rId60" Type="http://schemas.openxmlformats.org/officeDocument/2006/relationships/hyperlink" Target="https://sso.agc.gov.sg/SL-Supp/S365-2021/Published/20210603?DocDate=20210603&amp;ViewType=Pdf&amp;_=20210604054914" TargetMode="External"/><Relationship Id="rId65" Type="http://schemas.openxmlformats.org/officeDocument/2006/relationships/hyperlink" Target="https://www.legislation.gov.au/Details/F2021L01888" TargetMode="External"/><Relationship Id="rId73" Type="http://schemas.openxmlformats.org/officeDocument/2006/relationships/hyperlink" Target="https://health-products.canada.ca/dpd-bdpp/dispatch-repartition" TargetMode="External"/><Relationship Id="rId78" Type="http://schemas.openxmlformats.org/officeDocument/2006/relationships/hyperlink" Target="https://www.tga.gov.au/prescribing-medicines-pregnancy-database" TargetMode="External"/><Relationship Id="rId81" Type="http://schemas.openxmlformats.org/officeDocument/2006/relationships/hyperlink" Target="https://portal.apvma.gov.au/pubcris" TargetMode="External"/><Relationship Id="rId86" Type="http://schemas.openxmlformats.org/officeDocument/2006/relationships/hyperlink" Target="https://consultations.tga.gov.au/tga/scheduling-pre-meeting-june-2023" TargetMode="External"/><Relationship Id="rId94" Type="http://schemas.openxmlformats.org/officeDocument/2006/relationships/hyperlink" Target="mailto:info@tga.gov.a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tga.gov.au/artg" TargetMode="External"/><Relationship Id="rId18" Type="http://schemas.openxmlformats.org/officeDocument/2006/relationships/hyperlink" Target="https://apps.tga.gov.au/Prod/daen/daen-entry.aspx" TargetMode="External"/><Relationship Id="rId26" Type="http://schemas.openxmlformats.org/officeDocument/2006/relationships/hyperlink" Target="https://www.tga.gov.au/prescribing-medicines-pregnancy-database" TargetMode="External"/><Relationship Id="rId39" Type="http://schemas.openxmlformats.org/officeDocument/2006/relationships/hyperlink" Target="https://www.tga.gov.au/prescribing-medicines-pregnancy-database" TargetMode="External"/><Relationship Id="rId21" Type="http://schemas.openxmlformats.org/officeDocument/2006/relationships/hyperlink" Target="http://www.medsafe.govt.nz/profs/class/classintro.asp" TargetMode="External"/><Relationship Id="rId34" Type="http://schemas.openxmlformats.org/officeDocument/2006/relationships/hyperlink" Target="https://images.chemycal.com/Media/Files/TBT/20_5970_00_x.pdf" TargetMode="External"/><Relationship Id="rId42" Type="http://schemas.openxmlformats.org/officeDocument/2006/relationships/hyperlink" Target="https://portal.apvma.gov.au/pubcris" TargetMode="External"/><Relationship Id="rId47" Type="http://schemas.openxmlformats.org/officeDocument/2006/relationships/hyperlink" Target="http://www.accessdata.fda.gov/scripts/cder/daf/index.cfm?event=BasicSearch.process" TargetMode="External"/><Relationship Id="rId50" Type="http://schemas.openxmlformats.org/officeDocument/2006/relationships/hyperlink" Target="https://www.tga.gov.au/artg" TargetMode="External"/><Relationship Id="rId55" Type="http://schemas.openxmlformats.org/officeDocument/2006/relationships/hyperlink" Target="https://apps.tga.gov.au/Prod/daen/daen-entry.aspx" TargetMode="External"/><Relationship Id="rId7" Type="http://schemas.openxmlformats.org/officeDocument/2006/relationships/hyperlink" Target="https://portal.apvma.gov.au/pubcris" TargetMode="External"/><Relationship Id="rId12" Type="http://schemas.openxmlformats.org/officeDocument/2006/relationships/hyperlink" Target="http://www.gov.uk/drug-safety-update/stimulant-laxatives-bisacodyl-senna-and-sennosides-sodium-picosulfate-available-over-the-counter-new-measures-to-support-safe-use" TargetMode="External"/><Relationship Id="rId17" Type="http://schemas.openxmlformats.org/officeDocument/2006/relationships/hyperlink" Target="https://www.legislation.gov.au/Details/F2021L01888" TargetMode="External"/><Relationship Id="rId25" Type="http://schemas.openxmlformats.org/officeDocument/2006/relationships/hyperlink" Target="https://www.legislation.gov.au/Search/Therapeutic%20Goods%20$LB$Permissible%20Ingredients$RB$%20Determination" TargetMode="External"/><Relationship Id="rId33" Type="http://schemas.openxmlformats.org/officeDocument/2006/relationships/hyperlink" Target="https://sso.agc.gov.sg/SL-Supp/S365-2021/Published/20210603?DocDate=20210603&amp;ViewType=Pdf&amp;_=20210604054914" TargetMode="External"/><Relationship Id="rId38" Type="http://schemas.openxmlformats.org/officeDocument/2006/relationships/hyperlink" Target="https://www.legislation.gov.au/Search/Therapeutic%20Goods%20$LB$Permissible%20Ingredients$RB$%20Determination" TargetMode="External"/><Relationship Id="rId46" Type="http://schemas.openxmlformats.org/officeDocument/2006/relationships/hyperlink" Target="http://www.medsafe.govt.nz/profs/class/classintro.asp" TargetMode="External"/><Relationship Id="rId59" Type="http://schemas.openxmlformats.org/officeDocument/2006/relationships/hyperlink" Target="http://www.accessdata.fda.gov/scripts/cder/daf/index.cfm?event=BasicSearch.process" TargetMode="External"/><Relationship Id="rId2" Type="http://schemas.openxmlformats.org/officeDocument/2006/relationships/hyperlink" Target="https://www.tga.gov.au/artg" TargetMode="External"/><Relationship Id="rId16" Type="http://schemas.openxmlformats.org/officeDocument/2006/relationships/hyperlink" Target="https://www.tga.gov.au/prescribing-medicines-pregnancy-database" TargetMode="External"/><Relationship Id="rId20" Type="http://schemas.openxmlformats.org/officeDocument/2006/relationships/hyperlink" Target="http://www.accessdata.fda.gov/scripts/cder/daf/index.cfm?event=BasicSearch.process" TargetMode="External"/><Relationship Id="rId29" Type="http://schemas.openxmlformats.org/officeDocument/2006/relationships/hyperlink" Target="https://portal.apvma.gov.au/pubcris" TargetMode="External"/><Relationship Id="rId41" Type="http://schemas.openxmlformats.org/officeDocument/2006/relationships/hyperlink" Target="https://apps.tga.gov.au/Prod/daen/daen-entry.aspx" TargetMode="External"/><Relationship Id="rId54" Type="http://schemas.openxmlformats.org/officeDocument/2006/relationships/hyperlink" Target="https://www.legislation.gov.au/Details/F2021L01888" TargetMode="External"/><Relationship Id="rId1" Type="http://schemas.openxmlformats.org/officeDocument/2006/relationships/hyperlink" Target="https://www.ebs.tga.gov.au/" TargetMode="External"/><Relationship Id="rId6" Type="http://schemas.openxmlformats.org/officeDocument/2006/relationships/hyperlink" Target="https://apps.tga.gov.au/Prod/daen/daen-entry.aspx" TargetMode="External"/><Relationship Id="rId11" Type="http://schemas.openxmlformats.org/officeDocument/2006/relationships/hyperlink" Target="https://www.accessdata.fda.gov/scripts/cder/daf/index.cfm?event=BasicSearch.process" TargetMode="External"/><Relationship Id="rId24" Type="http://schemas.openxmlformats.org/officeDocument/2006/relationships/hyperlink" Target="https://www.tga.gov.au/artg" TargetMode="External"/><Relationship Id="rId32" Type="http://schemas.openxmlformats.org/officeDocument/2006/relationships/hyperlink" Target="http://everyspec.com/MIL-PRF/MIL-PRF-010000-29999/MIL-PRF-24647D_8111/" TargetMode="External"/><Relationship Id="rId37" Type="http://schemas.openxmlformats.org/officeDocument/2006/relationships/hyperlink" Target="https://www.tga.gov.au/artg" TargetMode="External"/><Relationship Id="rId40" Type="http://schemas.openxmlformats.org/officeDocument/2006/relationships/hyperlink" Target="https://www.legislation.gov.au/Details/F2021L01888" TargetMode="External"/><Relationship Id="rId45" Type="http://schemas.openxmlformats.org/officeDocument/2006/relationships/hyperlink" Target="http://www.epa.govt.nz/database-search/new-zealand-inventory-of-chemicals-nzioc/DatabaseSearchForm/?SiteDatabaseSearchFilters=36&amp;Keyword=ibotenic&amp;DatabaseType=NZIOC" TargetMode="External"/><Relationship Id="rId53" Type="http://schemas.openxmlformats.org/officeDocument/2006/relationships/hyperlink" Target="https://www.tga.gov.au/prescribing-medicines-pregnancy-database" TargetMode="External"/><Relationship Id="rId58" Type="http://schemas.openxmlformats.org/officeDocument/2006/relationships/hyperlink" Target="http://www.medsafe.govt.nz/profs/class/classintro.asp" TargetMode="External"/><Relationship Id="rId5" Type="http://schemas.openxmlformats.org/officeDocument/2006/relationships/hyperlink" Target="https://www.legislation.gov.au/Details/F2021L01888" TargetMode="External"/><Relationship Id="rId15" Type="http://schemas.openxmlformats.org/officeDocument/2006/relationships/hyperlink" Target="https://www.legislation.gov.au/Search/Therapeutic%20Goods%20$LB$Permissible%20Ingredients$RB$%20Determination" TargetMode="External"/><Relationship Id="rId23" Type="http://schemas.openxmlformats.org/officeDocument/2006/relationships/hyperlink" Target="https://www.ebs.tga.gov.au/" TargetMode="External"/><Relationship Id="rId28" Type="http://schemas.openxmlformats.org/officeDocument/2006/relationships/hyperlink" Target="https://apps.tga.gov.au/Prod/daen/daen-entry.aspx" TargetMode="External"/><Relationship Id="rId36" Type="http://schemas.openxmlformats.org/officeDocument/2006/relationships/hyperlink" Target="https://www.ebs.tga.gov.au/" TargetMode="External"/><Relationship Id="rId49" Type="http://schemas.openxmlformats.org/officeDocument/2006/relationships/hyperlink" Target="https://www.ebs.tga.gov.au/" TargetMode="External"/><Relationship Id="rId57" Type="http://schemas.openxmlformats.org/officeDocument/2006/relationships/hyperlink" Target="https://apvma.gov.au/node/10946" TargetMode="External"/><Relationship Id="rId10" Type="http://schemas.openxmlformats.org/officeDocument/2006/relationships/hyperlink" Target="http://www.medsafe.govt.nz/profs/class/classintro.asp" TargetMode="External"/><Relationship Id="rId19" Type="http://schemas.openxmlformats.org/officeDocument/2006/relationships/hyperlink" Target="https://portal.apvma.gov.au/pubcris" TargetMode="External"/><Relationship Id="rId31" Type="http://schemas.openxmlformats.org/officeDocument/2006/relationships/hyperlink" Target="http://www.unep.org/explore-topics/chemicals-waste/what-we-do/emerging-issues/global-alliance-eliminate-lead-paint/faq" TargetMode="External"/><Relationship Id="rId44" Type="http://schemas.openxmlformats.org/officeDocument/2006/relationships/hyperlink" Target="ec.europa.eu/growth/tools-databases/cosing/index.cfm?fuseaction=search.results" TargetMode="External"/><Relationship Id="rId52" Type="http://schemas.openxmlformats.org/officeDocument/2006/relationships/hyperlink" Target="https://www.legislation.gov.au/Search/Therapeutic%20Goods%20$LB$Permissible%20Ingredients$RB$%20Determination" TargetMode="External"/><Relationship Id="rId60" Type="http://schemas.openxmlformats.org/officeDocument/2006/relationships/hyperlink" Target="https://health-products.canada.ca/dpd-bdpp/dispatch-repartition" TargetMode="External"/><Relationship Id="rId4" Type="http://schemas.openxmlformats.org/officeDocument/2006/relationships/hyperlink" Target="https://www.tga.gov.au/prescribing-medicines-pregnancy-database" TargetMode="External"/><Relationship Id="rId9" Type="http://schemas.openxmlformats.org/officeDocument/2006/relationships/hyperlink" Target="health-products.canada.ca/dpd-bdpp/dispatch-repartition" TargetMode="External"/><Relationship Id="rId14" Type="http://schemas.openxmlformats.org/officeDocument/2006/relationships/hyperlink" Target="https://www.ebs.tga.gov.au/" TargetMode="External"/><Relationship Id="rId22" Type="http://schemas.openxmlformats.org/officeDocument/2006/relationships/hyperlink" Target="health-products.canada.ca/dpd-bdpp/dispatch-repartition" TargetMode="External"/><Relationship Id="rId27" Type="http://schemas.openxmlformats.org/officeDocument/2006/relationships/hyperlink" Target="https://www.legislation.gov.au/Details/F2021L01888" TargetMode="External"/><Relationship Id="rId30" Type="http://schemas.openxmlformats.org/officeDocument/2006/relationships/hyperlink" Target="https://apvma.gov.au/node/10946" TargetMode="External"/><Relationship Id="rId35" Type="http://schemas.openxmlformats.org/officeDocument/2006/relationships/hyperlink" Target="https://ipen.org/sites/default/files/documents/ipen-2021-lead-paint-vietnam_v1_5-en.pdf" TargetMode="External"/><Relationship Id="rId43" Type="http://schemas.openxmlformats.org/officeDocument/2006/relationships/hyperlink" Target="echa.europa.eu/substance-information/-/substanceinfo/100.165.123" TargetMode="External"/><Relationship Id="rId48" Type="http://schemas.openxmlformats.org/officeDocument/2006/relationships/hyperlink" Target="health-products.canada.ca/dpd-bdpp/dispatch-repartition" TargetMode="External"/><Relationship Id="rId56" Type="http://schemas.openxmlformats.org/officeDocument/2006/relationships/hyperlink" Target="https://portal.apvma.gov.au/pubcris" TargetMode="External"/><Relationship Id="rId8" Type="http://schemas.openxmlformats.org/officeDocument/2006/relationships/hyperlink" Target="www.hpra.ie/homepage/medicines/medicines-information/find-a-medicine/results/item?compare=PA23180/018/003,PA23180/018/002" TargetMode="External"/><Relationship Id="rId51" Type="http://schemas.openxmlformats.org/officeDocument/2006/relationships/hyperlink" Target="https://www.legislation.gov.au/Search/Therapeutic%20Goods%20$LB$Permissible%20Ingredients$RB$%20Determination" TargetMode="External"/><Relationship Id="rId3" Type="http://schemas.openxmlformats.org/officeDocument/2006/relationships/hyperlink" Target="https://www.legislation.gov.au/Search/Therapeutic%20Goods%20$LB$Permissible%20Ingredients$RB$%20Determin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External%20pub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9F849-F055-435E-A468-6F89E620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publication.dotx</Template>
  <TotalTime>6912</TotalTime>
  <Pages>24</Pages>
  <Words>7521</Words>
  <Characters>43401</Characters>
  <Application>Microsoft Office Word</Application>
  <DocSecurity>0</DocSecurity>
  <Lines>986</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CHILLINGWORTH, Dion</dc:creator>
  <cp:keywords/>
  <dc:description/>
  <cp:lastModifiedBy>KEVIN, Raingsey</cp:lastModifiedBy>
  <cp:revision>78</cp:revision>
  <dcterms:created xsi:type="dcterms:W3CDTF">2023-03-20T07:27:00Z</dcterms:created>
  <dcterms:modified xsi:type="dcterms:W3CDTF">2023-04-12T05:52:00Z</dcterms:modified>
</cp:coreProperties>
</file>