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D149A2" w14:paraId="77ED98E2" w14:textId="77777777" w:rsidTr="002B29B2">
        <w:tc>
          <w:tcPr>
            <w:tcW w:w="8720" w:type="dxa"/>
          </w:tcPr>
          <w:p w14:paraId="1F256056" w14:textId="1EFF376E" w:rsidR="00F02AEC" w:rsidRPr="00D149A2" w:rsidRDefault="00685E72" w:rsidP="002B29B2">
            <w:pPr>
              <w:pStyle w:val="Title"/>
              <w:rPr>
                <w:rFonts w:cs="Arial"/>
              </w:rPr>
            </w:pPr>
            <w:bookmarkStart w:id="0" w:name="_Hlk139891401"/>
            <w:r w:rsidRPr="00D149A2">
              <w:rPr>
                <w:rFonts w:cs="Arial"/>
              </w:rPr>
              <w:t>Consultation: Proposed amendments to the Poisons Standard – ACMS</w:t>
            </w:r>
            <w:r w:rsidR="002327B4" w:rsidRPr="00D149A2">
              <w:rPr>
                <w:rFonts w:cs="Arial"/>
              </w:rPr>
              <w:t xml:space="preserve"> #</w:t>
            </w:r>
            <w:r w:rsidR="00C3203E">
              <w:rPr>
                <w:rFonts w:cs="Arial"/>
              </w:rPr>
              <w:t>45</w:t>
            </w:r>
            <w:r w:rsidRPr="00D149A2">
              <w:rPr>
                <w:rFonts w:cs="Arial"/>
              </w:rPr>
              <w:t>, ACCS</w:t>
            </w:r>
            <w:r w:rsidR="002327B4" w:rsidRPr="00D149A2">
              <w:rPr>
                <w:rFonts w:cs="Arial"/>
              </w:rPr>
              <w:t xml:space="preserve"> #</w:t>
            </w:r>
            <w:r w:rsidR="005C10E2">
              <w:rPr>
                <w:rFonts w:cs="Arial"/>
              </w:rPr>
              <w:t>39</w:t>
            </w:r>
            <w:r w:rsidRPr="00D149A2">
              <w:rPr>
                <w:rFonts w:cs="Arial"/>
              </w:rPr>
              <w:t xml:space="preserve"> and </w:t>
            </w:r>
            <w:r w:rsidR="00840FB6" w:rsidRPr="00D149A2">
              <w:rPr>
                <w:rFonts w:cs="Arial"/>
              </w:rPr>
              <w:t>J</w:t>
            </w:r>
            <w:r w:rsidRPr="00D149A2">
              <w:rPr>
                <w:rFonts w:cs="Arial"/>
              </w:rPr>
              <w:t>oint ACMS-ACCS</w:t>
            </w:r>
            <w:r w:rsidR="002327B4" w:rsidRPr="00D149A2">
              <w:rPr>
                <w:rFonts w:cs="Arial"/>
              </w:rPr>
              <w:t xml:space="preserve"> #</w:t>
            </w:r>
            <w:r w:rsidR="005C10E2">
              <w:rPr>
                <w:rFonts w:cs="Arial"/>
              </w:rPr>
              <w:t>3</w:t>
            </w:r>
            <w:r w:rsidR="009262CC">
              <w:rPr>
                <w:rFonts w:cs="Arial"/>
              </w:rPr>
              <w:t>7</w:t>
            </w:r>
            <w:r w:rsidRPr="00D149A2">
              <w:rPr>
                <w:rFonts w:cs="Arial"/>
              </w:rPr>
              <w:t xml:space="preserve"> meetings, </w:t>
            </w:r>
            <w:r w:rsidR="005C10E2">
              <w:rPr>
                <w:rFonts w:cs="Arial"/>
              </w:rPr>
              <w:t>June</w:t>
            </w:r>
            <w:r w:rsidRPr="00D149A2">
              <w:rPr>
                <w:rFonts w:cs="Arial"/>
              </w:rPr>
              <w:t xml:space="preserve"> </w:t>
            </w:r>
            <w:r w:rsidR="005078BC" w:rsidRPr="00D149A2">
              <w:rPr>
                <w:rFonts w:cs="Arial"/>
              </w:rPr>
              <w:t>20</w:t>
            </w:r>
            <w:r w:rsidR="005C10E2">
              <w:rPr>
                <w:rFonts w:cs="Arial"/>
              </w:rPr>
              <w:t>24</w:t>
            </w:r>
          </w:p>
        </w:tc>
      </w:tr>
      <w:tr w:rsidR="00F02AEC" w:rsidRPr="00D149A2" w14:paraId="68A139A2" w14:textId="77777777" w:rsidTr="002B29B2">
        <w:trPr>
          <w:trHeight w:val="1916"/>
        </w:trPr>
        <w:tc>
          <w:tcPr>
            <w:tcW w:w="8720" w:type="dxa"/>
          </w:tcPr>
          <w:p w14:paraId="710F078A" w14:textId="5A4403A2" w:rsidR="00F02AEC" w:rsidRPr="00D149A2" w:rsidRDefault="005E322F" w:rsidP="004169A7">
            <w:pPr>
              <w:pStyle w:val="Subtitle"/>
              <w:spacing w:before="240"/>
              <w:ind w:left="0"/>
            </w:pPr>
            <w:r>
              <w:t>2</w:t>
            </w:r>
            <w:r w:rsidR="002472C1">
              <w:t>3</w:t>
            </w:r>
            <w:r w:rsidR="00685E72" w:rsidRPr="00D149A2">
              <w:t xml:space="preserve"> </w:t>
            </w:r>
            <w:r w:rsidR="006D0995">
              <w:t>April 2024</w:t>
            </w:r>
          </w:p>
        </w:tc>
      </w:tr>
      <w:tr w:rsidR="00F02AEC" w:rsidRPr="00D149A2" w14:paraId="320596D5" w14:textId="77777777" w:rsidTr="002B29B2">
        <w:tc>
          <w:tcPr>
            <w:tcW w:w="8720" w:type="dxa"/>
          </w:tcPr>
          <w:p w14:paraId="0C2CE97A" w14:textId="5A673381" w:rsidR="00F02AEC" w:rsidRPr="00D149A2" w:rsidRDefault="00F02AEC" w:rsidP="00446F1A">
            <w:pPr>
              <w:pStyle w:val="Date"/>
            </w:pPr>
          </w:p>
        </w:tc>
      </w:tr>
      <w:bookmarkEnd w:id="0"/>
    </w:tbl>
    <w:p w14:paraId="1B7834FC" w14:textId="77777777" w:rsidR="00F02AEC" w:rsidRPr="00D149A2" w:rsidRDefault="00F02AEC" w:rsidP="001B6547">
      <w:pPr>
        <w:pStyle w:val="ListBullet"/>
        <w:sectPr w:rsidR="00F02AEC" w:rsidRPr="00D149A2" w:rsidSect="00CB0550">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6D956596" w14:textId="77777777" w:rsidR="00F02AEC" w:rsidRPr="00272B96" w:rsidRDefault="00F02AEC" w:rsidP="00446F1A">
      <w:pPr>
        <w:rPr>
          <w:sz w:val="18"/>
          <w:szCs w:val="18"/>
        </w:rPr>
      </w:pPr>
      <w:bookmarkStart w:id="1" w:name="_Hlk139891783"/>
      <w:r w:rsidRPr="00272B96">
        <w:rPr>
          <w:sz w:val="18"/>
          <w:szCs w:val="18"/>
        </w:rPr>
        <w:lastRenderedPageBreak/>
        <w:t>Copyright</w:t>
      </w:r>
    </w:p>
    <w:p w14:paraId="1767149F" w14:textId="4C647CA9" w:rsidR="00930D58" w:rsidRPr="00272B96" w:rsidRDefault="00F02AEC" w:rsidP="00446F1A">
      <w:pPr>
        <w:rPr>
          <w:sz w:val="18"/>
          <w:szCs w:val="18"/>
        </w:rPr>
      </w:pPr>
      <w:r w:rsidRPr="00272B96">
        <w:rPr>
          <w:sz w:val="18"/>
          <w:szCs w:val="18"/>
        </w:rPr>
        <w:t>© Commonwealth of Australia 202</w:t>
      </w:r>
      <w:r w:rsidR="005C10E2" w:rsidRPr="00272B96">
        <w:rPr>
          <w:sz w:val="18"/>
          <w:szCs w:val="18"/>
        </w:rPr>
        <w:t>4</w:t>
      </w:r>
      <w:r w:rsidRPr="00272B96">
        <w:rPr>
          <w:sz w:val="18"/>
          <w:szCs w:val="18"/>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72B96">
        <w:rPr>
          <w:i/>
          <w:sz w:val="18"/>
          <w:szCs w:val="18"/>
        </w:rPr>
        <w:t>Copyright Act 1968</w:t>
      </w:r>
      <w:r w:rsidRPr="00272B96">
        <w:rPr>
          <w:sz w:val="18"/>
          <w:szCs w:val="18"/>
        </w:rPr>
        <w:t xml:space="preserve"> or allowed by this copyright notice, all other rights are </w:t>
      </w:r>
      <w:proofErr w:type="gramStart"/>
      <w:r w:rsidRPr="00272B96">
        <w:rPr>
          <w:sz w:val="18"/>
          <w:szCs w:val="18"/>
        </w:rPr>
        <w:t>reserved</w:t>
      </w:r>
      <w:proofErr w:type="gramEnd"/>
      <w:r w:rsidRPr="00272B96">
        <w:rPr>
          <w:sz w:val="18"/>
          <w:szCs w:val="18"/>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1" w:history="1">
        <w:r w:rsidRPr="00272B96">
          <w:rPr>
            <w:rStyle w:val="Hyperlink"/>
            <w:sz w:val="18"/>
            <w:szCs w:val="18"/>
          </w:rPr>
          <w:t>tga.copyright@tga.gov.au</w:t>
        </w:r>
      </w:hyperlink>
      <w:r w:rsidRPr="00272B96">
        <w:rPr>
          <w:sz w:val="18"/>
          <w:szCs w:val="18"/>
        </w:rPr>
        <w:t>.</w:t>
      </w:r>
    </w:p>
    <w:p w14:paraId="688EC53E" w14:textId="1FA81A84" w:rsidR="00175CD8" w:rsidRPr="00272B96" w:rsidRDefault="00175CD8" w:rsidP="00446F1A">
      <w:pPr>
        <w:rPr>
          <w:sz w:val="18"/>
          <w:szCs w:val="18"/>
        </w:rPr>
      </w:pPr>
    </w:p>
    <w:p w14:paraId="698AB6EA" w14:textId="77777777" w:rsidR="0088292E" w:rsidRPr="00272B96" w:rsidRDefault="0088292E" w:rsidP="00446F1A">
      <w:pPr>
        <w:rPr>
          <w:sz w:val="18"/>
          <w:szCs w:val="18"/>
        </w:rPr>
      </w:pPr>
      <w:bookmarkStart w:id="2" w:name="_Hlk139901247"/>
      <w:r w:rsidRPr="00272B96">
        <w:rPr>
          <w:sz w:val="18"/>
          <w:szCs w:val="18"/>
        </w:rPr>
        <w:t>Confidentiality</w:t>
      </w:r>
    </w:p>
    <w:p w14:paraId="09981FEE" w14:textId="77777777" w:rsidR="0088292E" w:rsidRPr="00272B96" w:rsidRDefault="0088292E" w:rsidP="00446F1A">
      <w:pPr>
        <w:rPr>
          <w:sz w:val="18"/>
          <w:szCs w:val="18"/>
        </w:rPr>
      </w:pPr>
      <w:r w:rsidRPr="00272B96">
        <w:rPr>
          <w:sz w:val="18"/>
          <w:szCs w:val="18"/>
        </w:rP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form. For submission made by individuals, all personal details, other than your name, will be removed from your submission before it is published on the TGA’s Internet site. In addition, a list of parties making submissions will be published. If you do not wish to be identified with your submission you must specifically request this in the space provided on the submission form.</w:t>
      </w:r>
    </w:p>
    <w:bookmarkEnd w:id="2"/>
    <w:p w14:paraId="0F0DF0BB" w14:textId="77777777" w:rsidR="0088292E" w:rsidRPr="00D149A2" w:rsidRDefault="0088292E" w:rsidP="00446F1A"/>
    <w:bookmarkEnd w:id="1" w:displacedByCustomXml="next"/>
    <w:bookmarkStart w:id="3" w:name="_Hlk139892237" w:displacedByCustomXml="next"/>
    <w:sdt>
      <w:sdtPr>
        <w:rPr>
          <w:rFonts w:eastAsiaTheme="minorHAnsi" w:cs="Arial"/>
          <w:b w:val="0"/>
          <w:color w:val="auto"/>
          <w:sz w:val="22"/>
          <w:szCs w:val="22"/>
        </w:rPr>
        <w:id w:val="21514769"/>
        <w:docPartObj>
          <w:docPartGallery w:val="Table of Contents"/>
          <w:docPartUnique/>
        </w:docPartObj>
      </w:sdtPr>
      <w:sdtEndPr>
        <w:rPr>
          <w:color w:val="000000" w:themeColor="text1"/>
          <w:sz w:val="20"/>
          <w:szCs w:val="20"/>
        </w:rPr>
      </w:sdtEndPr>
      <w:sdtContent>
        <w:p w14:paraId="4831BF2E" w14:textId="77777777" w:rsidR="00F02AEC" w:rsidRPr="00D149A2" w:rsidRDefault="00F02AEC" w:rsidP="00446F1A">
          <w:pPr>
            <w:pStyle w:val="NonTOCheading2"/>
          </w:pPr>
          <w:r w:rsidRPr="00D149A2">
            <w:t>Contents</w:t>
          </w:r>
        </w:p>
        <w:p w14:paraId="1FB8EAC8" w14:textId="0E74D42C" w:rsidR="00192F5A" w:rsidRDefault="00F02AEC">
          <w:pPr>
            <w:pStyle w:val="TOC1"/>
            <w:rPr>
              <w:rFonts w:asciiTheme="minorHAnsi" w:eastAsiaTheme="minorEastAsia" w:hAnsiTheme="minorHAnsi" w:cstheme="minorBidi"/>
              <w:b w:val="0"/>
              <w:noProof/>
              <w:color w:val="auto"/>
              <w:kern w:val="2"/>
              <w:sz w:val="22"/>
              <w:szCs w:val="22"/>
              <w:lang w:eastAsia="en-AU"/>
              <w14:ligatures w14:val="standardContextual"/>
            </w:rPr>
          </w:pPr>
          <w:r w:rsidRPr="00D149A2">
            <w:fldChar w:fldCharType="begin"/>
          </w:r>
          <w:r w:rsidRPr="00D149A2">
            <w:instrText xml:space="preserve"> TOC \h \z \u \t "Heading 2,1,Heading 3,2,Heading 4,3" </w:instrText>
          </w:r>
          <w:r w:rsidRPr="00D149A2">
            <w:fldChar w:fldCharType="separate"/>
          </w:r>
          <w:hyperlink w:anchor="_Toc164679956" w:history="1">
            <w:r w:rsidR="00192F5A" w:rsidRPr="009F4A2D">
              <w:rPr>
                <w:rStyle w:val="Hyperlink"/>
                <w:noProof/>
              </w:rPr>
              <w:t>About this consultation</w:t>
            </w:r>
            <w:r w:rsidR="00192F5A">
              <w:rPr>
                <w:noProof/>
                <w:webHidden/>
              </w:rPr>
              <w:tab/>
            </w:r>
            <w:r w:rsidR="00192F5A">
              <w:rPr>
                <w:noProof/>
                <w:webHidden/>
              </w:rPr>
              <w:fldChar w:fldCharType="begin"/>
            </w:r>
            <w:r w:rsidR="00192F5A">
              <w:rPr>
                <w:noProof/>
                <w:webHidden/>
              </w:rPr>
              <w:instrText xml:space="preserve"> PAGEREF _Toc164679956 \h </w:instrText>
            </w:r>
            <w:r w:rsidR="00192F5A">
              <w:rPr>
                <w:noProof/>
                <w:webHidden/>
              </w:rPr>
            </w:r>
            <w:r w:rsidR="00192F5A">
              <w:rPr>
                <w:noProof/>
                <w:webHidden/>
              </w:rPr>
              <w:fldChar w:fldCharType="separate"/>
            </w:r>
            <w:r w:rsidR="00192F5A">
              <w:rPr>
                <w:noProof/>
                <w:webHidden/>
              </w:rPr>
              <w:t>5</w:t>
            </w:r>
            <w:r w:rsidR="00192F5A">
              <w:rPr>
                <w:noProof/>
                <w:webHidden/>
              </w:rPr>
              <w:fldChar w:fldCharType="end"/>
            </w:r>
          </w:hyperlink>
        </w:p>
        <w:p w14:paraId="1413C224" w14:textId="70EEEDF4" w:rsidR="00192F5A" w:rsidRDefault="00000000">
          <w:pPr>
            <w:pStyle w:val="TOC1"/>
            <w:tabs>
              <w:tab w:val="left" w:pos="425"/>
            </w:tabs>
            <w:rPr>
              <w:rFonts w:asciiTheme="minorHAnsi" w:eastAsiaTheme="minorEastAsia" w:hAnsiTheme="minorHAnsi" w:cstheme="minorBidi"/>
              <w:b w:val="0"/>
              <w:noProof/>
              <w:color w:val="auto"/>
              <w:kern w:val="2"/>
              <w:sz w:val="22"/>
              <w:szCs w:val="22"/>
              <w:lang w:eastAsia="en-AU"/>
              <w14:ligatures w14:val="standardContextual"/>
            </w:rPr>
          </w:pPr>
          <w:hyperlink w:anchor="_Toc164679957" w:history="1">
            <w:r w:rsidR="00192F5A" w:rsidRPr="009F4A2D">
              <w:rPr>
                <w:rStyle w:val="Hyperlink"/>
                <w:noProof/>
              </w:rPr>
              <w:t>1</w:t>
            </w:r>
            <w:r w:rsidR="00192F5A">
              <w:rPr>
                <w:rFonts w:asciiTheme="minorHAnsi" w:eastAsiaTheme="minorEastAsia" w:hAnsiTheme="minorHAnsi" w:cstheme="minorBidi"/>
                <w:b w:val="0"/>
                <w:noProof/>
                <w:color w:val="auto"/>
                <w:kern w:val="2"/>
                <w:sz w:val="22"/>
                <w:szCs w:val="22"/>
                <w:lang w:eastAsia="en-AU"/>
                <w14:ligatures w14:val="standardContextual"/>
              </w:rPr>
              <w:tab/>
            </w:r>
            <w:r w:rsidR="00192F5A" w:rsidRPr="009F4A2D">
              <w:rPr>
                <w:rStyle w:val="Hyperlink"/>
                <w:noProof/>
              </w:rPr>
              <w:t>Proposed amendment referred for scheduling advice to ACMS meeting #45</w:t>
            </w:r>
            <w:r w:rsidR="00192F5A">
              <w:rPr>
                <w:noProof/>
                <w:webHidden/>
              </w:rPr>
              <w:tab/>
            </w:r>
            <w:r w:rsidR="00192F5A">
              <w:rPr>
                <w:noProof/>
                <w:webHidden/>
              </w:rPr>
              <w:fldChar w:fldCharType="begin"/>
            </w:r>
            <w:r w:rsidR="00192F5A">
              <w:rPr>
                <w:noProof/>
                <w:webHidden/>
              </w:rPr>
              <w:instrText xml:space="preserve"> PAGEREF _Toc164679957 \h </w:instrText>
            </w:r>
            <w:r w:rsidR="00192F5A">
              <w:rPr>
                <w:noProof/>
                <w:webHidden/>
              </w:rPr>
            </w:r>
            <w:r w:rsidR="00192F5A">
              <w:rPr>
                <w:noProof/>
                <w:webHidden/>
              </w:rPr>
              <w:fldChar w:fldCharType="separate"/>
            </w:r>
            <w:r w:rsidR="00192F5A">
              <w:rPr>
                <w:noProof/>
                <w:webHidden/>
              </w:rPr>
              <w:t>6</w:t>
            </w:r>
            <w:r w:rsidR="00192F5A">
              <w:rPr>
                <w:noProof/>
                <w:webHidden/>
              </w:rPr>
              <w:fldChar w:fldCharType="end"/>
            </w:r>
          </w:hyperlink>
        </w:p>
        <w:p w14:paraId="550B9D7E" w14:textId="1856679D" w:rsidR="00192F5A" w:rsidRDefault="00000000">
          <w:pPr>
            <w:pStyle w:val="TOC2"/>
            <w:tabs>
              <w:tab w:val="left" w:pos="1276"/>
            </w:tabs>
            <w:rPr>
              <w:rFonts w:asciiTheme="minorHAnsi" w:eastAsiaTheme="minorEastAsia" w:hAnsiTheme="minorHAnsi" w:cstheme="minorBidi"/>
              <w:b w:val="0"/>
              <w:noProof/>
              <w:color w:val="auto"/>
              <w:kern w:val="2"/>
              <w:sz w:val="22"/>
              <w:szCs w:val="22"/>
              <w:lang w:eastAsia="en-AU"/>
              <w14:ligatures w14:val="standardContextual"/>
            </w:rPr>
          </w:pPr>
          <w:hyperlink w:anchor="_Toc164679958" w:history="1">
            <w:r w:rsidR="00192F5A" w:rsidRPr="009F4A2D">
              <w:rPr>
                <w:rStyle w:val="Hyperlink"/>
                <w:noProof/>
              </w:rPr>
              <w:t xml:space="preserve">1.1 </w:t>
            </w:r>
            <w:r w:rsidR="00192F5A">
              <w:rPr>
                <w:rFonts w:asciiTheme="minorHAnsi" w:eastAsiaTheme="minorEastAsia" w:hAnsiTheme="minorHAnsi" w:cstheme="minorBidi"/>
                <w:b w:val="0"/>
                <w:noProof/>
                <w:color w:val="auto"/>
                <w:kern w:val="2"/>
                <w:sz w:val="22"/>
                <w:szCs w:val="22"/>
                <w:lang w:eastAsia="en-AU"/>
                <w14:ligatures w14:val="standardContextual"/>
              </w:rPr>
              <w:tab/>
            </w:r>
            <w:r w:rsidR="00192F5A" w:rsidRPr="009F4A2D">
              <w:rPr>
                <w:rStyle w:val="Hyperlink"/>
                <w:noProof/>
              </w:rPr>
              <w:t>Sildenafil</w:t>
            </w:r>
            <w:r w:rsidR="00192F5A">
              <w:rPr>
                <w:noProof/>
                <w:webHidden/>
              </w:rPr>
              <w:tab/>
            </w:r>
            <w:r w:rsidR="00192F5A">
              <w:rPr>
                <w:noProof/>
                <w:webHidden/>
              </w:rPr>
              <w:fldChar w:fldCharType="begin"/>
            </w:r>
            <w:r w:rsidR="00192F5A">
              <w:rPr>
                <w:noProof/>
                <w:webHidden/>
              </w:rPr>
              <w:instrText xml:space="preserve"> PAGEREF _Toc164679958 \h </w:instrText>
            </w:r>
            <w:r w:rsidR="00192F5A">
              <w:rPr>
                <w:noProof/>
                <w:webHidden/>
              </w:rPr>
            </w:r>
            <w:r w:rsidR="00192F5A">
              <w:rPr>
                <w:noProof/>
                <w:webHidden/>
              </w:rPr>
              <w:fldChar w:fldCharType="separate"/>
            </w:r>
            <w:r w:rsidR="00192F5A">
              <w:rPr>
                <w:noProof/>
                <w:webHidden/>
              </w:rPr>
              <w:t>6</w:t>
            </w:r>
            <w:r w:rsidR="00192F5A">
              <w:rPr>
                <w:noProof/>
                <w:webHidden/>
              </w:rPr>
              <w:fldChar w:fldCharType="end"/>
            </w:r>
          </w:hyperlink>
        </w:p>
        <w:p w14:paraId="39A5D060" w14:textId="531D4362"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59" w:history="1">
            <w:r w:rsidR="00192F5A" w:rsidRPr="009F4A2D">
              <w:rPr>
                <w:rStyle w:val="Hyperlink"/>
                <w:noProof/>
              </w:rPr>
              <w:t>Proposal</w:t>
            </w:r>
            <w:r w:rsidR="00192F5A">
              <w:rPr>
                <w:noProof/>
                <w:webHidden/>
              </w:rPr>
              <w:tab/>
            </w:r>
            <w:r w:rsidR="00192F5A">
              <w:rPr>
                <w:noProof/>
                <w:webHidden/>
              </w:rPr>
              <w:fldChar w:fldCharType="begin"/>
            </w:r>
            <w:r w:rsidR="00192F5A">
              <w:rPr>
                <w:noProof/>
                <w:webHidden/>
              </w:rPr>
              <w:instrText xml:space="preserve"> PAGEREF _Toc164679959 \h </w:instrText>
            </w:r>
            <w:r w:rsidR="00192F5A">
              <w:rPr>
                <w:noProof/>
                <w:webHidden/>
              </w:rPr>
            </w:r>
            <w:r w:rsidR="00192F5A">
              <w:rPr>
                <w:noProof/>
                <w:webHidden/>
              </w:rPr>
              <w:fldChar w:fldCharType="separate"/>
            </w:r>
            <w:r w:rsidR="00192F5A">
              <w:rPr>
                <w:noProof/>
                <w:webHidden/>
              </w:rPr>
              <w:t>6</w:t>
            </w:r>
            <w:r w:rsidR="00192F5A">
              <w:rPr>
                <w:noProof/>
                <w:webHidden/>
              </w:rPr>
              <w:fldChar w:fldCharType="end"/>
            </w:r>
          </w:hyperlink>
        </w:p>
        <w:p w14:paraId="2937D868" w14:textId="6C1217D4"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60" w:history="1">
            <w:r w:rsidR="00192F5A" w:rsidRPr="009F4A2D">
              <w:rPr>
                <w:rStyle w:val="Hyperlink"/>
                <w:noProof/>
              </w:rPr>
              <w:t>CAS number</w:t>
            </w:r>
            <w:r w:rsidR="00192F5A">
              <w:rPr>
                <w:noProof/>
                <w:webHidden/>
              </w:rPr>
              <w:tab/>
            </w:r>
            <w:r w:rsidR="00192F5A">
              <w:rPr>
                <w:noProof/>
                <w:webHidden/>
              </w:rPr>
              <w:fldChar w:fldCharType="begin"/>
            </w:r>
            <w:r w:rsidR="00192F5A">
              <w:rPr>
                <w:noProof/>
                <w:webHidden/>
              </w:rPr>
              <w:instrText xml:space="preserve"> PAGEREF _Toc164679960 \h </w:instrText>
            </w:r>
            <w:r w:rsidR="00192F5A">
              <w:rPr>
                <w:noProof/>
                <w:webHidden/>
              </w:rPr>
            </w:r>
            <w:r w:rsidR="00192F5A">
              <w:rPr>
                <w:noProof/>
                <w:webHidden/>
              </w:rPr>
              <w:fldChar w:fldCharType="separate"/>
            </w:r>
            <w:r w:rsidR="00192F5A">
              <w:rPr>
                <w:noProof/>
                <w:webHidden/>
              </w:rPr>
              <w:t>6</w:t>
            </w:r>
            <w:r w:rsidR="00192F5A">
              <w:rPr>
                <w:noProof/>
                <w:webHidden/>
              </w:rPr>
              <w:fldChar w:fldCharType="end"/>
            </w:r>
          </w:hyperlink>
        </w:p>
        <w:p w14:paraId="5E75C5FA" w14:textId="78B16DD5"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61" w:history="1">
            <w:r w:rsidR="00192F5A" w:rsidRPr="009F4A2D">
              <w:rPr>
                <w:rStyle w:val="Hyperlink"/>
                <w:noProof/>
              </w:rPr>
              <w:t>Alternative names</w:t>
            </w:r>
            <w:r w:rsidR="00192F5A">
              <w:rPr>
                <w:noProof/>
                <w:webHidden/>
              </w:rPr>
              <w:tab/>
            </w:r>
            <w:r w:rsidR="00192F5A">
              <w:rPr>
                <w:noProof/>
                <w:webHidden/>
              </w:rPr>
              <w:fldChar w:fldCharType="begin"/>
            </w:r>
            <w:r w:rsidR="00192F5A">
              <w:rPr>
                <w:noProof/>
                <w:webHidden/>
              </w:rPr>
              <w:instrText xml:space="preserve"> PAGEREF _Toc164679961 \h </w:instrText>
            </w:r>
            <w:r w:rsidR="00192F5A">
              <w:rPr>
                <w:noProof/>
                <w:webHidden/>
              </w:rPr>
            </w:r>
            <w:r w:rsidR="00192F5A">
              <w:rPr>
                <w:noProof/>
                <w:webHidden/>
              </w:rPr>
              <w:fldChar w:fldCharType="separate"/>
            </w:r>
            <w:r w:rsidR="00192F5A">
              <w:rPr>
                <w:noProof/>
                <w:webHidden/>
              </w:rPr>
              <w:t>6</w:t>
            </w:r>
            <w:r w:rsidR="00192F5A">
              <w:rPr>
                <w:noProof/>
                <w:webHidden/>
              </w:rPr>
              <w:fldChar w:fldCharType="end"/>
            </w:r>
          </w:hyperlink>
        </w:p>
        <w:p w14:paraId="6738EA80" w14:textId="51691719"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62" w:history="1">
            <w:r w:rsidR="00192F5A" w:rsidRPr="009F4A2D">
              <w:rPr>
                <w:rStyle w:val="Hyperlink"/>
                <w:noProof/>
              </w:rPr>
              <w:t>Applicant</w:t>
            </w:r>
            <w:r w:rsidR="00192F5A">
              <w:rPr>
                <w:noProof/>
                <w:webHidden/>
              </w:rPr>
              <w:tab/>
            </w:r>
            <w:r w:rsidR="00192F5A">
              <w:rPr>
                <w:noProof/>
                <w:webHidden/>
              </w:rPr>
              <w:fldChar w:fldCharType="begin"/>
            </w:r>
            <w:r w:rsidR="00192F5A">
              <w:rPr>
                <w:noProof/>
                <w:webHidden/>
              </w:rPr>
              <w:instrText xml:space="preserve"> PAGEREF _Toc164679962 \h </w:instrText>
            </w:r>
            <w:r w:rsidR="00192F5A">
              <w:rPr>
                <w:noProof/>
                <w:webHidden/>
              </w:rPr>
            </w:r>
            <w:r w:rsidR="00192F5A">
              <w:rPr>
                <w:noProof/>
                <w:webHidden/>
              </w:rPr>
              <w:fldChar w:fldCharType="separate"/>
            </w:r>
            <w:r w:rsidR="00192F5A">
              <w:rPr>
                <w:noProof/>
                <w:webHidden/>
              </w:rPr>
              <w:t>6</w:t>
            </w:r>
            <w:r w:rsidR="00192F5A">
              <w:rPr>
                <w:noProof/>
                <w:webHidden/>
              </w:rPr>
              <w:fldChar w:fldCharType="end"/>
            </w:r>
          </w:hyperlink>
        </w:p>
        <w:p w14:paraId="0D8912CF" w14:textId="5A809A02"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63" w:history="1">
            <w:r w:rsidR="00192F5A" w:rsidRPr="009F4A2D">
              <w:rPr>
                <w:rStyle w:val="Hyperlink"/>
                <w:noProof/>
              </w:rPr>
              <w:t>Proposed Scheduling</w:t>
            </w:r>
            <w:r w:rsidR="00192F5A">
              <w:rPr>
                <w:noProof/>
                <w:webHidden/>
              </w:rPr>
              <w:tab/>
            </w:r>
            <w:r w:rsidR="00192F5A">
              <w:rPr>
                <w:noProof/>
                <w:webHidden/>
              </w:rPr>
              <w:fldChar w:fldCharType="begin"/>
            </w:r>
            <w:r w:rsidR="00192F5A">
              <w:rPr>
                <w:noProof/>
                <w:webHidden/>
              </w:rPr>
              <w:instrText xml:space="preserve"> PAGEREF _Toc164679963 \h </w:instrText>
            </w:r>
            <w:r w:rsidR="00192F5A">
              <w:rPr>
                <w:noProof/>
                <w:webHidden/>
              </w:rPr>
            </w:r>
            <w:r w:rsidR="00192F5A">
              <w:rPr>
                <w:noProof/>
                <w:webHidden/>
              </w:rPr>
              <w:fldChar w:fldCharType="separate"/>
            </w:r>
            <w:r w:rsidR="00192F5A">
              <w:rPr>
                <w:noProof/>
                <w:webHidden/>
              </w:rPr>
              <w:t>6</w:t>
            </w:r>
            <w:r w:rsidR="00192F5A">
              <w:rPr>
                <w:noProof/>
                <w:webHidden/>
              </w:rPr>
              <w:fldChar w:fldCharType="end"/>
            </w:r>
          </w:hyperlink>
        </w:p>
        <w:p w14:paraId="5EA34EA9" w14:textId="33DDD6E6"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64" w:history="1">
            <w:r w:rsidR="00192F5A" w:rsidRPr="009F4A2D">
              <w:rPr>
                <w:rStyle w:val="Hyperlink"/>
                <w:noProof/>
              </w:rPr>
              <w:t>Background</w:t>
            </w:r>
            <w:r w:rsidR="00192F5A">
              <w:rPr>
                <w:noProof/>
                <w:webHidden/>
              </w:rPr>
              <w:tab/>
            </w:r>
            <w:r w:rsidR="00192F5A">
              <w:rPr>
                <w:noProof/>
                <w:webHidden/>
              </w:rPr>
              <w:fldChar w:fldCharType="begin"/>
            </w:r>
            <w:r w:rsidR="00192F5A">
              <w:rPr>
                <w:noProof/>
                <w:webHidden/>
              </w:rPr>
              <w:instrText xml:space="preserve"> PAGEREF _Toc164679964 \h </w:instrText>
            </w:r>
            <w:r w:rsidR="00192F5A">
              <w:rPr>
                <w:noProof/>
                <w:webHidden/>
              </w:rPr>
            </w:r>
            <w:r w:rsidR="00192F5A">
              <w:rPr>
                <w:noProof/>
                <w:webHidden/>
              </w:rPr>
              <w:fldChar w:fldCharType="separate"/>
            </w:r>
            <w:r w:rsidR="00192F5A">
              <w:rPr>
                <w:noProof/>
                <w:webHidden/>
              </w:rPr>
              <w:t>7</w:t>
            </w:r>
            <w:r w:rsidR="00192F5A">
              <w:rPr>
                <w:noProof/>
                <w:webHidden/>
              </w:rPr>
              <w:fldChar w:fldCharType="end"/>
            </w:r>
          </w:hyperlink>
        </w:p>
        <w:p w14:paraId="3A0DA3D4" w14:textId="6DA40EFA"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65" w:history="1">
            <w:r w:rsidR="00192F5A" w:rsidRPr="009F4A2D">
              <w:rPr>
                <w:rStyle w:val="Hyperlink"/>
                <w:noProof/>
              </w:rPr>
              <w:t>Summary of applicant’s reasons for the proposal</w:t>
            </w:r>
            <w:r w:rsidR="00192F5A">
              <w:rPr>
                <w:noProof/>
                <w:webHidden/>
              </w:rPr>
              <w:tab/>
            </w:r>
            <w:r w:rsidR="00192F5A">
              <w:rPr>
                <w:noProof/>
                <w:webHidden/>
              </w:rPr>
              <w:fldChar w:fldCharType="begin"/>
            </w:r>
            <w:r w:rsidR="00192F5A">
              <w:rPr>
                <w:noProof/>
                <w:webHidden/>
              </w:rPr>
              <w:instrText xml:space="preserve"> PAGEREF _Toc164679965 \h </w:instrText>
            </w:r>
            <w:r w:rsidR="00192F5A">
              <w:rPr>
                <w:noProof/>
                <w:webHidden/>
              </w:rPr>
            </w:r>
            <w:r w:rsidR="00192F5A">
              <w:rPr>
                <w:noProof/>
                <w:webHidden/>
              </w:rPr>
              <w:fldChar w:fldCharType="separate"/>
            </w:r>
            <w:r w:rsidR="00192F5A">
              <w:rPr>
                <w:noProof/>
                <w:webHidden/>
              </w:rPr>
              <w:t>7</w:t>
            </w:r>
            <w:r w:rsidR="00192F5A">
              <w:rPr>
                <w:noProof/>
                <w:webHidden/>
              </w:rPr>
              <w:fldChar w:fldCharType="end"/>
            </w:r>
          </w:hyperlink>
        </w:p>
        <w:p w14:paraId="3852CE36" w14:textId="176B6D9B"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66" w:history="1">
            <w:r w:rsidR="00192F5A" w:rsidRPr="009F4A2D">
              <w:rPr>
                <w:rStyle w:val="Hyperlink"/>
                <w:noProof/>
              </w:rPr>
              <w:t>Key uses / expected use</w:t>
            </w:r>
            <w:r w:rsidR="00192F5A">
              <w:rPr>
                <w:noProof/>
                <w:webHidden/>
              </w:rPr>
              <w:tab/>
            </w:r>
            <w:r w:rsidR="00192F5A">
              <w:rPr>
                <w:noProof/>
                <w:webHidden/>
              </w:rPr>
              <w:fldChar w:fldCharType="begin"/>
            </w:r>
            <w:r w:rsidR="00192F5A">
              <w:rPr>
                <w:noProof/>
                <w:webHidden/>
              </w:rPr>
              <w:instrText xml:space="preserve"> PAGEREF _Toc164679966 \h </w:instrText>
            </w:r>
            <w:r w:rsidR="00192F5A">
              <w:rPr>
                <w:noProof/>
                <w:webHidden/>
              </w:rPr>
            </w:r>
            <w:r w:rsidR="00192F5A">
              <w:rPr>
                <w:noProof/>
                <w:webHidden/>
              </w:rPr>
              <w:fldChar w:fldCharType="separate"/>
            </w:r>
            <w:r w:rsidR="00192F5A">
              <w:rPr>
                <w:noProof/>
                <w:webHidden/>
              </w:rPr>
              <w:t>7</w:t>
            </w:r>
            <w:r w:rsidR="00192F5A">
              <w:rPr>
                <w:noProof/>
                <w:webHidden/>
              </w:rPr>
              <w:fldChar w:fldCharType="end"/>
            </w:r>
          </w:hyperlink>
        </w:p>
        <w:p w14:paraId="5BBDD16C" w14:textId="588E45B7"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67" w:history="1">
            <w:r w:rsidR="00192F5A" w:rsidRPr="009F4A2D">
              <w:rPr>
                <w:rStyle w:val="Hyperlink"/>
                <w:noProof/>
              </w:rPr>
              <w:t>Australian regulations</w:t>
            </w:r>
            <w:r w:rsidR="00192F5A">
              <w:rPr>
                <w:noProof/>
                <w:webHidden/>
              </w:rPr>
              <w:tab/>
            </w:r>
            <w:r w:rsidR="00192F5A">
              <w:rPr>
                <w:noProof/>
                <w:webHidden/>
              </w:rPr>
              <w:fldChar w:fldCharType="begin"/>
            </w:r>
            <w:r w:rsidR="00192F5A">
              <w:rPr>
                <w:noProof/>
                <w:webHidden/>
              </w:rPr>
              <w:instrText xml:space="preserve"> PAGEREF _Toc164679967 \h </w:instrText>
            </w:r>
            <w:r w:rsidR="00192F5A">
              <w:rPr>
                <w:noProof/>
                <w:webHidden/>
              </w:rPr>
            </w:r>
            <w:r w:rsidR="00192F5A">
              <w:rPr>
                <w:noProof/>
                <w:webHidden/>
              </w:rPr>
              <w:fldChar w:fldCharType="separate"/>
            </w:r>
            <w:r w:rsidR="00192F5A">
              <w:rPr>
                <w:noProof/>
                <w:webHidden/>
              </w:rPr>
              <w:t>7</w:t>
            </w:r>
            <w:r w:rsidR="00192F5A">
              <w:rPr>
                <w:noProof/>
                <w:webHidden/>
              </w:rPr>
              <w:fldChar w:fldCharType="end"/>
            </w:r>
          </w:hyperlink>
        </w:p>
        <w:p w14:paraId="1C17F3FA" w14:textId="1EF99961"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68" w:history="1">
            <w:r w:rsidR="00192F5A" w:rsidRPr="009F4A2D">
              <w:rPr>
                <w:rStyle w:val="Hyperlink"/>
                <w:noProof/>
              </w:rPr>
              <w:t>International regulations</w:t>
            </w:r>
            <w:r w:rsidR="00192F5A">
              <w:rPr>
                <w:noProof/>
                <w:webHidden/>
              </w:rPr>
              <w:tab/>
            </w:r>
            <w:r w:rsidR="00192F5A">
              <w:rPr>
                <w:noProof/>
                <w:webHidden/>
              </w:rPr>
              <w:fldChar w:fldCharType="begin"/>
            </w:r>
            <w:r w:rsidR="00192F5A">
              <w:rPr>
                <w:noProof/>
                <w:webHidden/>
              </w:rPr>
              <w:instrText xml:space="preserve"> PAGEREF _Toc164679968 \h </w:instrText>
            </w:r>
            <w:r w:rsidR="00192F5A">
              <w:rPr>
                <w:noProof/>
                <w:webHidden/>
              </w:rPr>
            </w:r>
            <w:r w:rsidR="00192F5A">
              <w:rPr>
                <w:noProof/>
                <w:webHidden/>
              </w:rPr>
              <w:fldChar w:fldCharType="separate"/>
            </w:r>
            <w:r w:rsidR="00192F5A">
              <w:rPr>
                <w:noProof/>
                <w:webHidden/>
              </w:rPr>
              <w:t>8</w:t>
            </w:r>
            <w:r w:rsidR="00192F5A">
              <w:rPr>
                <w:noProof/>
                <w:webHidden/>
              </w:rPr>
              <w:fldChar w:fldCharType="end"/>
            </w:r>
          </w:hyperlink>
        </w:p>
        <w:p w14:paraId="5DF78C32" w14:textId="04D9DB60" w:rsidR="00192F5A" w:rsidRDefault="00000000">
          <w:pPr>
            <w:pStyle w:val="TOC1"/>
            <w:tabs>
              <w:tab w:val="left" w:pos="425"/>
            </w:tabs>
            <w:rPr>
              <w:rFonts w:asciiTheme="minorHAnsi" w:eastAsiaTheme="minorEastAsia" w:hAnsiTheme="minorHAnsi" w:cstheme="minorBidi"/>
              <w:b w:val="0"/>
              <w:noProof/>
              <w:color w:val="auto"/>
              <w:kern w:val="2"/>
              <w:sz w:val="22"/>
              <w:szCs w:val="22"/>
              <w:lang w:eastAsia="en-AU"/>
              <w14:ligatures w14:val="standardContextual"/>
            </w:rPr>
          </w:pPr>
          <w:hyperlink w:anchor="_Toc164679969" w:history="1">
            <w:r w:rsidR="00192F5A" w:rsidRPr="009F4A2D">
              <w:rPr>
                <w:rStyle w:val="Hyperlink"/>
                <w:noProof/>
              </w:rPr>
              <w:t>2</w:t>
            </w:r>
            <w:r w:rsidR="00192F5A">
              <w:rPr>
                <w:rFonts w:asciiTheme="minorHAnsi" w:eastAsiaTheme="minorEastAsia" w:hAnsiTheme="minorHAnsi" w:cstheme="minorBidi"/>
                <w:b w:val="0"/>
                <w:noProof/>
                <w:color w:val="auto"/>
                <w:kern w:val="2"/>
                <w:sz w:val="22"/>
                <w:szCs w:val="22"/>
                <w:lang w:eastAsia="en-AU"/>
                <w14:ligatures w14:val="standardContextual"/>
              </w:rPr>
              <w:tab/>
            </w:r>
            <w:r w:rsidR="00192F5A" w:rsidRPr="009F4A2D">
              <w:rPr>
                <w:rStyle w:val="Hyperlink"/>
                <w:noProof/>
              </w:rPr>
              <w:t>Proposed amendments referred for scheduling advice to ACCS meeting #39</w:t>
            </w:r>
            <w:r w:rsidR="00192F5A">
              <w:rPr>
                <w:noProof/>
                <w:webHidden/>
              </w:rPr>
              <w:tab/>
            </w:r>
            <w:r w:rsidR="00192F5A">
              <w:rPr>
                <w:noProof/>
                <w:webHidden/>
              </w:rPr>
              <w:fldChar w:fldCharType="begin"/>
            </w:r>
            <w:r w:rsidR="00192F5A">
              <w:rPr>
                <w:noProof/>
                <w:webHidden/>
              </w:rPr>
              <w:instrText xml:space="preserve"> PAGEREF _Toc164679969 \h </w:instrText>
            </w:r>
            <w:r w:rsidR="00192F5A">
              <w:rPr>
                <w:noProof/>
                <w:webHidden/>
              </w:rPr>
            </w:r>
            <w:r w:rsidR="00192F5A">
              <w:rPr>
                <w:noProof/>
                <w:webHidden/>
              </w:rPr>
              <w:fldChar w:fldCharType="separate"/>
            </w:r>
            <w:r w:rsidR="00192F5A">
              <w:rPr>
                <w:noProof/>
                <w:webHidden/>
              </w:rPr>
              <w:t>9</w:t>
            </w:r>
            <w:r w:rsidR="00192F5A">
              <w:rPr>
                <w:noProof/>
                <w:webHidden/>
              </w:rPr>
              <w:fldChar w:fldCharType="end"/>
            </w:r>
          </w:hyperlink>
        </w:p>
        <w:p w14:paraId="7CCA33DA" w14:textId="1A4A7EC9" w:rsidR="00192F5A" w:rsidRDefault="00000000">
          <w:pPr>
            <w:pStyle w:val="TOC2"/>
            <w:tabs>
              <w:tab w:val="left" w:pos="1276"/>
            </w:tabs>
            <w:rPr>
              <w:rFonts w:asciiTheme="minorHAnsi" w:eastAsiaTheme="minorEastAsia" w:hAnsiTheme="minorHAnsi" w:cstheme="minorBidi"/>
              <w:b w:val="0"/>
              <w:noProof/>
              <w:color w:val="auto"/>
              <w:kern w:val="2"/>
              <w:sz w:val="22"/>
              <w:szCs w:val="22"/>
              <w:lang w:eastAsia="en-AU"/>
              <w14:ligatures w14:val="standardContextual"/>
            </w:rPr>
          </w:pPr>
          <w:hyperlink w:anchor="_Toc164679970" w:history="1">
            <w:r w:rsidR="00192F5A" w:rsidRPr="009F4A2D">
              <w:rPr>
                <w:rStyle w:val="Hyperlink"/>
                <w:noProof/>
              </w:rPr>
              <w:t>2.1</w:t>
            </w:r>
            <w:r w:rsidR="00192F5A">
              <w:rPr>
                <w:rFonts w:asciiTheme="minorHAnsi" w:eastAsiaTheme="minorEastAsia" w:hAnsiTheme="minorHAnsi" w:cstheme="minorBidi"/>
                <w:b w:val="0"/>
                <w:noProof/>
                <w:color w:val="auto"/>
                <w:kern w:val="2"/>
                <w:sz w:val="22"/>
                <w:szCs w:val="22"/>
                <w:lang w:eastAsia="en-AU"/>
                <w14:ligatures w14:val="standardContextual"/>
              </w:rPr>
              <w:tab/>
            </w:r>
            <w:r w:rsidR="00192F5A" w:rsidRPr="009F4A2D">
              <w:rPr>
                <w:rStyle w:val="Hyperlink"/>
                <w:noProof/>
              </w:rPr>
              <w:t>Allyl esters</w:t>
            </w:r>
            <w:r w:rsidR="00192F5A">
              <w:rPr>
                <w:noProof/>
                <w:webHidden/>
              </w:rPr>
              <w:tab/>
            </w:r>
            <w:r w:rsidR="00192F5A">
              <w:rPr>
                <w:noProof/>
                <w:webHidden/>
              </w:rPr>
              <w:fldChar w:fldCharType="begin"/>
            </w:r>
            <w:r w:rsidR="00192F5A">
              <w:rPr>
                <w:noProof/>
                <w:webHidden/>
              </w:rPr>
              <w:instrText xml:space="preserve"> PAGEREF _Toc164679970 \h </w:instrText>
            </w:r>
            <w:r w:rsidR="00192F5A">
              <w:rPr>
                <w:noProof/>
                <w:webHidden/>
              </w:rPr>
            </w:r>
            <w:r w:rsidR="00192F5A">
              <w:rPr>
                <w:noProof/>
                <w:webHidden/>
              </w:rPr>
              <w:fldChar w:fldCharType="separate"/>
            </w:r>
            <w:r w:rsidR="00192F5A">
              <w:rPr>
                <w:noProof/>
                <w:webHidden/>
              </w:rPr>
              <w:t>9</w:t>
            </w:r>
            <w:r w:rsidR="00192F5A">
              <w:rPr>
                <w:noProof/>
                <w:webHidden/>
              </w:rPr>
              <w:fldChar w:fldCharType="end"/>
            </w:r>
          </w:hyperlink>
        </w:p>
        <w:p w14:paraId="74341C4A" w14:textId="7DF15419"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71" w:history="1">
            <w:r w:rsidR="00192F5A" w:rsidRPr="009F4A2D">
              <w:rPr>
                <w:rStyle w:val="Hyperlink"/>
                <w:noProof/>
              </w:rPr>
              <w:t>Proposal</w:t>
            </w:r>
            <w:r w:rsidR="00192F5A">
              <w:rPr>
                <w:noProof/>
                <w:webHidden/>
              </w:rPr>
              <w:tab/>
            </w:r>
            <w:r w:rsidR="00192F5A">
              <w:rPr>
                <w:noProof/>
                <w:webHidden/>
              </w:rPr>
              <w:fldChar w:fldCharType="begin"/>
            </w:r>
            <w:r w:rsidR="00192F5A">
              <w:rPr>
                <w:noProof/>
                <w:webHidden/>
              </w:rPr>
              <w:instrText xml:space="preserve"> PAGEREF _Toc164679971 \h </w:instrText>
            </w:r>
            <w:r w:rsidR="00192F5A">
              <w:rPr>
                <w:noProof/>
                <w:webHidden/>
              </w:rPr>
            </w:r>
            <w:r w:rsidR="00192F5A">
              <w:rPr>
                <w:noProof/>
                <w:webHidden/>
              </w:rPr>
              <w:fldChar w:fldCharType="separate"/>
            </w:r>
            <w:r w:rsidR="00192F5A">
              <w:rPr>
                <w:noProof/>
                <w:webHidden/>
              </w:rPr>
              <w:t>9</w:t>
            </w:r>
            <w:r w:rsidR="00192F5A">
              <w:rPr>
                <w:noProof/>
                <w:webHidden/>
              </w:rPr>
              <w:fldChar w:fldCharType="end"/>
            </w:r>
          </w:hyperlink>
        </w:p>
        <w:p w14:paraId="0E2E4AE2" w14:textId="1A28B8B7"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72" w:history="1">
            <w:r w:rsidR="00192F5A" w:rsidRPr="009F4A2D">
              <w:rPr>
                <w:rStyle w:val="Hyperlink"/>
                <w:noProof/>
              </w:rPr>
              <w:t>CAS number</w:t>
            </w:r>
            <w:r w:rsidR="00192F5A">
              <w:rPr>
                <w:noProof/>
                <w:webHidden/>
              </w:rPr>
              <w:tab/>
            </w:r>
            <w:r w:rsidR="00192F5A">
              <w:rPr>
                <w:noProof/>
                <w:webHidden/>
              </w:rPr>
              <w:fldChar w:fldCharType="begin"/>
            </w:r>
            <w:r w:rsidR="00192F5A">
              <w:rPr>
                <w:noProof/>
                <w:webHidden/>
              </w:rPr>
              <w:instrText xml:space="preserve"> PAGEREF _Toc164679972 \h </w:instrText>
            </w:r>
            <w:r w:rsidR="00192F5A">
              <w:rPr>
                <w:noProof/>
                <w:webHidden/>
              </w:rPr>
            </w:r>
            <w:r w:rsidR="00192F5A">
              <w:rPr>
                <w:noProof/>
                <w:webHidden/>
              </w:rPr>
              <w:fldChar w:fldCharType="separate"/>
            </w:r>
            <w:r w:rsidR="00192F5A">
              <w:rPr>
                <w:noProof/>
                <w:webHidden/>
              </w:rPr>
              <w:t>9</w:t>
            </w:r>
            <w:r w:rsidR="00192F5A">
              <w:rPr>
                <w:noProof/>
                <w:webHidden/>
              </w:rPr>
              <w:fldChar w:fldCharType="end"/>
            </w:r>
          </w:hyperlink>
        </w:p>
        <w:p w14:paraId="20FB674B" w14:textId="6ADFAD7E"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73" w:history="1">
            <w:r w:rsidR="00192F5A" w:rsidRPr="009F4A2D">
              <w:rPr>
                <w:rStyle w:val="Hyperlink"/>
                <w:noProof/>
              </w:rPr>
              <w:t>Alternative names</w:t>
            </w:r>
            <w:r w:rsidR="00192F5A">
              <w:rPr>
                <w:noProof/>
                <w:webHidden/>
              </w:rPr>
              <w:tab/>
            </w:r>
            <w:r w:rsidR="00192F5A">
              <w:rPr>
                <w:noProof/>
                <w:webHidden/>
              </w:rPr>
              <w:fldChar w:fldCharType="begin"/>
            </w:r>
            <w:r w:rsidR="00192F5A">
              <w:rPr>
                <w:noProof/>
                <w:webHidden/>
              </w:rPr>
              <w:instrText xml:space="preserve"> PAGEREF _Toc164679973 \h </w:instrText>
            </w:r>
            <w:r w:rsidR="00192F5A">
              <w:rPr>
                <w:noProof/>
                <w:webHidden/>
              </w:rPr>
            </w:r>
            <w:r w:rsidR="00192F5A">
              <w:rPr>
                <w:noProof/>
                <w:webHidden/>
              </w:rPr>
              <w:fldChar w:fldCharType="separate"/>
            </w:r>
            <w:r w:rsidR="00192F5A">
              <w:rPr>
                <w:noProof/>
                <w:webHidden/>
              </w:rPr>
              <w:t>9</w:t>
            </w:r>
            <w:r w:rsidR="00192F5A">
              <w:rPr>
                <w:noProof/>
                <w:webHidden/>
              </w:rPr>
              <w:fldChar w:fldCharType="end"/>
            </w:r>
          </w:hyperlink>
        </w:p>
        <w:p w14:paraId="67B65BA5" w14:textId="5B7F1159"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74" w:history="1">
            <w:r w:rsidR="00192F5A" w:rsidRPr="009F4A2D">
              <w:rPr>
                <w:rStyle w:val="Hyperlink"/>
                <w:noProof/>
              </w:rPr>
              <w:t>Proposed Scheduling</w:t>
            </w:r>
            <w:r w:rsidR="00192F5A">
              <w:rPr>
                <w:noProof/>
                <w:webHidden/>
              </w:rPr>
              <w:tab/>
            </w:r>
            <w:r w:rsidR="00192F5A">
              <w:rPr>
                <w:noProof/>
                <w:webHidden/>
              </w:rPr>
              <w:fldChar w:fldCharType="begin"/>
            </w:r>
            <w:r w:rsidR="00192F5A">
              <w:rPr>
                <w:noProof/>
                <w:webHidden/>
              </w:rPr>
              <w:instrText xml:space="preserve"> PAGEREF _Toc164679974 \h </w:instrText>
            </w:r>
            <w:r w:rsidR="00192F5A">
              <w:rPr>
                <w:noProof/>
                <w:webHidden/>
              </w:rPr>
            </w:r>
            <w:r w:rsidR="00192F5A">
              <w:rPr>
                <w:noProof/>
                <w:webHidden/>
              </w:rPr>
              <w:fldChar w:fldCharType="separate"/>
            </w:r>
            <w:r w:rsidR="00192F5A">
              <w:rPr>
                <w:noProof/>
                <w:webHidden/>
              </w:rPr>
              <w:t>9</w:t>
            </w:r>
            <w:r w:rsidR="00192F5A">
              <w:rPr>
                <w:noProof/>
                <w:webHidden/>
              </w:rPr>
              <w:fldChar w:fldCharType="end"/>
            </w:r>
          </w:hyperlink>
        </w:p>
        <w:p w14:paraId="59E6BA02" w14:textId="33CDB065"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75" w:history="1">
            <w:r w:rsidR="00192F5A" w:rsidRPr="009F4A2D">
              <w:rPr>
                <w:rStyle w:val="Hyperlink"/>
                <w:noProof/>
              </w:rPr>
              <w:t>Background</w:t>
            </w:r>
            <w:r w:rsidR="00192F5A">
              <w:rPr>
                <w:noProof/>
                <w:webHidden/>
              </w:rPr>
              <w:tab/>
            </w:r>
            <w:r w:rsidR="00192F5A">
              <w:rPr>
                <w:noProof/>
                <w:webHidden/>
              </w:rPr>
              <w:fldChar w:fldCharType="begin"/>
            </w:r>
            <w:r w:rsidR="00192F5A">
              <w:rPr>
                <w:noProof/>
                <w:webHidden/>
              </w:rPr>
              <w:instrText xml:space="preserve"> PAGEREF _Toc164679975 \h </w:instrText>
            </w:r>
            <w:r w:rsidR="00192F5A">
              <w:rPr>
                <w:noProof/>
                <w:webHidden/>
              </w:rPr>
            </w:r>
            <w:r w:rsidR="00192F5A">
              <w:rPr>
                <w:noProof/>
                <w:webHidden/>
              </w:rPr>
              <w:fldChar w:fldCharType="separate"/>
            </w:r>
            <w:r w:rsidR="00192F5A">
              <w:rPr>
                <w:noProof/>
                <w:webHidden/>
              </w:rPr>
              <w:t>10</w:t>
            </w:r>
            <w:r w:rsidR="00192F5A">
              <w:rPr>
                <w:noProof/>
                <w:webHidden/>
              </w:rPr>
              <w:fldChar w:fldCharType="end"/>
            </w:r>
          </w:hyperlink>
        </w:p>
        <w:p w14:paraId="037ABC3E" w14:textId="380C4686"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76" w:history="1">
            <w:r w:rsidR="00192F5A" w:rsidRPr="009F4A2D">
              <w:rPr>
                <w:rStyle w:val="Hyperlink"/>
                <w:noProof/>
              </w:rPr>
              <w:t>Summary of reasons for the proposal</w:t>
            </w:r>
            <w:r w:rsidR="00192F5A">
              <w:rPr>
                <w:noProof/>
                <w:webHidden/>
              </w:rPr>
              <w:tab/>
            </w:r>
            <w:r w:rsidR="00192F5A">
              <w:rPr>
                <w:noProof/>
                <w:webHidden/>
              </w:rPr>
              <w:fldChar w:fldCharType="begin"/>
            </w:r>
            <w:r w:rsidR="00192F5A">
              <w:rPr>
                <w:noProof/>
                <w:webHidden/>
              </w:rPr>
              <w:instrText xml:space="preserve"> PAGEREF _Toc164679976 \h </w:instrText>
            </w:r>
            <w:r w:rsidR="00192F5A">
              <w:rPr>
                <w:noProof/>
                <w:webHidden/>
              </w:rPr>
            </w:r>
            <w:r w:rsidR="00192F5A">
              <w:rPr>
                <w:noProof/>
                <w:webHidden/>
              </w:rPr>
              <w:fldChar w:fldCharType="separate"/>
            </w:r>
            <w:r w:rsidR="00192F5A">
              <w:rPr>
                <w:noProof/>
                <w:webHidden/>
              </w:rPr>
              <w:t>10</w:t>
            </w:r>
            <w:r w:rsidR="00192F5A">
              <w:rPr>
                <w:noProof/>
                <w:webHidden/>
              </w:rPr>
              <w:fldChar w:fldCharType="end"/>
            </w:r>
          </w:hyperlink>
        </w:p>
        <w:p w14:paraId="16943E03" w14:textId="2914F4F4"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77" w:history="1">
            <w:r w:rsidR="00192F5A" w:rsidRPr="009F4A2D">
              <w:rPr>
                <w:rStyle w:val="Hyperlink"/>
                <w:noProof/>
              </w:rPr>
              <w:t>Key uses / expected use</w:t>
            </w:r>
            <w:r w:rsidR="00192F5A">
              <w:rPr>
                <w:noProof/>
                <w:webHidden/>
              </w:rPr>
              <w:tab/>
            </w:r>
            <w:r w:rsidR="00192F5A">
              <w:rPr>
                <w:noProof/>
                <w:webHidden/>
              </w:rPr>
              <w:fldChar w:fldCharType="begin"/>
            </w:r>
            <w:r w:rsidR="00192F5A">
              <w:rPr>
                <w:noProof/>
                <w:webHidden/>
              </w:rPr>
              <w:instrText xml:space="preserve"> PAGEREF _Toc164679977 \h </w:instrText>
            </w:r>
            <w:r w:rsidR="00192F5A">
              <w:rPr>
                <w:noProof/>
                <w:webHidden/>
              </w:rPr>
            </w:r>
            <w:r w:rsidR="00192F5A">
              <w:rPr>
                <w:noProof/>
                <w:webHidden/>
              </w:rPr>
              <w:fldChar w:fldCharType="separate"/>
            </w:r>
            <w:r w:rsidR="00192F5A">
              <w:rPr>
                <w:noProof/>
                <w:webHidden/>
              </w:rPr>
              <w:t>11</w:t>
            </w:r>
            <w:r w:rsidR="00192F5A">
              <w:rPr>
                <w:noProof/>
                <w:webHidden/>
              </w:rPr>
              <w:fldChar w:fldCharType="end"/>
            </w:r>
          </w:hyperlink>
        </w:p>
        <w:p w14:paraId="501BC85D" w14:textId="77F442AB"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78" w:history="1">
            <w:r w:rsidR="00192F5A" w:rsidRPr="009F4A2D">
              <w:rPr>
                <w:rStyle w:val="Hyperlink"/>
                <w:noProof/>
              </w:rPr>
              <w:t>Australian regulations</w:t>
            </w:r>
            <w:r w:rsidR="00192F5A">
              <w:rPr>
                <w:noProof/>
                <w:webHidden/>
              </w:rPr>
              <w:tab/>
            </w:r>
            <w:r w:rsidR="00192F5A">
              <w:rPr>
                <w:noProof/>
                <w:webHidden/>
              </w:rPr>
              <w:fldChar w:fldCharType="begin"/>
            </w:r>
            <w:r w:rsidR="00192F5A">
              <w:rPr>
                <w:noProof/>
                <w:webHidden/>
              </w:rPr>
              <w:instrText xml:space="preserve"> PAGEREF _Toc164679978 \h </w:instrText>
            </w:r>
            <w:r w:rsidR="00192F5A">
              <w:rPr>
                <w:noProof/>
                <w:webHidden/>
              </w:rPr>
            </w:r>
            <w:r w:rsidR="00192F5A">
              <w:rPr>
                <w:noProof/>
                <w:webHidden/>
              </w:rPr>
              <w:fldChar w:fldCharType="separate"/>
            </w:r>
            <w:r w:rsidR="00192F5A">
              <w:rPr>
                <w:noProof/>
                <w:webHidden/>
              </w:rPr>
              <w:t>11</w:t>
            </w:r>
            <w:r w:rsidR="00192F5A">
              <w:rPr>
                <w:noProof/>
                <w:webHidden/>
              </w:rPr>
              <w:fldChar w:fldCharType="end"/>
            </w:r>
          </w:hyperlink>
        </w:p>
        <w:p w14:paraId="54E2785E" w14:textId="372EC31B"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79" w:history="1">
            <w:r w:rsidR="00192F5A" w:rsidRPr="009F4A2D">
              <w:rPr>
                <w:rStyle w:val="Hyperlink"/>
                <w:noProof/>
              </w:rPr>
              <w:t>International regulations</w:t>
            </w:r>
            <w:r w:rsidR="00192F5A">
              <w:rPr>
                <w:noProof/>
                <w:webHidden/>
              </w:rPr>
              <w:tab/>
            </w:r>
            <w:r w:rsidR="00192F5A">
              <w:rPr>
                <w:noProof/>
                <w:webHidden/>
              </w:rPr>
              <w:fldChar w:fldCharType="begin"/>
            </w:r>
            <w:r w:rsidR="00192F5A">
              <w:rPr>
                <w:noProof/>
                <w:webHidden/>
              </w:rPr>
              <w:instrText xml:space="preserve"> PAGEREF _Toc164679979 \h </w:instrText>
            </w:r>
            <w:r w:rsidR="00192F5A">
              <w:rPr>
                <w:noProof/>
                <w:webHidden/>
              </w:rPr>
            </w:r>
            <w:r w:rsidR="00192F5A">
              <w:rPr>
                <w:noProof/>
                <w:webHidden/>
              </w:rPr>
              <w:fldChar w:fldCharType="separate"/>
            </w:r>
            <w:r w:rsidR="00192F5A">
              <w:rPr>
                <w:noProof/>
                <w:webHidden/>
              </w:rPr>
              <w:t>12</w:t>
            </w:r>
            <w:r w:rsidR="00192F5A">
              <w:rPr>
                <w:noProof/>
                <w:webHidden/>
              </w:rPr>
              <w:fldChar w:fldCharType="end"/>
            </w:r>
          </w:hyperlink>
        </w:p>
        <w:p w14:paraId="0F308D29" w14:textId="4E734285" w:rsidR="00192F5A" w:rsidRDefault="00000000">
          <w:pPr>
            <w:pStyle w:val="TOC2"/>
            <w:tabs>
              <w:tab w:val="left" w:pos="1276"/>
            </w:tabs>
            <w:rPr>
              <w:rFonts w:asciiTheme="minorHAnsi" w:eastAsiaTheme="minorEastAsia" w:hAnsiTheme="minorHAnsi" w:cstheme="minorBidi"/>
              <w:b w:val="0"/>
              <w:noProof/>
              <w:color w:val="auto"/>
              <w:kern w:val="2"/>
              <w:sz w:val="22"/>
              <w:szCs w:val="22"/>
              <w:lang w:eastAsia="en-AU"/>
              <w14:ligatures w14:val="standardContextual"/>
            </w:rPr>
          </w:pPr>
          <w:hyperlink w:anchor="_Toc164679980" w:history="1">
            <w:r w:rsidR="00192F5A" w:rsidRPr="009F4A2D">
              <w:rPr>
                <w:rStyle w:val="Hyperlink"/>
                <w:noProof/>
              </w:rPr>
              <w:t>2.2</w:t>
            </w:r>
            <w:r w:rsidR="00192F5A">
              <w:rPr>
                <w:rFonts w:asciiTheme="minorHAnsi" w:eastAsiaTheme="minorEastAsia" w:hAnsiTheme="minorHAnsi" w:cstheme="minorBidi"/>
                <w:b w:val="0"/>
                <w:noProof/>
                <w:color w:val="auto"/>
                <w:kern w:val="2"/>
                <w:sz w:val="22"/>
                <w:szCs w:val="22"/>
                <w:lang w:eastAsia="en-AU"/>
                <w14:ligatures w14:val="standardContextual"/>
              </w:rPr>
              <w:tab/>
            </w:r>
            <w:r w:rsidR="00192F5A" w:rsidRPr="009F4A2D">
              <w:rPr>
                <w:rStyle w:val="Hyperlink"/>
                <w:noProof/>
              </w:rPr>
              <w:t>Glyoxylic acid</w:t>
            </w:r>
            <w:r w:rsidR="00192F5A">
              <w:rPr>
                <w:noProof/>
                <w:webHidden/>
              </w:rPr>
              <w:tab/>
            </w:r>
            <w:r w:rsidR="00192F5A">
              <w:rPr>
                <w:noProof/>
                <w:webHidden/>
              </w:rPr>
              <w:fldChar w:fldCharType="begin"/>
            </w:r>
            <w:r w:rsidR="00192F5A">
              <w:rPr>
                <w:noProof/>
                <w:webHidden/>
              </w:rPr>
              <w:instrText xml:space="preserve"> PAGEREF _Toc164679980 \h </w:instrText>
            </w:r>
            <w:r w:rsidR="00192F5A">
              <w:rPr>
                <w:noProof/>
                <w:webHidden/>
              </w:rPr>
            </w:r>
            <w:r w:rsidR="00192F5A">
              <w:rPr>
                <w:noProof/>
                <w:webHidden/>
              </w:rPr>
              <w:fldChar w:fldCharType="separate"/>
            </w:r>
            <w:r w:rsidR="00192F5A">
              <w:rPr>
                <w:noProof/>
                <w:webHidden/>
              </w:rPr>
              <w:t>12</w:t>
            </w:r>
            <w:r w:rsidR="00192F5A">
              <w:rPr>
                <w:noProof/>
                <w:webHidden/>
              </w:rPr>
              <w:fldChar w:fldCharType="end"/>
            </w:r>
          </w:hyperlink>
        </w:p>
        <w:p w14:paraId="54A41DA8" w14:textId="5DB05FCE"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81" w:history="1">
            <w:r w:rsidR="00192F5A" w:rsidRPr="009F4A2D">
              <w:rPr>
                <w:rStyle w:val="Hyperlink"/>
                <w:noProof/>
              </w:rPr>
              <w:t>Proposal</w:t>
            </w:r>
            <w:r w:rsidR="00192F5A">
              <w:rPr>
                <w:noProof/>
                <w:webHidden/>
              </w:rPr>
              <w:tab/>
            </w:r>
            <w:r w:rsidR="00192F5A">
              <w:rPr>
                <w:noProof/>
                <w:webHidden/>
              </w:rPr>
              <w:fldChar w:fldCharType="begin"/>
            </w:r>
            <w:r w:rsidR="00192F5A">
              <w:rPr>
                <w:noProof/>
                <w:webHidden/>
              </w:rPr>
              <w:instrText xml:space="preserve"> PAGEREF _Toc164679981 \h </w:instrText>
            </w:r>
            <w:r w:rsidR="00192F5A">
              <w:rPr>
                <w:noProof/>
                <w:webHidden/>
              </w:rPr>
            </w:r>
            <w:r w:rsidR="00192F5A">
              <w:rPr>
                <w:noProof/>
                <w:webHidden/>
              </w:rPr>
              <w:fldChar w:fldCharType="separate"/>
            </w:r>
            <w:r w:rsidR="00192F5A">
              <w:rPr>
                <w:noProof/>
                <w:webHidden/>
              </w:rPr>
              <w:t>12</w:t>
            </w:r>
            <w:r w:rsidR="00192F5A">
              <w:rPr>
                <w:noProof/>
                <w:webHidden/>
              </w:rPr>
              <w:fldChar w:fldCharType="end"/>
            </w:r>
          </w:hyperlink>
        </w:p>
        <w:p w14:paraId="3712A5FA" w14:textId="5867B33F"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82" w:history="1">
            <w:r w:rsidR="00192F5A" w:rsidRPr="009F4A2D">
              <w:rPr>
                <w:rStyle w:val="Hyperlink"/>
                <w:noProof/>
              </w:rPr>
              <w:t>CAS number</w:t>
            </w:r>
            <w:r w:rsidR="00192F5A">
              <w:rPr>
                <w:noProof/>
                <w:webHidden/>
              </w:rPr>
              <w:tab/>
            </w:r>
            <w:r w:rsidR="00192F5A">
              <w:rPr>
                <w:noProof/>
                <w:webHidden/>
              </w:rPr>
              <w:fldChar w:fldCharType="begin"/>
            </w:r>
            <w:r w:rsidR="00192F5A">
              <w:rPr>
                <w:noProof/>
                <w:webHidden/>
              </w:rPr>
              <w:instrText xml:space="preserve"> PAGEREF _Toc164679982 \h </w:instrText>
            </w:r>
            <w:r w:rsidR="00192F5A">
              <w:rPr>
                <w:noProof/>
                <w:webHidden/>
              </w:rPr>
            </w:r>
            <w:r w:rsidR="00192F5A">
              <w:rPr>
                <w:noProof/>
                <w:webHidden/>
              </w:rPr>
              <w:fldChar w:fldCharType="separate"/>
            </w:r>
            <w:r w:rsidR="00192F5A">
              <w:rPr>
                <w:noProof/>
                <w:webHidden/>
              </w:rPr>
              <w:t>12</w:t>
            </w:r>
            <w:r w:rsidR="00192F5A">
              <w:rPr>
                <w:noProof/>
                <w:webHidden/>
              </w:rPr>
              <w:fldChar w:fldCharType="end"/>
            </w:r>
          </w:hyperlink>
        </w:p>
        <w:p w14:paraId="61762988" w14:textId="6BB03989"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83" w:history="1">
            <w:r w:rsidR="00192F5A" w:rsidRPr="009F4A2D">
              <w:rPr>
                <w:rStyle w:val="Hyperlink"/>
                <w:noProof/>
              </w:rPr>
              <w:t>Alternative names</w:t>
            </w:r>
            <w:r w:rsidR="00192F5A">
              <w:rPr>
                <w:noProof/>
                <w:webHidden/>
              </w:rPr>
              <w:tab/>
            </w:r>
            <w:r w:rsidR="00192F5A">
              <w:rPr>
                <w:noProof/>
                <w:webHidden/>
              </w:rPr>
              <w:fldChar w:fldCharType="begin"/>
            </w:r>
            <w:r w:rsidR="00192F5A">
              <w:rPr>
                <w:noProof/>
                <w:webHidden/>
              </w:rPr>
              <w:instrText xml:space="preserve"> PAGEREF _Toc164679983 \h </w:instrText>
            </w:r>
            <w:r w:rsidR="00192F5A">
              <w:rPr>
                <w:noProof/>
                <w:webHidden/>
              </w:rPr>
            </w:r>
            <w:r w:rsidR="00192F5A">
              <w:rPr>
                <w:noProof/>
                <w:webHidden/>
              </w:rPr>
              <w:fldChar w:fldCharType="separate"/>
            </w:r>
            <w:r w:rsidR="00192F5A">
              <w:rPr>
                <w:noProof/>
                <w:webHidden/>
              </w:rPr>
              <w:t>12</w:t>
            </w:r>
            <w:r w:rsidR="00192F5A">
              <w:rPr>
                <w:noProof/>
                <w:webHidden/>
              </w:rPr>
              <w:fldChar w:fldCharType="end"/>
            </w:r>
          </w:hyperlink>
        </w:p>
        <w:p w14:paraId="0D242BB6" w14:textId="7B14D23A"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84" w:history="1">
            <w:r w:rsidR="00192F5A" w:rsidRPr="009F4A2D">
              <w:rPr>
                <w:rStyle w:val="Hyperlink"/>
                <w:noProof/>
              </w:rPr>
              <w:t>Proposed Scheduling</w:t>
            </w:r>
            <w:r w:rsidR="00192F5A">
              <w:rPr>
                <w:noProof/>
                <w:webHidden/>
              </w:rPr>
              <w:tab/>
            </w:r>
            <w:r w:rsidR="00192F5A">
              <w:rPr>
                <w:noProof/>
                <w:webHidden/>
              </w:rPr>
              <w:fldChar w:fldCharType="begin"/>
            </w:r>
            <w:r w:rsidR="00192F5A">
              <w:rPr>
                <w:noProof/>
                <w:webHidden/>
              </w:rPr>
              <w:instrText xml:space="preserve"> PAGEREF _Toc164679984 \h </w:instrText>
            </w:r>
            <w:r w:rsidR="00192F5A">
              <w:rPr>
                <w:noProof/>
                <w:webHidden/>
              </w:rPr>
            </w:r>
            <w:r w:rsidR="00192F5A">
              <w:rPr>
                <w:noProof/>
                <w:webHidden/>
              </w:rPr>
              <w:fldChar w:fldCharType="separate"/>
            </w:r>
            <w:r w:rsidR="00192F5A">
              <w:rPr>
                <w:noProof/>
                <w:webHidden/>
              </w:rPr>
              <w:t>13</w:t>
            </w:r>
            <w:r w:rsidR="00192F5A">
              <w:rPr>
                <w:noProof/>
                <w:webHidden/>
              </w:rPr>
              <w:fldChar w:fldCharType="end"/>
            </w:r>
          </w:hyperlink>
        </w:p>
        <w:p w14:paraId="3FADAEC6" w14:textId="62B3E4AD"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85" w:history="1">
            <w:r w:rsidR="00192F5A" w:rsidRPr="009F4A2D">
              <w:rPr>
                <w:rStyle w:val="Hyperlink"/>
                <w:noProof/>
              </w:rPr>
              <w:t>Background</w:t>
            </w:r>
            <w:r w:rsidR="00192F5A">
              <w:rPr>
                <w:noProof/>
                <w:webHidden/>
              </w:rPr>
              <w:tab/>
            </w:r>
            <w:r w:rsidR="00192F5A">
              <w:rPr>
                <w:noProof/>
                <w:webHidden/>
              </w:rPr>
              <w:fldChar w:fldCharType="begin"/>
            </w:r>
            <w:r w:rsidR="00192F5A">
              <w:rPr>
                <w:noProof/>
                <w:webHidden/>
              </w:rPr>
              <w:instrText xml:space="preserve"> PAGEREF _Toc164679985 \h </w:instrText>
            </w:r>
            <w:r w:rsidR="00192F5A">
              <w:rPr>
                <w:noProof/>
                <w:webHidden/>
              </w:rPr>
            </w:r>
            <w:r w:rsidR="00192F5A">
              <w:rPr>
                <w:noProof/>
                <w:webHidden/>
              </w:rPr>
              <w:fldChar w:fldCharType="separate"/>
            </w:r>
            <w:r w:rsidR="00192F5A">
              <w:rPr>
                <w:noProof/>
                <w:webHidden/>
              </w:rPr>
              <w:t>13</w:t>
            </w:r>
            <w:r w:rsidR="00192F5A">
              <w:rPr>
                <w:noProof/>
                <w:webHidden/>
              </w:rPr>
              <w:fldChar w:fldCharType="end"/>
            </w:r>
          </w:hyperlink>
        </w:p>
        <w:p w14:paraId="0516AA9D" w14:textId="4E6E93E3"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86" w:history="1">
            <w:r w:rsidR="00192F5A" w:rsidRPr="009F4A2D">
              <w:rPr>
                <w:rStyle w:val="Hyperlink"/>
                <w:noProof/>
              </w:rPr>
              <w:t>Summary of reasons for the proposal</w:t>
            </w:r>
            <w:r w:rsidR="00192F5A">
              <w:rPr>
                <w:noProof/>
                <w:webHidden/>
              </w:rPr>
              <w:tab/>
            </w:r>
            <w:r w:rsidR="00192F5A">
              <w:rPr>
                <w:noProof/>
                <w:webHidden/>
              </w:rPr>
              <w:fldChar w:fldCharType="begin"/>
            </w:r>
            <w:r w:rsidR="00192F5A">
              <w:rPr>
                <w:noProof/>
                <w:webHidden/>
              </w:rPr>
              <w:instrText xml:space="preserve"> PAGEREF _Toc164679986 \h </w:instrText>
            </w:r>
            <w:r w:rsidR="00192F5A">
              <w:rPr>
                <w:noProof/>
                <w:webHidden/>
              </w:rPr>
            </w:r>
            <w:r w:rsidR="00192F5A">
              <w:rPr>
                <w:noProof/>
                <w:webHidden/>
              </w:rPr>
              <w:fldChar w:fldCharType="separate"/>
            </w:r>
            <w:r w:rsidR="00192F5A">
              <w:rPr>
                <w:noProof/>
                <w:webHidden/>
              </w:rPr>
              <w:t>13</w:t>
            </w:r>
            <w:r w:rsidR="00192F5A">
              <w:rPr>
                <w:noProof/>
                <w:webHidden/>
              </w:rPr>
              <w:fldChar w:fldCharType="end"/>
            </w:r>
          </w:hyperlink>
        </w:p>
        <w:p w14:paraId="519C03DA" w14:textId="1E6D4623"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87" w:history="1">
            <w:r w:rsidR="00192F5A" w:rsidRPr="009F4A2D">
              <w:rPr>
                <w:rStyle w:val="Hyperlink"/>
                <w:noProof/>
              </w:rPr>
              <w:t>Key uses / expected use</w:t>
            </w:r>
            <w:r w:rsidR="00192F5A">
              <w:rPr>
                <w:noProof/>
                <w:webHidden/>
              </w:rPr>
              <w:tab/>
            </w:r>
            <w:r w:rsidR="00192F5A">
              <w:rPr>
                <w:noProof/>
                <w:webHidden/>
              </w:rPr>
              <w:fldChar w:fldCharType="begin"/>
            </w:r>
            <w:r w:rsidR="00192F5A">
              <w:rPr>
                <w:noProof/>
                <w:webHidden/>
              </w:rPr>
              <w:instrText xml:space="preserve"> PAGEREF _Toc164679987 \h </w:instrText>
            </w:r>
            <w:r w:rsidR="00192F5A">
              <w:rPr>
                <w:noProof/>
                <w:webHidden/>
              </w:rPr>
            </w:r>
            <w:r w:rsidR="00192F5A">
              <w:rPr>
                <w:noProof/>
                <w:webHidden/>
              </w:rPr>
              <w:fldChar w:fldCharType="separate"/>
            </w:r>
            <w:r w:rsidR="00192F5A">
              <w:rPr>
                <w:noProof/>
                <w:webHidden/>
              </w:rPr>
              <w:t>14</w:t>
            </w:r>
            <w:r w:rsidR="00192F5A">
              <w:rPr>
                <w:noProof/>
                <w:webHidden/>
              </w:rPr>
              <w:fldChar w:fldCharType="end"/>
            </w:r>
          </w:hyperlink>
        </w:p>
        <w:p w14:paraId="694CB296" w14:textId="034ABCD0"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88" w:history="1">
            <w:r w:rsidR="00192F5A" w:rsidRPr="009F4A2D">
              <w:rPr>
                <w:rStyle w:val="Hyperlink"/>
                <w:noProof/>
              </w:rPr>
              <w:t>Australian regulations</w:t>
            </w:r>
            <w:r w:rsidR="00192F5A">
              <w:rPr>
                <w:noProof/>
                <w:webHidden/>
              </w:rPr>
              <w:tab/>
            </w:r>
            <w:r w:rsidR="00192F5A">
              <w:rPr>
                <w:noProof/>
                <w:webHidden/>
              </w:rPr>
              <w:fldChar w:fldCharType="begin"/>
            </w:r>
            <w:r w:rsidR="00192F5A">
              <w:rPr>
                <w:noProof/>
                <w:webHidden/>
              </w:rPr>
              <w:instrText xml:space="preserve"> PAGEREF _Toc164679988 \h </w:instrText>
            </w:r>
            <w:r w:rsidR="00192F5A">
              <w:rPr>
                <w:noProof/>
                <w:webHidden/>
              </w:rPr>
            </w:r>
            <w:r w:rsidR="00192F5A">
              <w:rPr>
                <w:noProof/>
                <w:webHidden/>
              </w:rPr>
              <w:fldChar w:fldCharType="separate"/>
            </w:r>
            <w:r w:rsidR="00192F5A">
              <w:rPr>
                <w:noProof/>
                <w:webHidden/>
              </w:rPr>
              <w:t>14</w:t>
            </w:r>
            <w:r w:rsidR="00192F5A">
              <w:rPr>
                <w:noProof/>
                <w:webHidden/>
              </w:rPr>
              <w:fldChar w:fldCharType="end"/>
            </w:r>
          </w:hyperlink>
        </w:p>
        <w:p w14:paraId="3E6C1004" w14:textId="7F6091F0"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89" w:history="1">
            <w:r w:rsidR="00192F5A" w:rsidRPr="009F4A2D">
              <w:rPr>
                <w:rStyle w:val="Hyperlink"/>
                <w:noProof/>
              </w:rPr>
              <w:t>International regulations</w:t>
            </w:r>
            <w:r w:rsidR="00192F5A">
              <w:rPr>
                <w:noProof/>
                <w:webHidden/>
              </w:rPr>
              <w:tab/>
            </w:r>
            <w:r w:rsidR="00192F5A">
              <w:rPr>
                <w:noProof/>
                <w:webHidden/>
              </w:rPr>
              <w:fldChar w:fldCharType="begin"/>
            </w:r>
            <w:r w:rsidR="00192F5A">
              <w:rPr>
                <w:noProof/>
                <w:webHidden/>
              </w:rPr>
              <w:instrText xml:space="preserve"> PAGEREF _Toc164679989 \h </w:instrText>
            </w:r>
            <w:r w:rsidR="00192F5A">
              <w:rPr>
                <w:noProof/>
                <w:webHidden/>
              </w:rPr>
            </w:r>
            <w:r w:rsidR="00192F5A">
              <w:rPr>
                <w:noProof/>
                <w:webHidden/>
              </w:rPr>
              <w:fldChar w:fldCharType="separate"/>
            </w:r>
            <w:r w:rsidR="00192F5A">
              <w:rPr>
                <w:noProof/>
                <w:webHidden/>
              </w:rPr>
              <w:t>14</w:t>
            </w:r>
            <w:r w:rsidR="00192F5A">
              <w:rPr>
                <w:noProof/>
                <w:webHidden/>
              </w:rPr>
              <w:fldChar w:fldCharType="end"/>
            </w:r>
          </w:hyperlink>
        </w:p>
        <w:p w14:paraId="52AF3607" w14:textId="2F602B9E" w:rsidR="00192F5A" w:rsidRDefault="00000000">
          <w:pPr>
            <w:pStyle w:val="TOC1"/>
            <w:tabs>
              <w:tab w:val="left" w:pos="425"/>
            </w:tabs>
            <w:rPr>
              <w:rFonts w:asciiTheme="minorHAnsi" w:eastAsiaTheme="minorEastAsia" w:hAnsiTheme="minorHAnsi" w:cstheme="minorBidi"/>
              <w:b w:val="0"/>
              <w:noProof/>
              <w:color w:val="auto"/>
              <w:kern w:val="2"/>
              <w:sz w:val="22"/>
              <w:szCs w:val="22"/>
              <w:lang w:eastAsia="en-AU"/>
              <w14:ligatures w14:val="standardContextual"/>
            </w:rPr>
          </w:pPr>
          <w:hyperlink w:anchor="_Toc164679990" w:history="1">
            <w:r w:rsidR="00192F5A" w:rsidRPr="009F4A2D">
              <w:rPr>
                <w:rStyle w:val="Hyperlink"/>
                <w:noProof/>
              </w:rPr>
              <w:t>3</w:t>
            </w:r>
            <w:r w:rsidR="00192F5A">
              <w:rPr>
                <w:rFonts w:asciiTheme="minorHAnsi" w:eastAsiaTheme="minorEastAsia" w:hAnsiTheme="minorHAnsi" w:cstheme="minorBidi"/>
                <w:b w:val="0"/>
                <w:noProof/>
                <w:color w:val="auto"/>
                <w:kern w:val="2"/>
                <w:sz w:val="22"/>
                <w:szCs w:val="22"/>
                <w:lang w:eastAsia="en-AU"/>
                <w14:ligatures w14:val="standardContextual"/>
              </w:rPr>
              <w:tab/>
            </w:r>
            <w:r w:rsidR="00192F5A" w:rsidRPr="009F4A2D">
              <w:rPr>
                <w:rStyle w:val="Hyperlink"/>
                <w:noProof/>
              </w:rPr>
              <w:t>Proposed amendments referred for scheduling advice to the Joint ACMS-ACCS meeting #37</w:t>
            </w:r>
            <w:r w:rsidR="00192F5A">
              <w:rPr>
                <w:noProof/>
                <w:webHidden/>
              </w:rPr>
              <w:tab/>
            </w:r>
            <w:r w:rsidR="00192F5A">
              <w:rPr>
                <w:noProof/>
                <w:webHidden/>
              </w:rPr>
              <w:fldChar w:fldCharType="begin"/>
            </w:r>
            <w:r w:rsidR="00192F5A">
              <w:rPr>
                <w:noProof/>
                <w:webHidden/>
              </w:rPr>
              <w:instrText xml:space="preserve"> PAGEREF _Toc164679990 \h </w:instrText>
            </w:r>
            <w:r w:rsidR="00192F5A">
              <w:rPr>
                <w:noProof/>
                <w:webHidden/>
              </w:rPr>
            </w:r>
            <w:r w:rsidR="00192F5A">
              <w:rPr>
                <w:noProof/>
                <w:webHidden/>
              </w:rPr>
              <w:fldChar w:fldCharType="separate"/>
            </w:r>
            <w:r w:rsidR="00192F5A">
              <w:rPr>
                <w:noProof/>
                <w:webHidden/>
              </w:rPr>
              <w:t>15</w:t>
            </w:r>
            <w:r w:rsidR="00192F5A">
              <w:rPr>
                <w:noProof/>
                <w:webHidden/>
              </w:rPr>
              <w:fldChar w:fldCharType="end"/>
            </w:r>
          </w:hyperlink>
        </w:p>
        <w:p w14:paraId="26B89CCF" w14:textId="7F48F68B" w:rsidR="00192F5A" w:rsidRDefault="00000000">
          <w:pPr>
            <w:pStyle w:val="TOC2"/>
            <w:tabs>
              <w:tab w:val="left" w:pos="1276"/>
            </w:tabs>
            <w:rPr>
              <w:rFonts w:asciiTheme="minorHAnsi" w:eastAsiaTheme="minorEastAsia" w:hAnsiTheme="minorHAnsi" w:cstheme="minorBidi"/>
              <w:b w:val="0"/>
              <w:noProof/>
              <w:color w:val="auto"/>
              <w:kern w:val="2"/>
              <w:sz w:val="22"/>
              <w:szCs w:val="22"/>
              <w:lang w:eastAsia="en-AU"/>
              <w14:ligatures w14:val="standardContextual"/>
            </w:rPr>
          </w:pPr>
          <w:hyperlink w:anchor="_Toc164679991" w:history="1">
            <w:r w:rsidR="00192F5A" w:rsidRPr="009F4A2D">
              <w:rPr>
                <w:rStyle w:val="Hyperlink"/>
                <w:noProof/>
              </w:rPr>
              <w:t>3.1</w:t>
            </w:r>
            <w:r w:rsidR="00192F5A">
              <w:rPr>
                <w:rFonts w:asciiTheme="minorHAnsi" w:eastAsiaTheme="minorEastAsia" w:hAnsiTheme="minorHAnsi" w:cstheme="minorBidi"/>
                <w:b w:val="0"/>
                <w:noProof/>
                <w:color w:val="auto"/>
                <w:kern w:val="2"/>
                <w:sz w:val="22"/>
                <w:szCs w:val="22"/>
                <w:lang w:eastAsia="en-AU"/>
                <w14:ligatures w14:val="standardContextual"/>
              </w:rPr>
              <w:tab/>
            </w:r>
            <w:r w:rsidR="00192F5A" w:rsidRPr="009F4A2D">
              <w:rPr>
                <w:rStyle w:val="Hyperlink"/>
                <w:noProof/>
              </w:rPr>
              <w:t>Intravenous potassium salts</w:t>
            </w:r>
            <w:r w:rsidR="00192F5A">
              <w:rPr>
                <w:noProof/>
                <w:webHidden/>
              </w:rPr>
              <w:tab/>
            </w:r>
            <w:r w:rsidR="00192F5A">
              <w:rPr>
                <w:noProof/>
                <w:webHidden/>
              </w:rPr>
              <w:fldChar w:fldCharType="begin"/>
            </w:r>
            <w:r w:rsidR="00192F5A">
              <w:rPr>
                <w:noProof/>
                <w:webHidden/>
              </w:rPr>
              <w:instrText xml:space="preserve"> PAGEREF _Toc164679991 \h </w:instrText>
            </w:r>
            <w:r w:rsidR="00192F5A">
              <w:rPr>
                <w:noProof/>
                <w:webHidden/>
              </w:rPr>
            </w:r>
            <w:r w:rsidR="00192F5A">
              <w:rPr>
                <w:noProof/>
                <w:webHidden/>
              </w:rPr>
              <w:fldChar w:fldCharType="separate"/>
            </w:r>
            <w:r w:rsidR="00192F5A">
              <w:rPr>
                <w:noProof/>
                <w:webHidden/>
              </w:rPr>
              <w:t>15</w:t>
            </w:r>
            <w:r w:rsidR="00192F5A">
              <w:rPr>
                <w:noProof/>
                <w:webHidden/>
              </w:rPr>
              <w:fldChar w:fldCharType="end"/>
            </w:r>
          </w:hyperlink>
        </w:p>
        <w:p w14:paraId="13648B1E" w14:textId="4B89B305"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92" w:history="1">
            <w:r w:rsidR="00192F5A" w:rsidRPr="009F4A2D">
              <w:rPr>
                <w:rStyle w:val="Hyperlink"/>
                <w:noProof/>
              </w:rPr>
              <w:t>Proposal</w:t>
            </w:r>
            <w:r w:rsidR="00192F5A">
              <w:rPr>
                <w:noProof/>
                <w:webHidden/>
              </w:rPr>
              <w:tab/>
            </w:r>
            <w:r w:rsidR="00192F5A">
              <w:rPr>
                <w:noProof/>
                <w:webHidden/>
              </w:rPr>
              <w:fldChar w:fldCharType="begin"/>
            </w:r>
            <w:r w:rsidR="00192F5A">
              <w:rPr>
                <w:noProof/>
                <w:webHidden/>
              </w:rPr>
              <w:instrText xml:space="preserve"> PAGEREF _Toc164679992 \h </w:instrText>
            </w:r>
            <w:r w:rsidR="00192F5A">
              <w:rPr>
                <w:noProof/>
                <w:webHidden/>
              </w:rPr>
            </w:r>
            <w:r w:rsidR="00192F5A">
              <w:rPr>
                <w:noProof/>
                <w:webHidden/>
              </w:rPr>
              <w:fldChar w:fldCharType="separate"/>
            </w:r>
            <w:r w:rsidR="00192F5A">
              <w:rPr>
                <w:noProof/>
                <w:webHidden/>
              </w:rPr>
              <w:t>15</w:t>
            </w:r>
            <w:r w:rsidR="00192F5A">
              <w:rPr>
                <w:noProof/>
                <w:webHidden/>
              </w:rPr>
              <w:fldChar w:fldCharType="end"/>
            </w:r>
          </w:hyperlink>
        </w:p>
        <w:p w14:paraId="1339B02E" w14:textId="34935010"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93" w:history="1">
            <w:r w:rsidR="00192F5A" w:rsidRPr="009F4A2D">
              <w:rPr>
                <w:rStyle w:val="Hyperlink"/>
                <w:noProof/>
              </w:rPr>
              <w:t>CAS number</w:t>
            </w:r>
            <w:r w:rsidR="00192F5A">
              <w:rPr>
                <w:noProof/>
                <w:webHidden/>
              </w:rPr>
              <w:tab/>
            </w:r>
            <w:r w:rsidR="00192F5A">
              <w:rPr>
                <w:noProof/>
                <w:webHidden/>
              </w:rPr>
              <w:fldChar w:fldCharType="begin"/>
            </w:r>
            <w:r w:rsidR="00192F5A">
              <w:rPr>
                <w:noProof/>
                <w:webHidden/>
              </w:rPr>
              <w:instrText xml:space="preserve"> PAGEREF _Toc164679993 \h </w:instrText>
            </w:r>
            <w:r w:rsidR="00192F5A">
              <w:rPr>
                <w:noProof/>
                <w:webHidden/>
              </w:rPr>
            </w:r>
            <w:r w:rsidR="00192F5A">
              <w:rPr>
                <w:noProof/>
                <w:webHidden/>
              </w:rPr>
              <w:fldChar w:fldCharType="separate"/>
            </w:r>
            <w:r w:rsidR="00192F5A">
              <w:rPr>
                <w:noProof/>
                <w:webHidden/>
              </w:rPr>
              <w:t>15</w:t>
            </w:r>
            <w:r w:rsidR="00192F5A">
              <w:rPr>
                <w:noProof/>
                <w:webHidden/>
              </w:rPr>
              <w:fldChar w:fldCharType="end"/>
            </w:r>
          </w:hyperlink>
        </w:p>
        <w:p w14:paraId="2728839E" w14:textId="3127A33C"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94" w:history="1">
            <w:r w:rsidR="00192F5A" w:rsidRPr="009F4A2D">
              <w:rPr>
                <w:rStyle w:val="Hyperlink"/>
                <w:noProof/>
              </w:rPr>
              <w:t>Alternative names</w:t>
            </w:r>
            <w:r w:rsidR="00192F5A">
              <w:rPr>
                <w:noProof/>
                <w:webHidden/>
              </w:rPr>
              <w:tab/>
            </w:r>
            <w:r w:rsidR="00192F5A">
              <w:rPr>
                <w:noProof/>
                <w:webHidden/>
              </w:rPr>
              <w:fldChar w:fldCharType="begin"/>
            </w:r>
            <w:r w:rsidR="00192F5A">
              <w:rPr>
                <w:noProof/>
                <w:webHidden/>
              </w:rPr>
              <w:instrText xml:space="preserve"> PAGEREF _Toc164679994 \h </w:instrText>
            </w:r>
            <w:r w:rsidR="00192F5A">
              <w:rPr>
                <w:noProof/>
                <w:webHidden/>
              </w:rPr>
            </w:r>
            <w:r w:rsidR="00192F5A">
              <w:rPr>
                <w:noProof/>
                <w:webHidden/>
              </w:rPr>
              <w:fldChar w:fldCharType="separate"/>
            </w:r>
            <w:r w:rsidR="00192F5A">
              <w:rPr>
                <w:noProof/>
                <w:webHidden/>
              </w:rPr>
              <w:t>15</w:t>
            </w:r>
            <w:r w:rsidR="00192F5A">
              <w:rPr>
                <w:noProof/>
                <w:webHidden/>
              </w:rPr>
              <w:fldChar w:fldCharType="end"/>
            </w:r>
          </w:hyperlink>
        </w:p>
        <w:p w14:paraId="584E12FF" w14:textId="31ADE30E"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95" w:history="1">
            <w:r w:rsidR="00192F5A" w:rsidRPr="009F4A2D">
              <w:rPr>
                <w:rStyle w:val="Hyperlink"/>
                <w:noProof/>
              </w:rPr>
              <w:t>Applicant</w:t>
            </w:r>
            <w:r w:rsidR="00192F5A">
              <w:rPr>
                <w:noProof/>
                <w:webHidden/>
              </w:rPr>
              <w:tab/>
            </w:r>
            <w:r w:rsidR="00192F5A">
              <w:rPr>
                <w:noProof/>
                <w:webHidden/>
              </w:rPr>
              <w:fldChar w:fldCharType="begin"/>
            </w:r>
            <w:r w:rsidR="00192F5A">
              <w:rPr>
                <w:noProof/>
                <w:webHidden/>
              </w:rPr>
              <w:instrText xml:space="preserve"> PAGEREF _Toc164679995 \h </w:instrText>
            </w:r>
            <w:r w:rsidR="00192F5A">
              <w:rPr>
                <w:noProof/>
                <w:webHidden/>
              </w:rPr>
            </w:r>
            <w:r w:rsidR="00192F5A">
              <w:rPr>
                <w:noProof/>
                <w:webHidden/>
              </w:rPr>
              <w:fldChar w:fldCharType="separate"/>
            </w:r>
            <w:r w:rsidR="00192F5A">
              <w:rPr>
                <w:noProof/>
                <w:webHidden/>
              </w:rPr>
              <w:t>15</w:t>
            </w:r>
            <w:r w:rsidR="00192F5A">
              <w:rPr>
                <w:noProof/>
                <w:webHidden/>
              </w:rPr>
              <w:fldChar w:fldCharType="end"/>
            </w:r>
          </w:hyperlink>
        </w:p>
        <w:p w14:paraId="463BAF3B" w14:textId="4F82E1E9"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96" w:history="1">
            <w:r w:rsidR="00192F5A" w:rsidRPr="009F4A2D">
              <w:rPr>
                <w:rStyle w:val="Hyperlink"/>
                <w:noProof/>
              </w:rPr>
              <w:t>Proposed Scheduling</w:t>
            </w:r>
            <w:r w:rsidR="00192F5A">
              <w:rPr>
                <w:noProof/>
                <w:webHidden/>
              </w:rPr>
              <w:tab/>
            </w:r>
            <w:r w:rsidR="00192F5A">
              <w:rPr>
                <w:noProof/>
                <w:webHidden/>
              </w:rPr>
              <w:fldChar w:fldCharType="begin"/>
            </w:r>
            <w:r w:rsidR="00192F5A">
              <w:rPr>
                <w:noProof/>
                <w:webHidden/>
              </w:rPr>
              <w:instrText xml:space="preserve"> PAGEREF _Toc164679996 \h </w:instrText>
            </w:r>
            <w:r w:rsidR="00192F5A">
              <w:rPr>
                <w:noProof/>
                <w:webHidden/>
              </w:rPr>
            </w:r>
            <w:r w:rsidR="00192F5A">
              <w:rPr>
                <w:noProof/>
                <w:webHidden/>
              </w:rPr>
              <w:fldChar w:fldCharType="separate"/>
            </w:r>
            <w:r w:rsidR="00192F5A">
              <w:rPr>
                <w:noProof/>
                <w:webHidden/>
              </w:rPr>
              <w:t>15</w:t>
            </w:r>
            <w:r w:rsidR="00192F5A">
              <w:rPr>
                <w:noProof/>
                <w:webHidden/>
              </w:rPr>
              <w:fldChar w:fldCharType="end"/>
            </w:r>
          </w:hyperlink>
        </w:p>
        <w:p w14:paraId="7ABE482A" w14:textId="2915BB1D"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97" w:history="1">
            <w:r w:rsidR="00192F5A" w:rsidRPr="009F4A2D">
              <w:rPr>
                <w:rStyle w:val="Hyperlink"/>
                <w:noProof/>
              </w:rPr>
              <w:t>Background</w:t>
            </w:r>
            <w:r w:rsidR="00192F5A">
              <w:rPr>
                <w:noProof/>
                <w:webHidden/>
              </w:rPr>
              <w:tab/>
            </w:r>
            <w:r w:rsidR="00192F5A">
              <w:rPr>
                <w:noProof/>
                <w:webHidden/>
              </w:rPr>
              <w:fldChar w:fldCharType="begin"/>
            </w:r>
            <w:r w:rsidR="00192F5A">
              <w:rPr>
                <w:noProof/>
                <w:webHidden/>
              </w:rPr>
              <w:instrText xml:space="preserve"> PAGEREF _Toc164679997 \h </w:instrText>
            </w:r>
            <w:r w:rsidR="00192F5A">
              <w:rPr>
                <w:noProof/>
                <w:webHidden/>
              </w:rPr>
            </w:r>
            <w:r w:rsidR="00192F5A">
              <w:rPr>
                <w:noProof/>
                <w:webHidden/>
              </w:rPr>
              <w:fldChar w:fldCharType="separate"/>
            </w:r>
            <w:r w:rsidR="00192F5A">
              <w:rPr>
                <w:noProof/>
                <w:webHidden/>
              </w:rPr>
              <w:t>15</w:t>
            </w:r>
            <w:r w:rsidR="00192F5A">
              <w:rPr>
                <w:noProof/>
                <w:webHidden/>
              </w:rPr>
              <w:fldChar w:fldCharType="end"/>
            </w:r>
          </w:hyperlink>
        </w:p>
        <w:p w14:paraId="70E37C60" w14:textId="1495BB50"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98" w:history="1">
            <w:r w:rsidR="00192F5A" w:rsidRPr="009F4A2D">
              <w:rPr>
                <w:rStyle w:val="Hyperlink"/>
                <w:noProof/>
              </w:rPr>
              <w:t>Summary of applicant’s reasons for the proposal</w:t>
            </w:r>
            <w:r w:rsidR="00192F5A">
              <w:rPr>
                <w:noProof/>
                <w:webHidden/>
              </w:rPr>
              <w:tab/>
            </w:r>
            <w:r w:rsidR="00192F5A">
              <w:rPr>
                <w:noProof/>
                <w:webHidden/>
              </w:rPr>
              <w:fldChar w:fldCharType="begin"/>
            </w:r>
            <w:r w:rsidR="00192F5A">
              <w:rPr>
                <w:noProof/>
                <w:webHidden/>
              </w:rPr>
              <w:instrText xml:space="preserve"> PAGEREF _Toc164679998 \h </w:instrText>
            </w:r>
            <w:r w:rsidR="00192F5A">
              <w:rPr>
                <w:noProof/>
                <w:webHidden/>
              </w:rPr>
            </w:r>
            <w:r w:rsidR="00192F5A">
              <w:rPr>
                <w:noProof/>
                <w:webHidden/>
              </w:rPr>
              <w:fldChar w:fldCharType="separate"/>
            </w:r>
            <w:r w:rsidR="00192F5A">
              <w:rPr>
                <w:noProof/>
                <w:webHidden/>
              </w:rPr>
              <w:t>16</w:t>
            </w:r>
            <w:r w:rsidR="00192F5A">
              <w:rPr>
                <w:noProof/>
                <w:webHidden/>
              </w:rPr>
              <w:fldChar w:fldCharType="end"/>
            </w:r>
          </w:hyperlink>
        </w:p>
        <w:p w14:paraId="6227584C" w14:textId="5B1B12CD"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79999" w:history="1">
            <w:r w:rsidR="00192F5A" w:rsidRPr="009F4A2D">
              <w:rPr>
                <w:rStyle w:val="Hyperlink"/>
                <w:noProof/>
              </w:rPr>
              <w:t>Key uses / expected use</w:t>
            </w:r>
            <w:r w:rsidR="00192F5A">
              <w:rPr>
                <w:noProof/>
                <w:webHidden/>
              </w:rPr>
              <w:tab/>
            </w:r>
            <w:r w:rsidR="00192F5A">
              <w:rPr>
                <w:noProof/>
                <w:webHidden/>
              </w:rPr>
              <w:fldChar w:fldCharType="begin"/>
            </w:r>
            <w:r w:rsidR="00192F5A">
              <w:rPr>
                <w:noProof/>
                <w:webHidden/>
              </w:rPr>
              <w:instrText xml:space="preserve"> PAGEREF _Toc164679999 \h </w:instrText>
            </w:r>
            <w:r w:rsidR="00192F5A">
              <w:rPr>
                <w:noProof/>
                <w:webHidden/>
              </w:rPr>
            </w:r>
            <w:r w:rsidR="00192F5A">
              <w:rPr>
                <w:noProof/>
                <w:webHidden/>
              </w:rPr>
              <w:fldChar w:fldCharType="separate"/>
            </w:r>
            <w:r w:rsidR="00192F5A">
              <w:rPr>
                <w:noProof/>
                <w:webHidden/>
              </w:rPr>
              <w:t>16</w:t>
            </w:r>
            <w:r w:rsidR="00192F5A">
              <w:rPr>
                <w:noProof/>
                <w:webHidden/>
              </w:rPr>
              <w:fldChar w:fldCharType="end"/>
            </w:r>
          </w:hyperlink>
        </w:p>
        <w:p w14:paraId="1A734B54" w14:textId="1B69658C"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80000" w:history="1">
            <w:r w:rsidR="00192F5A" w:rsidRPr="009F4A2D">
              <w:rPr>
                <w:rStyle w:val="Hyperlink"/>
                <w:noProof/>
              </w:rPr>
              <w:t>Australian regulations</w:t>
            </w:r>
            <w:r w:rsidR="00192F5A">
              <w:rPr>
                <w:noProof/>
                <w:webHidden/>
              </w:rPr>
              <w:tab/>
            </w:r>
            <w:r w:rsidR="00192F5A">
              <w:rPr>
                <w:noProof/>
                <w:webHidden/>
              </w:rPr>
              <w:fldChar w:fldCharType="begin"/>
            </w:r>
            <w:r w:rsidR="00192F5A">
              <w:rPr>
                <w:noProof/>
                <w:webHidden/>
              </w:rPr>
              <w:instrText xml:space="preserve"> PAGEREF _Toc164680000 \h </w:instrText>
            </w:r>
            <w:r w:rsidR="00192F5A">
              <w:rPr>
                <w:noProof/>
                <w:webHidden/>
              </w:rPr>
            </w:r>
            <w:r w:rsidR="00192F5A">
              <w:rPr>
                <w:noProof/>
                <w:webHidden/>
              </w:rPr>
              <w:fldChar w:fldCharType="separate"/>
            </w:r>
            <w:r w:rsidR="00192F5A">
              <w:rPr>
                <w:noProof/>
                <w:webHidden/>
              </w:rPr>
              <w:t>16</w:t>
            </w:r>
            <w:r w:rsidR="00192F5A">
              <w:rPr>
                <w:noProof/>
                <w:webHidden/>
              </w:rPr>
              <w:fldChar w:fldCharType="end"/>
            </w:r>
          </w:hyperlink>
        </w:p>
        <w:p w14:paraId="541DA8AF" w14:textId="5D5C3595"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80001" w:history="1">
            <w:r w:rsidR="00192F5A" w:rsidRPr="009F4A2D">
              <w:rPr>
                <w:rStyle w:val="Hyperlink"/>
                <w:noProof/>
              </w:rPr>
              <w:t>International regulations</w:t>
            </w:r>
            <w:r w:rsidR="00192F5A">
              <w:rPr>
                <w:noProof/>
                <w:webHidden/>
              </w:rPr>
              <w:tab/>
            </w:r>
            <w:r w:rsidR="00192F5A">
              <w:rPr>
                <w:noProof/>
                <w:webHidden/>
              </w:rPr>
              <w:fldChar w:fldCharType="begin"/>
            </w:r>
            <w:r w:rsidR="00192F5A">
              <w:rPr>
                <w:noProof/>
                <w:webHidden/>
              </w:rPr>
              <w:instrText xml:space="preserve"> PAGEREF _Toc164680001 \h </w:instrText>
            </w:r>
            <w:r w:rsidR="00192F5A">
              <w:rPr>
                <w:noProof/>
                <w:webHidden/>
              </w:rPr>
            </w:r>
            <w:r w:rsidR="00192F5A">
              <w:rPr>
                <w:noProof/>
                <w:webHidden/>
              </w:rPr>
              <w:fldChar w:fldCharType="separate"/>
            </w:r>
            <w:r w:rsidR="00192F5A">
              <w:rPr>
                <w:noProof/>
                <w:webHidden/>
              </w:rPr>
              <w:t>18</w:t>
            </w:r>
            <w:r w:rsidR="00192F5A">
              <w:rPr>
                <w:noProof/>
                <w:webHidden/>
              </w:rPr>
              <w:fldChar w:fldCharType="end"/>
            </w:r>
          </w:hyperlink>
        </w:p>
        <w:p w14:paraId="10DD333E" w14:textId="53BFE16B" w:rsidR="00192F5A" w:rsidRDefault="00000000">
          <w:pPr>
            <w:pStyle w:val="TOC2"/>
            <w:tabs>
              <w:tab w:val="left" w:pos="1276"/>
            </w:tabs>
            <w:rPr>
              <w:rFonts w:asciiTheme="minorHAnsi" w:eastAsiaTheme="minorEastAsia" w:hAnsiTheme="minorHAnsi" w:cstheme="minorBidi"/>
              <w:b w:val="0"/>
              <w:noProof/>
              <w:color w:val="auto"/>
              <w:kern w:val="2"/>
              <w:sz w:val="22"/>
              <w:szCs w:val="22"/>
              <w:lang w:eastAsia="en-AU"/>
              <w14:ligatures w14:val="standardContextual"/>
            </w:rPr>
          </w:pPr>
          <w:hyperlink w:anchor="_Toc164680002" w:history="1">
            <w:r w:rsidR="00192F5A" w:rsidRPr="009F4A2D">
              <w:rPr>
                <w:rStyle w:val="Hyperlink"/>
                <w:noProof/>
              </w:rPr>
              <w:t>3.2</w:t>
            </w:r>
            <w:r w:rsidR="00192F5A">
              <w:rPr>
                <w:rFonts w:asciiTheme="minorHAnsi" w:eastAsiaTheme="minorEastAsia" w:hAnsiTheme="minorHAnsi" w:cstheme="minorBidi"/>
                <w:b w:val="0"/>
                <w:noProof/>
                <w:color w:val="auto"/>
                <w:kern w:val="2"/>
                <w:sz w:val="22"/>
                <w:szCs w:val="22"/>
                <w:lang w:eastAsia="en-AU"/>
                <w14:ligatures w14:val="standardContextual"/>
              </w:rPr>
              <w:tab/>
            </w:r>
            <w:r w:rsidR="00192F5A" w:rsidRPr="009F4A2D">
              <w:rPr>
                <w:rStyle w:val="Hyperlink"/>
                <w:noProof/>
              </w:rPr>
              <w:t>Sulfonamides</w:t>
            </w:r>
            <w:r w:rsidR="00192F5A">
              <w:rPr>
                <w:noProof/>
                <w:webHidden/>
              </w:rPr>
              <w:tab/>
            </w:r>
            <w:r w:rsidR="00192F5A">
              <w:rPr>
                <w:noProof/>
                <w:webHidden/>
              </w:rPr>
              <w:fldChar w:fldCharType="begin"/>
            </w:r>
            <w:r w:rsidR="00192F5A">
              <w:rPr>
                <w:noProof/>
                <w:webHidden/>
              </w:rPr>
              <w:instrText xml:space="preserve"> PAGEREF _Toc164680002 \h </w:instrText>
            </w:r>
            <w:r w:rsidR="00192F5A">
              <w:rPr>
                <w:noProof/>
                <w:webHidden/>
              </w:rPr>
            </w:r>
            <w:r w:rsidR="00192F5A">
              <w:rPr>
                <w:noProof/>
                <w:webHidden/>
              </w:rPr>
              <w:fldChar w:fldCharType="separate"/>
            </w:r>
            <w:r w:rsidR="00192F5A">
              <w:rPr>
                <w:noProof/>
                <w:webHidden/>
              </w:rPr>
              <w:t>18</w:t>
            </w:r>
            <w:r w:rsidR="00192F5A">
              <w:rPr>
                <w:noProof/>
                <w:webHidden/>
              </w:rPr>
              <w:fldChar w:fldCharType="end"/>
            </w:r>
          </w:hyperlink>
        </w:p>
        <w:p w14:paraId="11039A0F" w14:textId="5CB266CD"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80003" w:history="1">
            <w:r w:rsidR="00192F5A" w:rsidRPr="009F4A2D">
              <w:rPr>
                <w:rStyle w:val="Hyperlink"/>
                <w:noProof/>
              </w:rPr>
              <w:t>Proposal</w:t>
            </w:r>
            <w:r w:rsidR="00192F5A">
              <w:rPr>
                <w:noProof/>
                <w:webHidden/>
              </w:rPr>
              <w:tab/>
            </w:r>
            <w:r w:rsidR="00192F5A">
              <w:rPr>
                <w:noProof/>
                <w:webHidden/>
              </w:rPr>
              <w:fldChar w:fldCharType="begin"/>
            </w:r>
            <w:r w:rsidR="00192F5A">
              <w:rPr>
                <w:noProof/>
                <w:webHidden/>
              </w:rPr>
              <w:instrText xml:space="preserve"> PAGEREF _Toc164680003 \h </w:instrText>
            </w:r>
            <w:r w:rsidR="00192F5A">
              <w:rPr>
                <w:noProof/>
                <w:webHidden/>
              </w:rPr>
            </w:r>
            <w:r w:rsidR="00192F5A">
              <w:rPr>
                <w:noProof/>
                <w:webHidden/>
              </w:rPr>
              <w:fldChar w:fldCharType="separate"/>
            </w:r>
            <w:r w:rsidR="00192F5A">
              <w:rPr>
                <w:noProof/>
                <w:webHidden/>
              </w:rPr>
              <w:t>18</w:t>
            </w:r>
            <w:r w:rsidR="00192F5A">
              <w:rPr>
                <w:noProof/>
                <w:webHidden/>
              </w:rPr>
              <w:fldChar w:fldCharType="end"/>
            </w:r>
          </w:hyperlink>
        </w:p>
        <w:p w14:paraId="5239DE55" w14:textId="30EB8FF6"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80004" w:history="1">
            <w:r w:rsidR="00192F5A" w:rsidRPr="009F4A2D">
              <w:rPr>
                <w:rStyle w:val="Hyperlink"/>
                <w:noProof/>
              </w:rPr>
              <w:t>CAS number</w:t>
            </w:r>
            <w:r w:rsidR="00192F5A">
              <w:rPr>
                <w:noProof/>
                <w:webHidden/>
              </w:rPr>
              <w:tab/>
            </w:r>
            <w:r w:rsidR="00192F5A">
              <w:rPr>
                <w:noProof/>
                <w:webHidden/>
              </w:rPr>
              <w:fldChar w:fldCharType="begin"/>
            </w:r>
            <w:r w:rsidR="00192F5A">
              <w:rPr>
                <w:noProof/>
                <w:webHidden/>
              </w:rPr>
              <w:instrText xml:space="preserve"> PAGEREF _Toc164680004 \h </w:instrText>
            </w:r>
            <w:r w:rsidR="00192F5A">
              <w:rPr>
                <w:noProof/>
                <w:webHidden/>
              </w:rPr>
            </w:r>
            <w:r w:rsidR="00192F5A">
              <w:rPr>
                <w:noProof/>
                <w:webHidden/>
              </w:rPr>
              <w:fldChar w:fldCharType="separate"/>
            </w:r>
            <w:r w:rsidR="00192F5A">
              <w:rPr>
                <w:noProof/>
                <w:webHidden/>
              </w:rPr>
              <w:t>18</w:t>
            </w:r>
            <w:r w:rsidR="00192F5A">
              <w:rPr>
                <w:noProof/>
                <w:webHidden/>
              </w:rPr>
              <w:fldChar w:fldCharType="end"/>
            </w:r>
          </w:hyperlink>
        </w:p>
        <w:p w14:paraId="11133527" w14:textId="498A3C85"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80005" w:history="1">
            <w:r w:rsidR="00192F5A" w:rsidRPr="009F4A2D">
              <w:rPr>
                <w:rStyle w:val="Hyperlink"/>
                <w:noProof/>
              </w:rPr>
              <w:t>Proposed Scheduling</w:t>
            </w:r>
            <w:r w:rsidR="00192F5A">
              <w:rPr>
                <w:noProof/>
                <w:webHidden/>
              </w:rPr>
              <w:tab/>
            </w:r>
            <w:r w:rsidR="00192F5A">
              <w:rPr>
                <w:noProof/>
                <w:webHidden/>
              </w:rPr>
              <w:fldChar w:fldCharType="begin"/>
            </w:r>
            <w:r w:rsidR="00192F5A">
              <w:rPr>
                <w:noProof/>
                <w:webHidden/>
              </w:rPr>
              <w:instrText xml:space="preserve"> PAGEREF _Toc164680005 \h </w:instrText>
            </w:r>
            <w:r w:rsidR="00192F5A">
              <w:rPr>
                <w:noProof/>
                <w:webHidden/>
              </w:rPr>
            </w:r>
            <w:r w:rsidR="00192F5A">
              <w:rPr>
                <w:noProof/>
                <w:webHidden/>
              </w:rPr>
              <w:fldChar w:fldCharType="separate"/>
            </w:r>
            <w:r w:rsidR="00192F5A">
              <w:rPr>
                <w:noProof/>
                <w:webHidden/>
              </w:rPr>
              <w:t>18</w:t>
            </w:r>
            <w:r w:rsidR="00192F5A">
              <w:rPr>
                <w:noProof/>
                <w:webHidden/>
              </w:rPr>
              <w:fldChar w:fldCharType="end"/>
            </w:r>
          </w:hyperlink>
        </w:p>
        <w:p w14:paraId="28EADD94" w14:textId="2EE5E267"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80006" w:history="1">
            <w:r w:rsidR="00192F5A" w:rsidRPr="009F4A2D">
              <w:rPr>
                <w:rStyle w:val="Hyperlink"/>
                <w:noProof/>
              </w:rPr>
              <w:t>Background</w:t>
            </w:r>
            <w:r w:rsidR="00192F5A">
              <w:rPr>
                <w:noProof/>
                <w:webHidden/>
              </w:rPr>
              <w:tab/>
            </w:r>
            <w:r w:rsidR="00192F5A">
              <w:rPr>
                <w:noProof/>
                <w:webHidden/>
              </w:rPr>
              <w:fldChar w:fldCharType="begin"/>
            </w:r>
            <w:r w:rsidR="00192F5A">
              <w:rPr>
                <w:noProof/>
                <w:webHidden/>
              </w:rPr>
              <w:instrText xml:space="preserve"> PAGEREF _Toc164680006 \h </w:instrText>
            </w:r>
            <w:r w:rsidR="00192F5A">
              <w:rPr>
                <w:noProof/>
                <w:webHidden/>
              </w:rPr>
            </w:r>
            <w:r w:rsidR="00192F5A">
              <w:rPr>
                <w:noProof/>
                <w:webHidden/>
              </w:rPr>
              <w:fldChar w:fldCharType="separate"/>
            </w:r>
            <w:r w:rsidR="00192F5A">
              <w:rPr>
                <w:noProof/>
                <w:webHidden/>
              </w:rPr>
              <w:t>19</w:t>
            </w:r>
            <w:r w:rsidR="00192F5A">
              <w:rPr>
                <w:noProof/>
                <w:webHidden/>
              </w:rPr>
              <w:fldChar w:fldCharType="end"/>
            </w:r>
          </w:hyperlink>
        </w:p>
        <w:p w14:paraId="55434A62" w14:textId="09FF232F"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80007" w:history="1">
            <w:r w:rsidR="00192F5A" w:rsidRPr="009F4A2D">
              <w:rPr>
                <w:rStyle w:val="Hyperlink"/>
                <w:noProof/>
              </w:rPr>
              <w:t>Summary of reasons for the proposal</w:t>
            </w:r>
            <w:r w:rsidR="00192F5A">
              <w:rPr>
                <w:noProof/>
                <w:webHidden/>
              </w:rPr>
              <w:tab/>
            </w:r>
            <w:r w:rsidR="00192F5A">
              <w:rPr>
                <w:noProof/>
                <w:webHidden/>
              </w:rPr>
              <w:fldChar w:fldCharType="begin"/>
            </w:r>
            <w:r w:rsidR="00192F5A">
              <w:rPr>
                <w:noProof/>
                <w:webHidden/>
              </w:rPr>
              <w:instrText xml:space="preserve"> PAGEREF _Toc164680007 \h </w:instrText>
            </w:r>
            <w:r w:rsidR="00192F5A">
              <w:rPr>
                <w:noProof/>
                <w:webHidden/>
              </w:rPr>
            </w:r>
            <w:r w:rsidR="00192F5A">
              <w:rPr>
                <w:noProof/>
                <w:webHidden/>
              </w:rPr>
              <w:fldChar w:fldCharType="separate"/>
            </w:r>
            <w:r w:rsidR="00192F5A">
              <w:rPr>
                <w:noProof/>
                <w:webHidden/>
              </w:rPr>
              <w:t>19</w:t>
            </w:r>
            <w:r w:rsidR="00192F5A">
              <w:rPr>
                <w:noProof/>
                <w:webHidden/>
              </w:rPr>
              <w:fldChar w:fldCharType="end"/>
            </w:r>
          </w:hyperlink>
        </w:p>
        <w:p w14:paraId="118986B8" w14:textId="691A9806"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80008" w:history="1">
            <w:r w:rsidR="00192F5A" w:rsidRPr="009F4A2D">
              <w:rPr>
                <w:rStyle w:val="Hyperlink"/>
                <w:noProof/>
              </w:rPr>
              <w:t>Key uses / expected use</w:t>
            </w:r>
            <w:r w:rsidR="00192F5A">
              <w:rPr>
                <w:noProof/>
                <w:webHidden/>
              </w:rPr>
              <w:tab/>
            </w:r>
            <w:r w:rsidR="00192F5A">
              <w:rPr>
                <w:noProof/>
                <w:webHidden/>
              </w:rPr>
              <w:fldChar w:fldCharType="begin"/>
            </w:r>
            <w:r w:rsidR="00192F5A">
              <w:rPr>
                <w:noProof/>
                <w:webHidden/>
              </w:rPr>
              <w:instrText xml:space="preserve"> PAGEREF _Toc164680008 \h </w:instrText>
            </w:r>
            <w:r w:rsidR="00192F5A">
              <w:rPr>
                <w:noProof/>
                <w:webHidden/>
              </w:rPr>
            </w:r>
            <w:r w:rsidR="00192F5A">
              <w:rPr>
                <w:noProof/>
                <w:webHidden/>
              </w:rPr>
              <w:fldChar w:fldCharType="separate"/>
            </w:r>
            <w:r w:rsidR="00192F5A">
              <w:rPr>
                <w:noProof/>
                <w:webHidden/>
              </w:rPr>
              <w:t>19</w:t>
            </w:r>
            <w:r w:rsidR="00192F5A">
              <w:rPr>
                <w:noProof/>
                <w:webHidden/>
              </w:rPr>
              <w:fldChar w:fldCharType="end"/>
            </w:r>
          </w:hyperlink>
        </w:p>
        <w:p w14:paraId="6401F0A5" w14:textId="52107509"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80009" w:history="1">
            <w:r w:rsidR="00192F5A" w:rsidRPr="009F4A2D">
              <w:rPr>
                <w:rStyle w:val="Hyperlink"/>
                <w:noProof/>
              </w:rPr>
              <w:t>Australian regulations</w:t>
            </w:r>
            <w:r w:rsidR="00192F5A">
              <w:rPr>
                <w:noProof/>
                <w:webHidden/>
              </w:rPr>
              <w:tab/>
            </w:r>
            <w:r w:rsidR="00192F5A">
              <w:rPr>
                <w:noProof/>
                <w:webHidden/>
              </w:rPr>
              <w:fldChar w:fldCharType="begin"/>
            </w:r>
            <w:r w:rsidR="00192F5A">
              <w:rPr>
                <w:noProof/>
                <w:webHidden/>
              </w:rPr>
              <w:instrText xml:space="preserve"> PAGEREF _Toc164680009 \h </w:instrText>
            </w:r>
            <w:r w:rsidR="00192F5A">
              <w:rPr>
                <w:noProof/>
                <w:webHidden/>
              </w:rPr>
            </w:r>
            <w:r w:rsidR="00192F5A">
              <w:rPr>
                <w:noProof/>
                <w:webHidden/>
              </w:rPr>
              <w:fldChar w:fldCharType="separate"/>
            </w:r>
            <w:r w:rsidR="00192F5A">
              <w:rPr>
                <w:noProof/>
                <w:webHidden/>
              </w:rPr>
              <w:t>19</w:t>
            </w:r>
            <w:r w:rsidR="00192F5A">
              <w:rPr>
                <w:noProof/>
                <w:webHidden/>
              </w:rPr>
              <w:fldChar w:fldCharType="end"/>
            </w:r>
          </w:hyperlink>
        </w:p>
        <w:p w14:paraId="3979E5CC" w14:textId="43C1CDE8" w:rsidR="00192F5A" w:rsidRDefault="00000000">
          <w:pPr>
            <w:pStyle w:val="TOC3"/>
            <w:rPr>
              <w:rFonts w:asciiTheme="minorHAnsi" w:eastAsiaTheme="minorEastAsia" w:hAnsiTheme="minorHAnsi" w:cstheme="minorBidi"/>
              <w:b w:val="0"/>
              <w:noProof/>
              <w:color w:val="auto"/>
              <w:kern w:val="2"/>
              <w:sz w:val="22"/>
              <w:szCs w:val="22"/>
              <w:lang w:eastAsia="en-AU"/>
              <w14:ligatures w14:val="standardContextual"/>
            </w:rPr>
          </w:pPr>
          <w:hyperlink w:anchor="_Toc164680010" w:history="1">
            <w:r w:rsidR="00192F5A" w:rsidRPr="009F4A2D">
              <w:rPr>
                <w:rStyle w:val="Hyperlink"/>
                <w:noProof/>
              </w:rPr>
              <w:t>International regulations</w:t>
            </w:r>
            <w:r w:rsidR="00192F5A">
              <w:rPr>
                <w:noProof/>
                <w:webHidden/>
              </w:rPr>
              <w:tab/>
            </w:r>
            <w:r w:rsidR="00192F5A">
              <w:rPr>
                <w:noProof/>
                <w:webHidden/>
              </w:rPr>
              <w:fldChar w:fldCharType="begin"/>
            </w:r>
            <w:r w:rsidR="00192F5A">
              <w:rPr>
                <w:noProof/>
                <w:webHidden/>
              </w:rPr>
              <w:instrText xml:space="preserve"> PAGEREF _Toc164680010 \h </w:instrText>
            </w:r>
            <w:r w:rsidR="00192F5A">
              <w:rPr>
                <w:noProof/>
                <w:webHidden/>
              </w:rPr>
            </w:r>
            <w:r w:rsidR="00192F5A">
              <w:rPr>
                <w:noProof/>
                <w:webHidden/>
              </w:rPr>
              <w:fldChar w:fldCharType="separate"/>
            </w:r>
            <w:r w:rsidR="00192F5A">
              <w:rPr>
                <w:noProof/>
                <w:webHidden/>
              </w:rPr>
              <w:t>20</w:t>
            </w:r>
            <w:r w:rsidR="00192F5A">
              <w:rPr>
                <w:noProof/>
                <w:webHidden/>
              </w:rPr>
              <w:fldChar w:fldCharType="end"/>
            </w:r>
          </w:hyperlink>
        </w:p>
        <w:p w14:paraId="1471A69E" w14:textId="7E86518C" w:rsidR="00192F5A" w:rsidRDefault="00000000">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4680011" w:history="1">
            <w:r w:rsidR="00192F5A" w:rsidRPr="009F4A2D">
              <w:rPr>
                <w:rStyle w:val="Hyperlink"/>
                <w:noProof/>
              </w:rPr>
              <w:t>How to respond</w:t>
            </w:r>
            <w:r w:rsidR="00192F5A">
              <w:rPr>
                <w:noProof/>
                <w:webHidden/>
              </w:rPr>
              <w:tab/>
            </w:r>
            <w:r w:rsidR="00192F5A">
              <w:rPr>
                <w:noProof/>
                <w:webHidden/>
              </w:rPr>
              <w:fldChar w:fldCharType="begin"/>
            </w:r>
            <w:r w:rsidR="00192F5A">
              <w:rPr>
                <w:noProof/>
                <w:webHidden/>
              </w:rPr>
              <w:instrText xml:space="preserve"> PAGEREF _Toc164680011 \h </w:instrText>
            </w:r>
            <w:r w:rsidR="00192F5A">
              <w:rPr>
                <w:noProof/>
                <w:webHidden/>
              </w:rPr>
            </w:r>
            <w:r w:rsidR="00192F5A">
              <w:rPr>
                <w:noProof/>
                <w:webHidden/>
              </w:rPr>
              <w:fldChar w:fldCharType="separate"/>
            </w:r>
            <w:r w:rsidR="00192F5A">
              <w:rPr>
                <w:noProof/>
                <w:webHidden/>
              </w:rPr>
              <w:t>21</w:t>
            </w:r>
            <w:r w:rsidR="00192F5A">
              <w:rPr>
                <w:noProof/>
                <w:webHidden/>
              </w:rPr>
              <w:fldChar w:fldCharType="end"/>
            </w:r>
          </w:hyperlink>
        </w:p>
        <w:p w14:paraId="6711B744" w14:textId="4CC046B9" w:rsidR="00192F5A" w:rsidRDefault="00000000">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64680012" w:history="1">
            <w:r w:rsidR="00192F5A" w:rsidRPr="009F4A2D">
              <w:rPr>
                <w:rStyle w:val="Hyperlink"/>
                <w:noProof/>
              </w:rPr>
              <w:t>What will happen</w:t>
            </w:r>
            <w:r w:rsidR="00192F5A">
              <w:rPr>
                <w:noProof/>
                <w:webHidden/>
              </w:rPr>
              <w:tab/>
            </w:r>
            <w:r w:rsidR="00192F5A">
              <w:rPr>
                <w:noProof/>
                <w:webHidden/>
              </w:rPr>
              <w:fldChar w:fldCharType="begin"/>
            </w:r>
            <w:r w:rsidR="00192F5A">
              <w:rPr>
                <w:noProof/>
                <w:webHidden/>
              </w:rPr>
              <w:instrText xml:space="preserve"> PAGEREF _Toc164680012 \h </w:instrText>
            </w:r>
            <w:r w:rsidR="00192F5A">
              <w:rPr>
                <w:noProof/>
                <w:webHidden/>
              </w:rPr>
            </w:r>
            <w:r w:rsidR="00192F5A">
              <w:rPr>
                <w:noProof/>
                <w:webHidden/>
              </w:rPr>
              <w:fldChar w:fldCharType="separate"/>
            </w:r>
            <w:r w:rsidR="00192F5A">
              <w:rPr>
                <w:noProof/>
                <w:webHidden/>
              </w:rPr>
              <w:t>21</w:t>
            </w:r>
            <w:r w:rsidR="00192F5A">
              <w:rPr>
                <w:noProof/>
                <w:webHidden/>
              </w:rPr>
              <w:fldChar w:fldCharType="end"/>
            </w:r>
          </w:hyperlink>
        </w:p>
        <w:p w14:paraId="6CF8A28F" w14:textId="2DB08A90" w:rsidR="00F02AEC" w:rsidRPr="00D149A2" w:rsidRDefault="00F02AEC" w:rsidP="00446F1A">
          <w:r w:rsidRPr="00D149A2">
            <w:fldChar w:fldCharType="end"/>
          </w:r>
        </w:p>
      </w:sdtContent>
    </w:sdt>
    <w:bookmarkEnd w:id="3" w:displacedByCustomXml="prev"/>
    <w:p w14:paraId="19813DF7" w14:textId="77777777" w:rsidR="00F02AEC" w:rsidRPr="00D149A2" w:rsidRDefault="00F02AEC" w:rsidP="00446F1A">
      <w:r w:rsidRPr="00D149A2">
        <w:br w:type="page"/>
      </w:r>
    </w:p>
    <w:p w14:paraId="514E9D3C" w14:textId="02775B42" w:rsidR="00F02AEC" w:rsidRPr="00D149A2" w:rsidRDefault="00685E72" w:rsidP="00446F1A">
      <w:pPr>
        <w:pStyle w:val="Heading2"/>
      </w:pPr>
      <w:bookmarkStart w:id="4" w:name="_Toc164679956"/>
      <w:bookmarkStart w:id="5" w:name="_Hlk139892263"/>
      <w:r w:rsidRPr="00D149A2">
        <w:lastRenderedPageBreak/>
        <w:t>About this consultation</w:t>
      </w:r>
      <w:bookmarkEnd w:id="4"/>
    </w:p>
    <w:p w14:paraId="3079A9D0" w14:textId="77777777" w:rsidR="00685E72" w:rsidRPr="006D0995" w:rsidRDefault="00685E72" w:rsidP="00446F1A">
      <w:bookmarkStart w:id="6" w:name="_Toc323739591"/>
      <w:bookmarkStart w:id="7" w:name="_Toc356305218"/>
      <w:r w:rsidRPr="006D0995">
        <w:t>Subdivision 3D.2 of the </w:t>
      </w:r>
      <w:r w:rsidRPr="00192F5A">
        <w:t>Therapeutic Goods Regulations 1990</w:t>
      </w:r>
      <w:r w:rsidRPr="006D0995">
        <w:t xml:space="preserve"> (the </w:t>
      </w:r>
      <w:r w:rsidRPr="006D0995">
        <w:rPr>
          <w:b/>
          <w:bCs/>
        </w:rPr>
        <w:t>Regulations</w:t>
      </w:r>
      <w:r w:rsidRPr="006D0995">
        <w:t>) sets out the procedure to be followed where the Secretary receives an application under section 52EAA of the </w:t>
      </w:r>
      <w:r w:rsidRPr="006D0995">
        <w:rPr>
          <w:i/>
          <w:iCs/>
        </w:rPr>
        <w:t>Therapeutic Goods Act 1989</w:t>
      </w:r>
      <w:r w:rsidRPr="006D0995">
        <w:t xml:space="preserve"> (the </w:t>
      </w:r>
      <w:r w:rsidRPr="006D0995">
        <w:rPr>
          <w:b/>
          <w:bCs/>
        </w:rPr>
        <w:t>Act</w:t>
      </w:r>
      <w:r w:rsidRPr="006D0995">
        <w:t>) to amend the current Poisons Standard or decides to amend the Poisons Standard on his or her own initiative and decides to refer the proposed amendment to an expert advisory committee. These include, under regulation 42ZCZK, that the Secretary publish (in a manner the Secretary considers appropriate) the proposed amendment to be referred to an expert advisory committee, the committee to which the proposed amendment will be referred, and the date of the committee meeting. The Secretary must also invite public submissions to be made to the expert advisory committee by a date mentioned in the notice as the closing date, allowing at least 20 business days after publication of the notice.</w:t>
      </w:r>
    </w:p>
    <w:p w14:paraId="467458DE" w14:textId="77503361" w:rsidR="00685E72" w:rsidRPr="006D0995" w:rsidRDefault="00685E72" w:rsidP="00446F1A">
      <w:r w:rsidRPr="006D0995">
        <w:rPr>
          <w:noProof/>
        </w:rPr>
        <mc:AlternateContent>
          <mc:Choice Requires="wps">
            <w:drawing>
              <wp:anchor distT="0" distB="0" distL="114300" distR="114300" simplePos="0" relativeHeight="251659264" behindDoc="0" locked="0" layoutInCell="1" allowOverlap="1" wp14:anchorId="78822159" wp14:editId="360CEDE6">
                <wp:simplePos x="0" y="0"/>
                <wp:positionH relativeFrom="margin">
                  <wp:posOffset>0</wp:posOffset>
                </wp:positionH>
                <wp:positionV relativeFrom="paragraph">
                  <wp:posOffset>1007110</wp:posOffset>
                </wp:positionV>
                <wp:extent cx="1828800" cy="1828800"/>
                <wp:effectExtent l="0" t="0" r="25400" b="1333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C6D0E9"/>
                        </a:solidFill>
                        <a:ln w="6350">
                          <a:solidFill>
                            <a:prstClr val="black"/>
                          </a:solidFill>
                        </a:ln>
                      </wps:spPr>
                      <wps:txbx>
                        <w:txbxContent>
                          <w:p w14:paraId="52B8CC47" w14:textId="261587CA" w:rsidR="00685E72" w:rsidRPr="00520CD5" w:rsidRDefault="00685E72" w:rsidP="00446F1A">
                            <w:pPr>
                              <w:rPr>
                                <w:lang w:val="en"/>
                              </w:rPr>
                            </w:pPr>
                            <w:r w:rsidRPr="00520CD5">
                              <w:t>Submissions should be provided through our</w:t>
                            </w:r>
                            <w:r w:rsidRPr="00520CD5">
                              <w:rPr>
                                <w:lang w:val="en"/>
                              </w:rPr>
                              <w:t xml:space="preserve"> </w:t>
                            </w:r>
                            <w:hyperlink r:id="rId12" w:history="1">
                              <w:r w:rsidRPr="00520CD5">
                                <w:rPr>
                                  <w:rStyle w:val="Hyperlink"/>
                                  <w:szCs w:val="18"/>
                                </w:rPr>
                                <w:t>consultation hub</w:t>
                              </w:r>
                            </w:hyperlink>
                            <w:r w:rsidRPr="00520CD5">
                              <w:rPr>
                                <w:lang w:val="en"/>
                              </w:rPr>
                              <w:t xml:space="preserve">. </w:t>
                            </w:r>
                            <w:r w:rsidRPr="00520CD5">
                              <w:t>Any submission about any of the proposals to amend the Poisons Standard will be considered at the next meeting of the</w:t>
                            </w:r>
                            <w:r w:rsidRPr="00520CD5">
                              <w:rPr>
                                <w:lang w:val="en"/>
                              </w:rPr>
                              <w:t xml:space="preserve"> </w:t>
                            </w:r>
                            <w:hyperlink r:id="rId13" w:history="1">
                              <w:r w:rsidRPr="00520CD5">
                                <w:rPr>
                                  <w:rStyle w:val="Hyperlink"/>
                                  <w:szCs w:val="18"/>
                                </w:rPr>
                                <w:t>Advisory Committee on Medicines Scheduling (ACMS)</w:t>
                              </w:r>
                            </w:hyperlink>
                            <w:r w:rsidRPr="00520CD5">
                              <w:rPr>
                                <w:lang w:val="en"/>
                              </w:rPr>
                              <w:t xml:space="preserve">, </w:t>
                            </w:r>
                            <w:r w:rsidRPr="00520CD5">
                              <w:t>meeting of the</w:t>
                            </w:r>
                            <w:r w:rsidRPr="00520CD5">
                              <w:rPr>
                                <w:lang w:val="en"/>
                              </w:rPr>
                              <w:t xml:space="preserve"> </w:t>
                            </w:r>
                            <w:hyperlink r:id="rId14" w:history="1">
                              <w:r w:rsidRPr="00520CD5">
                                <w:rPr>
                                  <w:rStyle w:val="Hyperlink"/>
                                  <w:szCs w:val="18"/>
                                </w:rPr>
                                <w:t>Advisory Committee on Chemicals Scheduling (ACCS)</w:t>
                              </w:r>
                            </w:hyperlink>
                            <w:r w:rsidRPr="00520CD5">
                              <w:rPr>
                                <w:lang w:val="en"/>
                              </w:rPr>
                              <w:t xml:space="preserve">, </w:t>
                            </w:r>
                            <w:r w:rsidRPr="00520CD5">
                              <w:t>or a joint meeting of these two committees.</w:t>
                            </w:r>
                          </w:p>
                          <w:p w14:paraId="1681B090" w14:textId="02DF44AA" w:rsidR="00685E72" w:rsidRPr="00520CD5" w:rsidRDefault="00685E72" w:rsidP="00446F1A">
                            <w:pPr>
                              <w:rPr>
                                <w:lang w:val="en"/>
                              </w:rPr>
                            </w:pPr>
                            <w:r w:rsidRPr="00520CD5">
                              <w:rPr>
                                <w:lang w:val="en"/>
                              </w:rPr>
                              <w:t xml:space="preserve">This consultation closes on </w:t>
                            </w:r>
                            <w:r w:rsidR="002472C1" w:rsidRPr="002472C1">
                              <w:rPr>
                                <w:b/>
                                <w:bCs/>
                                <w:lang w:val="en"/>
                              </w:rPr>
                              <w:t>22 May 202</w:t>
                            </w:r>
                            <w:r w:rsidR="002472C1">
                              <w:rPr>
                                <w:b/>
                                <w:bCs/>
                                <w:lang w:val="en"/>
                              </w:rPr>
                              <w:t>4</w:t>
                            </w:r>
                            <w:r w:rsidR="002472C1">
                              <w:rPr>
                                <w:lang w:val="en"/>
                              </w:rPr>
                              <w:t>.</w:t>
                            </w:r>
                          </w:p>
                          <w:p w14:paraId="085F45F4" w14:textId="77777777" w:rsidR="00685E72" w:rsidRPr="00520CD5" w:rsidRDefault="00685E72" w:rsidP="00446F1A">
                            <w:r w:rsidRPr="00520CD5">
                              <w:t>We aim to provide documents in an accessible format. If you're having problems using this document, please contact </w:t>
                            </w:r>
                            <w:hyperlink r:id="rId15" w:history="1">
                              <w:r w:rsidRPr="00520CD5">
                                <w:rPr>
                                  <w:rStyle w:val="Hyperlink"/>
                                  <w:szCs w:val="18"/>
                                </w:rPr>
                                <w:t>medicines.scheduling@health.gov.au</w:t>
                              </w:r>
                            </w:hyperlink>
                            <w:r w:rsidRPr="00520CD5">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8822159" id="_x0000_t202" coordsize="21600,21600" o:spt="202" path="m,l,21600r21600,l21600,xe">
                <v:stroke joinstyle="miter"/>
                <v:path gradientshapeok="t" o:connecttype="rect"/>
              </v:shapetype>
              <v:shape id="Text Box 1" o:spid="_x0000_s1026" type="#_x0000_t202" style="position:absolute;margin-left:0;margin-top:79.3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" fillcolor="#c6d0e9" strokeweight=".5pt">
                <v:textbox style="mso-fit-shape-to-text:t">
                  <w:txbxContent>
                    <w:p w14:paraId="52B8CC47" w14:textId="261587CA" w:rsidR="00685E72" w:rsidRPr="00520CD5" w:rsidRDefault="00685E72" w:rsidP="00446F1A">
                      <w:pPr>
                        <w:rPr>
                          <w:lang w:val="en"/>
                        </w:rPr>
                      </w:pPr>
                      <w:r w:rsidRPr="00520CD5">
                        <w:t>Submissions should be provided through our</w:t>
                      </w:r>
                      <w:r w:rsidRPr="00520CD5">
                        <w:rPr>
                          <w:lang w:val="en"/>
                        </w:rPr>
                        <w:t xml:space="preserve"> </w:t>
                      </w:r>
                      <w:hyperlink r:id="rId16" w:history="1">
                        <w:r w:rsidRPr="00520CD5">
                          <w:rPr>
                            <w:rStyle w:val="Hyperlink"/>
                            <w:szCs w:val="18"/>
                          </w:rPr>
                          <w:t>consultation hub</w:t>
                        </w:r>
                      </w:hyperlink>
                      <w:r w:rsidRPr="00520CD5">
                        <w:rPr>
                          <w:lang w:val="en"/>
                        </w:rPr>
                        <w:t xml:space="preserve">. </w:t>
                      </w:r>
                      <w:r w:rsidRPr="00520CD5">
                        <w:t>Any submission about any of the proposals to amend the Poisons Standard will be considered at the next meeting of the</w:t>
                      </w:r>
                      <w:r w:rsidRPr="00520CD5">
                        <w:rPr>
                          <w:lang w:val="en"/>
                        </w:rPr>
                        <w:t xml:space="preserve"> </w:t>
                      </w:r>
                      <w:hyperlink r:id="rId17" w:history="1">
                        <w:r w:rsidRPr="00520CD5">
                          <w:rPr>
                            <w:rStyle w:val="Hyperlink"/>
                            <w:szCs w:val="18"/>
                          </w:rPr>
                          <w:t>Advisory Committee on Medicines Scheduling (ACMS)</w:t>
                        </w:r>
                      </w:hyperlink>
                      <w:r w:rsidRPr="00520CD5">
                        <w:rPr>
                          <w:lang w:val="en"/>
                        </w:rPr>
                        <w:t xml:space="preserve">, </w:t>
                      </w:r>
                      <w:r w:rsidRPr="00520CD5">
                        <w:t>meeting of the</w:t>
                      </w:r>
                      <w:r w:rsidRPr="00520CD5">
                        <w:rPr>
                          <w:lang w:val="en"/>
                        </w:rPr>
                        <w:t xml:space="preserve"> </w:t>
                      </w:r>
                      <w:hyperlink r:id="rId18" w:history="1">
                        <w:r w:rsidRPr="00520CD5">
                          <w:rPr>
                            <w:rStyle w:val="Hyperlink"/>
                            <w:szCs w:val="18"/>
                          </w:rPr>
                          <w:t>Advisory Committee on Chemicals Scheduling (ACCS)</w:t>
                        </w:r>
                      </w:hyperlink>
                      <w:r w:rsidRPr="00520CD5">
                        <w:rPr>
                          <w:lang w:val="en"/>
                        </w:rPr>
                        <w:t xml:space="preserve">, </w:t>
                      </w:r>
                      <w:r w:rsidRPr="00520CD5">
                        <w:t>or a joint meeting of these two committees.</w:t>
                      </w:r>
                    </w:p>
                    <w:p w14:paraId="1681B090" w14:textId="02DF44AA" w:rsidR="00685E72" w:rsidRPr="00520CD5" w:rsidRDefault="00685E72" w:rsidP="00446F1A">
                      <w:pPr>
                        <w:rPr>
                          <w:lang w:val="en"/>
                        </w:rPr>
                      </w:pPr>
                      <w:r w:rsidRPr="00520CD5">
                        <w:rPr>
                          <w:lang w:val="en"/>
                        </w:rPr>
                        <w:t xml:space="preserve">This consultation closes on </w:t>
                      </w:r>
                      <w:r w:rsidR="002472C1" w:rsidRPr="002472C1">
                        <w:rPr>
                          <w:b/>
                          <w:bCs/>
                          <w:lang w:val="en"/>
                        </w:rPr>
                        <w:t>22 May 202</w:t>
                      </w:r>
                      <w:r w:rsidR="002472C1">
                        <w:rPr>
                          <w:b/>
                          <w:bCs/>
                          <w:lang w:val="en"/>
                        </w:rPr>
                        <w:t>4</w:t>
                      </w:r>
                      <w:r w:rsidR="002472C1">
                        <w:rPr>
                          <w:lang w:val="en"/>
                        </w:rPr>
                        <w:t>.</w:t>
                      </w:r>
                    </w:p>
                    <w:p w14:paraId="085F45F4" w14:textId="77777777" w:rsidR="00685E72" w:rsidRPr="00520CD5" w:rsidRDefault="00685E72" w:rsidP="00446F1A">
                      <w:r w:rsidRPr="00520CD5">
                        <w:t>We aim to provide documents in an accessible format. If you're having problems using this document, please contact </w:t>
                      </w:r>
                      <w:hyperlink r:id="rId19" w:history="1">
                        <w:r w:rsidRPr="00520CD5">
                          <w:rPr>
                            <w:rStyle w:val="Hyperlink"/>
                            <w:szCs w:val="18"/>
                          </w:rPr>
                          <w:t>medicines.scheduling@health.gov.au</w:t>
                        </w:r>
                      </w:hyperlink>
                      <w:r w:rsidRPr="00520CD5">
                        <w:t>.</w:t>
                      </w:r>
                    </w:p>
                  </w:txbxContent>
                </v:textbox>
                <w10:wrap type="square" anchorx="margin"/>
              </v:shape>
            </w:pict>
          </mc:Fallback>
        </mc:AlternateContent>
      </w:r>
      <w:r w:rsidRPr="006D0995">
        <w:t xml:space="preserve">In accordance with regulation 42ZCZK of the Regulations, the Secretary invites public submissions on scheduling proposals referred to the </w:t>
      </w:r>
      <w:r w:rsidR="00A076E1" w:rsidRPr="006D0995">
        <w:rPr>
          <w:b/>
          <w:bCs/>
        </w:rPr>
        <w:t>J</w:t>
      </w:r>
      <w:r w:rsidR="00A91F33">
        <w:rPr>
          <w:b/>
          <w:bCs/>
        </w:rPr>
        <w:t>une</w:t>
      </w:r>
      <w:r w:rsidR="00611C19" w:rsidRPr="006D0995">
        <w:rPr>
          <w:b/>
          <w:bCs/>
        </w:rPr>
        <w:t xml:space="preserve"> 20</w:t>
      </w:r>
      <w:r w:rsidR="00A076E1" w:rsidRPr="006D0995">
        <w:rPr>
          <w:b/>
          <w:bCs/>
        </w:rPr>
        <w:t>24</w:t>
      </w:r>
      <w:r w:rsidR="002327B4" w:rsidRPr="006D0995">
        <w:rPr>
          <w:b/>
          <w:bCs/>
        </w:rPr>
        <w:t xml:space="preserve"> </w:t>
      </w:r>
      <w:r w:rsidRPr="006D0995">
        <w:t>meeting</w:t>
      </w:r>
      <w:r w:rsidR="00F258A8" w:rsidRPr="006D0995">
        <w:t>s</w:t>
      </w:r>
      <w:r w:rsidRPr="006D0995">
        <w:t xml:space="preserve"> of the</w:t>
      </w:r>
      <w:r w:rsidR="00F258A8" w:rsidRPr="006D0995">
        <w:t xml:space="preserve"> Advisory Committee on Medicines Scheduling (</w:t>
      </w:r>
      <w:r w:rsidR="00F258A8" w:rsidRPr="006D0995">
        <w:rPr>
          <w:b/>
          <w:bCs/>
        </w:rPr>
        <w:t>ACMS</w:t>
      </w:r>
      <w:r w:rsidR="00F258A8" w:rsidRPr="006D0995">
        <w:t>), Advisory Committee on Chemicals Scheduling (</w:t>
      </w:r>
      <w:r w:rsidR="00F258A8" w:rsidRPr="006D0995">
        <w:rPr>
          <w:b/>
          <w:bCs/>
        </w:rPr>
        <w:t>ACCS</w:t>
      </w:r>
      <w:r w:rsidR="00F258A8" w:rsidRPr="006D0995">
        <w:t>) and</w:t>
      </w:r>
      <w:r w:rsidRPr="006D0995">
        <w:t xml:space="preserve"> Advisory Committee</w:t>
      </w:r>
      <w:r w:rsidR="0055748F" w:rsidRPr="006D0995">
        <w:t>s</w:t>
      </w:r>
      <w:r w:rsidRPr="006D0995">
        <w:t xml:space="preserve"> on Medicines</w:t>
      </w:r>
      <w:r w:rsidR="0055748F" w:rsidRPr="006D0995">
        <w:t xml:space="preserve"> and </w:t>
      </w:r>
      <w:r w:rsidRPr="006D0995">
        <w:t xml:space="preserve">Chemicals Scheduling </w:t>
      </w:r>
      <w:r w:rsidR="0055748F" w:rsidRPr="006D0995">
        <w:t xml:space="preserve">in joint session </w:t>
      </w:r>
      <w:r w:rsidRPr="006D0995">
        <w:t>(</w:t>
      </w:r>
      <w:r w:rsidRPr="006D0995">
        <w:rPr>
          <w:b/>
          <w:bCs/>
        </w:rPr>
        <w:t>Joint ACMS-ACCS</w:t>
      </w:r>
      <w:r w:rsidRPr="006D0995">
        <w:t>). Submissions must be received by close of business </w:t>
      </w:r>
      <w:r w:rsidR="002472C1">
        <w:rPr>
          <w:b/>
          <w:lang w:val="en"/>
        </w:rPr>
        <w:t>22 May 2024.</w:t>
      </w:r>
    </w:p>
    <w:bookmarkEnd w:id="5"/>
    <w:bookmarkEnd w:id="6"/>
    <w:bookmarkEnd w:id="7"/>
    <w:p w14:paraId="40CD998C" w14:textId="77777777" w:rsidR="00685E72" w:rsidRPr="00D149A2" w:rsidRDefault="00685E72" w:rsidP="00446F1A">
      <w:pPr>
        <w:rPr>
          <w:rFonts w:eastAsia="Cambria"/>
          <w:color w:val="001871"/>
          <w:sz w:val="38"/>
        </w:rPr>
      </w:pPr>
      <w:r w:rsidRPr="00D149A2">
        <w:br w:type="page"/>
      </w:r>
    </w:p>
    <w:p w14:paraId="4E968656" w14:textId="61C8D20B" w:rsidR="00685E72" w:rsidRPr="00D149A2" w:rsidRDefault="00CE0B2B" w:rsidP="00CE0B2B">
      <w:pPr>
        <w:pStyle w:val="Heading2"/>
        <w:ind w:left="709" w:hanging="709"/>
      </w:pPr>
      <w:bookmarkStart w:id="8" w:name="_Toc164679957"/>
      <w:r>
        <w:lastRenderedPageBreak/>
        <w:t>1</w:t>
      </w:r>
      <w:r>
        <w:tab/>
      </w:r>
      <w:r w:rsidR="00685E72" w:rsidRPr="00D149A2">
        <w:t>Proposed amendment referred for scheduling advice to ACMS</w:t>
      </w:r>
      <w:r w:rsidR="00B90A0A" w:rsidRPr="00D149A2">
        <w:t> </w:t>
      </w:r>
      <w:r w:rsidR="00685E72" w:rsidRPr="00D149A2">
        <w:t>meeting</w:t>
      </w:r>
      <w:r w:rsidR="00B90A0A" w:rsidRPr="00D149A2">
        <w:t> </w:t>
      </w:r>
      <w:r w:rsidR="00685E72" w:rsidRPr="00D149A2">
        <w:t>#</w:t>
      </w:r>
      <w:r w:rsidR="00FA45DB">
        <w:t>45</w:t>
      </w:r>
      <w:bookmarkEnd w:id="8"/>
    </w:p>
    <w:p w14:paraId="786A4EA1" w14:textId="6B7D4986" w:rsidR="00685E72" w:rsidRPr="00D149A2" w:rsidRDefault="00CE0B2B" w:rsidP="00446F1A">
      <w:pPr>
        <w:pStyle w:val="Heading3"/>
      </w:pPr>
      <w:bookmarkStart w:id="9" w:name="_Toc164679958"/>
      <w:r>
        <w:t xml:space="preserve">1.1 </w:t>
      </w:r>
      <w:r w:rsidR="008473F3">
        <w:tab/>
      </w:r>
      <w:r w:rsidR="00E37454">
        <w:t>Sildenafil</w:t>
      </w:r>
      <w:bookmarkEnd w:id="9"/>
    </w:p>
    <w:p w14:paraId="21575F17" w14:textId="77777777" w:rsidR="00685E72" w:rsidRPr="00D149A2" w:rsidRDefault="00685E72" w:rsidP="00446F1A">
      <w:pPr>
        <w:pStyle w:val="Heading4"/>
      </w:pPr>
      <w:bookmarkStart w:id="10" w:name="_Toc122614215"/>
      <w:bookmarkStart w:id="11" w:name="_Toc164679959"/>
      <w:r w:rsidRPr="00D149A2">
        <w:t>Proposal</w:t>
      </w:r>
      <w:bookmarkEnd w:id="10"/>
      <w:bookmarkEnd w:id="11"/>
    </w:p>
    <w:p w14:paraId="2FE7BEB6" w14:textId="11ADC460" w:rsidR="00685E72" w:rsidRPr="00D149A2" w:rsidRDefault="00E37454" w:rsidP="004E7432">
      <w:r>
        <w:t xml:space="preserve">The applicant proposed to create a new Schedule 3 </w:t>
      </w:r>
      <w:r w:rsidR="000C6905">
        <w:t>(</w:t>
      </w:r>
      <w:r w:rsidR="00272B96">
        <w:t>P</w:t>
      </w:r>
      <w:r w:rsidR="000C6905">
        <w:t xml:space="preserve">harmacist only) </w:t>
      </w:r>
      <w:r>
        <w:t>entry for sildenafil</w:t>
      </w:r>
      <w:r w:rsidR="00D13404">
        <w:t xml:space="preserve">. The </w:t>
      </w:r>
      <w:r w:rsidR="001D12C9">
        <w:t xml:space="preserve">proposed </w:t>
      </w:r>
      <w:r w:rsidR="00D13404">
        <w:t xml:space="preserve">amendment would include </w:t>
      </w:r>
      <w:r w:rsidR="00611895">
        <w:t xml:space="preserve">divided </w:t>
      </w:r>
      <w:r w:rsidR="00D13404">
        <w:t xml:space="preserve">preparations containing </w:t>
      </w:r>
      <w:r w:rsidR="00DA6237">
        <w:t>50 mg of sildenafil</w:t>
      </w:r>
      <w:r w:rsidR="00611895">
        <w:t xml:space="preserve"> for oral use</w:t>
      </w:r>
      <w:r w:rsidR="00DA6237">
        <w:t>, in packs of 4 or fewer dosage units, in Schedule 3</w:t>
      </w:r>
      <w:r w:rsidR="0075137F" w:rsidRPr="0075137F">
        <w:t xml:space="preserve"> </w:t>
      </w:r>
      <w:r w:rsidR="0075137F">
        <w:t>and a new entry for sildenafil in Appendix H to permit advertising of Schedule 3 preparations</w:t>
      </w:r>
      <w:r w:rsidR="00DA6237">
        <w:t xml:space="preserve">. Sildenafil is </w:t>
      </w:r>
      <w:r w:rsidR="00DA6237" w:rsidRPr="00446F1A">
        <w:t>currently</w:t>
      </w:r>
      <w:r w:rsidR="00DA6237">
        <w:t xml:space="preserve"> included in Schedule 4 (</w:t>
      </w:r>
      <w:r w:rsidR="00272B96">
        <w:t>P</w:t>
      </w:r>
      <w:r w:rsidR="00DA6237">
        <w:t>rescription-only medicines).</w:t>
      </w:r>
    </w:p>
    <w:p w14:paraId="6299252F" w14:textId="3525719A" w:rsidR="00685E72" w:rsidRDefault="00685E72" w:rsidP="00446F1A">
      <w:pPr>
        <w:pStyle w:val="Heading4"/>
      </w:pPr>
      <w:bookmarkStart w:id="12" w:name="_Toc122614216"/>
      <w:bookmarkStart w:id="13" w:name="_Toc164679960"/>
      <w:r w:rsidRPr="00D149A2">
        <w:t>CAS number</w:t>
      </w:r>
      <w:bookmarkEnd w:id="12"/>
      <w:bookmarkEnd w:id="13"/>
    </w:p>
    <w:p w14:paraId="2D1FF391" w14:textId="5EA7E02E" w:rsidR="00834155" w:rsidRPr="00834155" w:rsidRDefault="00834155" w:rsidP="00446F1A">
      <w:r>
        <w:t xml:space="preserve">139755-83-2 (base), </w:t>
      </w:r>
      <w:r w:rsidR="00932717">
        <w:t>171599-83-0 (as citrate)</w:t>
      </w:r>
    </w:p>
    <w:p w14:paraId="28346AF8" w14:textId="77777777" w:rsidR="00685E72" w:rsidRPr="00D149A2" w:rsidRDefault="00685E72" w:rsidP="00446F1A">
      <w:pPr>
        <w:pStyle w:val="Heading4"/>
      </w:pPr>
      <w:bookmarkStart w:id="14" w:name="_Toc122614217"/>
      <w:bookmarkStart w:id="15" w:name="_Toc164679961"/>
      <w:r w:rsidRPr="00D149A2">
        <w:t>Alternative names</w:t>
      </w:r>
      <w:bookmarkEnd w:id="14"/>
      <w:bookmarkEnd w:id="15"/>
    </w:p>
    <w:p w14:paraId="73A04477" w14:textId="54969E39" w:rsidR="001D12C9" w:rsidRDefault="007316E7" w:rsidP="00446F1A">
      <w:r>
        <w:t>Viagra</w:t>
      </w:r>
    </w:p>
    <w:p w14:paraId="7DF87F56" w14:textId="2C781868" w:rsidR="00685E72" w:rsidRPr="00D149A2" w:rsidRDefault="008C6BC1" w:rsidP="00446F1A">
      <w:r w:rsidRPr="008C6BC1">
        <w:t>5-[2-Ethoxy-5-[(4-methyl-1-</w:t>
      </w:r>
      <w:proofErr w:type="gramStart"/>
      <w:r w:rsidRPr="008C6BC1">
        <w:t>piperazinyl)sulfonyl</w:t>
      </w:r>
      <w:proofErr w:type="gramEnd"/>
      <w:r w:rsidRPr="008C6BC1">
        <w:t>]phenyl]-1,6-dihydro-1-methyl-3-propyl-7</w:t>
      </w:r>
      <w:r w:rsidRPr="008C6BC1">
        <w:rPr>
          <w:i/>
          <w:iCs/>
        </w:rPr>
        <w:t>H</w:t>
      </w:r>
      <w:r w:rsidRPr="008C6BC1">
        <w:t>-pyrazolo[4,3-</w:t>
      </w:r>
      <w:r w:rsidRPr="008C6BC1">
        <w:rPr>
          <w:i/>
          <w:iCs/>
        </w:rPr>
        <w:t>d</w:t>
      </w:r>
      <w:r w:rsidRPr="008C6BC1">
        <w:t>]pyrimidin-7-one</w:t>
      </w:r>
      <w:r>
        <w:t xml:space="preserve"> (CAS name)</w:t>
      </w:r>
    </w:p>
    <w:p w14:paraId="4139FEE1" w14:textId="77777777" w:rsidR="00685E72" w:rsidRPr="00D149A2" w:rsidRDefault="00685E72" w:rsidP="00446F1A">
      <w:pPr>
        <w:pStyle w:val="Heading4"/>
      </w:pPr>
      <w:bookmarkStart w:id="16" w:name="_Toc122614218"/>
      <w:bookmarkStart w:id="17" w:name="_Toc164679962"/>
      <w:r w:rsidRPr="00D149A2">
        <w:t>Applicant</w:t>
      </w:r>
      <w:bookmarkEnd w:id="16"/>
      <w:bookmarkEnd w:id="17"/>
    </w:p>
    <w:p w14:paraId="68F3C24C" w14:textId="768B76D5" w:rsidR="00685E72" w:rsidRPr="00D149A2" w:rsidRDefault="00685E72" w:rsidP="00446F1A">
      <w:r w:rsidRPr="00DD10B1">
        <w:t>Private applicant</w:t>
      </w:r>
    </w:p>
    <w:p w14:paraId="6A71BF2A" w14:textId="77777777" w:rsidR="00685E72" w:rsidRPr="00D149A2" w:rsidRDefault="00685E72" w:rsidP="00446F1A">
      <w:pPr>
        <w:pStyle w:val="Heading4"/>
      </w:pPr>
      <w:bookmarkStart w:id="18" w:name="_Toc122614219"/>
      <w:bookmarkStart w:id="19" w:name="_Toc164679963"/>
      <w:r w:rsidRPr="00D149A2">
        <w:t>Proposed Scheduling</w:t>
      </w:r>
      <w:bookmarkEnd w:id="18"/>
      <w:bookmarkEnd w:id="19"/>
    </w:p>
    <w:p w14:paraId="031498E0" w14:textId="34C6A49C" w:rsidR="00685E72" w:rsidRPr="00D149A2" w:rsidRDefault="00685E72" w:rsidP="00446F1A">
      <w:r w:rsidRPr="00F36CE7">
        <w:t>The applicant’s proposed amendments to the Poisons Standard are</w:t>
      </w:r>
      <w:r w:rsidRPr="00E511DE">
        <w:rPr>
          <w:rStyle w:val="FootnoteReference"/>
          <w:bCs/>
        </w:rPr>
        <w:footnoteReference w:id="1"/>
      </w:r>
      <w:r w:rsidR="00FA403B">
        <w:t>:</w:t>
      </w:r>
    </w:p>
    <w:p w14:paraId="48397CC7" w14:textId="6B8E7CC2" w:rsidR="00685E72" w:rsidRPr="00CD26E4" w:rsidRDefault="00685E72" w:rsidP="000B3F0F">
      <w:pPr>
        <w:ind w:firstLine="567"/>
        <w:rPr>
          <w:b/>
          <w:bCs/>
        </w:rPr>
      </w:pPr>
      <w:bookmarkStart w:id="20" w:name="_Hlk163829969"/>
      <w:r w:rsidRPr="00CD26E4">
        <w:rPr>
          <w:b/>
          <w:bCs/>
        </w:rPr>
        <w:t xml:space="preserve">Schedule </w:t>
      </w:r>
      <w:r w:rsidR="001429A0" w:rsidRPr="00CD26E4">
        <w:rPr>
          <w:b/>
          <w:bCs/>
        </w:rPr>
        <w:t>4</w:t>
      </w:r>
      <w:r w:rsidRPr="00CD26E4">
        <w:rPr>
          <w:b/>
          <w:bCs/>
        </w:rPr>
        <w:t xml:space="preserve"> –</w:t>
      </w:r>
      <w:r w:rsidR="001429A0" w:rsidRPr="00CD26E4">
        <w:rPr>
          <w:b/>
          <w:bCs/>
        </w:rPr>
        <w:t xml:space="preserve"> </w:t>
      </w:r>
      <w:r w:rsidRPr="00CD26E4">
        <w:rPr>
          <w:b/>
          <w:bCs/>
        </w:rPr>
        <w:t>Amend Entry</w:t>
      </w:r>
    </w:p>
    <w:p w14:paraId="6074A8FF" w14:textId="4BC65EAC" w:rsidR="00685E72" w:rsidRDefault="001429A0" w:rsidP="000B3F0F">
      <w:pPr>
        <w:ind w:left="851"/>
      </w:pPr>
      <w:r>
        <w:t xml:space="preserve">SILDENAFIL </w:t>
      </w:r>
      <w:r w:rsidRPr="00CD26E4">
        <w:rPr>
          <w:b/>
          <w:bCs/>
          <w:color w:val="00B050"/>
          <w:u w:val="single"/>
        </w:rPr>
        <w:t>except</w:t>
      </w:r>
      <w:r w:rsidRPr="00CD26E4">
        <w:rPr>
          <w:color w:val="00B050"/>
          <w:u w:val="single"/>
        </w:rPr>
        <w:t xml:space="preserve"> when included in Schedule 3</w:t>
      </w:r>
      <w:r>
        <w:t>.</w:t>
      </w:r>
    </w:p>
    <w:p w14:paraId="48352DC1" w14:textId="78CDD210" w:rsidR="001429A0" w:rsidRPr="00CD26E4" w:rsidRDefault="001429A0" w:rsidP="000B3F0F">
      <w:pPr>
        <w:ind w:firstLine="567"/>
        <w:rPr>
          <w:b/>
          <w:bCs/>
        </w:rPr>
      </w:pPr>
      <w:r w:rsidRPr="00CD26E4">
        <w:rPr>
          <w:b/>
          <w:bCs/>
        </w:rPr>
        <w:t>Schedule 3 – New Entry</w:t>
      </w:r>
    </w:p>
    <w:p w14:paraId="786367D8" w14:textId="347DA4E3" w:rsidR="001429A0" w:rsidRPr="00D5043C" w:rsidRDefault="00682A9F" w:rsidP="000B3F0F">
      <w:pPr>
        <w:ind w:left="851"/>
        <w:rPr>
          <w:color w:val="00B050"/>
          <w:u w:val="single"/>
        </w:rPr>
      </w:pPr>
      <w:r w:rsidRPr="00D5043C">
        <w:rPr>
          <w:color w:val="00B050"/>
          <w:u w:val="single"/>
        </w:rPr>
        <w:t xml:space="preserve">SILDENAFIL in divided preparations for oral use containing 50 mg </w:t>
      </w:r>
      <w:r w:rsidR="00253CAA" w:rsidRPr="00D5043C">
        <w:rPr>
          <w:color w:val="00B050"/>
          <w:u w:val="single"/>
        </w:rPr>
        <w:t>of sildenafil per dosage unit in packs of not more than 4 dosage units.</w:t>
      </w:r>
    </w:p>
    <w:p w14:paraId="0B88297E" w14:textId="255CE028" w:rsidR="00685E72" w:rsidRPr="00D93B91" w:rsidRDefault="00685E72" w:rsidP="009262CC">
      <w:pPr>
        <w:ind w:firstLine="567"/>
        <w:rPr>
          <w:b/>
          <w:bCs/>
        </w:rPr>
      </w:pPr>
      <w:r w:rsidRPr="00D93B91">
        <w:rPr>
          <w:b/>
          <w:bCs/>
        </w:rPr>
        <w:t>Index –</w:t>
      </w:r>
      <w:r w:rsidR="00F26E94" w:rsidRPr="00D93B91">
        <w:rPr>
          <w:b/>
          <w:bCs/>
        </w:rPr>
        <w:t xml:space="preserve"> </w:t>
      </w:r>
      <w:r w:rsidRPr="00D93B91">
        <w:rPr>
          <w:b/>
          <w:bCs/>
        </w:rPr>
        <w:t>Amend Entry</w:t>
      </w:r>
    </w:p>
    <w:p w14:paraId="01AC6B58" w14:textId="3E966A2D" w:rsidR="00685E72" w:rsidRPr="00D93B91" w:rsidRDefault="00F26E94" w:rsidP="00F26E94">
      <w:pPr>
        <w:ind w:left="851"/>
        <w:rPr>
          <w:b/>
          <w:bCs/>
        </w:rPr>
      </w:pPr>
      <w:r w:rsidRPr="00D93B91">
        <w:rPr>
          <w:b/>
          <w:bCs/>
        </w:rPr>
        <w:t>SILDENAFIL</w:t>
      </w:r>
    </w:p>
    <w:p w14:paraId="216AE61C" w14:textId="1F376177" w:rsidR="00F26E94" w:rsidRPr="00D93B91" w:rsidRDefault="00F26E94" w:rsidP="00F26E94">
      <w:pPr>
        <w:ind w:left="851"/>
        <w:rPr>
          <w:color w:val="00B050"/>
          <w:u w:val="single"/>
        </w:rPr>
      </w:pPr>
      <w:r>
        <w:t>Schedule 4</w:t>
      </w:r>
      <w:r>
        <w:br/>
      </w:r>
      <w:r w:rsidRPr="00D93B91">
        <w:rPr>
          <w:color w:val="00B050"/>
          <w:u w:val="single"/>
        </w:rPr>
        <w:t>Schedule 3</w:t>
      </w:r>
      <w:r w:rsidRPr="00D93B91">
        <w:rPr>
          <w:color w:val="00B050"/>
          <w:u w:val="single"/>
        </w:rPr>
        <w:br/>
        <w:t>Appendix H, clause 1</w:t>
      </w:r>
    </w:p>
    <w:p w14:paraId="4E9EB4A8" w14:textId="77777777" w:rsidR="00685E72" w:rsidRPr="00DA6D06" w:rsidRDefault="00685E72" w:rsidP="009262CC">
      <w:pPr>
        <w:ind w:firstLine="567"/>
        <w:rPr>
          <w:b/>
          <w:bCs/>
        </w:rPr>
      </w:pPr>
      <w:r w:rsidRPr="00DA6D06">
        <w:rPr>
          <w:b/>
          <w:bCs/>
        </w:rPr>
        <w:t xml:space="preserve">Appendix H – New Entry </w:t>
      </w:r>
    </w:p>
    <w:p w14:paraId="398578E3" w14:textId="7C71E815" w:rsidR="00685E72" w:rsidRPr="00DA6D06" w:rsidRDefault="00DA6D06" w:rsidP="00DA6D06">
      <w:pPr>
        <w:ind w:left="851"/>
        <w:rPr>
          <w:color w:val="00B050"/>
          <w:u w:val="single"/>
        </w:rPr>
      </w:pPr>
      <w:r w:rsidRPr="00DA6D06">
        <w:rPr>
          <w:color w:val="00B050"/>
          <w:u w:val="single"/>
        </w:rPr>
        <w:t>SILDENAFIL</w:t>
      </w:r>
    </w:p>
    <w:p w14:paraId="507B5D80" w14:textId="77777777" w:rsidR="00685E72" w:rsidRPr="00D149A2" w:rsidRDefault="00685E72" w:rsidP="00446F1A">
      <w:pPr>
        <w:pStyle w:val="Heading4"/>
      </w:pPr>
      <w:bookmarkStart w:id="21" w:name="_Toc122614220"/>
      <w:bookmarkStart w:id="22" w:name="_Toc164679964"/>
      <w:bookmarkEnd w:id="20"/>
      <w:r w:rsidRPr="00D149A2">
        <w:lastRenderedPageBreak/>
        <w:t>Background</w:t>
      </w:r>
      <w:bookmarkEnd w:id="21"/>
      <w:bookmarkEnd w:id="22"/>
    </w:p>
    <w:p w14:paraId="25FAE585" w14:textId="11285421" w:rsidR="006232CA" w:rsidRPr="00D149A2" w:rsidRDefault="00746747" w:rsidP="004E7432">
      <w:r>
        <w:t>Sildenaf</w:t>
      </w:r>
      <w:r w:rsidR="00B60301">
        <w:t>il, usually presented as the citrate salt, is a well-established first-line therapy for the treatment of erectile dysfunction</w:t>
      </w:r>
      <w:r w:rsidR="00922B21">
        <w:t xml:space="preserve"> in adult males</w:t>
      </w:r>
      <w:r w:rsidR="00B60301">
        <w:t>.</w:t>
      </w:r>
      <w:r w:rsidR="005D4709">
        <w:t xml:space="preserve"> </w:t>
      </w:r>
      <w:r w:rsidR="008E2AD6">
        <w:t xml:space="preserve">Sildenafil is a phosphodiesterase-5 inhibitor and has been available as a prescription-only medicine in Australia since </w:t>
      </w:r>
      <w:r w:rsidR="00A90143">
        <w:t>1998.</w:t>
      </w:r>
      <w:r w:rsidR="006232CA">
        <w:t xml:space="preserve"> </w:t>
      </w:r>
      <w:r w:rsidR="00FF1F37">
        <w:t xml:space="preserve">Applications for creation of a new Schedule 3 entry for </w:t>
      </w:r>
      <w:r w:rsidR="006232CA" w:rsidRPr="006232CA">
        <w:t>Sildenafil</w:t>
      </w:r>
      <w:r w:rsidR="006232CA">
        <w:t xml:space="preserve"> </w:t>
      </w:r>
      <w:r w:rsidR="00192F5A">
        <w:t>were also</w:t>
      </w:r>
      <w:r w:rsidR="00BF201F">
        <w:t xml:space="preserve"> </w:t>
      </w:r>
      <w:r w:rsidR="006232CA">
        <w:t xml:space="preserve">considered </w:t>
      </w:r>
      <w:r w:rsidR="00FF1F37">
        <w:t xml:space="preserve">by the ACMS in July 2017, June </w:t>
      </w:r>
      <w:proofErr w:type="gramStart"/>
      <w:r w:rsidR="00FF1F37">
        <w:t>2018</w:t>
      </w:r>
      <w:proofErr w:type="gramEnd"/>
      <w:r w:rsidR="00FF1F37">
        <w:t xml:space="preserve"> and </w:t>
      </w:r>
      <w:r w:rsidR="00BF201F">
        <w:t>June</w:t>
      </w:r>
      <w:r w:rsidR="00192F5A">
        <w:t> </w:t>
      </w:r>
      <w:r w:rsidR="00BF201F">
        <w:t>2020.</w:t>
      </w:r>
    </w:p>
    <w:p w14:paraId="62431C4E" w14:textId="77777777" w:rsidR="00685E72" w:rsidRPr="00D149A2" w:rsidRDefault="00685E72" w:rsidP="00446F1A">
      <w:pPr>
        <w:pStyle w:val="Heading4"/>
      </w:pPr>
      <w:bookmarkStart w:id="23" w:name="_Toc122614221"/>
      <w:bookmarkStart w:id="24" w:name="_Toc164679965"/>
      <w:r w:rsidRPr="00D149A2">
        <w:t>Summary of applicant’s reasons for the proposal</w:t>
      </w:r>
      <w:bookmarkEnd w:id="23"/>
      <w:bookmarkEnd w:id="24"/>
    </w:p>
    <w:p w14:paraId="43A1C802" w14:textId="4AA947D2" w:rsidR="00685E72" w:rsidRDefault="00985BC2" w:rsidP="001B6547">
      <w:pPr>
        <w:pStyle w:val="ListBullet"/>
      </w:pPr>
      <w:r w:rsidRPr="00686098">
        <w:t>The a</w:t>
      </w:r>
      <w:r w:rsidR="004A18B6" w:rsidRPr="00686098">
        <w:t xml:space="preserve">vailability of </w:t>
      </w:r>
      <w:r w:rsidRPr="00686098">
        <w:t xml:space="preserve">sildenafil preparations </w:t>
      </w:r>
      <w:r w:rsidR="00CD415A">
        <w:t xml:space="preserve">under the proposed scheduling changes </w:t>
      </w:r>
      <w:r w:rsidR="000F6DD0" w:rsidRPr="00686098">
        <w:t xml:space="preserve">will assist men who may be reluctant to </w:t>
      </w:r>
      <w:r w:rsidR="0059175F" w:rsidRPr="00686098">
        <w:t>use physician-based health services</w:t>
      </w:r>
      <w:r w:rsidR="007E7AF4" w:rsidRPr="00686098">
        <w:t xml:space="preserve"> for the treatment of </w:t>
      </w:r>
      <w:r w:rsidR="00192F5A">
        <w:t>erectile disfunction</w:t>
      </w:r>
      <w:r w:rsidR="00BA1A22" w:rsidRPr="00686098">
        <w:t>.</w:t>
      </w:r>
    </w:p>
    <w:p w14:paraId="01135E52" w14:textId="4E8BD5BC" w:rsidR="00BA1A22" w:rsidRPr="00686098" w:rsidRDefault="00BA1A22" w:rsidP="001B6547">
      <w:pPr>
        <w:pStyle w:val="ListBullet"/>
      </w:pPr>
      <w:r w:rsidRPr="00686098">
        <w:t>Down-scheduling of sildena</w:t>
      </w:r>
      <w:r w:rsidR="00014A5A" w:rsidRPr="00686098">
        <w:t xml:space="preserve">fil provides a safer route for </w:t>
      </w:r>
      <w:r w:rsidR="007E7AF4" w:rsidRPr="00686098">
        <w:t xml:space="preserve">the </w:t>
      </w:r>
      <w:r w:rsidR="00014A5A" w:rsidRPr="00686098">
        <w:t xml:space="preserve">treatment </w:t>
      </w:r>
      <w:r w:rsidR="007E7AF4" w:rsidRPr="00686098">
        <w:t xml:space="preserve">of </w:t>
      </w:r>
      <w:r w:rsidR="00192F5A">
        <w:t>erectile dysfunction</w:t>
      </w:r>
      <w:r w:rsidR="007E7AF4" w:rsidRPr="00686098">
        <w:t xml:space="preserve"> </w:t>
      </w:r>
      <w:r w:rsidR="00014A5A" w:rsidRPr="00686098">
        <w:t>and discourages the use of unregulated internet-based sources</w:t>
      </w:r>
      <w:r w:rsidR="00EE4CE2" w:rsidRPr="00686098">
        <w:t xml:space="preserve"> for advice and treatment.</w:t>
      </w:r>
    </w:p>
    <w:p w14:paraId="12142EA2" w14:textId="3C9A3F40" w:rsidR="00D17166" w:rsidRPr="00686098" w:rsidRDefault="00D17166" w:rsidP="001B6547">
      <w:pPr>
        <w:pStyle w:val="ListBullet"/>
      </w:pPr>
      <w:r w:rsidRPr="00686098">
        <w:t xml:space="preserve">The pharmacy model for sildenafil </w:t>
      </w:r>
      <w:r w:rsidR="00987AE1" w:rsidRPr="00686098">
        <w:t xml:space="preserve">preparations still allows the pharmacist to refer </w:t>
      </w:r>
      <w:r w:rsidR="00B12EE8" w:rsidRPr="00686098">
        <w:t xml:space="preserve">identified </w:t>
      </w:r>
      <w:r w:rsidR="00987AE1" w:rsidRPr="00686098">
        <w:t xml:space="preserve">patients to </w:t>
      </w:r>
      <w:r w:rsidR="00B12EE8" w:rsidRPr="00686098">
        <w:t>their doctor should it be deemed appropriate.</w:t>
      </w:r>
    </w:p>
    <w:p w14:paraId="3082CF3E" w14:textId="77777777" w:rsidR="00685E72" w:rsidRPr="00D149A2" w:rsidRDefault="00685E72" w:rsidP="00446F1A">
      <w:pPr>
        <w:pStyle w:val="Heading4"/>
      </w:pPr>
      <w:bookmarkStart w:id="25" w:name="_Toc122614222"/>
      <w:bookmarkStart w:id="26" w:name="_Toc164679966"/>
      <w:r w:rsidRPr="00D149A2">
        <w:t xml:space="preserve">Key uses / expected </w:t>
      </w:r>
      <w:proofErr w:type="gramStart"/>
      <w:r w:rsidRPr="00D149A2">
        <w:t>use</w:t>
      </w:r>
      <w:bookmarkEnd w:id="25"/>
      <w:bookmarkEnd w:id="26"/>
      <w:proofErr w:type="gramEnd"/>
    </w:p>
    <w:p w14:paraId="25554130" w14:textId="1BB50316" w:rsidR="00685E72" w:rsidRPr="00D149A2" w:rsidRDefault="00685E72" w:rsidP="00446F1A">
      <w:r w:rsidRPr="009B4D2A">
        <w:t>Medicines</w:t>
      </w:r>
    </w:p>
    <w:p w14:paraId="52B282BD" w14:textId="77777777" w:rsidR="00685E72" w:rsidRPr="00D149A2" w:rsidRDefault="00685E72" w:rsidP="00446F1A">
      <w:pPr>
        <w:pStyle w:val="Heading4"/>
      </w:pPr>
      <w:bookmarkStart w:id="27" w:name="_Toc122614223"/>
      <w:bookmarkStart w:id="28" w:name="_Toc164679967"/>
      <w:r w:rsidRPr="00D149A2">
        <w:t>Australian regulations</w:t>
      </w:r>
      <w:bookmarkEnd w:id="27"/>
      <w:bookmarkEnd w:id="28"/>
    </w:p>
    <w:p w14:paraId="4A82DC66" w14:textId="533021F6" w:rsidR="00685E72" w:rsidRPr="00D149A2" w:rsidRDefault="00685E72" w:rsidP="001B6547">
      <w:pPr>
        <w:pStyle w:val="ListBullet"/>
      </w:pPr>
      <w:r w:rsidRPr="00D149A2">
        <w:t xml:space="preserve">According to the </w:t>
      </w:r>
      <w:hyperlink r:id="rId20" w:history="1">
        <w:r w:rsidR="00CD415A" w:rsidRPr="00E511DE">
          <w:rPr>
            <w:rStyle w:val="Hyperlink"/>
          </w:rPr>
          <w:t>TGA Ingredient Database</w:t>
        </w:r>
      </w:hyperlink>
      <w:r w:rsidRPr="00D149A2">
        <w:t xml:space="preserve">, </w:t>
      </w:r>
      <w:r w:rsidR="009C266A">
        <w:t>sildenafil</w:t>
      </w:r>
      <w:r w:rsidRPr="00D149A2">
        <w:t xml:space="preserve"> </w:t>
      </w:r>
      <w:r w:rsidR="008D7485">
        <w:t xml:space="preserve">(as citrate) </w:t>
      </w:r>
      <w:r w:rsidRPr="00D149A2">
        <w:t>is:</w:t>
      </w:r>
    </w:p>
    <w:p w14:paraId="356A7D2A" w14:textId="2989B335" w:rsidR="00685E72" w:rsidRDefault="006B4322">
      <w:pPr>
        <w:pStyle w:val="ListBullet2"/>
        <w:numPr>
          <w:ilvl w:val="2"/>
          <w:numId w:val="14"/>
        </w:numPr>
        <w:ind w:left="714" w:hanging="357"/>
      </w:pPr>
      <w:r>
        <w:t>Available for use as an Active Ingredient in Biologicals, Export Only, Over the Counter, and Prescription Medicines</w:t>
      </w:r>
    </w:p>
    <w:p w14:paraId="5E284585" w14:textId="45E968ED" w:rsidR="007A0544" w:rsidRDefault="007A0544">
      <w:pPr>
        <w:pStyle w:val="ListBullet2"/>
        <w:numPr>
          <w:ilvl w:val="2"/>
          <w:numId w:val="14"/>
        </w:numPr>
        <w:ind w:left="714" w:hanging="357"/>
      </w:pPr>
      <w:r>
        <w:t>Available for use as an Excipient Ingredient in Biologicals, Devices and Prescription Medicines</w:t>
      </w:r>
    </w:p>
    <w:p w14:paraId="752E55CA" w14:textId="36E99C45" w:rsidR="007A0544" w:rsidRPr="00D149A2" w:rsidRDefault="007A0544">
      <w:pPr>
        <w:pStyle w:val="ListBullet2"/>
        <w:numPr>
          <w:ilvl w:val="2"/>
          <w:numId w:val="14"/>
        </w:numPr>
        <w:ind w:left="714" w:hanging="357"/>
      </w:pPr>
      <w:r>
        <w:t>Not available as an Equivalent Ingredient in any application</w:t>
      </w:r>
    </w:p>
    <w:p w14:paraId="515084E1" w14:textId="287F828C" w:rsidR="00685E72" w:rsidRPr="00D149A2" w:rsidRDefault="00685E72" w:rsidP="001B6547">
      <w:pPr>
        <w:pStyle w:val="ListBullet"/>
      </w:pPr>
      <w:r w:rsidRPr="00D149A2">
        <w:t xml:space="preserve">As </w:t>
      </w:r>
      <w:r w:rsidRPr="00576A61">
        <w:t xml:space="preserve">of </w:t>
      </w:r>
      <w:r w:rsidR="004B070E">
        <w:t>April</w:t>
      </w:r>
      <w:r w:rsidR="004B070E" w:rsidRPr="00576A61">
        <w:t xml:space="preserve"> </w:t>
      </w:r>
      <w:r w:rsidRPr="00576A61">
        <w:t>20</w:t>
      </w:r>
      <w:r w:rsidR="00E728BE" w:rsidRPr="00576A61">
        <w:t>24</w:t>
      </w:r>
      <w:r w:rsidRPr="00576A61">
        <w:t>, there we</w:t>
      </w:r>
      <w:r w:rsidRPr="00D149A2">
        <w:t xml:space="preserve">re </w:t>
      </w:r>
      <w:r w:rsidR="00E728BE">
        <w:t>115</w:t>
      </w:r>
      <w:r w:rsidRPr="00D149A2">
        <w:t xml:space="preserve"> medicines currently active on the </w:t>
      </w:r>
      <w:hyperlink r:id="rId21" w:history="1">
        <w:r w:rsidR="00192F5A">
          <w:rPr>
            <w:rStyle w:val="Hyperlink"/>
          </w:rPr>
          <w:t>Australian Register of Therapeutic Goods</w:t>
        </w:r>
      </w:hyperlink>
      <w:r w:rsidRPr="00D149A2">
        <w:t xml:space="preserve"> </w:t>
      </w:r>
      <w:r w:rsidR="00192F5A" w:rsidRPr="00192F5A">
        <w:t>(ARTG)</w:t>
      </w:r>
      <w:r w:rsidR="00192F5A">
        <w:t xml:space="preserve"> </w:t>
      </w:r>
      <w:r w:rsidRPr="00D149A2">
        <w:t xml:space="preserve">that contain </w:t>
      </w:r>
      <w:r w:rsidR="009C3015">
        <w:t xml:space="preserve">sildenafil </w:t>
      </w:r>
      <w:r w:rsidRPr="00D149A2">
        <w:t xml:space="preserve">as an active ingredient. </w:t>
      </w:r>
      <w:r w:rsidR="00866EEE">
        <w:t xml:space="preserve">All are </w:t>
      </w:r>
      <w:r w:rsidRPr="00D149A2">
        <w:t>prescription</w:t>
      </w:r>
      <w:r w:rsidR="00866EEE">
        <w:t>-only</w:t>
      </w:r>
      <w:r w:rsidRPr="00D149A2">
        <w:t xml:space="preserve"> medicines.</w:t>
      </w:r>
    </w:p>
    <w:p w14:paraId="63F884AD" w14:textId="5F2D2377" w:rsidR="00685E72" w:rsidRPr="00D149A2" w:rsidRDefault="00790A25" w:rsidP="001B6547">
      <w:pPr>
        <w:pStyle w:val="ListBullet"/>
      </w:pPr>
      <w:r>
        <w:t>Sildenafil</w:t>
      </w:r>
      <w:r w:rsidR="00685E72" w:rsidRPr="00D149A2">
        <w:t xml:space="preserve"> is not permitted to be included in listed medicines as it is not included in the </w:t>
      </w:r>
      <w:hyperlink r:id="rId22" w:history="1">
        <w:r w:rsidR="00685E72" w:rsidRPr="00A53E3B">
          <w:rPr>
            <w:rStyle w:val="Hyperlink"/>
          </w:rPr>
          <w:t xml:space="preserve">Therapeutic Goods (Permissible Ingredients) Determination </w:t>
        </w:r>
        <w:r w:rsidR="00A53E3B" w:rsidRPr="00A53E3B">
          <w:rPr>
            <w:rStyle w:val="Hyperlink"/>
          </w:rPr>
          <w:t>(</w:t>
        </w:r>
        <w:r w:rsidR="00685E72" w:rsidRPr="00A53E3B">
          <w:rPr>
            <w:rStyle w:val="Hyperlink"/>
          </w:rPr>
          <w:t>No.</w:t>
        </w:r>
        <w:r w:rsidR="00DE590F" w:rsidRPr="00A53E3B">
          <w:rPr>
            <w:rStyle w:val="Hyperlink"/>
          </w:rPr>
          <w:t>1</w:t>
        </w:r>
        <w:r w:rsidR="00A53E3B" w:rsidRPr="00A53E3B">
          <w:rPr>
            <w:rStyle w:val="Hyperlink"/>
          </w:rPr>
          <w:t xml:space="preserve">) </w:t>
        </w:r>
        <w:r w:rsidR="00685E72" w:rsidRPr="00A53E3B">
          <w:rPr>
            <w:rStyle w:val="Hyperlink"/>
          </w:rPr>
          <w:t>20</w:t>
        </w:r>
        <w:r w:rsidR="00DE590F" w:rsidRPr="00A53E3B">
          <w:rPr>
            <w:rStyle w:val="Hyperlink"/>
          </w:rPr>
          <w:t>24</w:t>
        </w:r>
      </w:hyperlink>
      <w:r w:rsidR="00685E72" w:rsidRPr="00D149A2">
        <w:t>.</w:t>
      </w:r>
    </w:p>
    <w:p w14:paraId="22406806" w14:textId="16282A55" w:rsidR="00685E72" w:rsidRPr="00D149A2" w:rsidRDefault="00685E72" w:rsidP="001B6547">
      <w:pPr>
        <w:pStyle w:val="ListBullet"/>
      </w:pPr>
      <w:r w:rsidRPr="00D149A2">
        <w:t xml:space="preserve">The </w:t>
      </w:r>
      <w:hyperlink r:id="rId23" w:history="1">
        <w:r w:rsidRPr="007503FD">
          <w:rPr>
            <w:rStyle w:val="Hyperlink"/>
          </w:rPr>
          <w:t>TGA prescribing medicines in pregnancy database</w:t>
        </w:r>
      </w:hyperlink>
      <w:r w:rsidRPr="00D149A2">
        <w:t xml:space="preserve"> classifies </w:t>
      </w:r>
      <w:r w:rsidR="000D6A25">
        <w:t>sildenafil (as citrate)</w:t>
      </w:r>
      <w:r w:rsidRPr="00D149A2">
        <w:t xml:space="preserve"> as:</w:t>
      </w:r>
    </w:p>
    <w:tbl>
      <w:tblPr>
        <w:tblStyle w:val="TableTGAblue"/>
        <w:tblW w:w="8670" w:type="dxa"/>
        <w:tblInd w:w="392" w:type="dxa"/>
        <w:tblLook w:val="04A0" w:firstRow="1" w:lastRow="0" w:firstColumn="1" w:lastColumn="0" w:noHBand="0" w:noVBand="1"/>
      </w:tblPr>
      <w:tblGrid>
        <w:gridCol w:w="1607"/>
        <w:gridCol w:w="1698"/>
        <w:gridCol w:w="1818"/>
        <w:gridCol w:w="1818"/>
        <w:gridCol w:w="1729"/>
      </w:tblGrid>
      <w:tr w:rsidR="006351F2" w:rsidRPr="00E90AE2" w14:paraId="760899A0" w14:textId="77777777" w:rsidTr="004637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7" w:type="dxa"/>
          </w:tcPr>
          <w:p w14:paraId="1BE36D6C" w14:textId="77777777" w:rsidR="00685E72" w:rsidRPr="00E90AE2" w:rsidRDefault="00685E72" w:rsidP="006351F2">
            <w:pPr>
              <w:spacing w:before="60" w:after="60"/>
              <w:rPr>
                <w:color w:val="FFFFFF" w:themeColor="background1"/>
                <w:szCs w:val="18"/>
              </w:rPr>
            </w:pPr>
            <w:r w:rsidRPr="00E90AE2">
              <w:rPr>
                <w:color w:val="FFFFFF" w:themeColor="background1"/>
                <w:szCs w:val="18"/>
              </w:rPr>
              <w:t>Drug name</w:t>
            </w:r>
          </w:p>
        </w:tc>
        <w:tc>
          <w:tcPr>
            <w:tcW w:w="1698" w:type="dxa"/>
          </w:tcPr>
          <w:p w14:paraId="7EE98765" w14:textId="77777777" w:rsidR="00685E72" w:rsidRPr="00E90AE2" w:rsidRDefault="00685E72" w:rsidP="006351F2">
            <w:pPr>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szCs w:val="18"/>
              </w:rPr>
            </w:pPr>
            <w:r w:rsidRPr="00E90AE2">
              <w:rPr>
                <w:color w:val="FFFFFF" w:themeColor="background1"/>
                <w:szCs w:val="18"/>
              </w:rPr>
              <w:t>Category</w:t>
            </w:r>
          </w:p>
        </w:tc>
        <w:tc>
          <w:tcPr>
            <w:tcW w:w="1818" w:type="dxa"/>
          </w:tcPr>
          <w:p w14:paraId="5FFC329D" w14:textId="77777777" w:rsidR="00685E72" w:rsidRPr="00E90AE2" w:rsidRDefault="00685E72" w:rsidP="006351F2">
            <w:pPr>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szCs w:val="18"/>
              </w:rPr>
            </w:pPr>
            <w:r w:rsidRPr="00E90AE2">
              <w:rPr>
                <w:color w:val="FFFFFF" w:themeColor="background1"/>
                <w:szCs w:val="18"/>
              </w:rPr>
              <w:t>Classification Level 1</w:t>
            </w:r>
          </w:p>
        </w:tc>
        <w:tc>
          <w:tcPr>
            <w:tcW w:w="1818" w:type="dxa"/>
          </w:tcPr>
          <w:p w14:paraId="692E93DD" w14:textId="77777777" w:rsidR="00685E72" w:rsidRPr="00E90AE2" w:rsidRDefault="00685E72" w:rsidP="006351F2">
            <w:pPr>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szCs w:val="18"/>
              </w:rPr>
            </w:pPr>
            <w:r w:rsidRPr="00E90AE2">
              <w:rPr>
                <w:color w:val="FFFFFF" w:themeColor="background1"/>
                <w:szCs w:val="18"/>
              </w:rPr>
              <w:t>Classification Level 2</w:t>
            </w:r>
          </w:p>
        </w:tc>
        <w:tc>
          <w:tcPr>
            <w:tcW w:w="1729" w:type="dxa"/>
          </w:tcPr>
          <w:p w14:paraId="3AEB7587" w14:textId="77777777" w:rsidR="00685E72" w:rsidRPr="00E90AE2" w:rsidRDefault="00685E72" w:rsidP="006351F2">
            <w:pPr>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szCs w:val="18"/>
              </w:rPr>
            </w:pPr>
            <w:r w:rsidRPr="00E90AE2">
              <w:rPr>
                <w:color w:val="FFFFFF" w:themeColor="background1"/>
                <w:szCs w:val="18"/>
              </w:rPr>
              <w:t>Classification Level 3</w:t>
            </w:r>
          </w:p>
        </w:tc>
      </w:tr>
      <w:tr w:rsidR="00685E72" w:rsidRPr="00D149A2" w14:paraId="2CE8D30A" w14:textId="77777777" w:rsidTr="0046377D">
        <w:tc>
          <w:tcPr>
            <w:cnfStyle w:val="001000000000" w:firstRow="0" w:lastRow="0" w:firstColumn="1" w:lastColumn="0" w:oddVBand="0" w:evenVBand="0" w:oddHBand="0" w:evenHBand="0" w:firstRowFirstColumn="0" w:firstRowLastColumn="0" w:lastRowFirstColumn="0" w:lastRowLastColumn="0"/>
            <w:tcW w:w="1607" w:type="dxa"/>
          </w:tcPr>
          <w:p w14:paraId="42FA8A4F" w14:textId="1F10B49B" w:rsidR="00685E72" w:rsidRPr="00205E18" w:rsidRDefault="000D6A25" w:rsidP="006351F2">
            <w:pPr>
              <w:spacing w:before="60" w:after="60"/>
              <w:rPr>
                <w:szCs w:val="18"/>
              </w:rPr>
            </w:pPr>
            <w:r w:rsidRPr="00205E18">
              <w:rPr>
                <w:szCs w:val="18"/>
              </w:rPr>
              <w:t>Sildenafil citrate</w:t>
            </w:r>
          </w:p>
        </w:tc>
        <w:tc>
          <w:tcPr>
            <w:tcW w:w="1698" w:type="dxa"/>
          </w:tcPr>
          <w:p w14:paraId="2098C3DB" w14:textId="52E5AC7D" w:rsidR="00685E72" w:rsidRPr="00205E18" w:rsidRDefault="000D6A25" w:rsidP="006351F2">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205E18">
              <w:rPr>
                <w:szCs w:val="18"/>
              </w:rPr>
              <w:t>B1</w:t>
            </w:r>
          </w:p>
        </w:tc>
        <w:tc>
          <w:tcPr>
            <w:tcW w:w="1818" w:type="dxa"/>
          </w:tcPr>
          <w:p w14:paraId="1F9E6328" w14:textId="025B0FC7" w:rsidR="00685E72" w:rsidRPr="00205E18" w:rsidRDefault="006351F2" w:rsidP="006351F2">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205E18">
              <w:rPr>
                <w:szCs w:val="18"/>
              </w:rPr>
              <w:t>Cardiovascular System</w:t>
            </w:r>
          </w:p>
        </w:tc>
        <w:tc>
          <w:tcPr>
            <w:tcW w:w="1818" w:type="dxa"/>
          </w:tcPr>
          <w:p w14:paraId="1A4EAAA8" w14:textId="79ED58F9" w:rsidR="00685E72" w:rsidRPr="00205E18" w:rsidRDefault="006351F2" w:rsidP="006351F2">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205E18">
              <w:rPr>
                <w:szCs w:val="18"/>
              </w:rPr>
              <w:t>Vasodilators</w:t>
            </w:r>
          </w:p>
        </w:tc>
        <w:tc>
          <w:tcPr>
            <w:tcW w:w="1729" w:type="dxa"/>
          </w:tcPr>
          <w:p w14:paraId="56F5C08D" w14:textId="77777777" w:rsidR="00685E72" w:rsidRPr="006351F2" w:rsidRDefault="00685E72" w:rsidP="006351F2">
            <w:pPr>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r>
      <w:tr w:rsidR="00685E72" w:rsidRPr="00D149A2" w14:paraId="664F96ED" w14:textId="77777777" w:rsidTr="0046377D">
        <w:tc>
          <w:tcPr>
            <w:cnfStyle w:val="001000000000" w:firstRow="0" w:lastRow="0" w:firstColumn="1" w:lastColumn="0" w:oddVBand="0" w:evenVBand="0" w:oddHBand="0" w:evenHBand="0" w:firstRowFirstColumn="0" w:firstRowLastColumn="0" w:lastRowFirstColumn="0" w:lastRowLastColumn="0"/>
            <w:tcW w:w="8670" w:type="dxa"/>
            <w:gridSpan w:val="5"/>
          </w:tcPr>
          <w:p w14:paraId="239E9973" w14:textId="77777777" w:rsidR="00685E72" w:rsidRPr="009262CC" w:rsidRDefault="00685E72" w:rsidP="006351F2">
            <w:pPr>
              <w:spacing w:before="60" w:after="60"/>
              <w:rPr>
                <w:sz w:val="16"/>
                <w:szCs w:val="16"/>
              </w:rPr>
            </w:pPr>
            <w:r w:rsidRPr="009262CC">
              <w:rPr>
                <w:b/>
                <w:sz w:val="16"/>
                <w:szCs w:val="16"/>
              </w:rPr>
              <w:t>Category B1</w:t>
            </w:r>
            <w:r w:rsidRPr="009262CC">
              <w:rPr>
                <w:sz w:val="16"/>
                <w:szCs w:val="16"/>
              </w:rPr>
              <w:t xml:space="preserve"> – Drugs which have been taken by only a limited number of pregnant women and women of childbearing age, without an increase in the frequency of malformation or other direct or indirect harmful effects on the human foetus having been observed.</w:t>
            </w:r>
          </w:p>
          <w:p w14:paraId="73462D95" w14:textId="4C93A77E" w:rsidR="00685E72" w:rsidRPr="006351F2" w:rsidRDefault="00685E72" w:rsidP="006351F2">
            <w:pPr>
              <w:spacing w:before="60" w:after="60"/>
            </w:pPr>
            <w:r w:rsidRPr="009262CC">
              <w:rPr>
                <w:sz w:val="16"/>
                <w:szCs w:val="16"/>
              </w:rPr>
              <w:t>Studies in animals have not shown evidence of an increased occurrence of foetal damage.</w:t>
            </w:r>
          </w:p>
        </w:tc>
      </w:tr>
    </w:tbl>
    <w:p w14:paraId="232C8E9B" w14:textId="1CF12D71" w:rsidR="00685E72" w:rsidRPr="00D149A2" w:rsidRDefault="00685E72" w:rsidP="001B6547">
      <w:pPr>
        <w:pStyle w:val="ListBullet"/>
      </w:pPr>
      <w:r w:rsidRPr="00D149A2">
        <w:t xml:space="preserve">There are no warning statements pertaining to </w:t>
      </w:r>
      <w:r w:rsidR="009D561A">
        <w:t>sildenafil</w:t>
      </w:r>
      <w:r w:rsidRPr="00D149A2">
        <w:t xml:space="preserve"> in the </w:t>
      </w:r>
      <w:hyperlink r:id="rId24" w:history="1">
        <w:r w:rsidRPr="00D149A2">
          <w:rPr>
            <w:rStyle w:val="Hyperlink"/>
          </w:rPr>
          <w:t>Therapeutic Goods (Medicines Advisory Statements) Specification 2021</w:t>
        </w:r>
      </w:hyperlink>
      <w:r w:rsidR="009D561A" w:rsidRPr="009D561A">
        <w:rPr>
          <w:rStyle w:val="Hyperlink"/>
          <w:color w:val="auto"/>
          <w:u w:val="none"/>
        </w:rPr>
        <w:t>.</w:t>
      </w:r>
    </w:p>
    <w:p w14:paraId="5F86477C" w14:textId="4DDB8862" w:rsidR="00685E72" w:rsidRPr="00D149A2" w:rsidRDefault="00441AC5" w:rsidP="001B6547">
      <w:pPr>
        <w:pStyle w:val="ListBullet"/>
      </w:pPr>
      <w:r>
        <w:t xml:space="preserve">Since sildenafil was approved for </w:t>
      </w:r>
      <w:r w:rsidR="00DC2FDB">
        <w:t>use in Australia in 1998</w:t>
      </w:r>
      <w:r w:rsidR="00685E72" w:rsidRPr="00D149A2">
        <w:t xml:space="preserve">, there </w:t>
      </w:r>
      <w:r w:rsidR="00DC2FDB">
        <w:t>have been 1,305</w:t>
      </w:r>
      <w:r w:rsidR="00685E72" w:rsidRPr="00D149A2">
        <w:t xml:space="preserve"> reports of adverse events for products containing </w:t>
      </w:r>
      <w:r w:rsidR="00DC2FDB">
        <w:t xml:space="preserve">sildenafil </w:t>
      </w:r>
      <w:r w:rsidR="00685E72" w:rsidRPr="00D149A2">
        <w:t xml:space="preserve">as an active ingredient on the </w:t>
      </w:r>
      <w:hyperlink r:id="rId25" w:history="1">
        <w:r w:rsidR="00192F5A">
          <w:rPr>
            <w:rStyle w:val="Hyperlink"/>
          </w:rPr>
          <w:t>Database of Adverse Event Notifications</w:t>
        </w:r>
      </w:hyperlink>
      <w:r w:rsidR="00192F5A" w:rsidRPr="00192F5A">
        <w:rPr>
          <w:rStyle w:val="Hyperlink"/>
          <w:color w:val="auto"/>
          <w:u w:val="none"/>
        </w:rPr>
        <w:t xml:space="preserve"> (DAEN)</w:t>
      </w:r>
      <w:r w:rsidR="00685E72" w:rsidRPr="00D149A2">
        <w:t xml:space="preserve">, with </w:t>
      </w:r>
      <w:r w:rsidR="00F47123">
        <w:t>1,012</w:t>
      </w:r>
      <w:r w:rsidR="00685E72" w:rsidRPr="00D149A2">
        <w:t xml:space="preserve"> reports where </w:t>
      </w:r>
      <w:r w:rsidR="00F47123">
        <w:t xml:space="preserve">sildenafil </w:t>
      </w:r>
      <w:r w:rsidR="00685E72" w:rsidRPr="00D149A2">
        <w:t xml:space="preserve">was the single suspected </w:t>
      </w:r>
      <w:r w:rsidR="00685E72" w:rsidRPr="00D149A2">
        <w:lastRenderedPageBreak/>
        <w:t>medicine.</w:t>
      </w:r>
      <w:r w:rsidR="0029243E">
        <w:t xml:space="preserve"> </w:t>
      </w:r>
      <w:r w:rsidR="00563B13">
        <w:t>More than half of the</w:t>
      </w:r>
      <w:r w:rsidR="002A4C26">
        <w:t xml:space="preserve"> total</w:t>
      </w:r>
      <w:r w:rsidR="00563B13">
        <w:t xml:space="preserve"> reports (</w:t>
      </w:r>
      <w:r w:rsidR="00B16AAC">
        <w:t xml:space="preserve">682) </w:t>
      </w:r>
      <w:r w:rsidR="00563B13">
        <w:t xml:space="preserve">were received in the first 2 years </w:t>
      </w:r>
      <w:r w:rsidR="00B16AAC">
        <w:t>after the medicine’s approval</w:t>
      </w:r>
      <w:r w:rsidR="002A4C26">
        <w:t xml:space="preserve"> (1998 and 1999)</w:t>
      </w:r>
      <w:r w:rsidR="00685E72" w:rsidRPr="00453DFB">
        <w:t>.</w:t>
      </w:r>
    </w:p>
    <w:p w14:paraId="5CF71759" w14:textId="61B66DB6" w:rsidR="00685E72" w:rsidRPr="00D149A2" w:rsidRDefault="00685E72" w:rsidP="001B6547">
      <w:pPr>
        <w:pStyle w:val="ListBullet"/>
      </w:pPr>
      <w:r w:rsidRPr="00883C42">
        <w:t xml:space="preserve">As of </w:t>
      </w:r>
      <w:r w:rsidR="005319DD">
        <w:t>April</w:t>
      </w:r>
      <w:r w:rsidRPr="00883C42">
        <w:t xml:space="preserve"> 20</w:t>
      </w:r>
      <w:r w:rsidR="00883C42" w:rsidRPr="00883C42">
        <w:t>24</w:t>
      </w:r>
      <w:r w:rsidRPr="00883C42">
        <w:t xml:space="preserve">, there were no products containing </w:t>
      </w:r>
      <w:r w:rsidR="00883C42" w:rsidRPr="00883C42">
        <w:t xml:space="preserve">sildenafil </w:t>
      </w:r>
      <w:r w:rsidRPr="00883C42">
        <w:t>as an active ingredient/constituent</w:t>
      </w:r>
      <w:r w:rsidRPr="00D149A2">
        <w:t xml:space="preserve"> or scheduled substance listed on the </w:t>
      </w:r>
      <w:hyperlink r:id="rId26" w:history="1">
        <w:r w:rsidR="00192F5A">
          <w:rPr>
            <w:rStyle w:val="Hyperlink"/>
          </w:rPr>
          <w:t>Public Chemical Registration Information System Search</w:t>
        </w:r>
      </w:hyperlink>
      <w:r w:rsidR="00192F5A" w:rsidRPr="00192F5A">
        <w:rPr>
          <w:rStyle w:val="Hyperlink"/>
          <w:color w:val="auto"/>
          <w:u w:val="none"/>
        </w:rPr>
        <w:t xml:space="preserve"> (</w:t>
      </w:r>
      <w:proofErr w:type="spellStart"/>
      <w:r w:rsidR="00192F5A" w:rsidRPr="00192F5A">
        <w:rPr>
          <w:rStyle w:val="Hyperlink"/>
          <w:color w:val="auto"/>
          <w:u w:val="none"/>
        </w:rPr>
        <w:t>PubCRIS</w:t>
      </w:r>
      <w:proofErr w:type="spellEnd"/>
      <w:r w:rsidR="00192F5A" w:rsidRPr="00192F5A">
        <w:rPr>
          <w:rStyle w:val="Hyperlink"/>
          <w:color w:val="auto"/>
          <w:u w:val="none"/>
        </w:rPr>
        <w:t>)</w:t>
      </w:r>
      <w:r w:rsidRPr="00D149A2">
        <w:t>.</w:t>
      </w:r>
    </w:p>
    <w:p w14:paraId="5DA2B2E1" w14:textId="77777777" w:rsidR="00685E72" w:rsidRPr="00D149A2" w:rsidRDefault="00685E72" w:rsidP="00446F1A">
      <w:pPr>
        <w:pStyle w:val="Heading4"/>
      </w:pPr>
      <w:bookmarkStart w:id="29" w:name="_Toc122614224"/>
      <w:bookmarkStart w:id="30" w:name="_Toc164679968"/>
      <w:r w:rsidRPr="00D149A2">
        <w:t>International regulations</w:t>
      </w:r>
      <w:bookmarkEnd w:id="29"/>
      <w:bookmarkEnd w:id="30"/>
    </w:p>
    <w:p w14:paraId="3AC0CFD7" w14:textId="7A66C524" w:rsidR="00685E72" w:rsidRDefault="00C44A3E" w:rsidP="001B6547">
      <w:pPr>
        <w:pStyle w:val="ListBullet"/>
      </w:pPr>
      <w:r>
        <w:t xml:space="preserve">The </w:t>
      </w:r>
      <w:hyperlink r:id="rId27" w:history="1">
        <w:r w:rsidRPr="00055A31">
          <w:rPr>
            <w:rStyle w:val="Hyperlink"/>
          </w:rPr>
          <w:t>Health Canada Drug Product Database</w:t>
        </w:r>
      </w:hyperlink>
      <w:r>
        <w:t xml:space="preserve"> includes 39 </w:t>
      </w:r>
      <w:r w:rsidRPr="00DB7380">
        <w:t>marketed</w:t>
      </w:r>
      <w:r>
        <w:t xml:space="preserve"> products containing sildenafil. </w:t>
      </w:r>
      <w:r w:rsidR="00055A31">
        <w:t>All are prescription-only medicines.</w:t>
      </w:r>
    </w:p>
    <w:p w14:paraId="1FFA4483" w14:textId="5B7509A1" w:rsidR="00055A31" w:rsidRDefault="00073A83" w:rsidP="001B6547">
      <w:pPr>
        <w:pStyle w:val="ListBullet"/>
      </w:pPr>
      <w:r>
        <w:t xml:space="preserve">The </w:t>
      </w:r>
      <w:hyperlink r:id="rId28" w:history="1">
        <w:r w:rsidRPr="00B553B7">
          <w:rPr>
            <w:rStyle w:val="Hyperlink"/>
          </w:rPr>
          <w:t xml:space="preserve">New Zealand </w:t>
        </w:r>
        <w:proofErr w:type="spellStart"/>
        <w:r w:rsidRPr="00B553B7">
          <w:rPr>
            <w:rStyle w:val="Hyperlink"/>
          </w:rPr>
          <w:t>Medsafe</w:t>
        </w:r>
        <w:proofErr w:type="spellEnd"/>
        <w:r w:rsidRPr="00B553B7">
          <w:rPr>
            <w:rStyle w:val="Hyperlink"/>
          </w:rPr>
          <w:t xml:space="preserve"> Medicines Classification Database</w:t>
        </w:r>
      </w:hyperlink>
      <w:r>
        <w:t xml:space="preserve"> lists sildenafil as follows:</w:t>
      </w:r>
    </w:p>
    <w:tbl>
      <w:tblPr>
        <w:tblStyle w:val="TableTGAblue"/>
        <w:tblW w:w="8648" w:type="dxa"/>
        <w:tblInd w:w="416" w:type="dxa"/>
        <w:tblLook w:val="04A0" w:firstRow="1" w:lastRow="0" w:firstColumn="1" w:lastColumn="0" w:noHBand="0" w:noVBand="1"/>
      </w:tblPr>
      <w:tblGrid>
        <w:gridCol w:w="1842"/>
        <w:gridCol w:w="5103"/>
        <w:gridCol w:w="1703"/>
      </w:tblGrid>
      <w:tr w:rsidR="005949E1" w:rsidRPr="005949E1" w14:paraId="34962DA0" w14:textId="77777777" w:rsidTr="000D74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1A31DDE4" w14:textId="4FA5E737" w:rsidR="003C4808" w:rsidRPr="005949E1" w:rsidRDefault="003C4808" w:rsidP="00093234">
            <w:pPr>
              <w:spacing w:before="60" w:after="60"/>
              <w:jc w:val="both"/>
              <w:rPr>
                <w:color w:val="FFFFFF" w:themeColor="background1"/>
                <w:szCs w:val="18"/>
              </w:rPr>
            </w:pPr>
            <w:r w:rsidRPr="005949E1">
              <w:rPr>
                <w:color w:val="FFFFFF" w:themeColor="background1"/>
                <w:szCs w:val="18"/>
              </w:rPr>
              <w:t>Ingredient</w:t>
            </w:r>
          </w:p>
        </w:tc>
        <w:tc>
          <w:tcPr>
            <w:tcW w:w="5103" w:type="dxa"/>
          </w:tcPr>
          <w:p w14:paraId="061A334C" w14:textId="553543E3" w:rsidR="003C4808" w:rsidRPr="005949E1" w:rsidRDefault="003C4808" w:rsidP="00093234">
            <w:pPr>
              <w:spacing w:before="60" w:after="60"/>
              <w:jc w:val="both"/>
              <w:cnfStyle w:val="100000000000" w:firstRow="1" w:lastRow="0" w:firstColumn="0" w:lastColumn="0" w:oddVBand="0" w:evenVBand="0" w:oddHBand="0" w:evenHBand="0" w:firstRowFirstColumn="0" w:firstRowLastColumn="0" w:lastRowFirstColumn="0" w:lastRowLastColumn="0"/>
              <w:rPr>
                <w:color w:val="FFFFFF" w:themeColor="background1"/>
                <w:szCs w:val="18"/>
              </w:rPr>
            </w:pPr>
            <w:r w:rsidRPr="005949E1">
              <w:rPr>
                <w:color w:val="FFFFFF" w:themeColor="background1"/>
                <w:szCs w:val="18"/>
              </w:rPr>
              <w:t>Conditions (if any)</w:t>
            </w:r>
          </w:p>
        </w:tc>
        <w:tc>
          <w:tcPr>
            <w:tcW w:w="1703" w:type="dxa"/>
          </w:tcPr>
          <w:p w14:paraId="362E9851" w14:textId="11951919" w:rsidR="003C4808" w:rsidRPr="005949E1" w:rsidRDefault="00521924" w:rsidP="00093234">
            <w:pPr>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szCs w:val="18"/>
              </w:rPr>
            </w:pPr>
            <w:r w:rsidRPr="005949E1">
              <w:rPr>
                <w:color w:val="FFFFFF" w:themeColor="background1"/>
                <w:szCs w:val="18"/>
              </w:rPr>
              <w:t>Classification</w:t>
            </w:r>
          </w:p>
        </w:tc>
      </w:tr>
      <w:tr w:rsidR="005949E1" w:rsidRPr="005949E1" w14:paraId="04CE65F7" w14:textId="77777777" w:rsidTr="005949E1">
        <w:tc>
          <w:tcPr>
            <w:cnfStyle w:val="001000000000" w:firstRow="0" w:lastRow="0" w:firstColumn="1" w:lastColumn="0" w:oddVBand="0" w:evenVBand="0" w:oddHBand="0" w:evenHBand="0" w:firstRowFirstColumn="0" w:firstRowLastColumn="0" w:lastRowFirstColumn="0" w:lastRowLastColumn="0"/>
            <w:tcW w:w="1842" w:type="dxa"/>
          </w:tcPr>
          <w:p w14:paraId="00611092" w14:textId="67CC74F9" w:rsidR="003C4808" w:rsidRPr="005949E1" w:rsidRDefault="00520858" w:rsidP="005949E1">
            <w:pPr>
              <w:keepNext/>
              <w:spacing w:before="60" w:after="60"/>
              <w:rPr>
                <w:bCs/>
                <w:color w:val="auto"/>
                <w:szCs w:val="18"/>
              </w:rPr>
            </w:pPr>
            <w:r w:rsidRPr="005949E1">
              <w:rPr>
                <w:bCs/>
                <w:color w:val="auto"/>
                <w:szCs w:val="18"/>
              </w:rPr>
              <w:t>Sildenafil and its structural analogues</w:t>
            </w:r>
          </w:p>
        </w:tc>
        <w:tc>
          <w:tcPr>
            <w:tcW w:w="5103" w:type="dxa"/>
          </w:tcPr>
          <w:p w14:paraId="26C5626B" w14:textId="17035AEA" w:rsidR="003C4808" w:rsidRPr="005949E1" w:rsidRDefault="00647ACB" w:rsidP="005949E1">
            <w:pPr>
              <w:keepNext/>
              <w:spacing w:before="60" w:after="60"/>
              <w:cnfStyle w:val="000000000000" w:firstRow="0" w:lastRow="0" w:firstColumn="0" w:lastColumn="0" w:oddVBand="0" w:evenVBand="0" w:oddHBand="0" w:evenHBand="0" w:firstRowFirstColumn="0" w:firstRowLastColumn="0" w:lastRowFirstColumn="0" w:lastRowLastColumn="0"/>
              <w:rPr>
                <w:bCs/>
                <w:color w:val="auto"/>
                <w:szCs w:val="18"/>
              </w:rPr>
            </w:pPr>
            <w:r>
              <w:rPr>
                <w:bCs/>
                <w:color w:val="auto"/>
                <w:szCs w:val="18"/>
              </w:rPr>
              <w:t>E</w:t>
            </w:r>
            <w:r w:rsidRPr="005949E1">
              <w:rPr>
                <w:bCs/>
                <w:color w:val="auto"/>
                <w:szCs w:val="18"/>
              </w:rPr>
              <w:t>xcept </w:t>
            </w:r>
            <w:r w:rsidR="00C0546E" w:rsidRPr="005949E1">
              <w:rPr>
                <w:bCs/>
                <w:color w:val="auto"/>
                <w:szCs w:val="18"/>
              </w:rPr>
              <w:t>sildenafil in medicines for oral use containing 100 milligrams or less per dose unit when sold in the manufacturer's original pack containing not more than 12 solid dosage units for the treatment of erectile dysfunction in males aged 35-70 years by a registered pharmacist who has successfully completed a training programme endorsed by the Pharmaceutical Society of New Zealand</w:t>
            </w:r>
            <w:r>
              <w:rPr>
                <w:bCs/>
                <w:color w:val="auto"/>
                <w:szCs w:val="18"/>
              </w:rPr>
              <w:t>.</w:t>
            </w:r>
          </w:p>
        </w:tc>
        <w:tc>
          <w:tcPr>
            <w:tcW w:w="1703" w:type="dxa"/>
          </w:tcPr>
          <w:p w14:paraId="7D5D713E" w14:textId="32BFF30C" w:rsidR="003C4808" w:rsidRPr="005949E1" w:rsidRDefault="00520858" w:rsidP="005949E1">
            <w:pPr>
              <w:keepNext/>
              <w:spacing w:before="60" w:after="60"/>
              <w:cnfStyle w:val="000000000000" w:firstRow="0" w:lastRow="0" w:firstColumn="0" w:lastColumn="0" w:oddVBand="0" w:evenVBand="0" w:oddHBand="0" w:evenHBand="0" w:firstRowFirstColumn="0" w:firstRowLastColumn="0" w:lastRowFirstColumn="0" w:lastRowLastColumn="0"/>
              <w:rPr>
                <w:bCs/>
                <w:color w:val="auto"/>
                <w:szCs w:val="18"/>
              </w:rPr>
            </w:pPr>
            <w:r w:rsidRPr="005949E1">
              <w:rPr>
                <w:bCs/>
                <w:color w:val="auto"/>
                <w:szCs w:val="18"/>
              </w:rPr>
              <w:t>Prescription</w:t>
            </w:r>
          </w:p>
        </w:tc>
      </w:tr>
    </w:tbl>
    <w:p w14:paraId="73AFE85E" w14:textId="63FDFB16" w:rsidR="00913B49" w:rsidRDefault="00913B49" w:rsidP="001B6547">
      <w:pPr>
        <w:pStyle w:val="ListBullet"/>
      </w:pPr>
      <w:r>
        <w:t xml:space="preserve">The </w:t>
      </w:r>
      <w:hyperlink r:id="rId29" w:history="1">
        <w:r w:rsidR="00552344" w:rsidRPr="00BA5A49">
          <w:rPr>
            <w:rStyle w:val="Hyperlink"/>
          </w:rPr>
          <w:t xml:space="preserve">US Food and Drug Administration’s </w:t>
        </w:r>
        <w:r w:rsidR="00B020D6" w:rsidRPr="00BA5A49">
          <w:rPr>
            <w:rStyle w:val="Hyperlink"/>
          </w:rPr>
          <w:t>Orange Book</w:t>
        </w:r>
      </w:hyperlink>
      <w:r>
        <w:t xml:space="preserve"> includes </w:t>
      </w:r>
      <w:r w:rsidR="00B020D6">
        <w:t>8</w:t>
      </w:r>
      <w:r>
        <w:t xml:space="preserve">9 </w:t>
      </w:r>
      <w:r w:rsidR="00B020D6">
        <w:t xml:space="preserve">approved </w:t>
      </w:r>
      <w:r>
        <w:t>products containing sildenafil. All are prescription-only medicines</w:t>
      </w:r>
      <w:r w:rsidR="002E56EB">
        <w:t xml:space="preserve">, including oral suspensions, powders, </w:t>
      </w:r>
      <w:proofErr w:type="gramStart"/>
      <w:r w:rsidR="002E56EB">
        <w:t>solutions</w:t>
      </w:r>
      <w:proofErr w:type="gramEnd"/>
      <w:r w:rsidR="002E56EB">
        <w:t xml:space="preserve"> and tablets.</w:t>
      </w:r>
    </w:p>
    <w:p w14:paraId="4F0E81B0" w14:textId="3F2DA69B" w:rsidR="00077497" w:rsidRDefault="00000000" w:rsidP="001B6547">
      <w:pPr>
        <w:pStyle w:val="ListBullet"/>
      </w:pPr>
      <w:hyperlink r:id="rId30" w:history="1">
        <w:r w:rsidR="008C0F1F" w:rsidRPr="006111E7">
          <w:rPr>
            <w:rStyle w:val="Hyperlink"/>
          </w:rPr>
          <w:t>Ireland’s Health Products Regulatory Authority</w:t>
        </w:r>
      </w:hyperlink>
      <w:r w:rsidR="008C0F1F">
        <w:t xml:space="preserve"> regulates 46 products</w:t>
      </w:r>
      <w:r w:rsidR="006111E7">
        <w:t xml:space="preserve"> containing sildenafil. Three of these products </w:t>
      </w:r>
      <w:r w:rsidR="00A03BE7">
        <w:t>(all tablets</w:t>
      </w:r>
      <w:r w:rsidR="00677982">
        <w:t xml:space="preserve"> containing 50 mg sildenafil</w:t>
      </w:r>
      <w:r w:rsidR="00A03BE7">
        <w:t xml:space="preserve">) </w:t>
      </w:r>
      <w:r w:rsidR="006111E7">
        <w:t>are available without a prescription and can be advertised to the public. The remainder are prescription-only medicines.</w:t>
      </w:r>
    </w:p>
    <w:p w14:paraId="0DE20B69" w14:textId="006442E5" w:rsidR="00073A83" w:rsidRPr="00D149A2" w:rsidRDefault="008028CF" w:rsidP="001B6547">
      <w:pPr>
        <w:pStyle w:val="ListBullet"/>
      </w:pPr>
      <w:bookmarkStart w:id="31" w:name="_Hlk139892366"/>
      <w:r>
        <w:t xml:space="preserve">The </w:t>
      </w:r>
      <w:hyperlink r:id="rId31" w:history="1">
        <w:r w:rsidR="000F353C" w:rsidRPr="002F53B2">
          <w:rPr>
            <w:rStyle w:val="Hyperlink"/>
          </w:rPr>
          <w:t>United Kingdom’s electronic medicines compendium (</w:t>
        </w:r>
        <w:proofErr w:type="spellStart"/>
        <w:r w:rsidR="000F353C" w:rsidRPr="002F53B2">
          <w:rPr>
            <w:rStyle w:val="Hyperlink"/>
          </w:rPr>
          <w:t>emc</w:t>
        </w:r>
        <w:proofErr w:type="spellEnd"/>
        <w:r w:rsidR="000F353C" w:rsidRPr="002F53B2">
          <w:rPr>
            <w:rStyle w:val="Hyperlink"/>
          </w:rPr>
          <w:t>)</w:t>
        </w:r>
      </w:hyperlink>
      <w:r w:rsidR="000F353C">
        <w:t xml:space="preserve"> </w:t>
      </w:r>
      <w:r w:rsidR="0073421D">
        <w:t>lists 33 active products that contain sildenafil</w:t>
      </w:r>
      <w:r w:rsidR="003362FA">
        <w:t xml:space="preserve">. This includes 5 products </w:t>
      </w:r>
      <w:r w:rsidR="00CE7F61">
        <w:t xml:space="preserve">(all are tablets containing 50 mg sildenafil) </w:t>
      </w:r>
      <w:r w:rsidR="003362FA">
        <w:t xml:space="preserve">that are available as Pharmacy medicines, </w:t>
      </w:r>
      <w:r w:rsidR="00A44C82">
        <w:t>i.e.,</w:t>
      </w:r>
      <w:r w:rsidR="00FE635C">
        <w:t xml:space="preserve"> without a prescription.</w:t>
      </w:r>
    </w:p>
    <w:p w14:paraId="777B2E4D" w14:textId="77777777" w:rsidR="003F03BA" w:rsidRDefault="003F03BA">
      <w:pPr>
        <w:rPr>
          <w:rFonts w:eastAsia="Times New Roman" w:cs="Times New Roman"/>
          <w:b/>
          <w:bCs/>
          <w:color w:val="001871"/>
          <w:sz w:val="38"/>
          <w:szCs w:val="38"/>
        </w:rPr>
      </w:pPr>
      <w:bookmarkStart w:id="32" w:name="_Toc122614225"/>
      <w:bookmarkEnd w:id="31"/>
      <w:r>
        <w:br w:type="page"/>
      </w:r>
    </w:p>
    <w:p w14:paraId="396D875C" w14:textId="07338451" w:rsidR="00685E72" w:rsidRPr="00D149A2" w:rsidRDefault="003F03BA" w:rsidP="00446F1A">
      <w:pPr>
        <w:pStyle w:val="Heading2"/>
      </w:pPr>
      <w:bookmarkStart w:id="33" w:name="_Toc164679969"/>
      <w:r>
        <w:lastRenderedPageBreak/>
        <w:t>2</w:t>
      </w:r>
      <w:r>
        <w:tab/>
      </w:r>
      <w:r w:rsidR="00685E72" w:rsidRPr="00D149A2">
        <w:t>Proposed amendments referred for scheduling advice to</w:t>
      </w:r>
      <w:r w:rsidR="00B90A0A" w:rsidRPr="00D149A2">
        <w:t> </w:t>
      </w:r>
      <w:r w:rsidR="00685E72" w:rsidRPr="00D149A2">
        <w:t>ACCS</w:t>
      </w:r>
      <w:r w:rsidR="00B90A0A" w:rsidRPr="00D149A2">
        <w:t> </w:t>
      </w:r>
      <w:r w:rsidR="00685E72" w:rsidRPr="00D149A2">
        <w:t>meeting</w:t>
      </w:r>
      <w:r w:rsidR="00B90A0A" w:rsidRPr="00D149A2">
        <w:t> </w:t>
      </w:r>
      <w:r w:rsidR="00685E72" w:rsidRPr="00D149A2">
        <w:t>#</w:t>
      </w:r>
      <w:bookmarkEnd w:id="32"/>
      <w:r>
        <w:t>39</w:t>
      </w:r>
      <w:bookmarkEnd w:id="33"/>
    </w:p>
    <w:p w14:paraId="39EEAF29" w14:textId="0BEE8DBF" w:rsidR="00685E72" w:rsidRPr="00D149A2" w:rsidRDefault="003F03BA" w:rsidP="00446F1A">
      <w:pPr>
        <w:pStyle w:val="Heading3"/>
      </w:pPr>
      <w:bookmarkStart w:id="34" w:name="_Toc164679970"/>
      <w:r>
        <w:t>2.1</w:t>
      </w:r>
      <w:r>
        <w:tab/>
        <w:t>Allyl esters</w:t>
      </w:r>
      <w:bookmarkEnd w:id="34"/>
    </w:p>
    <w:p w14:paraId="14C29076" w14:textId="100EF677" w:rsidR="00685E72" w:rsidRPr="00D149A2" w:rsidRDefault="00685E72" w:rsidP="00446F1A">
      <w:pPr>
        <w:pStyle w:val="Heading4"/>
      </w:pPr>
      <w:bookmarkStart w:id="35" w:name="_Toc122614227"/>
      <w:bookmarkStart w:id="36" w:name="_Toc164679971"/>
      <w:r w:rsidRPr="00D149A2">
        <w:t>Proposal</w:t>
      </w:r>
      <w:bookmarkEnd w:id="35"/>
      <w:bookmarkEnd w:id="36"/>
    </w:p>
    <w:p w14:paraId="3E53542C" w14:textId="6687A093" w:rsidR="00571349" w:rsidRPr="00D149A2" w:rsidRDefault="00571349" w:rsidP="00571349">
      <w:bookmarkStart w:id="37" w:name="_Toc122614228"/>
      <w:r>
        <w:t>The Department of Health and Aged Care has proposed amendments to the current Schedule 6 entry for allyl esters</w:t>
      </w:r>
      <w:r w:rsidR="001E5C85">
        <w:t xml:space="preserve"> to include four additional esters</w:t>
      </w:r>
      <w:r>
        <w:t xml:space="preserve">. </w:t>
      </w:r>
      <w:r w:rsidR="001E5C85">
        <w:t xml:space="preserve">These four esters are currently captured in Schedule 7 </w:t>
      </w:r>
      <w:r>
        <w:t>as derivative</w:t>
      </w:r>
      <w:r w:rsidR="00455AAB">
        <w:t>s</w:t>
      </w:r>
      <w:r>
        <w:t xml:space="preserve"> of allyl alcohol. The proposal follows a referral from the Australian Industrial Chemicals Introduction Scheme (AICIS</w:t>
      </w:r>
      <w:r w:rsidR="00335D73">
        <w:t xml:space="preserve">; </w:t>
      </w:r>
      <w:r w:rsidR="00A93E72">
        <w:t>former</w:t>
      </w:r>
      <w:r w:rsidR="00E56A34">
        <w:t>ly</w:t>
      </w:r>
      <w:r w:rsidR="00A93E72">
        <w:t xml:space="preserve"> </w:t>
      </w:r>
      <w:r w:rsidR="00A93E72" w:rsidRPr="00A93E72">
        <w:t>National Industrial Chemicals Notification and Assessment Scheme</w:t>
      </w:r>
      <w:r>
        <w:t>)</w:t>
      </w:r>
      <w:r w:rsidR="00335D73">
        <w:t xml:space="preserve"> </w:t>
      </w:r>
      <w:hyperlink r:id="rId32" w:history="1">
        <w:r w:rsidR="005D44FF">
          <w:rPr>
            <w:rStyle w:val="Hyperlink"/>
          </w:rPr>
          <w:t>assessment of allyl esters of acetic acid ethers</w:t>
        </w:r>
      </w:hyperlink>
      <w:r w:rsidR="005D44FF">
        <w:t xml:space="preserve"> published in June 2019.</w:t>
      </w:r>
      <w:r>
        <w:t xml:space="preserve"> </w:t>
      </w:r>
    </w:p>
    <w:p w14:paraId="5CC7BD57" w14:textId="2602D768" w:rsidR="00685E72" w:rsidRPr="00D149A2" w:rsidRDefault="00685E72" w:rsidP="00446F1A">
      <w:pPr>
        <w:pStyle w:val="Heading4"/>
      </w:pPr>
      <w:bookmarkStart w:id="38" w:name="_Toc164679972"/>
      <w:r w:rsidRPr="00D149A2">
        <w:t xml:space="preserve">CAS </w:t>
      </w:r>
      <w:r w:rsidR="00980F0C">
        <w:t>n</w:t>
      </w:r>
      <w:r w:rsidRPr="00D149A2">
        <w:t>umber</w:t>
      </w:r>
      <w:bookmarkEnd w:id="37"/>
      <w:bookmarkEnd w:id="38"/>
    </w:p>
    <w:p w14:paraId="75B7A0D2" w14:textId="5736BD09" w:rsidR="00685E72" w:rsidRDefault="00571349" w:rsidP="00446F1A">
      <w:r>
        <w:t>7493-74-5 (</w:t>
      </w:r>
      <w:r w:rsidR="00192F5A">
        <w:t>a</w:t>
      </w:r>
      <w:r>
        <w:t xml:space="preserve">llyl </w:t>
      </w:r>
      <w:proofErr w:type="spellStart"/>
      <w:r>
        <w:t>phenoxyacetate</w:t>
      </w:r>
      <w:proofErr w:type="spellEnd"/>
      <w:r>
        <w:t>)</w:t>
      </w:r>
    </w:p>
    <w:p w14:paraId="08AC3EDD" w14:textId="755F8106" w:rsidR="00571349" w:rsidRDefault="00571349" w:rsidP="00446F1A">
      <w:r>
        <w:t>67634-00-8 (</w:t>
      </w:r>
      <w:r w:rsidR="00192F5A">
        <w:t>a</w:t>
      </w:r>
      <w:r>
        <w:t>llyl (3-</w:t>
      </w:r>
      <w:proofErr w:type="gramStart"/>
      <w:r>
        <w:t>methylbutoxy)acetate</w:t>
      </w:r>
      <w:proofErr w:type="gramEnd"/>
      <w:r>
        <w:t>)</w:t>
      </w:r>
    </w:p>
    <w:p w14:paraId="61DF1CBC" w14:textId="691AD19F" w:rsidR="00571349" w:rsidRDefault="00571349" w:rsidP="00446F1A">
      <w:r>
        <w:t>67634-01-9 (</w:t>
      </w:r>
      <w:r w:rsidR="00192F5A">
        <w:t>a</w:t>
      </w:r>
      <w:r>
        <w:t>llyl (2-</w:t>
      </w:r>
      <w:proofErr w:type="gramStart"/>
      <w:r>
        <w:t>methylbutoxy)acetate</w:t>
      </w:r>
      <w:proofErr w:type="gramEnd"/>
      <w:r>
        <w:t>)</w:t>
      </w:r>
    </w:p>
    <w:p w14:paraId="0BE3CD73" w14:textId="2DDE30D2" w:rsidR="00571349" w:rsidRPr="00D149A2" w:rsidRDefault="00571349" w:rsidP="00446F1A">
      <w:r>
        <w:t>68901-15-5 (</w:t>
      </w:r>
      <w:r w:rsidR="00192F5A">
        <w:t>a</w:t>
      </w:r>
      <w:r>
        <w:t>llyl (</w:t>
      </w:r>
      <w:proofErr w:type="spellStart"/>
      <w:r>
        <w:t>cyclohexyloxy</w:t>
      </w:r>
      <w:proofErr w:type="spellEnd"/>
      <w:r>
        <w:t>)acetate)</w:t>
      </w:r>
    </w:p>
    <w:p w14:paraId="20A19FE9" w14:textId="77777777" w:rsidR="00685E72" w:rsidRPr="00D149A2" w:rsidRDefault="00685E72" w:rsidP="00446F1A">
      <w:pPr>
        <w:pStyle w:val="Heading4"/>
      </w:pPr>
      <w:bookmarkStart w:id="39" w:name="_Toc122614229"/>
      <w:bookmarkStart w:id="40" w:name="_Toc164679973"/>
      <w:r w:rsidRPr="00D149A2">
        <w:t>Alternative names</w:t>
      </w:r>
      <w:bookmarkEnd w:id="39"/>
      <w:bookmarkEnd w:id="40"/>
    </w:p>
    <w:p w14:paraId="73807ECA" w14:textId="0A00CEAA" w:rsidR="00685E72" w:rsidRDefault="00571349" w:rsidP="00446F1A">
      <w:r>
        <w:t>Acetic acid, phenoxy-, 2-propenyl ester</w:t>
      </w:r>
    </w:p>
    <w:p w14:paraId="49B876AF" w14:textId="514133F0" w:rsidR="00571349" w:rsidRDefault="00571349" w:rsidP="00446F1A">
      <w:r>
        <w:t>Acetic acid, (3-methylbutoxy)-, 2-propenyl ester</w:t>
      </w:r>
      <w:r w:rsidR="0054626E">
        <w:t>; allyl amyl glycolate</w:t>
      </w:r>
    </w:p>
    <w:p w14:paraId="1B20416C" w14:textId="77A83C42" w:rsidR="00571349" w:rsidRDefault="00571349" w:rsidP="00446F1A">
      <w:r>
        <w:t>Acetic acid, 2-(2-methylbutoxy)-, 2-propenyl ester</w:t>
      </w:r>
    </w:p>
    <w:p w14:paraId="439B569D" w14:textId="07146268" w:rsidR="00571349" w:rsidRPr="00D149A2" w:rsidRDefault="00571349" w:rsidP="00446F1A">
      <w:r>
        <w:t>Acetic acid, (</w:t>
      </w:r>
      <w:proofErr w:type="spellStart"/>
      <w:r>
        <w:t>cyclohexyloxy</w:t>
      </w:r>
      <w:proofErr w:type="spellEnd"/>
      <w:r>
        <w:t>)-, 2-propenyl ester</w:t>
      </w:r>
    </w:p>
    <w:p w14:paraId="7E2E293D" w14:textId="13566C75" w:rsidR="00685E72" w:rsidRPr="00D149A2" w:rsidRDefault="00685E72" w:rsidP="00446F1A">
      <w:pPr>
        <w:pStyle w:val="Heading4"/>
      </w:pPr>
      <w:bookmarkStart w:id="41" w:name="_Toc122614231"/>
      <w:bookmarkStart w:id="42" w:name="_Toc164679974"/>
      <w:r w:rsidRPr="00D149A2">
        <w:t>Proposed Scheduling</w:t>
      </w:r>
      <w:bookmarkEnd w:id="41"/>
      <w:bookmarkEnd w:id="42"/>
    </w:p>
    <w:p w14:paraId="1E63108E" w14:textId="3F818CB0" w:rsidR="00D6337C" w:rsidRPr="00D149A2" w:rsidRDefault="00571349" w:rsidP="00446F1A">
      <w:r>
        <w:t>These four substances are not</w:t>
      </w:r>
      <w:r w:rsidR="00D6337C" w:rsidRPr="00D149A2">
        <w:t xml:space="preserve"> currently </w:t>
      </w:r>
      <w:r>
        <w:t xml:space="preserve">explicitly </w:t>
      </w:r>
      <w:r w:rsidR="00D6337C" w:rsidRPr="00D149A2">
        <w:t>listed in the Poisons Standard</w:t>
      </w:r>
      <w:r>
        <w:t>, but</w:t>
      </w:r>
      <w:r w:rsidR="00455AAB">
        <w:t xml:space="preserve"> are</w:t>
      </w:r>
      <w:r>
        <w:t xml:space="preserve"> captured in Schedule 7 as derivatives of ALLYL ALCOHOL</w:t>
      </w:r>
      <w:r w:rsidR="00D6337C" w:rsidRPr="00D149A2">
        <w:t>:</w:t>
      </w:r>
    </w:p>
    <w:p w14:paraId="597EDF4B" w14:textId="39D54D3C" w:rsidR="00D6337C" w:rsidRPr="000011FD" w:rsidRDefault="00D6337C" w:rsidP="002E4E63">
      <w:pPr>
        <w:ind w:left="425"/>
        <w:rPr>
          <w:b/>
          <w:bCs/>
        </w:rPr>
      </w:pPr>
      <w:r w:rsidRPr="000011FD">
        <w:rPr>
          <w:b/>
          <w:bCs/>
        </w:rPr>
        <w:t xml:space="preserve">Schedule </w:t>
      </w:r>
      <w:r w:rsidR="00571349" w:rsidRPr="000011FD">
        <w:rPr>
          <w:b/>
          <w:bCs/>
        </w:rPr>
        <w:t>7</w:t>
      </w:r>
    </w:p>
    <w:p w14:paraId="73491390" w14:textId="5F449232" w:rsidR="00D6337C" w:rsidRPr="00E511DE" w:rsidRDefault="00571349" w:rsidP="002E4E63">
      <w:pPr>
        <w:ind w:left="851"/>
        <w:rPr>
          <w:color w:val="auto"/>
        </w:rPr>
      </w:pPr>
      <w:r w:rsidRPr="00E511DE">
        <w:rPr>
          <w:color w:val="auto"/>
        </w:rPr>
        <w:t>ALLYL ALCOHOL</w:t>
      </w:r>
      <w:r w:rsidR="000011FD" w:rsidRPr="00E511DE">
        <w:rPr>
          <w:color w:val="auto"/>
        </w:rPr>
        <w:t xml:space="preserve"> </w:t>
      </w:r>
      <w:r w:rsidR="000011FD" w:rsidRPr="00E511DE">
        <w:rPr>
          <w:b/>
          <w:bCs/>
          <w:color w:val="auto"/>
        </w:rPr>
        <w:t>except</w:t>
      </w:r>
      <w:r w:rsidR="000011FD" w:rsidRPr="00E511DE">
        <w:rPr>
          <w:color w:val="auto"/>
        </w:rPr>
        <w:t>:</w:t>
      </w:r>
    </w:p>
    <w:p w14:paraId="513B70DF" w14:textId="21565144" w:rsidR="000011FD" w:rsidRPr="00C90D06" w:rsidRDefault="000011FD">
      <w:pPr>
        <w:pStyle w:val="ListParagraph"/>
        <w:numPr>
          <w:ilvl w:val="0"/>
          <w:numId w:val="12"/>
        </w:numPr>
      </w:pPr>
      <w:r w:rsidRPr="00C90D06">
        <w:t>in preparations containing 5% or less of allyl esters with 0.1% or less of free allyl alcohol by weight of allyl ester; or</w:t>
      </w:r>
    </w:p>
    <w:p w14:paraId="322D0B49" w14:textId="2F221283" w:rsidR="000011FD" w:rsidRPr="00C90D06" w:rsidRDefault="000011FD">
      <w:pPr>
        <w:pStyle w:val="ListParagraph"/>
        <w:numPr>
          <w:ilvl w:val="0"/>
          <w:numId w:val="12"/>
        </w:numPr>
      </w:pPr>
      <w:r w:rsidRPr="00C90D06">
        <w:t>when separately specified in these Schedules.</w:t>
      </w:r>
    </w:p>
    <w:p w14:paraId="55807AEA" w14:textId="77777777" w:rsidR="00D6337C" w:rsidRPr="000011FD" w:rsidRDefault="00D6337C" w:rsidP="00FA403B">
      <w:pPr>
        <w:ind w:left="425"/>
        <w:rPr>
          <w:b/>
          <w:bCs/>
        </w:rPr>
      </w:pPr>
      <w:r w:rsidRPr="000011FD">
        <w:rPr>
          <w:b/>
          <w:bCs/>
        </w:rPr>
        <w:t>Index</w:t>
      </w:r>
    </w:p>
    <w:p w14:paraId="3CF849BC" w14:textId="3670FFA9" w:rsidR="00D6337C" w:rsidRPr="000011FD" w:rsidRDefault="000011FD" w:rsidP="002E4E63">
      <w:pPr>
        <w:ind w:left="851"/>
        <w:rPr>
          <w:b/>
          <w:bCs/>
        </w:rPr>
      </w:pPr>
      <w:r w:rsidRPr="000011FD">
        <w:rPr>
          <w:b/>
          <w:bCs/>
        </w:rPr>
        <w:t>ALLYL ALCOHOL</w:t>
      </w:r>
    </w:p>
    <w:p w14:paraId="0CA935FA" w14:textId="37BB568C" w:rsidR="000011FD" w:rsidRPr="00D149A2" w:rsidRDefault="000011FD" w:rsidP="000455C8">
      <w:pPr>
        <w:ind w:left="851"/>
      </w:pPr>
      <w:r>
        <w:t>Schedule 7</w:t>
      </w:r>
      <w:r>
        <w:br/>
        <w:t>Appendix J, clause 1</w:t>
      </w:r>
    </w:p>
    <w:p w14:paraId="69DC8D70" w14:textId="77777777" w:rsidR="00192F5A" w:rsidRDefault="00192F5A">
      <w:r>
        <w:br w:type="page"/>
      </w:r>
    </w:p>
    <w:p w14:paraId="350E99CF" w14:textId="4003B8FD" w:rsidR="00D6337C" w:rsidRPr="00D149A2" w:rsidRDefault="00D6337C" w:rsidP="00446F1A">
      <w:r w:rsidRPr="000011FD">
        <w:lastRenderedPageBreak/>
        <w:t xml:space="preserve">The </w:t>
      </w:r>
      <w:r w:rsidR="000011FD" w:rsidRPr="000011FD">
        <w:t xml:space="preserve">Delegate’s </w:t>
      </w:r>
      <w:r w:rsidRPr="000011FD">
        <w:t>proposed amendments to the Poisons Standard are</w:t>
      </w:r>
      <w:r w:rsidRPr="00E511DE">
        <w:rPr>
          <w:rStyle w:val="FootnoteReference"/>
          <w:bCs/>
        </w:rPr>
        <w:footnoteReference w:id="2"/>
      </w:r>
      <w:r w:rsidR="001D2246">
        <w:t>:</w:t>
      </w:r>
    </w:p>
    <w:p w14:paraId="0C2F6F82" w14:textId="325D24BB" w:rsidR="00D6337C" w:rsidRPr="000011FD" w:rsidRDefault="00D6337C" w:rsidP="002E4E63">
      <w:pPr>
        <w:ind w:left="425"/>
        <w:rPr>
          <w:b/>
          <w:bCs/>
        </w:rPr>
      </w:pPr>
      <w:r w:rsidRPr="000011FD">
        <w:rPr>
          <w:b/>
          <w:bCs/>
        </w:rPr>
        <w:t xml:space="preserve">Schedule </w:t>
      </w:r>
      <w:r w:rsidR="000011FD" w:rsidRPr="000011FD">
        <w:rPr>
          <w:b/>
          <w:bCs/>
        </w:rPr>
        <w:t>6</w:t>
      </w:r>
      <w:r w:rsidRPr="000011FD">
        <w:rPr>
          <w:b/>
          <w:bCs/>
        </w:rPr>
        <w:t xml:space="preserve"> –</w:t>
      </w:r>
      <w:r w:rsidR="000011FD" w:rsidRPr="000011FD">
        <w:rPr>
          <w:b/>
          <w:bCs/>
        </w:rPr>
        <w:t xml:space="preserve"> </w:t>
      </w:r>
      <w:r w:rsidRPr="000011FD">
        <w:rPr>
          <w:b/>
          <w:bCs/>
        </w:rPr>
        <w:t>Amend Entry</w:t>
      </w:r>
    </w:p>
    <w:p w14:paraId="12D58D22" w14:textId="1A2171A5" w:rsidR="00D6337C" w:rsidRDefault="000011FD" w:rsidP="002E4E63">
      <w:pPr>
        <w:ind w:left="425"/>
      </w:pPr>
      <w:r>
        <w:t>ALLYL ESTERS (excluding derivatives) being:</w:t>
      </w:r>
    </w:p>
    <w:p w14:paraId="0A0DC6FC" w14:textId="3B7EA7D8" w:rsidR="000011FD" w:rsidRDefault="000011FD">
      <w:pPr>
        <w:pStyle w:val="ListParagraph"/>
        <w:numPr>
          <w:ilvl w:val="0"/>
          <w:numId w:val="11"/>
        </w:numPr>
      </w:pPr>
      <w:r>
        <w:t>ALLYL CYCLOHEXANEACETATE (CAS No. 4728-82-9); or</w:t>
      </w:r>
    </w:p>
    <w:p w14:paraId="02D410E4" w14:textId="13E75450" w:rsidR="000011FD" w:rsidRDefault="000011FD">
      <w:pPr>
        <w:pStyle w:val="ListParagraph"/>
        <w:numPr>
          <w:ilvl w:val="0"/>
          <w:numId w:val="11"/>
        </w:numPr>
      </w:pPr>
      <w:r>
        <w:t>ALLYL CYCLOHEXANEPROPIONATE (CAS No. 2705-87-5); or</w:t>
      </w:r>
    </w:p>
    <w:p w14:paraId="3190F2CF" w14:textId="10E5031D" w:rsidR="000011FD" w:rsidRDefault="000011FD">
      <w:pPr>
        <w:pStyle w:val="ListParagraph"/>
        <w:numPr>
          <w:ilvl w:val="0"/>
          <w:numId w:val="11"/>
        </w:numPr>
      </w:pPr>
      <w:r>
        <w:t>ALLYL HEPTANOATE/ALLYL HEPTYLATE (CAS No. 142-19-8); or</w:t>
      </w:r>
    </w:p>
    <w:p w14:paraId="0BE4BD93" w14:textId="6FBBB2B8" w:rsidR="000011FD" w:rsidRDefault="000011FD">
      <w:pPr>
        <w:pStyle w:val="ListParagraph"/>
        <w:numPr>
          <w:ilvl w:val="0"/>
          <w:numId w:val="11"/>
        </w:numPr>
      </w:pPr>
      <w:r>
        <w:t>ALLYL HEXANOATE (CAS No. 123-68-2); or</w:t>
      </w:r>
    </w:p>
    <w:p w14:paraId="15FFCE38" w14:textId="4F070605" w:rsidR="000011FD" w:rsidRDefault="000011FD">
      <w:pPr>
        <w:pStyle w:val="ListParagraph"/>
        <w:numPr>
          <w:ilvl w:val="0"/>
          <w:numId w:val="11"/>
        </w:numPr>
      </w:pPr>
      <w:r>
        <w:t>ALLYL ISOVALERATE (CAS No. 2835-39-4); or</w:t>
      </w:r>
    </w:p>
    <w:p w14:paraId="2B39B8A2" w14:textId="73B7616A" w:rsidR="000011FD" w:rsidRDefault="000011FD">
      <w:pPr>
        <w:pStyle w:val="ListParagraph"/>
        <w:numPr>
          <w:ilvl w:val="0"/>
          <w:numId w:val="11"/>
        </w:numPr>
      </w:pPr>
      <w:r>
        <w:t xml:space="preserve">ALLYL </w:t>
      </w:r>
      <w:r w:rsidR="00984850">
        <w:t>NONANOATE (CAS No. 7493-72-3); or</w:t>
      </w:r>
    </w:p>
    <w:p w14:paraId="5868F648" w14:textId="2FA697CA" w:rsidR="00984850" w:rsidRPr="00C67043" w:rsidRDefault="00984850">
      <w:pPr>
        <w:pStyle w:val="ListParagraph"/>
        <w:numPr>
          <w:ilvl w:val="0"/>
          <w:numId w:val="11"/>
        </w:numPr>
      </w:pPr>
      <w:r w:rsidRPr="00C67043">
        <w:t>ALLYL OCTANOATE (CAS No. 4230-97-1); or</w:t>
      </w:r>
    </w:p>
    <w:p w14:paraId="6C881495" w14:textId="0D04D86E" w:rsidR="00984850" w:rsidRPr="00C67043" w:rsidRDefault="00984850">
      <w:pPr>
        <w:pStyle w:val="ListParagraph"/>
        <w:numPr>
          <w:ilvl w:val="0"/>
          <w:numId w:val="11"/>
        </w:numPr>
      </w:pPr>
      <w:r w:rsidRPr="00C67043">
        <w:t>ALLYL PHENYLACETATE (CAS No. 1797-74-6); or</w:t>
      </w:r>
    </w:p>
    <w:p w14:paraId="3F1C782B" w14:textId="439BA437" w:rsidR="00984850" w:rsidRPr="00E511DE" w:rsidRDefault="00984850">
      <w:pPr>
        <w:pStyle w:val="ListParagraph"/>
        <w:numPr>
          <w:ilvl w:val="0"/>
          <w:numId w:val="11"/>
        </w:numPr>
        <w:rPr>
          <w:u w:val="single"/>
        </w:rPr>
      </w:pPr>
      <w:r w:rsidRPr="000C3FE0">
        <w:t xml:space="preserve">ALLYL TRIMETHYLHEXANOATE (CAS No. 68132-80-9); </w:t>
      </w:r>
      <w:r w:rsidRPr="00E511DE">
        <w:rPr>
          <w:u w:val="single"/>
        </w:rPr>
        <w:t>or</w:t>
      </w:r>
    </w:p>
    <w:p w14:paraId="6CA147CB" w14:textId="475E7553" w:rsidR="00984850" w:rsidRPr="00ED4C36" w:rsidRDefault="00984850">
      <w:pPr>
        <w:pStyle w:val="ListParagraph"/>
        <w:numPr>
          <w:ilvl w:val="0"/>
          <w:numId w:val="11"/>
        </w:numPr>
        <w:rPr>
          <w:color w:val="00B050"/>
          <w:u w:val="single"/>
        </w:rPr>
      </w:pPr>
      <w:r w:rsidRPr="00ED4C36">
        <w:rPr>
          <w:color w:val="00B050"/>
          <w:u w:val="single"/>
        </w:rPr>
        <w:t>ALLYL PHENOXYACETATE (CAS No. 7493-74-5); or</w:t>
      </w:r>
    </w:p>
    <w:p w14:paraId="43A3D0E1" w14:textId="55217ADD" w:rsidR="00984850" w:rsidRPr="00ED4C36" w:rsidRDefault="00984850">
      <w:pPr>
        <w:pStyle w:val="ListParagraph"/>
        <w:numPr>
          <w:ilvl w:val="0"/>
          <w:numId w:val="11"/>
        </w:numPr>
        <w:rPr>
          <w:color w:val="00B050"/>
          <w:u w:val="single"/>
        </w:rPr>
      </w:pPr>
      <w:r w:rsidRPr="00ED4C36">
        <w:rPr>
          <w:color w:val="00B050"/>
          <w:u w:val="single"/>
        </w:rPr>
        <w:t xml:space="preserve">ALLYL </w:t>
      </w:r>
      <w:r w:rsidR="0054626E" w:rsidRPr="00ED4C36">
        <w:rPr>
          <w:color w:val="00B050"/>
          <w:u w:val="single"/>
        </w:rPr>
        <w:t>AMYL GLYCOLATE</w:t>
      </w:r>
      <w:r w:rsidRPr="00ED4C36">
        <w:rPr>
          <w:color w:val="00B050"/>
          <w:u w:val="single"/>
        </w:rPr>
        <w:t xml:space="preserve"> (CAS No. 67634-00-8); or</w:t>
      </w:r>
    </w:p>
    <w:p w14:paraId="46631E71" w14:textId="285CC489" w:rsidR="00984850" w:rsidRPr="00ED4C36" w:rsidRDefault="00984850">
      <w:pPr>
        <w:pStyle w:val="ListParagraph"/>
        <w:numPr>
          <w:ilvl w:val="0"/>
          <w:numId w:val="11"/>
        </w:numPr>
        <w:rPr>
          <w:color w:val="00B050"/>
          <w:u w:val="single"/>
        </w:rPr>
      </w:pPr>
      <w:r w:rsidRPr="00ED4C36">
        <w:rPr>
          <w:color w:val="00B050"/>
          <w:u w:val="single"/>
        </w:rPr>
        <w:t>ALLYL (2-</w:t>
      </w:r>
      <w:proofErr w:type="gramStart"/>
      <w:r w:rsidRPr="00ED4C36">
        <w:rPr>
          <w:color w:val="00B050"/>
          <w:u w:val="single"/>
        </w:rPr>
        <w:t>METHYLBUTOXY)ACETATE</w:t>
      </w:r>
      <w:proofErr w:type="gramEnd"/>
      <w:r w:rsidRPr="00ED4C36">
        <w:rPr>
          <w:color w:val="00B050"/>
          <w:u w:val="single"/>
        </w:rPr>
        <w:t xml:space="preserve"> (CAS No. 67634-01-9); or</w:t>
      </w:r>
    </w:p>
    <w:p w14:paraId="432A25C6" w14:textId="48F68404" w:rsidR="00984850" w:rsidRPr="00ED4C36" w:rsidRDefault="00984850">
      <w:pPr>
        <w:pStyle w:val="ListParagraph"/>
        <w:numPr>
          <w:ilvl w:val="0"/>
          <w:numId w:val="11"/>
        </w:numPr>
        <w:rPr>
          <w:color w:val="00B050"/>
          <w:u w:val="single"/>
        </w:rPr>
      </w:pPr>
      <w:r w:rsidRPr="00ED4C36">
        <w:rPr>
          <w:color w:val="00B050"/>
          <w:u w:val="single"/>
        </w:rPr>
        <w:t>ALLYL (CYCLOHEXYLOXY)ACETATE (CAS No. 68901-15-5</w:t>
      </w:r>
      <w:proofErr w:type="gramStart"/>
      <w:r w:rsidRPr="00ED4C36">
        <w:rPr>
          <w:color w:val="00B050"/>
          <w:u w:val="single"/>
        </w:rPr>
        <w:t>);</w:t>
      </w:r>
      <w:proofErr w:type="gramEnd"/>
    </w:p>
    <w:p w14:paraId="323403BF" w14:textId="6F871ABC" w:rsidR="00984850" w:rsidRPr="00D149A2" w:rsidRDefault="00984850" w:rsidP="000455C8">
      <w:pPr>
        <w:ind w:left="992"/>
      </w:pPr>
      <w:r>
        <w:t xml:space="preserve">in preparations containing 0.1% or less of free allyl alcohol by weight of allyl ester </w:t>
      </w:r>
      <w:r w:rsidRPr="00984850">
        <w:rPr>
          <w:b/>
          <w:bCs/>
        </w:rPr>
        <w:t>except</w:t>
      </w:r>
      <w:r>
        <w:t xml:space="preserve"> in preparations containing 5% or less of allyl esters with 0.1% or less of free allyl alcohol by weight of allyl esters.</w:t>
      </w:r>
    </w:p>
    <w:p w14:paraId="691E22DB" w14:textId="77777777" w:rsidR="00D6337C" w:rsidRPr="00D149A2" w:rsidRDefault="00D6337C" w:rsidP="00446F1A">
      <w:pPr>
        <w:pStyle w:val="Heading4"/>
      </w:pPr>
      <w:bookmarkStart w:id="43" w:name="_Toc164679975"/>
      <w:r w:rsidRPr="00D149A2">
        <w:t>Background</w:t>
      </w:r>
      <w:bookmarkEnd w:id="43"/>
    </w:p>
    <w:p w14:paraId="442C0B64" w14:textId="7264D6C9" w:rsidR="00D6337C" w:rsidRPr="00D149A2" w:rsidRDefault="00467FF9" w:rsidP="00446F1A">
      <w:r>
        <w:t xml:space="preserve">The </w:t>
      </w:r>
      <w:r w:rsidR="00192F5A">
        <w:t>4</w:t>
      </w:r>
      <w:r>
        <w:t xml:space="preserve"> substances that are the subject of this </w:t>
      </w:r>
      <w:r w:rsidR="000D502C">
        <w:t>proposal</w:t>
      </w:r>
      <w:r>
        <w:t xml:space="preserve"> are esters of allyl alcohol and an </w:t>
      </w:r>
      <w:proofErr w:type="spellStart"/>
      <w:r>
        <w:t>alkoxycarboxylic</w:t>
      </w:r>
      <w:proofErr w:type="spellEnd"/>
      <w:r>
        <w:t xml:space="preserve"> acid. </w:t>
      </w:r>
      <w:r w:rsidR="00061669">
        <w:t xml:space="preserve">They are </w:t>
      </w:r>
      <w:r w:rsidR="00192F5A">
        <w:t xml:space="preserve">all </w:t>
      </w:r>
      <w:r w:rsidR="00061669">
        <w:t>used in food flavouring</w:t>
      </w:r>
      <w:r w:rsidR="00313F68">
        <w:t>s</w:t>
      </w:r>
      <w:r w:rsidR="00061669">
        <w:t xml:space="preserve"> or as fragrance components.</w:t>
      </w:r>
    </w:p>
    <w:p w14:paraId="68BDE161" w14:textId="0FEEFDD2" w:rsidR="00D6337C" w:rsidRPr="00D149A2" w:rsidRDefault="00D6337C" w:rsidP="00446F1A">
      <w:pPr>
        <w:pStyle w:val="Heading4"/>
      </w:pPr>
      <w:bookmarkStart w:id="44" w:name="_Toc164679976"/>
      <w:r w:rsidRPr="00D149A2">
        <w:t>Summary of reasons for the proposal</w:t>
      </w:r>
      <w:bookmarkEnd w:id="44"/>
    </w:p>
    <w:p w14:paraId="57C33635" w14:textId="53498B4A" w:rsidR="00FC4CEC" w:rsidRDefault="00FC4CEC" w:rsidP="001B6547">
      <w:pPr>
        <w:pStyle w:val="ListBullet"/>
      </w:pPr>
      <w:r>
        <w:t xml:space="preserve">The acute toxicity data relating to the four allyl </w:t>
      </w:r>
      <w:r w:rsidRPr="00DB7380">
        <w:t>esters</w:t>
      </w:r>
      <w:r>
        <w:t xml:space="preserve"> in the AICIS referral are consistent with that of the substances already included in the Schedule 6 entry for allyl esters. The data </w:t>
      </w:r>
      <w:r w:rsidR="005D44FF">
        <w:t>is</w:t>
      </w:r>
      <w:r>
        <w:t xml:space="preserve"> also consistent with the Scheduling Policy Framework factors for Schedule 6.</w:t>
      </w:r>
    </w:p>
    <w:p w14:paraId="23D44199" w14:textId="361906F9" w:rsidR="00FC4CEC" w:rsidRDefault="00FC4CEC" w:rsidP="001B6547">
      <w:pPr>
        <w:pStyle w:val="ListBullet"/>
      </w:pPr>
      <w:r>
        <w:t xml:space="preserve">The </w:t>
      </w:r>
      <w:r w:rsidR="00192F5A">
        <w:t>4</w:t>
      </w:r>
      <w:r>
        <w:t xml:space="preserve"> substances already have reported use in a range of domestic products, including air fresheners, surface wipes, cleaning products, </w:t>
      </w:r>
      <w:r w:rsidR="000D502C">
        <w:t xml:space="preserve">cosmetics </w:t>
      </w:r>
      <w:r w:rsidR="00472D85">
        <w:t>and as food additives. There is minimal/no information indicating hazards to human health resulting from use in these products.</w:t>
      </w:r>
    </w:p>
    <w:p w14:paraId="4F0E509A" w14:textId="5E43ED26" w:rsidR="00192F5A" w:rsidRDefault="00192F5A" w:rsidP="001B6547">
      <w:pPr>
        <w:pStyle w:val="ListBullet"/>
      </w:pPr>
      <w:r>
        <w:t xml:space="preserve">The substances are metabolised in the liver </w:t>
      </w:r>
      <w:proofErr w:type="gramStart"/>
      <w:r>
        <w:t>similar to</w:t>
      </w:r>
      <w:proofErr w:type="gramEnd"/>
      <w:r>
        <w:t xml:space="preserve"> the other scheduled allyl esters.</w:t>
      </w:r>
    </w:p>
    <w:p w14:paraId="522C16D0" w14:textId="5126C793" w:rsidR="00D6337C" w:rsidRPr="00D149A2" w:rsidRDefault="00D6337C" w:rsidP="00446F1A">
      <w:pPr>
        <w:pStyle w:val="Heading4"/>
      </w:pPr>
      <w:bookmarkStart w:id="45" w:name="_Toc164679977"/>
      <w:r w:rsidRPr="00D149A2">
        <w:lastRenderedPageBreak/>
        <w:t xml:space="preserve">Key uses / expected </w:t>
      </w:r>
      <w:proofErr w:type="gramStart"/>
      <w:r w:rsidRPr="00D149A2">
        <w:t>use</w:t>
      </w:r>
      <w:bookmarkEnd w:id="45"/>
      <w:proofErr w:type="gramEnd"/>
    </w:p>
    <w:p w14:paraId="00740E7F" w14:textId="168BA06D" w:rsidR="00D6337C" w:rsidRPr="00D149A2" w:rsidRDefault="00D6337C" w:rsidP="00446F1A">
      <w:r w:rsidRPr="00472D85">
        <w:t>Medicines, cosmetic</w:t>
      </w:r>
      <w:r w:rsidR="00472D85" w:rsidRPr="00472D85">
        <w:t>s</w:t>
      </w:r>
      <w:r w:rsidRPr="00472D85">
        <w:t>, domestic</w:t>
      </w:r>
      <w:r w:rsidR="00472D85" w:rsidRPr="00472D85">
        <w:t xml:space="preserve"> products</w:t>
      </w:r>
      <w:r w:rsidRPr="00472D85">
        <w:t>, veterinary</w:t>
      </w:r>
      <w:r w:rsidR="00472D85" w:rsidRPr="00472D85">
        <w:t xml:space="preserve"> medicines</w:t>
      </w:r>
      <w:r w:rsidRPr="00472D85">
        <w:t>, industrial use</w:t>
      </w:r>
      <w:r w:rsidR="004C1BCC">
        <w:t>.</w:t>
      </w:r>
    </w:p>
    <w:p w14:paraId="7F5CC4F2" w14:textId="77777777" w:rsidR="00D6337C" w:rsidRPr="00D149A2" w:rsidRDefault="00D6337C" w:rsidP="00446F1A">
      <w:pPr>
        <w:pStyle w:val="Heading4"/>
      </w:pPr>
      <w:bookmarkStart w:id="46" w:name="_Toc164679978"/>
      <w:r w:rsidRPr="00D149A2">
        <w:t>Australian regulations</w:t>
      </w:r>
      <w:bookmarkEnd w:id="46"/>
    </w:p>
    <w:p w14:paraId="051D2E3D" w14:textId="6717D0F0" w:rsidR="00D6337C" w:rsidRPr="00D149A2" w:rsidRDefault="00D6337C" w:rsidP="001B6547">
      <w:pPr>
        <w:pStyle w:val="ListBullet"/>
      </w:pPr>
      <w:r w:rsidRPr="00D149A2">
        <w:t xml:space="preserve">According to the </w:t>
      </w:r>
      <w:hyperlink r:id="rId33" w:history="1">
        <w:r w:rsidRPr="00D149A2">
          <w:rPr>
            <w:rStyle w:val="Hyperlink"/>
          </w:rPr>
          <w:t>TGA Ingredient Database</w:t>
        </w:r>
      </w:hyperlink>
      <w:r w:rsidRPr="00D149A2">
        <w:t xml:space="preserve">, </w:t>
      </w:r>
      <w:r w:rsidR="00472D85">
        <w:t xml:space="preserve">allyl </w:t>
      </w:r>
      <w:proofErr w:type="spellStart"/>
      <w:r w:rsidR="00472D85">
        <w:t>phenoxyacetate</w:t>
      </w:r>
      <w:proofErr w:type="spellEnd"/>
      <w:r w:rsidR="00472D85">
        <w:t xml:space="preserve"> and </w:t>
      </w:r>
      <w:r w:rsidR="00FB5F47">
        <w:t xml:space="preserve">allyl </w:t>
      </w:r>
      <w:r w:rsidR="0054626E">
        <w:t>amyl glycolate</w:t>
      </w:r>
      <w:r w:rsidRPr="00D149A2">
        <w:t xml:space="preserve"> </w:t>
      </w:r>
      <w:r w:rsidR="00FB5F47">
        <w:t>are</w:t>
      </w:r>
      <w:r w:rsidRPr="00D149A2">
        <w:t>:</w:t>
      </w:r>
    </w:p>
    <w:p w14:paraId="5C0F06F6" w14:textId="4AE60555" w:rsidR="00D6337C" w:rsidRDefault="00FB5F47">
      <w:pPr>
        <w:pStyle w:val="ListBullet2"/>
        <w:numPr>
          <w:ilvl w:val="1"/>
          <w:numId w:val="15"/>
        </w:numPr>
        <w:ind w:left="714" w:hanging="357"/>
      </w:pPr>
      <w:r>
        <w:t xml:space="preserve">Available for use as an Active Ingredient in Biologicals and Prescription </w:t>
      </w:r>
      <w:r w:rsidR="00323892">
        <w:t>M</w:t>
      </w:r>
      <w:r>
        <w:t>edicines</w:t>
      </w:r>
    </w:p>
    <w:p w14:paraId="582CD0A3" w14:textId="68381762" w:rsidR="00FB5F47" w:rsidRDefault="00FB5F47">
      <w:pPr>
        <w:pStyle w:val="ListBullet2"/>
        <w:numPr>
          <w:ilvl w:val="1"/>
          <w:numId w:val="15"/>
        </w:numPr>
        <w:ind w:left="714" w:hanging="357"/>
      </w:pPr>
      <w:r>
        <w:t>Available for use as an Excipient Ingredient in Biologicals, Devices, Export Only, Listed Medicines, Over the Counter and Prescription Medicines</w:t>
      </w:r>
    </w:p>
    <w:p w14:paraId="2AEE8BCB" w14:textId="1C75A498" w:rsidR="005D4D22" w:rsidRDefault="00323892">
      <w:pPr>
        <w:pStyle w:val="ListBullet2"/>
        <w:numPr>
          <w:ilvl w:val="1"/>
          <w:numId w:val="15"/>
        </w:numPr>
        <w:ind w:left="714" w:hanging="357"/>
      </w:pPr>
      <w:r>
        <w:t>Not available as an Equivalent Ingredient in any application</w:t>
      </w:r>
      <w:r w:rsidR="004C1BCC">
        <w:t>.</w:t>
      </w:r>
    </w:p>
    <w:p w14:paraId="6485DD81" w14:textId="5EF9A9A8" w:rsidR="00770688" w:rsidRPr="00D149A2" w:rsidRDefault="00770688">
      <w:pPr>
        <w:pStyle w:val="ListBullet2"/>
        <w:numPr>
          <w:ilvl w:val="1"/>
          <w:numId w:val="15"/>
        </w:numPr>
        <w:ind w:left="714" w:hanging="357"/>
      </w:pPr>
      <w:r>
        <w:t>The other two allyl esters are not included in the database.</w:t>
      </w:r>
    </w:p>
    <w:p w14:paraId="478AFC0F" w14:textId="1B097CB8" w:rsidR="00D6337C" w:rsidRPr="00D149A2" w:rsidRDefault="00D6337C" w:rsidP="001B6547">
      <w:pPr>
        <w:pStyle w:val="ListBullet"/>
      </w:pPr>
      <w:r w:rsidRPr="00D149A2">
        <w:t xml:space="preserve">As of </w:t>
      </w:r>
      <w:r w:rsidR="005D44FF">
        <w:t>April</w:t>
      </w:r>
      <w:r w:rsidRPr="000918B3">
        <w:t xml:space="preserve"> 20</w:t>
      </w:r>
      <w:r w:rsidR="00BF75F2" w:rsidRPr="000918B3">
        <w:t>24</w:t>
      </w:r>
      <w:r w:rsidRPr="00D149A2">
        <w:t xml:space="preserve">, there were </w:t>
      </w:r>
      <w:r w:rsidR="00BF75F2">
        <w:t>2</w:t>
      </w:r>
      <w:r w:rsidRPr="00D149A2">
        <w:t xml:space="preserve"> medicines currently active on the </w:t>
      </w:r>
      <w:hyperlink r:id="rId34" w:history="1">
        <w:r w:rsidRPr="00D149A2">
          <w:rPr>
            <w:rStyle w:val="Hyperlink"/>
          </w:rPr>
          <w:t>Australian Register of Therapeutic Goods (ARTG)</w:t>
        </w:r>
      </w:hyperlink>
      <w:r w:rsidRPr="00D149A2">
        <w:t xml:space="preserve"> that contain </w:t>
      </w:r>
      <w:r w:rsidR="004C1BCC">
        <w:t xml:space="preserve">only </w:t>
      </w:r>
      <w:r w:rsidR="00BF75F2">
        <w:t xml:space="preserve">one of the specified allyl esters </w:t>
      </w:r>
      <w:r w:rsidR="00770688">
        <w:t xml:space="preserve">(allyl </w:t>
      </w:r>
      <w:proofErr w:type="spellStart"/>
      <w:r w:rsidR="00770688">
        <w:t>cyclohexyloxyacetate</w:t>
      </w:r>
      <w:proofErr w:type="spellEnd"/>
      <w:r w:rsidR="00770688">
        <w:t xml:space="preserve"> or allyl amyl glycolate) </w:t>
      </w:r>
      <w:r w:rsidRPr="00D149A2">
        <w:t xml:space="preserve">as an </w:t>
      </w:r>
      <w:r w:rsidR="00BF75F2">
        <w:t xml:space="preserve">excipient </w:t>
      </w:r>
      <w:r w:rsidRPr="00D149A2">
        <w:t xml:space="preserve">ingredient. </w:t>
      </w:r>
      <w:r w:rsidR="000918B3">
        <w:t xml:space="preserve">Both are </w:t>
      </w:r>
      <w:r w:rsidRPr="00D149A2">
        <w:t>non-prescription medicines.</w:t>
      </w:r>
    </w:p>
    <w:p w14:paraId="3741E0AE" w14:textId="2450A445" w:rsidR="00D6337C" w:rsidRPr="00D149A2" w:rsidRDefault="00D6337C" w:rsidP="001B6547">
      <w:pPr>
        <w:pStyle w:val="ListBullet"/>
      </w:pPr>
      <w:r w:rsidRPr="00D149A2">
        <w:t xml:space="preserve">According to the </w:t>
      </w:r>
      <w:hyperlink r:id="rId35" w:history="1">
        <w:r w:rsidRPr="00D149A2">
          <w:rPr>
            <w:rStyle w:val="Hyperlink"/>
          </w:rPr>
          <w:t>Therapeutic Goods (Permissible Ingredients) Determination</w:t>
        </w:r>
      </w:hyperlink>
      <w:r w:rsidRPr="00D149A2">
        <w:t xml:space="preserve"> No.</w:t>
      </w:r>
      <w:r w:rsidR="000918B3">
        <w:t>1</w:t>
      </w:r>
      <w:r w:rsidRPr="00D149A2">
        <w:t xml:space="preserve"> of 20</w:t>
      </w:r>
      <w:r w:rsidR="000918B3">
        <w:t>24</w:t>
      </w:r>
      <w:r w:rsidRPr="00D149A2">
        <w:t xml:space="preserve">, </w:t>
      </w:r>
      <w:r w:rsidR="000918B3">
        <w:t>these allyl esters are</w:t>
      </w:r>
      <w:r w:rsidRPr="00D149A2">
        <w:t xml:space="preserve"> permitted to be included in listed medicines as follows</w:t>
      </w:r>
      <w:r w:rsidR="00CC77C3">
        <w:t xml:space="preserve"> (allyl (2-methoxybutoxy)</w:t>
      </w:r>
      <w:r w:rsidR="002025A9">
        <w:t xml:space="preserve"> </w:t>
      </w:r>
      <w:r w:rsidR="00CC77C3">
        <w:t>acetate is not included in the Determination)</w:t>
      </w:r>
      <w:r w:rsidRPr="00D149A2">
        <w:t>:</w:t>
      </w:r>
    </w:p>
    <w:tbl>
      <w:tblPr>
        <w:tblStyle w:val="TableTGAblue"/>
        <w:tblW w:w="8646" w:type="dxa"/>
        <w:tblInd w:w="274" w:type="dxa"/>
        <w:tblLook w:val="04A0" w:firstRow="1" w:lastRow="0" w:firstColumn="1" w:lastColumn="0" w:noHBand="0" w:noVBand="1"/>
      </w:tblPr>
      <w:tblGrid>
        <w:gridCol w:w="1029"/>
        <w:gridCol w:w="2637"/>
        <w:gridCol w:w="1153"/>
        <w:gridCol w:w="3827"/>
      </w:tblGrid>
      <w:tr w:rsidR="00CD415A" w:rsidRPr="00CD415A" w14:paraId="1C68B287" w14:textId="77777777" w:rsidTr="00192F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9" w:type="dxa"/>
          </w:tcPr>
          <w:p w14:paraId="755547A7" w14:textId="77777777" w:rsidR="00D6337C" w:rsidRPr="006E5392" w:rsidRDefault="00D6337C" w:rsidP="006E5392">
            <w:pPr>
              <w:spacing w:before="60" w:after="60"/>
              <w:rPr>
                <w:color w:val="FFFFFF" w:themeColor="background1"/>
                <w:szCs w:val="18"/>
              </w:rPr>
            </w:pPr>
            <w:r w:rsidRPr="006E5392">
              <w:rPr>
                <w:color w:val="FFFFFF" w:themeColor="background1"/>
                <w:szCs w:val="18"/>
              </w:rPr>
              <w:t>Item</w:t>
            </w:r>
          </w:p>
        </w:tc>
        <w:tc>
          <w:tcPr>
            <w:tcW w:w="2637" w:type="dxa"/>
          </w:tcPr>
          <w:p w14:paraId="63AAC6B4" w14:textId="77777777" w:rsidR="00D6337C" w:rsidRPr="006E5392" w:rsidRDefault="00D6337C" w:rsidP="006E5392">
            <w:pPr>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szCs w:val="18"/>
              </w:rPr>
            </w:pPr>
            <w:r w:rsidRPr="006E5392">
              <w:rPr>
                <w:color w:val="FFFFFF" w:themeColor="background1"/>
                <w:szCs w:val="18"/>
              </w:rPr>
              <w:t>Ingredient name</w:t>
            </w:r>
          </w:p>
        </w:tc>
        <w:tc>
          <w:tcPr>
            <w:tcW w:w="1153" w:type="dxa"/>
          </w:tcPr>
          <w:p w14:paraId="2995DD1B" w14:textId="77777777" w:rsidR="00D6337C" w:rsidRPr="006E5392" w:rsidRDefault="00D6337C" w:rsidP="006E5392">
            <w:pPr>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szCs w:val="18"/>
              </w:rPr>
            </w:pPr>
            <w:r w:rsidRPr="006E5392">
              <w:rPr>
                <w:color w:val="FFFFFF" w:themeColor="background1"/>
                <w:szCs w:val="18"/>
              </w:rPr>
              <w:t>Purpose</w:t>
            </w:r>
          </w:p>
        </w:tc>
        <w:tc>
          <w:tcPr>
            <w:tcW w:w="3827" w:type="dxa"/>
          </w:tcPr>
          <w:p w14:paraId="755015FE" w14:textId="77777777" w:rsidR="00D6337C" w:rsidRPr="006E5392" w:rsidRDefault="00D6337C" w:rsidP="006E5392">
            <w:pPr>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szCs w:val="18"/>
              </w:rPr>
            </w:pPr>
            <w:r w:rsidRPr="006E5392">
              <w:rPr>
                <w:color w:val="FFFFFF" w:themeColor="background1"/>
                <w:szCs w:val="18"/>
              </w:rPr>
              <w:t>Specific requirements</w:t>
            </w:r>
          </w:p>
        </w:tc>
      </w:tr>
      <w:tr w:rsidR="00D6337C" w:rsidRPr="000918B3" w14:paraId="23C25B03" w14:textId="77777777" w:rsidTr="00192F5A">
        <w:tc>
          <w:tcPr>
            <w:cnfStyle w:val="001000000000" w:firstRow="0" w:lastRow="0" w:firstColumn="1" w:lastColumn="0" w:oddVBand="0" w:evenVBand="0" w:oddHBand="0" w:evenHBand="0" w:firstRowFirstColumn="0" w:firstRowLastColumn="0" w:lastRowFirstColumn="0" w:lastRowLastColumn="0"/>
            <w:tcW w:w="1029" w:type="dxa"/>
          </w:tcPr>
          <w:p w14:paraId="7795A541" w14:textId="7C075EA6" w:rsidR="00D6337C" w:rsidRPr="000918B3" w:rsidRDefault="000918B3" w:rsidP="000918B3">
            <w:pPr>
              <w:spacing w:before="60" w:after="60"/>
              <w:rPr>
                <w:szCs w:val="18"/>
              </w:rPr>
            </w:pPr>
            <w:r>
              <w:rPr>
                <w:szCs w:val="18"/>
              </w:rPr>
              <w:t>464</w:t>
            </w:r>
          </w:p>
        </w:tc>
        <w:tc>
          <w:tcPr>
            <w:tcW w:w="2637" w:type="dxa"/>
          </w:tcPr>
          <w:p w14:paraId="42F1A201" w14:textId="34B9369C" w:rsidR="00D6337C" w:rsidRPr="000918B3" w:rsidRDefault="000918B3" w:rsidP="000918B3">
            <w:pPr>
              <w:spacing w:before="60" w:after="60"/>
              <w:cnfStyle w:val="000000000000" w:firstRow="0" w:lastRow="0" w:firstColumn="0" w:lastColumn="0" w:oddVBand="0" w:evenVBand="0" w:oddHBand="0" w:evenHBand="0" w:firstRowFirstColumn="0" w:firstRowLastColumn="0" w:lastRowFirstColumn="0" w:lastRowLastColumn="0"/>
              <w:rPr>
                <w:szCs w:val="18"/>
              </w:rPr>
            </w:pPr>
            <w:r>
              <w:rPr>
                <w:szCs w:val="18"/>
              </w:rPr>
              <w:t>ALLYL AMYL GLYCOLATE</w:t>
            </w:r>
          </w:p>
        </w:tc>
        <w:tc>
          <w:tcPr>
            <w:tcW w:w="1153" w:type="dxa"/>
          </w:tcPr>
          <w:p w14:paraId="4AE0CFB6" w14:textId="4029D990" w:rsidR="00D6337C" w:rsidRPr="000918B3" w:rsidRDefault="000918B3" w:rsidP="000918B3">
            <w:pPr>
              <w:spacing w:before="60" w:after="60"/>
              <w:cnfStyle w:val="000000000000" w:firstRow="0" w:lastRow="0" w:firstColumn="0" w:lastColumn="0" w:oddVBand="0" w:evenVBand="0" w:oddHBand="0" w:evenHBand="0" w:firstRowFirstColumn="0" w:firstRowLastColumn="0" w:lastRowFirstColumn="0" w:lastRowLastColumn="0"/>
              <w:rPr>
                <w:szCs w:val="18"/>
              </w:rPr>
            </w:pPr>
            <w:r>
              <w:rPr>
                <w:szCs w:val="18"/>
              </w:rPr>
              <w:t>E</w:t>
            </w:r>
          </w:p>
        </w:tc>
        <w:tc>
          <w:tcPr>
            <w:tcW w:w="3827" w:type="dxa"/>
          </w:tcPr>
          <w:p w14:paraId="3E610ED9" w14:textId="40449229" w:rsidR="00D6337C" w:rsidRDefault="000918B3" w:rsidP="000918B3">
            <w:pPr>
              <w:spacing w:before="60" w:after="60"/>
              <w:cnfStyle w:val="000000000000" w:firstRow="0" w:lastRow="0" w:firstColumn="0" w:lastColumn="0" w:oddVBand="0" w:evenVBand="0" w:oddHBand="0" w:evenHBand="0" w:firstRowFirstColumn="0" w:firstRowLastColumn="0" w:lastRowFirstColumn="0" w:lastRowLastColumn="0"/>
              <w:rPr>
                <w:szCs w:val="18"/>
              </w:rPr>
            </w:pPr>
            <w:r>
              <w:rPr>
                <w:szCs w:val="18"/>
              </w:rPr>
              <w:t>Permitted for use only in combination with other permitted ingredients as a flavour or a fragrance.</w:t>
            </w:r>
          </w:p>
          <w:p w14:paraId="2D8D60AB" w14:textId="7D83E11C" w:rsidR="000918B3" w:rsidRPr="000918B3" w:rsidRDefault="000918B3" w:rsidP="000918B3">
            <w:pPr>
              <w:spacing w:before="60" w:after="60"/>
              <w:cnfStyle w:val="000000000000" w:firstRow="0" w:lastRow="0" w:firstColumn="0" w:lastColumn="0" w:oddVBand="0" w:evenVBand="0" w:oddHBand="0" w:evenHBand="0" w:firstRowFirstColumn="0" w:firstRowLastColumn="0" w:lastRowFirstColumn="0" w:lastRowLastColumn="0"/>
              <w:rPr>
                <w:szCs w:val="18"/>
              </w:rPr>
            </w:pPr>
            <w:r>
              <w:rPr>
                <w:szCs w:val="18"/>
              </w:rPr>
              <w:t>If used in a fragrance the total fragrance concentration in a medicine must be no more than 1%.</w:t>
            </w:r>
          </w:p>
        </w:tc>
      </w:tr>
      <w:tr w:rsidR="000918B3" w:rsidRPr="000918B3" w14:paraId="0A5CA4ED" w14:textId="77777777" w:rsidTr="00192F5A">
        <w:tc>
          <w:tcPr>
            <w:cnfStyle w:val="001000000000" w:firstRow="0" w:lastRow="0" w:firstColumn="1" w:lastColumn="0" w:oddVBand="0" w:evenVBand="0" w:oddHBand="0" w:evenHBand="0" w:firstRowFirstColumn="0" w:firstRowLastColumn="0" w:lastRowFirstColumn="0" w:lastRowLastColumn="0"/>
            <w:tcW w:w="1029" w:type="dxa"/>
          </w:tcPr>
          <w:p w14:paraId="034E837A" w14:textId="0862A6C5" w:rsidR="000918B3" w:rsidRDefault="000918B3" w:rsidP="000918B3">
            <w:pPr>
              <w:spacing w:before="60" w:after="60"/>
              <w:rPr>
                <w:szCs w:val="18"/>
              </w:rPr>
            </w:pPr>
            <w:r>
              <w:rPr>
                <w:szCs w:val="18"/>
              </w:rPr>
              <w:t>467</w:t>
            </w:r>
          </w:p>
        </w:tc>
        <w:tc>
          <w:tcPr>
            <w:tcW w:w="2637" w:type="dxa"/>
          </w:tcPr>
          <w:p w14:paraId="761693EB" w14:textId="39696BA9" w:rsidR="000918B3" w:rsidRDefault="000918B3" w:rsidP="000918B3">
            <w:pPr>
              <w:spacing w:before="60" w:after="60"/>
              <w:cnfStyle w:val="000000000000" w:firstRow="0" w:lastRow="0" w:firstColumn="0" w:lastColumn="0" w:oddVBand="0" w:evenVBand="0" w:oddHBand="0" w:evenHBand="0" w:firstRowFirstColumn="0" w:firstRowLastColumn="0" w:lastRowFirstColumn="0" w:lastRowLastColumn="0"/>
              <w:rPr>
                <w:szCs w:val="18"/>
              </w:rPr>
            </w:pPr>
            <w:r>
              <w:rPr>
                <w:szCs w:val="18"/>
              </w:rPr>
              <w:t>ALLYL CYCLOHEXYLOXYACETATE</w:t>
            </w:r>
          </w:p>
        </w:tc>
        <w:tc>
          <w:tcPr>
            <w:tcW w:w="1153" w:type="dxa"/>
          </w:tcPr>
          <w:p w14:paraId="5B358BD8" w14:textId="1C53F5C2" w:rsidR="000918B3" w:rsidRDefault="000918B3" w:rsidP="000918B3">
            <w:pPr>
              <w:spacing w:before="60" w:after="60"/>
              <w:cnfStyle w:val="000000000000" w:firstRow="0" w:lastRow="0" w:firstColumn="0" w:lastColumn="0" w:oddVBand="0" w:evenVBand="0" w:oddHBand="0" w:evenHBand="0" w:firstRowFirstColumn="0" w:firstRowLastColumn="0" w:lastRowFirstColumn="0" w:lastRowLastColumn="0"/>
              <w:rPr>
                <w:szCs w:val="18"/>
              </w:rPr>
            </w:pPr>
            <w:r>
              <w:rPr>
                <w:szCs w:val="18"/>
              </w:rPr>
              <w:t>E</w:t>
            </w:r>
          </w:p>
        </w:tc>
        <w:tc>
          <w:tcPr>
            <w:tcW w:w="3827" w:type="dxa"/>
          </w:tcPr>
          <w:p w14:paraId="15665BF2" w14:textId="77777777" w:rsidR="000918B3" w:rsidRDefault="000918B3" w:rsidP="000918B3">
            <w:pPr>
              <w:spacing w:before="60" w:after="60"/>
              <w:cnfStyle w:val="000000000000" w:firstRow="0" w:lastRow="0" w:firstColumn="0" w:lastColumn="0" w:oddVBand="0" w:evenVBand="0" w:oddHBand="0" w:evenHBand="0" w:firstRowFirstColumn="0" w:firstRowLastColumn="0" w:lastRowFirstColumn="0" w:lastRowLastColumn="0"/>
              <w:rPr>
                <w:szCs w:val="18"/>
              </w:rPr>
            </w:pPr>
            <w:r>
              <w:rPr>
                <w:szCs w:val="18"/>
              </w:rPr>
              <w:t>Permitted for use only in combination with other permitted ingredients as a fragrance.</w:t>
            </w:r>
          </w:p>
          <w:p w14:paraId="5FF61DB7" w14:textId="77777777" w:rsidR="000918B3" w:rsidRDefault="000918B3" w:rsidP="000918B3">
            <w:pPr>
              <w:spacing w:before="60" w:after="60"/>
              <w:cnfStyle w:val="000000000000" w:firstRow="0" w:lastRow="0" w:firstColumn="0" w:lastColumn="0" w:oddVBand="0" w:evenVBand="0" w:oddHBand="0" w:evenHBand="0" w:firstRowFirstColumn="0" w:firstRowLastColumn="0" w:lastRowFirstColumn="0" w:lastRowLastColumn="0"/>
              <w:rPr>
                <w:szCs w:val="18"/>
              </w:rPr>
            </w:pPr>
            <w:r>
              <w:rPr>
                <w:szCs w:val="18"/>
              </w:rPr>
              <w:t>If used in a flavour the total flavour concentration in a medicine must be no more than 5%</w:t>
            </w:r>
          </w:p>
          <w:p w14:paraId="3042B669" w14:textId="79CD9C67" w:rsidR="000918B3" w:rsidRDefault="000918B3" w:rsidP="000918B3">
            <w:pPr>
              <w:spacing w:before="60" w:after="60"/>
              <w:cnfStyle w:val="000000000000" w:firstRow="0" w:lastRow="0" w:firstColumn="0" w:lastColumn="0" w:oddVBand="0" w:evenVBand="0" w:oddHBand="0" w:evenHBand="0" w:firstRowFirstColumn="0" w:firstRowLastColumn="0" w:lastRowFirstColumn="0" w:lastRowLastColumn="0"/>
              <w:rPr>
                <w:szCs w:val="18"/>
              </w:rPr>
            </w:pPr>
            <w:r>
              <w:rPr>
                <w:szCs w:val="18"/>
              </w:rPr>
              <w:t>If used in a fragrance the total fragrance concentration in a medicine must be no more than 1%.</w:t>
            </w:r>
          </w:p>
        </w:tc>
      </w:tr>
      <w:tr w:rsidR="000918B3" w:rsidRPr="000918B3" w14:paraId="7F97AB77" w14:textId="77777777" w:rsidTr="00192F5A">
        <w:tc>
          <w:tcPr>
            <w:cnfStyle w:val="001000000000" w:firstRow="0" w:lastRow="0" w:firstColumn="1" w:lastColumn="0" w:oddVBand="0" w:evenVBand="0" w:oddHBand="0" w:evenHBand="0" w:firstRowFirstColumn="0" w:firstRowLastColumn="0" w:lastRowFirstColumn="0" w:lastRowLastColumn="0"/>
            <w:tcW w:w="1029" w:type="dxa"/>
          </w:tcPr>
          <w:p w14:paraId="63EB47E2" w14:textId="4BBBC0F4" w:rsidR="000918B3" w:rsidRDefault="000918B3" w:rsidP="000918B3">
            <w:pPr>
              <w:spacing w:before="60" w:after="60"/>
              <w:rPr>
                <w:szCs w:val="18"/>
              </w:rPr>
            </w:pPr>
            <w:r>
              <w:rPr>
                <w:szCs w:val="18"/>
              </w:rPr>
              <w:t>472</w:t>
            </w:r>
          </w:p>
        </w:tc>
        <w:tc>
          <w:tcPr>
            <w:tcW w:w="2637" w:type="dxa"/>
          </w:tcPr>
          <w:p w14:paraId="54319226" w14:textId="5D2FD0EA" w:rsidR="000918B3" w:rsidRDefault="000918B3" w:rsidP="000918B3">
            <w:pPr>
              <w:spacing w:before="60" w:after="60"/>
              <w:cnfStyle w:val="000000000000" w:firstRow="0" w:lastRow="0" w:firstColumn="0" w:lastColumn="0" w:oddVBand="0" w:evenVBand="0" w:oddHBand="0" w:evenHBand="0" w:firstRowFirstColumn="0" w:firstRowLastColumn="0" w:lastRowFirstColumn="0" w:lastRowLastColumn="0"/>
              <w:rPr>
                <w:szCs w:val="18"/>
              </w:rPr>
            </w:pPr>
            <w:r>
              <w:rPr>
                <w:szCs w:val="18"/>
              </w:rPr>
              <w:t>ALLYL PHENOXYACETATE</w:t>
            </w:r>
          </w:p>
        </w:tc>
        <w:tc>
          <w:tcPr>
            <w:tcW w:w="1153" w:type="dxa"/>
          </w:tcPr>
          <w:p w14:paraId="0CC0AEF9" w14:textId="0E6E9AC5" w:rsidR="000918B3" w:rsidRDefault="000918B3" w:rsidP="000918B3">
            <w:pPr>
              <w:spacing w:before="60" w:after="60"/>
              <w:cnfStyle w:val="000000000000" w:firstRow="0" w:lastRow="0" w:firstColumn="0" w:lastColumn="0" w:oddVBand="0" w:evenVBand="0" w:oddHBand="0" w:evenHBand="0" w:firstRowFirstColumn="0" w:firstRowLastColumn="0" w:lastRowFirstColumn="0" w:lastRowLastColumn="0"/>
              <w:rPr>
                <w:szCs w:val="18"/>
              </w:rPr>
            </w:pPr>
            <w:r>
              <w:rPr>
                <w:szCs w:val="18"/>
              </w:rPr>
              <w:t>E</w:t>
            </w:r>
          </w:p>
        </w:tc>
        <w:tc>
          <w:tcPr>
            <w:tcW w:w="3827" w:type="dxa"/>
          </w:tcPr>
          <w:p w14:paraId="6E84620A" w14:textId="77777777" w:rsidR="000918B3" w:rsidRDefault="000918B3" w:rsidP="000918B3">
            <w:pPr>
              <w:spacing w:before="60" w:after="60"/>
              <w:cnfStyle w:val="000000000000" w:firstRow="0" w:lastRow="0" w:firstColumn="0" w:lastColumn="0" w:oddVBand="0" w:evenVBand="0" w:oddHBand="0" w:evenHBand="0" w:firstRowFirstColumn="0" w:firstRowLastColumn="0" w:lastRowFirstColumn="0" w:lastRowLastColumn="0"/>
              <w:rPr>
                <w:szCs w:val="18"/>
              </w:rPr>
            </w:pPr>
            <w:r>
              <w:rPr>
                <w:szCs w:val="18"/>
              </w:rPr>
              <w:t>Permitted for use only in combination with other permitted ingredients as a fragrance.</w:t>
            </w:r>
          </w:p>
          <w:p w14:paraId="67B2193C" w14:textId="77777777" w:rsidR="000918B3" w:rsidRDefault="000918B3" w:rsidP="000918B3">
            <w:pPr>
              <w:spacing w:before="60" w:after="60"/>
              <w:cnfStyle w:val="000000000000" w:firstRow="0" w:lastRow="0" w:firstColumn="0" w:lastColumn="0" w:oddVBand="0" w:evenVBand="0" w:oddHBand="0" w:evenHBand="0" w:firstRowFirstColumn="0" w:firstRowLastColumn="0" w:lastRowFirstColumn="0" w:lastRowLastColumn="0"/>
              <w:rPr>
                <w:szCs w:val="18"/>
              </w:rPr>
            </w:pPr>
            <w:r>
              <w:rPr>
                <w:szCs w:val="18"/>
              </w:rPr>
              <w:t>If used in a flavour the total flavour concentration in a medicine must be no more than 5%</w:t>
            </w:r>
          </w:p>
          <w:p w14:paraId="570540E6" w14:textId="367F1074" w:rsidR="000918B3" w:rsidRDefault="000918B3" w:rsidP="000918B3">
            <w:pPr>
              <w:spacing w:before="60" w:after="60"/>
              <w:cnfStyle w:val="000000000000" w:firstRow="0" w:lastRow="0" w:firstColumn="0" w:lastColumn="0" w:oddVBand="0" w:evenVBand="0" w:oddHBand="0" w:evenHBand="0" w:firstRowFirstColumn="0" w:firstRowLastColumn="0" w:lastRowFirstColumn="0" w:lastRowLastColumn="0"/>
              <w:rPr>
                <w:szCs w:val="18"/>
              </w:rPr>
            </w:pPr>
            <w:r>
              <w:rPr>
                <w:szCs w:val="18"/>
              </w:rPr>
              <w:t>If used in a fragrance the total fragrance concentration in a medicine must be no more than 1%.</w:t>
            </w:r>
          </w:p>
        </w:tc>
      </w:tr>
      <w:tr w:rsidR="00D6337C" w:rsidRPr="000918B3" w14:paraId="5A3B977E" w14:textId="77777777" w:rsidTr="005949E1">
        <w:trPr>
          <w:trHeight w:val="581"/>
        </w:trPr>
        <w:tc>
          <w:tcPr>
            <w:cnfStyle w:val="001000000000" w:firstRow="0" w:lastRow="0" w:firstColumn="1" w:lastColumn="0" w:oddVBand="0" w:evenVBand="0" w:oddHBand="0" w:evenHBand="0" w:firstRowFirstColumn="0" w:firstRowLastColumn="0" w:lastRowFirstColumn="0" w:lastRowLastColumn="0"/>
            <w:tcW w:w="8646" w:type="dxa"/>
            <w:gridSpan w:val="4"/>
          </w:tcPr>
          <w:p w14:paraId="722A423A" w14:textId="63033A9D" w:rsidR="00D6337C" w:rsidRPr="000918B3" w:rsidRDefault="00D6337C" w:rsidP="000918B3">
            <w:pPr>
              <w:spacing w:before="60" w:after="60"/>
              <w:rPr>
                <w:szCs w:val="18"/>
              </w:rPr>
            </w:pPr>
            <w:r w:rsidRPr="000918B3">
              <w:rPr>
                <w:sz w:val="16"/>
                <w:szCs w:val="16"/>
              </w:rPr>
              <w:t>E = excipient for a medicine meaning an ingredient that is not an active ingredient or a homoeopathic preparation ingredient</w:t>
            </w:r>
          </w:p>
        </w:tc>
      </w:tr>
    </w:tbl>
    <w:p w14:paraId="169A409B" w14:textId="069E27F7" w:rsidR="00D6337C" w:rsidRPr="00D149A2" w:rsidRDefault="00D6337C" w:rsidP="001B6547">
      <w:pPr>
        <w:pStyle w:val="ListBullet"/>
      </w:pPr>
      <w:r w:rsidRPr="00D149A2">
        <w:t>Th</w:t>
      </w:r>
      <w:r w:rsidR="0054626E">
        <w:t>er</w:t>
      </w:r>
      <w:r w:rsidRPr="00D149A2">
        <w:t>e</w:t>
      </w:r>
      <w:r w:rsidR="0054626E">
        <w:t xml:space="preserve"> are no entries relating to any of the four allyl esters in the</w:t>
      </w:r>
      <w:r w:rsidR="00855474">
        <w:t xml:space="preserve"> proposal in the</w:t>
      </w:r>
      <w:r w:rsidRPr="00D149A2">
        <w:t xml:space="preserve"> </w:t>
      </w:r>
      <w:hyperlink r:id="rId36" w:history="1">
        <w:r w:rsidRPr="00D149A2">
          <w:rPr>
            <w:rStyle w:val="Hyperlink"/>
          </w:rPr>
          <w:t>TGA prescribing medicines in pregnancy database</w:t>
        </w:r>
      </w:hyperlink>
      <w:r w:rsidR="0054626E" w:rsidRPr="0054626E">
        <w:rPr>
          <w:rStyle w:val="Hyperlink"/>
          <w:u w:val="none"/>
        </w:rPr>
        <w:t>.</w:t>
      </w:r>
    </w:p>
    <w:p w14:paraId="07CABE3D" w14:textId="20B40D34" w:rsidR="00D6337C" w:rsidRPr="00D149A2" w:rsidRDefault="00D6337C" w:rsidP="001B6547">
      <w:pPr>
        <w:pStyle w:val="ListBullet"/>
      </w:pPr>
      <w:r w:rsidRPr="00D149A2">
        <w:t xml:space="preserve">There are no warning statements pertaining to </w:t>
      </w:r>
      <w:r w:rsidR="0054626E">
        <w:t xml:space="preserve">any of the four allyl esters </w:t>
      </w:r>
      <w:r w:rsidRPr="00D149A2">
        <w:t xml:space="preserve">in the </w:t>
      </w:r>
      <w:hyperlink r:id="rId37" w:history="1">
        <w:r w:rsidRPr="00D149A2">
          <w:rPr>
            <w:rStyle w:val="Hyperlink"/>
          </w:rPr>
          <w:t>Therapeutic Goods (Medicines Advisory Statements) Specification 2021</w:t>
        </w:r>
      </w:hyperlink>
      <w:r w:rsidR="00372E6C" w:rsidRPr="00372E6C">
        <w:rPr>
          <w:rStyle w:val="Hyperlink"/>
          <w:color w:val="auto"/>
          <w:u w:val="none"/>
        </w:rPr>
        <w:t>.</w:t>
      </w:r>
    </w:p>
    <w:p w14:paraId="68980691" w14:textId="4A3AC69C" w:rsidR="00D6337C" w:rsidRPr="00372E6C" w:rsidRDefault="00D6337C" w:rsidP="001B6547">
      <w:pPr>
        <w:pStyle w:val="ListBullet"/>
      </w:pPr>
      <w:r w:rsidRPr="00372E6C">
        <w:t xml:space="preserve">As of </w:t>
      </w:r>
      <w:r w:rsidR="001D2246">
        <w:t>April</w:t>
      </w:r>
      <w:r w:rsidR="001D2246" w:rsidRPr="00372E6C">
        <w:t xml:space="preserve"> </w:t>
      </w:r>
      <w:r w:rsidRPr="00372E6C">
        <w:t>20</w:t>
      </w:r>
      <w:r w:rsidR="00372E6C" w:rsidRPr="00372E6C">
        <w:t>24</w:t>
      </w:r>
      <w:r w:rsidRPr="00372E6C">
        <w:t xml:space="preserve">, there were </w:t>
      </w:r>
      <w:r w:rsidR="00372E6C" w:rsidRPr="00372E6C">
        <w:t>no</w:t>
      </w:r>
      <w:r w:rsidRPr="00372E6C">
        <w:t xml:space="preserve"> reports of adverse events for products containing </w:t>
      </w:r>
      <w:r w:rsidR="00372E6C" w:rsidRPr="00372E6C">
        <w:t xml:space="preserve">any of the four allyl esters </w:t>
      </w:r>
      <w:r w:rsidR="00855474">
        <w:t xml:space="preserve">in the proposal </w:t>
      </w:r>
      <w:r w:rsidRPr="00372E6C">
        <w:t xml:space="preserve">as an active ingredient on the </w:t>
      </w:r>
      <w:hyperlink r:id="rId38" w:history="1">
        <w:r w:rsidRPr="00372E6C">
          <w:rPr>
            <w:rStyle w:val="Hyperlink"/>
          </w:rPr>
          <w:t>Database of Adverse Event Notifications (DAEN)</w:t>
        </w:r>
      </w:hyperlink>
      <w:r w:rsidRPr="00372E6C">
        <w:t>.</w:t>
      </w:r>
    </w:p>
    <w:p w14:paraId="34B3F474" w14:textId="0409589A" w:rsidR="00D6337C" w:rsidRDefault="00D6337C" w:rsidP="001B6547">
      <w:pPr>
        <w:pStyle w:val="ListBullet"/>
      </w:pPr>
      <w:r w:rsidRPr="00902F8F">
        <w:lastRenderedPageBreak/>
        <w:t xml:space="preserve">As of </w:t>
      </w:r>
      <w:r w:rsidR="001D2246">
        <w:t>April</w:t>
      </w:r>
      <w:r w:rsidR="001D2246" w:rsidRPr="00902F8F">
        <w:t xml:space="preserve"> </w:t>
      </w:r>
      <w:r w:rsidRPr="00902F8F">
        <w:t>20</w:t>
      </w:r>
      <w:r w:rsidR="00902F8F" w:rsidRPr="00902F8F">
        <w:t>24</w:t>
      </w:r>
      <w:r w:rsidRPr="00902F8F">
        <w:t xml:space="preserve">, there were no products containing </w:t>
      </w:r>
      <w:r w:rsidR="00902F8F" w:rsidRPr="00902F8F">
        <w:t>any of the four allyl esters</w:t>
      </w:r>
      <w:r w:rsidR="00855474">
        <w:t xml:space="preserve"> in the proposal</w:t>
      </w:r>
      <w:r w:rsidR="00902F8F" w:rsidRPr="00902F8F">
        <w:t xml:space="preserve"> </w:t>
      </w:r>
      <w:r w:rsidRPr="00902F8F">
        <w:t>as an active</w:t>
      </w:r>
      <w:r w:rsidRPr="00D149A2">
        <w:t xml:space="preserve"> ingredient/constituent or scheduled substance listed on the </w:t>
      </w:r>
      <w:hyperlink r:id="rId39" w:history="1">
        <w:r w:rsidRPr="00D149A2">
          <w:rPr>
            <w:rStyle w:val="Hyperlink"/>
          </w:rPr>
          <w:t>Public Chemical Registration Information System Search (</w:t>
        </w:r>
        <w:proofErr w:type="spellStart"/>
        <w:r w:rsidRPr="00D149A2">
          <w:rPr>
            <w:rStyle w:val="Hyperlink"/>
          </w:rPr>
          <w:t>PubCRIS</w:t>
        </w:r>
        <w:proofErr w:type="spellEnd"/>
        <w:r w:rsidRPr="00D149A2">
          <w:rPr>
            <w:rStyle w:val="Hyperlink"/>
          </w:rPr>
          <w:t>)</w:t>
        </w:r>
      </w:hyperlink>
      <w:r w:rsidRPr="00D149A2">
        <w:t>.</w:t>
      </w:r>
    </w:p>
    <w:p w14:paraId="54C288E9" w14:textId="6C43FB34" w:rsidR="00855474" w:rsidRPr="00D149A2" w:rsidRDefault="00855474" w:rsidP="001B6547">
      <w:pPr>
        <w:pStyle w:val="ListBullet"/>
      </w:pPr>
      <w:r>
        <w:t xml:space="preserve">All four allyl esters in the proposal are listed on the Australian Industrial Chemicals Introduction Scheme’s </w:t>
      </w:r>
      <w:hyperlink r:id="rId40" w:history="1">
        <w:r w:rsidRPr="00855474">
          <w:rPr>
            <w:rStyle w:val="Hyperlink"/>
          </w:rPr>
          <w:t>industrial chemicals inventory</w:t>
        </w:r>
      </w:hyperlink>
      <w:r>
        <w:t>.</w:t>
      </w:r>
    </w:p>
    <w:p w14:paraId="6CF77C45" w14:textId="77777777" w:rsidR="00D6337C" w:rsidRPr="00D149A2" w:rsidRDefault="00D6337C" w:rsidP="00446F1A">
      <w:pPr>
        <w:pStyle w:val="Heading4"/>
      </w:pPr>
      <w:bookmarkStart w:id="47" w:name="_Toc164679979"/>
      <w:r w:rsidRPr="00D149A2">
        <w:t>International regulations</w:t>
      </w:r>
      <w:bookmarkEnd w:id="47"/>
    </w:p>
    <w:p w14:paraId="7FE9711F" w14:textId="7598B59A" w:rsidR="00D6337C" w:rsidRPr="00D149A2" w:rsidRDefault="00102BE7" w:rsidP="001B6547">
      <w:pPr>
        <w:pStyle w:val="ListBullet"/>
      </w:pPr>
      <w:r>
        <w:t xml:space="preserve">The </w:t>
      </w:r>
      <w:hyperlink r:id="rId41" w:history="1">
        <w:r w:rsidRPr="004F6C39">
          <w:rPr>
            <w:rStyle w:val="Hyperlink"/>
          </w:rPr>
          <w:t>European Commission database on cosmetic substances and ingredients</w:t>
        </w:r>
      </w:hyperlink>
      <w:r>
        <w:t xml:space="preserve"> (</w:t>
      </w:r>
      <w:proofErr w:type="spellStart"/>
      <w:r>
        <w:t>CosIng</w:t>
      </w:r>
      <w:proofErr w:type="spellEnd"/>
      <w:r>
        <w:t xml:space="preserve">) includes all four allyl esters in the proposal. </w:t>
      </w:r>
      <w:r w:rsidR="004F6C39">
        <w:t>All are listed in Annex III of Regulation (EC) No 1223/2009, which permits use of the substances in cosmetics subject to restrictions (level of free allyl alcohol in the ester shall be less than 0.1%).</w:t>
      </w:r>
    </w:p>
    <w:p w14:paraId="39A5B889" w14:textId="349B2364" w:rsidR="00D6337C" w:rsidRPr="00C7771D" w:rsidRDefault="00C7771D" w:rsidP="001B6547">
      <w:pPr>
        <w:pStyle w:val="ListBullet"/>
        <w:rPr>
          <w:u w:val="single"/>
        </w:rPr>
      </w:pPr>
      <w:r>
        <w:t xml:space="preserve">The </w:t>
      </w:r>
      <w:hyperlink r:id="rId42" w:history="1">
        <w:r w:rsidRPr="00C7771D">
          <w:rPr>
            <w:rStyle w:val="Hyperlink"/>
          </w:rPr>
          <w:t>New Zealand Inventory of Chemicals (</w:t>
        </w:r>
        <w:proofErr w:type="spellStart"/>
        <w:r w:rsidRPr="00C7771D">
          <w:rPr>
            <w:rStyle w:val="Hyperlink"/>
          </w:rPr>
          <w:t>NZIoC</w:t>
        </w:r>
        <w:proofErr w:type="spellEnd"/>
        <w:r w:rsidRPr="00C7771D">
          <w:rPr>
            <w:rStyle w:val="Hyperlink"/>
          </w:rPr>
          <w:t>)</w:t>
        </w:r>
      </w:hyperlink>
      <w:r>
        <w:t xml:space="preserve"> lists allyl (2-methylbutoxy)acetate as “does not have an individual approval but may be used as a component in a product covered by a group standard. It is not approved for use as a chemical in its own right”.</w:t>
      </w:r>
      <w:r w:rsidR="00D6337C" w:rsidRPr="00D149A2">
        <w:t xml:space="preserve"> </w:t>
      </w:r>
      <w:r>
        <w:t xml:space="preserve">The other three allyl esters in the proposal are listed on the </w:t>
      </w:r>
      <w:proofErr w:type="spellStart"/>
      <w:r>
        <w:t>NZIoC</w:t>
      </w:r>
      <w:proofErr w:type="spellEnd"/>
      <w:r>
        <w:t xml:space="preserve"> as “does not have an individual approval but may be used under an appropriate group standard”.</w:t>
      </w:r>
    </w:p>
    <w:p w14:paraId="758B85C3" w14:textId="6C0D801B" w:rsidR="00D6337C" w:rsidRDefault="00C7771D" w:rsidP="001B6547">
      <w:pPr>
        <w:pStyle w:val="ListBullet"/>
      </w:pPr>
      <w:r w:rsidRPr="00C7771D">
        <w:rPr>
          <w:rStyle w:val="Hyperlink"/>
          <w:color w:val="auto"/>
          <w:u w:val="none"/>
        </w:rPr>
        <w:t xml:space="preserve">None of the four allyl esters are included on </w:t>
      </w:r>
      <w:hyperlink r:id="rId43" w:history="1">
        <w:r w:rsidRPr="00517093">
          <w:rPr>
            <w:rStyle w:val="Hyperlink"/>
          </w:rPr>
          <w:t xml:space="preserve">New Zealand </w:t>
        </w:r>
        <w:proofErr w:type="spellStart"/>
        <w:r w:rsidRPr="00517093">
          <w:rPr>
            <w:rStyle w:val="Hyperlink"/>
          </w:rPr>
          <w:t>Medsafe’s</w:t>
        </w:r>
        <w:proofErr w:type="spellEnd"/>
        <w:r w:rsidRPr="00517093">
          <w:rPr>
            <w:rStyle w:val="Hyperlink"/>
          </w:rPr>
          <w:t xml:space="preserve"> Medicines Classification Database</w:t>
        </w:r>
      </w:hyperlink>
      <w:r w:rsidRPr="00C7771D">
        <w:rPr>
          <w:rStyle w:val="Hyperlink"/>
          <w:color w:val="auto"/>
          <w:u w:val="none"/>
        </w:rPr>
        <w:t xml:space="preserve"> or </w:t>
      </w:r>
      <w:hyperlink r:id="rId44" w:history="1">
        <w:r w:rsidRPr="00517093">
          <w:rPr>
            <w:rStyle w:val="Hyperlink"/>
          </w:rPr>
          <w:t>Health Canada’s Drug Product Database</w:t>
        </w:r>
      </w:hyperlink>
      <w:r w:rsidRPr="00C7771D">
        <w:rPr>
          <w:rStyle w:val="Hyperlink"/>
          <w:color w:val="auto"/>
          <w:u w:val="none"/>
        </w:rPr>
        <w:t>.</w:t>
      </w:r>
    </w:p>
    <w:p w14:paraId="63EE4729" w14:textId="2FD4E70C" w:rsidR="003F03BA" w:rsidRPr="00D149A2" w:rsidRDefault="003F03BA" w:rsidP="003F03BA">
      <w:pPr>
        <w:pStyle w:val="Heading3"/>
      </w:pPr>
      <w:bookmarkStart w:id="48" w:name="_Toc164679980"/>
      <w:r>
        <w:t>2.2</w:t>
      </w:r>
      <w:r>
        <w:tab/>
        <w:t>Glyoxylic acid</w:t>
      </w:r>
      <w:bookmarkEnd w:id="48"/>
    </w:p>
    <w:p w14:paraId="350D0BB6" w14:textId="77777777" w:rsidR="001535E5" w:rsidRPr="00AE331A" w:rsidRDefault="001535E5" w:rsidP="001535E5">
      <w:pPr>
        <w:pStyle w:val="Heading4"/>
        <w:rPr>
          <w:b/>
          <w:i/>
        </w:rPr>
      </w:pPr>
      <w:bookmarkStart w:id="49" w:name="_Toc164679981"/>
      <w:r>
        <w:t>Proposal</w:t>
      </w:r>
      <w:bookmarkEnd w:id="49"/>
    </w:p>
    <w:p w14:paraId="212DAA92" w14:textId="64389FA3" w:rsidR="001535E5" w:rsidRDefault="001535E5" w:rsidP="00C877C8">
      <w:r>
        <w:t xml:space="preserve">The Department of Health and Aged Care has proposed the creation of a Schedule 6 entry for glyoxylic acid. The proposal is intended to </w:t>
      </w:r>
      <w:r w:rsidR="00A74B3D">
        <w:t>mitigate</w:t>
      </w:r>
      <w:r w:rsidR="00A74B3D" w:rsidRPr="00A74B3D">
        <w:t xml:space="preserve"> the risk</w:t>
      </w:r>
      <w:r w:rsidR="00A74B3D">
        <w:t>s</w:t>
      </w:r>
      <w:r w:rsidR="00A74B3D" w:rsidRPr="00A74B3D">
        <w:t xml:space="preserve"> arising from dermal and ocular exposure to these chemicals, particularly among workers and end users</w:t>
      </w:r>
      <w:r w:rsidR="00A74B3D">
        <w:t xml:space="preserve">. </w:t>
      </w:r>
      <w:r>
        <w:t>The proposal follows a referral from the Australian Industrial Chemicals Introduction Scheme (AICIS)</w:t>
      </w:r>
      <w:r w:rsidR="00E56A34">
        <w:t xml:space="preserve"> </w:t>
      </w:r>
      <w:hyperlink r:id="rId45" w:history="1">
        <w:r w:rsidR="005D44FF">
          <w:rPr>
            <w:rStyle w:val="Hyperlink"/>
          </w:rPr>
          <w:t>evaluation of glyoxylic acid</w:t>
        </w:r>
      </w:hyperlink>
      <w:r w:rsidR="00E56A34" w:rsidRPr="005D44FF">
        <w:rPr>
          <w:rStyle w:val="Hyperlink"/>
          <w:u w:val="none"/>
        </w:rPr>
        <w:t xml:space="preserve"> </w:t>
      </w:r>
      <w:r w:rsidR="00E56A34" w:rsidRPr="005D44FF">
        <w:rPr>
          <w:rStyle w:val="Hyperlink"/>
          <w:color w:val="auto"/>
          <w:u w:val="none"/>
        </w:rPr>
        <w:t>published in December 2022</w:t>
      </w:r>
      <w:r>
        <w:t>.</w:t>
      </w:r>
    </w:p>
    <w:p w14:paraId="20DE2178" w14:textId="76E4D022" w:rsidR="003F03BA" w:rsidRPr="00D149A2" w:rsidRDefault="003F03BA" w:rsidP="003F03BA">
      <w:pPr>
        <w:pStyle w:val="Heading4"/>
      </w:pPr>
      <w:bookmarkStart w:id="50" w:name="_Toc164679982"/>
      <w:r w:rsidRPr="00D149A2">
        <w:t xml:space="preserve">CAS </w:t>
      </w:r>
      <w:r w:rsidR="00980F0C">
        <w:t>n</w:t>
      </w:r>
      <w:r w:rsidRPr="00D149A2">
        <w:t>umber</w:t>
      </w:r>
      <w:bookmarkEnd w:id="50"/>
    </w:p>
    <w:p w14:paraId="3E34CDFF" w14:textId="5490C899" w:rsidR="001535E5" w:rsidRDefault="001535E5" w:rsidP="001535E5">
      <w:r w:rsidRPr="00B14124">
        <w:t>298-12-4</w:t>
      </w:r>
      <w:r w:rsidR="00BA286C">
        <w:t xml:space="preserve"> (</w:t>
      </w:r>
      <w:r w:rsidR="00BA286C" w:rsidRPr="00BA286C">
        <w:t>Acetic acid, oxo-</w:t>
      </w:r>
      <w:r w:rsidR="00BA286C">
        <w:t>)</w:t>
      </w:r>
    </w:p>
    <w:p w14:paraId="46744CFF" w14:textId="01C7BE1B" w:rsidR="0096038F" w:rsidRPr="00B14124" w:rsidRDefault="0096038F" w:rsidP="001535E5">
      <w:r w:rsidRPr="0096038F">
        <w:t>563-96-2</w:t>
      </w:r>
      <w:r w:rsidR="00BA286C">
        <w:t xml:space="preserve"> (</w:t>
      </w:r>
      <w:r w:rsidR="00BA286C" w:rsidRPr="00BA286C">
        <w:t>Acetic acid, dihydroxy-</w:t>
      </w:r>
      <w:r w:rsidR="00BA286C">
        <w:t>)</w:t>
      </w:r>
    </w:p>
    <w:p w14:paraId="70838E3B" w14:textId="77777777" w:rsidR="003F03BA" w:rsidRPr="00D149A2" w:rsidRDefault="003F03BA" w:rsidP="003F03BA">
      <w:pPr>
        <w:pStyle w:val="Heading4"/>
      </w:pPr>
      <w:bookmarkStart w:id="51" w:name="_Toc164679983"/>
      <w:r w:rsidRPr="00D149A2">
        <w:t>Alternative names</w:t>
      </w:r>
      <w:bookmarkEnd w:id="51"/>
    </w:p>
    <w:p w14:paraId="556FB8C0" w14:textId="57E6B29E" w:rsidR="00FE6830" w:rsidRDefault="00FE6830" w:rsidP="001535E5">
      <w:r w:rsidRPr="00FE6830">
        <w:t>Acetic acid, oxo-</w:t>
      </w:r>
    </w:p>
    <w:p w14:paraId="31C7F398" w14:textId="0D6777E8" w:rsidR="00BA286C" w:rsidRDefault="00FE6830" w:rsidP="001535E5">
      <w:r w:rsidRPr="00FE6830">
        <w:t>Acetic acid, dihydroxy-</w:t>
      </w:r>
    </w:p>
    <w:p w14:paraId="042BEF12" w14:textId="317006F7" w:rsidR="001535E5" w:rsidRDefault="001535E5" w:rsidP="001535E5">
      <w:proofErr w:type="spellStart"/>
      <w:r>
        <w:t>Formylformic</w:t>
      </w:r>
      <w:proofErr w:type="spellEnd"/>
      <w:r>
        <w:t xml:space="preserve"> acid </w:t>
      </w:r>
    </w:p>
    <w:p w14:paraId="247F3293" w14:textId="77777777" w:rsidR="001535E5" w:rsidRPr="004C625A" w:rsidRDefault="001535E5" w:rsidP="001535E5">
      <w:proofErr w:type="spellStart"/>
      <w:r>
        <w:t>Oxoethanoic</w:t>
      </w:r>
      <w:proofErr w:type="spellEnd"/>
      <w:r>
        <w:t xml:space="preserve"> acid</w:t>
      </w:r>
      <w:r w:rsidRPr="004C625A">
        <w:rPr>
          <w:highlight w:val="green"/>
        </w:rPr>
        <w:t xml:space="preserve"> </w:t>
      </w:r>
    </w:p>
    <w:p w14:paraId="2D59650C" w14:textId="77777777" w:rsidR="00192F5A" w:rsidRDefault="00192F5A">
      <w:pPr>
        <w:rPr>
          <w:rFonts w:eastAsia="Cambria" w:cs="Times New Roman"/>
          <w:bCs/>
          <w:color w:val="001871"/>
          <w:sz w:val="28"/>
          <w:szCs w:val="26"/>
        </w:rPr>
      </w:pPr>
      <w:r>
        <w:br w:type="page"/>
      </w:r>
    </w:p>
    <w:p w14:paraId="3698E4AB" w14:textId="6EEDA17F" w:rsidR="003F03BA" w:rsidRPr="00D149A2" w:rsidRDefault="003F03BA" w:rsidP="003F03BA">
      <w:pPr>
        <w:pStyle w:val="Heading4"/>
      </w:pPr>
      <w:bookmarkStart w:id="52" w:name="_Toc164679984"/>
      <w:r w:rsidRPr="00D149A2">
        <w:lastRenderedPageBreak/>
        <w:t>Proposed Scheduling</w:t>
      </w:r>
      <w:bookmarkEnd w:id="52"/>
    </w:p>
    <w:p w14:paraId="2B97EF3A" w14:textId="1EC39495" w:rsidR="001535E5" w:rsidRDefault="001535E5" w:rsidP="001535E5">
      <w:r>
        <w:t>Glyoxylic acid is not currently listed in the Poisons Standard.</w:t>
      </w:r>
      <w:r w:rsidR="00192F5A">
        <w:t xml:space="preserve"> </w:t>
      </w:r>
      <w:r>
        <w:t xml:space="preserve">The proposal is to </w:t>
      </w:r>
      <w:r w:rsidRPr="003449E5">
        <w:t>amend the Poisons Standard as follows</w:t>
      </w:r>
      <w:r w:rsidR="004E7432">
        <w:rPr>
          <w:rStyle w:val="FootnoteReference"/>
        </w:rPr>
        <w:footnoteReference w:id="3"/>
      </w:r>
      <w:r w:rsidR="001D2246">
        <w:t>:</w:t>
      </w:r>
    </w:p>
    <w:p w14:paraId="7EC14C13" w14:textId="77777777" w:rsidR="001535E5" w:rsidRPr="00CD40FB" w:rsidRDefault="001535E5" w:rsidP="00636F08">
      <w:pPr>
        <w:ind w:left="425"/>
        <w:rPr>
          <w:b/>
        </w:rPr>
      </w:pPr>
      <w:r w:rsidRPr="00CD40FB">
        <w:rPr>
          <w:b/>
        </w:rPr>
        <w:t xml:space="preserve">Schedule </w:t>
      </w:r>
      <w:r>
        <w:rPr>
          <w:b/>
        </w:rPr>
        <w:t>6</w:t>
      </w:r>
      <w:r w:rsidRPr="00CD40FB">
        <w:rPr>
          <w:b/>
        </w:rPr>
        <w:t xml:space="preserve"> –</w:t>
      </w:r>
      <w:r>
        <w:rPr>
          <w:b/>
        </w:rPr>
        <w:t xml:space="preserve"> New</w:t>
      </w:r>
      <w:r w:rsidRPr="004060F0">
        <w:rPr>
          <w:b/>
        </w:rPr>
        <w:t xml:space="preserve"> Entry</w:t>
      </w:r>
    </w:p>
    <w:p w14:paraId="365CDBD7" w14:textId="4763F4FB" w:rsidR="001535E5" w:rsidRPr="00461636" w:rsidRDefault="001535E5" w:rsidP="006D10A5">
      <w:pPr>
        <w:ind w:left="851"/>
      </w:pPr>
      <w:r w:rsidRPr="00461636">
        <w:rPr>
          <w:color w:val="00B050"/>
          <w:u w:val="single"/>
        </w:rPr>
        <w:t xml:space="preserve">GLYOXYLIC ACID (including its salts and esters) in cosmetic </w:t>
      </w:r>
      <w:r w:rsidR="00CF4BE8">
        <w:rPr>
          <w:color w:val="00B050"/>
          <w:u w:val="single"/>
        </w:rPr>
        <w:t xml:space="preserve">products </w:t>
      </w:r>
      <w:r w:rsidRPr="00461636">
        <w:rPr>
          <w:color w:val="00B050"/>
          <w:u w:val="single"/>
        </w:rPr>
        <w:t xml:space="preserve">or when packed and labelled for use as an agricultural chemical </w:t>
      </w:r>
      <w:r w:rsidRPr="006D10A5">
        <w:rPr>
          <w:b/>
          <w:bCs/>
          <w:color w:val="00B050"/>
          <w:u w:val="single"/>
        </w:rPr>
        <w:t>except</w:t>
      </w:r>
      <w:r w:rsidR="006D10A5">
        <w:rPr>
          <w:color w:val="00B050"/>
          <w:u w:val="single"/>
        </w:rPr>
        <w:t xml:space="preserve"> </w:t>
      </w:r>
      <w:r w:rsidRPr="006D10A5">
        <w:rPr>
          <w:color w:val="00B050"/>
          <w:u w:val="single"/>
        </w:rPr>
        <w:t xml:space="preserve">in </w:t>
      </w:r>
      <w:r w:rsidR="006D10A5" w:rsidRPr="006D10A5">
        <w:rPr>
          <w:color w:val="00B050"/>
          <w:u w:val="single"/>
        </w:rPr>
        <w:t xml:space="preserve">cosmetic </w:t>
      </w:r>
      <w:r w:rsidR="00CF4BE8" w:rsidRPr="006D10A5">
        <w:rPr>
          <w:color w:val="00B050"/>
          <w:u w:val="single"/>
        </w:rPr>
        <w:t>preparations</w:t>
      </w:r>
      <w:r w:rsidR="00CF4BE8">
        <w:rPr>
          <w:color w:val="00B050"/>
          <w:u w:val="single"/>
        </w:rPr>
        <w:t xml:space="preserve"> </w:t>
      </w:r>
      <w:r w:rsidRPr="006D10A5">
        <w:rPr>
          <w:color w:val="00B050"/>
          <w:u w:val="single"/>
        </w:rPr>
        <w:t xml:space="preserve">containing up to 12% w/v </w:t>
      </w:r>
      <w:r w:rsidR="00CF4BE8">
        <w:rPr>
          <w:color w:val="00B050"/>
          <w:u w:val="single"/>
        </w:rPr>
        <w:t xml:space="preserve">of glyoxylic acid </w:t>
      </w:r>
      <w:r w:rsidRPr="006D10A5">
        <w:rPr>
          <w:color w:val="00B050"/>
          <w:u w:val="single"/>
        </w:rPr>
        <w:t>for salon use only, when labelled in accordance with requirements under applicable jurisdictional Work Health and Safety laws, as amended from time to time.</w:t>
      </w:r>
    </w:p>
    <w:p w14:paraId="236A88E5" w14:textId="77777777" w:rsidR="001535E5" w:rsidRDefault="001535E5" w:rsidP="000455C8">
      <w:pPr>
        <w:ind w:left="425"/>
        <w:rPr>
          <w:b/>
        </w:rPr>
      </w:pPr>
      <w:r>
        <w:rPr>
          <w:b/>
        </w:rPr>
        <w:t>Appendix E, clause 3 (</w:t>
      </w:r>
      <w:r w:rsidRPr="00272664">
        <w:rPr>
          <w:b/>
        </w:rPr>
        <w:t>First aid instructions for poisons</w:t>
      </w:r>
      <w:r>
        <w:rPr>
          <w:b/>
        </w:rPr>
        <w:t>)</w:t>
      </w:r>
      <w:r w:rsidRPr="00E61DC5">
        <w:rPr>
          <w:b/>
        </w:rPr>
        <w:t xml:space="preserve"> </w:t>
      </w:r>
      <w:r>
        <w:rPr>
          <w:b/>
        </w:rPr>
        <w:t xml:space="preserve">– </w:t>
      </w:r>
      <w:r w:rsidRPr="00E61DC5">
        <w:rPr>
          <w:b/>
        </w:rPr>
        <w:t>New Entry</w:t>
      </w:r>
    </w:p>
    <w:tbl>
      <w:tblPr>
        <w:tblStyle w:val="TableTGAblue"/>
        <w:tblW w:w="8646" w:type="dxa"/>
        <w:tblInd w:w="416" w:type="dxa"/>
        <w:tblLook w:val="04A0" w:firstRow="1" w:lastRow="0" w:firstColumn="1" w:lastColumn="0" w:noHBand="0" w:noVBand="1"/>
      </w:tblPr>
      <w:tblGrid>
        <w:gridCol w:w="699"/>
        <w:gridCol w:w="1843"/>
        <w:gridCol w:w="6104"/>
      </w:tblGrid>
      <w:tr w:rsidR="00935D5F" w14:paraId="5DA40F70" w14:textId="77777777" w:rsidTr="00935D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5FBB89B5" w14:textId="0FEB77C5" w:rsidR="00935D5F" w:rsidRPr="00935D5F" w:rsidRDefault="00935D5F" w:rsidP="00935D5F">
            <w:pPr>
              <w:spacing w:before="60" w:after="60"/>
              <w:rPr>
                <w:bCs/>
                <w:color w:val="FFFFFF" w:themeColor="background1"/>
              </w:rPr>
            </w:pPr>
            <w:r w:rsidRPr="00935D5F">
              <w:rPr>
                <w:bCs/>
                <w:color w:val="FFFFFF" w:themeColor="background1"/>
              </w:rPr>
              <w:t>Item</w:t>
            </w:r>
          </w:p>
        </w:tc>
        <w:tc>
          <w:tcPr>
            <w:tcW w:w="1843" w:type="dxa"/>
          </w:tcPr>
          <w:p w14:paraId="389EC33D" w14:textId="41D72B45" w:rsidR="00935D5F" w:rsidRPr="00935D5F" w:rsidRDefault="00935D5F" w:rsidP="00935D5F">
            <w:pPr>
              <w:spacing w:before="60" w:after="60"/>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935D5F">
              <w:rPr>
                <w:bCs/>
                <w:color w:val="FFFFFF" w:themeColor="background1"/>
              </w:rPr>
              <w:t>Poison</w:t>
            </w:r>
          </w:p>
        </w:tc>
        <w:tc>
          <w:tcPr>
            <w:tcW w:w="6104" w:type="dxa"/>
          </w:tcPr>
          <w:p w14:paraId="3DB4D6DF" w14:textId="0E705FA9" w:rsidR="00935D5F" w:rsidRPr="00935D5F" w:rsidRDefault="00935D5F" w:rsidP="00935D5F">
            <w:pPr>
              <w:spacing w:before="60" w:after="60"/>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935D5F">
              <w:rPr>
                <w:bCs/>
                <w:color w:val="FFFFFF" w:themeColor="background1"/>
              </w:rPr>
              <w:t>Statement code (and statement)</w:t>
            </w:r>
          </w:p>
        </w:tc>
      </w:tr>
      <w:tr w:rsidR="00935D5F" w14:paraId="22308E8A" w14:textId="77777777" w:rsidTr="00935D5F">
        <w:tc>
          <w:tcPr>
            <w:cnfStyle w:val="001000000000" w:firstRow="0" w:lastRow="0" w:firstColumn="1" w:lastColumn="0" w:oddVBand="0" w:evenVBand="0" w:oddHBand="0" w:evenHBand="0" w:firstRowFirstColumn="0" w:firstRowLastColumn="0" w:lastRowFirstColumn="0" w:lastRowLastColumn="0"/>
            <w:tcW w:w="699" w:type="dxa"/>
          </w:tcPr>
          <w:p w14:paraId="79F12123" w14:textId="725DAD40" w:rsidR="00935D5F" w:rsidRPr="00935D5F" w:rsidRDefault="00935D5F" w:rsidP="00935D5F">
            <w:pPr>
              <w:spacing w:before="60" w:after="60"/>
              <w:rPr>
                <w:bCs/>
                <w:color w:val="00B050"/>
                <w:u w:val="single"/>
              </w:rPr>
            </w:pPr>
            <w:r w:rsidRPr="00935D5F">
              <w:rPr>
                <w:bCs/>
                <w:color w:val="00B050"/>
                <w:u w:val="single"/>
              </w:rPr>
              <w:t>138a</w:t>
            </w:r>
          </w:p>
        </w:tc>
        <w:tc>
          <w:tcPr>
            <w:tcW w:w="1843" w:type="dxa"/>
          </w:tcPr>
          <w:p w14:paraId="329139AC" w14:textId="67F54C26" w:rsidR="00935D5F" w:rsidRPr="00935D5F" w:rsidRDefault="00935D5F" w:rsidP="00935D5F">
            <w:pPr>
              <w:spacing w:before="60" w:after="60"/>
              <w:cnfStyle w:val="000000000000" w:firstRow="0" w:lastRow="0" w:firstColumn="0" w:lastColumn="0" w:oddVBand="0" w:evenVBand="0" w:oddHBand="0" w:evenHBand="0" w:firstRowFirstColumn="0" w:firstRowLastColumn="0" w:lastRowFirstColumn="0" w:lastRowLastColumn="0"/>
              <w:rPr>
                <w:bCs/>
                <w:color w:val="00B050"/>
                <w:u w:val="single"/>
              </w:rPr>
            </w:pPr>
            <w:r w:rsidRPr="00935D5F">
              <w:rPr>
                <w:bCs/>
                <w:color w:val="00B050"/>
                <w:u w:val="single"/>
              </w:rPr>
              <w:t>GLYOXYLIC ACID</w:t>
            </w:r>
          </w:p>
        </w:tc>
        <w:tc>
          <w:tcPr>
            <w:tcW w:w="6104" w:type="dxa"/>
          </w:tcPr>
          <w:p w14:paraId="378F92AB" w14:textId="5E9ECC44" w:rsidR="00935D5F" w:rsidRDefault="00935D5F" w:rsidP="00935D5F">
            <w:pPr>
              <w:spacing w:before="60" w:after="60"/>
              <w:cnfStyle w:val="000000000000" w:firstRow="0" w:lastRow="0" w:firstColumn="0" w:lastColumn="0" w:oddVBand="0" w:evenVBand="0" w:oddHBand="0" w:evenHBand="0" w:firstRowFirstColumn="0" w:firstRowLastColumn="0" w:lastRowFirstColumn="0" w:lastRowLastColumn="0"/>
              <w:rPr>
                <w:b/>
              </w:rPr>
            </w:pPr>
            <w:r w:rsidRPr="00935D5F">
              <w:rPr>
                <w:bCs/>
                <w:color w:val="00B050"/>
                <w:u w:val="single"/>
              </w:rPr>
              <w:t>A</w:t>
            </w:r>
            <w:r>
              <w:rPr>
                <w:b/>
              </w:rPr>
              <w:t xml:space="preserve"> </w:t>
            </w:r>
            <w:r w:rsidRPr="00935D5F">
              <w:rPr>
                <w:bCs/>
              </w:rPr>
              <w:t>(For advice, contact a Poisons Information Centre (</w:t>
            </w:r>
            <w:proofErr w:type="gramStart"/>
            <w:r w:rsidRPr="00935D5F">
              <w:rPr>
                <w:bCs/>
              </w:rPr>
              <w:t>e.g.</w:t>
            </w:r>
            <w:proofErr w:type="gramEnd"/>
            <w:r w:rsidRPr="00935D5F">
              <w:rPr>
                <w:bCs/>
              </w:rPr>
              <w:t xml:space="preserve"> phone Australia 13 11 26; New Zealand 0800 764 766) or a doctor (at once).)</w:t>
            </w:r>
          </w:p>
          <w:p w14:paraId="4B6AAE52" w14:textId="771132B4" w:rsidR="00935D5F" w:rsidRDefault="00935D5F" w:rsidP="00935D5F">
            <w:pPr>
              <w:spacing w:before="60" w:after="60"/>
              <w:cnfStyle w:val="000000000000" w:firstRow="0" w:lastRow="0" w:firstColumn="0" w:lastColumn="0" w:oddVBand="0" w:evenVBand="0" w:oddHBand="0" w:evenHBand="0" w:firstRowFirstColumn="0" w:firstRowLastColumn="0" w:lastRowFirstColumn="0" w:lastRowLastColumn="0"/>
              <w:rPr>
                <w:b/>
              </w:rPr>
            </w:pPr>
            <w:r w:rsidRPr="00935D5F">
              <w:rPr>
                <w:bCs/>
                <w:color w:val="00B050"/>
                <w:u w:val="single"/>
              </w:rPr>
              <w:t>G3</w:t>
            </w:r>
            <w:r>
              <w:rPr>
                <w:b/>
              </w:rPr>
              <w:t xml:space="preserve"> </w:t>
            </w:r>
            <w:r w:rsidRPr="00935D5F">
              <w:rPr>
                <w:bCs/>
              </w:rPr>
              <w:t>(If swallowed, do NOT induce vomiting.)</w:t>
            </w:r>
          </w:p>
          <w:p w14:paraId="085E3C00" w14:textId="51523B08" w:rsidR="00935D5F" w:rsidRDefault="00935D5F" w:rsidP="00935D5F">
            <w:pPr>
              <w:spacing w:before="60" w:after="60"/>
              <w:cnfStyle w:val="000000000000" w:firstRow="0" w:lastRow="0" w:firstColumn="0" w:lastColumn="0" w:oddVBand="0" w:evenVBand="0" w:oddHBand="0" w:evenHBand="0" w:firstRowFirstColumn="0" w:firstRowLastColumn="0" w:lastRowFirstColumn="0" w:lastRowLastColumn="0"/>
              <w:rPr>
                <w:b/>
              </w:rPr>
            </w:pPr>
            <w:r w:rsidRPr="00935D5F">
              <w:rPr>
                <w:bCs/>
                <w:color w:val="00B050"/>
                <w:u w:val="single"/>
              </w:rPr>
              <w:t>E2</w:t>
            </w:r>
            <w:r>
              <w:rPr>
                <w:b/>
              </w:rPr>
              <w:t xml:space="preserve"> </w:t>
            </w:r>
            <w:r w:rsidRPr="00935D5F">
              <w:rPr>
                <w:bCs/>
              </w:rPr>
              <w:t>(If in eyes, hold eyelids apart and flush the eye continuously with running water. Continue flushing until advised to stop by a Poisons Information Centre (</w:t>
            </w:r>
            <w:proofErr w:type="gramStart"/>
            <w:r w:rsidRPr="00935D5F">
              <w:rPr>
                <w:bCs/>
              </w:rPr>
              <w:t>e.g.</w:t>
            </w:r>
            <w:proofErr w:type="gramEnd"/>
            <w:r w:rsidRPr="00935D5F">
              <w:rPr>
                <w:bCs/>
              </w:rPr>
              <w:t xml:space="preserve"> phone </w:t>
            </w:r>
            <w:proofErr w:type="spellStart"/>
            <w:r w:rsidRPr="00935D5F">
              <w:rPr>
                <w:bCs/>
              </w:rPr>
              <w:t>Autralia</w:t>
            </w:r>
            <w:proofErr w:type="spellEnd"/>
            <w:r w:rsidRPr="00935D5F">
              <w:rPr>
                <w:bCs/>
              </w:rPr>
              <w:t xml:space="preserve"> 13 11 26; New Zealand 0800 764 766) or a doctor, or for at least 15 minutes.)</w:t>
            </w:r>
          </w:p>
        </w:tc>
      </w:tr>
    </w:tbl>
    <w:p w14:paraId="65A2CDFA" w14:textId="77777777" w:rsidR="001535E5" w:rsidRDefault="001535E5" w:rsidP="00935D5F">
      <w:pPr>
        <w:spacing w:before="240"/>
        <w:ind w:left="425"/>
        <w:rPr>
          <w:b/>
        </w:rPr>
      </w:pPr>
      <w:r>
        <w:rPr>
          <w:b/>
        </w:rPr>
        <w:t>Appendix F, clause 4 (</w:t>
      </w:r>
      <w:r w:rsidRPr="00E035FB">
        <w:rPr>
          <w:b/>
        </w:rPr>
        <w:t>Poisons that must be labelled with warning statements and safety directions</w:t>
      </w:r>
      <w:r>
        <w:rPr>
          <w:b/>
        </w:rPr>
        <w:t>)</w:t>
      </w:r>
      <w:r w:rsidRPr="00E61DC5">
        <w:rPr>
          <w:b/>
        </w:rPr>
        <w:t xml:space="preserve"> </w:t>
      </w:r>
      <w:r>
        <w:rPr>
          <w:b/>
        </w:rPr>
        <w:t xml:space="preserve">– </w:t>
      </w:r>
      <w:r w:rsidRPr="00E61DC5">
        <w:rPr>
          <w:b/>
        </w:rPr>
        <w:t>New Entry</w:t>
      </w:r>
    </w:p>
    <w:tbl>
      <w:tblPr>
        <w:tblStyle w:val="TableTGAblue"/>
        <w:tblW w:w="8646" w:type="dxa"/>
        <w:tblInd w:w="416" w:type="dxa"/>
        <w:tblLook w:val="04A0" w:firstRow="1" w:lastRow="0" w:firstColumn="1" w:lastColumn="0" w:noHBand="0" w:noVBand="1"/>
      </w:tblPr>
      <w:tblGrid>
        <w:gridCol w:w="699"/>
        <w:gridCol w:w="1843"/>
        <w:gridCol w:w="2844"/>
        <w:gridCol w:w="3260"/>
      </w:tblGrid>
      <w:tr w:rsidR="00935D5F" w14:paraId="029659D9" w14:textId="11D8F572" w:rsidTr="00935D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 w:type="dxa"/>
          </w:tcPr>
          <w:p w14:paraId="78EABB51" w14:textId="77777777" w:rsidR="00935D5F" w:rsidRPr="00935D5F" w:rsidRDefault="00935D5F" w:rsidP="00D83B3A">
            <w:pPr>
              <w:spacing w:before="60" w:after="60"/>
              <w:rPr>
                <w:bCs/>
                <w:color w:val="FFFFFF" w:themeColor="background1"/>
              </w:rPr>
            </w:pPr>
            <w:r w:rsidRPr="00935D5F">
              <w:rPr>
                <w:bCs/>
                <w:color w:val="FFFFFF" w:themeColor="background1"/>
              </w:rPr>
              <w:t>Item</w:t>
            </w:r>
          </w:p>
        </w:tc>
        <w:tc>
          <w:tcPr>
            <w:tcW w:w="1843" w:type="dxa"/>
          </w:tcPr>
          <w:p w14:paraId="60211852" w14:textId="77777777" w:rsidR="00935D5F" w:rsidRPr="00935D5F" w:rsidRDefault="00935D5F" w:rsidP="00D83B3A">
            <w:pPr>
              <w:spacing w:before="60" w:after="60"/>
              <w:cnfStyle w:val="100000000000" w:firstRow="1" w:lastRow="0" w:firstColumn="0" w:lastColumn="0" w:oddVBand="0" w:evenVBand="0" w:oddHBand="0" w:evenHBand="0" w:firstRowFirstColumn="0" w:firstRowLastColumn="0" w:lastRowFirstColumn="0" w:lastRowLastColumn="0"/>
              <w:rPr>
                <w:bCs/>
                <w:color w:val="FFFFFF" w:themeColor="background1"/>
              </w:rPr>
            </w:pPr>
            <w:r w:rsidRPr="00935D5F">
              <w:rPr>
                <w:bCs/>
                <w:color w:val="FFFFFF" w:themeColor="background1"/>
              </w:rPr>
              <w:t>Poison</w:t>
            </w:r>
          </w:p>
        </w:tc>
        <w:tc>
          <w:tcPr>
            <w:tcW w:w="2844" w:type="dxa"/>
          </w:tcPr>
          <w:p w14:paraId="70AEF267" w14:textId="169EA9BC" w:rsidR="00935D5F" w:rsidRPr="00935D5F" w:rsidRDefault="00CF4BE8" w:rsidP="00D83B3A">
            <w:pPr>
              <w:spacing w:before="60" w:after="60"/>
              <w:cnfStyle w:val="100000000000" w:firstRow="1" w:lastRow="0" w:firstColumn="0" w:lastColumn="0" w:oddVBand="0" w:evenVBand="0" w:oddHBand="0" w:evenHBand="0" w:firstRowFirstColumn="0" w:firstRowLastColumn="0" w:lastRowFirstColumn="0" w:lastRowLastColumn="0"/>
              <w:rPr>
                <w:bCs/>
                <w:color w:val="FFFFFF" w:themeColor="background1"/>
              </w:rPr>
            </w:pPr>
            <w:r>
              <w:rPr>
                <w:bCs/>
                <w:color w:val="FFFFFF" w:themeColor="background1"/>
              </w:rPr>
              <w:t>Warning s</w:t>
            </w:r>
            <w:r w:rsidR="00935D5F" w:rsidRPr="00935D5F">
              <w:rPr>
                <w:bCs/>
                <w:color w:val="FFFFFF" w:themeColor="background1"/>
              </w:rPr>
              <w:t xml:space="preserve">tatement </w:t>
            </w:r>
            <w:r>
              <w:rPr>
                <w:bCs/>
                <w:color w:val="FFFFFF" w:themeColor="background1"/>
              </w:rPr>
              <w:t>item number</w:t>
            </w:r>
            <w:r w:rsidR="00935D5F" w:rsidRPr="00935D5F">
              <w:rPr>
                <w:bCs/>
                <w:color w:val="FFFFFF" w:themeColor="background1"/>
              </w:rPr>
              <w:t xml:space="preserve"> (and statement)</w:t>
            </w:r>
          </w:p>
        </w:tc>
        <w:tc>
          <w:tcPr>
            <w:tcW w:w="3260" w:type="dxa"/>
          </w:tcPr>
          <w:p w14:paraId="4B4CD6B4" w14:textId="37E6DCF2" w:rsidR="00935D5F" w:rsidRPr="00935D5F" w:rsidRDefault="00CF4BE8" w:rsidP="00D83B3A">
            <w:pPr>
              <w:spacing w:before="60" w:after="60"/>
              <w:cnfStyle w:val="100000000000" w:firstRow="1" w:lastRow="0" w:firstColumn="0" w:lastColumn="0" w:oddVBand="0" w:evenVBand="0" w:oddHBand="0" w:evenHBand="0" w:firstRowFirstColumn="0" w:firstRowLastColumn="0" w:lastRowFirstColumn="0" w:lastRowLastColumn="0"/>
              <w:rPr>
                <w:bCs/>
                <w:color w:val="FFFFFF" w:themeColor="background1"/>
              </w:rPr>
            </w:pPr>
            <w:r>
              <w:rPr>
                <w:bCs/>
                <w:color w:val="FFFFFF" w:themeColor="background1"/>
              </w:rPr>
              <w:t>Safety direction item number (and statement)</w:t>
            </w:r>
          </w:p>
        </w:tc>
      </w:tr>
      <w:tr w:rsidR="00935D5F" w14:paraId="4F7CED4C" w14:textId="5DD58B62" w:rsidTr="00935D5F">
        <w:tc>
          <w:tcPr>
            <w:cnfStyle w:val="001000000000" w:firstRow="0" w:lastRow="0" w:firstColumn="1" w:lastColumn="0" w:oddVBand="0" w:evenVBand="0" w:oddHBand="0" w:evenHBand="0" w:firstRowFirstColumn="0" w:firstRowLastColumn="0" w:lastRowFirstColumn="0" w:lastRowLastColumn="0"/>
            <w:tcW w:w="699" w:type="dxa"/>
          </w:tcPr>
          <w:p w14:paraId="5D019A32" w14:textId="3A902CD2" w:rsidR="00935D5F" w:rsidRPr="00935D5F" w:rsidRDefault="00935D5F" w:rsidP="00D83B3A">
            <w:pPr>
              <w:spacing w:before="60" w:after="60"/>
              <w:rPr>
                <w:bCs/>
                <w:color w:val="00B050"/>
                <w:u w:val="single"/>
              </w:rPr>
            </w:pPr>
            <w:r w:rsidRPr="00935D5F">
              <w:rPr>
                <w:bCs/>
                <w:color w:val="00B050"/>
                <w:u w:val="single"/>
              </w:rPr>
              <w:t>1</w:t>
            </w:r>
            <w:r>
              <w:rPr>
                <w:bCs/>
                <w:color w:val="00B050"/>
                <w:u w:val="single"/>
              </w:rPr>
              <w:t>60</w:t>
            </w:r>
            <w:r w:rsidRPr="00935D5F">
              <w:rPr>
                <w:bCs/>
                <w:color w:val="00B050"/>
                <w:u w:val="single"/>
              </w:rPr>
              <w:t>a</w:t>
            </w:r>
          </w:p>
        </w:tc>
        <w:tc>
          <w:tcPr>
            <w:tcW w:w="1843" w:type="dxa"/>
          </w:tcPr>
          <w:p w14:paraId="21854B22" w14:textId="77777777" w:rsidR="00935D5F" w:rsidRPr="00935D5F" w:rsidRDefault="00935D5F" w:rsidP="00D83B3A">
            <w:pPr>
              <w:spacing w:before="60" w:after="60"/>
              <w:cnfStyle w:val="000000000000" w:firstRow="0" w:lastRow="0" w:firstColumn="0" w:lastColumn="0" w:oddVBand="0" w:evenVBand="0" w:oddHBand="0" w:evenHBand="0" w:firstRowFirstColumn="0" w:firstRowLastColumn="0" w:lastRowFirstColumn="0" w:lastRowLastColumn="0"/>
              <w:rPr>
                <w:bCs/>
                <w:color w:val="00B050"/>
                <w:u w:val="single"/>
              </w:rPr>
            </w:pPr>
            <w:r w:rsidRPr="00935D5F">
              <w:rPr>
                <w:bCs/>
                <w:color w:val="00B050"/>
                <w:u w:val="single"/>
              </w:rPr>
              <w:t>GLYOXYLIC ACID</w:t>
            </w:r>
          </w:p>
        </w:tc>
        <w:tc>
          <w:tcPr>
            <w:tcW w:w="2844" w:type="dxa"/>
          </w:tcPr>
          <w:p w14:paraId="1A552519" w14:textId="2E964450" w:rsidR="00935D5F" w:rsidRDefault="00CF4BE8" w:rsidP="00D83B3A">
            <w:pPr>
              <w:spacing w:before="60" w:after="60"/>
              <w:cnfStyle w:val="000000000000" w:firstRow="0" w:lastRow="0" w:firstColumn="0" w:lastColumn="0" w:oddVBand="0" w:evenVBand="0" w:oddHBand="0" w:evenHBand="0" w:firstRowFirstColumn="0" w:firstRowLastColumn="0" w:lastRowFirstColumn="0" w:lastRowLastColumn="0"/>
              <w:rPr>
                <w:b/>
              </w:rPr>
            </w:pPr>
            <w:r w:rsidRPr="00CF4BE8">
              <w:rPr>
                <w:bCs/>
                <w:color w:val="00B050"/>
                <w:u w:val="single"/>
              </w:rPr>
              <w:t>79</w:t>
            </w:r>
            <w:r w:rsidR="00935D5F">
              <w:rPr>
                <w:b/>
              </w:rPr>
              <w:t xml:space="preserve"> </w:t>
            </w:r>
            <w:r w:rsidR="00935D5F" w:rsidRPr="00935D5F">
              <w:rPr>
                <w:bCs/>
              </w:rPr>
              <w:t>(</w:t>
            </w:r>
            <w:r>
              <w:rPr>
                <w:bCs/>
              </w:rPr>
              <w:t>Will irritate eyes</w:t>
            </w:r>
            <w:r w:rsidR="00935D5F" w:rsidRPr="00935D5F">
              <w:rPr>
                <w:bCs/>
              </w:rPr>
              <w:t>)</w:t>
            </w:r>
          </w:p>
        </w:tc>
        <w:tc>
          <w:tcPr>
            <w:tcW w:w="3260" w:type="dxa"/>
          </w:tcPr>
          <w:p w14:paraId="671D613B" w14:textId="3D37AAD8" w:rsidR="00935D5F" w:rsidRPr="00CF4BE8" w:rsidRDefault="00CF4BE8" w:rsidP="00D83B3A">
            <w:pPr>
              <w:spacing w:before="60" w:after="60"/>
              <w:cnfStyle w:val="000000000000" w:firstRow="0" w:lastRow="0" w:firstColumn="0" w:lastColumn="0" w:oddVBand="0" w:evenVBand="0" w:oddHBand="0" w:evenHBand="0" w:firstRowFirstColumn="0" w:firstRowLastColumn="0" w:lastRowFirstColumn="0" w:lastRowLastColumn="0"/>
              <w:rPr>
                <w:bCs/>
                <w:color w:val="00B050"/>
              </w:rPr>
            </w:pPr>
            <w:r>
              <w:rPr>
                <w:bCs/>
                <w:color w:val="00B050"/>
                <w:u w:val="single"/>
              </w:rPr>
              <w:t>1</w:t>
            </w:r>
            <w:r>
              <w:rPr>
                <w:bCs/>
                <w:color w:val="00B050"/>
              </w:rPr>
              <w:t xml:space="preserve"> </w:t>
            </w:r>
            <w:r w:rsidRPr="00CF4BE8">
              <w:rPr>
                <w:bCs/>
                <w:color w:val="auto"/>
              </w:rPr>
              <w:t>(Avoid contact with eyes)</w:t>
            </w:r>
          </w:p>
          <w:p w14:paraId="24AABC09" w14:textId="1D28063C" w:rsidR="00CF4BE8" w:rsidRPr="00CF4BE8" w:rsidRDefault="00CF4BE8" w:rsidP="00D83B3A">
            <w:pPr>
              <w:spacing w:before="60" w:after="60"/>
              <w:cnfStyle w:val="000000000000" w:firstRow="0" w:lastRow="0" w:firstColumn="0" w:lastColumn="0" w:oddVBand="0" w:evenVBand="0" w:oddHBand="0" w:evenHBand="0" w:firstRowFirstColumn="0" w:firstRowLastColumn="0" w:lastRowFirstColumn="0" w:lastRowLastColumn="0"/>
              <w:rPr>
                <w:bCs/>
                <w:color w:val="00B050"/>
              </w:rPr>
            </w:pPr>
            <w:r>
              <w:rPr>
                <w:bCs/>
                <w:color w:val="00B050"/>
                <w:u w:val="single"/>
              </w:rPr>
              <w:t>5</w:t>
            </w:r>
            <w:r>
              <w:rPr>
                <w:bCs/>
                <w:color w:val="00B050"/>
              </w:rPr>
              <w:t xml:space="preserve"> </w:t>
            </w:r>
            <w:r w:rsidRPr="00CF4BE8">
              <w:rPr>
                <w:bCs/>
                <w:color w:val="auto"/>
              </w:rPr>
              <w:t>(Wear protective gloves when mixing or using)</w:t>
            </w:r>
          </w:p>
          <w:p w14:paraId="4C2D5D2E" w14:textId="2673BF90" w:rsidR="00CF4BE8" w:rsidRPr="00CF4BE8" w:rsidRDefault="00CF4BE8" w:rsidP="00D83B3A">
            <w:pPr>
              <w:spacing w:before="60" w:after="60"/>
              <w:cnfStyle w:val="000000000000" w:firstRow="0" w:lastRow="0" w:firstColumn="0" w:lastColumn="0" w:oddVBand="0" w:evenVBand="0" w:oddHBand="0" w:evenHBand="0" w:firstRowFirstColumn="0" w:firstRowLastColumn="0" w:lastRowFirstColumn="0" w:lastRowLastColumn="0"/>
              <w:rPr>
                <w:bCs/>
                <w:color w:val="00B050"/>
              </w:rPr>
            </w:pPr>
            <w:r>
              <w:rPr>
                <w:bCs/>
                <w:color w:val="00B050"/>
                <w:u w:val="single"/>
              </w:rPr>
              <w:t>6</w:t>
            </w:r>
            <w:r>
              <w:rPr>
                <w:bCs/>
                <w:color w:val="00B050"/>
              </w:rPr>
              <w:t xml:space="preserve"> </w:t>
            </w:r>
            <w:r w:rsidRPr="00CF4BE8">
              <w:rPr>
                <w:bCs/>
                <w:color w:val="auto"/>
              </w:rPr>
              <w:t>(Wash hands after use)</w:t>
            </w:r>
          </w:p>
          <w:p w14:paraId="64512031" w14:textId="4027E704" w:rsidR="00CF4BE8" w:rsidRPr="00CF4BE8" w:rsidRDefault="00CF4BE8" w:rsidP="00D83B3A">
            <w:pPr>
              <w:spacing w:before="60" w:after="60"/>
              <w:cnfStyle w:val="000000000000" w:firstRow="0" w:lastRow="0" w:firstColumn="0" w:lastColumn="0" w:oddVBand="0" w:evenVBand="0" w:oddHBand="0" w:evenHBand="0" w:firstRowFirstColumn="0" w:firstRowLastColumn="0" w:lastRowFirstColumn="0" w:lastRowLastColumn="0"/>
              <w:rPr>
                <w:bCs/>
                <w:color w:val="00B050"/>
              </w:rPr>
            </w:pPr>
            <w:r>
              <w:rPr>
                <w:bCs/>
                <w:color w:val="00B050"/>
                <w:u w:val="single"/>
              </w:rPr>
              <w:t>31</w:t>
            </w:r>
            <w:r>
              <w:rPr>
                <w:bCs/>
                <w:color w:val="00B050"/>
              </w:rPr>
              <w:t xml:space="preserve"> </w:t>
            </w:r>
            <w:r w:rsidRPr="00CF4BE8">
              <w:rPr>
                <w:bCs/>
                <w:color w:val="auto"/>
              </w:rPr>
              <w:t>(Do not use on broken skin)</w:t>
            </w:r>
          </w:p>
        </w:tc>
      </w:tr>
    </w:tbl>
    <w:p w14:paraId="68B504D2" w14:textId="77777777" w:rsidR="001535E5" w:rsidRDefault="001535E5" w:rsidP="00935D5F">
      <w:pPr>
        <w:spacing w:before="240"/>
        <w:ind w:left="425"/>
        <w:rPr>
          <w:b/>
        </w:rPr>
      </w:pPr>
      <w:r>
        <w:rPr>
          <w:b/>
        </w:rPr>
        <w:t>Index – New Entry</w:t>
      </w:r>
    </w:p>
    <w:p w14:paraId="0386C815" w14:textId="77777777" w:rsidR="001535E5" w:rsidRPr="00724F4A" w:rsidRDefault="001535E5" w:rsidP="007B2779">
      <w:pPr>
        <w:ind w:left="851"/>
        <w:rPr>
          <w:bCs/>
          <w:color w:val="00B050"/>
          <w:u w:val="single"/>
        </w:rPr>
      </w:pPr>
      <w:r w:rsidRPr="00724F4A">
        <w:rPr>
          <w:bCs/>
          <w:color w:val="00B050"/>
          <w:u w:val="single"/>
        </w:rPr>
        <w:t>GLYOXYLIC ACID</w:t>
      </w:r>
    </w:p>
    <w:p w14:paraId="64B66E4C" w14:textId="77777777" w:rsidR="001535E5" w:rsidRDefault="001535E5" w:rsidP="007B2779">
      <w:pPr>
        <w:spacing w:after="0"/>
        <w:ind w:left="851"/>
        <w:rPr>
          <w:bCs/>
          <w:color w:val="00B050"/>
          <w:u w:val="single"/>
        </w:rPr>
      </w:pPr>
      <w:r>
        <w:rPr>
          <w:bCs/>
          <w:color w:val="00B050"/>
          <w:u w:val="single"/>
        </w:rPr>
        <w:t>Schedule 6</w:t>
      </w:r>
    </w:p>
    <w:p w14:paraId="45B23AF1" w14:textId="77777777" w:rsidR="001535E5" w:rsidRDefault="001535E5" w:rsidP="007B2779">
      <w:pPr>
        <w:spacing w:after="0"/>
        <w:ind w:left="851"/>
        <w:rPr>
          <w:bCs/>
          <w:color w:val="00B050"/>
          <w:u w:val="single"/>
        </w:rPr>
      </w:pPr>
      <w:r>
        <w:rPr>
          <w:bCs/>
          <w:color w:val="00B050"/>
          <w:u w:val="single"/>
        </w:rPr>
        <w:t>Appendix E, clause 3</w:t>
      </w:r>
    </w:p>
    <w:p w14:paraId="195533C0" w14:textId="38560754" w:rsidR="000B3F0F" w:rsidRDefault="001535E5" w:rsidP="00BF4EA2">
      <w:pPr>
        <w:spacing w:after="0"/>
        <w:ind w:left="851"/>
        <w:rPr>
          <w:bCs/>
          <w:color w:val="00B050"/>
          <w:u w:val="single"/>
        </w:rPr>
      </w:pPr>
      <w:r>
        <w:rPr>
          <w:bCs/>
          <w:color w:val="00B050"/>
          <w:u w:val="single"/>
        </w:rPr>
        <w:t>Appendix F, clause 4</w:t>
      </w:r>
    </w:p>
    <w:p w14:paraId="3895763F" w14:textId="10C0B8BA" w:rsidR="001535E5" w:rsidRDefault="003F03BA" w:rsidP="001535E5">
      <w:pPr>
        <w:pStyle w:val="Heading4"/>
      </w:pPr>
      <w:bookmarkStart w:id="53" w:name="_Toc164679985"/>
      <w:r w:rsidRPr="00D149A2">
        <w:t>Background</w:t>
      </w:r>
      <w:bookmarkEnd w:id="53"/>
    </w:p>
    <w:p w14:paraId="67AED104" w14:textId="71921720" w:rsidR="001535E5" w:rsidRPr="001535E5" w:rsidRDefault="001535E5" w:rsidP="001535E5">
      <w:r w:rsidRPr="001535E5">
        <w:t xml:space="preserve">An evaluation statement </w:t>
      </w:r>
      <w:r w:rsidR="001D2246">
        <w:t xml:space="preserve">of glyoxylic acid </w:t>
      </w:r>
      <w:r w:rsidRPr="001535E5">
        <w:t xml:space="preserve">the Australian Industrial Chemicals Introduction Scheme (AICIS) </w:t>
      </w:r>
      <w:r w:rsidR="00231D99" w:rsidRPr="001535E5">
        <w:t>recommend</w:t>
      </w:r>
      <w:r w:rsidR="00231D99">
        <w:t>ed</w:t>
      </w:r>
      <w:r w:rsidR="00231D99" w:rsidRPr="001535E5">
        <w:t xml:space="preserve"> </w:t>
      </w:r>
      <w:r w:rsidRPr="001535E5">
        <w:t>an amendment to the Poisons Standard with respect to glyoxylic acid to restrict the exemptible concentration in cosmetics and provide warning statements and safety directions relating to skin sensitisation and eye irritation.</w:t>
      </w:r>
    </w:p>
    <w:p w14:paraId="0196B6DE" w14:textId="572EC18E" w:rsidR="003F03BA" w:rsidRPr="00D149A2" w:rsidRDefault="003F03BA" w:rsidP="003F03BA">
      <w:pPr>
        <w:pStyle w:val="Heading4"/>
      </w:pPr>
      <w:bookmarkStart w:id="54" w:name="_Toc164679986"/>
      <w:r w:rsidRPr="00D149A2">
        <w:t>Summary of reasons for the proposal</w:t>
      </w:r>
      <w:bookmarkEnd w:id="54"/>
    </w:p>
    <w:p w14:paraId="226210E2" w14:textId="3F70C3C6" w:rsidR="001535E5" w:rsidRDefault="001535E5" w:rsidP="001B6547">
      <w:pPr>
        <w:pStyle w:val="ListBullet"/>
      </w:pPr>
      <w:r>
        <w:t xml:space="preserve">Glyoxylic acid has </w:t>
      </w:r>
      <w:r w:rsidR="001D2246">
        <w:t xml:space="preserve">a </w:t>
      </w:r>
      <w:r>
        <w:t xml:space="preserve">potential to cause sensitisation effects at low </w:t>
      </w:r>
      <w:proofErr w:type="spellStart"/>
      <w:r w:rsidR="00EA6835">
        <w:t>pH</w:t>
      </w:r>
      <w:r w:rsidR="00FD443A">
        <w:t>.</w:t>
      </w:r>
      <w:proofErr w:type="spellEnd"/>
      <w:r w:rsidR="00EA6835">
        <w:t xml:space="preserve"> </w:t>
      </w:r>
      <w:r>
        <w:t xml:space="preserve">Inhalation of aerosols/vapours is expected when the </w:t>
      </w:r>
      <w:r w:rsidR="00BC5D30">
        <w:t xml:space="preserve">substance </w:t>
      </w:r>
      <w:r>
        <w:t xml:space="preserve">is </w:t>
      </w:r>
      <w:r w:rsidRPr="00F9041D">
        <w:t>applied</w:t>
      </w:r>
      <w:r>
        <w:t xml:space="preserve"> onto hair </w:t>
      </w:r>
      <w:r w:rsidR="00BC5D30">
        <w:t xml:space="preserve">(often added as a </w:t>
      </w:r>
      <w:r w:rsidR="00ED7494">
        <w:t xml:space="preserve">pH adjuster in hair products) </w:t>
      </w:r>
      <w:r>
        <w:t>and subsequently heated during hair straightening</w:t>
      </w:r>
      <w:r w:rsidR="00ED7494">
        <w:t>/styling</w:t>
      </w:r>
      <w:r>
        <w:t xml:space="preserve"> process.</w:t>
      </w:r>
    </w:p>
    <w:p w14:paraId="39EF161A" w14:textId="64134A2F" w:rsidR="001535E5" w:rsidRPr="00D30F84" w:rsidRDefault="00231D99" w:rsidP="001B6547">
      <w:pPr>
        <w:pStyle w:val="ListBullet"/>
      </w:pPr>
      <w:r>
        <w:lastRenderedPageBreak/>
        <w:t>A</w:t>
      </w:r>
      <w:r w:rsidR="001535E5">
        <w:t xml:space="preserve">dditional </w:t>
      </w:r>
      <w:r w:rsidR="001535E5" w:rsidRPr="004169A7">
        <w:t>control</w:t>
      </w:r>
      <w:r w:rsidR="001535E5">
        <w:t xml:space="preserve"> measures</w:t>
      </w:r>
      <w:r>
        <w:t xml:space="preserve"> are required</w:t>
      </w:r>
      <w:r w:rsidR="001535E5">
        <w:t xml:space="preserve"> to manage the risk arising from dermal </w:t>
      </w:r>
      <w:r w:rsidR="001535E5" w:rsidRPr="00D30F84">
        <w:t>and ocular exposure to these chemicals, particularly among workers and end users.</w:t>
      </w:r>
    </w:p>
    <w:p w14:paraId="1CF3E808" w14:textId="77777777" w:rsidR="003F03BA" w:rsidRPr="00D149A2" w:rsidRDefault="003F03BA" w:rsidP="003F03BA">
      <w:pPr>
        <w:pStyle w:val="Heading4"/>
      </w:pPr>
      <w:bookmarkStart w:id="55" w:name="_Toc164679987"/>
      <w:r w:rsidRPr="00D149A2">
        <w:t xml:space="preserve">Key uses / expected </w:t>
      </w:r>
      <w:proofErr w:type="gramStart"/>
      <w:r w:rsidRPr="00D149A2">
        <w:t>use</w:t>
      </w:r>
      <w:bookmarkEnd w:id="55"/>
      <w:proofErr w:type="gramEnd"/>
    </w:p>
    <w:p w14:paraId="61133CE9" w14:textId="175D62B6" w:rsidR="001535E5" w:rsidRPr="004C625A" w:rsidRDefault="001535E5" w:rsidP="001535E5">
      <w:r w:rsidRPr="005C7404">
        <w:t>Cosmetic, domestic, industrial use, pesticide formulations</w:t>
      </w:r>
      <w:r w:rsidR="00231D99">
        <w:t>.</w:t>
      </w:r>
    </w:p>
    <w:p w14:paraId="66B49495" w14:textId="77777777" w:rsidR="003F03BA" w:rsidRPr="00D149A2" w:rsidRDefault="003F03BA" w:rsidP="003F03BA">
      <w:pPr>
        <w:pStyle w:val="Heading4"/>
      </w:pPr>
      <w:bookmarkStart w:id="56" w:name="_Toc164679988"/>
      <w:r w:rsidRPr="00D149A2">
        <w:t>Australian regulations</w:t>
      </w:r>
      <w:bookmarkEnd w:id="56"/>
    </w:p>
    <w:p w14:paraId="1669CDC5" w14:textId="43B444AF" w:rsidR="00A74B3D" w:rsidRPr="00BF29C2" w:rsidRDefault="00A74B3D" w:rsidP="001B6547">
      <w:pPr>
        <w:pStyle w:val="ListBullet"/>
      </w:pPr>
      <w:r w:rsidRPr="00BF29C2">
        <w:t xml:space="preserve">According to the </w:t>
      </w:r>
      <w:hyperlink r:id="rId46" w:history="1">
        <w:r w:rsidRPr="00BF29C2">
          <w:rPr>
            <w:color w:val="0000FF"/>
            <w:u w:val="single"/>
          </w:rPr>
          <w:t>TGA Ingredient Database</w:t>
        </w:r>
      </w:hyperlink>
      <w:r w:rsidRPr="00BF29C2">
        <w:t>, glyoxylic acid is not an approved therapeutic ingredient.</w:t>
      </w:r>
    </w:p>
    <w:p w14:paraId="7407C11A" w14:textId="5DEF1719" w:rsidR="00A74B3D" w:rsidRPr="00BF29C2" w:rsidRDefault="00A74B3D" w:rsidP="001B6547">
      <w:pPr>
        <w:pStyle w:val="ListBullet"/>
      </w:pPr>
      <w:r w:rsidRPr="00BF29C2">
        <w:t xml:space="preserve">As of April 2024, there were no medicines currently active on the </w:t>
      </w:r>
      <w:hyperlink r:id="rId47" w:history="1">
        <w:r w:rsidRPr="00BF29C2">
          <w:rPr>
            <w:color w:val="0000FF"/>
            <w:u w:val="single"/>
          </w:rPr>
          <w:t>Australian Register of Therapeutic Goods (ARTG)</w:t>
        </w:r>
      </w:hyperlink>
      <w:r w:rsidRPr="00BF29C2">
        <w:t xml:space="preserve"> that contain glyoxylic acid as an active ingredient. </w:t>
      </w:r>
    </w:p>
    <w:p w14:paraId="6887E7AC" w14:textId="166E7EC2" w:rsidR="00A74B3D" w:rsidRPr="00BF29C2" w:rsidRDefault="00A74B3D" w:rsidP="001B6547">
      <w:pPr>
        <w:pStyle w:val="ListBullet"/>
      </w:pPr>
      <w:r w:rsidRPr="00BF29C2">
        <w:t xml:space="preserve">Glyoxylic acid is not permitted to be included in listed medicines as it is not included in the </w:t>
      </w:r>
      <w:hyperlink r:id="rId48" w:history="1">
        <w:r w:rsidRPr="00BF29C2">
          <w:rPr>
            <w:color w:val="0000FF"/>
            <w:u w:val="single"/>
          </w:rPr>
          <w:t>Therapeutic Goods (Permissible Ingredients) Determination</w:t>
        </w:r>
      </w:hyperlink>
      <w:r w:rsidR="006E4F91">
        <w:rPr>
          <w:vertAlign w:val="superscript"/>
        </w:rPr>
        <w:t xml:space="preserve"> </w:t>
      </w:r>
      <w:r w:rsidRPr="00BF29C2">
        <w:t xml:space="preserve">No.1 of 2024 . </w:t>
      </w:r>
    </w:p>
    <w:p w14:paraId="40CF9A9C" w14:textId="4AEC5038" w:rsidR="00A74B3D" w:rsidRPr="00BF29C2" w:rsidRDefault="00231D99" w:rsidP="001B6547">
      <w:pPr>
        <w:pStyle w:val="ListBullet"/>
      </w:pPr>
      <w:r>
        <w:t>T</w:t>
      </w:r>
      <w:r w:rsidR="00A74B3D" w:rsidRPr="00BF29C2">
        <w:t xml:space="preserve">he </w:t>
      </w:r>
      <w:hyperlink r:id="rId49" w:history="1">
        <w:r w:rsidR="00A74B3D" w:rsidRPr="00BF29C2">
          <w:rPr>
            <w:color w:val="0000FF"/>
            <w:u w:val="single"/>
          </w:rPr>
          <w:t>TGA prescribing medicines in pregnancy database</w:t>
        </w:r>
      </w:hyperlink>
      <w:r w:rsidR="00A74B3D" w:rsidRPr="00BF29C2">
        <w:t xml:space="preserve"> does not classify </w:t>
      </w:r>
      <w:r w:rsidR="00A74B3D" w:rsidRPr="00072422">
        <w:t>glyoxylic</w:t>
      </w:r>
      <w:r w:rsidR="00A74B3D" w:rsidRPr="00BF29C2">
        <w:t xml:space="preserve"> acid.</w:t>
      </w:r>
    </w:p>
    <w:p w14:paraId="776B2670" w14:textId="5D886B24" w:rsidR="00A74B3D" w:rsidRPr="00BF29C2" w:rsidRDefault="00A74B3D" w:rsidP="001B6547">
      <w:pPr>
        <w:pStyle w:val="ListBullet"/>
      </w:pPr>
      <w:r w:rsidRPr="00BF29C2">
        <w:t xml:space="preserve">The </w:t>
      </w:r>
      <w:hyperlink r:id="rId50" w:history="1">
        <w:r w:rsidRPr="00BF29C2">
          <w:rPr>
            <w:color w:val="0000FF"/>
            <w:u w:val="single"/>
          </w:rPr>
          <w:t>Therapeutic Goods (Medicines Advisory Statements) Specification 2019</w:t>
        </w:r>
      </w:hyperlink>
      <w:r w:rsidRPr="00BF29C2">
        <w:t xml:space="preserve"> does not require any warning statements pertaining to glyoxylic acid to be included on the labelling.</w:t>
      </w:r>
    </w:p>
    <w:p w14:paraId="64AE99BC" w14:textId="66CE40EB" w:rsidR="00A74B3D" w:rsidRPr="00BF29C2" w:rsidRDefault="00A74B3D" w:rsidP="001B6547">
      <w:pPr>
        <w:pStyle w:val="ListBullet"/>
      </w:pPr>
      <w:r w:rsidRPr="00BF29C2">
        <w:t xml:space="preserve">As of April 2024, there were no reports of adverse events for products containing glyoxylic acid as an active ingredient on the </w:t>
      </w:r>
      <w:hyperlink r:id="rId51" w:history="1">
        <w:r w:rsidRPr="00BF29C2">
          <w:rPr>
            <w:color w:val="0000FF"/>
            <w:u w:val="single"/>
          </w:rPr>
          <w:t>Database of Adverse Event Notifications (DAEN)</w:t>
        </w:r>
      </w:hyperlink>
      <w:r w:rsidRPr="00BF29C2">
        <w:t>.</w:t>
      </w:r>
    </w:p>
    <w:p w14:paraId="194CB5AA" w14:textId="3C6300B8" w:rsidR="00A74B3D" w:rsidRPr="00192F5A" w:rsidRDefault="005D44FF" w:rsidP="001B6547">
      <w:pPr>
        <w:pStyle w:val="ListBullet"/>
      </w:pPr>
      <w:r>
        <w:t xml:space="preserve">Between </w:t>
      </w:r>
      <w:r w:rsidR="00A74B3D" w:rsidRPr="00BF29C2">
        <w:t>2014</w:t>
      </w:r>
      <w:r>
        <w:t xml:space="preserve"> and </w:t>
      </w:r>
      <w:r w:rsidR="00A74B3D" w:rsidRPr="00BF29C2">
        <w:t xml:space="preserve">2020 no adverse experiences were recorded for glyoxylic acid in the </w:t>
      </w:r>
      <w:hyperlink r:id="rId52" w:history="1">
        <w:r w:rsidR="00A74B3D" w:rsidRPr="00BF29C2">
          <w:rPr>
            <w:color w:val="0000FF"/>
            <w:u w:val="single"/>
          </w:rPr>
          <w:t>APVMA Adverse Experience Reporting Program</w:t>
        </w:r>
      </w:hyperlink>
      <w:r w:rsidR="00A74B3D" w:rsidRPr="00BF29C2">
        <w:rPr>
          <w:color w:val="0000FF"/>
          <w:u w:val="single"/>
        </w:rPr>
        <w:t xml:space="preserve"> database (AERP)</w:t>
      </w:r>
      <w:r w:rsidR="006E4F91">
        <w:rPr>
          <w:color w:val="0000FF"/>
          <w:u w:val="single"/>
        </w:rPr>
        <w:t>.</w:t>
      </w:r>
    </w:p>
    <w:p w14:paraId="6D89E039" w14:textId="4A50FEE3" w:rsidR="00192F5A" w:rsidRPr="00D149A2" w:rsidRDefault="00192F5A" w:rsidP="00192F5A">
      <w:pPr>
        <w:pStyle w:val="ListBullet"/>
      </w:pPr>
      <w:r w:rsidRPr="00BF29C2">
        <w:t xml:space="preserve">Glyoxylic acid </w:t>
      </w:r>
      <w:r>
        <w:t xml:space="preserve">is listed on the Australian Industrial Chemicals Introduction Scheme’s </w:t>
      </w:r>
      <w:hyperlink r:id="rId53" w:history="1">
        <w:r w:rsidRPr="00855474">
          <w:rPr>
            <w:rStyle w:val="Hyperlink"/>
          </w:rPr>
          <w:t>industrial chemicals inventory</w:t>
        </w:r>
      </w:hyperlink>
      <w:r>
        <w:t>.</w:t>
      </w:r>
    </w:p>
    <w:p w14:paraId="5ADFF742" w14:textId="77777777" w:rsidR="003F03BA" w:rsidRPr="00D149A2" w:rsidRDefault="003F03BA" w:rsidP="003F03BA">
      <w:pPr>
        <w:pStyle w:val="Heading4"/>
      </w:pPr>
      <w:bookmarkStart w:id="57" w:name="_Toc164679989"/>
      <w:r w:rsidRPr="00D149A2">
        <w:t>International regulations</w:t>
      </w:r>
      <w:bookmarkEnd w:id="57"/>
    </w:p>
    <w:p w14:paraId="2B9C2BAF" w14:textId="4B33D6AF" w:rsidR="00A74B3D" w:rsidRPr="007B6EF6" w:rsidRDefault="00A74B3D" w:rsidP="001B6547">
      <w:pPr>
        <w:pStyle w:val="ListBullet"/>
      </w:pPr>
      <w:bookmarkStart w:id="58" w:name="_Toc122614237"/>
      <w:r>
        <w:t xml:space="preserve">Glyoxylic acid is listed on the </w:t>
      </w:r>
      <w:hyperlink r:id="rId54" w:history="1">
        <w:r w:rsidRPr="007B6EF6">
          <w:rPr>
            <w:rStyle w:val="Hyperlink"/>
          </w:rPr>
          <w:t>European Chemicals Agency (ECHA)</w:t>
        </w:r>
      </w:hyperlink>
      <w:r>
        <w:t xml:space="preserve"> with the hazard classification of GHS05 – ‘Corrosive’ and GHS07 – ‘Health Hazard.’ </w:t>
      </w:r>
      <w:r w:rsidRPr="00841824">
        <w:t>According to the harmonised classification and labelling (ATP15) approved by the European Union, this substance causes serious eye damage and may cause an allergic skin reaction.</w:t>
      </w:r>
      <w:r>
        <w:t xml:space="preserve"> Skin sensitising is noted as a property of a concern for glyoxylic acid.</w:t>
      </w:r>
    </w:p>
    <w:p w14:paraId="78F2CDFA" w14:textId="77777777" w:rsidR="005D4D22" w:rsidRDefault="00A74B3D" w:rsidP="001B6547">
      <w:pPr>
        <w:pStyle w:val="ListBullet"/>
      </w:pPr>
      <w:r>
        <w:t xml:space="preserve">The </w:t>
      </w:r>
      <w:hyperlink r:id="rId55" w:history="1">
        <w:r w:rsidRPr="00162E37">
          <w:rPr>
            <w:rStyle w:val="Hyperlink"/>
          </w:rPr>
          <w:t>European Commission database for information on cosmetic substances and ingredients database</w:t>
        </w:r>
      </w:hyperlink>
      <w:r>
        <w:t xml:space="preserve"> </w:t>
      </w:r>
      <w:r w:rsidR="00B12EAA">
        <w:t>(</w:t>
      </w:r>
      <w:proofErr w:type="spellStart"/>
      <w:r w:rsidR="00B12EAA">
        <w:t>CosIng</w:t>
      </w:r>
      <w:proofErr w:type="spellEnd"/>
      <w:r w:rsidR="00B12EAA">
        <w:t xml:space="preserve">) </w:t>
      </w:r>
      <w:r>
        <w:t>lists glyoxylic acid as an antistatic, buffering and hair-waving or straightening agent.</w:t>
      </w:r>
    </w:p>
    <w:p w14:paraId="618C148D" w14:textId="1C3A0587" w:rsidR="00A74B3D" w:rsidRPr="005D4D22" w:rsidRDefault="00A74B3D" w:rsidP="001B6547">
      <w:pPr>
        <w:pStyle w:val="ListBullet"/>
        <w:rPr>
          <w:rStyle w:val="Hyperlink"/>
          <w:color w:val="auto"/>
          <w:u w:val="none"/>
        </w:rPr>
      </w:pPr>
      <w:r>
        <w:t xml:space="preserve">The </w:t>
      </w:r>
      <w:hyperlink r:id="rId56" w:history="1">
        <w:r w:rsidRPr="007E59F4">
          <w:rPr>
            <w:rStyle w:val="Hyperlink"/>
          </w:rPr>
          <w:t>New Zealand Inventory of Chemicals (</w:t>
        </w:r>
        <w:proofErr w:type="spellStart"/>
        <w:r w:rsidRPr="007E59F4">
          <w:rPr>
            <w:rStyle w:val="Hyperlink"/>
          </w:rPr>
          <w:t>NZIoC</w:t>
        </w:r>
        <w:proofErr w:type="spellEnd"/>
        <w:r w:rsidRPr="007E59F4">
          <w:rPr>
            <w:rStyle w:val="Hyperlink"/>
          </w:rPr>
          <w:t>)</w:t>
        </w:r>
      </w:hyperlink>
      <w:r w:rsidR="006E4F91">
        <w:t xml:space="preserve"> </w:t>
      </w:r>
      <w:r>
        <w:t xml:space="preserve">does </w:t>
      </w:r>
      <w:r w:rsidRPr="007E59F4">
        <w:t xml:space="preserve">not </w:t>
      </w:r>
      <w:r>
        <w:t>list</w:t>
      </w:r>
      <w:r w:rsidRPr="007E59F4">
        <w:t xml:space="preserve"> an individual approval</w:t>
      </w:r>
      <w:r>
        <w:t xml:space="preserve"> for glyoxylic acid</w:t>
      </w:r>
      <w:r w:rsidRPr="007E59F4">
        <w:t xml:space="preserve"> but </w:t>
      </w:r>
      <w:r>
        <w:t xml:space="preserve">it </w:t>
      </w:r>
      <w:r w:rsidRPr="007E59F4">
        <w:t>may be used under an appropriate group standard</w:t>
      </w:r>
      <w:r>
        <w:t>.</w:t>
      </w:r>
    </w:p>
    <w:p w14:paraId="36DB0C75" w14:textId="3012D678" w:rsidR="00685E72" w:rsidRPr="00D149A2" w:rsidRDefault="003F03BA" w:rsidP="00446F1A">
      <w:pPr>
        <w:pStyle w:val="Heading2"/>
      </w:pPr>
      <w:bookmarkStart w:id="59" w:name="_Toc164679990"/>
      <w:r>
        <w:lastRenderedPageBreak/>
        <w:t>3</w:t>
      </w:r>
      <w:r>
        <w:tab/>
      </w:r>
      <w:r w:rsidR="00685E72" w:rsidRPr="00D149A2">
        <w:t>Proposed amendments referred for scheduling advice to the</w:t>
      </w:r>
      <w:r w:rsidR="00F258A8" w:rsidRPr="00D149A2">
        <w:t> </w:t>
      </w:r>
      <w:r w:rsidR="00685E72" w:rsidRPr="00D149A2">
        <w:t>Joint</w:t>
      </w:r>
      <w:r w:rsidR="00F258A8" w:rsidRPr="00D149A2">
        <w:t> </w:t>
      </w:r>
      <w:r w:rsidR="00685E72" w:rsidRPr="00D149A2">
        <w:t>ACMS-ACCS</w:t>
      </w:r>
      <w:r w:rsidR="00F258A8" w:rsidRPr="00D149A2">
        <w:t> </w:t>
      </w:r>
      <w:r w:rsidR="00685E72" w:rsidRPr="00D149A2">
        <w:t>meeting</w:t>
      </w:r>
      <w:r w:rsidR="00F258A8" w:rsidRPr="00D149A2">
        <w:t> </w:t>
      </w:r>
      <w:r w:rsidR="00685E72" w:rsidRPr="00D149A2">
        <w:t>#</w:t>
      </w:r>
      <w:bookmarkEnd w:id="58"/>
      <w:r>
        <w:t>37</w:t>
      </w:r>
      <w:bookmarkEnd w:id="59"/>
    </w:p>
    <w:p w14:paraId="0C79C3BB" w14:textId="1C98E42A" w:rsidR="00685E72" w:rsidRPr="00D149A2" w:rsidRDefault="003F03BA" w:rsidP="00446F1A">
      <w:pPr>
        <w:pStyle w:val="Heading3"/>
      </w:pPr>
      <w:bookmarkStart w:id="60" w:name="_Toc164679991"/>
      <w:r>
        <w:t>3.1</w:t>
      </w:r>
      <w:r>
        <w:tab/>
        <w:t>Intravenous potassium salts</w:t>
      </w:r>
      <w:bookmarkEnd w:id="60"/>
    </w:p>
    <w:p w14:paraId="3656A251" w14:textId="557544DC" w:rsidR="00685E72" w:rsidRPr="00D149A2" w:rsidRDefault="00685E72" w:rsidP="00446F1A">
      <w:pPr>
        <w:pStyle w:val="Heading4"/>
      </w:pPr>
      <w:bookmarkStart w:id="61" w:name="_Toc122614239"/>
      <w:bookmarkStart w:id="62" w:name="_Toc164679992"/>
      <w:r w:rsidRPr="00D149A2">
        <w:t>Proposal</w:t>
      </w:r>
      <w:bookmarkEnd w:id="61"/>
      <w:bookmarkEnd w:id="62"/>
    </w:p>
    <w:p w14:paraId="349DDEE9" w14:textId="10B4FC51" w:rsidR="00685E72" w:rsidRPr="00D149A2" w:rsidRDefault="00845F3C" w:rsidP="00446F1A">
      <w:r>
        <w:t>The applicant has proposed a new Schedule 4 entry for preparations of potassium salts for injection or infusion.</w:t>
      </w:r>
      <w:r w:rsidR="00AC0260">
        <w:t xml:space="preserve"> Potassium salts for intravenous administration are currently unscheduled.</w:t>
      </w:r>
    </w:p>
    <w:p w14:paraId="277D5030" w14:textId="7C9844A8" w:rsidR="00685E72" w:rsidRPr="00D149A2" w:rsidRDefault="00685E72" w:rsidP="00446F1A">
      <w:pPr>
        <w:pStyle w:val="Heading4"/>
      </w:pPr>
      <w:bookmarkStart w:id="63" w:name="_Toc122614240"/>
      <w:bookmarkStart w:id="64" w:name="_Toc164679993"/>
      <w:r w:rsidRPr="00D149A2">
        <w:t xml:space="preserve">CAS </w:t>
      </w:r>
      <w:r w:rsidR="00980F0C">
        <w:t>n</w:t>
      </w:r>
      <w:r w:rsidRPr="00D149A2">
        <w:t>umber</w:t>
      </w:r>
      <w:bookmarkEnd w:id="63"/>
      <w:bookmarkEnd w:id="64"/>
    </w:p>
    <w:p w14:paraId="0D79F61E" w14:textId="4F236C65" w:rsidR="00685E72" w:rsidRDefault="00AC0260" w:rsidP="00446F1A">
      <w:r>
        <w:t>7447-40-7 (potassium chloride)</w:t>
      </w:r>
    </w:p>
    <w:p w14:paraId="794DEA6E" w14:textId="3C315E43" w:rsidR="00AC0260" w:rsidRDefault="00AC0260" w:rsidP="00446F1A">
      <w:r>
        <w:t>7778-77-0 (potassium dihydrogen phosphate)</w:t>
      </w:r>
    </w:p>
    <w:p w14:paraId="5A6113E2" w14:textId="3F27A202" w:rsidR="00AC0260" w:rsidRPr="00D149A2" w:rsidRDefault="00AC0260" w:rsidP="00446F1A">
      <w:r>
        <w:t>127-08-2 (potassium acetate)</w:t>
      </w:r>
    </w:p>
    <w:p w14:paraId="1AE3849D" w14:textId="77777777" w:rsidR="00685E72" w:rsidRPr="00D149A2" w:rsidRDefault="00685E72" w:rsidP="00446F1A">
      <w:pPr>
        <w:pStyle w:val="Heading4"/>
      </w:pPr>
      <w:bookmarkStart w:id="65" w:name="_Toc122614241"/>
      <w:bookmarkStart w:id="66" w:name="_Toc164679994"/>
      <w:r w:rsidRPr="00D149A2">
        <w:t>Alternative names</w:t>
      </w:r>
      <w:bookmarkEnd w:id="65"/>
      <w:bookmarkEnd w:id="66"/>
    </w:p>
    <w:p w14:paraId="256338DA" w14:textId="2BCB2449" w:rsidR="00685E72" w:rsidRDefault="00657E0D" w:rsidP="00446F1A">
      <w:r>
        <w:t>Potassium phosphate, monobasic; phosphoric acid potassium salt 1:1 (CAS name)</w:t>
      </w:r>
    </w:p>
    <w:p w14:paraId="31D14C7A" w14:textId="10A4C0A2" w:rsidR="00657E0D" w:rsidRPr="00D149A2" w:rsidRDefault="00657E0D" w:rsidP="00446F1A">
      <w:r>
        <w:t>Acetic acid potassium salt 1:1 (CAS name)</w:t>
      </w:r>
    </w:p>
    <w:p w14:paraId="6A88D76A" w14:textId="77777777" w:rsidR="00685E72" w:rsidRPr="00D149A2" w:rsidRDefault="00685E72" w:rsidP="00446F1A">
      <w:pPr>
        <w:pStyle w:val="Heading4"/>
      </w:pPr>
      <w:bookmarkStart w:id="67" w:name="_Toc122614242"/>
      <w:bookmarkStart w:id="68" w:name="_Toc164679995"/>
      <w:r w:rsidRPr="00D149A2">
        <w:t>Applicant</w:t>
      </w:r>
      <w:bookmarkEnd w:id="67"/>
      <w:bookmarkEnd w:id="68"/>
    </w:p>
    <w:p w14:paraId="43F6A934" w14:textId="69C462E8" w:rsidR="008F6897" w:rsidRPr="00D149A2" w:rsidRDefault="008F6897" w:rsidP="00446F1A">
      <w:bookmarkStart w:id="69" w:name="_How_to_respond"/>
      <w:bookmarkStart w:id="70" w:name="_Toc122614249"/>
      <w:bookmarkEnd w:id="69"/>
      <w:r w:rsidRPr="00657E0D">
        <w:t>Private applicant</w:t>
      </w:r>
    </w:p>
    <w:p w14:paraId="68C606CE" w14:textId="77777777" w:rsidR="008F6897" w:rsidRPr="00D149A2" w:rsidRDefault="008F6897" w:rsidP="00446F1A">
      <w:pPr>
        <w:pStyle w:val="Heading4"/>
      </w:pPr>
      <w:bookmarkStart w:id="71" w:name="_Toc164679996"/>
      <w:r w:rsidRPr="00D149A2">
        <w:t>Proposed Scheduling</w:t>
      </w:r>
      <w:bookmarkEnd w:id="71"/>
    </w:p>
    <w:p w14:paraId="54B2C192" w14:textId="7B4E3396" w:rsidR="008F6897" w:rsidRPr="00D149A2" w:rsidRDefault="008F6897" w:rsidP="00446F1A">
      <w:r w:rsidRPr="00986C09">
        <w:t>The applicant’s proposed amendments to the Poisons Standard are</w:t>
      </w:r>
      <w:r w:rsidRPr="005D44FF">
        <w:rPr>
          <w:rStyle w:val="FootnoteReference"/>
          <w:bCs/>
        </w:rPr>
        <w:footnoteReference w:id="4"/>
      </w:r>
      <w:r w:rsidR="005D44FF">
        <w:t>:</w:t>
      </w:r>
    </w:p>
    <w:p w14:paraId="68B8E669" w14:textId="4A1E5FB3" w:rsidR="008F6897" w:rsidRPr="00986C09" w:rsidRDefault="008F6897" w:rsidP="00376036">
      <w:pPr>
        <w:ind w:left="425"/>
        <w:rPr>
          <w:b/>
          <w:bCs/>
        </w:rPr>
      </w:pPr>
      <w:r w:rsidRPr="00986C09">
        <w:rPr>
          <w:b/>
          <w:bCs/>
        </w:rPr>
        <w:t xml:space="preserve">Schedule </w:t>
      </w:r>
      <w:r w:rsidR="00657E0D" w:rsidRPr="00986C09">
        <w:rPr>
          <w:b/>
          <w:bCs/>
        </w:rPr>
        <w:t>4</w:t>
      </w:r>
      <w:r w:rsidRPr="00986C09">
        <w:rPr>
          <w:b/>
          <w:bCs/>
        </w:rPr>
        <w:t xml:space="preserve"> – New Entry</w:t>
      </w:r>
    </w:p>
    <w:p w14:paraId="186C4B53" w14:textId="0919619C" w:rsidR="008F6897" w:rsidRPr="000D7429" w:rsidRDefault="00657E0D" w:rsidP="00376036">
      <w:pPr>
        <w:ind w:left="851"/>
        <w:rPr>
          <w:color w:val="00B050"/>
          <w:u w:val="single"/>
        </w:rPr>
      </w:pPr>
      <w:r w:rsidRPr="000D7429">
        <w:rPr>
          <w:color w:val="00B050"/>
          <w:u w:val="single"/>
        </w:rPr>
        <w:t xml:space="preserve">POTASSIUM SALTS, being the chloride, </w:t>
      </w:r>
      <w:proofErr w:type="gramStart"/>
      <w:r w:rsidRPr="000D7429">
        <w:rPr>
          <w:color w:val="00B050"/>
          <w:u w:val="single"/>
        </w:rPr>
        <w:t>phosphate</w:t>
      </w:r>
      <w:proofErr w:type="gramEnd"/>
      <w:r w:rsidRPr="000D7429">
        <w:rPr>
          <w:color w:val="00B050"/>
          <w:u w:val="single"/>
        </w:rPr>
        <w:t xml:space="preserve"> or acetate </w:t>
      </w:r>
      <w:r w:rsidR="000D7429">
        <w:rPr>
          <w:color w:val="00B050"/>
          <w:u w:val="single"/>
        </w:rPr>
        <w:t xml:space="preserve">salts </w:t>
      </w:r>
      <w:r w:rsidRPr="000D7429">
        <w:rPr>
          <w:color w:val="00B050"/>
          <w:u w:val="single"/>
        </w:rPr>
        <w:t>of potassium alone or in any combination, in preparations for human therapeutic use</w:t>
      </w:r>
      <w:r w:rsidR="00986C09" w:rsidRPr="000D7429">
        <w:rPr>
          <w:color w:val="00B050"/>
          <w:u w:val="single"/>
        </w:rPr>
        <w:t xml:space="preserve"> for injection or infusion</w:t>
      </w:r>
      <w:r w:rsidR="00374AC6" w:rsidRPr="000D7429">
        <w:rPr>
          <w:color w:val="00B050"/>
          <w:u w:val="single"/>
        </w:rPr>
        <w:t xml:space="preserve"> </w:t>
      </w:r>
      <w:r w:rsidR="00374AC6" w:rsidRPr="000D7429">
        <w:rPr>
          <w:b/>
          <w:bCs/>
          <w:color w:val="00B050"/>
          <w:u w:val="single"/>
        </w:rPr>
        <w:t>except</w:t>
      </w:r>
      <w:r w:rsidR="00374AC6" w:rsidRPr="000D7429">
        <w:rPr>
          <w:color w:val="00B050"/>
          <w:u w:val="single"/>
        </w:rPr>
        <w:t xml:space="preserve"> those containing less than 10</w:t>
      </w:r>
      <w:r w:rsidR="000D7429">
        <w:rPr>
          <w:color w:val="00B050"/>
          <w:u w:val="single"/>
        </w:rPr>
        <w:t xml:space="preserve"> </w:t>
      </w:r>
      <w:r w:rsidR="00374AC6" w:rsidRPr="000D7429">
        <w:rPr>
          <w:color w:val="00B050"/>
          <w:u w:val="single"/>
        </w:rPr>
        <w:t>mmol/100mL of potassium</w:t>
      </w:r>
      <w:r w:rsidR="00986C09" w:rsidRPr="000D7429">
        <w:rPr>
          <w:color w:val="00B050"/>
          <w:u w:val="single"/>
        </w:rPr>
        <w:t>.</w:t>
      </w:r>
    </w:p>
    <w:p w14:paraId="7EDFDC50" w14:textId="52BB20CF" w:rsidR="008F6897" w:rsidRPr="00986C09" w:rsidRDefault="008F6897" w:rsidP="007B2779">
      <w:pPr>
        <w:ind w:left="425"/>
        <w:rPr>
          <w:b/>
          <w:bCs/>
        </w:rPr>
      </w:pPr>
      <w:r w:rsidRPr="00986C09">
        <w:rPr>
          <w:b/>
          <w:bCs/>
        </w:rPr>
        <w:t>Index – New Entry</w:t>
      </w:r>
    </w:p>
    <w:p w14:paraId="6D13E069" w14:textId="05F10498" w:rsidR="008F6897" w:rsidRPr="000D7429" w:rsidRDefault="00986C09" w:rsidP="007B2779">
      <w:pPr>
        <w:ind w:left="851"/>
        <w:rPr>
          <w:u w:val="single"/>
        </w:rPr>
      </w:pPr>
      <w:r w:rsidRPr="000D7429">
        <w:rPr>
          <w:b/>
          <w:bCs/>
          <w:color w:val="00B050"/>
          <w:u w:val="single"/>
        </w:rPr>
        <w:t>POTASSIUM SALTS</w:t>
      </w:r>
      <w:r w:rsidRPr="000D7429">
        <w:rPr>
          <w:color w:val="00B050"/>
          <w:u w:val="single"/>
        </w:rPr>
        <w:br/>
        <w:t xml:space="preserve">cross reference: POTASSIUM CHLORIDE, </w:t>
      </w:r>
      <w:r w:rsidR="00D479FA">
        <w:rPr>
          <w:color w:val="00B050"/>
          <w:u w:val="single"/>
        </w:rPr>
        <w:t xml:space="preserve">POTASSIUM PHOSPHATE, </w:t>
      </w:r>
      <w:r w:rsidRPr="000D7429">
        <w:rPr>
          <w:color w:val="00B050"/>
          <w:u w:val="single"/>
        </w:rPr>
        <w:t>POTASSIUM DIHYDROGEN PHOSPHATE, POTASSIUM ACETATE</w:t>
      </w:r>
    </w:p>
    <w:p w14:paraId="67617FA8" w14:textId="70F22C9A" w:rsidR="00986C09" w:rsidRPr="000D7429" w:rsidRDefault="00986C09" w:rsidP="007B2779">
      <w:pPr>
        <w:ind w:left="851"/>
        <w:rPr>
          <w:u w:val="single"/>
        </w:rPr>
      </w:pPr>
      <w:r w:rsidRPr="000D7429">
        <w:rPr>
          <w:color w:val="00B050"/>
          <w:u w:val="single"/>
        </w:rPr>
        <w:t>Schedule 4</w:t>
      </w:r>
    </w:p>
    <w:p w14:paraId="68324A07" w14:textId="77777777" w:rsidR="008F6897" w:rsidRPr="00D149A2" w:rsidRDefault="008F6897" w:rsidP="00446F1A">
      <w:pPr>
        <w:pStyle w:val="Heading4"/>
      </w:pPr>
      <w:bookmarkStart w:id="72" w:name="_Toc164679997"/>
      <w:r w:rsidRPr="00D149A2">
        <w:t>Background</w:t>
      </w:r>
      <w:bookmarkEnd w:id="72"/>
    </w:p>
    <w:p w14:paraId="6C4ED6C4" w14:textId="142F0CD2" w:rsidR="008F6897" w:rsidRPr="00D149A2" w:rsidRDefault="00FE6807" w:rsidP="00446F1A">
      <w:r>
        <w:t xml:space="preserve">Intravenous preparations of potassium are used for the prevention and treatment of moderate to severe potassium deficiency (hypokalaemia) in cases where oral therapy is not possible or appropriate. Intravenous potassium replacement carries risks of inadvertent hyperkalaemia (excessive </w:t>
      </w:r>
      <w:r>
        <w:lastRenderedPageBreak/>
        <w:t>potassium), fluid overload, and peripheral vein extravasation/thrombophlebitis. Rapid administration may cause cardiac arrest.</w:t>
      </w:r>
      <w:r w:rsidR="004E7432">
        <w:t xml:space="preserve"> P</w:t>
      </w:r>
      <w:r w:rsidR="004E7432" w:rsidRPr="004E7432">
        <w:t xml:space="preserve">otassium chloride is the </w:t>
      </w:r>
      <w:proofErr w:type="gramStart"/>
      <w:r w:rsidR="004E7432" w:rsidRPr="004E7432">
        <w:t>most commonly used</w:t>
      </w:r>
      <w:proofErr w:type="gramEnd"/>
      <w:r w:rsidR="004E7432" w:rsidRPr="004E7432">
        <w:t xml:space="preserve"> potassium salt for </w:t>
      </w:r>
      <w:r w:rsidR="004E7432">
        <w:t>injection or infusion</w:t>
      </w:r>
      <w:r w:rsidR="00272B96">
        <w:t>,</w:t>
      </w:r>
      <w:r w:rsidR="004E7432">
        <w:t xml:space="preserve"> </w:t>
      </w:r>
      <w:r w:rsidR="00272B96" w:rsidRPr="00272B96">
        <w:t xml:space="preserve">with </w:t>
      </w:r>
      <w:r w:rsidR="0047200B">
        <w:t xml:space="preserve">potassium </w:t>
      </w:r>
      <w:r w:rsidR="00272B96" w:rsidRPr="00272B96">
        <w:t xml:space="preserve">phosphate and </w:t>
      </w:r>
      <w:r w:rsidR="0047200B">
        <w:t xml:space="preserve">potassium </w:t>
      </w:r>
      <w:r w:rsidR="00272B96" w:rsidRPr="00272B96">
        <w:t>acetate used less often.</w:t>
      </w:r>
    </w:p>
    <w:p w14:paraId="27921072" w14:textId="77777777" w:rsidR="008F6897" w:rsidRPr="00D149A2" w:rsidRDefault="008F6897" w:rsidP="00446F1A">
      <w:pPr>
        <w:pStyle w:val="Heading4"/>
      </w:pPr>
      <w:bookmarkStart w:id="73" w:name="_Toc164679998"/>
      <w:r w:rsidRPr="00D149A2">
        <w:t>Summary of applicant’s reasons for the proposal</w:t>
      </w:r>
      <w:bookmarkEnd w:id="73"/>
    </w:p>
    <w:p w14:paraId="4F7F564C" w14:textId="7D60EED3" w:rsidR="00F86B38" w:rsidRPr="00F86B38" w:rsidRDefault="00FE6807" w:rsidP="001B6547">
      <w:pPr>
        <w:pStyle w:val="ListBullet"/>
      </w:pPr>
      <w:r w:rsidRPr="00F86B38">
        <w:t xml:space="preserve">The prescription and administration of intravenous potassium should be the responsibility of a qualified medical practitioner due to the risk associated with inadvertent use of </w:t>
      </w:r>
      <w:r w:rsidR="00F86B38" w:rsidRPr="00F86B38">
        <w:t>these medicines.</w:t>
      </w:r>
      <w:r w:rsidR="00D548A2">
        <w:t xml:space="preserve"> </w:t>
      </w:r>
      <w:r w:rsidR="00F86B38" w:rsidRPr="00F86B38">
        <w:t>These risks can include cardiac arrest and death if the medicine is not administered correctly using a rate limiting device. Risks are also associated with the preparation of potassium chloride concentrates prior to administration.</w:t>
      </w:r>
      <w:r w:rsidR="00D548A2">
        <w:t xml:space="preserve"> </w:t>
      </w:r>
      <w:r w:rsidR="00F86B38" w:rsidRPr="00F86B38">
        <w:t>While hospitals have independently developed high-risk medicine policies that control the availability and administration of intravenous potassium products, the Poisons Standard should be amended to reflect the risks associated with these products.</w:t>
      </w:r>
    </w:p>
    <w:p w14:paraId="62A94DAC" w14:textId="04DE51BC" w:rsidR="00F86B38" w:rsidRPr="00F86B38" w:rsidRDefault="00F86B38" w:rsidP="001B6547">
      <w:pPr>
        <w:pStyle w:val="ListBullet"/>
      </w:pPr>
      <w:r w:rsidRPr="00F86B38">
        <w:t>International jurisdictions, including the United Kingdom and United States, already regulate intravenous potassium as a prescription-only medicine.</w:t>
      </w:r>
    </w:p>
    <w:p w14:paraId="3A4B9C30" w14:textId="77777777" w:rsidR="008F6897" w:rsidRPr="00D149A2" w:rsidRDefault="008F6897" w:rsidP="00446F1A">
      <w:pPr>
        <w:pStyle w:val="Heading4"/>
      </w:pPr>
      <w:bookmarkStart w:id="74" w:name="_Toc164679999"/>
      <w:r w:rsidRPr="00D149A2">
        <w:t xml:space="preserve">Key uses / expected </w:t>
      </w:r>
      <w:proofErr w:type="gramStart"/>
      <w:r w:rsidRPr="00D149A2">
        <w:t>use</w:t>
      </w:r>
      <w:bookmarkEnd w:id="74"/>
      <w:proofErr w:type="gramEnd"/>
    </w:p>
    <w:p w14:paraId="01B3AF57" w14:textId="093AE285" w:rsidR="008F6897" w:rsidRPr="00D149A2" w:rsidRDefault="008F6897" w:rsidP="00446F1A">
      <w:r w:rsidRPr="00F86B38">
        <w:t>Medicines</w:t>
      </w:r>
    </w:p>
    <w:p w14:paraId="655A3E2C" w14:textId="77777777" w:rsidR="008F6897" w:rsidRPr="00D149A2" w:rsidRDefault="008F6897" w:rsidP="00446F1A">
      <w:pPr>
        <w:pStyle w:val="Heading4"/>
      </w:pPr>
      <w:bookmarkStart w:id="75" w:name="_Toc164680000"/>
      <w:r w:rsidRPr="00D149A2">
        <w:t>Australian regulations</w:t>
      </w:r>
      <w:bookmarkEnd w:id="75"/>
    </w:p>
    <w:p w14:paraId="547F1A2A" w14:textId="15EF9349" w:rsidR="00093234" w:rsidRPr="00093234" w:rsidRDefault="00093234" w:rsidP="00093234">
      <w:pPr>
        <w:rPr>
          <w:i/>
          <w:iCs/>
        </w:rPr>
      </w:pPr>
      <w:r w:rsidRPr="00093234">
        <w:rPr>
          <w:i/>
          <w:iCs/>
        </w:rPr>
        <w:t>Note: as potassium chloride is the commonly used potassium salt in therapeutic products, this section focuses on the regulation of this substance.</w:t>
      </w:r>
    </w:p>
    <w:p w14:paraId="4BCB297F" w14:textId="3EB8D98F" w:rsidR="008F6897" w:rsidRPr="00AD5498" w:rsidRDefault="008F6897" w:rsidP="001B6547">
      <w:pPr>
        <w:pStyle w:val="ListBullet"/>
      </w:pPr>
      <w:r w:rsidRPr="00D149A2">
        <w:t xml:space="preserve">According to the </w:t>
      </w:r>
      <w:hyperlink r:id="rId57" w:history="1">
        <w:r w:rsidRPr="00D149A2">
          <w:rPr>
            <w:rStyle w:val="Hyperlink"/>
          </w:rPr>
          <w:t>TGA Ingredient Database</w:t>
        </w:r>
      </w:hyperlink>
      <w:r w:rsidRPr="00D149A2">
        <w:t xml:space="preserve">, </w:t>
      </w:r>
      <w:r w:rsidR="00AD5498">
        <w:t>potassium chloride</w:t>
      </w:r>
      <w:r w:rsidRPr="00D149A2">
        <w:t xml:space="preserve"> is:</w:t>
      </w:r>
    </w:p>
    <w:p w14:paraId="4F64A18D" w14:textId="538EA81C" w:rsidR="00AD5498" w:rsidRDefault="00AD5498" w:rsidP="00770688">
      <w:pPr>
        <w:pStyle w:val="ListBullet2"/>
      </w:pPr>
      <w:r>
        <w:t>Available for use as an Active Ingredient in Biologicals, Export Only, Listed Medicines, Over the Counter and Prescription Medicines</w:t>
      </w:r>
    </w:p>
    <w:p w14:paraId="3DB46164" w14:textId="2A2A9337" w:rsidR="00AD5498" w:rsidRDefault="00AD5498" w:rsidP="00770688">
      <w:pPr>
        <w:pStyle w:val="ListBullet2"/>
      </w:pPr>
      <w:r>
        <w:t>Available for use as a Homeopathic Ingredient in Listed Medicines</w:t>
      </w:r>
    </w:p>
    <w:p w14:paraId="450F8B31" w14:textId="7F326004" w:rsidR="00AD5498" w:rsidRDefault="00AD5498" w:rsidP="00770688">
      <w:pPr>
        <w:pStyle w:val="ListBullet2"/>
      </w:pPr>
      <w:r>
        <w:t>Available for use as an Excipient Ingredient in Biologicals, Devices, Export Only, Listed Medicines, Over the Counter and Prescription Medicines</w:t>
      </w:r>
    </w:p>
    <w:p w14:paraId="020360B4" w14:textId="36FA84D7" w:rsidR="008F6897" w:rsidRPr="00D149A2" w:rsidRDefault="00AD5498" w:rsidP="00770688">
      <w:pPr>
        <w:pStyle w:val="ListBullet2"/>
      </w:pPr>
      <w:r>
        <w:t>Available for use as an Equivalent Ingredient in Listed Medicines</w:t>
      </w:r>
    </w:p>
    <w:p w14:paraId="56A18DEA" w14:textId="5027DE69" w:rsidR="008F6897" w:rsidRPr="00D149A2" w:rsidRDefault="008F6897" w:rsidP="001B6547">
      <w:pPr>
        <w:pStyle w:val="ListBullet"/>
      </w:pPr>
      <w:r w:rsidRPr="00D149A2">
        <w:t xml:space="preserve">As of </w:t>
      </w:r>
      <w:r w:rsidR="006A17C0" w:rsidRPr="004E7432">
        <w:t>April</w:t>
      </w:r>
      <w:r w:rsidRPr="004E7432">
        <w:t xml:space="preserve"> 20</w:t>
      </w:r>
      <w:r w:rsidR="006A17C0" w:rsidRPr="004E7432">
        <w:t>24</w:t>
      </w:r>
      <w:r w:rsidRPr="00D149A2">
        <w:t xml:space="preserve">, there were </w:t>
      </w:r>
      <w:r w:rsidR="000C3FE0" w:rsidRPr="00E511DE">
        <w:t>453</w:t>
      </w:r>
      <w:r w:rsidR="000C3FE0">
        <w:t xml:space="preserve"> </w:t>
      </w:r>
      <w:r w:rsidRPr="00D149A2">
        <w:t xml:space="preserve">medicines currently active on the </w:t>
      </w:r>
      <w:hyperlink r:id="rId58" w:history="1">
        <w:r w:rsidRPr="00D149A2">
          <w:rPr>
            <w:rStyle w:val="Hyperlink"/>
          </w:rPr>
          <w:t>Australian Register of Therapeutic Goods (ARTG)</w:t>
        </w:r>
      </w:hyperlink>
      <w:r w:rsidRPr="00D149A2">
        <w:t xml:space="preserve"> that contain </w:t>
      </w:r>
      <w:r w:rsidR="001E0655">
        <w:t>potassium chloride</w:t>
      </w:r>
      <w:r w:rsidRPr="00D149A2">
        <w:t xml:space="preserve"> as an active ingredient. These i</w:t>
      </w:r>
      <w:r w:rsidR="000C3FE0">
        <w:t xml:space="preserve">nclude 80 </w:t>
      </w:r>
      <w:r w:rsidR="006A17C0">
        <w:t>products for injection a</w:t>
      </w:r>
      <w:r w:rsidR="000C3FE0">
        <w:t>nd</w:t>
      </w:r>
      <w:r w:rsidR="006A17C0">
        <w:t xml:space="preserve"> infusion.</w:t>
      </w:r>
    </w:p>
    <w:p w14:paraId="3513AB21" w14:textId="77777777" w:rsidR="00192F5A" w:rsidRDefault="00192F5A">
      <w:pPr>
        <w:rPr>
          <w:rFonts w:eastAsia="Cambria"/>
          <w:color w:val="auto"/>
          <w:szCs w:val="22"/>
        </w:rPr>
      </w:pPr>
      <w:r>
        <w:br w:type="page"/>
      </w:r>
    </w:p>
    <w:p w14:paraId="27475879" w14:textId="248C4A86" w:rsidR="008F6897" w:rsidRPr="00D149A2" w:rsidRDefault="008F6897" w:rsidP="001B6547">
      <w:pPr>
        <w:pStyle w:val="ListBullet"/>
        <w:spacing w:after="240"/>
      </w:pPr>
      <w:r w:rsidRPr="00D149A2">
        <w:lastRenderedPageBreak/>
        <w:t xml:space="preserve">According to the </w:t>
      </w:r>
      <w:hyperlink r:id="rId59" w:history="1">
        <w:r w:rsidRPr="00D149A2">
          <w:rPr>
            <w:rStyle w:val="Hyperlink"/>
          </w:rPr>
          <w:t>Therapeutic Goods (Permissible Ingredients) Determination</w:t>
        </w:r>
      </w:hyperlink>
      <w:r w:rsidRPr="00D149A2">
        <w:t xml:space="preserve"> No.</w:t>
      </w:r>
      <w:r w:rsidR="00BF22C2">
        <w:t>1</w:t>
      </w:r>
      <w:r w:rsidRPr="00D149A2">
        <w:t xml:space="preserve"> of 20</w:t>
      </w:r>
      <w:r w:rsidR="00BF22C2">
        <w:t>24</w:t>
      </w:r>
      <w:r w:rsidRPr="00D149A2">
        <w:t xml:space="preserve">, </w:t>
      </w:r>
      <w:r w:rsidR="00BF22C2">
        <w:t>potassium chloride</w:t>
      </w:r>
      <w:r w:rsidRPr="00D149A2">
        <w:t xml:space="preserve"> is permitted to be included in listed medicines as follows:</w:t>
      </w:r>
    </w:p>
    <w:tbl>
      <w:tblPr>
        <w:tblStyle w:val="TableTGAblue"/>
        <w:tblW w:w="8646" w:type="dxa"/>
        <w:tblInd w:w="416" w:type="dxa"/>
        <w:tblLook w:val="04A0" w:firstRow="1" w:lastRow="0" w:firstColumn="1" w:lastColumn="0" w:noHBand="0" w:noVBand="1"/>
      </w:tblPr>
      <w:tblGrid>
        <w:gridCol w:w="755"/>
        <w:gridCol w:w="2363"/>
        <w:gridCol w:w="1086"/>
        <w:gridCol w:w="4442"/>
      </w:tblGrid>
      <w:tr w:rsidR="00BF22C2" w:rsidRPr="0070125A" w14:paraId="5A5D1AFB" w14:textId="77777777" w:rsidTr="00A460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dxa"/>
          </w:tcPr>
          <w:p w14:paraId="7719F3F1" w14:textId="77777777" w:rsidR="008F6897" w:rsidRPr="00205E18" w:rsidRDefault="008F6897" w:rsidP="0070125A">
            <w:pPr>
              <w:spacing w:before="60" w:after="60"/>
              <w:rPr>
                <w:color w:val="FFFFFF" w:themeColor="background1"/>
                <w:szCs w:val="18"/>
              </w:rPr>
            </w:pPr>
            <w:r w:rsidRPr="00205E18">
              <w:rPr>
                <w:color w:val="FFFFFF" w:themeColor="background1"/>
                <w:szCs w:val="18"/>
              </w:rPr>
              <w:t>Item</w:t>
            </w:r>
          </w:p>
        </w:tc>
        <w:tc>
          <w:tcPr>
            <w:tcW w:w="2363" w:type="dxa"/>
          </w:tcPr>
          <w:p w14:paraId="39B06A86" w14:textId="77777777" w:rsidR="008F6897" w:rsidRPr="00205E18" w:rsidRDefault="008F6897" w:rsidP="0070125A">
            <w:pPr>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szCs w:val="18"/>
              </w:rPr>
            </w:pPr>
            <w:r w:rsidRPr="00205E18">
              <w:rPr>
                <w:color w:val="FFFFFF" w:themeColor="background1"/>
                <w:szCs w:val="18"/>
              </w:rPr>
              <w:t>Ingredient name</w:t>
            </w:r>
          </w:p>
        </w:tc>
        <w:tc>
          <w:tcPr>
            <w:tcW w:w="1086" w:type="dxa"/>
          </w:tcPr>
          <w:p w14:paraId="3FF367D4" w14:textId="77777777" w:rsidR="008F6897" w:rsidRPr="00205E18" w:rsidRDefault="008F6897" w:rsidP="0070125A">
            <w:pPr>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szCs w:val="18"/>
              </w:rPr>
            </w:pPr>
            <w:r w:rsidRPr="00205E18">
              <w:rPr>
                <w:color w:val="FFFFFF" w:themeColor="background1"/>
                <w:szCs w:val="18"/>
              </w:rPr>
              <w:t>Purpose</w:t>
            </w:r>
          </w:p>
        </w:tc>
        <w:tc>
          <w:tcPr>
            <w:tcW w:w="4442" w:type="dxa"/>
          </w:tcPr>
          <w:p w14:paraId="77E2FEFD" w14:textId="77777777" w:rsidR="008F6897" w:rsidRPr="00205E18" w:rsidRDefault="008F6897" w:rsidP="0070125A">
            <w:pPr>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szCs w:val="18"/>
              </w:rPr>
            </w:pPr>
            <w:r w:rsidRPr="00205E18">
              <w:rPr>
                <w:color w:val="FFFFFF" w:themeColor="background1"/>
                <w:szCs w:val="18"/>
              </w:rPr>
              <w:t>Specific requirements</w:t>
            </w:r>
          </w:p>
        </w:tc>
      </w:tr>
      <w:tr w:rsidR="008F6897" w:rsidRPr="0070125A" w14:paraId="4BA7EF9B" w14:textId="77777777" w:rsidTr="00A460C0">
        <w:tc>
          <w:tcPr>
            <w:cnfStyle w:val="001000000000" w:firstRow="0" w:lastRow="0" w:firstColumn="1" w:lastColumn="0" w:oddVBand="0" w:evenVBand="0" w:oddHBand="0" w:evenHBand="0" w:firstRowFirstColumn="0" w:firstRowLastColumn="0" w:lastRowFirstColumn="0" w:lastRowLastColumn="0"/>
            <w:tcW w:w="755" w:type="dxa"/>
          </w:tcPr>
          <w:p w14:paraId="40E0FEC1" w14:textId="40BC7E0C" w:rsidR="008F6897" w:rsidRPr="00205E18" w:rsidRDefault="00BF22C2" w:rsidP="0070125A">
            <w:pPr>
              <w:spacing w:before="60" w:after="60"/>
              <w:rPr>
                <w:szCs w:val="18"/>
              </w:rPr>
            </w:pPr>
            <w:r w:rsidRPr="00205E18">
              <w:rPr>
                <w:szCs w:val="18"/>
              </w:rPr>
              <w:t>4078</w:t>
            </w:r>
          </w:p>
        </w:tc>
        <w:tc>
          <w:tcPr>
            <w:tcW w:w="2363" w:type="dxa"/>
          </w:tcPr>
          <w:p w14:paraId="1299F75A" w14:textId="45AEBE71" w:rsidR="008F6897" w:rsidRPr="00205E18" w:rsidRDefault="00BF22C2" w:rsidP="0070125A">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205E18">
              <w:rPr>
                <w:szCs w:val="18"/>
              </w:rPr>
              <w:t>POTASSIUM CHLORIDE</w:t>
            </w:r>
          </w:p>
        </w:tc>
        <w:tc>
          <w:tcPr>
            <w:tcW w:w="1086" w:type="dxa"/>
          </w:tcPr>
          <w:p w14:paraId="37B2E4E1" w14:textId="64F1D8C1" w:rsidR="008F6897" w:rsidRPr="00205E18" w:rsidRDefault="00BF22C2" w:rsidP="0070125A">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205E18">
              <w:rPr>
                <w:szCs w:val="18"/>
              </w:rPr>
              <w:t>A, E, H</w:t>
            </w:r>
          </w:p>
        </w:tc>
        <w:tc>
          <w:tcPr>
            <w:tcW w:w="4442" w:type="dxa"/>
          </w:tcPr>
          <w:p w14:paraId="36268AF6" w14:textId="77777777" w:rsidR="00BF22C2" w:rsidRPr="00205E18" w:rsidRDefault="00BF22C2" w:rsidP="0070125A">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205E18">
              <w:rPr>
                <w:szCs w:val="18"/>
              </w:rPr>
              <w:t>When for oral use:</w:t>
            </w:r>
          </w:p>
          <w:p w14:paraId="7FADD023" w14:textId="77777777" w:rsidR="00BF22C2" w:rsidRPr="00205E18" w:rsidRDefault="00BF22C2" w:rsidP="0070125A">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205E18">
              <w:rPr>
                <w:szCs w:val="18"/>
              </w:rPr>
              <w:t xml:space="preserve">(a) potassium is a mandatory component of potassium </w:t>
            </w:r>
            <w:proofErr w:type="gramStart"/>
            <w:r w:rsidRPr="00205E18">
              <w:rPr>
                <w:szCs w:val="18"/>
              </w:rPr>
              <w:t>chloride;</w:t>
            </w:r>
            <w:proofErr w:type="gramEnd"/>
          </w:p>
          <w:p w14:paraId="4A16C793" w14:textId="77777777" w:rsidR="00BF22C2" w:rsidRPr="00205E18" w:rsidRDefault="00BF22C2" w:rsidP="0070125A">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205E18">
              <w:rPr>
                <w:szCs w:val="18"/>
              </w:rPr>
              <w:t>(b) the medicine requires the following warning statement on the medicine label:</w:t>
            </w:r>
          </w:p>
          <w:p w14:paraId="66F32BCA" w14:textId="77777777" w:rsidR="00BF22C2" w:rsidRPr="00205E18" w:rsidRDefault="00BF22C2" w:rsidP="0070125A">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205E18">
              <w:rPr>
                <w:szCs w:val="18"/>
              </w:rPr>
              <w:t>- (POTAS1) 'If you have kidney disease or are taking heart or blood pressure medicines - consult your doctor or pharmacist before use. Keep out of reach of children.'; and</w:t>
            </w:r>
          </w:p>
          <w:p w14:paraId="19E3D8F9" w14:textId="77777777" w:rsidR="00BF22C2" w:rsidRPr="00205E18" w:rsidRDefault="00BF22C2" w:rsidP="0070125A">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205E18">
              <w:rPr>
                <w:szCs w:val="18"/>
              </w:rPr>
              <w:t>(c) except when the medicine is for use as oral rehydration therapy, the amount of potassium chloride per dosage unit must not be more than 550 mg.</w:t>
            </w:r>
          </w:p>
          <w:p w14:paraId="55079435" w14:textId="77777777" w:rsidR="00BF22C2" w:rsidRPr="00205E18" w:rsidRDefault="00BF22C2" w:rsidP="0070125A">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205E18">
              <w:rPr>
                <w:szCs w:val="18"/>
              </w:rPr>
              <w:t>Medicines containing potassium chloride for use as oral rehydration therapy, are subject to the following conditions:</w:t>
            </w:r>
          </w:p>
          <w:p w14:paraId="1ECDA799" w14:textId="77777777" w:rsidR="00BF22C2" w:rsidRPr="00205E18" w:rsidRDefault="00BF22C2" w:rsidP="0070125A">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205E18">
              <w:rPr>
                <w:szCs w:val="18"/>
              </w:rPr>
              <w:t xml:space="preserve">(a) the medicine complies with the requirements specified in the British Pharmacopoeia, as in force or existing from time to time, for Oral Rehydration </w:t>
            </w:r>
            <w:proofErr w:type="gramStart"/>
            <w:r w:rsidRPr="00205E18">
              <w:rPr>
                <w:szCs w:val="18"/>
              </w:rPr>
              <w:t>Salts;</w:t>
            </w:r>
            <w:proofErr w:type="gramEnd"/>
          </w:p>
          <w:p w14:paraId="52A3531A" w14:textId="77777777" w:rsidR="00BF22C2" w:rsidRPr="00205E18" w:rsidRDefault="00BF22C2" w:rsidP="0070125A">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205E18">
              <w:rPr>
                <w:szCs w:val="18"/>
              </w:rPr>
              <w:t xml:space="preserve">(b) the sodium, </w:t>
            </w:r>
            <w:proofErr w:type="gramStart"/>
            <w:r w:rsidRPr="00205E18">
              <w:rPr>
                <w:szCs w:val="18"/>
              </w:rPr>
              <w:t>potassium</w:t>
            </w:r>
            <w:proofErr w:type="gramEnd"/>
            <w:r w:rsidRPr="00205E18">
              <w:rPr>
                <w:szCs w:val="18"/>
              </w:rPr>
              <w:t xml:space="preserve"> and glucose content, and total osmolarity of the solution after it has been prepared according to the instructions on the packet are consistent with the criteria specified by the World Health Organisation (WHO) and the United Nations Children's Fund (UNICEF) in the document 'Expert consultation on oral rehydration salts formulation' 18 July 2001; and</w:t>
            </w:r>
          </w:p>
          <w:p w14:paraId="5EB7E0F6" w14:textId="77777777" w:rsidR="00BF22C2" w:rsidRPr="00205E18" w:rsidRDefault="00BF22C2" w:rsidP="0070125A">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205E18">
              <w:rPr>
                <w:szCs w:val="18"/>
              </w:rPr>
              <w:t>(c) the following warning statements are required on the medicine label:</w:t>
            </w:r>
          </w:p>
          <w:p w14:paraId="4F3E395F" w14:textId="77777777" w:rsidR="00BF22C2" w:rsidRPr="00205E18" w:rsidRDefault="00BF22C2" w:rsidP="0070125A">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205E18">
              <w:rPr>
                <w:szCs w:val="18"/>
              </w:rPr>
              <w:t xml:space="preserve">- (UOAD) 'Use only as </w:t>
            </w:r>
            <w:proofErr w:type="gramStart"/>
            <w:r w:rsidRPr="00205E18">
              <w:rPr>
                <w:szCs w:val="18"/>
              </w:rPr>
              <w:t>directed'</w:t>
            </w:r>
            <w:proofErr w:type="gramEnd"/>
          </w:p>
          <w:p w14:paraId="212BE2F5" w14:textId="77777777" w:rsidR="00BF22C2" w:rsidRPr="00205E18" w:rsidRDefault="00BF22C2" w:rsidP="0070125A">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205E18">
              <w:rPr>
                <w:szCs w:val="18"/>
              </w:rPr>
              <w:t>- (DIAR3) 'If diarrhoea persists, seek medical advice.'</w:t>
            </w:r>
          </w:p>
          <w:p w14:paraId="65035385" w14:textId="662EB92C" w:rsidR="008F6897" w:rsidRPr="00205E18" w:rsidRDefault="00BF22C2" w:rsidP="0070125A">
            <w:pPr>
              <w:spacing w:before="60" w:after="60"/>
              <w:cnfStyle w:val="000000000000" w:firstRow="0" w:lastRow="0" w:firstColumn="0" w:lastColumn="0" w:oddVBand="0" w:evenVBand="0" w:oddHBand="0" w:evenHBand="0" w:firstRowFirstColumn="0" w:firstRowLastColumn="0" w:lastRowFirstColumn="0" w:lastRowLastColumn="0"/>
              <w:rPr>
                <w:rFonts w:ascii="Calibri" w:hAnsi="Calibri" w:cs="Calibri"/>
                <w:szCs w:val="18"/>
              </w:rPr>
            </w:pPr>
            <w:r w:rsidRPr="00205E18">
              <w:rPr>
                <w:szCs w:val="18"/>
              </w:rPr>
              <w:t>When for dental use, the concentration of potassium chloride in the medicine must not be more than 3.75%.</w:t>
            </w:r>
          </w:p>
        </w:tc>
      </w:tr>
      <w:tr w:rsidR="008F6897" w:rsidRPr="0070125A" w14:paraId="04BE56A1" w14:textId="77777777" w:rsidTr="00A460C0">
        <w:trPr>
          <w:trHeight w:val="581"/>
        </w:trPr>
        <w:tc>
          <w:tcPr>
            <w:cnfStyle w:val="001000000000" w:firstRow="0" w:lastRow="0" w:firstColumn="1" w:lastColumn="0" w:oddVBand="0" w:evenVBand="0" w:oddHBand="0" w:evenHBand="0" w:firstRowFirstColumn="0" w:firstRowLastColumn="0" w:lastRowFirstColumn="0" w:lastRowLastColumn="0"/>
            <w:tcW w:w="8646" w:type="dxa"/>
            <w:gridSpan w:val="4"/>
          </w:tcPr>
          <w:p w14:paraId="049FE26E" w14:textId="77777777" w:rsidR="008F6897" w:rsidRPr="0070125A" w:rsidRDefault="008F6897" w:rsidP="0070125A">
            <w:pPr>
              <w:spacing w:before="60" w:after="60"/>
              <w:rPr>
                <w:sz w:val="20"/>
                <w:szCs w:val="20"/>
              </w:rPr>
            </w:pPr>
            <w:r w:rsidRPr="00205E18">
              <w:rPr>
                <w:sz w:val="16"/>
                <w:szCs w:val="16"/>
              </w:rPr>
              <w:t>A = active ingredient for a medicine has the same meaning as in the Regulations</w:t>
            </w:r>
            <w:r w:rsidRPr="00205E18">
              <w:rPr>
                <w:sz w:val="16"/>
                <w:szCs w:val="16"/>
              </w:rPr>
              <w:br/>
              <w:t>E = excipient for a medicine meaning an ingredient that is not an active ingredient or a homoeopathic preparation ingredient</w:t>
            </w:r>
            <w:r w:rsidRPr="00205E18">
              <w:rPr>
                <w:sz w:val="16"/>
                <w:szCs w:val="16"/>
              </w:rPr>
              <w:br/>
              <w:t>H = homoeopathic preparation ingredient meaning an ingredient that is a constituent of a homoeopathic preparation</w:t>
            </w:r>
          </w:p>
        </w:tc>
      </w:tr>
    </w:tbl>
    <w:p w14:paraId="38FCA60F" w14:textId="7C36990F" w:rsidR="008F6897" w:rsidRPr="00D149A2" w:rsidRDefault="009D2E03" w:rsidP="001B6547">
      <w:pPr>
        <w:pStyle w:val="ListBullet"/>
      </w:pPr>
      <w:r>
        <w:t>Potassium chloride is not included in the</w:t>
      </w:r>
      <w:r w:rsidR="008F6897" w:rsidRPr="00D149A2">
        <w:t xml:space="preserve"> </w:t>
      </w:r>
      <w:hyperlink r:id="rId60" w:history="1">
        <w:r w:rsidR="008F6897" w:rsidRPr="00D149A2">
          <w:rPr>
            <w:rStyle w:val="Hyperlink"/>
          </w:rPr>
          <w:t>TGA prescribing medicines in pregnancy database</w:t>
        </w:r>
      </w:hyperlink>
      <w:r>
        <w:t>.</w:t>
      </w:r>
    </w:p>
    <w:p w14:paraId="48688F94" w14:textId="5805FE60" w:rsidR="008F6897" w:rsidRPr="00D149A2" w:rsidRDefault="008F6897" w:rsidP="001B6547">
      <w:pPr>
        <w:pStyle w:val="ListBullet"/>
      </w:pPr>
      <w:r w:rsidRPr="00D149A2">
        <w:t xml:space="preserve">There are no warning statements pertaining to </w:t>
      </w:r>
      <w:r w:rsidR="009D2E03">
        <w:t>potassium chloride</w:t>
      </w:r>
      <w:r w:rsidRPr="00D149A2">
        <w:t xml:space="preserve"> in the </w:t>
      </w:r>
      <w:hyperlink r:id="rId61" w:history="1">
        <w:r w:rsidRPr="00D149A2">
          <w:rPr>
            <w:rStyle w:val="Hyperlink"/>
          </w:rPr>
          <w:t>Therapeutic Goods (Medicines Advisory Statements) Specification 2021</w:t>
        </w:r>
      </w:hyperlink>
      <w:r w:rsidR="009D2E03" w:rsidRPr="00192F5A">
        <w:rPr>
          <w:rStyle w:val="Hyperlink"/>
          <w:color w:val="auto"/>
          <w:u w:val="none"/>
        </w:rPr>
        <w:t>.</w:t>
      </w:r>
    </w:p>
    <w:p w14:paraId="38745EF8" w14:textId="06E6ACC4" w:rsidR="008F6897" w:rsidRPr="00D149A2" w:rsidRDefault="008F6897" w:rsidP="001B6547">
      <w:pPr>
        <w:pStyle w:val="ListBullet"/>
      </w:pPr>
      <w:r w:rsidRPr="00D149A2">
        <w:t xml:space="preserve">As </w:t>
      </w:r>
      <w:r w:rsidRPr="002D55E0">
        <w:t xml:space="preserve">of </w:t>
      </w:r>
      <w:r w:rsidR="00DA522D">
        <w:t>April</w:t>
      </w:r>
      <w:r w:rsidR="00DA522D" w:rsidRPr="002D55E0">
        <w:t xml:space="preserve"> </w:t>
      </w:r>
      <w:r w:rsidRPr="002D55E0">
        <w:t>20</w:t>
      </w:r>
      <w:r w:rsidR="002D55E0" w:rsidRPr="002D55E0">
        <w:t>24</w:t>
      </w:r>
      <w:r w:rsidRPr="00D149A2">
        <w:t xml:space="preserve">, there were </w:t>
      </w:r>
      <w:r w:rsidR="00DA522D">
        <w:t>1,106</w:t>
      </w:r>
      <w:r w:rsidRPr="00D149A2">
        <w:t xml:space="preserve"> reports of adverse events for products containing </w:t>
      </w:r>
      <w:r w:rsidR="002D55E0">
        <w:t xml:space="preserve">potassium chloride </w:t>
      </w:r>
      <w:r w:rsidRPr="00D149A2">
        <w:t xml:space="preserve">as an active ingredient on the </w:t>
      </w:r>
      <w:hyperlink r:id="rId62" w:history="1">
        <w:r w:rsidRPr="00D149A2">
          <w:rPr>
            <w:rStyle w:val="Hyperlink"/>
          </w:rPr>
          <w:t>Database of Adverse Event Notifications (DAEN)</w:t>
        </w:r>
      </w:hyperlink>
      <w:r w:rsidRPr="00D149A2">
        <w:t xml:space="preserve">, with </w:t>
      </w:r>
      <w:r w:rsidR="00DA522D">
        <w:t>339</w:t>
      </w:r>
      <w:r w:rsidR="00DA522D" w:rsidRPr="00D149A2">
        <w:t xml:space="preserve"> </w:t>
      </w:r>
      <w:r w:rsidRPr="00D149A2">
        <w:t xml:space="preserve">reports where </w:t>
      </w:r>
      <w:r w:rsidR="00A57D93">
        <w:t xml:space="preserve">potassium chloride </w:t>
      </w:r>
      <w:r w:rsidRPr="00D149A2">
        <w:t xml:space="preserve">was the single suspected medicine. There were </w:t>
      </w:r>
      <w:r w:rsidR="00A57D93">
        <w:t>70</w:t>
      </w:r>
      <w:r w:rsidRPr="00D149A2">
        <w:t xml:space="preserve"> reports of deaths associated with </w:t>
      </w:r>
      <w:r w:rsidR="00A57D93">
        <w:t xml:space="preserve">potassium chloride </w:t>
      </w:r>
      <w:r w:rsidRPr="00D149A2">
        <w:t>use</w:t>
      </w:r>
      <w:r w:rsidRPr="00A57D93">
        <w:t>.</w:t>
      </w:r>
      <w:r w:rsidR="00A57D93">
        <w:t xml:space="preserve"> The most common reported events were associated with site of administration and included symptoms such as rash and pruritis.</w:t>
      </w:r>
    </w:p>
    <w:p w14:paraId="226C9BE5" w14:textId="77777777" w:rsidR="007B2779" w:rsidRDefault="008F6897" w:rsidP="001B6547">
      <w:pPr>
        <w:pStyle w:val="ListBullet"/>
      </w:pPr>
      <w:r w:rsidRPr="00D149A2">
        <w:t xml:space="preserve">As </w:t>
      </w:r>
      <w:r w:rsidRPr="00A57D93">
        <w:t xml:space="preserve">of </w:t>
      </w:r>
      <w:r w:rsidR="00DA522D">
        <w:t>April</w:t>
      </w:r>
      <w:r w:rsidR="00DA522D" w:rsidRPr="00A57D93">
        <w:t xml:space="preserve"> </w:t>
      </w:r>
      <w:r w:rsidRPr="00A57D93">
        <w:t>20</w:t>
      </w:r>
      <w:r w:rsidR="00A57D93" w:rsidRPr="00A57D93">
        <w:t>24</w:t>
      </w:r>
      <w:r w:rsidRPr="00A57D93">
        <w:t>, there</w:t>
      </w:r>
      <w:r w:rsidRPr="00D149A2">
        <w:t xml:space="preserve"> were </w:t>
      </w:r>
      <w:r w:rsidR="00A57D93">
        <w:t>1</w:t>
      </w:r>
      <w:r w:rsidR="00A60586">
        <w:t>9</w:t>
      </w:r>
      <w:r w:rsidRPr="00D149A2">
        <w:t xml:space="preserve"> products containing </w:t>
      </w:r>
      <w:r w:rsidR="00A57D93">
        <w:t xml:space="preserve">potassium chloride </w:t>
      </w:r>
      <w:r w:rsidRPr="00D149A2">
        <w:t xml:space="preserve">as an active ingredient/constituent or scheduled substance listed on the </w:t>
      </w:r>
      <w:hyperlink r:id="rId63" w:history="1">
        <w:r w:rsidRPr="00D149A2">
          <w:rPr>
            <w:rStyle w:val="Hyperlink"/>
          </w:rPr>
          <w:t>Public Chemical Registration Information System Search (</w:t>
        </w:r>
        <w:proofErr w:type="spellStart"/>
        <w:r w:rsidRPr="00D149A2">
          <w:rPr>
            <w:rStyle w:val="Hyperlink"/>
          </w:rPr>
          <w:t>PubCRIS</w:t>
        </w:r>
        <w:proofErr w:type="spellEnd"/>
        <w:r w:rsidRPr="00D149A2">
          <w:rPr>
            <w:rStyle w:val="Hyperlink"/>
          </w:rPr>
          <w:t>)</w:t>
        </w:r>
      </w:hyperlink>
      <w:r w:rsidRPr="00D149A2">
        <w:t>.</w:t>
      </w:r>
      <w:r w:rsidR="00A60586">
        <w:t xml:space="preserve"> Most of these products contain potassium chloride as a component of an electrolyte supplement for livestock.</w:t>
      </w:r>
    </w:p>
    <w:p w14:paraId="79E06AF2" w14:textId="4E98F085" w:rsidR="008F6897" w:rsidRPr="007B2779" w:rsidRDefault="008F6897" w:rsidP="001B6547">
      <w:pPr>
        <w:pStyle w:val="ListBullet"/>
        <w:rPr>
          <w:rStyle w:val="Hyperlink"/>
          <w:color w:val="auto"/>
          <w:u w:val="none"/>
        </w:rPr>
      </w:pPr>
      <w:r w:rsidRPr="00D149A2">
        <w:lastRenderedPageBreak/>
        <w:t>In 20</w:t>
      </w:r>
      <w:r w:rsidR="00D40FA5">
        <w:t>15</w:t>
      </w:r>
      <w:r w:rsidRPr="00D149A2">
        <w:t>-20</w:t>
      </w:r>
      <w:r w:rsidR="00D40FA5">
        <w:t>20</w:t>
      </w:r>
      <w:r w:rsidRPr="00D149A2">
        <w:t xml:space="preserve"> the</w:t>
      </w:r>
      <w:r w:rsidR="00D40FA5">
        <w:t xml:space="preserve">re were no </w:t>
      </w:r>
      <w:r w:rsidRPr="00D149A2">
        <w:t xml:space="preserve">adverse experiences recorded for </w:t>
      </w:r>
      <w:r w:rsidR="00D40FA5">
        <w:t xml:space="preserve">potassium chloride </w:t>
      </w:r>
      <w:r w:rsidRPr="00D149A2">
        <w:t xml:space="preserve">in the </w:t>
      </w:r>
      <w:r w:rsidR="008C1386">
        <w:fldChar w:fldCharType="begin"/>
      </w:r>
      <w:r w:rsidR="008C1386">
        <w:instrText>HYPERLINK "https://webarchive.nla.gov.au/awa/20231105110922/https:/apvma.gov.au/node/86336"</w:instrText>
      </w:r>
      <w:r w:rsidR="008C1386">
        <w:fldChar w:fldCharType="separate"/>
      </w:r>
      <w:r w:rsidRPr="008C1386">
        <w:rPr>
          <w:rStyle w:val="Hyperlink"/>
        </w:rPr>
        <w:t>APVMA Adverse Experience Reporting Program database (AERP</w:t>
      </w:r>
      <w:r w:rsidR="00D40FA5" w:rsidRPr="008C1386">
        <w:rPr>
          <w:rStyle w:val="Hyperlink"/>
        </w:rPr>
        <w:t>)</w:t>
      </w:r>
      <w:r w:rsidR="00D40FA5" w:rsidRPr="00192F5A">
        <w:rPr>
          <w:rStyle w:val="Hyperlink"/>
          <w:color w:val="auto"/>
          <w:u w:val="none"/>
        </w:rPr>
        <w:t>.</w:t>
      </w:r>
    </w:p>
    <w:p w14:paraId="3173BB8D" w14:textId="1AAC8691" w:rsidR="008F6897" w:rsidRPr="00D149A2" w:rsidRDefault="008C1386" w:rsidP="007B2779">
      <w:pPr>
        <w:pStyle w:val="Heading4"/>
        <w:spacing w:before="120" w:after="180"/>
        <w:ind w:left="357" w:hanging="357"/>
      </w:pPr>
      <w:r>
        <w:rPr>
          <w:rFonts w:cs="Arial"/>
          <w:bCs w:val="0"/>
          <w:color w:val="auto"/>
          <w:sz w:val="20"/>
          <w:szCs w:val="22"/>
        </w:rPr>
        <w:fldChar w:fldCharType="end"/>
      </w:r>
      <w:bookmarkStart w:id="76" w:name="_Toc164680001"/>
      <w:r w:rsidR="008F6897" w:rsidRPr="00D149A2">
        <w:t>International regulations</w:t>
      </w:r>
      <w:bookmarkEnd w:id="76"/>
    </w:p>
    <w:p w14:paraId="601A8346" w14:textId="024CD42B" w:rsidR="00943417" w:rsidRDefault="00943417" w:rsidP="001B6547">
      <w:pPr>
        <w:pStyle w:val="ListBullet"/>
      </w:pPr>
      <w:r>
        <w:t xml:space="preserve">The </w:t>
      </w:r>
      <w:hyperlink r:id="rId64" w:history="1">
        <w:r w:rsidRPr="00055A31">
          <w:rPr>
            <w:rStyle w:val="Hyperlink"/>
          </w:rPr>
          <w:t>Health Canada Drug Product Database</w:t>
        </w:r>
      </w:hyperlink>
      <w:r>
        <w:t xml:space="preserve"> includes 163 marketed products containing potassium chloride. </w:t>
      </w:r>
      <w:r w:rsidR="00972260">
        <w:t xml:space="preserve">Most are classified as ethical medicines that do not require a prescription but are generally </w:t>
      </w:r>
      <w:r w:rsidR="00675640">
        <w:t>provided under the guidance of</w:t>
      </w:r>
      <w:r w:rsidR="00972260">
        <w:t xml:space="preserve"> a medical practitioner</w:t>
      </w:r>
      <w:r>
        <w:t>.</w:t>
      </w:r>
    </w:p>
    <w:p w14:paraId="742AF2E9" w14:textId="0AF42887" w:rsidR="00943417" w:rsidRDefault="00943417" w:rsidP="001B6547">
      <w:pPr>
        <w:pStyle w:val="ListBullet"/>
      </w:pPr>
      <w:r>
        <w:t xml:space="preserve">The </w:t>
      </w:r>
      <w:hyperlink r:id="rId65" w:history="1">
        <w:r w:rsidRPr="00B553B7">
          <w:rPr>
            <w:rStyle w:val="Hyperlink"/>
          </w:rPr>
          <w:t xml:space="preserve">New Zealand </w:t>
        </w:r>
        <w:proofErr w:type="spellStart"/>
        <w:r w:rsidRPr="00B553B7">
          <w:rPr>
            <w:rStyle w:val="Hyperlink"/>
          </w:rPr>
          <w:t>Medsafe</w:t>
        </w:r>
        <w:proofErr w:type="spellEnd"/>
        <w:r w:rsidRPr="00B553B7">
          <w:rPr>
            <w:rStyle w:val="Hyperlink"/>
          </w:rPr>
          <w:t xml:space="preserve"> Medicines Classification Database</w:t>
        </w:r>
      </w:hyperlink>
      <w:r>
        <w:t xml:space="preserve"> lists potassium as a general sale substance in medicines for oral rehydration therapy, parenteral nutrition replacement or dialysis.</w:t>
      </w:r>
    </w:p>
    <w:p w14:paraId="4FC973AE" w14:textId="60239783" w:rsidR="00943417" w:rsidRDefault="00943417" w:rsidP="001B6547">
      <w:pPr>
        <w:pStyle w:val="ListBullet"/>
      </w:pPr>
      <w:r>
        <w:t xml:space="preserve">The </w:t>
      </w:r>
      <w:hyperlink r:id="rId66" w:history="1">
        <w:r w:rsidRPr="00BA5A49">
          <w:rPr>
            <w:rStyle w:val="Hyperlink"/>
          </w:rPr>
          <w:t>US Food and Drug Administration’s Orange Book</w:t>
        </w:r>
      </w:hyperlink>
      <w:r>
        <w:t xml:space="preserve"> includes </w:t>
      </w:r>
      <w:r w:rsidR="00431E9A">
        <w:t>334</w:t>
      </w:r>
      <w:r>
        <w:t xml:space="preserve"> approved products containing </w:t>
      </w:r>
      <w:r w:rsidR="00431E9A">
        <w:t>potassium chloride as an active ingredient</w:t>
      </w:r>
      <w:r>
        <w:t>. All are</w:t>
      </w:r>
      <w:r w:rsidR="00431E9A">
        <w:t xml:space="preserve"> listed as</w:t>
      </w:r>
      <w:r>
        <w:t xml:space="preserve"> prescription-only medicines, including oral </w:t>
      </w:r>
      <w:r w:rsidR="00431E9A">
        <w:t>preparations</w:t>
      </w:r>
      <w:r>
        <w:t xml:space="preserve">, </w:t>
      </w:r>
      <w:proofErr w:type="gramStart"/>
      <w:r w:rsidR="00431E9A">
        <w:t>emulsions</w:t>
      </w:r>
      <w:proofErr w:type="gramEnd"/>
      <w:r w:rsidR="00431E9A">
        <w:t xml:space="preserve"> </w:t>
      </w:r>
      <w:r>
        <w:t xml:space="preserve">and </w:t>
      </w:r>
      <w:r w:rsidR="00431E9A">
        <w:t>injectable preparations</w:t>
      </w:r>
      <w:r>
        <w:t>.</w:t>
      </w:r>
    </w:p>
    <w:p w14:paraId="3F4F648C" w14:textId="78F42F62" w:rsidR="008F6897" w:rsidRPr="00D149A2" w:rsidRDefault="00943417" w:rsidP="001B6547">
      <w:pPr>
        <w:pStyle w:val="ListBullet"/>
      </w:pPr>
      <w:r>
        <w:t xml:space="preserve">The </w:t>
      </w:r>
      <w:hyperlink r:id="rId67" w:history="1">
        <w:r w:rsidRPr="002F53B2">
          <w:rPr>
            <w:rStyle w:val="Hyperlink"/>
          </w:rPr>
          <w:t>United Kingdom’s electronic medicines compendium (</w:t>
        </w:r>
        <w:proofErr w:type="spellStart"/>
        <w:r w:rsidRPr="002F53B2">
          <w:rPr>
            <w:rStyle w:val="Hyperlink"/>
          </w:rPr>
          <w:t>emc</w:t>
        </w:r>
        <w:proofErr w:type="spellEnd"/>
        <w:r w:rsidRPr="002F53B2">
          <w:rPr>
            <w:rStyle w:val="Hyperlink"/>
          </w:rPr>
          <w:t>)</w:t>
        </w:r>
      </w:hyperlink>
      <w:r>
        <w:t xml:space="preserve"> lists </w:t>
      </w:r>
      <w:r w:rsidR="00675640">
        <w:t>51</w:t>
      </w:r>
      <w:r>
        <w:t xml:space="preserve"> active products that contain </w:t>
      </w:r>
      <w:r w:rsidR="00675640">
        <w:t>potassium chloride for infusion</w:t>
      </w:r>
      <w:r>
        <w:t xml:space="preserve">. </w:t>
      </w:r>
      <w:r w:rsidR="00675640">
        <w:t>All are listed as prescription-only medicines</w:t>
      </w:r>
      <w:r>
        <w:t>.</w:t>
      </w:r>
    </w:p>
    <w:p w14:paraId="2FCADF22" w14:textId="3B0E7FBE" w:rsidR="003F03BA" w:rsidRPr="00D149A2" w:rsidRDefault="003F03BA" w:rsidP="003F03BA">
      <w:pPr>
        <w:pStyle w:val="Heading3"/>
      </w:pPr>
      <w:bookmarkStart w:id="77" w:name="_Toc164680002"/>
      <w:r>
        <w:t>3.2</w:t>
      </w:r>
      <w:r>
        <w:tab/>
        <w:t>Sulfonamides</w:t>
      </w:r>
      <w:bookmarkEnd w:id="77"/>
    </w:p>
    <w:p w14:paraId="14DEF50B" w14:textId="77777777" w:rsidR="003F03BA" w:rsidRPr="00D149A2" w:rsidRDefault="003F03BA" w:rsidP="003F03BA">
      <w:pPr>
        <w:pStyle w:val="Heading4"/>
      </w:pPr>
      <w:bookmarkStart w:id="78" w:name="_Toc164680003"/>
      <w:r w:rsidRPr="00D149A2">
        <w:t>Proposal</w:t>
      </w:r>
      <w:bookmarkEnd w:id="78"/>
    </w:p>
    <w:p w14:paraId="486B6ABB" w14:textId="5A0C26C2" w:rsidR="003F03BA" w:rsidRPr="00D149A2" w:rsidRDefault="00AC0CAE" w:rsidP="003F03BA">
      <w:r>
        <w:t>The Department of Health and Aged Care has proposed amendments to the current Schedule 4 entry for sulfonamides. The proposal is intended to clarify the status of sulfonamides when used in a variety of settings, including therapeutically and industrially. The proposal follows a referral from the Australian Industrial Chemicals Introduction Scheme (AICIS)</w:t>
      </w:r>
      <w:r w:rsidR="00D26D5B">
        <w:t xml:space="preserve"> evaluation of</w:t>
      </w:r>
      <w:r w:rsidR="00E511DE">
        <w:t xml:space="preserve"> </w:t>
      </w:r>
      <w:hyperlink r:id="rId68" w:history="1">
        <w:r w:rsidR="00D26D5B">
          <w:rPr>
            <w:rStyle w:val="Hyperlink"/>
          </w:rPr>
          <w:t>sulfonamides</w:t>
        </w:r>
      </w:hyperlink>
      <w:r w:rsidR="00D26D5B" w:rsidRPr="00192F5A">
        <w:rPr>
          <w:rStyle w:val="Hyperlink"/>
          <w:color w:val="auto"/>
          <w:u w:val="none"/>
        </w:rPr>
        <w:t xml:space="preserve"> published in January 20</w:t>
      </w:r>
      <w:r w:rsidR="00192F5A" w:rsidRPr="00192F5A">
        <w:rPr>
          <w:rStyle w:val="Hyperlink"/>
          <w:color w:val="auto"/>
          <w:u w:val="none"/>
        </w:rPr>
        <w:t>2</w:t>
      </w:r>
      <w:r w:rsidR="00D26D5B" w:rsidRPr="00192F5A">
        <w:rPr>
          <w:rStyle w:val="Hyperlink"/>
          <w:color w:val="auto"/>
          <w:u w:val="none"/>
        </w:rPr>
        <w:t>2</w:t>
      </w:r>
      <w:r w:rsidR="00721C4B">
        <w:t>.</w:t>
      </w:r>
    </w:p>
    <w:p w14:paraId="5BEA6990" w14:textId="39ED5B66" w:rsidR="003F03BA" w:rsidRPr="00D149A2" w:rsidRDefault="003F03BA" w:rsidP="003F03BA">
      <w:pPr>
        <w:pStyle w:val="Heading4"/>
      </w:pPr>
      <w:bookmarkStart w:id="79" w:name="_Toc164680004"/>
      <w:r w:rsidRPr="00D149A2">
        <w:t xml:space="preserve">CAS </w:t>
      </w:r>
      <w:r w:rsidR="00980F0C">
        <w:t>n</w:t>
      </w:r>
      <w:r w:rsidRPr="00D149A2">
        <w:t>umber</w:t>
      </w:r>
      <w:bookmarkEnd w:id="79"/>
    </w:p>
    <w:p w14:paraId="4AE0AD27" w14:textId="62EE0059" w:rsidR="003F03BA" w:rsidRDefault="00721C4B" w:rsidP="003F03BA">
      <w:r>
        <w:t xml:space="preserve">Sulfonamides </w:t>
      </w:r>
      <w:r w:rsidR="00192F5A">
        <w:t>are</w:t>
      </w:r>
      <w:r>
        <w:t xml:space="preserve"> a large class of substances with a variety of applications. The most common sulfonamides for therapeutic use are:</w:t>
      </w:r>
    </w:p>
    <w:p w14:paraId="5C4098FE" w14:textId="206015B1" w:rsidR="00721C4B" w:rsidRDefault="00721C4B" w:rsidP="003F03BA">
      <w:r>
        <w:t>Sulfamethoxazole (732-46-6)</w:t>
      </w:r>
    </w:p>
    <w:p w14:paraId="46507EBC" w14:textId="0468AF98" w:rsidR="00721C4B" w:rsidRDefault="00721C4B" w:rsidP="003F03BA">
      <w:r>
        <w:t>Sulfasalazine (599-79-1)</w:t>
      </w:r>
    </w:p>
    <w:p w14:paraId="75D22F43" w14:textId="0EE20966" w:rsidR="00721C4B" w:rsidRPr="00D149A2" w:rsidRDefault="00721C4B" w:rsidP="003F03BA">
      <w:r>
        <w:t>Sulfadiazine (</w:t>
      </w:r>
      <w:r w:rsidR="00717500">
        <w:t>68-35-9)</w:t>
      </w:r>
    </w:p>
    <w:p w14:paraId="29766484" w14:textId="77777777" w:rsidR="003F03BA" w:rsidRPr="00D149A2" w:rsidRDefault="003F03BA" w:rsidP="003F03BA">
      <w:pPr>
        <w:pStyle w:val="Heading4"/>
      </w:pPr>
      <w:bookmarkStart w:id="80" w:name="_Toc164680005"/>
      <w:r w:rsidRPr="00D149A2">
        <w:t>Proposed Scheduling</w:t>
      </w:r>
      <w:bookmarkEnd w:id="80"/>
    </w:p>
    <w:p w14:paraId="6C2F993A" w14:textId="1C15050F" w:rsidR="003F03BA" w:rsidRPr="00D149A2" w:rsidRDefault="003F03BA" w:rsidP="003F03BA">
      <w:r w:rsidRPr="0081004E">
        <w:t xml:space="preserve">The </w:t>
      </w:r>
      <w:r w:rsidR="00717500" w:rsidRPr="0081004E">
        <w:t>Delegate</w:t>
      </w:r>
      <w:r w:rsidRPr="0081004E">
        <w:t>’s proposed amendments to the Poisons Standard are</w:t>
      </w:r>
      <w:r w:rsidRPr="00E511DE">
        <w:rPr>
          <w:rStyle w:val="FootnoteReference"/>
          <w:bCs/>
        </w:rPr>
        <w:footnoteReference w:id="5"/>
      </w:r>
      <w:r w:rsidR="00D26D5B">
        <w:t>:</w:t>
      </w:r>
    </w:p>
    <w:p w14:paraId="606627A0" w14:textId="77777777" w:rsidR="00717500" w:rsidRPr="00CD40FB" w:rsidRDefault="00717500" w:rsidP="00376036">
      <w:pPr>
        <w:ind w:left="425"/>
        <w:rPr>
          <w:b/>
        </w:rPr>
      </w:pPr>
      <w:r w:rsidRPr="00CD40FB">
        <w:rPr>
          <w:b/>
        </w:rPr>
        <w:t xml:space="preserve">Schedule </w:t>
      </w:r>
      <w:r>
        <w:rPr>
          <w:b/>
        </w:rPr>
        <w:t>4</w:t>
      </w:r>
      <w:r w:rsidRPr="00CD40FB">
        <w:rPr>
          <w:b/>
        </w:rPr>
        <w:t xml:space="preserve"> –</w:t>
      </w:r>
      <w:r>
        <w:rPr>
          <w:b/>
        </w:rPr>
        <w:t xml:space="preserve"> </w:t>
      </w:r>
      <w:r w:rsidRPr="00847C60">
        <w:rPr>
          <w:b/>
        </w:rPr>
        <w:t>Amend Entry</w:t>
      </w:r>
    </w:p>
    <w:p w14:paraId="4A0B0B5D" w14:textId="77777777" w:rsidR="00717500" w:rsidRDefault="00717500" w:rsidP="00376036">
      <w:pPr>
        <w:spacing w:before="180" w:line="240" w:lineRule="atLeast"/>
        <w:ind w:left="425" w:firstLine="295"/>
      </w:pPr>
      <w:r>
        <w:t xml:space="preserve">SULFONAMIDES </w:t>
      </w:r>
      <w:r w:rsidRPr="00BA1145">
        <w:rPr>
          <w:color w:val="00B050"/>
          <w:u w:val="single"/>
        </w:rPr>
        <w:t xml:space="preserve">in preparations </w:t>
      </w:r>
      <w:r w:rsidRPr="00281109">
        <w:rPr>
          <w:color w:val="00B050"/>
          <w:u w:val="single"/>
        </w:rPr>
        <w:t>for therapeutic use</w:t>
      </w:r>
      <w:r>
        <w:t xml:space="preserve"> </w:t>
      </w:r>
      <w:r w:rsidRPr="00FD4EC9">
        <w:rPr>
          <w:b/>
          <w:bCs/>
        </w:rPr>
        <w:t>except</w:t>
      </w:r>
      <w:r>
        <w:t>:</w:t>
      </w:r>
    </w:p>
    <w:p w14:paraId="24BFD60A" w14:textId="77777777" w:rsidR="00717500" w:rsidRDefault="00717500">
      <w:pPr>
        <w:pStyle w:val="ListParagraph"/>
        <w:numPr>
          <w:ilvl w:val="0"/>
          <w:numId w:val="10"/>
        </w:numPr>
        <w:spacing w:after="120"/>
        <w:ind w:left="1145" w:hanging="357"/>
      </w:pPr>
      <w:r>
        <w:t xml:space="preserve">when separately specified in </w:t>
      </w:r>
      <w:proofErr w:type="spellStart"/>
      <w:r w:rsidRPr="00B32A42">
        <w:rPr>
          <w:strike/>
          <w:color w:val="FF0000"/>
        </w:rPr>
        <w:t>this</w:t>
      </w:r>
      <w:r w:rsidRPr="003661B3">
        <w:rPr>
          <w:color w:val="00B050"/>
          <w:u w:val="single"/>
        </w:rPr>
        <w:t>these</w:t>
      </w:r>
      <w:proofErr w:type="spellEnd"/>
      <w:r>
        <w:t xml:space="preserve"> Schedule</w:t>
      </w:r>
      <w:r w:rsidRPr="00B32A42">
        <w:rPr>
          <w:color w:val="00B050"/>
          <w:u w:val="single"/>
        </w:rPr>
        <w:t>s</w:t>
      </w:r>
      <w:r>
        <w:t>;</w:t>
      </w:r>
      <w:r w:rsidRPr="00BA1145">
        <w:rPr>
          <w:color w:val="00B050"/>
          <w:u w:val="single"/>
        </w:rPr>
        <w:t xml:space="preserve"> or</w:t>
      </w:r>
    </w:p>
    <w:p w14:paraId="6E82FCA5" w14:textId="601F4AA5" w:rsidR="00717500" w:rsidRPr="008A6D42" w:rsidRDefault="00717500">
      <w:pPr>
        <w:pStyle w:val="ListParagraph"/>
        <w:numPr>
          <w:ilvl w:val="0"/>
          <w:numId w:val="10"/>
        </w:numPr>
        <w:spacing w:after="120"/>
        <w:ind w:left="1145" w:hanging="357"/>
      </w:pPr>
      <w:r w:rsidRPr="00E730AB">
        <w:rPr>
          <w:strike/>
          <w:color w:val="FF0000"/>
        </w:rPr>
        <w:t>when included in Schedule 3, 5 or 6; or</w:t>
      </w:r>
      <w:r w:rsidR="00E511DE">
        <w:t xml:space="preserve"> </w:t>
      </w:r>
      <w:r w:rsidRPr="00BA1145">
        <w:rPr>
          <w:color w:val="00B050"/>
          <w:u w:val="single"/>
        </w:rPr>
        <w:t>when used as an excipient</w:t>
      </w:r>
      <w:r>
        <w:rPr>
          <w:color w:val="00B050"/>
          <w:u w:val="single"/>
        </w:rPr>
        <w:t>.</w:t>
      </w:r>
    </w:p>
    <w:p w14:paraId="452917AA" w14:textId="6AFA9C7A" w:rsidR="00376036" w:rsidRPr="00376036" w:rsidRDefault="00717500">
      <w:pPr>
        <w:pStyle w:val="ListParagraph"/>
        <w:numPr>
          <w:ilvl w:val="0"/>
          <w:numId w:val="10"/>
        </w:numPr>
        <w:spacing w:after="120"/>
        <w:ind w:left="1145" w:hanging="357"/>
      </w:pPr>
      <w:r w:rsidRPr="00E730AB">
        <w:rPr>
          <w:strike/>
          <w:color w:val="FF0000"/>
        </w:rPr>
        <w:t xml:space="preserve">when packed and labelled solely for use as </w:t>
      </w:r>
      <w:proofErr w:type="gramStart"/>
      <w:r w:rsidRPr="00E730AB">
        <w:rPr>
          <w:strike/>
          <w:color w:val="FF0000"/>
        </w:rPr>
        <w:t>a</w:t>
      </w:r>
      <w:proofErr w:type="gramEnd"/>
      <w:r w:rsidRPr="00E730AB">
        <w:rPr>
          <w:strike/>
          <w:color w:val="FF0000"/>
        </w:rPr>
        <w:t xml:space="preserve"> herbicide</w:t>
      </w:r>
      <w:r w:rsidRPr="00BA1145">
        <w:t>.</w:t>
      </w:r>
    </w:p>
    <w:p w14:paraId="0656E105" w14:textId="77777777" w:rsidR="00192F5A" w:rsidRDefault="00192F5A">
      <w:pPr>
        <w:rPr>
          <w:b/>
          <w:bCs/>
        </w:rPr>
      </w:pPr>
      <w:r>
        <w:rPr>
          <w:b/>
          <w:bCs/>
        </w:rPr>
        <w:br w:type="page"/>
      </w:r>
    </w:p>
    <w:p w14:paraId="0CE53B06" w14:textId="5C500EDB" w:rsidR="00717500" w:rsidRPr="00291D72" w:rsidRDefault="00717500" w:rsidP="00376036">
      <w:pPr>
        <w:ind w:left="425"/>
        <w:rPr>
          <w:b/>
          <w:bCs/>
        </w:rPr>
      </w:pPr>
      <w:r w:rsidRPr="00291D72">
        <w:rPr>
          <w:b/>
          <w:bCs/>
        </w:rPr>
        <w:lastRenderedPageBreak/>
        <w:t>Index</w:t>
      </w:r>
    </w:p>
    <w:p w14:paraId="2D36218C" w14:textId="4E034127" w:rsidR="00376036" w:rsidRDefault="00717500" w:rsidP="00192F5A">
      <w:pPr>
        <w:ind w:left="720"/>
        <w:rPr>
          <w:b/>
          <w:bCs/>
        </w:rPr>
      </w:pPr>
      <w:r w:rsidRPr="00A81772">
        <w:rPr>
          <w:b/>
          <w:bCs/>
        </w:rPr>
        <w:t>SULFONAMIDES</w:t>
      </w:r>
      <w:r>
        <w:rPr>
          <w:b/>
          <w:bCs/>
        </w:rPr>
        <w:br/>
      </w:r>
      <w:r w:rsidRPr="002A44FE">
        <w:t>cross reference: SULFACETAMIDE, SULPHANILAMIDE</w:t>
      </w:r>
    </w:p>
    <w:p w14:paraId="567EF962" w14:textId="06B01C30" w:rsidR="00717500" w:rsidRPr="00376036" w:rsidRDefault="00717500" w:rsidP="00376036">
      <w:pPr>
        <w:ind w:left="425" w:firstLine="295"/>
        <w:rPr>
          <w:b/>
          <w:bCs/>
        </w:rPr>
      </w:pPr>
      <w:r>
        <w:t>Schedule 4</w:t>
      </w:r>
    </w:p>
    <w:p w14:paraId="275C1544" w14:textId="77777777" w:rsidR="003F03BA" w:rsidRPr="00D149A2" w:rsidRDefault="003F03BA" w:rsidP="003F03BA">
      <w:pPr>
        <w:pStyle w:val="Heading4"/>
      </w:pPr>
      <w:bookmarkStart w:id="81" w:name="_Toc164680006"/>
      <w:r w:rsidRPr="00D149A2">
        <w:t>Background</w:t>
      </w:r>
      <w:bookmarkEnd w:id="81"/>
    </w:p>
    <w:p w14:paraId="12A8A002" w14:textId="0CD7393F" w:rsidR="003F03BA" w:rsidRPr="00D149A2" w:rsidRDefault="00890957" w:rsidP="003F03BA">
      <w:r>
        <w:t xml:space="preserve">The current Schedule 4 entry for sulfonamides is not specific to therapeutic use and captures all uses of these substances, such as industrial use in manufacturing. The </w:t>
      </w:r>
      <w:r w:rsidR="00127CC5">
        <w:t>AICIS evaluation recommended a</w:t>
      </w:r>
      <w:r>
        <w:t xml:space="preserve"> review to ensure that </w:t>
      </w:r>
      <w:r w:rsidR="00127CC5">
        <w:t>is the current entry is</w:t>
      </w:r>
      <w:r>
        <w:t xml:space="preserve"> fit for purpose and accurately reflects the hazards associated with these substances.</w:t>
      </w:r>
    </w:p>
    <w:p w14:paraId="6A0F1915" w14:textId="74CD60B4" w:rsidR="003F03BA" w:rsidRPr="00D149A2" w:rsidRDefault="003F03BA" w:rsidP="003F03BA">
      <w:pPr>
        <w:pStyle w:val="Heading4"/>
      </w:pPr>
      <w:bookmarkStart w:id="82" w:name="_Toc164680007"/>
      <w:r w:rsidRPr="00D149A2">
        <w:t xml:space="preserve">Summary </w:t>
      </w:r>
      <w:r w:rsidR="007B2779" w:rsidRPr="00D149A2">
        <w:t>of reasons</w:t>
      </w:r>
      <w:r w:rsidRPr="00D149A2">
        <w:t xml:space="preserve"> for the proposal</w:t>
      </w:r>
      <w:bookmarkEnd w:id="82"/>
    </w:p>
    <w:p w14:paraId="237AA05F" w14:textId="77F8F727" w:rsidR="00717500" w:rsidRPr="00717500" w:rsidRDefault="00717500" w:rsidP="001B6547">
      <w:pPr>
        <w:pStyle w:val="ListBullet"/>
      </w:pPr>
      <w:r w:rsidRPr="00717500">
        <w:t xml:space="preserve">Sulfonamides </w:t>
      </w:r>
      <w:r w:rsidR="00192F5A">
        <w:t>are</w:t>
      </w:r>
      <w:r w:rsidRPr="00717500">
        <w:t xml:space="preserve"> a wide-ranging class of substances whose applications extend well beyond therapeutic use. The original intent of the Schedule 4 group entry was only to capture substances with antimicrobial activity.</w:t>
      </w:r>
    </w:p>
    <w:p w14:paraId="32671469" w14:textId="1E2DC035" w:rsidR="00717500" w:rsidRPr="00717500" w:rsidRDefault="00717500" w:rsidP="001B6547">
      <w:pPr>
        <w:pStyle w:val="ListBullet"/>
      </w:pPr>
      <w:r w:rsidRPr="00717500">
        <w:t xml:space="preserve">Some chemicals in the class have industrial use, such as in manufacturing, and are not suitable for access by prescription only. It is suspected that those </w:t>
      </w:r>
      <w:r>
        <w:t xml:space="preserve">importing, </w:t>
      </w:r>
      <w:proofErr w:type="gramStart"/>
      <w:r w:rsidRPr="00717500">
        <w:t>handling</w:t>
      </w:r>
      <w:proofErr w:type="gramEnd"/>
      <w:r w:rsidRPr="00717500">
        <w:t xml:space="preserve"> and using these substances are unaware of the restrictions imposed by the current scheduling.</w:t>
      </w:r>
    </w:p>
    <w:p w14:paraId="6525EE16" w14:textId="77777777" w:rsidR="003F03BA" w:rsidRPr="00D149A2" w:rsidRDefault="003F03BA" w:rsidP="003F03BA">
      <w:pPr>
        <w:pStyle w:val="Heading4"/>
      </w:pPr>
      <w:bookmarkStart w:id="83" w:name="_Toc164680008"/>
      <w:r w:rsidRPr="00D149A2">
        <w:t xml:space="preserve">Key uses / expected </w:t>
      </w:r>
      <w:proofErr w:type="gramStart"/>
      <w:r w:rsidRPr="00D149A2">
        <w:t>use</w:t>
      </w:r>
      <w:bookmarkEnd w:id="83"/>
      <w:proofErr w:type="gramEnd"/>
    </w:p>
    <w:p w14:paraId="7B2BB95A" w14:textId="41EAA28A" w:rsidR="003F03BA" w:rsidRPr="00D149A2" w:rsidRDefault="003F03BA" w:rsidP="003F03BA">
      <w:r w:rsidRPr="00890957">
        <w:t>Medicines, veterinary, agriculture, industrial use, pesticide formulations</w:t>
      </w:r>
      <w:r w:rsidR="00890957">
        <w:t>, foods (artificial sweeteners)</w:t>
      </w:r>
      <w:r w:rsidR="00127CC5">
        <w:t>.</w:t>
      </w:r>
    </w:p>
    <w:p w14:paraId="57729918" w14:textId="77777777" w:rsidR="003F03BA" w:rsidRPr="00D149A2" w:rsidRDefault="003F03BA" w:rsidP="003F03BA">
      <w:pPr>
        <w:pStyle w:val="Heading4"/>
      </w:pPr>
      <w:bookmarkStart w:id="84" w:name="_Toc164680009"/>
      <w:r w:rsidRPr="00D149A2">
        <w:t>Australian regulations</w:t>
      </w:r>
      <w:bookmarkEnd w:id="84"/>
    </w:p>
    <w:p w14:paraId="30067DF2" w14:textId="77777777" w:rsidR="006D00F5" w:rsidRDefault="006D00F5" w:rsidP="001B6547">
      <w:pPr>
        <w:pStyle w:val="ListBullet"/>
      </w:pPr>
      <w:r w:rsidRPr="007632E2">
        <w:t>According</w:t>
      </w:r>
      <w:r>
        <w:t xml:space="preserve"> to the </w:t>
      </w:r>
      <w:hyperlink r:id="rId69" w:history="1">
        <w:r w:rsidRPr="00C66C5E">
          <w:rPr>
            <w:rStyle w:val="Hyperlink"/>
          </w:rPr>
          <w:t xml:space="preserve">TGA </w:t>
        </w:r>
        <w:r>
          <w:rPr>
            <w:rStyle w:val="Hyperlink"/>
          </w:rPr>
          <w:t xml:space="preserve">Ingredient </w:t>
        </w:r>
        <w:r w:rsidRPr="00C66C5E">
          <w:rPr>
            <w:rStyle w:val="Hyperlink"/>
          </w:rPr>
          <w:t>Database</w:t>
        </w:r>
      </w:hyperlink>
      <w:r>
        <w:t xml:space="preserve">, most of the </w:t>
      </w:r>
      <w:proofErr w:type="spellStart"/>
      <w:r>
        <w:t>sulfonamide</w:t>
      </w:r>
      <w:proofErr w:type="spellEnd"/>
      <w:r>
        <w:t xml:space="preserve"> medicines included in the </w:t>
      </w:r>
      <w:r w:rsidRPr="006D00F5">
        <w:t>Poisons</w:t>
      </w:r>
      <w:r>
        <w:t xml:space="preserve"> Standard are available for use as active ingredients or excipients in Biologicals and Prescription Medicines, and not available for use as Equivalent Ingredients in any application.</w:t>
      </w:r>
    </w:p>
    <w:p w14:paraId="041A87A8" w14:textId="77777777" w:rsidR="006D00F5" w:rsidRDefault="006D00F5" w:rsidP="001B6547">
      <w:pPr>
        <w:pStyle w:val="ListBullet"/>
      </w:pPr>
      <w:r>
        <w:t xml:space="preserve">In addition, the following are available for use in Export Only medicines: sulfadiazine, </w:t>
      </w:r>
      <w:proofErr w:type="spellStart"/>
      <w:r>
        <w:t>sulfadoxine</w:t>
      </w:r>
      <w:proofErr w:type="spellEnd"/>
      <w:r>
        <w:t>, sulfamethoxazole, and sulfasalazine.</w:t>
      </w:r>
    </w:p>
    <w:p w14:paraId="08D2EA3D" w14:textId="3034E9DD" w:rsidR="006D00F5" w:rsidRDefault="006D00F5" w:rsidP="001B6547">
      <w:pPr>
        <w:pStyle w:val="ListBullet"/>
      </w:pPr>
      <w:r>
        <w:t xml:space="preserve">As of </w:t>
      </w:r>
      <w:r w:rsidR="00E624FC">
        <w:t>April</w:t>
      </w:r>
      <w:r w:rsidRPr="006224E4">
        <w:t xml:space="preserve"> 2024</w:t>
      </w:r>
      <w:r>
        <w:t>, t</w:t>
      </w:r>
      <w:r w:rsidRPr="00881DFE">
        <w:t xml:space="preserve">here </w:t>
      </w:r>
      <w:r>
        <w:t>were</w:t>
      </w:r>
      <w:r w:rsidRPr="00881DFE">
        <w:t xml:space="preserve"> </w:t>
      </w:r>
      <w:r>
        <w:t>17 medicine</w:t>
      </w:r>
      <w:r w:rsidRPr="00881DFE">
        <w:t xml:space="preserve">s currently active on the </w:t>
      </w:r>
      <w:hyperlink r:id="rId70" w:history="1">
        <w:r w:rsidRPr="00293CCA">
          <w:rPr>
            <w:rStyle w:val="Hyperlink"/>
          </w:rPr>
          <w:t>Australian Register of Therapeutic Goods (ARTG)</w:t>
        </w:r>
      </w:hyperlink>
      <w:r>
        <w:t xml:space="preserve"> that contain</w:t>
      </w:r>
      <w:r w:rsidRPr="00881DFE">
        <w:t xml:space="preserve"> </w:t>
      </w:r>
      <w:r>
        <w:t xml:space="preserve">a scheduled </w:t>
      </w:r>
      <w:proofErr w:type="spellStart"/>
      <w:r>
        <w:t>sulfonamide</w:t>
      </w:r>
      <w:proofErr w:type="spellEnd"/>
      <w:r>
        <w:t xml:space="preserve"> as an active ingredient (namely, sulfamethoxazole, </w:t>
      </w:r>
      <w:proofErr w:type="gramStart"/>
      <w:r>
        <w:t>sulfasalazine</w:t>
      </w:r>
      <w:proofErr w:type="gramEnd"/>
      <w:r>
        <w:t xml:space="preserve"> or sulfadiazine)</w:t>
      </w:r>
      <w:r w:rsidRPr="00881DFE">
        <w:t>.</w:t>
      </w:r>
      <w:r>
        <w:t xml:space="preserve"> All products are prescription medicines.</w:t>
      </w:r>
    </w:p>
    <w:p w14:paraId="465E11B1" w14:textId="6DE741D1" w:rsidR="006A51CB" w:rsidRDefault="006D00F5" w:rsidP="001B6547">
      <w:pPr>
        <w:pStyle w:val="ListBullet"/>
      </w:pPr>
      <w:proofErr w:type="spellStart"/>
      <w:r>
        <w:t>Sulfonamide</w:t>
      </w:r>
      <w:proofErr w:type="spellEnd"/>
      <w:r>
        <w:t xml:space="preserve"> antimicrobial substances are</w:t>
      </w:r>
      <w:r w:rsidRPr="009C55D5">
        <w:t xml:space="preserve"> not permitted to be included in listed medicines </w:t>
      </w:r>
      <w:r>
        <w:t xml:space="preserve">as none are included in the </w:t>
      </w:r>
      <w:hyperlink r:id="rId71" w:history="1">
        <w:r w:rsidRPr="00824CAC">
          <w:rPr>
            <w:rStyle w:val="Hyperlink"/>
          </w:rPr>
          <w:t>Therapeutic Goods (Permissible Ingredients) Determination</w:t>
        </w:r>
      </w:hyperlink>
      <w:r w:rsidRPr="009C55D5">
        <w:t xml:space="preserve"> No.</w:t>
      </w:r>
      <w:r>
        <w:t>4</w:t>
      </w:r>
      <w:r w:rsidRPr="009C55D5">
        <w:t xml:space="preserve"> of 20</w:t>
      </w:r>
      <w:r>
        <w:t>23</w:t>
      </w:r>
      <w:r w:rsidRPr="009C55D5">
        <w:t>.</w:t>
      </w:r>
    </w:p>
    <w:p w14:paraId="3709CF67" w14:textId="2E5E2364" w:rsidR="006D00F5" w:rsidRDefault="006D00F5" w:rsidP="001B6547">
      <w:pPr>
        <w:pStyle w:val="ListBullet"/>
      </w:pPr>
      <w:r>
        <w:t xml:space="preserve">The </w:t>
      </w:r>
      <w:hyperlink r:id="rId72" w:history="1">
        <w:r w:rsidRPr="00C81411">
          <w:rPr>
            <w:rStyle w:val="Hyperlink"/>
          </w:rPr>
          <w:t xml:space="preserve">TGA </w:t>
        </w:r>
        <w:r>
          <w:rPr>
            <w:rStyle w:val="Hyperlink"/>
          </w:rPr>
          <w:t>p</w:t>
        </w:r>
        <w:r w:rsidRPr="00C81411">
          <w:rPr>
            <w:rStyle w:val="Hyperlink"/>
          </w:rPr>
          <w:t>rescribing medicines in pregnancy database</w:t>
        </w:r>
      </w:hyperlink>
      <w:r>
        <w:t xml:space="preserve"> includes several sulfonamides as follows:</w:t>
      </w:r>
    </w:p>
    <w:tbl>
      <w:tblPr>
        <w:tblStyle w:val="TableTGAblue"/>
        <w:tblW w:w="8637" w:type="dxa"/>
        <w:jc w:val="center"/>
        <w:tblLook w:val="04A0" w:firstRow="1" w:lastRow="0" w:firstColumn="1" w:lastColumn="0" w:noHBand="0" w:noVBand="1"/>
      </w:tblPr>
      <w:tblGrid>
        <w:gridCol w:w="2053"/>
        <w:gridCol w:w="1266"/>
        <w:gridCol w:w="1772"/>
        <w:gridCol w:w="1773"/>
        <w:gridCol w:w="1773"/>
      </w:tblGrid>
      <w:tr w:rsidR="006A51CB" w:rsidRPr="0081004E" w14:paraId="6FBB3B3B" w14:textId="77777777" w:rsidTr="00192F5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53" w:type="dxa"/>
          </w:tcPr>
          <w:p w14:paraId="7C18FB65" w14:textId="77777777" w:rsidR="006A51CB" w:rsidRPr="0081004E" w:rsidRDefault="006A51CB" w:rsidP="00192F5A">
            <w:pPr>
              <w:spacing w:before="60" w:after="60"/>
              <w:rPr>
                <w:color w:val="FFFFFF" w:themeColor="background1"/>
                <w:szCs w:val="18"/>
              </w:rPr>
            </w:pPr>
            <w:r w:rsidRPr="0081004E">
              <w:rPr>
                <w:color w:val="FFFFFF" w:themeColor="background1"/>
                <w:szCs w:val="18"/>
              </w:rPr>
              <w:t>Drug name</w:t>
            </w:r>
          </w:p>
        </w:tc>
        <w:tc>
          <w:tcPr>
            <w:tcW w:w="1266" w:type="dxa"/>
          </w:tcPr>
          <w:p w14:paraId="65713B6A" w14:textId="77777777" w:rsidR="006A51CB" w:rsidRPr="0081004E" w:rsidRDefault="006A51CB" w:rsidP="00192F5A">
            <w:pPr>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szCs w:val="18"/>
              </w:rPr>
            </w:pPr>
            <w:r w:rsidRPr="0081004E">
              <w:rPr>
                <w:color w:val="FFFFFF" w:themeColor="background1"/>
                <w:szCs w:val="18"/>
              </w:rPr>
              <w:t>Category</w:t>
            </w:r>
          </w:p>
        </w:tc>
        <w:tc>
          <w:tcPr>
            <w:tcW w:w="1772" w:type="dxa"/>
          </w:tcPr>
          <w:p w14:paraId="440136BC" w14:textId="77777777" w:rsidR="006A51CB" w:rsidRPr="0081004E" w:rsidRDefault="006A51CB" w:rsidP="00192F5A">
            <w:pPr>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szCs w:val="18"/>
              </w:rPr>
            </w:pPr>
            <w:r w:rsidRPr="0081004E">
              <w:rPr>
                <w:color w:val="FFFFFF" w:themeColor="background1"/>
                <w:szCs w:val="18"/>
              </w:rPr>
              <w:t>Classification Level 1</w:t>
            </w:r>
          </w:p>
        </w:tc>
        <w:tc>
          <w:tcPr>
            <w:tcW w:w="1773" w:type="dxa"/>
          </w:tcPr>
          <w:p w14:paraId="7D9DB358" w14:textId="77777777" w:rsidR="006A51CB" w:rsidRPr="0081004E" w:rsidRDefault="006A51CB" w:rsidP="00192F5A">
            <w:pPr>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szCs w:val="18"/>
              </w:rPr>
            </w:pPr>
            <w:r w:rsidRPr="0081004E">
              <w:rPr>
                <w:color w:val="FFFFFF" w:themeColor="background1"/>
                <w:szCs w:val="18"/>
              </w:rPr>
              <w:t>Classification Level 2</w:t>
            </w:r>
          </w:p>
        </w:tc>
        <w:tc>
          <w:tcPr>
            <w:tcW w:w="1773" w:type="dxa"/>
          </w:tcPr>
          <w:p w14:paraId="25F62A23" w14:textId="77777777" w:rsidR="006A51CB" w:rsidRPr="0081004E" w:rsidRDefault="006A51CB" w:rsidP="00192F5A">
            <w:pPr>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szCs w:val="18"/>
              </w:rPr>
            </w:pPr>
            <w:r w:rsidRPr="0081004E">
              <w:rPr>
                <w:color w:val="FFFFFF" w:themeColor="background1"/>
                <w:szCs w:val="18"/>
              </w:rPr>
              <w:t>Classification Level 3</w:t>
            </w:r>
          </w:p>
        </w:tc>
      </w:tr>
      <w:tr w:rsidR="006A51CB" w:rsidRPr="0081004E" w14:paraId="0DE2CFC1" w14:textId="77777777" w:rsidTr="00192F5A">
        <w:trPr>
          <w:jc w:val="center"/>
        </w:trPr>
        <w:tc>
          <w:tcPr>
            <w:cnfStyle w:val="001000000000" w:firstRow="0" w:lastRow="0" w:firstColumn="1" w:lastColumn="0" w:oddVBand="0" w:evenVBand="0" w:oddHBand="0" w:evenHBand="0" w:firstRowFirstColumn="0" w:firstRowLastColumn="0" w:lastRowFirstColumn="0" w:lastRowLastColumn="0"/>
            <w:tcW w:w="2053" w:type="dxa"/>
          </w:tcPr>
          <w:p w14:paraId="7CDC4150" w14:textId="77777777" w:rsidR="006A51CB" w:rsidRPr="0081004E" w:rsidRDefault="006A51CB" w:rsidP="00192F5A">
            <w:pPr>
              <w:spacing w:before="60" w:after="60"/>
              <w:rPr>
                <w:szCs w:val="18"/>
              </w:rPr>
            </w:pPr>
            <w:r w:rsidRPr="0081004E">
              <w:rPr>
                <w:szCs w:val="18"/>
              </w:rPr>
              <w:t>sulfacetamide</w:t>
            </w:r>
          </w:p>
        </w:tc>
        <w:tc>
          <w:tcPr>
            <w:tcW w:w="1266" w:type="dxa"/>
          </w:tcPr>
          <w:p w14:paraId="28C29612" w14:textId="77777777" w:rsidR="006A51CB" w:rsidRPr="0081004E" w:rsidRDefault="006A51CB" w:rsidP="00192F5A">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81004E">
              <w:rPr>
                <w:szCs w:val="18"/>
              </w:rPr>
              <w:t>C</w:t>
            </w:r>
          </w:p>
        </w:tc>
        <w:tc>
          <w:tcPr>
            <w:tcW w:w="1772" w:type="dxa"/>
          </w:tcPr>
          <w:p w14:paraId="4C03FBB1" w14:textId="77777777" w:rsidR="006A51CB" w:rsidRPr="0081004E" w:rsidRDefault="006A51CB" w:rsidP="00192F5A">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81004E">
              <w:rPr>
                <w:szCs w:val="18"/>
              </w:rPr>
              <w:t>Ophthalmic Drugs</w:t>
            </w:r>
          </w:p>
        </w:tc>
        <w:tc>
          <w:tcPr>
            <w:tcW w:w="1773" w:type="dxa"/>
          </w:tcPr>
          <w:p w14:paraId="4FDB9642" w14:textId="77777777" w:rsidR="006A51CB" w:rsidRPr="0081004E" w:rsidRDefault="006A51CB" w:rsidP="00192F5A">
            <w:pPr>
              <w:spacing w:before="60" w:after="60"/>
              <w:cnfStyle w:val="000000000000" w:firstRow="0" w:lastRow="0" w:firstColumn="0" w:lastColumn="0" w:oddVBand="0" w:evenVBand="0" w:oddHBand="0" w:evenHBand="0" w:firstRowFirstColumn="0" w:firstRowLastColumn="0" w:lastRowFirstColumn="0" w:lastRowLastColumn="0"/>
              <w:rPr>
                <w:szCs w:val="18"/>
              </w:rPr>
            </w:pPr>
          </w:p>
        </w:tc>
        <w:tc>
          <w:tcPr>
            <w:tcW w:w="1773" w:type="dxa"/>
          </w:tcPr>
          <w:p w14:paraId="36203D77" w14:textId="77777777" w:rsidR="006A51CB" w:rsidRPr="0081004E" w:rsidRDefault="006A51CB" w:rsidP="00192F5A">
            <w:pPr>
              <w:spacing w:before="60" w:after="60"/>
              <w:cnfStyle w:val="000000000000" w:firstRow="0" w:lastRow="0" w:firstColumn="0" w:lastColumn="0" w:oddVBand="0" w:evenVBand="0" w:oddHBand="0" w:evenHBand="0" w:firstRowFirstColumn="0" w:firstRowLastColumn="0" w:lastRowFirstColumn="0" w:lastRowLastColumn="0"/>
              <w:rPr>
                <w:szCs w:val="18"/>
              </w:rPr>
            </w:pPr>
          </w:p>
        </w:tc>
      </w:tr>
      <w:tr w:rsidR="006A51CB" w:rsidRPr="0081004E" w14:paraId="0029DAC1" w14:textId="77777777" w:rsidTr="00192F5A">
        <w:trPr>
          <w:jc w:val="center"/>
        </w:trPr>
        <w:tc>
          <w:tcPr>
            <w:cnfStyle w:val="001000000000" w:firstRow="0" w:lastRow="0" w:firstColumn="1" w:lastColumn="0" w:oddVBand="0" w:evenVBand="0" w:oddHBand="0" w:evenHBand="0" w:firstRowFirstColumn="0" w:firstRowLastColumn="0" w:lastRowFirstColumn="0" w:lastRowLastColumn="0"/>
            <w:tcW w:w="2053" w:type="dxa"/>
          </w:tcPr>
          <w:p w14:paraId="5148EA91" w14:textId="77777777" w:rsidR="006A51CB" w:rsidRPr="0081004E" w:rsidRDefault="006A51CB" w:rsidP="00192F5A">
            <w:pPr>
              <w:spacing w:before="60" w:after="60"/>
              <w:rPr>
                <w:szCs w:val="18"/>
              </w:rPr>
            </w:pPr>
            <w:r w:rsidRPr="0081004E">
              <w:rPr>
                <w:szCs w:val="18"/>
              </w:rPr>
              <w:t>sulfadiazine</w:t>
            </w:r>
          </w:p>
        </w:tc>
        <w:tc>
          <w:tcPr>
            <w:tcW w:w="1266" w:type="dxa"/>
          </w:tcPr>
          <w:p w14:paraId="755B9324" w14:textId="77777777" w:rsidR="006A51CB" w:rsidRPr="0081004E" w:rsidRDefault="006A51CB" w:rsidP="00192F5A">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81004E">
              <w:rPr>
                <w:szCs w:val="18"/>
              </w:rPr>
              <w:t>C</w:t>
            </w:r>
          </w:p>
        </w:tc>
        <w:tc>
          <w:tcPr>
            <w:tcW w:w="1772" w:type="dxa"/>
          </w:tcPr>
          <w:p w14:paraId="5528BD72" w14:textId="77777777" w:rsidR="006A51CB" w:rsidRPr="0081004E" w:rsidRDefault="006A51CB" w:rsidP="00192F5A">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81004E">
              <w:rPr>
                <w:szCs w:val="18"/>
              </w:rPr>
              <w:t>Antimicrobials</w:t>
            </w:r>
          </w:p>
        </w:tc>
        <w:tc>
          <w:tcPr>
            <w:tcW w:w="1773" w:type="dxa"/>
          </w:tcPr>
          <w:p w14:paraId="16F89183" w14:textId="77777777" w:rsidR="006A51CB" w:rsidRPr="0081004E" w:rsidRDefault="006A51CB" w:rsidP="00192F5A">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81004E">
              <w:rPr>
                <w:szCs w:val="18"/>
              </w:rPr>
              <w:t>Antibiotics</w:t>
            </w:r>
          </w:p>
        </w:tc>
        <w:tc>
          <w:tcPr>
            <w:tcW w:w="1773" w:type="dxa"/>
          </w:tcPr>
          <w:p w14:paraId="58F312EC" w14:textId="77777777" w:rsidR="006A51CB" w:rsidRPr="0081004E" w:rsidRDefault="006A51CB" w:rsidP="00192F5A">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81004E">
              <w:rPr>
                <w:szCs w:val="18"/>
              </w:rPr>
              <w:t>Sulfonamides</w:t>
            </w:r>
          </w:p>
        </w:tc>
      </w:tr>
      <w:tr w:rsidR="006A51CB" w:rsidRPr="0081004E" w14:paraId="5705BA6E" w14:textId="77777777" w:rsidTr="00192F5A">
        <w:trPr>
          <w:jc w:val="center"/>
        </w:trPr>
        <w:tc>
          <w:tcPr>
            <w:cnfStyle w:val="001000000000" w:firstRow="0" w:lastRow="0" w:firstColumn="1" w:lastColumn="0" w:oddVBand="0" w:evenVBand="0" w:oddHBand="0" w:evenHBand="0" w:firstRowFirstColumn="0" w:firstRowLastColumn="0" w:lastRowFirstColumn="0" w:lastRowLastColumn="0"/>
            <w:tcW w:w="2053" w:type="dxa"/>
          </w:tcPr>
          <w:p w14:paraId="60B9CA9E" w14:textId="77777777" w:rsidR="006A51CB" w:rsidRPr="0081004E" w:rsidRDefault="006A51CB" w:rsidP="00192F5A">
            <w:pPr>
              <w:spacing w:before="60" w:after="60"/>
              <w:rPr>
                <w:szCs w:val="18"/>
              </w:rPr>
            </w:pPr>
            <w:proofErr w:type="spellStart"/>
            <w:r w:rsidRPr="0081004E">
              <w:rPr>
                <w:szCs w:val="18"/>
              </w:rPr>
              <w:t>sulfadoxine</w:t>
            </w:r>
            <w:proofErr w:type="spellEnd"/>
          </w:p>
        </w:tc>
        <w:tc>
          <w:tcPr>
            <w:tcW w:w="1266" w:type="dxa"/>
          </w:tcPr>
          <w:p w14:paraId="529F0B8E" w14:textId="77777777" w:rsidR="006A51CB" w:rsidRPr="0081004E" w:rsidRDefault="006A51CB" w:rsidP="00192F5A">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81004E">
              <w:rPr>
                <w:szCs w:val="18"/>
              </w:rPr>
              <w:t>C</w:t>
            </w:r>
          </w:p>
        </w:tc>
        <w:tc>
          <w:tcPr>
            <w:tcW w:w="1772" w:type="dxa"/>
          </w:tcPr>
          <w:p w14:paraId="3A8B2DFD" w14:textId="77777777" w:rsidR="006A51CB" w:rsidRPr="0081004E" w:rsidRDefault="006A51CB" w:rsidP="00192F5A">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81004E">
              <w:rPr>
                <w:szCs w:val="18"/>
              </w:rPr>
              <w:t>Antimicrobials</w:t>
            </w:r>
          </w:p>
        </w:tc>
        <w:tc>
          <w:tcPr>
            <w:tcW w:w="1773" w:type="dxa"/>
          </w:tcPr>
          <w:p w14:paraId="08700FDD" w14:textId="77777777" w:rsidR="006A51CB" w:rsidRPr="0081004E" w:rsidRDefault="006A51CB" w:rsidP="00192F5A">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81004E">
              <w:rPr>
                <w:szCs w:val="18"/>
              </w:rPr>
              <w:t>Antibiotics</w:t>
            </w:r>
          </w:p>
        </w:tc>
        <w:tc>
          <w:tcPr>
            <w:tcW w:w="1773" w:type="dxa"/>
          </w:tcPr>
          <w:p w14:paraId="4E1D59AA" w14:textId="77777777" w:rsidR="006A51CB" w:rsidRPr="0081004E" w:rsidRDefault="006A51CB" w:rsidP="00192F5A">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81004E">
              <w:rPr>
                <w:szCs w:val="18"/>
              </w:rPr>
              <w:t>Sulfonamides</w:t>
            </w:r>
          </w:p>
        </w:tc>
      </w:tr>
      <w:tr w:rsidR="006A51CB" w:rsidRPr="0081004E" w14:paraId="352473F3" w14:textId="77777777" w:rsidTr="00192F5A">
        <w:trPr>
          <w:jc w:val="center"/>
        </w:trPr>
        <w:tc>
          <w:tcPr>
            <w:cnfStyle w:val="001000000000" w:firstRow="0" w:lastRow="0" w:firstColumn="1" w:lastColumn="0" w:oddVBand="0" w:evenVBand="0" w:oddHBand="0" w:evenHBand="0" w:firstRowFirstColumn="0" w:firstRowLastColumn="0" w:lastRowFirstColumn="0" w:lastRowLastColumn="0"/>
            <w:tcW w:w="2053" w:type="dxa"/>
          </w:tcPr>
          <w:p w14:paraId="11CDE87A" w14:textId="77777777" w:rsidR="006A51CB" w:rsidRPr="0081004E" w:rsidRDefault="006A51CB" w:rsidP="00192F5A">
            <w:pPr>
              <w:spacing w:before="60" w:after="60"/>
              <w:rPr>
                <w:szCs w:val="18"/>
              </w:rPr>
            </w:pPr>
            <w:proofErr w:type="spellStart"/>
            <w:r w:rsidRPr="0081004E">
              <w:rPr>
                <w:szCs w:val="18"/>
              </w:rPr>
              <w:t>sulfamethizole</w:t>
            </w:r>
            <w:proofErr w:type="spellEnd"/>
          </w:p>
        </w:tc>
        <w:tc>
          <w:tcPr>
            <w:tcW w:w="1266" w:type="dxa"/>
          </w:tcPr>
          <w:p w14:paraId="235C53FC" w14:textId="77777777" w:rsidR="006A51CB" w:rsidRPr="0081004E" w:rsidRDefault="006A51CB" w:rsidP="00192F5A">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81004E">
              <w:rPr>
                <w:szCs w:val="18"/>
              </w:rPr>
              <w:t>C</w:t>
            </w:r>
          </w:p>
        </w:tc>
        <w:tc>
          <w:tcPr>
            <w:tcW w:w="1772" w:type="dxa"/>
          </w:tcPr>
          <w:p w14:paraId="280E9ED9" w14:textId="77777777" w:rsidR="006A51CB" w:rsidRPr="0081004E" w:rsidRDefault="006A51CB" w:rsidP="00192F5A">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81004E">
              <w:rPr>
                <w:szCs w:val="18"/>
              </w:rPr>
              <w:t>Antimicrobials</w:t>
            </w:r>
          </w:p>
        </w:tc>
        <w:tc>
          <w:tcPr>
            <w:tcW w:w="1773" w:type="dxa"/>
          </w:tcPr>
          <w:p w14:paraId="53F0BC6E" w14:textId="77777777" w:rsidR="006A51CB" w:rsidRPr="0081004E" w:rsidRDefault="006A51CB" w:rsidP="00192F5A">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81004E">
              <w:rPr>
                <w:szCs w:val="18"/>
              </w:rPr>
              <w:t>Antibiotics</w:t>
            </w:r>
          </w:p>
        </w:tc>
        <w:tc>
          <w:tcPr>
            <w:tcW w:w="1773" w:type="dxa"/>
          </w:tcPr>
          <w:p w14:paraId="55799A62" w14:textId="77777777" w:rsidR="006A51CB" w:rsidRPr="0081004E" w:rsidRDefault="006A51CB" w:rsidP="00192F5A">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81004E">
              <w:rPr>
                <w:szCs w:val="18"/>
              </w:rPr>
              <w:t>Sulfonamides</w:t>
            </w:r>
          </w:p>
        </w:tc>
      </w:tr>
      <w:tr w:rsidR="006A51CB" w:rsidRPr="0081004E" w14:paraId="1A48D6D6" w14:textId="77777777" w:rsidTr="00192F5A">
        <w:trPr>
          <w:jc w:val="center"/>
        </w:trPr>
        <w:tc>
          <w:tcPr>
            <w:cnfStyle w:val="001000000000" w:firstRow="0" w:lastRow="0" w:firstColumn="1" w:lastColumn="0" w:oddVBand="0" w:evenVBand="0" w:oddHBand="0" w:evenHBand="0" w:firstRowFirstColumn="0" w:firstRowLastColumn="0" w:lastRowFirstColumn="0" w:lastRowLastColumn="0"/>
            <w:tcW w:w="2053" w:type="dxa"/>
          </w:tcPr>
          <w:p w14:paraId="5280FCA8" w14:textId="77777777" w:rsidR="006A51CB" w:rsidRPr="0081004E" w:rsidRDefault="006A51CB" w:rsidP="00192F5A">
            <w:pPr>
              <w:spacing w:before="60" w:after="60"/>
              <w:rPr>
                <w:szCs w:val="18"/>
              </w:rPr>
            </w:pPr>
            <w:r w:rsidRPr="0081004E">
              <w:rPr>
                <w:szCs w:val="18"/>
              </w:rPr>
              <w:t>sulfamethoxazole</w:t>
            </w:r>
          </w:p>
        </w:tc>
        <w:tc>
          <w:tcPr>
            <w:tcW w:w="1266" w:type="dxa"/>
          </w:tcPr>
          <w:p w14:paraId="39698888" w14:textId="77777777" w:rsidR="006A51CB" w:rsidRPr="0081004E" w:rsidRDefault="006A51CB" w:rsidP="00192F5A">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81004E">
              <w:rPr>
                <w:szCs w:val="18"/>
              </w:rPr>
              <w:t>C</w:t>
            </w:r>
          </w:p>
        </w:tc>
        <w:tc>
          <w:tcPr>
            <w:tcW w:w="1772" w:type="dxa"/>
          </w:tcPr>
          <w:p w14:paraId="20A79888" w14:textId="77777777" w:rsidR="006A51CB" w:rsidRPr="0081004E" w:rsidRDefault="006A51CB" w:rsidP="00192F5A">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81004E">
              <w:rPr>
                <w:szCs w:val="18"/>
              </w:rPr>
              <w:t>Antimicrobials</w:t>
            </w:r>
          </w:p>
        </w:tc>
        <w:tc>
          <w:tcPr>
            <w:tcW w:w="1773" w:type="dxa"/>
          </w:tcPr>
          <w:p w14:paraId="58936C0D" w14:textId="77777777" w:rsidR="006A51CB" w:rsidRPr="0081004E" w:rsidRDefault="006A51CB" w:rsidP="00192F5A">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81004E">
              <w:rPr>
                <w:szCs w:val="18"/>
              </w:rPr>
              <w:t>Antibiotics</w:t>
            </w:r>
          </w:p>
        </w:tc>
        <w:tc>
          <w:tcPr>
            <w:tcW w:w="1773" w:type="dxa"/>
          </w:tcPr>
          <w:p w14:paraId="2AA515FA" w14:textId="77777777" w:rsidR="006A51CB" w:rsidRPr="0081004E" w:rsidRDefault="006A51CB" w:rsidP="00192F5A">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81004E">
              <w:rPr>
                <w:szCs w:val="18"/>
              </w:rPr>
              <w:t>Sulfonamides</w:t>
            </w:r>
          </w:p>
        </w:tc>
      </w:tr>
      <w:tr w:rsidR="006A51CB" w:rsidRPr="0081004E" w14:paraId="1E608AA9" w14:textId="77777777" w:rsidTr="00192F5A">
        <w:trPr>
          <w:jc w:val="center"/>
        </w:trPr>
        <w:tc>
          <w:tcPr>
            <w:cnfStyle w:val="001000000000" w:firstRow="0" w:lastRow="0" w:firstColumn="1" w:lastColumn="0" w:oddVBand="0" w:evenVBand="0" w:oddHBand="0" w:evenHBand="0" w:firstRowFirstColumn="0" w:firstRowLastColumn="0" w:lastRowFirstColumn="0" w:lastRowLastColumn="0"/>
            <w:tcW w:w="2053" w:type="dxa"/>
          </w:tcPr>
          <w:p w14:paraId="7766A05D" w14:textId="77777777" w:rsidR="006A51CB" w:rsidRPr="0081004E" w:rsidRDefault="006A51CB" w:rsidP="00192F5A">
            <w:pPr>
              <w:spacing w:before="60" w:after="60"/>
              <w:rPr>
                <w:szCs w:val="18"/>
              </w:rPr>
            </w:pPr>
            <w:r w:rsidRPr="0081004E">
              <w:rPr>
                <w:szCs w:val="18"/>
              </w:rPr>
              <w:t>sulfasalazine</w:t>
            </w:r>
          </w:p>
        </w:tc>
        <w:tc>
          <w:tcPr>
            <w:tcW w:w="1266" w:type="dxa"/>
          </w:tcPr>
          <w:p w14:paraId="3722FAB5" w14:textId="77777777" w:rsidR="006A51CB" w:rsidRPr="0081004E" w:rsidRDefault="006A51CB" w:rsidP="00192F5A">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81004E">
              <w:rPr>
                <w:szCs w:val="18"/>
              </w:rPr>
              <w:t>A</w:t>
            </w:r>
          </w:p>
        </w:tc>
        <w:tc>
          <w:tcPr>
            <w:tcW w:w="1772" w:type="dxa"/>
          </w:tcPr>
          <w:p w14:paraId="53F8D362" w14:textId="77777777" w:rsidR="006A51CB" w:rsidRPr="0081004E" w:rsidRDefault="006A51CB" w:rsidP="00192F5A">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81004E">
              <w:rPr>
                <w:szCs w:val="18"/>
              </w:rPr>
              <w:t>Alimentary system</w:t>
            </w:r>
          </w:p>
        </w:tc>
        <w:tc>
          <w:tcPr>
            <w:tcW w:w="1773" w:type="dxa"/>
          </w:tcPr>
          <w:p w14:paraId="0BD24A72" w14:textId="77777777" w:rsidR="006A51CB" w:rsidRPr="0081004E" w:rsidRDefault="006A51CB" w:rsidP="00192F5A">
            <w:pPr>
              <w:spacing w:before="60" w:after="60"/>
              <w:cnfStyle w:val="000000000000" w:firstRow="0" w:lastRow="0" w:firstColumn="0" w:lastColumn="0" w:oddVBand="0" w:evenVBand="0" w:oddHBand="0" w:evenHBand="0" w:firstRowFirstColumn="0" w:firstRowLastColumn="0" w:lastRowFirstColumn="0" w:lastRowLastColumn="0"/>
              <w:rPr>
                <w:szCs w:val="18"/>
              </w:rPr>
            </w:pPr>
            <w:proofErr w:type="spellStart"/>
            <w:r w:rsidRPr="0081004E">
              <w:rPr>
                <w:szCs w:val="18"/>
              </w:rPr>
              <w:t>Antidiarrhoeals</w:t>
            </w:r>
            <w:proofErr w:type="spellEnd"/>
          </w:p>
        </w:tc>
        <w:tc>
          <w:tcPr>
            <w:tcW w:w="1773" w:type="dxa"/>
          </w:tcPr>
          <w:p w14:paraId="1D7EA3D9" w14:textId="77777777" w:rsidR="006A51CB" w:rsidRPr="0081004E" w:rsidRDefault="006A51CB" w:rsidP="00192F5A">
            <w:pPr>
              <w:spacing w:before="60" w:after="60"/>
              <w:cnfStyle w:val="000000000000" w:firstRow="0" w:lastRow="0" w:firstColumn="0" w:lastColumn="0" w:oddVBand="0" w:evenVBand="0" w:oddHBand="0" w:evenHBand="0" w:firstRowFirstColumn="0" w:firstRowLastColumn="0" w:lastRowFirstColumn="0" w:lastRowLastColumn="0"/>
              <w:rPr>
                <w:szCs w:val="18"/>
              </w:rPr>
            </w:pPr>
          </w:p>
        </w:tc>
      </w:tr>
      <w:tr w:rsidR="006A51CB" w:rsidRPr="0081004E" w14:paraId="6AF07A4D" w14:textId="77777777" w:rsidTr="00192F5A">
        <w:trPr>
          <w:trHeight w:val="1313"/>
          <w:jc w:val="center"/>
        </w:trPr>
        <w:tc>
          <w:tcPr>
            <w:cnfStyle w:val="001000000000" w:firstRow="0" w:lastRow="0" w:firstColumn="1" w:lastColumn="0" w:oddVBand="0" w:evenVBand="0" w:oddHBand="0" w:evenHBand="0" w:firstRowFirstColumn="0" w:firstRowLastColumn="0" w:lastRowFirstColumn="0" w:lastRowLastColumn="0"/>
            <w:tcW w:w="8637" w:type="dxa"/>
            <w:gridSpan w:val="5"/>
          </w:tcPr>
          <w:p w14:paraId="78B42C2A" w14:textId="77777777" w:rsidR="006A51CB" w:rsidRPr="0081004E" w:rsidRDefault="006A51CB" w:rsidP="00192F5A">
            <w:pPr>
              <w:spacing w:before="60" w:after="60"/>
              <w:rPr>
                <w:sz w:val="16"/>
                <w:szCs w:val="16"/>
              </w:rPr>
            </w:pPr>
            <w:r w:rsidRPr="0081004E">
              <w:rPr>
                <w:sz w:val="16"/>
                <w:szCs w:val="16"/>
              </w:rPr>
              <w:lastRenderedPageBreak/>
              <w:t xml:space="preserve">Category A – Drugs which have been taken by </w:t>
            </w:r>
            <w:proofErr w:type="gramStart"/>
            <w:r w:rsidRPr="0081004E">
              <w:rPr>
                <w:sz w:val="16"/>
                <w:szCs w:val="16"/>
              </w:rPr>
              <w:t>a large number of</w:t>
            </w:r>
            <w:proofErr w:type="gramEnd"/>
            <w:r w:rsidRPr="0081004E">
              <w:rPr>
                <w:sz w:val="16"/>
                <w:szCs w:val="16"/>
              </w:rPr>
              <w:t xml:space="preserve"> pregnant women and women of childbearing age without any proven increase in the frequency of malformations or other direct or indirect harmful effects on the foetus having been observed.</w:t>
            </w:r>
          </w:p>
          <w:p w14:paraId="330F3EFF" w14:textId="77777777" w:rsidR="006A51CB" w:rsidRPr="0081004E" w:rsidRDefault="006A51CB" w:rsidP="00192F5A">
            <w:pPr>
              <w:spacing w:before="60" w:after="60"/>
              <w:rPr>
                <w:sz w:val="20"/>
                <w:szCs w:val="20"/>
              </w:rPr>
            </w:pPr>
            <w:r w:rsidRPr="0081004E">
              <w:rPr>
                <w:sz w:val="16"/>
                <w:szCs w:val="16"/>
              </w:rPr>
              <w:t xml:space="preserve">Category C – Drugs which, owing to their pharmacological effects, have </w:t>
            </w:r>
            <w:proofErr w:type="gramStart"/>
            <w:r w:rsidRPr="0081004E">
              <w:rPr>
                <w:sz w:val="16"/>
                <w:szCs w:val="16"/>
              </w:rPr>
              <w:t>caused</w:t>
            </w:r>
            <w:proofErr w:type="gramEnd"/>
            <w:r w:rsidRPr="0081004E">
              <w:rPr>
                <w:sz w:val="16"/>
                <w:szCs w:val="16"/>
              </w:rPr>
              <w:t xml:space="preserve"> or may be suspected of causing, harmful effects on the human foetus or neonate without causing malformations. These effects may be reversible. Accompanying texts should be consulted for further details.</w:t>
            </w:r>
          </w:p>
        </w:tc>
      </w:tr>
    </w:tbl>
    <w:p w14:paraId="0E667837" w14:textId="17F90B28" w:rsidR="006D00F5" w:rsidRDefault="006D00F5" w:rsidP="001B6547">
      <w:pPr>
        <w:pStyle w:val="ListBullet"/>
      </w:pPr>
      <w:r>
        <w:t>The</w:t>
      </w:r>
      <w:r w:rsidRPr="00AB7BF5">
        <w:t xml:space="preserve"> </w:t>
      </w:r>
      <w:hyperlink r:id="rId73" w:history="1">
        <w:r w:rsidRPr="00C60259">
          <w:rPr>
            <w:rStyle w:val="Hyperlink"/>
          </w:rPr>
          <w:t>Therapeutic Goods (Medicines Advisory Statements) Specification 2021</w:t>
        </w:r>
      </w:hyperlink>
      <w:r>
        <w:t xml:space="preserve"> requires</w:t>
      </w:r>
      <w:r w:rsidRPr="00A30084">
        <w:t xml:space="preserve"> the following warning statements pertaining to </w:t>
      </w:r>
      <w:r>
        <w:t>sulfacetamide</w:t>
      </w:r>
      <w:r w:rsidRPr="00A30084">
        <w:t xml:space="preserve"> to be included on the labelling:</w:t>
      </w:r>
    </w:p>
    <w:tbl>
      <w:tblPr>
        <w:tblStyle w:val="TableTGAblue"/>
        <w:tblW w:w="8637" w:type="dxa"/>
        <w:jc w:val="center"/>
        <w:tblLook w:val="04A0" w:firstRow="1" w:lastRow="0" w:firstColumn="1" w:lastColumn="0" w:noHBand="0" w:noVBand="1"/>
      </w:tblPr>
      <w:tblGrid>
        <w:gridCol w:w="1870"/>
        <w:gridCol w:w="2110"/>
        <w:gridCol w:w="4657"/>
      </w:tblGrid>
      <w:tr w:rsidR="006D00F5" w:rsidRPr="0081004E" w14:paraId="1150E0A8" w14:textId="77777777" w:rsidTr="00192F5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0" w:type="dxa"/>
          </w:tcPr>
          <w:p w14:paraId="0C1E88A3" w14:textId="77777777" w:rsidR="006D00F5" w:rsidRPr="00BF4EA2" w:rsidRDefault="006D00F5" w:rsidP="00192F5A">
            <w:pPr>
              <w:spacing w:before="60" w:after="60"/>
              <w:rPr>
                <w:color w:val="FFFFFF" w:themeColor="background1"/>
                <w:szCs w:val="18"/>
              </w:rPr>
            </w:pPr>
            <w:r w:rsidRPr="00BF4EA2">
              <w:rPr>
                <w:color w:val="FFFFFF" w:themeColor="background1"/>
                <w:szCs w:val="18"/>
              </w:rPr>
              <w:t>Substance</w:t>
            </w:r>
          </w:p>
        </w:tc>
        <w:tc>
          <w:tcPr>
            <w:tcW w:w="2110" w:type="dxa"/>
          </w:tcPr>
          <w:p w14:paraId="0A6C809A" w14:textId="20520F35" w:rsidR="006D00F5" w:rsidRPr="00BF4EA2" w:rsidRDefault="006D00F5" w:rsidP="00192F5A">
            <w:pPr>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szCs w:val="18"/>
              </w:rPr>
            </w:pPr>
            <w:r w:rsidRPr="00BF4EA2">
              <w:rPr>
                <w:color w:val="FFFFFF" w:themeColor="background1"/>
                <w:szCs w:val="18"/>
              </w:rPr>
              <w:t>Conditions</w:t>
            </w:r>
          </w:p>
        </w:tc>
        <w:tc>
          <w:tcPr>
            <w:tcW w:w="4657" w:type="dxa"/>
          </w:tcPr>
          <w:p w14:paraId="7F8E4DF0" w14:textId="286A33A4" w:rsidR="006D00F5" w:rsidRPr="00BF4EA2" w:rsidRDefault="006D00F5" w:rsidP="00192F5A">
            <w:pPr>
              <w:spacing w:before="60" w:after="60"/>
              <w:cnfStyle w:val="100000000000" w:firstRow="1" w:lastRow="0" w:firstColumn="0" w:lastColumn="0" w:oddVBand="0" w:evenVBand="0" w:oddHBand="0" w:evenHBand="0" w:firstRowFirstColumn="0" w:firstRowLastColumn="0" w:lastRowFirstColumn="0" w:lastRowLastColumn="0"/>
              <w:rPr>
                <w:color w:val="FFFFFF" w:themeColor="background1"/>
                <w:szCs w:val="18"/>
              </w:rPr>
            </w:pPr>
            <w:r w:rsidRPr="00BF4EA2">
              <w:rPr>
                <w:color w:val="FFFFFF" w:themeColor="background1"/>
                <w:szCs w:val="18"/>
              </w:rPr>
              <w:t>Required Statement(s)</w:t>
            </w:r>
          </w:p>
        </w:tc>
      </w:tr>
      <w:tr w:rsidR="006D00F5" w:rsidRPr="0081004E" w14:paraId="4089E6C0" w14:textId="77777777" w:rsidTr="00192F5A">
        <w:trPr>
          <w:jc w:val="center"/>
        </w:trPr>
        <w:tc>
          <w:tcPr>
            <w:cnfStyle w:val="001000000000" w:firstRow="0" w:lastRow="0" w:firstColumn="1" w:lastColumn="0" w:oddVBand="0" w:evenVBand="0" w:oddHBand="0" w:evenHBand="0" w:firstRowFirstColumn="0" w:firstRowLastColumn="0" w:lastRowFirstColumn="0" w:lastRowLastColumn="0"/>
            <w:tcW w:w="1870" w:type="dxa"/>
          </w:tcPr>
          <w:p w14:paraId="66C7593B" w14:textId="77777777" w:rsidR="006D00F5" w:rsidRPr="0081004E" w:rsidRDefault="006D00F5" w:rsidP="00192F5A">
            <w:pPr>
              <w:spacing w:before="60" w:after="60"/>
              <w:rPr>
                <w:szCs w:val="18"/>
              </w:rPr>
            </w:pPr>
            <w:r w:rsidRPr="0081004E">
              <w:rPr>
                <w:szCs w:val="18"/>
              </w:rPr>
              <w:t>Sulfacetamide</w:t>
            </w:r>
          </w:p>
        </w:tc>
        <w:tc>
          <w:tcPr>
            <w:tcW w:w="2110" w:type="dxa"/>
          </w:tcPr>
          <w:p w14:paraId="08B72239" w14:textId="77777777" w:rsidR="006D00F5" w:rsidRPr="0081004E" w:rsidRDefault="006D00F5" w:rsidP="00192F5A">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81004E">
              <w:rPr>
                <w:szCs w:val="18"/>
              </w:rPr>
              <w:t>In medicines for ophthalmic use</w:t>
            </w:r>
          </w:p>
        </w:tc>
        <w:tc>
          <w:tcPr>
            <w:tcW w:w="4657" w:type="dxa"/>
          </w:tcPr>
          <w:p w14:paraId="74A8ACDC" w14:textId="77777777" w:rsidR="006D00F5" w:rsidRPr="0081004E" w:rsidRDefault="006D00F5" w:rsidP="00192F5A">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81004E">
              <w:rPr>
                <w:szCs w:val="18"/>
              </w:rPr>
              <w:t>Contact lens wearers should not use this product except on the advice of a doctor or optometrist.</w:t>
            </w:r>
          </w:p>
          <w:p w14:paraId="05FC710E" w14:textId="77777777" w:rsidR="006D00F5" w:rsidRPr="0081004E" w:rsidRDefault="006D00F5" w:rsidP="00192F5A">
            <w:pPr>
              <w:spacing w:before="60" w:after="60"/>
              <w:cnfStyle w:val="000000000000" w:firstRow="0" w:lastRow="0" w:firstColumn="0" w:lastColumn="0" w:oddVBand="0" w:evenVBand="0" w:oddHBand="0" w:evenHBand="0" w:firstRowFirstColumn="0" w:firstRowLastColumn="0" w:lastRowFirstColumn="0" w:lastRowLastColumn="0"/>
              <w:rPr>
                <w:szCs w:val="18"/>
              </w:rPr>
            </w:pPr>
            <w:r w:rsidRPr="0081004E">
              <w:rPr>
                <w:szCs w:val="18"/>
              </w:rPr>
              <w:t>If your eye infection does not improve within 48 hours, seek immediate medical advice.</w:t>
            </w:r>
          </w:p>
        </w:tc>
      </w:tr>
    </w:tbl>
    <w:p w14:paraId="0566243A" w14:textId="4919E983" w:rsidR="006D00F5" w:rsidRDefault="006D00F5" w:rsidP="001B6547">
      <w:pPr>
        <w:pStyle w:val="ListBullet"/>
      </w:pPr>
      <w:r>
        <w:t xml:space="preserve">Between January 2014 and </w:t>
      </w:r>
      <w:r w:rsidR="002F758F">
        <w:t>April</w:t>
      </w:r>
      <w:r w:rsidR="002F758F" w:rsidRPr="00122D10">
        <w:t xml:space="preserve"> </w:t>
      </w:r>
      <w:r w:rsidRPr="00122D10">
        <w:t>2024</w:t>
      </w:r>
      <w:r>
        <w:t xml:space="preserve">, on the </w:t>
      </w:r>
      <w:hyperlink r:id="rId74" w:history="1">
        <w:r w:rsidRPr="00F0449C">
          <w:rPr>
            <w:rStyle w:val="Hyperlink"/>
          </w:rPr>
          <w:t>Database of Adverse Event Notifications (DAEN)</w:t>
        </w:r>
      </w:hyperlink>
      <w:r>
        <w:rPr>
          <w:rStyle w:val="Hyperlink"/>
        </w:rPr>
        <w:t xml:space="preserve"> </w:t>
      </w:r>
      <w:r>
        <w:t>there were:</w:t>
      </w:r>
    </w:p>
    <w:p w14:paraId="3A887BB2" w14:textId="77777777" w:rsidR="006D00F5" w:rsidRDefault="006D00F5" w:rsidP="00376036">
      <w:pPr>
        <w:pStyle w:val="ListBullet2"/>
        <w:ind w:left="714" w:hanging="357"/>
      </w:pPr>
      <w:r>
        <w:t>15</w:t>
      </w:r>
      <w:r w:rsidRPr="009C55D5">
        <w:t xml:space="preserve"> reports of adverse events for products containing </w:t>
      </w:r>
      <w:r>
        <w:t xml:space="preserve">sulfadiazine </w:t>
      </w:r>
      <w:r w:rsidRPr="009C55D5">
        <w:t>as an active ingredient</w:t>
      </w:r>
      <w:r w:rsidRPr="00254E0B">
        <w:t>,</w:t>
      </w:r>
      <w:r w:rsidRPr="009C55D5">
        <w:t xml:space="preserve"> with </w:t>
      </w:r>
      <w:r>
        <w:t>7</w:t>
      </w:r>
      <w:r w:rsidRPr="009C55D5">
        <w:t xml:space="preserve"> reports where </w:t>
      </w:r>
      <w:r>
        <w:t xml:space="preserve">sulfadiazine </w:t>
      </w:r>
      <w:r w:rsidRPr="009C55D5">
        <w:t>was the single suspected medicine.</w:t>
      </w:r>
      <w:r>
        <w:t xml:space="preserve"> The reported events were diverse in nature and affected organ class, and</w:t>
      </w:r>
    </w:p>
    <w:p w14:paraId="20FE1F1A" w14:textId="77777777" w:rsidR="006D00F5" w:rsidRPr="009C55D5" w:rsidRDefault="006D00F5" w:rsidP="00376036">
      <w:pPr>
        <w:pStyle w:val="ListBullet2"/>
        <w:ind w:left="714" w:hanging="357"/>
      </w:pPr>
      <w:r>
        <w:t>208 reports of adverse events for products containing sulfasalazine as an active ingredient, with 125 reports where sulfasalazine was the single suspected medicine. The reported events were predominantly related to skin disorders and administration site conditions.</w:t>
      </w:r>
    </w:p>
    <w:p w14:paraId="4FFBEE34" w14:textId="022023E1" w:rsidR="006D00F5" w:rsidRDefault="006D00F5" w:rsidP="001B6547">
      <w:pPr>
        <w:pStyle w:val="ListBullet"/>
      </w:pPr>
      <w:r w:rsidRPr="0091701B">
        <w:t xml:space="preserve">As of </w:t>
      </w:r>
      <w:r w:rsidR="002F758F">
        <w:t>April</w:t>
      </w:r>
      <w:r w:rsidR="002F758F" w:rsidRPr="0091701B">
        <w:t xml:space="preserve"> </w:t>
      </w:r>
      <w:r w:rsidRPr="0091701B">
        <w:t>2024, there were 64 products containing various sulfonamides as an active</w:t>
      </w:r>
      <w:r>
        <w:t xml:space="preserve"> ingredient/constituent or scheduled substance </w:t>
      </w:r>
      <w:r w:rsidRPr="00F0449C">
        <w:t xml:space="preserve">listed on the </w:t>
      </w:r>
      <w:hyperlink r:id="rId75" w:history="1">
        <w:r w:rsidRPr="00F0449C">
          <w:rPr>
            <w:rStyle w:val="Hyperlink"/>
          </w:rPr>
          <w:t>Public Chemical Registration Information System Search (</w:t>
        </w:r>
        <w:proofErr w:type="spellStart"/>
        <w:r w:rsidRPr="00F0449C">
          <w:rPr>
            <w:rStyle w:val="Hyperlink"/>
          </w:rPr>
          <w:t>P</w:t>
        </w:r>
        <w:r>
          <w:rPr>
            <w:rStyle w:val="Hyperlink"/>
          </w:rPr>
          <w:t>ub</w:t>
        </w:r>
        <w:r w:rsidRPr="00F0449C">
          <w:rPr>
            <w:rStyle w:val="Hyperlink"/>
          </w:rPr>
          <w:t>CRIS</w:t>
        </w:r>
        <w:proofErr w:type="spellEnd"/>
        <w:r w:rsidRPr="00F0449C">
          <w:rPr>
            <w:rStyle w:val="Hyperlink"/>
          </w:rPr>
          <w:t>)</w:t>
        </w:r>
      </w:hyperlink>
      <w:r w:rsidRPr="00F0449C">
        <w:t>.</w:t>
      </w:r>
      <w:r>
        <w:t xml:space="preserve"> </w:t>
      </w:r>
      <w:proofErr w:type="spellStart"/>
      <w:r>
        <w:t>Sulfonamide</w:t>
      </w:r>
      <w:proofErr w:type="spellEnd"/>
      <w:r>
        <w:t xml:space="preserve"> active ingredients included sulfacetamide, sulfadiazine, sulfadimidine and </w:t>
      </w:r>
      <w:proofErr w:type="spellStart"/>
      <w:r>
        <w:t>sulfadoxine</w:t>
      </w:r>
      <w:proofErr w:type="spellEnd"/>
      <w:r>
        <w:t>.</w:t>
      </w:r>
    </w:p>
    <w:p w14:paraId="206CED21" w14:textId="49620E7B" w:rsidR="003F03BA" w:rsidRDefault="00E624FC" w:rsidP="001B6547">
      <w:pPr>
        <w:pStyle w:val="ListBullet"/>
      </w:pPr>
      <w:r>
        <w:t xml:space="preserve">Between </w:t>
      </w:r>
      <w:r w:rsidR="006D00F5">
        <w:t>2014</w:t>
      </w:r>
      <w:r>
        <w:t xml:space="preserve"> and </w:t>
      </w:r>
      <w:r w:rsidR="006D00F5">
        <w:t xml:space="preserve">2020 there were 10 adverse experiences recorded for sulfonamides in the </w:t>
      </w:r>
      <w:hyperlink r:id="rId76" w:history="1">
        <w:r w:rsidR="006D00F5" w:rsidRPr="00C60259">
          <w:rPr>
            <w:rStyle w:val="Hyperlink"/>
          </w:rPr>
          <w:t>APVMA Adverse Experience Reporting Program database (AERP).</w:t>
        </w:r>
      </w:hyperlink>
      <w:r w:rsidR="006D00F5" w:rsidRPr="006D00F5">
        <w:rPr>
          <w:rStyle w:val="Hyperlink"/>
          <w:color w:val="auto"/>
          <w:u w:val="none"/>
        </w:rPr>
        <w:t xml:space="preserve"> Substances involved included mafenide, sulfacetamide, sulfadiazine and sulfadimidine.</w:t>
      </w:r>
    </w:p>
    <w:p w14:paraId="31871C08" w14:textId="241A6DE2" w:rsidR="00192F5A" w:rsidRPr="00D149A2" w:rsidRDefault="00192F5A" w:rsidP="00192F5A">
      <w:pPr>
        <w:pStyle w:val="ListBullet"/>
      </w:pPr>
      <w:r>
        <w:t xml:space="preserve">There are at least 155 sulfonamides listed on the Australian Industrial Chemicals Introduction Scheme’s </w:t>
      </w:r>
      <w:hyperlink r:id="rId77" w:history="1">
        <w:r w:rsidRPr="00855474">
          <w:rPr>
            <w:rStyle w:val="Hyperlink"/>
          </w:rPr>
          <w:t>industrial chemicals inventory</w:t>
        </w:r>
      </w:hyperlink>
      <w:r>
        <w:t>.</w:t>
      </w:r>
    </w:p>
    <w:p w14:paraId="0DD1CEE0" w14:textId="77777777" w:rsidR="003F03BA" w:rsidRPr="00D149A2" w:rsidRDefault="003F03BA" w:rsidP="003F03BA">
      <w:pPr>
        <w:pStyle w:val="Heading4"/>
      </w:pPr>
      <w:bookmarkStart w:id="85" w:name="_Toc164680010"/>
      <w:r w:rsidRPr="00D149A2">
        <w:t>International regulations</w:t>
      </w:r>
      <w:bookmarkEnd w:id="85"/>
    </w:p>
    <w:p w14:paraId="14420C77" w14:textId="24F629FB" w:rsidR="0081004E" w:rsidRPr="00766DD4" w:rsidRDefault="0081004E" w:rsidP="001B6547">
      <w:pPr>
        <w:pStyle w:val="ListBullet"/>
      </w:pPr>
      <w:r>
        <w:t xml:space="preserve">Several products containing sulfonamides </w:t>
      </w:r>
      <w:r w:rsidR="002F758F">
        <w:t xml:space="preserve">including sulfacetamide, sulfadiazine, sulfamethoxazole, and sulfasalazine </w:t>
      </w:r>
      <w:r>
        <w:t xml:space="preserve">are classified as prescription-only medicines in the United States FDA’s Approved </w:t>
      </w:r>
      <w:hyperlink r:id="rId78" w:history="1">
        <w:r w:rsidRPr="0000006B">
          <w:rPr>
            <w:rStyle w:val="Hyperlink"/>
          </w:rPr>
          <w:t>Drug Products Database</w:t>
        </w:r>
      </w:hyperlink>
      <w:r>
        <w:t>.</w:t>
      </w:r>
    </w:p>
    <w:p w14:paraId="44E4E4EE" w14:textId="77777777" w:rsidR="0081004E" w:rsidRDefault="0081004E" w:rsidP="001B6547">
      <w:pPr>
        <w:pStyle w:val="ListBullet"/>
      </w:pPr>
      <w:r>
        <w:t xml:space="preserve">According to </w:t>
      </w:r>
      <w:proofErr w:type="spellStart"/>
      <w:r>
        <w:t>Medsafe’s</w:t>
      </w:r>
      <w:proofErr w:type="spellEnd"/>
      <w:r>
        <w:t xml:space="preserve"> </w:t>
      </w:r>
      <w:hyperlink r:id="rId79" w:history="1">
        <w:r w:rsidRPr="00953825">
          <w:rPr>
            <w:rStyle w:val="Hyperlink"/>
          </w:rPr>
          <w:t>Medicines Classification Database</w:t>
        </w:r>
      </w:hyperlink>
      <w:r>
        <w:t>, most sulfonamides for therapeutic use are regulated as prescription</w:t>
      </w:r>
      <w:r w:rsidRPr="00766DD4">
        <w:t xml:space="preserve"> </w:t>
      </w:r>
      <w:r>
        <w:t>only medicines in New Zealand. The exceptions are silver sulfadiazine (pharmacy only for packs of 50 grams or less) and sulfacetamide (restricted medicine for ophthalmic use containing 10% or less).</w:t>
      </w:r>
    </w:p>
    <w:p w14:paraId="6512B2F0" w14:textId="28D1C45B" w:rsidR="003F03BA" w:rsidRPr="0081004E" w:rsidRDefault="0081004E" w:rsidP="001B6547">
      <w:pPr>
        <w:pStyle w:val="ListBullet"/>
        <w:rPr>
          <w:u w:val="single"/>
        </w:rPr>
      </w:pPr>
      <w:r w:rsidRPr="0081004E">
        <w:rPr>
          <w:rStyle w:val="Hyperlink"/>
          <w:color w:val="auto"/>
          <w:u w:val="none"/>
        </w:rPr>
        <w:t>Under Annex II of</w:t>
      </w:r>
      <w:r w:rsidRPr="0081004E">
        <w:rPr>
          <w:rStyle w:val="Hyperlink"/>
          <w:color w:val="auto"/>
        </w:rPr>
        <w:t xml:space="preserve"> </w:t>
      </w:r>
      <w:hyperlink r:id="rId80" w:history="1">
        <w:r w:rsidRPr="003E02FB">
          <w:rPr>
            <w:rStyle w:val="Hyperlink"/>
          </w:rPr>
          <w:t>Regulation (EC) No 1223/2009</w:t>
        </w:r>
      </w:hyperlink>
      <w:r w:rsidRPr="0081004E">
        <w:rPr>
          <w:rStyle w:val="Hyperlink"/>
          <w:color w:val="auto"/>
          <w:u w:val="none"/>
        </w:rPr>
        <w:t xml:space="preserve">, sulphonamides (defined as sulphanilamide and its derivatives obtained by substitution of one or more H-atoms of the -NH2 groups) and their salts are prohibited in cosmetic products. Similar restrictions are included in Canada’s </w:t>
      </w:r>
      <w:hyperlink r:id="rId81" w:history="1">
        <w:r w:rsidRPr="00704239">
          <w:rPr>
            <w:rStyle w:val="Hyperlink"/>
          </w:rPr>
          <w:t>Cosmetic Ingredient Hotlist</w:t>
        </w:r>
      </w:hyperlink>
      <w:r w:rsidRPr="0081004E">
        <w:rPr>
          <w:rStyle w:val="Hyperlink"/>
          <w:color w:val="auto"/>
        </w:rPr>
        <w:t>.</w:t>
      </w:r>
    </w:p>
    <w:p w14:paraId="50718CC0" w14:textId="27533803" w:rsidR="008F6897" w:rsidRPr="00D149A2" w:rsidRDefault="008F6897" w:rsidP="00446F1A">
      <w:pPr>
        <w:rPr>
          <w:rFonts w:eastAsia="Times New Roman"/>
          <w:color w:val="001871"/>
          <w:sz w:val="38"/>
          <w:szCs w:val="38"/>
        </w:rPr>
      </w:pPr>
      <w:r w:rsidRPr="00D149A2">
        <w:br w:type="page"/>
      </w:r>
    </w:p>
    <w:p w14:paraId="0A8F58FE" w14:textId="5CE8221D" w:rsidR="00685E72" w:rsidRPr="00D149A2" w:rsidRDefault="00685E72" w:rsidP="00446F1A">
      <w:pPr>
        <w:pStyle w:val="Heading2"/>
      </w:pPr>
      <w:bookmarkStart w:id="86" w:name="_Toc164680011"/>
      <w:r w:rsidRPr="00D149A2">
        <w:lastRenderedPageBreak/>
        <w:t>How to respond</w:t>
      </w:r>
      <w:bookmarkEnd w:id="70"/>
      <w:bookmarkEnd w:id="86"/>
    </w:p>
    <w:p w14:paraId="3855C80A" w14:textId="54A00431" w:rsidR="00685E72" w:rsidRPr="00D149A2" w:rsidRDefault="00685E72" w:rsidP="00446F1A">
      <w:r w:rsidRPr="00D149A2">
        <w:t xml:space="preserve">Submissions must be provided by the closing date </w:t>
      </w:r>
      <w:r w:rsidRPr="002472C1">
        <w:t xml:space="preserve">of </w:t>
      </w:r>
      <w:r w:rsidR="002472C1" w:rsidRPr="002472C1">
        <w:rPr>
          <w:b/>
        </w:rPr>
        <w:t>22</w:t>
      </w:r>
      <w:r w:rsidRPr="002472C1">
        <w:rPr>
          <w:b/>
        </w:rPr>
        <w:t xml:space="preserve"> </w:t>
      </w:r>
      <w:r w:rsidR="002472C1" w:rsidRPr="002472C1">
        <w:rPr>
          <w:b/>
        </w:rPr>
        <w:t>May</w:t>
      </w:r>
      <w:r w:rsidRPr="002472C1">
        <w:rPr>
          <w:b/>
        </w:rPr>
        <w:t xml:space="preserve"> 20</w:t>
      </w:r>
      <w:r w:rsidR="002472C1" w:rsidRPr="002472C1">
        <w:rPr>
          <w:b/>
        </w:rPr>
        <w:t>24</w:t>
      </w:r>
      <w:r w:rsidRPr="002472C1">
        <w:t xml:space="preserve"> through</w:t>
      </w:r>
      <w:r w:rsidRPr="00D149A2">
        <w:t xml:space="preserve"> our </w:t>
      </w:r>
      <w:hyperlink r:id="rId82" w:history="1">
        <w:r w:rsidRPr="00072422">
          <w:rPr>
            <w:rStyle w:val="Hyperlink"/>
          </w:rPr>
          <w:t>consultation hub</w:t>
        </w:r>
      </w:hyperlink>
      <w:r w:rsidRPr="00D149A2">
        <w:t>. Any submission about any of the proposals to amend the Poisons Standard will be considered at the next meeting of the </w:t>
      </w:r>
      <w:hyperlink r:id="rId83" w:history="1">
        <w:r w:rsidRPr="00D149A2">
          <w:rPr>
            <w:rStyle w:val="Hyperlink"/>
            <w:szCs w:val="18"/>
          </w:rPr>
          <w:t>Advisory Committee on Medicines Scheduling (ACMS)</w:t>
        </w:r>
      </w:hyperlink>
      <w:r w:rsidRPr="00D149A2">
        <w:t>, meeting of the </w:t>
      </w:r>
      <w:hyperlink r:id="rId84" w:history="1">
        <w:r w:rsidRPr="00D149A2">
          <w:rPr>
            <w:rStyle w:val="Hyperlink"/>
            <w:szCs w:val="18"/>
          </w:rPr>
          <w:t>Advisory Committee on Chemicals Scheduling (ACCS)</w:t>
        </w:r>
      </w:hyperlink>
      <w:r w:rsidRPr="00D149A2">
        <w:t>, or a joint meeting of these two committees.</w:t>
      </w:r>
    </w:p>
    <w:p w14:paraId="4DE7F136" w14:textId="77777777" w:rsidR="00685E72" w:rsidRPr="00D149A2" w:rsidRDefault="00685E72" w:rsidP="00446F1A">
      <w:pPr>
        <w:pStyle w:val="Heading2"/>
      </w:pPr>
      <w:bookmarkStart w:id="87" w:name="_Toc122614250"/>
      <w:bookmarkStart w:id="88" w:name="_Toc164680012"/>
      <w:r w:rsidRPr="00D149A2">
        <w:t xml:space="preserve">What will </w:t>
      </w:r>
      <w:proofErr w:type="gramStart"/>
      <w:r w:rsidRPr="00D149A2">
        <w:t>happen</w:t>
      </w:r>
      <w:bookmarkEnd w:id="87"/>
      <w:bookmarkEnd w:id="88"/>
      <w:proofErr w:type="gramEnd"/>
    </w:p>
    <w:p w14:paraId="561D8CB1" w14:textId="0F560101" w:rsidR="00685E72" w:rsidRPr="00D149A2" w:rsidRDefault="00685E72" w:rsidP="00446F1A">
      <w:r w:rsidRPr="00D149A2">
        <w:t xml:space="preserve">All public submissions will be published on the TGA website at </w:t>
      </w:r>
      <w:hyperlink r:id="rId85" w:history="1">
        <w:r w:rsidRPr="00D149A2">
          <w:rPr>
            <w:rStyle w:val="Hyperlink"/>
            <w:szCs w:val="18"/>
          </w:rPr>
          <w:t>Public submissions on scheduling matters</w:t>
        </w:r>
      </w:hyperlink>
      <w:r w:rsidRPr="00D149A2">
        <w:t xml:space="preserve">, unless marked confidential or indicated otherwise in the submission coversheet (see </w:t>
      </w:r>
      <w:hyperlink r:id="rId86" w:history="1">
        <w:r w:rsidRPr="00D149A2">
          <w:rPr>
            <w:rStyle w:val="Hyperlink"/>
            <w:szCs w:val="18"/>
          </w:rPr>
          <w:t>Privacy</w:t>
        </w:r>
        <w:r w:rsidR="00B90A0A" w:rsidRPr="00D149A2">
          <w:rPr>
            <w:rStyle w:val="Hyperlink"/>
            <w:szCs w:val="18"/>
          </w:rPr>
          <w:t> </w:t>
        </w:r>
        <w:r w:rsidRPr="00D149A2">
          <w:rPr>
            <w:rStyle w:val="Hyperlink"/>
            <w:szCs w:val="18"/>
          </w:rPr>
          <w:t>information</w:t>
        </w:r>
      </w:hyperlink>
      <w:r w:rsidRPr="00D149A2">
        <w:t>).</w:t>
      </w:r>
    </w:p>
    <w:p w14:paraId="46AB479B" w14:textId="689A85EB" w:rsidR="00685E72" w:rsidRPr="00D149A2" w:rsidRDefault="00685E72" w:rsidP="00446F1A">
      <w:r w:rsidRPr="00D149A2">
        <w:t>Following consideration of public submissions received before the closing date and advice from the expert advisory committee/s, decisions on the proposed amendments will be published as interim decisions on the TGA website</w:t>
      </w:r>
      <w:r w:rsidR="008B1EC8">
        <w:t xml:space="preserve"> and further comments will be sought.</w:t>
      </w:r>
    </w:p>
    <w:p w14:paraId="6BD7A14D" w14:textId="77777777" w:rsidR="00685E72" w:rsidRPr="00D149A2" w:rsidRDefault="00685E72" w:rsidP="00446F1A"/>
    <w:p w14:paraId="14380530" w14:textId="77777777" w:rsidR="00F02AEC" w:rsidRPr="00D149A2" w:rsidRDefault="00F02AEC" w:rsidP="00446F1A">
      <w:pPr>
        <w:sectPr w:rsidR="00F02AEC" w:rsidRPr="00D149A2" w:rsidSect="00AE7C6A">
          <w:headerReference w:type="default" r:id="rId87"/>
          <w:footerReference w:type="default" r:id="rId88"/>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D149A2" w14:paraId="5F4CFCE1" w14:textId="77777777" w:rsidTr="00564BBE">
        <w:trPr>
          <w:trHeight w:hRule="exact" w:val="565"/>
          <w:jc w:val="center"/>
        </w:trPr>
        <w:tc>
          <w:tcPr>
            <w:tcW w:w="9145" w:type="dxa"/>
          </w:tcPr>
          <w:p w14:paraId="442BCC64" w14:textId="77777777" w:rsidR="00F02AEC" w:rsidRPr="00D149A2" w:rsidRDefault="00F02AEC" w:rsidP="00446F1A">
            <w:pPr>
              <w:pStyle w:val="TGASignoff"/>
            </w:pPr>
            <w:r w:rsidRPr="00D149A2">
              <w:lastRenderedPageBreak/>
              <w:t>Therapeutic Goods Administration</w:t>
            </w:r>
          </w:p>
        </w:tc>
      </w:tr>
      <w:tr w:rsidR="00F02AEC" w:rsidRPr="00D149A2" w14:paraId="7A4D9E91" w14:textId="77777777" w:rsidTr="00564BBE">
        <w:trPr>
          <w:trHeight w:val="963"/>
          <w:jc w:val="center"/>
        </w:trPr>
        <w:tc>
          <w:tcPr>
            <w:tcW w:w="9145" w:type="dxa"/>
            <w:tcMar>
              <w:top w:w="28" w:type="dxa"/>
            </w:tcMar>
          </w:tcPr>
          <w:p w14:paraId="278E3ACD" w14:textId="77777777" w:rsidR="00F02AEC" w:rsidRPr="00D149A2" w:rsidRDefault="00F02AEC" w:rsidP="00EA6835">
            <w:pPr>
              <w:pStyle w:val="Address"/>
              <w:jc w:val="center"/>
            </w:pPr>
            <w:r w:rsidRPr="00D149A2">
              <w:t>PO Box 100 Woden ACT 2606 Australia</w:t>
            </w:r>
          </w:p>
          <w:p w14:paraId="16729601" w14:textId="7444C02D" w:rsidR="00F02AEC" w:rsidRPr="00D149A2" w:rsidRDefault="00F02AEC" w:rsidP="00EA6835">
            <w:pPr>
              <w:pStyle w:val="Address"/>
              <w:jc w:val="center"/>
              <w:rPr>
                <w:sz w:val="22"/>
                <w:szCs w:val="22"/>
              </w:rPr>
            </w:pPr>
            <w:r w:rsidRPr="00D149A2">
              <w:t xml:space="preserve">Email: </w:t>
            </w:r>
            <w:hyperlink r:id="rId89" w:history="1">
              <w:r w:rsidRPr="00D149A2">
                <w:rPr>
                  <w:rStyle w:val="Hyperlink"/>
                  <w:rFonts w:cs="Arial"/>
                </w:rPr>
                <w:t>info@tga.gov.au</w:t>
              </w:r>
            </w:hyperlink>
            <w:r w:rsidRPr="00D149A2">
              <w:t xml:space="preserve">  Phone: 1800 020 </w:t>
            </w:r>
            <w:proofErr w:type="gramStart"/>
            <w:r w:rsidRPr="00D149A2">
              <w:t xml:space="preserve">653 </w:t>
            </w:r>
            <w:r w:rsidR="00E511DE">
              <w:t xml:space="preserve"> </w:t>
            </w:r>
            <w:r w:rsidRPr="00D149A2">
              <w:t>Fax</w:t>
            </w:r>
            <w:proofErr w:type="gramEnd"/>
            <w:r w:rsidRPr="00D149A2">
              <w:t>: 02 6203 1605</w:t>
            </w:r>
          </w:p>
          <w:p w14:paraId="44F15B70" w14:textId="77777777" w:rsidR="00F02AEC" w:rsidRPr="00D149A2" w:rsidRDefault="00000000" w:rsidP="00EA6835">
            <w:pPr>
              <w:pStyle w:val="Address"/>
              <w:jc w:val="center"/>
              <w:rPr>
                <w:rStyle w:val="Hyperlink"/>
                <w:rFonts w:cs="Arial"/>
                <w:b/>
                <w:color w:val="auto"/>
                <w:sz w:val="22"/>
              </w:rPr>
            </w:pPr>
            <w:hyperlink r:id="rId90" w:history="1">
              <w:r w:rsidR="00F02AEC" w:rsidRPr="00D149A2">
                <w:rPr>
                  <w:rStyle w:val="Hyperlink"/>
                  <w:rFonts w:cs="Arial"/>
                  <w:b/>
                </w:rPr>
                <w:t>https://www.tga.gov.au</w:t>
              </w:r>
            </w:hyperlink>
          </w:p>
        </w:tc>
      </w:tr>
      <w:tr w:rsidR="00F02AEC" w:rsidRPr="00D149A2" w14:paraId="5407F49B" w14:textId="77777777" w:rsidTr="00564BBE">
        <w:trPr>
          <w:trHeight w:val="251"/>
          <w:jc w:val="center"/>
        </w:trPr>
        <w:tc>
          <w:tcPr>
            <w:tcW w:w="9145" w:type="dxa"/>
            <w:tcMar>
              <w:top w:w="28" w:type="dxa"/>
            </w:tcMar>
          </w:tcPr>
          <w:p w14:paraId="0EC91A70" w14:textId="414C57A4" w:rsidR="00F02AEC" w:rsidRPr="00D149A2" w:rsidRDefault="00F02AEC" w:rsidP="00446F1A">
            <w:pPr>
              <w:pStyle w:val="Address"/>
            </w:pPr>
          </w:p>
        </w:tc>
      </w:tr>
    </w:tbl>
    <w:p w14:paraId="39E12073" w14:textId="77777777" w:rsidR="00145389" w:rsidRPr="00D149A2" w:rsidRDefault="00145389" w:rsidP="00446F1A"/>
    <w:sectPr w:rsidR="00145389" w:rsidRPr="00D149A2" w:rsidSect="00AE7C6A">
      <w:headerReference w:type="first" r:id="rId91"/>
      <w:footerReference w:type="first" r:id="rId92"/>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7C3A2" w14:textId="77777777" w:rsidR="00D73F56" w:rsidRDefault="00D73F56" w:rsidP="00446F1A">
      <w:r>
        <w:separator/>
      </w:r>
    </w:p>
  </w:endnote>
  <w:endnote w:type="continuationSeparator" w:id="0">
    <w:p w14:paraId="1DE6FC28" w14:textId="77777777" w:rsidR="00D73F56" w:rsidRDefault="00D73F56" w:rsidP="0044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4CFC1A7C" w14:textId="77777777" w:rsidTr="000B30E5">
      <w:trPr>
        <w:trHeight w:val="423"/>
      </w:trPr>
      <w:tc>
        <w:tcPr>
          <w:tcW w:w="4360" w:type="dxa"/>
          <w:tcBorders>
            <w:top w:val="single" w:sz="4" w:space="0" w:color="auto"/>
          </w:tcBorders>
        </w:tcPr>
        <w:p w14:paraId="1B77F06E" w14:textId="77777777" w:rsidR="00F02AEC" w:rsidRDefault="00F02AEC" w:rsidP="00446F1A">
          <w:pPr>
            <w:pStyle w:val="Footer"/>
          </w:pPr>
        </w:p>
        <w:p w14:paraId="634F6009" w14:textId="77777777" w:rsidR="00F02AEC" w:rsidRPr="00257138" w:rsidRDefault="00F02AEC" w:rsidP="00446F1A">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Content>
            <w:p w14:paraId="77241C52" w14:textId="77777777" w:rsidR="00F02AEC" w:rsidRDefault="00F02AEC" w:rsidP="00446F1A">
              <w:pPr>
                <w:pStyle w:val="Footer"/>
              </w:pPr>
            </w:p>
            <w:p w14:paraId="3F5F7AF0" w14:textId="77777777" w:rsidR="00F02AEC" w:rsidRPr="00257138" w:rsidRDefault="00F02AEC" w:rsidP="00446F1A">
              <w:pPr>
                <w:pStyle w:val="Footer"/>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2</w:t>
                </w:r>
              </w:fldSimple>
            </w:p>
          </w:sdtContent>
        </w:sdt>
      </w:tc>
    </w:tr>
    <w:tr w:rsidR="00F02AEC" w:rsidRPr="00257138" w14:paraId="0D40ABB3" w14:textId="77777777" w:rsidTr="000B30E5">
      <w:trPr>
        <w:trHeight w:val="263"/>
      </w:trPr>
      <w:tc>
        <w:tcPr>
          <w:tcW w:w="4360" w:type="dxa"/>
        </w:tcPr>
        <w:p w14:paraId="7E90E3F4" w14:textId="77777777" w:rsidR="00F02AEC" w:rsidRPr="00257138" w:rsidRDefault="00F02AEC" w:rsidP="00446F1A">
          <w:pPr>
            <w:pStyle w:val="Footer"/>
          </w:pPr>
          <w:r w:rsidRPr="00257138">
            <w:t xml:space="preserve">V1.0 </w:t>
          </w:r>
          <w:r>
            <w:t>Month</w:t>
          </w:r>
          <w:r w:rsidRPr="00257138">
            <w:t xml:space="preserve"> 201</w:t>
          </w:r>
          <w:r>
            <w:t>2</w:t>
          </w:r>
        </w:p>
      </w:tc>
      <w:tc>
        <w:tcPr>
          <w:tcW w:w="4360" w:type="dxa"/>
        </w:tcPr>
        <w:p w14:paraId="178610D6" w14:textId="77777777" w:rsidR="00F02AEC" w:rsidRPr="00257138" w:rsidRDefault="00F02AEC" w:rsidP="00446F1A">
          <w:pPr>
            <w:pStyle w:val="Footer"/>
          </w:pPr>
        </w:p>
      </w:tc>
    </w:tr>
  </w:tbl>
  <w:p w14:paraId="0507B039" w14:textId="77777777" w:rsidR="00F02AEC" w:rsidRPr="00826007" w:rsidRDefault="00F02AEC" w:rsidP="00446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57EE" w14:textId="77777777" w:rsidR="00F02AEC" w:rsidRDefault="00F02AEC" w:rsidP="00446F1A">
    <w:pPr>
      <w:pStyle w:val="Footer"/>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7F26F0" w14:paraId="5ABB6CD7" w14:textId="77777777" w:rsidTr="004C34C8">
      <w:trPr>
        <w:trHeight w:val="423"/>
      </w:trPr>
      <w:tc>
        <w:tcPr>
          <w:tcW w:w="7338" w:type="dxa"/>
          <w:tcBorders>
            <w:top w:val="single" w:sz="4" w:space="0" w:color="auto"/>
          </w:tcBorders>
        </w:tcPr>
        <w:p w14:paraId="102C175F" w14:textId="370F5540" w:rsidR="00F02AEC" w:rsidRPr="007F26F0" w:rsidRDefault="005C10E2" w:rsidP="007732C7">
          <w:pPr>
            <w:ind w:left="-105"/>
            <w:rPr>
              <w:sz w:val="18"/>
              <w:szCs w:val="18"/>
            </w:rPr>
          </w:pPr>
          <w:r w:rsidRPr="007F26F0">
            <w:rPr>
              <w:sz w:val="18"/>
              <w:szCs w:val="18"/>
            </w:rPr>
            <w:t>Consultation: Proposed amendments to the Poisons Standard – ACMS #45, ACCS #39 and Joint ACMS-ACCS #3</w:t>
          </w:r>
          <w:r w:rsidR="001D12C9">
            <w:rPr>
              <w:sz w:val="18"/>
              <w:szCs w:val="18"/>
            </w:rPr>
            <w:t>7</w:t>
          </w:r>
          <w:r w:rsidRPr="007F26F0">
            <w:rPr>
              <w:sz w:val="18"/>
              <w:szCs w:val="18"/>
            </w:rPr>
            <w:t xml:space="preserve"> meetings, June 2024</w:t>
          </w:r>
          <w:r w:rsidR="00F02AEC" w:rsidRPr="007F26F0">
            <w:rPr>
              <w:sz w:val="18"/>
              <w:szCs w:val="18"/>
            </w:rPr>
            <w:t xml:space="preserve"> </w:t>
          </w:r>
          <w:r w:rsidR="00F02AEC" w:rsidRPr="007F26F0">
            <w:rPr>
              <w:sz w:val="18"/>
              <w:szCs w:val="18"/>
            </w:rPr>
            <w:br/>
          </w:r>
        </w:p>
      </w:tc>
      <w:tc>
        <w:tcPr>
          <w:tcW w:w="1734" w:type="dxa"/>
          <w:tcBorders>
            <w:top w:val="single" w:sz="4" w:space="0" w:color="auto"/>
          </w:tcBorders>
        </w:tcPr>
        <w:sdt>
          <w:sdtPr>
            <w:rPr>
              <w:sz w:val="18"/>
              <w:szCs w:val="18"/>
            </w:rPr>
            <w:id w:val="11571659"/>
            <w:docPartObj>
              <w:docPartGallery w:val="Page Numbers (Top of Page)"/>
              <w:docPartUnique/>
            </w:docPartObj>
          </w:sdtPr>
          <w:sdtContent>
            <w:p w14:paraId="06894226" w14:textId="77777777" w:rsidR="00F02AEC" w:rsidRPr="007F26F0" w:rsidRDefault="00F02AEC" w:rsidP="007732C7">
              <w:pPr>
                <w:ind w:right="-102"/>
                <w:jc w:val="right"/>
                <w:rPr>
                  <w:sz w:val="18"/>
                  <w:szCs w:val="18"/>
                </w:rPr>
              </w:pPr>
              <w:r w:rsidRPr="007F26F0">
                <w:rPr>
                  <w:sz w:val="18"/>
                  <w:szCs w:val="18"/>
                </w:rPr>
                <w:t xml:space="preserve">Page </w:t>
              </w:r>
              <w:r w:rsidRPr="007F26F0">
                <w:rPr>
                  <w:sz w:val="18"/>
                  <w:szCs w:val="18"/>
                </w:rPr>
                <w:fldChar w:fldCharType="begin"/>
              </w:r>
              <w:r w:rsidRPr="007F26F0">
                <w:rPr>
                  <w:sz w:val="18"/>
                  <w:szCs w:val="18"/>
                </w:rPr>
                <w:instrText xml:space="preserve"> PAGE </w:instrText>
              </w:r>
              <w:r w:rsidRPr="007F26F0">
                <w:rPr>
                  <w:sz w:val="18"/>
                  <w:szCs w:val="18"/>
                </w:rPr>
                <w:fldChar w:fldCharType="separate"/>
              </w:r>
              <w:r w:rsidRPr="007F26F0">
                <w:rPr>
                  <w:noProof/>
                  <w:sz w:val="18"/>
                  <w:szCs w:val="18"/>
                </w:rPr>
                <w:t>6</w:t>
              </w:r>
              <w:r w:rsidRPr="007F26F0">
                <w:rPr>
                  <w:noProof/>
                  <w:sz w:val="18"/>
                  <w:szCs w:val="18"/>
                </w:rPr>
                <w:fldChar w:fldCharType="end"/>
              </w:r>
              <w:r w:rsidRPr="007F26F0">
                <w:rPr>
                  <w:sz w:val="18"/>
                  <w:szCs w:val="18"/>
                </w:rPr>
                <w:t xml:space="preserve"> of </w:t>
              </w:r>
              <w:r w:rsidR="00A8397C" w:rsidRPr="007F26F0">
                <w:rPr>
                  <w:sz w:val="18"/>
                  <w:szCs w:val="18"/>
                </w:rPr>
                <w:fldChar w:fldCharType="begin"/>
              </w:r>
              <w:r w:rsidR="00A8397C" w:rsidRPr="007F26F0">
                <w:rPr>
                  <w:sz w:val="18"/>
                  <w:szCs w:val="18"/>
                </w:rPr>
                <w:instrText xml:space="preserve"> NUMPAGES  </w:instrText>
              </w:r>
              <w:r w:rsidR="00A8397C" w:rsidRPr="007F26F0">
                <w:rPr>
                  <w:sz w:val="18"/>
                  <w:szCs w:val="18"/>
                </w:rPr>
                <w:fldChar w:fldCharType="separate"/>
              </w:r>
              <w:r w:rsidRPr="007F26F0">
                <w:rPr>
                  <w:noProof/>
                  <w:sz w:val="18"/>
                  <w:szCs w:val="18"/>
                </w:rPr>
                <w:t>7</w:t>
              </w:r>
              <w:r w:rsidR="00A8397C" w:rsidRPr="007F26F0">
                <w:rPr>
                  <w:noProof/>
                  <w:sz w:val="18"/>
                  <w:szCs w:val="18"/>
                </w:rPr>
                <w:fldChar w:fldCharType="end"/>
              </w:r>
            </w:p>
          </w:sdtContent>
        </w:sdt>
      </w:tc>
    </w:tr>
  </w:tbl>
  <w:p w14:paraId="634B676B" w14:textId="77777777" w:rsidR="00F02AEC" w:rsidRPr="00B90A0A" w:rsidRDefault="00F02AEC" w:rsidP="00446F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58BA" w14:textId="77777777" w:rsidR="00145389" w:rsidRPr="008E3C43" w:rsidRDefault="00145389" w:rsidP="00446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FBDD3" w14:textId="77777777" w:rsidR="00D73F56" w:rsidRDefault="00D73F56" w:rsidP="00446F1A">
      <w:r>
        <w:separator/>
      </w:r>
    </w:p>
  </w:footnote>
  <w:footnote w:type="continuationSeparator" w:id="0">
    <w:p w14:paraId="594E247D" w14:textId="77777777" w:rsidR="00D73F56" w:rsidRDefault="00D73F56" w:rsidP="00446F1A">
      <w:r>
        <w:continuationSeparator/>
      </w:r>
    </w:p>
  </w:footnote>
  <w:footnote w:id="1">
    <w:p w14:paraId="5B4763CC" w14:textId="77777777" w:rsidR="00685E72" w:rsidRPr="009262CC" w:rsidRDefault="00685E72" w:rsidP="00446F1A">
      <w:pPr>
        <w:rPr>
          <w:sz w:val="16"/>
          <w:szCs w:val="16"/>
        </w:rPr>
      </w:pPr>
      <w:r w:rsidRPr="009262CC">
        <w:rPr>
          <w:rStyle w:val="FootnoteReference"/>
          <w:sz w:val="16"/>
          <w:szCs w:val="16"/>
        </w:rPr>
        <w:footnoteRef/>
      </w:r>
      <w:r w:rsidRPr="009262CC">
        <w:rPr>
          <w:sz w:val="16"/>
          <w:szCs w:val="16"/>
        </w:rPr>
        <w:t xml:space="preserve"> Proposed additions are shown in green underlined font, proposed deletions are shown in red strikethrough font, and text without this formatting represents the current text in the Poisons Standard.</w:t>
      </w:r>
    </w:p>
  </w:footnote>
  <w:footnote w:id="2">
    <w:p w14:paraId="18CAAA00" w14:textId="77777777" w:rsidR="00D6337C" w:rsidRPr="00454EE3" w:rsidRDefault="00D6337C" w:rsidP="00446F1A">
      <w:pPr>
        <w:rPr>
          <w:sz w:val="16"/>
          <w:szCs w:val="16"/>
        </w:rPr>
      </w:pPr>
      <w:r w:rsidRPr="008007EB">
        <w:rPr>
          <w:rStyle w:val="FootnoteReference"/>
          <w:rFonts w:asciiTheme="majorHAnsi" w:hAnsiTheme="majorHAnsi" w:cstheme="majorHAnsi"/>
          <w:sz w:val="17"/>
          <w:szCs w:val="17"/>
        </w:rPr>
        <w:footnoteRef/>
      </w:r>
      <w:r w:rsidRPr="008007EB">
        <w:t xml:space="preserve"> </w:t>
      </w:r>
      <w:r w:rsidRPr="00454EE3">
        <w:rPr>
          <w:sz w:val="16"/>
          <w:szCs w:val="16"/>
        </w:rPr>
        <w:t>Proposed additions are shown in green underlined font, proposed deletions are shown in red strikethrough font, and text without this formatting represents the current text in the Poisons Standard.</w:t>
      </w:r>
    </w:p>
  </w:footnote>
  <w:footnote w:id="3">
    <w:p w14:paraId="6FF2FE97" w14:textId="30EE33DE" w:rsidR="004E7432" w:rsidRDefault="004E7432">
      <w:pPr>
        <w:pStyle w:val="FootnoteText"/>
      </w:pPr>
      <w:r>
        <w:rPr>
          <w:rStyle w:val="FootnoteReference"/>
        </w:rPr>
        <w:footnoteRef/>
      </w:r>
      <w:r>
        <w:t xml:space="preserve"> </w:t>
      </w:r>
      <w:r w:rsidRPr="004E7432">
        <w:rPr>
          <w:sz w:val="16"/>
          <w:szCs w:val="16"/>
        </w:rPr>
        <w:t>Proposed additions are shown in green underlined font, proposed deletions are shown in red strikethrough font, and text without this formatting represents the current text in the Poisons Standard.</w:t>
      </w:r>
    </w:p>
  </w:footnote>
  <w:footnote w:id="4">
    <w:p w14:paraId="2806C38E" w14:textId="77777777" w:rsidR="008F6897" w:rsidRPr="008007EB" w:rsidRDefault="008F6897" w:rsidP="00446F1A">
      <w:r w:rsidRPr="008007EB">
        <w:rPr>
          <w:rStyle w:val="FootnoteReference"/>
          <w:rFonts w:asciiTheme="majorHAnsi" w:hAnsiTheme="majorHAnsi" w:cstheme="majorHAnsi"/>
          <w:sz w:val="17"/>
          <w:szCs w:val="17"/>
        </w:rPr>
        <w:footnoteRef/>
      </w:r>
      <w:r w:rsidRPr="008007EB">
        <w:t xml:space="preserve"> </w:t>
      </w:r>
      <w:r w:rsidRPr="004E7432">
        <w:rPr>
          <w:sz w:val="16"/>
          <w:szCs w:val="16"/>
        </w:rPr>
        <w:t>Proposed additions are shown in green underlined font, proposed deletions are shown in red strikethrough font, and text without this formatting represents the current text in the Poisons Standard.</w:t>
      </w:r>
    </w:p>
  </w:footnote>
  <w:footnote w:id="5">
    <w:p w14:paraId="4BC7F30E" w14:textId="77777777" w:rsidR="003F03BA" w:rsidRPr="0081004E" w:rsidRDefault="003F03BA" w:rsidP="003F03BA">
      <w:pPr>
        <w:rPr>
          <w:sz w:val="16"/>
          <w:szCs w:val="16"/>
        </w:rPr>
      </w:pPr>
      <w:r w:rsidRPr="0081004E">
        <w:rPr>
          <w:rStyle w:val="FootnoteReference"/>
          <w:sz w:val="16"/>
          <w:szCs w:val="16"/>
        </w:rPr>
        <w:footnoteRef/>
      </w:r>
      <w:r w:rsidRPr="0081004E">
        <w:rPr>
          <w:sz w:val="16"/>
          <w:szCs w:val="16"/>
        </w:rPr>
        <w:t xml:space="preserve"> Proposed additions are shown in green underlined font, proposed deletions are shown in red strikethrough font, and text without this formatting represents the current text in the Poisons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35940C1E" w14:textId="77777777" w:rsidTr="00F71E1E">
      <w:trPr>
        <w:trHeight w:hRule="exact" w:val="8845"/>
      </w:trPr>
      <w:tc>
        <w:tcPr>
          <w:tcW w:w="11964" w:type="dxa"/>
          <w:vAlign w:val="center"/>
        </w:tcPr>
        <w:p w14:paraId="0799E287" w14:textId="10E55BE8" w:rsidR="00F02AEC" w:rsidRPr="002B29B2" w:rsidRDefault="00F02AEC" w:rsidP="00446F1A">
          <w:pPr>
            <w:rPr>
              <w:noProof/>
            </w:rPr>
          </w:pPr>
        </w:p>
      </w:tc>
    </w:tr>
  </w:tbl>
  <w:p w14:paraId="0BA1A1C9" w14:textId="77777777" w:rsidR="00F02AEC" w:rsidRDefault="00CB0550" w:rsidP="00446F1A">
    <w:pPr>
      <w:rPr>
        <w:noProof/>
      </w:rPr>
    </w:pPr>
    <w:r>
      <w:rPr>
        <w:noProof/>
        <w:lang w:eastAsia="en-AU"/>
      </w:rPr>
      <w:drawing>
        <wp:anchor distT="0" distB="0" distL="114300" distR="114300" simplePos="0" relativeHeight="251661312" behindDoc="0" locked="0" layoutInCell="1" allowOverlap="1" wp14:anchorId="30FCA57B" wp14:editId="67652F2E">
          <wp:simplePos x="0" y="0"/>
          <wp:positionH relativeFrom="column">
            <wp:posOffset>-400050</wp:posOffset>
          </wp:positionH>
          <wp:positionV relativeFrom="paragraph">
            <wp:posOffset>-116205</wp:posOffset>
          </wp:positionV>
          <wp:extent cx="2676525" cy="621665"/>
          <wp:effectExtent l="0" t="0" r="9525" b="698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2FCFED33" wp14:editId="56CB902C">
          <wp:simplePos x="0" y="0"/>
          <wp:positionH relativeFrom="page">
            <wp:align>left</wp:align>
          </wp:positionH>
          <wp:positionV relativeFrom="page">
            <wp:posOffset>3239495</wp:posOffset>
          </wp:positionV>
          <wp:extent cx="7663815" cy="4323091"/>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0FA4" w14:textId="77777777" w:rsidR="00F02AEC" w:rsidRPr="00D37F62" w:rsidRDefault="00F02AEC" w:rsidP="00446F1A">
    <w:pPr>
      <w:pStyle w:val="Header"/>
    </w:pPr>
    <w:bookmarkStart w:id="89" w:name="_Hlk139891503"/>
    <w:bookmarkStart w:id="90" w:name="_Hlk139891504"/>
    <w:bookmarkStart w:id="91" w:name="_Hlk139891507"/>
    <w:bookmarkStart w:id="92" w:name="_Hlk139891508"/>
    <w:bookmarkStart w:id="93" w:name="_Hlk139891512"/>
    <w:bookmarkStart w:id="94" w:name="_Hlk139891513"/>
    <w:bookmarkStart w:id="95" w:name="_Hlk139891537"/>
    <w:bookmarkStart w:id="96" w:name="_Hlk139891538"/>
    <w:r w:rsidRPr="00D37F62">
      <w:t>Therapeutic Goods Administration</w:t>
    </w:r>
    <w:bookmarkEnd w:id="89"/>
    <w:bookmarkEnd w:id="90"/>
    <w:bookmarkEnd w:id="91"/>
    <w:bookmarkEnd w:id="92"/>
    <w:bookmarkEnd w:id="93"/>
    <w:bookmarkEnd w:id="94"/>
    <w:bookmarkEnd w:id="95"/>
    <w:bookmarkEnd w:id="9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0CB5" w14:textId="77777777" w:rsidR="00145389" w:rsidRPr="00FE501F" w:rsidRDefault="00145389" w:rsidP="00446F1A">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012F"/>
    <w:multiLevelType w:val="multilevel"/>
    <w:tmpl w:val="AAAE5BB4"/>
    <w:lvl w:ilvl="0">
      <w:start w:val="1"/>
      <w:numFmt w:val="lowerLetter"/>
      <w:lvlText w:val="(%1)"/>
      <w:lvlJc w:val="left"/>
      <w:pPr>
        <w:ind w:left="1440" w:hanging="360"/>
      </w:pPr>
      <w:rPr>
        <w:rFonts w:hint="default"/>
      </w:rPr>
    </w:lvl>
    <w:lvl w:ilvl="1">
      <w:start w:val="1"/>
      <w:numFmt w:val="bullet"/>
      <w:lvlText w:val=""/>
      <w:lvlJc w:val="left"/>
      <w:pPr>
        <w:ind w:left="1800" w:hanging="360"/>
      </w:pPr>
      <w:rPr>
        <w:rFonts w:ascii="Symbol" w:hAnsi="Symbol" w:hint="default"/>
      </w:r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168F13E9"/>
    <w:multiLevelType w:val="multilevel"/>
    <w:tmpl w:val="FA289542"/>
    <w:styleLink w:val="ListBullets"/>
    <w:lvl w:ilvl="0">
      <w:start w:val="4"/>
      <w:numFmt w:val="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1ABD74D0"/>
    <w:multiLevelType w:val="hybridMultilevel"/>
    <w:tmpl w:val="64BE2784"/>
    <w:lvl w:ilvl="0" w:tplc="4BD20BAA">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22210AA7"/>
    <w:multiLevelType w:val="hybridMultilevel"/>
    <w:tmpl w:val="1A1E459E"/>
    <w:lvl w:ilvl="0" w:tplc="FFFFFFFF">
      <w:start w:val="1"/>
      <w:numFmt w:val="bullet"/>
      <w:lvlText w:val=""/>
      <w:lvlJc w:val="left"/>
      <w:pPr>
        <w:ind w:left="720" w:hanging="360"/>
      </w:pPr>
      <w:rPr>
        <w:rFonts w:ascii="Symbol" w:hAnsi="Symbol" w:hint="default"/>
      </w:rPr>
    </w:lvl>
    <w:lvl w:ilvl="1" w:tplc="A04AD474">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F37A0B"/>
    <w:multiLevelType w:val="hybridMultilevel"/>
    <w:tmpl w:val="AADAD6A6"/>
    <w:lvl w:ilvl="0" w:tplc="5844819E">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2E924211"/>
    <w:multiLevelType w:val="hybridMultilevel"/>
    <w:tmpl w:val="34C493BE"/>
    <w:lvl w:ilvl="0" w:tplc="5E685644">
      <w:start w:val="1"/>
      <w:numFmt w:val="lowerLetter"/>
      <w:pStyle w:val="ListBulleta"/>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9" w15:restartNumberingAfterBreak="0">
    <w:nsid w:val="39A64FAA"/>
    <w:multiLevelType w:val="hybridMultilevel"/>
    <w:tmpl w:val="FFDAEFE4"/>
    <w:lvl w:ilvl="0" w:tplc="5844819E">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15:restartNumberingAfterBreak="0">
    <w:nsid w:val="46B00118"/>
    <w:multiLevelType w:val="hybridMultilevel"/>
    <w:tmpl w:val="15A80F6C"/>
    <w:lvl w:ilvl="0" w:tplc="F9802A6C">
      <w:start w:val="1"/>
      <w:numFmt w:val="bullet"/>
      <w:pStyle w:val="List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1"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2"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A2B0544"/>
    <w:multiLevelType w:val="multilevel"/>
    <w:tmpl w:val="753A9048"/>
    <w:lvl w:ilvl="0">
      <w:start w:val="4"/>
      <w:numFmt w:val="bullet"/>
      <w:lvlText w:val="•"/>
      <w:lvlJc w:val="left"/>
      <w:pPr>
        <w:ind w:left="360" w:hanging="360"/>
      </w:pPr>
      <w:rPr>
        <w:rFonts w:ascii="Cambria" w:eastAsia="Cambria" w:hAnsi="Cambria"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849754639">
    <w:abstractNumId w:val="3"/>
    <w:lvlOverride w:ilvl="0">
      <w:lvl w:ilvl="0">
        <w:start w:val="4"/>
        <w:numFmt w:val="bullet"/>
        <w:lvlText w:val="•"/>
        <w:lvlJc w:val="left"/>
        <w:pPr>
          <w:ind w:left="360" w:hanging="360"/>
        </w:pPr>
        <w:rPr>
          <w:rFonts w:ascii="Cambria" w:eastAsia="Cambria" w:hAnsi="Cambria" w:hint="default"/>
          <w:color w:val="auto"/>
        </w:rPr>
      </w:lvl>
    </w:lvlOverride>
  </w:num>
  <w:num w:numId="2" w16cid:durableId="66651442">
    <w:abstractNumId w:val="1"/>
  </w:num>
  <w:num w:numId="3" w16cid:durableId="1839534886">
    <w:abstractNumId w:val="2"/>
  </w:num>
  <w:num w:numId="4" w16cid:durableId="309864621">
    <w:abstractNumId w:val="12"/>
  </w:num>
  <w:num w:numId="5" w16cid:durableId="725645225">
    <w:abstractNumId w:val="7"/>
  </w:num>
  <w:num w:numId="6" w16cid:durableId="1075005245">
    <w:abstractNumId w:val="11"/>
  </w:num>
  <w:num w:numId="7" w16cid:durableId="429472673">
    <w:abstractNumId w:val="8"/>
  </w:num>
  <w:num w:numId="8" w16cid:durableId="1326128148">
    <w:abstractNumId w:val="4"/>
  </w:num>
  <w:num w:numId="9" w16cid:durableId="332490756">
    <w:abstractNumId w:val="3"/>
  </w:num>
  <w:num w:numId="10" w16cid:durableId="877858282">
    <w:abstractNumId w:val="9"/>
  </w:num>
  <w:num w:numId="11" w16cid:durableId="536353258">
    <w:abstractNumId w:val="0"/>
  </w:num>
  <w:num w:numId="12" w16cid:durableId="2115519226">
    <w:abstractNumId w:val="6"/>
  </w:num>
  <w:num w:numId="13" w16cid:durableId="1117720928">
    <w:abstractNumId w:val="10"/>
  </w:num>
  <w:num w:numId="14" w16cid:durableId="538585662">
    <w:abstractNumId w:val="13"/>
  </w:num>
  <w:num w:numId="15" w16cid:durableId="167996649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E72"/>
    <w:rsid w:val="00000E5C"/>
    <w:rsid w:val="000011FD"/>
    <w:rsid w:val="00014A5A"/>
    <w:rsid w:val="00042DE2"/>
    <w:rsid w:val="000455C8"/>
    <w:rsid w:val="00053F41"/>
    <w:rsid w:val="00055A31"/>
    <w:rsid w:val="00061669"/>
    <w:rsid w:val="00072422"/>
    <w:rsid w:val="00073A83"/>
    <w:rsid w:val="00077497"/>
    <w:rsid w:val="000918B3"/>
    <w:rsid w:val="00093234"/>
    <w:rsid w:val="00094B81"/>
    <w:rsid w:val="000B2AFB"/>
    <w:rsid w:val="000B3F0F"/>
    <w:rsid w:val="000C0961"/>
    <w:rsid w:val="000C3FE0"/>
    <w:rsid w:val="000C4CED"/>
    <w:rsid w:val="000C5699"/>
    <w:rsid w:val="000C6905"/>
    <w:rsid w:val="000D502C"/>
    <w:rsid w:val="000D6A25"/>
    <w:rsid w:val="000D7429"/>
    <w:rsid w:val="000F353C"/>
    <w:rsid w:val="000F6DD0"/>
    <w:rsid w:val="00102BE7"/>
    <w:rsid w:val="0012383E"/>
    <w:rsid w:val="0012473C"/>
    <w:rsid w:val="00125A3A"/>
    <w:rsid w:val="00127CC5"/>
    <w:rsid w:val="001429A0"/>
    <w:rsid w:val="00145389"/>
    <w:rsid w:val="001535E5"/>
    <w:rsid w:val="0017355B"/>
    <w:rsid w:val="00173DC6"/>
    <w:rsid w:val="00175CD8"/>
    <w:rsid w:val="00192F5A"/>
    <w:rsid w:val="001A27B1"/>
    <w:rsid w:val="001B34A2"/>
    <w:rsid w:val="001B6547"/>
    <w:rsid w:val="001D12C9"/>
    <w:rsid w:val="001D2246"/>
    <w:rsid w:val="001E0655"/>
    <w:rsid w:val="001E1BD6"/>
    <w:rsid w:val="001E5C85"/>
    <w:rsid w:val="001F4D7D"/>
    <w:rsid w:val="002025A9"/>
    <w:rsid w:val="00205E18"/>
    <w:rsid w:val="00231D99"/>
    <w:rsid w:val="002327B4"/>
    <w:rsid w:val="00233CEC"/>
    <w:rsid w:val="00236528"/>
    <w:rsid w:val="002472C1"/>
    <w:rsid w:val="00253CAA"/>
    <w:rsid w:val="00272B96"/>
    <w:rsid w:val="0029243E"/>
    <w:rsid w:val="002A4C26"/>
    <w:rsid w:val="002B1879"/>
    <w:rsid w:val="002D0118"/>
    <w:rsid w:val="002D13EE"/>
    <w:rsid w:val="002D372A"/>
    <w:rsid w:val="002D55E0"/>
    <w:rsid w:val="002E07A6"/>
    <w:rsid w:val="002E4E63"/>
    <w:rsid w:val="002E56EB"/>
    <w:rsid w:val="002E64CF"/>
    <w:rsid w:val="002F53B2"/>
    <w:rsid w:val="002F5E40"/>
    <w:rsid w:val="002F758F"/>
    <w:rsid w:val="003008D8"/>
    <w:rsid w:val="00313F68"/>
    <w:rsid w:val="00323892"/>
    <w:rsid w:val="00335D73"/>
    <w:rsid w:val="003362FA"/>
    <w:rsid w:val="0035444D"/>
    <w:rsid w:val="00372E6C"/>
    <w:rsid w:val="00374AC6"/>
    <w:rsid w:val="00376036"/>
    <w:rsid w:val="00395FC1"/>
    <w:rsid w:val="003C4808"/>
    <w:rsid w:val="003C6F67"/>
    <w:rsid w:val="003E4A95"/>
    <w:rsid w:val="003F03BA"/>
    <w:rsid w:val="004059AF"/>
    <w:rsid w:val="00407586"/>
    <w:rsid w:val="004169A7"/>
    <w:rsid w:val="004246B8"/>
    <w:rsid w:val="00431E9A"/>
    <w:rsid w:val="00441AC5"/>
    <w:rsid w:val="00442D21"/>
    <w:rsid w:val="00443677"/>
    <w:rsid w:val="00446F1A"/>
    <w:rsid w:val="00453DFB"/>
    <w:rsid w:val="00454EE3"/>
    <w:rsid w:val="00455AAB"/>
    <w:rsid w:val="00467FF9"/>
    <w:rsid w:val="0047200B"/>
    <w:rsid w:val="00472D85"/>
    <w:rsid w:val="00497432"/>
    <w:rsid w:val="00497FC8"/>
    <w:rsid w:val="004A18B6"/>
    <w:rsid w:val="004B070E"/>
    <w:rsid w:val="004C1BCC"/>
    <w:rsid w:val="004C34C8"/>
    <w:rsid w:val="004C49AA"/>
    <w:rsid w:val="004E7432"/>
    <w:rsid w:val="004F665F"/>
    <w:rsid w:val="004F6C39"/>
    <w:rsid w:val="00502E0D"/>
    <w:rsid w:val="00503371"/>
    <w:rsid w:val="005078BC"/>
    <w:rsid w:val="00517093"/>
    <w:rsid w:val="00520858"/>
    <w:rsid w:val="00520CD5"/>
    <w:rsid w:val="00521924"/>
    <w:rsid w:val="005319DD"/>
    <w:rsid w:val="00541C60"/>
    <w:rsid w:val="00542EF9"/>
    <w:rsid w:val="00544196"/>
    <w:rsid w:val="0054626E"/>
    <w:rsid w:val="00551216"/>
    <w:rsid w:val="00552344"/>
    <w:rsid w:val="0055748F"/>
    <w:rsid w:val="00563B13"/>
    <w:rsid w:val="00571349"/>
    <w:rsid w:val="00576A61"/>
    <w:rsid w:val="0058575E"/>
    <w:rsid w:val="0059175F"/>
    <w:rsid w:val="005924EC"/>
    <w:rsid w:val="005949E1"/>
    <w:rsid w:val="005976E1"/>
    <w:rsid w:val="005C10E2"/>
    <w:rsid w:val="005D1514"/>
    <w:rsid w:val="005D44FF"/>
    <w:rsid w:val="005D4709"/>
    <w:rsid w:val="005D4D22"/>
    <w:rsid w:val="005E322F"/>
    <w:rsid w:val="005E352E"/>
    <w:rsid w:val="006005E8"/>
    <w:rsid w:val="006111E7"/>
    <w:rsid w:val="00611895"/>
    <w:rsid w:val="00611C19"/>
    <w:rsid w:val="00613D73"/>
    <w:rsid w:val="006232CA"/>
    <w:rsid w:val="006351F2"/>
    <w:rsid w:val="00636F08"/>
    <w:rsid w:val="00647ACB"/>
    <w:rsid w:val="00657E0D"/>
    <w:rsid w:val="00675640"/>
    <w:rsid w:val="00677982"/>
    <w:rsid w:val="00682A9F"/>
    <w:rsid w:val="0068390F"/>
    <w:rsid w:val="00685E72"/>
    <w:rsid w:val="00686098"/>
    <w:rsid w:val="00691E54"/>
    <w:rsid w:val="006A0EA7"/>
    <w:rsid w:val="006A17C0"/>
    <w:rsid w:val="006A1F0B"/>
    <w:rsid w:val="006A51CB"/>
    <w:rsid w:val="006B4322"/>
    <w:rsid w:val="006C4EA7"/>
    <w:rsid w:val="006D00F5"/>
    <w:rsid w:val="006D0995"/>
    <w:rsid w:val="006D10A5"/>
    <w:rsid w:val="006E4F91"/>
    <w:rsid w:val="006E5392"/>
    <w:rsid w:val="006E69C8"/>
    <w:rsid w:val="0070058E"/>
    <w:rsid w:val="0070125A"/>
    <w:rsid w:val="00717500"/>
    <w:rsid w:val="00721466"/>
    <w:rsid w:val="00721C4B"/>
    <w:rsid w:val="00723880"/>
    <w:rsid w:val="00724F4A"/>
    <w:rsid w:val="007316E7"/>
    <w:rsid w:val="0073421D"/>
    <w:rsid w:val="00746747"/>
    <w:rsid w:val="00746990"/>
    <w:rsid w:val="007503FD"/>
    <w:rsid w:val="0075137F"/>
    <w:rsid w:val="00753A70"/>
    <w:rsid w:val="00770688"/>
    <w:rsid w:val="007732C7"/>
    <w:rsid w:val="007743C7"/>
    <w:rsid w:val="00790A25"/>
    <w:rsid w:val="007A0544"/>
    <w:rsid w:val="007B2779"/>
    <w:rsid w:val="007E7AF4"/>
    <w:rsid w:val="007F0A77"/>
    <w:rsid w:val="007F20EF"/>
    <w:rsid w:val="007F26F0"/>
    <w:rsid w:val="008007EB"/>
    <w:rsid w:val="008028CF"/>
    <w:rsid w:val="0081004E"/>
    <w:rsid w:val="008104F3"/>
    <w:rsid w:val="00811761"/>
    <w:rsid w:val="0082224D"/>
    <w:rsid w:val="008329DB"/>
    <w:rsid w:val="00834155"/>
    <w:rsid w:val="008349E8"/>
    <w:rsid w:val="00840FB6"/>
    <w:rsid w:val="008424DB"/>
    <w:rsid w:val="00845F3C"/>
    <w:rsid w:val="008473F3"/>
    <w:rsid w:val="00855474"/>
    <w:rsid w:val="00866EEE"/>
    <w:rsid w:val="00874F2D"/>
    <w:rsid w:val="00877AC1"/>
    <w:rsid w:val="0088292E"/>
    <w:rsid w:val="00883C42"/>
    <w:rsid w:val="00890957"/>
    <w:rsid w:val="008A113F"/>
    <w:rsid w:val="008A2131"/>
    <w:rsid w:val="008A2504"/>
    <w:rsid w:val="008B1EC8"/>
    <w:rsid w:val="008B2322"/>
    <w:rsid w:val="008B355F"/>
    <w:rsid w:val="008C0F1F"/>
    <w:rsid w:val="008C1386"/>
    <w:rsid w:val="008C55F5"/>
    <w:rsid w:val="008C6B4E"/>
    <w:rsid w:val="008C6BC1"/>
    <w:rsid w:val="008D7485"/>
    <w:rsid w:val="008E2AD6"/>
    <w:rsid w:val="008F6897"/>
    <w:rsid w:val="00902F8F"/>
    <w:rsid w:val="00906AA1"/>
    <w:rsid w:val="00913B49"/>
    <w:rsid w:val="00922B21"/>
    <w:rsid w:val="009262CC"/>
    <w:rsid w:val="00930D58"/>
    <w:rsid w:val="00932717"/>
    <w:rsid w:val="00935D5F"/>
    <w:rsid w:val="009376FF"/>
    <w:rsid w:val="00943417"/>
    <w:rsid w:val="00943F93"/>
    <w:rsid w:val="00945538"/>
    <w:rsid w:val="00954D9F"/>
    <w:rsid w:val="0096038F"/>
    <w:rsid w:val="00966E05"/>
    <w:rsid w:val="00972260"/>
    <w:rsid w:val="00974BE6"/>
    <w:rsid w:val="00980F0C"/>
    <w:rsid w:val="00984850"/>
    <w:rsid w:val="00985BC2"/>
    <w:rsid w:val="00986C09"/>
    <w:rsid w:val="00987AE1"/>
    <w:rsid w:val="009B4D2A"/>
    <w:rsid w:val="009B7810"/>
    <w:rsid w:val="009C266A"/>
    <w:rsid w:val="009C3015"/>
    <w:rsid w:val="009D2E03"/>
    <w:rsid w:val="009D561A"/>
    <w:rsid w:val="009E20F1"/>
    <w:rsid w:val="009F791F"/>
    <w:rsid w:val="00A03BE7"/>
    <w:rsid w:val="00A076E1"/>
    <w:rsid w:val="00A10CCA"/>
    <w:rsid w:val="00A129D8"/>
    <w:rsid w:val="00A44C82"/>
    <w:rsid w:val="00A460C0"/>
    <w:rsid w:val="00A53E3B"/>
    <w:rsid w:val="00A57D93"/>
    <w:rsid w:val="00A60586"/>
    <w:rsid w:val="00A610A3"/>
    <w:rsid w:val="00A74B3D"/>
    <w:rsid w:val="00A8397C"/>
    <w:rsid w:val="00A90143"/>
    <w:rsid w:val="00A91F33"/>
    <w:rsid w:val="00A93E72"/>
    <w:rsid w:val="00AA3471"/>
    <w:rsid w:val="00AB7CBF"/>
    <w:rsid w:val="00AC0260"/>
    <w:rsid w:val="00AC0CAE"/>
    <w:rsid w:val="00AC6763"/>
    <w:rsid w:val="00AD5498"/>
    <w:rsid w:val="00AE5DA5"/>
    <w:rsid w:val="00AE7DF9"/>
    <w:rsid w:val="00B020D6"/>
    <w:rsid w:val="00B12EAA"/>
    <w:rsid w:val="00B12EE8"/>
    <w:rsid w:val="00B16AAC"/>
    <w:rsid w:val="00B27CCA"/>
    <w:rsid w:val="00B44979"/>
    <w:rsid w:val="00B46BC0"/>
    <w:rsid w:val="00B553B7"/>
    <w:rsid w:val="00B60301"/>
    <w:rsid w:val="00B907C6"/>
    <w:rsid w:val="00B90A0A"/>
    <w:rsid w:val="00BA1A22"/>
    <w:rsid w:val="00BA286C"/>
    <w:rsid w:val="00BA5A49"/>
    <w:rsid w:val="00BC1BA6"/>
    <w:rsid w:val="00BC5D30"/>
    <w:rsid w:val="00BF201F"/>
    <w:rsid w:val="00BF22C2"/>
    <w:rsid w:val="00BF4EA2"/>
    <w:rsid w:val="00BF75F2"/>
    <w:rsid w:val="00C038AD"/>
    <w:rsid w:val="00C0546E"/>
    <w:rsid w:val="00C12D82"/>
    <w:rsid w:val="00C3203E"/>
    <w:rsid w:val="00C349B9"/>
    <w:rsid w:val="00C44A3E"/>
    <w:rsid w:val="00C5715D"/>
    <w:rsid w:val="00C60259"/>
    <w:rsid w:val="00C67043"/>
    <w:rsid w:val="00C7771D"/>
    <w:rsid w:val="00C877C8"/>
    <w:rsid w:val="00C90D06"/>
    <w:rsid w:val="00C925D5"/>
    <w:rsid w:val="00C960DD"/>
    <w:rsid w:val="00CB0550"/>
    <w:rsid w:val="00CC77C3"/>
    <w:rsid w:val="00CD26E4"/>
    <w:rsid w:val="00CD415A"/>
    <w:rsid w:val="00CE0B2B"/>
    <w:rsid w:val="00CE7F61"/>
    <w:rsid w:val="00CF4BE8"/>
    <w:rsid w:val="00CF5E7B"/>
    <w:rsid w:val="00D0081C"/>
    <w:rsid w:val="00D0743D"/>
    <w:rsid w:val="00D078BE"/>
    <w:rsid w:val="00D10FD9"/>
    <w:rsid w:val="00D13404"/>
    <w:rsid w:val="00D13F8A"/>
    <w:rsid w:val="00D149A2"/>
    <w:rsid w:val="00D17166"/>
    <w:rsid w:val="00D26D5B"/>
    <w:rsid w:val="00D37F62"/>
    <w:rsid w:val="00D40BBF"/>
    <w:rsid w:val="00D40FA5"/>
    <w:rsid w:val="00D4218F"/>
    <w:rsid w:val="00D479FA"/>
    <w:rsid w:val="00D5043C"/>
    <w:rsid w:val="00D548A2"/>
    <w:rsid w:val="00D6337C"/>
    <w:rsid w:val="00D73F56"/>
    <w:rsid w:val="00D76A11"/>
    <w:rsid w:val="00D8037C"/>
    <w:rsid w:val="00D83395"/>
    <w:rsid w:val="00D918D5"/>
    <w:rsid w:val="00D93B91"/>
    <w:rsid w:val="00D94172"/>
    <w:rsid w:val="00D95F6F"/>
    <w:rsid w:val="00DA48FE"/>
    <w:rsid w:val="00DA522D"/>
    <w:rsid w:val="00DA6237"/>
    <w:rsid w:val="00DA6D06"/>
    <w:rsid w:val="00DA6D7E"/>
    <w:rsid w:val="00DB7380"/>
    <w:rsid w:val="00DB7639"/>
    <w:rsid w:val="00DC059F"/>
    <w:rsid w:val="00DC2FDB"/>
    <w:rsid w:val="00DD10B1"/>
    <w:rsid w:val="00DE590F"/>
    <w:rsid w:val="00DF4A00"/>
    <w:rsid w:val="00DF4DA8"/>
    <w:rsid w:val="00E136A3"/>
    <w:rsid w:val="00E37454"/>
    <w:rsid w:val="00E511DE"/>
    <w:rsid w:val="00E530B1"/>
    <w:rsid w:val="00E53446"/>
    <w:rsid w:val="00E53562"/>
    <w:rsid w:val="00E53C26"/>
    <w:rsid w:val="00E53D3F"/>
    <w:rsid w:val="00E56A34"/>
    <w:rsid w:val="00E624FC"/>
    <w:rsid w:val="00E728BE"/>
    <w:rsid w:val="00E730AB"/>
    <w:rsid w:val="00E8744D"/>
    <w:rsid w:val="00E90AE2"/>
    <w:rsid w:val="00EA3C0B"/>
    <w:rsid w:val="00EA6835"/>
    <w:rsid w:val="00ED4C36"/>
    <w:rsid w:val="00ED7494"/>
    <w:rsid w:val="00EE4CE2"/>
    <w:rsid w:val="00F02AEC"/>
    <w:rsid w:val="00F258A8"/>
    <w:rsid w:val="00F26E94"/>
    <w:rsid w:val="00F3455A"/>
    <w:rsid w:val="00F36CE7"/>
    <w:rsid w:val="00F420D7"/>
    <w:rsid w:val="00F47123"/>
    <w:rsid w:val="00F8505E"/>
    <w:rsid w:val="00F86B38"/>
    <w:rsid w:val="00F9041D"/>
    <w:rsid w:val="00FA403B"/>
    <w:rsid w:val="00FA45DB"/>
    <w:rsid w:val="00FA49C3"/>
    <w:rsid w:val="00FB2E5E"/>
    <w:rsid w:val="00FB5F47"/>
    <w:rsid w:val="00FC44D7"/>
    <w:rsid w:val="00FC4CEC"/>
    <w:rsid w:val="00FC538C"/>
    <w:rsid w:val="00FC61F4"/>
    <w:rsid w:val="00FC7CDD"/>
    <w:rsid w:val="00FD443A"/>
    <w:rsid w:val="00FE08B1"/>
    <w:rsid w:val="00FE635C"/>
    <w:rsid w:val="00FE6807"/>
    <w:rsid w:val="00FE6830"/>
    <w:rsid w:val="00FF1F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0F104"/>
  <w15:chartTrackingRefBased/>
  <w15:docId w15:val="{4905FCE5-1683-452F-9994-07B3E763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F1A"/>
    <w:rPr>
      <w:rFonts w:ascii="Arial" w:hAnsi="Arial" w:cs="Arial"/>
      <w:color w:val="000000" w:themeColor="text1"/>
    </w:rPr>
  </w:style>
  <w:style w:type="paragraph" w:styleId="Heading1">
    <w:name w:val="heading 1"/>
    <w:basedOn w:val="Normal"/>
    <w:next w:val="Normal"/>
    <w:link w:val="Heading1Char"/>
    <w:rsid w:val="00685E72"/>
    <w:pPr>
      <w:keepNext/>
      <w:keepLines/>
      <w:spacing w:before="360" w:after="240" w:line="240" w:lineRule="atLeast"/>
      <w:outlineLvl w:val="0"/>
    </w:pPr>
    <w:rPr>
      <w:rFonts w:eastAsia="Times New Roman" w:cs="Times New Roman"/>
      <w:b/>
      <w:bCs/>
      <w:sz w:val="48"/>
      <w:szCs w:val="48"/>
    </w:rPr>
  </w:style>
  <w:style w:type="paragraph" w:styleId="Heading2">
    <w:name w:val="heading 2"/>
    <w:basedOn w:val="Normal"/>
    <w:next w:val="Normal"/>
    <w:link w:val="Heading2Char"/>
    <w:qFormat/>
    <w:rsid w:val="00F02AEC"/>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qFormat/>
    <w:rsid w:val="00DB7639"/>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eastAsia="Times New Roman"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eastAsia="Times New Roman" w:cs="Times New Roman"/>
      <w:b/>
      <w:bCs/>
      <w:i/>
      <w:color w:val="001871"/>
      <w:sz w:val="24"/>
      <w:szCs w:val="21"/>
    </w:rPr>
  </w:style>
  <w:style w:type="paragraph" w:styleId="Heading7">
    <w:name w:val="heading 7"/>
    <w:basedOn w:val="Normal"/>
    <w:next w:val="Normal"/>
    <w:link w:val="Heading7Char"/>
    <w:uiPriority w:val="9"/>
    <w:rsid w:val="00685E72"/>
    <w:pPr>
      <w:keepNext/>
      <w:keepLines/>
      <w:spacing w:before="240" w:after="60" w:line="180" w:lineRule="atLeast"/>
      <w:ind w:left="1296" w:hanging="1296"/>
      <w:outlineLvl w:val="6"/>
    </w:pPr>
    <w:rPr>
      <w:rFonts w:ascii="Cambria" w:eastAsia="Times New Roman" w:hAnsi="Cambria" w:cs="Times New Roman"/>
      <w:bCs/>
      <w:i/>
      <w:szCs w:val="22"/>
    </w:rPr>
  </w:style>
  <w:style w:type="paragraph" w:styleId="Heading8">
    <w:name w:val="heading 8"/>
    <w:basedOn w:val="Normal"/>
    <w:next w:val="Normal"/>
    <w:link w:val="Heading8Char"/>
    <w:autoRedefine/>
    <w:uiPriority w:val="9"/>
    <w:semiHidden/>
    <w:unhideWhenUsed/>
    <w:qFormat/>
    <w:rsid w:val="00520CD5"/>
    <w:pPr>
      <w:keepNext/>
      <w:keepLines/>
      <w:spacing w:before="200" w:after="0" w:line="240" w:lineRule="atLeast"/>
      <w:ind w:left="1440" w:hanging="1440"/>
      <w:outlineLvl w:val="7"/>
    </w:pPr>
    <w:rPr>
      <w:rFonts w:eastAsiaTheme="majorEastAsia" w:cstheme="majorBidi"/>
    </w:rPr>
  </w:style>
  <w:style w:type="paragraph" w:styleId="Heading9">
    <w:name w:val="heading 9"/>
    <w:basedOn w:val="Normal"/>
    <w:next w:val="Normal"/>
    <w:link w:val="Heading9Char"/>
    <w:uiPriority w:val="9"/>
    <w:semiHidden/>
    <w:unhideWhenUsed/>
    <w:qFormat/>
    <w:rsid w:val="00685E72"/>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DB7639"/>
    <w:rPr>
      <w:rFonts w:ascii="Arial" w:eastAsia="Cambria" w:hAnsi="Arial" w:cs="Times New Roman"/>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aliases w:val="OECD 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autoRedefine/>
    <w:uiPriority w:val="2"/>
    <w:qFormat/>
    <w:rsid w:val="001B6547"/>
    <w:pPr>
      <w:numPr>
        <w:numId w:val="13"/>
      </w:numPr>
      <w:spacing w:before="180" w:after="0" w:line="240" w:lineRule="atLeast"/>
      <w:ind w:left="284"/>
    </w:pPr>
    <w:rPr>
      <w:rFonts w:eastAsia="Cambria"/>
      <w:color w:val="auto"/>
      <w:szCs w:val="22"/>
    </w:rPr>
  </w:style>
  <w:style w:type="paragraph" w:styleId="ListBullet2">
    <w:name w:val="List Bullet 2"/>
    <w:basedOn w:val="Normal"/>
    <w:autoRedefine/>
    <w:uiPriority w:val="2"/>
    <w:qFormat/>
    <w:rsid w:val="00770688"/>
    <w:pPr>
      <w:numPr>
        <w:ilvl w:val="1"/>
        <w:numId w:val="1"/>
      </w:numPr>
      <w:spacing w:before="120" w:after="180" w:line="240" w:lineRule="atLeast"/>
      <w:ind w:left="850" w:hanging="425"/>
    </w:pPr>
    <w:rPr>
      <w:rFonts w:eastAsia="Cambria" w:cs="Times New Roman"/>
    </w:rPr>
  </w:style>
  <w:style w:type="paragraph" w:styleId="ListBullet3">
    <w:name w:val="List Bullet 3"/>
    <w:basedOn w:val="Normal"/>
    <w:uiPriority w:val="2"/>
    <w:qFormat/>
    <w:rsid w:val="00E530B1"/>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9"/>
      </w:numPr>
    </w:pPr>
  </w:style>
  <w:style w:type="paragraph" w:customStyle="1" w:styleId="Numberbullet0">
    <w:name w:val="Number bullet"/>
    <w:basedOn w:val="ListBullet"/>
    <w:autoRedefine/>
    <w:qFormat/>
    <w:rsid w:val="00B46BC0"/>
    <w:pPr>
      <w:numPr>
        <w:numId w:val="2"/>
      </w:numPr>
    </w:pPr>
  </w:style>
  <w:style w:type="paragraph" w:customStyle="1" w:styleId="Numberbullet2">
    <w:name w:val="Number bullet 2"/>
    <w:basedOn w:val="ListBullet2"/>
    <w:autoRedefine/>
    <w:qFormat/>
    <w:rsid w:val="00E530B1"/>
    <w:pPr>
      <w:numPr>
        <w:numId w:val="2"/>
      </w:numPr>
      <w:ind w:left="850" w:hanging="425"/>
    </w:pPr>
  </w:style>
  <w:style w:type="paragraph" w:customStyle="1" w:styleId="Numberbullet3">
    <w:name w:val="Number bullet 3"/>
    <w:basedOn w:val="Normal"/>
    <w:autoRedefine/>
    <w:qFormat/>
    <w:rsid w:val="00E530B1"/>
    <w:pPr>
      <w:numPr>
        <w:numId w:val="4"/>
      </w:numPr>
      <w:spacing w:before="120" w:after="180" w:line="240" w:lineRule="atLeast"/>
      <w:ind w:left="1361" w:hanging="397"/>
    </w:pPr>
    <w:rPr>
      <w:rFonts w:eastAsia="Cambria" w:cs="Times New Roman"/>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3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eastAsia="Cambria"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eastAsia="Cambria"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eastAsia="Cambria"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eastAsia="Cambria" w:cs="Times New Roman"/>
      <w:b/>
      <w:color w:val="333F48"/>
    </w:rPr>
  </w:style>
  <w:style w:type="paragraph" w:styleId="FootnoteText">
    <w:name w:val="footnote text"/>
    <w:basedOn w:val="Normal"/>
    <w:link w:val="FootnoteTextChar"/>
    <w:uiPriority w:val="99"/>
    <w:rsid w:val="00F02AEC"/>
    <w:pPr>
      <w:keepLines/>
      <w:spacing w:after="0" w:line="240" w:lineRule="atLeast"/>
    </w:pPr>
    <w:rPr>
      <w:rFonts w:eastAsia="Cambria" w:cs="Times New Roman"/>
      <w:color w:val="333F48"/>
    </w:rPr>
  </w:style>
  <w:style w:type="character" w:customStyle="1" w:styleId="FootnoteTextChar">
    <w:name w:val="Footnote Text Char"/>
    <w:basedOn w:val="DefaultParagraphFont"/>
    <w:link w:val="FootnoteText"/>
    <w:uiPriority w:val="99"/>
    <w:rsid w:val="00F02AEC"/>
    <w:rPr>
      <w:rFonts w:ascii="Arial" w:eastAsia="Cambria" w:hAnsi="Arial" w:cs="Times New Roman"/>
      <w:color w:val="333F48"/>
      <w:sz w:val="20"/>
      <w:szCs w:val="20"/>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eastAsia="Cambria" w:cs="Times New Roman"/>
      <w:b/>
      <w:color w:val="333F48"/>
    </w:rPr>
  </w:style>
  <w:style w:type="paragraph" w:customStyle="1" w:styleId="Address">
    <w:name w:val="Address"/>
    <w:basedOn w:val="Normal"/>
    <w:rsid w:val="00F02AEC"/>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1Char">
    <w:name w:val="Heading 1 Char"/>
    <w:basedOn w:val="DefaultParagraphFont"/>
    <w:link w:val="Heading1"/>
    <w:rsid w:val="00685E72"/>
    <w:rPr>
      <w:rFonts w:ascii="Arial" w:eastAsia="Times New Roman" w:hAnsi="Arial" w:cs="Times New Roman"/>
      <w:b/>
      <w:bCs/>
      <w:sz w:val="48"/>
      <w:szCs w:val="48"/>
    </w:rPr>
  </w:style>
  <w:style w:type="character" w:customStyle="1" w:styleId="Heading7Char">
    <w:name w:val="Heading 7 Char"/>
    <w:basedOn w:val="DefaultParagraphFont"/>
    <w:link w:val="Heading7"/>
    <w:uiPriority w:val="9"/>
    <w:rsid w:val="00685E72"/>
    <w:rPr>
      <w:rFonts w:ascii="Cambria" w:eastAsia="Times New Roman" w:hAnsi="Cambria" w:cs="Times New Roman"/>
      <w:bCs/>
      <w:i/>
      <w:sz w:val="22"/>
      <w:szCs w:val="22"/>
    </w:rPr>
  </w:style>
  <w:style w:type="character" w:customStyle="1" w:styleId="Heading8Char">
    <w:name w:val="Heading 8 Char"/>
    <w:basedOn w:val="DefaultParagraphFont"/>
    <w:link w:val="Heading8"/>
    <w:uiPriority w:val="9"/>
    <w:semiHidden/>
    <w:rsid w:val="00520CD5"/>
    <w:rPr>
      <w:rFonts w:ascii="Arial" w:eastAsiaTheme="majorEastAsia" w:hAnsi="Arial" w:cstheme="majorBidi"/>
      <w:color w:val="000000" w:themeColor="text1"/>
      <w:sz w:val="22"/>
    </w:rPr>
  </w:style>
  <w:style w:type="character" w:customStyle="1" w:styleId="Heading9Char">
    <w:name w:val="Heading 9 Char"/>
    <w:basedOn w:val="DefaultParagraphFont"/>
    <w:link w:val="Heading9"/>
    <w:uiPriority w:val="9"/>
    <w:semiHidden/>
    <w:rsid w:val="00685E72"/>
    <w:rPr>
      <w:rFonts w:asciiTheme="majorHAnsi" w:eastAsiaTheme="majorEastAsia" w:hAnsiTheme="majorHAnsi" w:cstheme="majorBidi"/>
      <w:i/>
      <w:iCs/>
      <w:color w:val="404040" w:themeColor="text1" w:themeTint="BF"/>
    </w:rPr>
  </w:style>
  <w:style w:type="paragraph" w:styleId="DocumentMap">
    <w:name w:val="Document Map"/>
    <w:basedOn w:val="Normal"/>
    <w:link w:val="DocumentMapChar"/>
    <w:uiPriority w:val="99"/>
    <w:semiHidden/>
    <w:unhideWhenUsed/>
    <w:rsid w:val="00685E72"/>
    <w:pPr>
      <w:spacing w:after="0" w:line="240" w:lineRule="auto"/>
    </w:pPr>
    <w:rPr>
      <w:rFonts w:ascii="Tahoma" w:eastAsia="Cambria" w:hAnsi="Tahoma" w:cs="Tahoma"/>
      <w:sz w:val="16"/>
      <w:szCs w:val="16"/>
    </w:rPr>
  </w:style>
  <w:style w:type="character" w:customStyle="1" w:styleId="DocumentMapChar">
    <w:name w:val="Document Map Char"/>
    <w:basedOn w:val="DefaultParagraphFont"/>
    <w:link w:val="DocumentMap"/>
    <w:uiPriority w:val="99"/>
    <w:semiHidden/>
    <w:rsid w:val="00685E72"/>
    <w:rPr>
      <w:rFonts w:ascii="Tahoma" w:eastAsia="Cambria" w:hAnsi="Tahoma" w:cs="Tahoma"/>
      <w:sz w:val="16"/>
      <w:szCs w:val="16"/>
    </w:rPr>
  </w:style>
  <w:style w:type="paragraph" w:styleId="BalloonText">
    <w:name w:val="Balloon Text"/>
    <w:basedOn w:val="Normal"/>
    <w:link w:val="BalloonTextChar"/>
    <w:uiPriority w:val="99"/>
    <w:semiHidden/>
    <w:unhideWhenUsed/>
    <w:rsid w:val="00685E72"/>
    <w:pPr>
      <w:spacing w:before="120" w:after="0" w:line="240" w:lineRule="atLeast"/>
    </w:pPr>
    <w:rPr>
      <w:rFonts w:ascii="Tahoma" w:eastAsia="Cambria" w:hAnsi="Tahoma" w:cs="Tahoma"/>
      <w:sz w:val="16"/>
      <w:szCs w:val="16"/>
    </w:rPr>
  </w:style>
  <w:style w:type="character" w:customStyle="1" w:styleId="BalloonTextChar">
    <w:name w:val="Balloon Text Char"/>
    <w:basedOn w:val="DefaultParagraphFont"/>
    <w:link w:val="BalloonText"/>
    <w:uiPriority w:val="99"/>
    <w:semiHidden/>
    <w:rsid w:val="00685E72"/>
    <w:rPr>
      <w:rFonts w:ascii="Tahoma" w:eastAsia="Cambria" w:hAnsi="Tahoma" w:cs="Tahoma"/>
      <w:sz w:val="16"/>
      <w:szCs w:val="16"/>
    </w:rPr>
  </w:style>
  <w:style w:type="paragraph" w:styleId="TOC4">
    <w:name w:val="toc 4"/>
    <w:basedOn w:val="Normal"/>
    <w:next w:val="Normal"/>
    <w:autoRedefine/>
    <w:uiPriority w:val="39"/>
    <w:semiHidden/>
    <w:unhideWhenUsed/>
    <w:rsid w:val="00685E72"/>
    <w:pPr>
      <w:tabs>
        <w:tab w:val="right" w:leader="hyphen" w:pos="8505"/>
      </w:tabs>
      <w:spacing w:before="120" w:after="100" w:line="240" w:lineRule="atLeast"/>
      <w:ind w:left="1276"/>
    </w:pPr>
    <w:rPr>
      <w:rFonts w:ascii="Cambria" w:eastAsia="Cambria" w:hAnsi="Cambria" w:cs="Times New Roman"/>
    </w:rPr>
  </w:style>
  <w:style w:type="paragraph" w:styleId="TOC5">
    <w:name w:val="toc 5"/>
    <w:basedOn w:val="Normal"/>
    <w:next w:val="Normal"/>
    <w:autoRedefine/>
    <w:uiPriority w:val="39"/>
    <w:semiHidden/>
    <w:unhideWhenUsed/>
    <w:rsid w:val="00685E72"/>
    <w:pPr>
      <w:tabs>
        <w:tab w:val="right" w:leader="dot" w:pos="8505"/>
      </w:tabs>
      <w:spacing w:before="120" w:after="100" w:line="240" w:lineRule="atLeast"/>
      <w:ind w:left="1701"/>
    </w:pPr>
    <w:rPr>
      <w:rFonts w:ascii="Cambria" w:eastAsia="Cambria" w:hAnsi="Cambria" w:cs="Times New Roman"/>
      <w:noProof/>
    </w:rPr>
  </w:style>
  <w:style w:type="paragraph" w:styleId="TOC6">
    <w:name w:val="toc 6"/>
    <w:basedOn w:val="Normal"/>
    <w:next w:val="Normal"/>
    <w:autoRedefine/>
    <w:uiPriority w:val="39"/>
    <w:semiHidden/>
    <w:unhideWhenUsed/>
    <w:rsid w:val="00685E72"/>
    <w:pPr>
      <w:tabs>
        <w:tab w:val="right" w:pos="8505"/>
      </w:tabs>
      <w:spacing w:before="120" w:after="100" w:line="240" w:lineRule="atLeast"/>
      <w:ind w:left="2126"/>
    </w:pPr>
    <w:rPr>
      <w:rFonts w:ascii="Cambria" w:eastAsia="Cambria" w:hAnsi="Cambria" w:cs="Times New Roman"/>
    </w:rPr>
  </w:style>
  <w:style w:type="paragraph" w:styleId="TOC7">
    <w:name w:val="toc 7"/>
    <w:basedOn w:val="Normal"/>
    <w:next w:val="Normal"/>
    <w:autoRedefine/>
    <w:uiPriority w:val="39"/>
    <w:semiHidden/>
    <w:unhideWhenUsed/>
    <w:rsid w:val="00685E72"/>
    <w:pPr>
      <w:spacing w:before="120" w:after="100" w:line="240" w:lineRule="atLeast"/>
      <w:ind w:left="2211"/>
    </w:pPr>
    <w:rPr>
      <w:rFonts w:ascii="Cambria" w:eastAsia="Cambria" w:hAnsi="Cambria" w:cs="Times New Roman"/>
    </w:rPr>
  </w:style>
  <w:style w:type="character" w:styleId="FollowedHyperlink">
    <w:name w:val="FollowedHyperlink"/>
    <w:basedOn w:val="DefaultParagraphFont"/>
    <w:semiHidden/>
    <w:unhideWhenUsed/>
    <w:rsid w:val="00685E72"/>
    <w:rPr>
      <w:color w:val="800080"/>
      <w:u w:val="single"/>
    </w:rPr>
  </w:style>
  <w:style w:type="paragraph" w:customStyle="1" w:styleId="HeaderNoLine0">
    <w:name w:val="Header No Line"/>
    <w:basedOn w:val="Header"/>
    <w:rsid w:val="00685E72"/>
    <w:pPr>
      <w:pBdr>
        <w:bottom w:val="none" w:sz="0" w:space="0" w:color="auto"/>
      </w:pBdr>
    </w:pPr>
    <w:rPr>
      <w:rFonts w:ascii="Cambria" w:hAnsi="Cambria"/>
      <w:color w:val="auto"/>
    </w:rPr>
  </w:style>
  <w:style w:type="table" w:styleId="LightShading-Accent2">
    <w:name w:val="Light Shading Accent 2"/>
    <w:basedOn w:val="TableNormal"/>
    <w:uiPriority w:val="60"/>
    <w:rsid w:val="00685E72"/>
    <w:pPr>
      <w:spacing w:after="0" w:line="240" w:lineRule="auto"/>
    </w:pPr>
    <w:rPr>
      <w:rFonts w:ascii="Cambria" w:eastAsia="Calibri" w:hAnsi="Cambria" w:cs="Times New Roman"/>
      <w:color w:val="943634"/>
      <w:sz w:val="21"/>
      <w:szCs w:val="21"/>
      <w:lang w:eastAsia="en-A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5">
    <w:name w:val="Medium Grid 2 Accent 5"/>
    <w:basedOn w:val="TableNormal"/>
    <w:uiPriority w:val="68"/>
    <w:rsid w:val="00685E72"/>
    <w:pPr>
      <w:spacing w:after="0" w:line="240" w:lineRule="auto"/>
    </w:pPr>
    <w:rPr>
      <w:rFonts w:ascii="Cambria" w:eastAsia="Times New Roman" w:hAnsi="Cambria" w:cs="Times New Roman"/>
      <w:color w:val="000000"/>
      <w:sz w:val="21"/>
      <w:szCs w:val="21"/>
      <w:lang w:eastAsia="en-A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styleId="PlaceholderText">
    <w:name w:val="Placeholder Text"/>
    <w:basedOn w:val="DefaultParagraphFont"/>
    <w:uiPriority w:val="99"/>
    <w:semiHidden/>
    <w:rsid w:val="00685E72"/>
    <w:rPr>
      <w:color w:val="808080"/>
    </w:rPr>
  </w:style>
  <w:style w:type="paragraph" w:customStyle="1" w:styleId="Reference">
    <w:name w:val="Reference"/>
    <w:basedOn w:val="Normal"/>
    <w:rsid w:val="00685E72"/>
    <w:pPr>
      <w:spacing w:before="40" w:after="0" w:line="240" w:lineRule="atLeast"/>
      <w:ind w:left="170" w:hanging="170"/>
    </w:pPr>
    <w:rPr>
      <w:rFonts w:ascii="Cambria" w:eastAsia="Cambria" w:hAnsi="Cambria" w:cs="Times New Roman"/>
      <w:sz w:val="19"/>
    </w:rPr>
  </w:style>
  <w:style w:type="paragraph" w:styleId="EndnoteText">
    <w:name w:val="endnote text"/>
    <w:basedOn w:val="FootnoteText"/>
    <w:link w:val="EndnoteTextChar"/>
    <w:semiHidden/>
    <w:unhideWhenUsed/>
    <w:rsid w:val="00685E72"/>
    <w:rPr>
      <w:rFonts w:asciiTheme="minorHAnsi" w:hAnsiTheme="minorHAnsi" w:cstheme="minorBidi"/>
      <w:color w:val="auto"/>
      <w:szCs w:val="22"/>
    </w:rPr>
  </w:style>
  <w:style w:type="character" w:customStyle="1" w:styleId="EndnoteTextChar">
    <w:name w:val="Endnote Text Char"/>
    <w:basedOn w:val="DefaultParagraphFont"/>
    <w:link w:val="EndnoteText"/>
    <w:semiHidden/>
    <w:rsid w:val="00685E72"/>
    <w:rPr>
      <w:rFonts w:eastAsia="Cambria"/>
      <w:szCs w:val="22"/>
    </w:rPr>
  </w:style>
  <w:style w:type="table" w:customStyle="1" w:styleId="TableTGAblue">
    <w:name w:val="Table TGA blue"/>
    <w:basedOn w:val="TableNormal"/>
    <w:uiPriority w:val="99"/>
    <w:qFormat/>
    <w:rsid w:val="005949E1"/>
    <w:pPr>
      <w:spacing w:after="0" w:line="240" w:lineRule="auto"/>
    </w:pPr>
    <w:rPr>
      <w:rFonts w:ascii="Arial" w:eastAsia="Cambria" w:hAnsi="Arial" w:cs="Times New Roman"/>
      <w:color w:val="000000"/>
      <w:sz w:val="18"/>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Arial" w:hAnsi="Arial"/>
        <w:b/>
        <w:color w:val="FFFFFF" w:themeColor="background1"/>
        <w:sz w:val="18"/>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685E72"/>
    <w:pPr>
      <w:spacing w:before="60" w:after="0" w:line="240" w:lineRule="auto"/>
    </w:pPr>
    <w:rPr>
      <w:rFonts w:ascii="Cambria" w:eastAsia="Cambria" w:hAnsi="Cambria" w:cs="Times New Roman"/>
      <w:color w:val="000000"/>
      <w:sz w:val="22"/>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685E72"/>
    <w:pPr>
      <w:spacing w:before="480" w:after="0" w:line="276" w:lineRule="auto"/>
      <w:outlineLvl w:val="9"/>
    </w:pPr>
    <w:rPr>
      <w:color w:val="002035"/>
      <w:sz w:val="28"/>
      <w:lang w:val="en-US"/>
    </w:rPr>
  </w:style>
  <w:style w:type="numbering" w:customStyle="1" w:styleId="NumberBullet1">
    <w:name w:val="NumberBullet1"/>
    <w:uiPriority w:val="99"/>
    <w:rsid w:val="00685E72"/>
  </w:style>
  <w:style w:type="numbering" w:customStyle="1" w:styleId="ListBullets1">
    <w:name w:val="ListBullets1"/>
    <w:uiPriority w:val="99"/>
    <w:rsid w:val="00685E72"/>
  </w:style>
  <w:style w:type="character" w:styleId="EndnoteReference">
    <w:name w:val="endnote reference"/>
    <w:basedOn w:val="DefaultParagraphFont"/>
    <w:uiPriority w:val="99"/>
    <w:semiHidden/>
    <w:unhideWhenUsed/>
    <w:rsid w:val="00685E72"/>
    <w:rPr>
      <w:vertAlign w:val="superscript"/>
    </w:rPr>
  </w:style>
  <w:style w:type="table" w:customStyle="1" w:styleId="LightShading1">
    <w:name w:val="Light Shading1"/>
    <w:basedOn w:val="TableNormal"/>
    <w:uiPriority w:val="60"/>
    <w:rsid w:val="00685E72"/>
    <w:pPr>
      <w:spacing w:after="0" w:line="240" w:lineRule="auto"/>
    </w:pPr>
    <w:rPr>
      <w:rFonts w:ascii="Cambria" w:eastAsia="Cambria" w:hAnsi="Cambria" w:cs="Times New Roman"/>
      <w:color w:val="000000" w:themeColor="text1" w:themeShade="BF"/>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Figuredescription">
    <w:name w:val="Figure description"/>
    <w:basedOn w:val="Normal"/>
    <w:next w:val="Normal"/>
    <w:rsid w:val="00685E72"/>
    <w:pPr>
      <w:spacing w:before="120" w:after="240" w:line="180" w:lineRule="atLeast"/>
    </w:pPr>
    <w:rPr>
      <w:rFonts w:ascii="Cambria" w:eastAsia="Cambria" w:hAnsi="Cambria" w:cs="Times New Roman"/>
      <w:sz w:val="18"/>
    </w:rPr>
  </w:style>
  <w:style w:type="paragraph" w:customStyle="1" w:styleId="Figuretitle">
    <w:name w:val="Figure title"/>
    <w:basedOn w:val="Normal"/>
    <w:next w:val="Normal"/>
    <w:rsid w:val="00685E72"/>
    <w:pPr>
      <w:keepNext/>
      <w:keepLines/>
      <w:spacing w:before="120" w:after="180" w:line="240" w:lineRule="atLeast"/>
    </w:pPr>
    <w:rPr>
      <w:rFonts w:ascii="Cambria" w:eastAsia="Cambria" w:hAnsi="Cambria" w:cs="Times New Roman"/>
      <w:b/>
    </w:rPr>
  </w:style>
  <w:style w:type="paragraph" w:customStyle="1" w:styleId="Quotation">
    <w:name w:val="Quotation"/>
    <w:basedOn w:val="Normal"/>
    <w:next w:val="Normal"/>
    <w:autoRedefine/>
    <w:uiPriority w:val="4"/>
    <w:qFormat/>
    <w:rsid w:val="00B90A0A"/>
    <w:pPr>
      <w:spacing w:before="120" w:after="180" w:line="240" w:lineRule="atLeast"/>
      <w:ind w:left="425"/>
    </w:pPr>
    <w:rPr>
      <w:rFonts w:eastAsia="Cambria" w:cs="Times New Roman"/>
    </w:rPr>
  </w:style>
  <w:style w:type="character" w:styleId="CommentReference">
    <w:name w:val="annotation reference"/>
    <w:basedOn w:val="DefaultParagraphFont"/>
    <w:uiPriority w:val="99"/>
    <w:semiHidden/>
    <w:unhideWhenUsed/>
    <w:rsid w:val="00685E72"/>
    <w:rPr>
      <w:sz w:val="16"/>
      <w:szCs w:val="16"/>
    </w:rPr>
  </w:style>
  <w:style w:type="paragraph" w:styleId="CommentText">
    <w:name w:val="annotation text"/>
    <w:basedOn w:val="Normal"/>
    <w:link w:val="CommentTextChar"/>
    <w:uiPriority w:val="99"/>
    <w:unhideWhenUsed/>
    <w:rsid w:val="00685E72"/>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685E72"/>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685E72"/>
    <w:rPr>
      <w:b/>
      <w:bCs/>
    </w:rPr>
  </w:style>
  <w:style w:type="character" w:customStyle="1" w:styleId="CommentSubjectChar">
    <w:name w:val="Comment Subject Char"/>
    <w:basedOn w:val="CommentTextChar"/>
    <w:link w:val="CommentSubject"/>
    <w:uiPriority w:val="99"/>
    <w:semiHidden/>
    <w:rsid w:val="00685E72"/>
    <w:rPr>
      <w:rFonts w:ascii="Cambria" w:eastAsia="Cambria" w:hAnsi="Cambria" w:cs="Times New Roman"/>
      <w:b/>
      <w:bCs/>
    </w:rPr>
  </w:style>
  <w:style w:type="paragraph" w:styleId="ListParagraph">
    <w:name w:val="List Paragraph"/>
    <w:basedOn w:val="Normal"/>
    <w:autoRedefine/>
    <w:uiPriority w:val="34"/>
    <w:qFormat/>
    <w:rsid w:val="00636F08"/>
    <w:pPr>
      <w:spacing w:before="180" w:after="240" w:line="240" w:lineRule="atLeast"/>
      <w:ind w:left="851"/>
    </w:pPr>
    <w:rPr>
      <w:rFonts w:eastAsia="Cambria" w:cs="Times New Roman"/>
      <w:color w:val="auto"/>
    </w:rPr>
  </w:style>
  <w:style w:type="table" w:styleId="LightList-Accent1">
    <w:name w:val="Light List Accent 1"/>
    <w:basedOn w:val="TableNormal"/>
    <w:uiPriority w:val="61"/>
    <w:rsid w:val="00685E72"/>
    <w:pPr>
      <w:spacing w:after="0" w:line="240" w:lineRule="auto"/>
    </w:pPr>
    <w:rPr>
      <w:rFonts w:eastAsiaTheme="minorEastAsia"/>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TOC9">
    <w:name w:val="toc 9"/>
    <w:basedOn w:val="Normal"/>
    <w:next w:val="Normal"/>
    <w:autoRedefine/>
    <w:uiPriority w:val="39"/>
    <w:semiHidden/>
    <w:unhideWhenUsed/>
    <w:rsid w:val="00685E72"/>
    <w:pPr>
      <w:spacing w:before="120" w:after="100" w:line="240" w:lineRule="atLeast"/>
      <w:ind w:left="1760"/>
    </w:pPr>
    <w:rPr>
      <w:rFonts w:ascii="Cambria" w:eastAsia="Cambria" w:hAnsi="Cambria" w:cs="Times New Roman"/>
    </w:rPr>
  </w:style>
  <w:style w:type="paragraph" w:customStyle="1" w:styleId="TableTitle0">
    <w:name w:val="Table Title"/>
    <w:basedOn w:val="Normal"/>
    <w:next w:val="Normal"/>
    <w:autoRedefine/>
    <w:qFormat/>
    <w:rsid w:val="00B90A0A"/>
    <w:pPr>
      <w:spacing w:before="180" w:after="180" w:line="240" w:lineRule="atLeast"/>
    </w:pPr>
    <w:rPr>
      <w:rFonts w:eastAsia="Cambria" w:cs="Times New Roman"/>
      <w:b/>
    </w:rPr>
  </w:style>
  <w:style w:type="character" w:styleId="Strong">
    <w:name w:val="Strong"/>
    <w:basedOn w:val="DefaultParagraphFont"/>
    <w:uiPriority w:val="22"/>
    <w:qFormat/>
    <w:rsid w:val="00520CD5"/>
    <w:rPr>
      <w:rFonts w:ascii="Arial" w:hAnsi="Arial"/>
      <w:b/>
      <w:bCs/>
      <w:color w:val="000000" w:themeColor="text1"/>
    </w:rPr>
  </w:style>
  <w:style w:type="paragraph" w:customStyle="1" w:styleId="Default">
    <w:name w:val="Default"/>
    <w:rsid w:val="00685E72"/>
    <w:pPr>
      <w:autoSpaceDE w:val="0"/>
      <w:autoSpaceDN w:val="0"/>
      <w:adjustRightInd w:val="0"/>
      <w:spacing w:after="0" w:line="240" w:lineRule="auto"/>
    </w:pPr>
    <w:rPr>
      <w:rFonts w:ascii="Times New Roman" w:eastAsia="Cambria" w:hAnsi="Times New Roman" w:cs="Times New Roman"/>
      <w:color w:val="000000"/>
      <w:sz w:val="24"/>
      <w:szCs w:val="24"/>
      <w:lang w:eastAsia="en-AU"/>
    </w:rPr>
  </w:style>
  <w:style w:type="character" w:customStyle="1" w:styleId="fontstyle01">
    <w:name w:val="fontstyle01"/>
    <w:basedOn w:val="DefaultParagraphFont"/>
    <w:rsid w:val="00685E72"/>
    <w:rPr>
      <w:rFonts w:ascii="Cambria" w:hAnsi="Cambria" w:hint="default"/>
      <w:b w:val="0"/>
      <w:bCs w:val="0"/>
      <w:i w:val="0"/>
      <w:iCs w:val="0"/>
      <w:color w:val="000000"/>
      <w:sz w:val="22"/>
      <w:szCs w:val="22"/>
    </w:rPr>
  </w:style>
  <w:style w:type="character" w:customStyle="1" w:styleId="fontstyle21">
    <w:name w:val="fontstyle21"/>
    <w:basedOn w:val="DefaultParagraphFont"/>
    <w:rsid w:val="00685E72"/>
    <w:rPr>
      <w:rFonts w:ascii="Cambria-Bold" w:hAnsi="Cambria-Bold" w:hint="default"/>
      <w:b/>
      <w:bCs/>
      <w:i w:val="0"/>
      <w:iCs w:val="0"/>
      <w:color w:val="000000"/>
      <w:sz w:val="22"/>
      <w:szCs w:val="22"/>
    </w:rPr>
  </w:style>
  <w:style w:type="paragraph" w:styleId="Revision">
    <w:name w:val="Revision"/>
    <w:hidden/>
    <w:uiPriority w:val="99"/>
    <w:semiHidden/>
    <w:rsid w:val="00685E72"/>
    <w:pPr>
      <w:spacing w:after="0" w:line="240" w:lineRule="auto"/>
    </w:pPr>
    <w:rPr>
      <w:rFonts w:ascii="Cambria" w:eastAsia="Cambria" w:hAnsi="Cambria" w:cs="Times New Roman"/>
      <w:sz w:val="22"/>
    </w:rPr>
  </w:style>
  <w:style w:type="paragraph" w:customStyle="1" w:styleId="ListBulleta">
    <w:name w:val="List Bullet a)"/>
    <w:basedOn w:val="ListBullet"/>
    <w:autoRedefine/>
    <w:uiPriority w:val="1"/>
    <w:qFormat/>
    <w:rsid w:val="00520CD5"/>
    <w:pPr>
      <w:numPr>
        <w:numId w:val="7"/>
      </w:numPr>
    </w:pPr>
  </w:style>
  <w:style w:type="paragraph" w:customStyle="1" w:styleId="ListBulleti">
    <w:name w:val="List Bullet i)"/>
    <w:basedOn w:val="ListBullet"/>
    <w:autoRedefine/>
    <w:uiPriority w:val="1"/>
    <w:qFormat/>
    <w:rsid w:val="00520CD5"/>
    <w:pPr>
      <w:numPr>
        <w:numId w:val="8"/>
      </w:numPr>
    </w:pPr>
  </w:style>
  <w:style w:type="character" w:customStyle="1" w:styleId="Style1">
    <w:name w:val="Style1"/>
    <w:basedOn w:val="DefaultParagraphFont"/>
    <w:uiPriority w:val="1"/>
    <w:rsid w:val="00685E72"/>
    <w:rPr>
      <w:rFonts w:ascii="Cambria" w:hAnsi="Cambria"/>
      <w:sz w:val="22"/>
    </w:rPr>
  </w:style>
  <w:style w:type="paragraph" w:styleId="NormalWeb">
    <w:name w:val="Normal (Web)"/>
    <w:basedOn w:val="Normal"/>
    <w:uiPriority w:val="99"/>
    <w:semiHidden/>
    <w:unhideWhenUsed/>
    <w:rsid w:val="00685E7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685E72"/>
    <w:rPr>
      <w:color w:val="605E5C"/>
      <w:shd w:val="clear" w:color="auto" w:fill="E1DFDD"/>
    </w:rPr>
  </w:style>
  <w:style w:type="paragraph" w:styleId="NoSpacing">
    <w:name w:val="No Spacing"/>
    <w:autoRedefine/>
    <w:uiPriority w:val="1"/>
    <w:qFormat/>
    <w:rsid w:val="00520CD5"/>
    <w:pPr>
      <w:spacing w:after="0" w:line="240" w:lineRule="auto"/>
    </w:pPr>
    <w:rPr>
      <w:rFonts w:ascii="Arial" w:hAnsi="Arial"/>
      <w:color w:val="000000" w:themeColor="text1"/>
      <w:sz w:val="22"/>
    </w:rPr>
  </w:style>
  <w:style w:type="character" w:styleId="SubtleReference">
    <w:name w:val="Subtle Reference"/>
    <w:basedOn w:val="DefaultParagraphFont"/>
    <w:uiPriority w:val="31"/>
    <w:qFormat/>
    <w:rsid w:val="00520CD5"/>
    <w:rPr>
      <w:rFonts w:ascii="Arial" w:hAnsi="Arial"/>
      <w:smallCaps/>
      <w:color w:val="0D0D0D" w:themeColor="text1" w:themeTint="F2"/>
    </w:rPr>
  </w:style>
  <w:style w:type="paragraph" w:styleId="Quote">
    <w:name w:val="Quote"/>
    <w:basedOn w:val="Normal"/>
    <w:next w:val="Normal"/>
    <w:link w:val="QuoteChar"/>
    <w:autoRedefine/>
    <w:uiPriority w:val="29"/>
    <w:qFormat/>
    <w:rsid w:val="00E530B1"/>
    <w:pPr>
      <w:spacing w:before="200" w:after="160"/>
      <w:ind w:left="864" w:right="864"/>
      <w:jc w:val="center"/>
    </w:pPr>
    <w:rPr>
      <w:i/>
      <w:iCs/>
    </w:rPr>
  </w:style>
  <w:style w:type="character" w:customStyle="1" w:styleId="QuoteChar">
    <w:name w:val="Quote Char"/>
    <w:basedOn w:val="DefaultParagraphFont"/>
    <w:link w:val="Quote"/>
    <w:uiPriority w:val="29"/>
    <w:rsid w:val="00E530B1"/>
    <w:rPr>
      <w:i/>
      <w:iCs/>
      <w:color w:val="000000" w:themeColor="text1"/>
      <w:sz w:val="22"/>
    </w:rPr>
  </w:style>
  <w:style w:type="character" w:styleId="SubtleEmphasis">
    <w:name w:val="Subtle Emphasis"/>
    <w:basedOn w:val="DefaultParagraphFont"/>
    <w:uiPriority w:val="19"/>
    <w:qFormat/>
    <w:rsid w:val="00520CD5"/>
    <w:rPr>
      <w:rFonts w:ascii="Arial" w:hAnsi="Arial"/>
      <w:i/>
      <w:iCs/>
      <w:color w:val="000000" w:themeColor="text1"/>
    </w:rPr>
  </w:style>
  <w:style w:type="character" w:styleId="IntenseEmphasis">
    <w:name w:val="Intense Emphasis"/>
    <w:basedOn w:val="DefaultParagraphFont"/>
    <w:uiPriority w:val="21"/>
    <w:qFormat/>
    <w:rsid w:val="00520CD5"/>
    <w:rPr>
      <w:rFonts w:ascii="Arial" w:hAnsi="Arial"/>
      <w:i/>
      <w:iCs/>
      <w:color w:val="auto"/>
    </w:rPr>
  </w:style>
  <w:style w:type="character" w:styleId="Emphasis">
    <w:name w:val="Emphasis"/>
    <w:basedOn w:val="DefaultParagraphFont"/>
    <w:uiPriority w:val="20"/>
    <w:qFormat/>
    <w:rsid w:val="00520CD5"/>
    <w:rPr>
      <w:rFonts w:ascii="Arial" w:hAnsi="Arial"/>
      <w:i/>
      <w:iCs/>
    </w:rPr>
  </w:style>
  <w:style w:type="character" w:styleId="IntenseReference">
    <w:name w:val="Intense Reference"/>
    <w:basedOn w:val="DefaultParagraphFont"/>
    <w:uiPriority w:val="32"/>
    <w:qFormat/>
    <w:rsid w:val="00520CD5"/>
    <w:rPr>
      <w:rFonts w:ascii="Arial" w:hAnsi="Arial"/>
      <w:b/>
      <w:bCs/>
      <w:smallCaps/>
      <w:color w:val="1F3864" w:themeColor="accent1" w:themeShade="80"/>
      <w:spacing w:val="5"/>
    </w:rPr>
  </w:style>
  <w:style w:type="character" w:styleId="BookTitle">
    <w:name w:val="Book Title"/>
    <w:basedOn w:val="DefaultParagraphFont"/>
    <w:uiPriority w:val="33"/>
    <w:qFormat/>
    <w:rsid w:val="00520CD5"/>
    <w:rPr>
      <w:rFonts w:ascii="Arial" w:hAnsi="Arial"/>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1495">
      <w:bodyDiv w:val="1"/>
      <w:marLeft w:val="0"/>
      <w:marRight w:val="0"/>
      <w:marTop w:val="0"/>
      <w:marBottom w:val="0"/>
      <w:divBdr>
        <w:top w:val="none" w:sz="0" w:space="0" w:color="auto"/>
        <w:left w:val="none" w:sz="0" w:space="0" w:color="auto"/>
        <w:bottom w:val="none" w:sz="0" w:space="0" w:color="auto"/>
        <w:right w:val="none" w:sz="0" w:space="0" w:color="auto"/>
      </w:divBdr>
    </w:div>
    <w:div w:id="1207181011">
      <w:bodyDiv w:val="1"/>
      <w:marLeft w:val="0"/>
      <w:marRight w:val="0"/>
      <w:marTop w:val="0"/>
      <w:marBottom w:val="0"/>
      <w:divBdr>
        <w:top w:val="none" w:sz="0" w:space="0" w:color="auto"/>
        <w:left w:val="none" w:sz="0" w:space="0" w:color="auto"/>
        <w:bottom w:val="none" w:sz="0" w:space="0" w:color="auto"/>
        <w:right w:val="none" w:sz="0" w:space="0" w:color="auto"/>
      </w:divBdr>
    </w:div>
    <w:div w:id="21421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ga.gov.au/committee/advisory-committee-medicines-scheduling-acms" TargetMode="External"/><Relationship Id="rId18" Type="http://schemas.openxmlformats.org/officeDocument/2006/relationships/hyperlink" Target="https://www.tga.gov.au/committee/advisory-committee-chemicals-scheduling-accs" TargetMode="External"/><Relationship Id="rId26" Type="http://schemas.openxmlformats.org/officeDocument/2006/relationships/hyperlink" Target="https://portal.apvma.gov.au/pubcris" TargetMode="External"/><Relationship Id="rId39" Type="http://schemas.openxmlformats.org/officeDocument/2006/relationships/hyperlink" Target="https://portal.apvma.gov.au/pubcris" TargetMode="External"/><Relationship Id="rId21" Type="http://schemas.openxmlformats.org/officeDocument/2006/relationships/hyperlink" Target="https://compliance.health.gov.au/artg/" TargetMode="External"/><Relationship Id="rId34" Type="http://schemas.openxmlformats.org/officeDocument/2006/relationships/hyperlink" Target="https://www.tga.gov.au/artg" TargetMode="External"/><Relationship Id="rId42" Type="http://schemas.openxmlformats.org/officeDocument/2006/relationships/hyperlink" Target="https://www.epa.govt.nz/database-search/new-zealand-inventory-of-chemicals-nzioc/" TargetMode="External"/><Relationship Id="rId47" Type="http://schemas.openxmlformats.org/officeDocument/2006/relationships/hyperlink" Target="https://www.tga.gov.au/artg" TargetMode="External"/><Relationship Id="rId50" Type="http://schemas.openxmlformats.org/officeDocument/2006/relationships/hyperlink" Target="https://www.legislation.gov.au/Details/F2019L00213" TargetMode="External"/><Relationship Id="rId55" Type="http://schemas.openxmlformats.org/officeDocument/2006/relationships/hyperlink" Target="https://ec.europa.eu/growth/tools-databases/cosing/" TargetMode="External"/><Relationship Id="rId63" Type="http://schemas.openxmlformats.org/officeDocument/2006/relationships/hyperlink" Target="https://portal.apvma.gov.au/pubcris" TargetMode="External"/><Relationship Id="rId68" Type="http://schemas.openxmlformats.org/officeDocument/2006/relationships/hyperlink" Target="https://www.industrialchemicals.gov.au/sites/default/files/2022-01/EVA00070%20-%20Evaluation%20statement%20-%2014%20January%202022%20%5B1470%20KB%5D.pdf" TargetMode="External"/><Relationship Id="rId76" Type="http://schemas.openxmlformats.org/officeDocument/2006/relationships/hyperlink" Target="https://webarchive.nla.gov.au/awa/20231105111024/https:/apvma.gov.au/node/10946" TargetMode="External"/><Relationship Id="rId84" Type="http://schemas.openxmlformats.org/officeDocument/2006/relationships/hyperlink" Target="https://www.tga.gov.au/about-tga/advisory-bodies-and-committees/advisory-committee-chemicals-scheduling-accs" TargetMode="External"/><Relationship Id="rId89" Type="http://schemas.openxmlformats.org/officeDocument/2006/relationships/hyperlink" Target="mailto:info@tga.gov.au" TargetMode="External"/><Relationship Id="rId7" Type="http://schemas.openxmlformats.org/officeDocument/2006/relationships/endnotes" Target="endnotes.xml"/><Relationship Id="rId71" Type="http://schemas.openxmlformats.org/officeDocument/2006/relationships/hyperlink" Target="https://www.legislation.gov.au/F2023L01369/asmade/text" TargetMode="External"/><Relationship Id="rId9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consultations.tga.gov.au/tga/scheduling-pre-meeting-june-2024" TargetMode="External"/><Relationship Id="rId29" Type="http://schemas.openxmlformats.org/officeDocument/2006/relationships/hyperlink" Target="https://www.accessdata.fda.gov/scripts/cder/ob/search_product.cfm" TargetMode="External"/><Relationship Id="rId11" Type="http://schemas.openxmlformats.org/officeDocument/2006/relationships/hyperlink" Target="mailto:tga.copyright@tga.gov.au" TargetMode="External"/><Relationship Id="rId24" Type="http://schemas.openxmlformats.org/officeDocument/2006/relationships/hyperlink" Target="https://www.legislation.gov.au/Details/F2021L01888" TargetMode="External"/><Relationship Id="rId32" Type="http://schemas.openxmlformats.org/officeDocument/2006/relationships/hyperlink" Target="https://www.industrialchemicals.gov.au/sites/default/files/Allyl%20esters%20of%20acetic%20acid%20ethers_Human%20health%20tier%20II%20assessment.pdf" TargetMode="External"/><Relationship Id="rId37" Type="http://schemas.openxmlformats.org/officeDocument/2006/relationships/hyperlink" Target="https://www.legislation.gov.au/Details/F2021L01888" TargetMode="External"/><Relationship Id="rId40" Type="http://schemas.openxmlformats.org/officeDocument/2006/relationships/hyperlink" Target="https://services.industrialchemicals.gov.au/search-inventory/" TargetMode="External"/><Relationship Id="rId45" Type="http://schemas.openxmlformats.org/officeDocument/2006/relationships/hyperlink" Target="https://www.industrialchemicals.gov.au/sites/default/files/2022-12/EVA00110%20-%20Evaluation%20statement%20-%2022%20December%202022.pdf" TargetMode="External"/><Relationship Id="rId53" Type="http://schemas.openxmlformats.org/officeDocument/2006/relationships/hyperlink" Target="https://services.industrialchemicals.gov.au/search-inventory/" TargetMode="External"/><Relationship Id="rId58" Type="http://schemas.openxmlformats.org/officeDocument/2006/relationships/hyperlink" Target="https://www.tga.gov.au/artg" TargetMode="External"/><Relationship Id="rId66" Type="http://schemas.openxmlformats.org/officeDocument/2006/relationships/hyperlink" Target="https://www.accessdata.fda.gov/scripts/cder/ob/search_product.cfm" TargetMode="External"/><Relationship Id="rId74" Type="http://schemas.openxmlformats.org/officeDocument/2006/relationships/hyperlink" Target="https://apps.tga.gov.au/Prod/daen/daen-entry.aspx" TargetMode="External"/><Relationship Id="rId79" Type="http://schemas.openxmlformats.org/officeDocument/2006/relationships/hyperlink" Target="https://www.medsafe.govt.nz/profs/class/classintro.asp" TargetMode="External"/><Relationship Id="rId87"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www.legislation.gov.au/Details/F2021L01888" TargetMode="External"/><Relationship Id="rId82" Type="http://schemas.openxmlformats.org/officeDocument/2006/relationships/hyperlink" Target="https://consultations.tga.gov.au/tga/scheduling-pre-meeting-june-2024" TargetMode="External"/><Relationship Id="rId90" Type="http://schemas.openxmlformats.org/officeDocument/2006/relationships/hyperlink" Target="https://www.tga.gov.au" TargetMode="External"/><Relationship Id="rId19" Type="http://schemas.openxmlformats.org/officeDocument/2006/relationships/hyperlink" Target="mailto:medicines.scheduling@health.gov.au" TargetMode="External"/><Relationship Id="rId14" Type="http://schemas.openxmlformats.org/officeDocument/2006/relationships/hyperlink" Target="https://www.tga.gov.au/committee/advisory-committee-chemicals-scheduling-accs" TargetMode="External"/><Relationship Id="rId22" Type="http://schemas.openxmlformats.org/officeDocument/2006/relationships/hyperlink" Target="https://www.legislation.gov.au/F2024L00209/asmade/text" TargetMode="External"/><Relationship Id="rId27" Type="http://schemas.openxmlformats.org/officeDocument/2006/relationships/hyperlink" Target="https://health-products.canada.ca/dpd-bdpp/dispatch-repartition" TargetMode="External"/><Relationship Id="rId30" Type="http://schemas.openxmlformats.org/officeDocument/2006/relationships/hyperlink" Target="http://www.hpra.ie" TargetMode="External"/><Relationship Id="rId35" Type="http://schemas.openxmlformats.org/officeDocument/2006/relationships/hyperlink" Target="https://www.legislation.gov.au/Search/Therapeutic%20Goods%20$LB$Permissible%20Ingredients$RB$%20Determination" TargetMode="External"/><Relationship Id="rId43" Type="http://schemas.openxmlformats.org/officeDocument/2006/relationships/hyperlink" Target="https://www.medsafe.govt.nz/profs/class/classintro.asp" TargetMode="External"/><Relationship Id="rId48" Type="http://schemas.openxmlformats.org/officeDocument/2006/relationships/hyperlink" Target="https://www.legislation.gov.au/Search/Therapeutic%20Goods%20$LB$Permissible%20Ingredients$RB$%20Determination" TargetMode="External"/><Relationship Id="rId56" Type="http://schemas.openxmlformats.org/officeDocument/2006/relationships/hyperlink" Target="https://www.epa.govt.nz/database-search/new-zealand-inventory-of-chemicals-nzioc/DatabaseSearchForm/?SiteDatabaseSearchFilters=36&amp;Keyword=acequinocyl&amp;DatabaseType=NZIOC" TargetMode="External"/><Relationship Id="rId64" Type="http://schemas.openxmlformats.org/officeDocument/2006/relationships/hyperlink" Target="https://health-products.canada.ca/dpd-bdpp/dispatch-repartition" TargetMode="External"/><Relationship Id="rId69" Type="http://schemas.openxmlformats.org/officeDocument/2006/relationships/hyperlink" Target="https://www.ebs.tga.gov.au/" TargetMode="External"/><Relationship Id="rId77" Type="http://schemas.openxmlformats.org/officeDocument/2006/relationships/hyperlink" Target="https://services.industrialchemicals.gov.au/search-inventory/" TargetMode="External"/><Relationship Id="rId8" Type="http://schemas.openxmlformats.org/officeDocument/2006/relationships/footer" Target="footer1.xml"/><Relationship Id="rId51" Type="http://schemas.openxmlformats.org/officeDocument/2006/relationships/hyperlink" Target="https://apps.tga.gov.au/Prod/daen/daen-entry.aspx" TargetMode="External"/><Relationship Id="rId72" Type="http://schemas.openxmlformats.org/officeDocument/2006/relationships/hyperlink" Target="https://www.tga.gov.au/prescribing-medicines-pregnancy-database" TargetMode="External"/><Relationship Id="rId80" Type="http://schemas.openxmlformats.org/officeDocument/2006/relationships/hyperlink" Target="https://eur-lex.europa.eu/legal-content/EN/TXT/PDF/?uri=CELEX:32009R1223" TargetMode="External"/><Relationship Id="rId85" Type="http://schemas.openxmlformats.org/officeDocument/2006/relationships/hyperlink" Target="https://www.tga.gov.au/resources/publication/scheduling-submissions"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consultations.tga.gov.au/tga/scheduling-pre-meeting-june-2024" TargetMode="External"/><Relationship Id="rId17" Type="http://schemas.openxmlformats.org/officeDocument/2006/relationships/hyperlink" Target="https://www.tga.gov.au/committee/advisory-committee-medicines-scheduling-acms" TargetMode="External"/><Relationship Id="rId25" Type="http://schemas.openxmlformats.org/officeDocument/2006/relationships/hyperlink" Target="https://daen.tga.gov.au/medicines-search/" TargetMode="External"/><Relationship Id="rId33" Type="http://schemas.openxmlformats.org/officeDocument/2006/relationships/hyperlink" Target="https://www.ebs.tga.gov.au/" TargetMode="External"/><Relationship Id="rId38" Type="http://schemas.openxmlformats.org/officeDocument/2006/relationships/hyperlink" Target="https://apps.tga.gov.au/Prod/daen/daen-entry.aspx" TargetMode="External"/><Relationship Id="rId46" Type="http://schemas.openxmlformats.org/officeDocument/2006/relationships/hyperlink" Target="https://www.ebs.tga.gov.au/" TargetMode="External"/><Relationship Id="rId59" Type="http://schemas.openxmlformats.org/officeDocument/2006/relationships/hyperlink" Target="https://www.legislation.gov.au/Search/Therapeutic%20Goods%20$LB$Permissible%20Ingredients$RB$%20Determination" TargetMode="External"/><Relationship Id="rId67" Type="http://schemas.openxmlformats.org/officeDocument/2006/relationships/hyperlink" Target="https://www.medicines.org.uk/emc" TargetMode="External"/><Relationship Id="rId20" Type="http://schemas.openxmlformats.org/officeDocument/2006/relationships/hyperlink" Target="https://www.ebs.tga.gov.au/" TargetMode="External"/><Relationship Id="rId41" Type="http://schemas.openxmlformats.org/officeDocument/2006/relationships/hyperlink" Target="https://ec.europa.eu/growth/tools-databases/cosing/" TargetMode="External"/><Relationship Id="rId54" Type="http://schemas.openxmlformats.org/officeDocument/2006/relationships/hyperlink" Target="https://echa.europa.eu/search-for-chemicals" TargetMode="External"/><Relationship Id="rId62" Type="http://schemas.openxmlformats.org/officeDocument/2006/relationships/hyperlink" Target="https://apps.tga.gov.au/Prod/daen/daen-entry.aspx" TargetMode="External"/><Relationship Id="rId70" Type="http://schemas.openxmlformats.org/officeDocument/2006/relationships/hyperlink" Target="https://www.tga.gov.au/artg" TargetMode="External"/><Relationship Id="rId75" Type="http://schemas.openxmlformats.org/officeDocument/2006/relationships/hyperlink" Target="https://portal.apvma.gov.au/pubcris" TargetMode="External"/><Relationship Id="rId83" Type="http://schemas.openxmlformats.org/officeDocument/2006/relationships/hyperlink" Target="https://www.tga.gov.au/about-tga/advisory-bodies-and-committees/advisory-committee-medicines-scheduling-acms" TargetMode="External"/><Relationship Id="rId88" Type="http://schemas.openxmlformats.org/officeDocument/2006/relationships/footer" Target="footer3.xml"/><Relationship Id="rId9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medicines.scheduling@health.gov.au" TargetMode="External"/><Relationship Id="rId23" Type="http://schemas.openxmlformats.org/officeDocument/2006/relationships/hyperlink" Target="https://www.tga.gov.au/prescribing-medicines-pregnancy-database" TargetMode="External"/><Relationship Id="rId28" Type="http://schemas.openxmlformats.org/officeDocument/2006/relationships/hyperlink" Target="https://www.medsafe.govt.nz/profs/class/classintro.asp" TargetMode="External"/><Relationship Id="rId36" Type="http://schemas.openxmlformats.org/officeDocument/2006/relationships/hyperlink" Target="https://www.tga.gov.au/prescribing-medicines-pregnancy-database" TargetMode="External"/><Relationship Id="rId49" Type="http://schemas.openxmlformats.org/officeDocument/2006/relationships/hyperlink" Target="https://www.tga.gov.au/prescribing-medicines-pregnancy-database" TargetMode="External"/><Relationship Id="rId57" Type="http://schemas.openxmlformats.org/officeDocument/2006/relationships/hyperlink" Target="https://www.ebs.tga.gov.au/" TargetMode="External"/><Relationship Id="rId10" Type="http://schemas.openxmlformats.org/officeDocument/2006/relationships/footer" Target="footer2.xml"/><Relationship Id="rId31" Type="http://schemas.openxmlformats.org/officeDocument/2006/relationships/hyperlink" Target="https://www.medicines.org.uk/emc" TargetMode="External"/><Relationship Id="rId44" Type="http://schemas.openxmlformats.org/officeDocument/2006/relationships/hyperlink" Target="https://health-products.canada.ca/dpd-bdpp/dispatch-repartition" TargetMode="External"/><Relationship Id="rId52" Type="http://schemas.openxmlformats.org/officeDocument/2006/relationships/hyperlink" Target="https://apvma.gov.au/node/10946" TargetMode="External"/><Relationship Id="rId60" Type="http://schemas.openxmlformats.org/officeDocument/2006/relationships/hyperlink" Target="https://www.tga.gov.au/prescribing-medicines-pregnancy-database" TargetMode="External"/><Relationship Id="rId65" Type="http://schemas.openxmlformats.org/officeDocument/2006/relationships/hyperlink" Target="https://www.medsafe.govt.nz/profs/class/classintro.asp" TargetMode="External"/><Relationship Id="rId73" Type="http://schemas.openxmlformats.org/officeDocument/2006/relationships/hyperlink" Target="https://www.legislation.gov.au/F2021L01888/asmade/text" TargetMode="External"/><Relationship Id="rId78" Type="http://schemas.openxmlformats.org/officeDocument/2006/relationships/hyperlink" Target="https://www.accessdata.fda.gov/scripts/cder/daf/index.cfm" TargetMode="External"/><Relationship Id="rId81" Type="http://schemas.openxmlformats.org/officeDocument/2006/relationships/hyperlink" Target="https://www.canada.ca/en/health-canada/services/consumer-product-safety/cosmetics/cosmetic-ingredient-hotlist-prohibited-restricted-ingredients/hotlist.html" TargetMode="External"/><Relationship Id="rId86" Type="http://schemas.openxmlformats.org/officeDocument/2006/relationships/hyperlink" Target="https://www.tga.gov.au/resources/resource/forms/scheduling-consultation-coversheets"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A8CBC-B2FD-424B-98E3-6D577660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686</TotalTime>
  <Pages>1</Pages>
  <Words>6976</Words>
  <Characters>39764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CHILLINGWORTH, Dion</dc:creator>
  <cp:keywords/>
  <dc:description/>
  <cp:lastModifiedBy>CHILLINGWORTH, Dion</cp:lastModifiedBy>
  <cp:revision>52</cp:revision>
  <dcterms:created xsi:type="dcterms:W3CDTF">2024-04-15T04:08:00Z</dcterms:created>
  <dcterms:modified xsi:type="dcterms:W3CDTF">2024-04-24T00:26:00Z</dcterms:modified>
</cp:coreProperties>
</file>