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576F2" w14:textId="77777777" w:rsidR="00C25488" w:rsidRDefault="00C25488" w:rsidP="00C25488"/>
    <w:tbl>
      <w:tblPr>
        <w:tblStyle w:val="TableGrid1"/>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C25488" w:rsidRPr="00524634" w14:paraId="535562D8" w14:textId="77777777" w:rsidTr="00014837">
        <w:tc>
          <w:tcPr>
            <w:tcW w:w="8720" w:type="dxa"/>
          </w:tcPr>
          <w:p w14:paraId="0040DC70" w14:textId="77777777" w:rsidR="00C25488" w:rsidRPr="00C25488" w:rsidRDefault="00C25488" w:rsidP="00014837">
            <w:pPr>
              <w:spacing w:after="120"/>
              <w:contextualSpacing/>
              <w:outlineLvl w:val="0"/>
              <w:rPr>
                <w:rFonts w:asciiTheme="majorHAnsi" w:eastAsia="Times New Roman" w:hAnsiTheme="majorHAnsi" w:cstheme="majorHAnsi"/>
                <w:color w:val="001871"/>
                <w:spacing w:val="5"/>
                <w:kern w:val="28"/>
                <w:sz w:val="52"/>
                <w:szCs w:val="52"/>
              </w:rPr>
            </w:pPr>
            <w:bookmarkStart w:id="0" w:name="_Hlk139891401"/>
            <w:r w:rsidRPr="00C25488">
              <w:rPr>
                <w:rFonts w:asciiTheme="majorHAnsi" w:eastAsia="Times New Roman" w:hAnsiTheme="majorHAnsi" w:cstheme="majorHAnsi"/>
                <w:color w:val="001871"/>
                <w:spacing w:val="5"/>
                <w:kern w:val="28"/>
                <w:sz w:val="52"/>
                <w:szCs w:val="52"/>
              </w:rPr>
              <w:t>Consultation: Proposed amendments to the Poisons Standard – ACMS, ACCS and Joint ACMS-ACCS meetings, March 2024</w:t>
            </w:r>
          </w:p>
        </w:tc>
      </w:tr>
      <w:tr w:rsidR="00C25488" w:rsidRPr="00524634" w14:paraId="45990800" w14:textId="77777777" w:rsidTr="00014837">
        <w:trPr>
          <w:trHeight w:val="1916"/>
        </w:trPr>
        <w:tc>
          <w:tcPr>
            <w:tcW w:w="8720" w:type="dxa"/>
          </w:tcPr>
          <w:p w14:paraId="0DBDCE1E" w14:textId="5AC41FCA" w:rsidR="00C25488" w:rsidRPr="00C25488" w:rsidRDefault="001A06A9" w:rsidP="00014837">
            <w:pPr>
              <w:numPr>
                <w:ilvl w:val="1"/>
                <w:numId w:val="0"/>
              </w:numPr>
              <w:rPr>
                <w:rFonts w:asciiTheme="majorHAnsi" w:eastAsia="Times New Roman" w:hAnsiTheme="majorHAnsi" w:cstheme="majorHAnsi"/>
                <w:bCs/>
                <w:iCs/>
                <w:color w:val="006BA6"/>
                <w:sz w:val="40"/>
                <w:szCs w:val="24"/>
              </w:rPr>
            </w:pPr>
            <w:r>
              <w:rPr>
                <w:rFonts w:asciiTheme="majorHAnsi" w:eastAsia="Times New Roman" w:hAnsiTheme="majorHAnsi" w:cstheme="majorHAnsi"/>
                <w:bCs/>
                <w:iCs/>
                <w:color w:val="006BA6"/>
                <w:sz w:val="40"/>
                <w:szCs w:val="24"/>
              </w:rPr>
              <w:t>5</w:t>
            </w:r>
            <w:r w:rsidR="00C25488" w:rsidRPr="00C25488">
              <w:rPr>
                <w:rFonts w:asciiTheme="majorHAnsi" w:eastAsia="Times New Roman" w:hAnsiTheme="majorHAnsi" w:cstheme="majorHAnsi"/>
                <w:bCs/>
                <w:iCs/>
                <w:color w:val="006BA6"/>
                <w:sz w:val="40"/>
                <w:szCs w:val="24"/>
              </w:rPr>
              <w:t xml:space="preserve"> January 2024</w:t>
            </w:r>
          </w:p>
        </w:tc>
      </w:tr>
      <w:tr w:rsidR="00C25488" w:rsidRPr="00524634" w14:paraId="6E6AEECB" w14:textId="77777777" w:rsidTr="00014837">
        <w:tc>
          <w:tcPr>
            <w:tcW w:w="8720" w:type="dxa"/>
          </w:tcPr>
          <w:p w14:paraId="1AD4BD32" w14:textId="77777777" w:rsidR="00C25488" w:rsidRPr="00524634" w:rsidRDefault="00C25488" w:rsidP="00014837">
            <w:pPr>
              <w:spacing w:before="120"/>
              <w:rPr>
                <w:color w:val="333F4A"/>
                <w:sz w:val="28"/>
                <w:szCs w:val="20"/>
              </w:rPr>
            </w:pPr>
          </w:p>
        </w:tc>
      </w:tr>
      <w:bookmarkEnd w:id="0"/>
    </w:tbl>
    <w:p w14:paraId="1757D477" w14:textId="77777777" w:rsidR="00C25488" w:rsidRDefault="00C25488" w:rsidP="00C25488"/>
    <w:p w14:paraId="1F7E904E" w14:textId="391EBA0E" w:rsidR="00C25488" w:rsidRPr="002E07A6" w:rsidRDefault="00C25488" w:rsidP="00C25488">
      <w:pPr>
        <w:rPr>
          <w:rFonts w:cs="Arial"/>
          <w:b/>
          <w:bCs/>
          <w:sz w:val="16"/>
          <w:szCs w:val="16"/>
        </w:rPr>
      </w:pPr>
      <w:bookmarkStart w:id="1" w:name="_Hlk139891783"/>
      <w:r w:rsidRPr="002E07A6">
        <w:rPr>
          <w:rFonts w:cs="Arial"/>
          <w:b/>
          <w:bCs/>
          <w:sz w:val="16"/>
          <w:szCs w:val="16"/>
        </w:rPr>
        <w:lastRenderedPageBreak/>
        <w:t>Copyright</w:t>
      </w:r>
    </w:p>
    <w:p w14:paraId="5572C738" w14:textId="779BBBA5" w:rsidR="00C25488" w:rsidRPr="0010624D" w:rsidRDefault="00C25488" w:rsidP="00C25488">
      <w:pPr>
        <w:rPr>
          <w:rFonts w:cs="Calibri"/>
          <w:sz w:val="16"/>
          <w:szCs w:val="16"/>
        </w:rPr>
      </w:pPr>
      <w:r w:rsidRPr="002E07A6">
        <w:rPr>
          <w:rFonts w:cs="Arial"/>
          <w:sz w:val="16"/>
          <w:szCs w:val="16"/>
        </w:rPr>
        <w:t>© Commonwealth of Australia 202</w:t>
      </w:r>
      <w:r w:rsidR="00046BA6">
        <w:rPr>
          <w:rFonts w:cs="Arial"/>
          <w:sz w:val="16"/>
          <w:szCs w:val="16"/>
        </w:rPr>
        <w:t>4</w:t>
      </w:r>
      <w:r w:rsidRPr="002E07A6">
        <w:rPr>
          <w:rFonts w:cs="Arial"/>
          <w:sz w:val="16"/>
          <w:szCs w:val="16"/>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E07A6">
        <w:rPr>
          <w:rFonts w:cs="Arial"/>
          <w:i/>
          <w:sz w:val="16"/>
          <w:szCs w:val="16"/>
        </w:rPr>
        <w:t>Copyright Act 1968</w:t>
      </w:r>
      <w:r w:rsidRPr="002E07A6">
        <w:rPr>
          <w:rFonts w:cs="Arial"/>
          <w:sz w:val="16"/>
          <w:szCs w:val="16"/>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w:t>
      </w:r>
      <w:r w:rsidRPr="0010624D">
        <w:rPr>
          <w:rFonts w:cs="Calibri"/>
          <w:sz w:val="16"/>
          <w:szCs w:val="16"/>
        </w:rPr>
        <w:t xml:space="preserve">Therapeutic Goods Administration, PO Box 100, Woden ACT 2606 or emailed to </w:t>
      </w:r>
      <w:hyperlink r:id="rId8" w:history="1">
        <w:r w:rsidRPr="0010624D">
          <w:rPr>
            <w:rStyle w:val="Hyperlink"/>
            <w:rFonts w:ascii="Calibri" w:hAnsi="Calibri" w:cs="Calibri"/>
            <w:sz w:val="16"/>
            <w:szCs w:val="16"/>
          </w:rPr>
          <w:t>tga.copyright@tga.gov.au</w:t>
        </w:r>
      </w:hyperlink>
      <w:r w:rsidRPr="0010624D">
        <w:rPr>
          <w:rFonts w:cs="Calibri"/>
          <w:sz w:val="16"/>
          <w:szCs w:val="16"/>
        </w:rPr>
        <w:t>.</w:t>
      </w:r>
    </w:p>
    <w:p w14:paraId="2F5182BE" w14:textId="77777777" w:rsidR="00C25488" w:rsidRPr="002E07A6" w:rsidRDefault="00C25488" w:rsidP="00C25488">
      <w:pPr>
        <w:rPr>
          <w:rFonts w:cs="Arial"/>
          <w:sz w:val="16"/>
          <w:szCs w:val="16"/>
        </w:rPr>
      </w:pPr>
    </w:p>
    <w:p w14:paraId="65116CDE" w14:textId="77777777" w:rsidR="00C25488" w:rsidRPr="002E07A6" w:rsidRDefault="00C25488" w:rsidP="00C25488">
      <w:pPr>
        <w:rPr>
          <w:rFonts w:cs="Arial"/>
          <w:b/>
          <w:sz w:val="16"/>
          <w:szCs w:val="16"/>
        </w:rPr>
      </w:pPr>
      <w:bookmarkStart w:id="2" w:name="_Hlk139901247"/>
      <w:r w:rsidRPr="002E07A6">
        <w:rPr>
          <w:rFonts w:cs="Arial"/>
          <w:b/>
          <w:sz w:val="16"/>
          <w:szCs w:val="16"/>
        </w:rPr>
        <w:t>Confidentiality</w:t>
      </w:r>
    </w:p>
    <w:p w14:paraId="688A632D" w14:textId="77777777" w:rsidR="00C25488" w:rsidRDefault="00C25488" w:rsidP="00C25488">
      <w:pPr>
        <w:rPr>
          <w:rFonts w:cs="Arial"/>
          <w:sz w:val="16"/>
          <w:szCs w:val="16"/>
        </w:rPr>
      </w:pPr>
      <w:r w:rsidRPr="002E07A6">
        <w:rPr>
          <w:rFonts w:cs="Arial"/>
          <w:sz w:val="16"/>
          <w:szCs w:val="16"/>
        </w:rP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p w14:paraId="200BB015" w14:textId="77777777" w:rsidR="00C25488" w:rsidRDefault="00C25488" w:rsidP="00C25488">
      <w:pPr>
        <w:rPr>
          <w:rFonts w:cs="Arial"/>
          <w:sz w:val="16"/>
          <w:szCs w:val="16"/>
        </w:rPr>
      </w:pPr>
      <w:r>
        <w:rPr>
          <w:rFonts w:cs="Arial"/>
          <w:sz w:val="16"/>
          <w:szCs w:val="16"/>
        </w:rPr>
        <w:br w:type="page"/>
      </w:r>
    </w:p>
    <w:bookmarkEnd w:id="2" w:displacedByCustomXml="next"/>
    <w:bookmarkEnd w:id="1" w:displacedByCustomXml="next"/>
    <w:bookmarkStart w:id="3" w:name="_Hlk139892237" w:displacedByCustomXml="next"/>
    <w:sdt>
      <w:sdtPr>
        <w:rPr>
          <w:rFonts w:asciiTheme="minorHAnsi" w:eastAsiaTheme="minorHAnsi" w:hAnsiTheme="minorHAnsi" w:cs="Arial"/>
          <w:b w:val="0"/>
          <w:color w:val="auto"/>
          <w:sz w:val="22"/>
        </w:rPr>
        <w:id w:val="21514769"/>
        <w:docPartObj>
          <w:docPartGallery w:val="Table of Contents"/>
          <w:docPartUnique/>
        </w:docPartObj>
      </w:sdtPr>
      <w:sdtEndPr>
        <w:rPr>
          <w:rFonts w:ascii="Calibri" w:hAnsi="Calibri"/>
        </w:rPr>
      </w:sdtEndPr>
      <w:sdtContent>
        <w:p w14:paraId="7B6EDD55" w14:textId="77777777" w:rsidR="00C25488" w:rsidRPr="00D149A2" w:rsidRDefault="00C25488" w:rsidP="00C25488">
          <w:pPr>
            <w:pStyle w:val="NonTOCheading2"/>
            <w:rPr>
              <w:rFonts w:cs="Arial"/>
            </w:rPr>
          </w:pPr>
          <w:r w:rsidRPr="00D149A2">
            <w:rPr>
              <w:rFonts w:cs="Arial"/>
            </w:rPr>
            <w:t>Contents</w:t>
          </w:r>
        </w:p>
        <w:p w14:paraId="432AE727" w14:textId="2E77565E" w:rsidR="002B50B0" w:rsidRDefault="00C25488">
          <w:pPr>
            <w:pStyle w:val="TOC1"/>
            <w:rPr>
              <w:rFonts w:asciiTheme="minorHAnsi" w:eastAsiaTheme="minorEastAsia" w:hAnsiTheme="minorHAnsi" w:cstheme="minorBidi"/>
              <w:b w:val="0"/>
              <w:noProof/>
              <w:color w:val="auto"/>
              <w:sz w:val="22"/>
              <w:szCs w:val="22"/>
              <w:lang w:eastAsia="en-AU"/>
            </w:rPr>
          </w:pPr>
          <w:r w:rsidRPr="00D149A2">
            <w:fldChar w:fldCharType="begin"/>
          </w:r>
          <w:r w:rsidRPr="00D149A2">
            <w:instrText xml:space="preserve"> TOC \h \z \u \t "Heading 2,1,Heading 3,2,Heading 4,3" </w:instrText>
          </w:r>
          <w:r w:rsidRPr="00D149A2">
            <w:fldChar w:fldCharType="separate"/>
          </w:r>
          <w:hyperlink w:anchor="_Toc155176330" w:history="1">
            <w:r w:rsidR="002B50B0" w:rsidRPr="00670C15">
              <w:rPr>
                <w:rStyle w:val="Hyperlink"/>
                <w:rFonts w:cs="Arial"/>
                <w:noProof/>
              </w:rPr>
              <w:t>About this consultation</w:t>
            </w:r>
            <w:r w:rsidR="002B50B0">
              <w:rPr>
                <w:noProof/>
                <w:webHidden/>
              </w:rPr>
              <w:tab/>
            </w:r>
            <w:r w:rsidR="002B50B0">
              <w:rPr>
                <w:noProof/>
                <w:webHidden/>
              </w:rPr>
              <w:fldChar w:fldCharType="begin"/>
            </w:r>
            <w:r w:rsidR="002B50B0">
              <w:rPr>
                <w:noProof/>
                <w:webHidden/>
              </w:rPr>
              <w:instrText xml:space="preserve"> PAGEREF _Toc155176330 \h </w:instrText>
            </w:r>
            <w:r w:rsidR="002B50B0">
              <w:rPr>
                <w:noProof/>
                <w:webHidden/>
              </w:rPr>
            </w:r>
            <w:r w:rsidR="002B50B0">
              <w:rPr>
                <w:noProof/>
                <w:webHidden/>
              </w:rPr>
              <w:fldChar w:fldCharType="separate"/>
            </w:r>
            <w:r w:rsidR="002B50B0">
              <w:rPr>
                <w:noProof/>
                <w:webHidden/>
              </w:rPr>
              <w:t>6</w:t>
            </w:r>
            <w:r w:rsidR="002B50B0">
              <w:rPr>
                <w:noProof/>
                <w:webHidden/>
              </w:rPr>
              <w:fldChar w:fldCharType="end"/>
            </w:r>
          </w:hyperlink>
        </w:p>
        <w:p w14:paraId="5FF28AF3" w14:textId="726B88E0" w:rsidR="002B50B0" w:rsidRDefault="00000000">
          <w:pPr>
            <w:pStyle w:val="TOC1"/>
            <w:tabs>
              <w:tab w:val="left" w:pos="425"/>
            </w:tabs>
            <w:rPr>
              <w:rFonts w:asciiTheme="minorHAnsi" w:eastAsiaTheme="minorEastAsia" w:hAnsiTheme="minorHAnsi" w:cstheme="minorBidi"/>
              <w:b w:val="0"/>
              <w:noProof/>
              <w:color w:val="auto"/>
              <w:sz w:val="22"/>
              <w:szCs w:val="22"/>
              <w:lang w:eastAsia="en-AU"/>
            </w:rPr>
          </w:pPr>
          <w:hyperlink w:anchor="_Toc155176331" w:history="1">
            <w:r w:rsidR="002B50B0" w:rsidRPr="00670C15">
              <w:rPr>
                <w:rStyle w:val="Hyperlink"/>
                <w:rFonts w:cs="Arial"/>
                <w:noProof/>
              </w:rPr>
              <w:t>1</w:t>
            </w:r>
            <w:r w:rsidR="002B50B0">
              <w:rPr>
                <w:rFonts w:asciiTheme="minorHAnsi" w:eastAsiaTheme="minorEastAsia" w:hAnsiTheme="minorHAnsi" w:cstheme="minorBidi"/>
                <w:b w:val="0"/>
                <w:noProof/>
                <w:color w:val="auto"/>
                <w:sz w:val="22"/>
                <w:szCs w:val="22"/>
                <w:lang w:eastAsia="en-AU"/>
              </w:rPr>
              <w:tab/>
            </w:r>
            <w:r w:rsidR="002B50B0" w:rsidRPr="00670C15">
              <w:rPr>
                <w:rStyle w:val="Hyperlink"/>
                <w:rFonts w:cs="Arial"/>
                <w:noProof/>
              </w:rPr>
              <w:t>Proposed amendment referred for scheduling advice to ACMS meeting #44</w:t>
            </w:r>
            <w:r w:rsidR="002B50B0">
              <w:rPr>
                <w:noProof/>
                <w:webHidden/>
              </w:rPr>
              <w:tab/>
            </w:r>
            <w:r w:rsidR="002B50B0">
              <w:rPr>
                <w:noProof/>
                <w:webHidden/>
              </w:rPr>
              <w:fldChar w:fldCharType="begin"/>
            </w:r>
            <w:r w:rsidR="002B50B0">
              <w:rPr>
                <w:noProof/>
                <w:webHidden/>
              </w:rPr>
              <w:instrText xml:space="preserve"> PAGEREF _Toc155176331 \h </w:instrText>
            </w:r>
            <w:r w:rsidR="002B50B0">
              <w:rPr>
                <w:noProof/>
                <w:webHidden/>
              </w:rPr>
            </w:r>
            <w:r w:rsidR="002B50B0">
              <w:rPr>
                <w:noProof/>
                <w:webHidden/>
              </w:rPr>
              <w:fldChar w:fldCharType="separate"/>
            </w:r>
            <w:r w:rsidR="002B50B0">
              <w:rPr>
                <w:noProof/>
                <w:webHidden/>
              </w:rPr>
              <w:t>7</w:t>
            </w:r>
            <w:r w:rsidR="002B50B0">
              <w:rPr>
                <w:noProof/>
                <w:webHidden/>
              </w:rPr>
              <w:fldChar w:fldCharType="end"/>
            </w:r>
          </w:hyperlink>
        </w:p>
        <w:p w14:paraId="76C96690" w14:textId="76393DE8" w:rsidR="002B50B0" w:rsidRDefault="00000000">
          <w:pPr>
            <w:pStyle w:val="TOC2"/>
            <w:tabs>
              <w:tab w:val="left" w:pos="1276"/>
            </w:tabs>
            <w:rPr>
              <w:rFonts w:asciiTheme="minorHAnsi" w:eastAsiaTheme="minorEastAsia" w:hAnsiTheme="minorHAnsi" w:cstheme="minorBidi"/>
              <w:noProof/>
              <w:color w:val="auto"/>
              <w:sz w:val="22"/>
              <w:szCs w:val="22"/>
              <w:lang w:eastAsia="en-AU"/>
            </w:rPr>
          </w:pPr>
          <w:hyperlink w:anchor="_Toc155176332" w:history="1">
            <w:r w:rsidR="002B50B0" w:rsidRPr="00670C15">
              <w:rPr>
                <w:rStyle w:val="Hyperlink"/>
                <w:noProof/>
              </w:rPr>
              <w:t>1.1</w:t>
            </w:r>
            <w:r w:rsidR="002B50B0">
              <w:rPr>
                <w:rFonts w:asciiTheme="minorHAnsi" w:eastAsiaTheme="minorEastAsia" w:hAnsiTheme="minorHAnsi" w:cstheme="minorBidi"/>
                <w:noProof/>
                <w:color w:val="auto"/>
                <w:sz w:val="22"/>
                <w:szCs w:val="22"/>
                <w:lang w:eastAsia="en-AU"/>
              </w:rPr>
              <w:tab/>
            </w:r>
            <w:r w:rsidR="002B50B0" w:rsidRPr="00670C15">
              <w:rPr>
                <w:rStyle w:val="Hyperlink"/>
                <w:noProof/>
              </w:rPr>
              <w:t>Cytisine</w:t>
            </w:r>
            <w:r w:rsidR="002B50B0">
              <w:rPr>
                <w:noProof/>
                <w:webHidden/>
              </w:rPr>
              <w:tab/>
            </w:r>
            <w:r w:rsidR="002B50B0">
              <w:rPr>
                <w:noProof/>
                <w:webHidden/>
              </w:rPr>
              <w:fldChar w:fldCharType="begin"/>
            </w:r>
            <w:r w:rsidR="002B50B0">
              <w:rPr>
                <w:noProof/>
                <w:webHidden/>
              </w:rPr>
              <w:instrText xml:space="preserve"> PAGEREF _Toc155176332 \h </w:instrText>
            </w:r>
            <w:r w:rsidR="002B50B0">
              <w:rPr>
                <w:noProof/>
                <w:webHidden/>
              </w:rPr>
            </w:r>
            <w:r w:rsidR="002B50B0">
              <w:rPr>
                <w:noProof/>
                <w:webHidden/>
              </w:rPr>
              <w:fldChar w:fldCharType="separate"/>
            </w:r>
            <w:r w:rsidR="002B50B0">
              <w:rPr>
                <w:noProof/>
                <w:webHidden/>
              </w:rPr>
              <w:t>7</w:t>
            </w:r>
            <w:r w:rsidR="002B50B0">
              <w:rPr>
                <w:noProof/>
                <w:webHidden/>
              </w:rPr>
              <w:fldChar w:fldCharType="end"/>
            </w:r>
          </w:hyperlink>
        </w:p>
        <w:p w14:paraId="27709DCC" w14:textId="4122E131" w:rsidR="002B50B0" w:rsidRDefault="00000000">
          <w:pPr>
            <w:pStyle w:val="TOC3"/>
            <w:rPr>
              <w:rFonts w:asciiTheme="minorHAnsi" w:eastAsiaTheme="minorEastAsia" w:hAnsiTheme="minorHAnsi" w:cstheme="minorBidi"/>
              <w:noProof/>
              <w:color w:val="auto"/>
              <w:szCs w:val="22"/>
              <w:lang w:eastAsia="en-AU"/>
            </w:rPr>
          </w:pPr>
          <w:hyperlink w:anchor="_Toc155176333" w:history="1">
            <w:r w:rsidR="002B50B0" w:rsidRPr="00670C15">
              <w:rPr>
                <w:rStyle w:val="Hyperlink"/>
                <w:noProof/>
              </w:rPr>
              <w:t>Proposal</w:t>
            </w:r>
            <w:r w:rsidR="002B50B0">
              <w:rPr>
                <w:noProof/>
                <w:webHidden/>
              </w:rPr>
              <w:tab/>
            </w:r>
            <w:r w:rsidR="002B50B0">
              <w:rPr>
                <w:noProof/>
                <w:webHidden/>
              </w:rPr>
              <w:fldChar w:fldCharType="begin"/>
            </w:r>
            <w:r w:rsidR="002B50B0">
              <w:rPr>
                <w:noProof/>
                <w:webHidden/>
              </w:rPr>
              <w:instrText xml:space="preserve"> PAGEREF _Toc155176333 \h </w:instrText>
            </w:r>
            <w:r w:rsidR="002B50B0">
              <w:rPr>
                <w:noProof/>
                <w:webHidden/>
              </w:rPr>
            </w:r>
            <w:r w:rsidR="002B50B0">
              <w:rPr>
                <w:noProof/>
                <w:webHidden/>
              </w:rPr>
              <w:fldChar w:fldCharType="separate"/>
            </w:r>
            <w:r w:rsidR="002B50B0">
              <w:rPr>
                <w:noProof/>
                <w:webHidden/>
              </w:rPr>
              <w:t>7</w:t>
            </w:r>
            <w:r w:rsidR="002B50B0">
              <w:rPr>
                <w:noProof/>
                <w:webHidden/>
              </w:rPr>
              <w:fldChar w:fldCharType="end"/>
            </w:r>
          </w:hyperlink>
        </w:p>
        <w:p w14:paraId="26625BC6" w14:textId="493EED38" w:rsidR="002B50B0" w:rsidRDefault="00000000">
          <w:pPr>
            <w:pStyle w:val="TOC3"/>
            <w:rPr>
              <w:rFonts w:asciiTheme="minorHAnsi" w:eastAsiaTheme="minorEastAsia" w:hAnsiTheme="minorHAnsi" w:cstheme="minorBidi"/>
              <w:noProof/>
              <w:color w:val="auto"/>
              <w:szCs w:val="22"/>
              <w:lang w:eastAsia="en-AU"/>
            </w:rPr>
          </w:pPr>
          <w:hyperlink w:anchor="_Toc155176334" w:history="1">
            <w:r w:rsidR="002B50B0" w:rsidRPr="00670C15">
              <w:rPr>
                <w:rStyle w:val="Hyperlink"/>
                <w:noProof/>
              </w:rPr>
              <w:t>CAS number</w:t>
            </w:r>
            <w:r w:rsidR="002B50B0">
              <w:rPr>
                <w:noProof/>
                <w:webHidden/>
              </w:rPr>
              <w:tab/>
            </w:r>
            <w:r w:rsidR="002B50B0">
              <w:rPr>
                <w:noProof/>
                <w:webHidden/>
              </w:rPr>
              <w:fldChar w:fldCharType="begin"/>
            </w:r>
            <w:r w:rsidR="002B50B0">
              <w:rPr>
                <w:noProof/>
                <w:webHidden/>
              </w:rPr>
              <w:instrText xml:space="preserve"> PAGEREF _Toc155176334 \h </w:instrText>
            </w:r>
            <w:r w:rsidR="002B50B0">
              <w:rPr>
                <w:noProof/>
                <w:webHidden/>
              </w:rPr>
            </w:r>
            <w:r w:rsidR="002B50B0">
              <w:rPr>
                <w:noProof/>
                <w:webHidden/>
              </w:rPr>
              <w:fldChar w:fldCharType="separate"/>
            </w:r>
            <w:r w:rsidR="002B50B0">
              <w:rPr>
                <w:noProof/>
                <w:webHidden/>
              </w:rPr>
              <w:t>7</w:t>
            </w:r>
            <w:r w:rsidR="002B50B0">
              <w:rPr>
                <w:noProof/>
                <w:webHidden/>
              </w:rPr>
              <w:fldChar w:fldCharType="end"/>
            </w:r>
          </w:hyperlink>
        </w:p>
        <w:p w14:paraId="26678B68" w14:textId="557FB993" w:rsidR="002B50B0" w:rsidRDefault="00000000">
          <w:pPr>
            <w:pStyle w:val="TOC3"/>
            <w:rPr>
              <w:rFonts w:asciiTheme="minorHAnsi" w:eastAsiaTheme="minorEastAsia" w:hAnsiTheme="minorHAnsi" w:cstheme="minorBidi"/>
              <w:noProof/>
              <w:color w:val="auto"/>
              <w:szCs w:val="22"/>
              <w:lang w:eastAsia="en-AU"/>
            </w:rPr>
          </w:pPr>
          <w:hyperlink w:anchor="_Toc155176335" w:history="1">
            <w:r w:rsidR="002B50B0" w:rsidRPr="00670C15">
              <w:rPr>
                <w:rStyle w:val="Hyperlink"/>
                <w:noProof/>
              </w:rPr>
              <w:t>Alternative names</w:t>
            </w:r>
            <w:r w:rsidR="002B50B0">
              <w:rPr>
                <w:noProof/>
                <w:webHidden/>
              </w:rPr>
              <w:tab/>
            </w:r>
            <w:r w:rsidR="002B50B0">
              <w:rPr>
                <w:noProof/>
                <w:webHidden/>
              </w:rPr>
              <w:fldChar w:fldCharType="begin"/>
            </w:r>
            <w:r w:rsidR="002B50B0">
              <w:rPr>
                <w:noProof/>
                <w:webHidden/>
              </w:rPr>
              <w:instrText xml:space="preserve"> PAGEREF _Toc155176335 \h </w:instrText>
            </w:r>
            <w:r w:rsidR="002B50B0">
              <w:rPr>
                <w:noProof/>
                <w:webHidden/>
              </w:rPr>
            </w:r>
            <w:r w:rsidR="002B50B0">
              <w:rPr>
                <w:noProof/>
                <w:webHidden/>
              </w:rPr>
              <w:fldChar w:fldCharType="separate"/>
            </w:r>
            <w:r w:rsidR="002B50B0">
              <w:rPr>
                <w:noProof/>
                <w:webHidden/>
              </w:rPr>
              <w:t>7</w:t>
            </w:r>
            <w:r w:rsidR="002B50B0">
              <w:rPr>
                <w:noProof/>
                <w:webHidden/>
              </w:rPr>
              <w:fldChar w:fldCharType="end"/>
            </w:r>
          </w:hyperlink>
        </w:p>
        <w:p w14:paraId="6D5BCB67" w14:textId="5B4DC980" w:rsidR="002B50B0" w:rsidRDefault="00000000">
          <w:pPr>
            <w:pStyle w:val="TOC3"/>
            <w:rPr>
              <w:rFonts w:asciiTheme="minorHAnsi" w:eastAsiaTheme="minorEastAsia" w:hAnsiTheme="minorHAnsi" w:cstheme="minorBidi"/>
              <w:noProof/>
              <w:color w:val="auto"/>
              <w:szCs w:val="22"/>
              <w:lang w:eastAsia="en-AU"/>
            </w:rPr>
          </w:pPr>
          <w:hyperlink w:anchor="_Toc155176336" w:history="1">
            <w:r w:rsidR="002B50B0" w:rsidRPr="00670C15">
              <w:rPr>
                <w:rStyle w:val="Hyperlink"/>
                <w:noProof/>
              </w:rPr>
              <w:t>Applicant</w:t>
            </w:r>
            <w:r w:rsidR="002B50B0">
              <w:rPr>
                <w:noProof/>
                <w:webHidden/>
              </w:rPr>
              <w:tab/>
            </w:r>
            <w:r w:rsidR="002B50B0">
              <w:rPr>
                <w:noProof/>
                <w:webHidden/>
              </w:rPr>
              <w:fldChar w:fldCharType="begin"/>
            </w:r>
            <w:r w:rsidR="002B50B0">
              <w:rPr>
                <w:noProof/>
                <w:webHidden/>
              </w:rPr>
              <w:instrText xml:space="preserve"> PAGEREF _Toc155176336 \h </w:instrText>
            </w:r>
            <w:r w:rsidR="002B50B0">
              <w:rPr>
                <w:noProof/>
                <w:webHidden/>
              </w:rPr>
            </w:r>
            <w:r w:rsidR="002B50B0">
              <w:rPr>
                <w:noProof/>
                <w:webHidden/>
              </w:rPr>
              <w:fldChar w:fldCharType="separate"/>
            </w:r>
            <w:r w:rsidR="002B50B0">
              <w:rPr>
                <w:noProof/>
                <w:webHidden/>
              </w:rPr>
              <w:t>7</w:t>
            </w:r>
            <w:r w:rsidR="002B50B0">
              <w:rPr>
                <w:noProof/>
                <w:webHidden/>
              </w:rPr>
              <w:fldChar w:fldCharType="end"/>
            </w:r>
          </w:hyperlink>
        </w:p>
        <w:p w14:paraId="75971837" w14:textId="64DE93D1" w:rsidR="002B50B0" w:rsidRDefault="00000000">
          <w:pPr>
            <w:pStyle w:val="TOC3"/>
            <w:rPr>
              <w:rFonts w:asciiTheme="minorHAnsi" w:eastAsiaTheme="minorEastAsia" w:hAnsiTheme="minorHAnsi" w:cstheme="minorBidi"/>
              <w:noProof/>
              <w:color w:val="auto"/>
              <w:szCs w:val="22"/>
              <w:lang w:eastAsia="en-AU"/>
            </w:rPr>
          </w:pPr>
          <w:hyperlink w:anchor="_Toc155176337" w:history="1">
            <w:r w:rsidR="002B50B0" w:rsidRPr="00670C15">
              <w:rPr>
                <w:rStyle w:val="Hyperlink"/>
                <w:noProof/>
              </w:rPr>
              <w:t>Proposed Scheduling</w:t>
            </w:r>
            <w:r w:rsidR="002B50B0">
              <w:rPr>
                <w:noProof/>
                <w:webHidden/>
              </w:rPr>
              <w:tab/>
            </w:r>
            <w:r w:rsidR="002B50B0">
              <w:rPr>
                <w:noProof/>
                <w:webHidden/>
              </w:rPr>
              <w:fldChar w:fldCharType="begin"/>
            </w:r>
            <w:r w:rsidR="002B50B0">
              <w:rPr>
                <w:noProof/>
                <w:webHidden/>
              </w:rPr>
              <w:instrText xml:space="preserve"> PAGEREF _Toc155176337 \h </w:instrText>
            </w:r>
            <w:r w:rsidR="002B50B0">
              <w:rPr>
                <w:noProof/>
                <w:webHidden/>
              </w:rPr>
            </w:r>
            <w:r w:rsidR="002B50B0">
              <w:rPr>
                <w:noProof/>
                <w:webHidden/>
              </w:rPr>
              <w:fldChar w:fldCharType="separate"/>
            </w:r>
            <w:r w:rsidR="002B50B0">
              <w:rPr>
                <w:noProof/>
                <w:webHidden/>
              </w:rPr>
              <w:t>7</w:t>
            </w:r>
            <w:r w:rsidR="002B50B0">
              <w:rPr>
                <w:noProof/>
                <w:webHidden/>
              </w:rPr>
              <w:fldChar w:fldCharType="end"/>
            </w:r>
          </w:hyperlink>
        </w:p>
        <w:p w14:paraId="4088E21A" w14:textId="759F8CF0" w:rsidR="002B50B0" w:rsidRDefault="00000000">
          <w:pPr>
            <w:pStyle w:val="TOC3"/>
            <w:rPr>
              <w:rFonts w:asciiTheme="minorHAnsi" w:eastAsiaTheme="minorEastAsia" w:hAnsiTheme="minorHAnsi" w:cstheme="minorBidi"/>
              <w:noProof/>
              <w:color w:val="auto"/>
              <w:szCs w:val="22"/>
              <w:lang w:eastAsia="en-AU"/>
            </w:rPr>
          </w:pPr>
          <w:hyperlink w:anchor="_Toc155176338" w:history="1">
            <w:r w:rsidR="002B50B0" w:rsidRPr="00670C15">
              <w:rPr>
                <w:rStyle w:val="Hyperlink"/>
                <w:noProof/>
              </w:rPr>
              <w:t>Background</w:t>
            </w:r>
            <w:r w:rsidR="002B50B0">
              <w:rPr>
                <w:noProof/>
                <w:webHidden/>
              </w:rPr>
              <w:tab/>
            </w:r>
            <w:r w:rsidR="002B50B0">
              <w:rPr>
                <w:noProof/>
                <w:webHidden/>
              </w:rPr>
              <w:fldChar w:fldCharType="begin"/>
            </w:r>
            <w:r w:rsidR="002B50B0">
              <w:rPr>
                <w:noProof/>
                <w:webHidden/>
              </w:rPr>
              <w:instrText xml:space="preserve"> PAGEREF _Toc155176338 \h </w:instrText>
            </w:r>
            <w:r w:rsidR="002B50B0">
              <w:rPr>
                <w:noProof/>
                <w:webHidden/>
              </w:rPr>
            </w:r>
            <w:r w:rsidR="002B50B0">
              <w:rPr>
                <w:noProof/>
                <w:webHidden/>
              </w:rPr>
              <w:fldChar w:fldCharType="separate"/>
            </w:r>
            <w:r w:rsidR="002B50B0">
              <w:rPr>
                <w:noProof/>
                <w:webHidden/>
              </w:rPr>
              <w:t>8</w:t>
            </w:r>
            <w:r w:rsidR="002B50B0">
              <w:rPr>
                <w:noProof/>
                <w:webHidden/>
              </w:rPr>
              <w:fldChar w:fldCharType="end"/>
            </w:r>
          </w:hyperlink>
        </w:p>
        <w:p w14:paraId="5E56DD7B" w14:textId="162665DB" w:rsidR="002B50B0" w:rsidRDefault="00000000">
          <w:pPr>
            <w:pStyle w:val="TOC3"/>
            <w:rPr>
              <w:rFonts w:asciiTheme="minorHAnsi" w:eastAsiaTheme="minorEastAsia" w:hAnsiTheme="minorHAnsi" w:cstheme="minorBidi"/>
              <w:noProof/>
              <w:color w:val="auto"/>
              <w:szCs w:val="22"/>
              <w:lang w:eastAsia="en-AU"/>
            </w:rPr>
          </w:pPr>
          <w:hyperlink w:anchor="_Toc155176339" w:history="1">
            <w:r w:rsidR="002B50B0" w:rsidRPr="00670C15">
              <w:rPr>
                <w:rStyle w:val="Hyperlink"/>
                <w:noProof/>
              </w:rPr>
              <w:t>Summary of applicant’s reasons for the proposal</w:t>
            </w:r>
            <w:r w:rsidR="002B50B0">
              <w:rPr>
                <w:noProof/>
                <w:webHidden/>
              </w:rPr>
              <w:tab/>
            </w:r>
            <w:r w:rsidR="002B50B0">
              <w:rPr>
                <w:noProof/>
                <w:webHidden/>
              </w:rPr>
              <w:fldChar w:fldCharType="begin"/>
            </w:r>
            <w:r w:rsidR="002B50B0">
              <w:rPr>
                <w:noProof/>
                <w:webHidden/>
              </w:rPr>
              <w:instrText xml:space="preserve"> PAGEREF _Toc155176339 \h </w:instrText>
            </w:r>
            <w:r w:rsidR="002B50B0">
              <w:rPr>
                <w:noProof/>
                <w:webHidden/>
              </w:rPr>
            </w:r>
            <w:r w:rsidR="002B50B0">
              <w:rPr>
                <w:noProof/>
                <w:webHidden/>
              </w:rPr>
              <w:fldChar w:fldCharType="separate"/>
            </w:r>
            <w:r w:rsidR="002B50B0">
              <w:rPr>
                <w:noProof/>
                <w:webHidden/>
              </w:rPr>
              <w:t>8</w:t>
            </w:r>
            <w:r w:rsidR="002B50B0">
              <w:rPr>
                <w:noProof/>
                <w:webHidden/>
              </w:rPr>
              <w:fldChar w:fldCharType="end"/>
            </w:r>
          </w:hyperlink>
        </w:p>
        <w:p w14:paraId="457B8FF3" w14:textId="5F1C9C99" w:rsidR="002B50B0" w:rsidRDefault="00000000">
          <w:pPr>
            <w:pStyle w:val="TOC3"/>
            <w:rPr>
              <w:rFonts w:asciiTheme="minorHAnsi" w:eastAsiaTheme="minorEastAsia" w:hAnsiTheme="minorHAnsi" w:cstheme="minorBidi"/>
              <w:noProof/>
              <w:color w:val="auto"/>
              <w:szCs w:val="22"/>
              <w:lang w:eastAsia="en-AU"/>
            </w:rPr>
          </w:pPr>
          <w:hyperlink w:anchor="_Toc155176340" w:history="1">
            <w:r w:rsidR="002B50B0" w:rsidRPr="00670C15">
              <w:rPr>
                <w:rStyle w:val="Hyperlink"/>
                <w:noProof/>
              </w:rPr>
              <w:t>Key uses / expected use</w:t>
            </w:r>
            <w:r w:rsidR="002B50B0">
              <w:rPr>
                <w:noProof/>
                <w:webHidden/>
              </w:rPr>
              <w:tab/>
            </w:r>
            <w:r w:rsidR="002B50B0">
              <w:rPr>
                <w:noProof/>
                <w:webHidden/>
              </w:rPr>
              <w:fldChar w:fldCharType="begin"/>
            </w:r>
            <w:r w:rsidR="002B50B0">
              <w:rPr>
                <w:noProof/>
                <w:webHidden/>
              </w:rPr>
              <w:instrText xml:space="preserve"> PAGEREF _Toc155176340 \h </w:instrText>
            </w:r>
            <w:r w:rsidR="002B50B0">
              <w:rPr>
                <w:noProof/>
                <w:webHidden/>
              </w:rPr>
            </w:r>
            <w:r w:rsidR="002B50B0">
              <w:rPr>
                <w:noProof/>
                <w:webHidden/>
              </w:rPr>
              <w:fldChar w:fldCharType="separate"/>
            </w:r>
            <w:r w:rsidR="002B50B0">
              <w:rPr>
                <w:noProof/>
                <w:webHidden/>
              </w:rPr>
              <w:t>8</w:t>
            </w:r>
            <w:r w:rsidR="002B50B0">
              <w:rPr>
                <w:noProof/>
                <w:webHidden/>
              </w:rPr>
              <w:fldChar w:fldCharType="end"/>
            </w:r>
          </w:hyperlink>
        </w:p>
        <w:p w14:paraId="304E3612" w14:textId="654BBFE9" w:rsidR="002B50B0" w:rsidRDefault="00000000">
          <w:pPr>
            <w:pStyle w:val="TOC3"/>
            <w:rPr>
              <w:rFonts w:asciiTheme="minorHAnsi" w:eastAsiaTheme="minorEastAsia" w:hAnsiTheme="minorHAnsi" w:cstheme="minorBidi"/>
              <w:noProof/>
              <w:color w:val="auto"/>
              <w:szCs w:val="22"/>
              <w:lang w:eastAsia="en-AU"/>
            </w:rPr>
          </w:pPr>
          <w:hyperlink w:anchor="_Toc155176341" w:history="1">
            <w:r w:rsidR="002B50B0" w:rsidRPr="00670C15">
              <w:rPr>
                <w:rStyle w:val="Hyperlink"/>
                <w:noProof/>
              </w:rPr>
              <w:t>Australian regulations</w:t>
            </w:r>
            <w:r w:rsidR="002B50B0">
              <w:rPr>
                <w:noProof/>
                <w:webHidden/>
              </w:rPr>
              <w:tab/>
            </w:r>
            <w:r w:rsidR="002B50B0">
              <w:rPr>
                <w:noProof/>
                <w:webHidden/>
              </w:rPr>
              <w:fldChar w:fldCharType="begin"/>
            </w:r>
            <w:r w:rsidR="002B50B0">
              <w:rPr>
                <w:noProof/>
                <w:webHidden/>
              </w:rPr>
              <w:instrText xml:space="preserve"> PAGEREF _Toc155176341 \h </w:instrText>
            </w:r>
            <w:r w:rsidR="002B50B0">
              <w:rPr>
                <w:noProof/>
                <w:webHidden/>
              </w:rPr>
            </w:r>
            <w:r w:rsidR="002B50B0">
              <w:rPr>
                <w:noProof/>
                <w:webHidden/>
              </w:rPr>
              <w:fldChar w:fldCharType="separate"/>
            </w:r>
            <w:r w:rsidR="002B50B0">
              <w:rPr>
                <w:noProof/>
                <w:webHidden/>
              </w:rPr>
              <w:t>8</w:t>
            </w:r>
            <w:r w:rsidR="002B50B0">
              <w:rPr>
                <w:noProof/>
                <w:webHidden/>
              </w:rPr>
              <w:fldChar w:fldCharType="end"/>
            </w:r>
          </w:hyperlink>
        </w:p>
        <w:p w14:paraId="437D0D62" w14:textId="7DCF685B" w:rsidR="002B50B0" w:rsidRDefault="00000000">
          <w:pPr>
            <w:pStyle w:val="TOC3"/>
            <w:rPr>
              <w:rFonts w:asciiTheme="minorHAnsi" w:eastAsiaTheme="minorEastAsia" w:hAnsiTheme="minorHAnsi" w:cstheme="minorBidi"/>
              <w:noProof/>
              <w:color w:val="auto"/>
              <w:szCs w:val="22"/>
              <w:lang w:eastAsia="en-AU"/>
            </w:rPr>
          </w:pPr>
          <w:hyperlink w:anchor="_Toc155176342" w:history="1">
            <w:r w:rsidR="002B50B0" w:rsidRPr="00670C15">
              <w:rPr>
                <w:rStyle w:val="Hyperlink"/>
                <w:noProof/>
              </w:rPr>
              <w:t>International regulations</w:t>
            </w:r>
            <w:r w:rsidR="002B50B0">
              <w:rPr>
                <w:noProof/>
                <w:webHidden/>
              </w:rPr>
              <w:tab/>
            </w:r>
            <w:r w:rsidR="002B50B0">
              <w:rPr>
                <w:noProof/>
                <w:webHidden/>
              </w:rPr>
              <w:fldChar w:fldCharType="begin"/>
            </w:r>
            <w:r w:rsidR="002B50B0">
              <w:rPr>
                <w:noProof/>
                <w:webHidden/>
              </w:rPr>
              <w:instrText xml:space="preserve"> PAGEREF _Toc155176342 \h </w:instrText>
            </w:r>
            <w:r w:rsidR="002B50B0">
              <w:rPr>
                <w:noProof/>
                <w:webHidden/>
              </w:rPr>
            </w:r>
            <w:r w:rsidR="002B50B0">
              <w:rPr>
                <w:noProof/>
                <w:webHidden/>
              </w:rPr>
              <w:fldChar w:fldCharType="separate"/>
            </w:r>
            <w:r w:rsidR="002B50B0">
              <w:rPr>
                <w:noProof/>
                <w:webHidden/>
              </w:rPr>
              <w:t>9</w:t>
            </w:r>
            <w:r w:rsidR="002B50B0">
              <w:rPr>
                <w:noProof/>
                <w:webHidden/>
              </w:rPr>
              <w:fldChar w:fldCharType="end"/>
            </w:r>
          </w:hyperlink>
        </w:p>
        <w:p w14:paraId="2F772EF6" w14:textId="12EFAA0E" w:rsidR="002B50B0" w:rsidRDefault="00000000">
          <w:pPr>
            <w:pStyle w:val="TOC2"/>
            <w:tabs>
              <w:tab w:val="left" w:pos="1276"/>
            </w:tabs>
            <w:rPr>
              <w:rFonts w:asciiTheme="minorHAnsi" w:eastAsiaTheme="minorEastAsia" w:hAnsiTheme="minorHAnsi" w:cstheme="minorBidi"/>
              <w:noProof/>
              <w:color w:val="auto"/>
              <w:sz w:val="22"/>
              <w:szCs w:val="22"/>
              <w:lang w:eastAsia="en-AU"/>
            </w:rPr>
          </w:pPr>
          <w:hyperlink w:anchor="_Toc155176343" w:history="1">
            <w:r w:rsidR="002B50B0" w:rsidRPr="00670C15">
              <w:rPr>
                <w:rStyle w:val="Hyperlink"/>
                <w:noProof/>
              </w:rPr>
              <w:t>1.2</w:t>
            </w:r>
            <w:r w:rsidR="002B50B0">
              <w:rPr>
                <w:rFonts w:asciiTheme="minorHAnsi" w:eastAsiaTheme="minorEastAsia" w:hAnsiTheme="minorHAnsi" w:cstheme="minorBidi"/>
                <w:noProof/>
                <w:color w:val="auto"/>
                <w:sz w:val="22"/>
                <w:szCs w:val="22"/>
                <w:lang w:eastAsia="en-AU"/>
              </w:rPr>
              <w:tab/>
            </w:r>
            <w:r w:rsidR="002B50B0" w:rsidRPr="00670C15">
              <w:rPr>
                <w:rStyle w:val="Hyperlink"/>
                <w:noProof/>
              </w:rPr>
              <w:t>Dextromethorphan</w:t>
            </w:r>
            <w:r w:rsidR="002B50B0">
              <w:rPr>
                <w:noProof/>
                <w:webHidden/>
              </w:rPr>
              <w:tab/>
            </w:r>
            <w:r w:rsidR="002B50B0">
              <w:rPr>
                <w:noProof/>
                <w:webHidden/>
              </w:rPr>
              <w:fldChar w:fldCharType="begin"/>
            </w:r>
            <w:r w:rsidR="002B50B0">
              <w:rPr>
                <w:noProof/>
                <w:webHidden/>
              </w:rPr>
              <w:instrText xml:space="preserve"> PAGEREF _Toc155176343 \h </w:instrText>
            </w:r>
            <w:r w:rsidR="002B50B0">
              <w:rPr>
                <w:noProof/>
                <w:webHidden/>
              </w:rPr>
            </w:r>
            <w:r w:rsidR="002B50B0">
              <w:rPr>
                <w:noProof/>
                <w:webHidden/>
              </w:rPr>
              <w:fldChar w:fldCharType="separate"/>
            </w:r>
            <w:r w:rsidR="002B50B0">
              <w:rPr>
                <w:noProof/>
                <w:webHidden/>
              </w:rPr>
              <w:t>10</w:t>
            </w:r>
            <w:r w:rsidR="002B50B0">
              <w:rPr>
                <w:noProof/>
                <w:webHidden/>
              </w:rPr>
              <w:fldChar w:fldCharType="end"/>
            </w:r>
          </w:hyperlink>
        </w:p>
        <w:p w14:paraId="0A515C5A" w14:textId="4F4567CA" w:rsidR="002B50B0" w:rsidRDefault="00000000">
          <w:pPr>
            <w:pStyle w:val="TOC3"/>
            <w:rPr>
              <w:rFonts w:asciiTheme="minorHAnsi" w:eastAsiaTheme="minorEastAsia" w:hAnsiTheme="minorHAnsi" w:cstheme="minorBidi"/>
              <w:noProof/>
              <w:color w:val="auto"/>
              <w:szCs w:val="22"/>
              <w:lang w:eastAsia="en-AU"/>
            </w:rPr>
          </w:pPr>
          <w:hyperlink w:anchor="_Toc155176344" w:history="1">
            <w:r w:rsidR="002B50B0" w:rsidRPr="00670C15">
              <w:rPr>
                <w:rStyle w:val="Hyperlink"/>
                <w:noProof/>
              </w:rPr>
              <w:t>Proposal</w:t>
            </w:r>
            <w:r w:rsidR="002B50B0">
              <w:rPr>
                <w:noProof/>
                <w:webHidden/>
              </w:rPr>
              <w:tab/>
            </w:r>
            <w:r w:rsidR="002B50B0">
              <w:rPr>
                <w:noProof/>
                <w:webHidden/>
              </w:rPr>
              <w:fldChar w:fldCharType="begin"/>
            </w:r>
            <w:r w:rsidR="002B50B0">
              <w:rPr>
                <w:noProof/>
                <w:webHidden/>
              </w:rPr>
              <w:instrText xml:space="preserve"> PAGEREF _Toc155176344 \h </w:instrText>
            </w:r>
            <w:r w:rsidR="002B50B0">
              <w:rPr>
                <w:noProof/>
                <w:webHidden/>
              </w:rPr>
            </w:r>
            <w:r w:rsidR="002B50B0">
              <w:rPr>
                <w:noProof/>
                <w:webHidden/>
              </w:rPr>
              <w:fldChar w:fldCharType="separate"/>
            </w:r>
            <w:r w:rsidR="002B50B0">
              <w:rPr>
                <w:noProof/>
                <w:webHidden/>
              </w:rPr>
              <w:t>10</w:t>
            </w:r>
            <w:r w:rsidR="002B50B0">
              <w:rPr>
                <w:noProof/>
                <w:webHidden/>
              </w:rPr>
              <w:fldChar w:fldCharType="end"/>
            </w:r>
          </w:hyperlink>
        </w:p>
        <w:p w14:paraId="6E509906" w14:textId="6D2186CF" w:rsidR="002B50B0" w:rsidRDefault="00000000">
          <w:pPr>
            <w:pStyle w:val="TOC3"/>
            <w:rPr>
              <w:rFonts w:asciiTheme="minorHAnsi" w:eastAsiaTheme="minorEastAsia" w:hAnsiTheme="minorHAnsi" w:cstheme="minorBidi"/>
              <w:noProof/>
              <w:color w:val="auto"/>
              <w:szCs w:val="22"/>
              <w:lang w:eastAsia="en-AU"/>
            </w:rPr>
          </w:pPr>
          <w:hyperlink w:anchor="_Toc155176345" w:history="1">
            <w:r w:rsidR="002B50B0" w:rsidRPr="00670C15">
              <w:rPr>
                <w:rStyle w:val="Hyperlink"/>
                <w:noProof/>
              </w:rPr>
              <w:t>CAS number</w:t>
            </w:r>
            <w:r w:rsidR="002B50B0">
              <w:rPr>
                <w:noProof/>
                <w:webHidden/>
              </w:rPr>
              <w:tab/>
            </w:r>
            <w:r w:rsidR="002B50B0">
              <w:rPr>
                <w:noProof/>
                <w:webHidden/>
              </w:rPr>
              <w:fldChar w:fldCharType="begin"/>
            </w:r>
            <w:r w:rsidR="002B50B0">
              <w:rPr>
                <w:noProof/>
                <w:webHidden/>
              </w:rPr>
              <w:instrText xml:space="preserve"> PAGEREF _Toc155176345 \h </w:instrText>
            </w:r>
            <w:r w:rsidR="002B50B0">
              <w:rPr>
                <w:noProof/>
                <w:webHidden/>
              </w:rPr>
            </w:r>
            <w:r w:rsidR="002B50B0">
              <w:rPr>
                <w:noProof/>
                <w:webHidden/>
              </w:rPr>
              <w:fldChar w:fldCharType="separate"/>
            </w:r>
            <w:r w:rsidR="002B50B0">
              <w:rPr>
                <w:noProof/>
                <w:webHidden/>
              </w:rPr>
              <w:t>10</w:t>
            </w:r>
            <w:r w:rsidR="002B50B0">
              <w:rPr>
                <w:noProof/>
                <w:webHidden/>
              </w:rPr>
              <w:fldChar w:fldCharType="end"/>
            </w:r>
          </w:hyperlink>
        </w:p>
        <w:p w14:paraId="250B5B17" w14:textId="51ABB56B" w:rsidR="002B50B0" w:rsidRDefault="00000000">
          <w:pPr>
            <w:pStyle w:val="TOC3"/>
            <w:rPr>
              <w:rFonts w:asciiTheme="minorHAnsi" w:eastAsiaTheme="minorEastAsia" w:hAnsiTheme="minorHAnsi" w:cstheme="minorBidi"/>
              <w:noProof/>
              <w:color w:val="auto"/>
              <w:szCs w:val="22"/>
              <w:lang w:eastAsia="en-AU"/>
            </w:rPr>
          </w:pPr>
          <w:hyperlink w:anchor="_Toc155176346" w:history="1">
            <w:r w:rsidR="002B50B0" w:rsidRPr="00670C15">
              <w:rPr>
                <w:rStyle w:val="Hyperlink"/>
                <w:noProof/>
              </w:rPr>
              <w:t>Alternative names</w:t>
            </w:r>
            <w:r w:rsidR="002B50B0">
              <w:rPr>
                <w:noProof/>
                <w:webHidden/>
              </w:rPr>
              <w:tab/>
            </w:r>
            <w:r w:rsidR="002B50B0">
              <w:rPr>
                <w:noProof/>
                <w:webHidden/>
              </w:rPr>
              <w:fldChar w:fldCharType="begin"/>
            </w:r>
            <w:r w:rsidR="002B50B0">
              <w:rPr>
                <w:noProof/>
                <w:webHidden/>
              </w:rPr>
              <w:instrText xml:space="preserve"> PAGEREF _Toc155176346 \h </w:instrText>
            </w:r>
            <w:r w:rsidR="002B50B0">
              <w:rPr>
                <w:noProof/>
                <w:webHidden/>
              </w:rPr>
            </w:r>
            <w:r w:rsidR="002B50B0">
              <w:rPr>
                <w:noProof/>
                <w:webHidden/>
              </w:rPr>
              <w:fldChar w:fldCharType="separate"/>
            </w:r>
            <w:r w:rsidR="002B50B0">
              <w:rPr>
                <w:noProof/>
                <w:webHidden/>
              </w:rPr>
              <w:t>10</w:t>
            </w:r>
            <w:r w:rsidR="002B50B0">
              <w:rPr>
                <w:noProof/>
                <w:webHidden/>
              </w:rPr>
              <w:fldChar w:fldCharType="end"/>
            </w:r>
          </w:hyperlink>
        </w:p>
        <w:p w14:paraId="3FB24803" w14:textId="7797D8CE" w:rsidR="002B50B0" w:rsidRDefault="00000000">
          <w:pPr>
            <w:pStyle w:val="TOC3"/>
            <w:rPr>
              <w:rFonts w:asciiTheme="minorHAnsi" w:eastAsiaTheme="minorEastAsia" w:hAnsiTheme="minorHAnsi" w:cstheme="minorBidi"/>
              <w:noProof/>
              <w:color w:val="auto"/>
              <w:szCs w:val="22"/>
              <w:lang w:eastAsia="en-AU"/>
            </w:rPr>
          </w:pPr>
          <w:hyperlink w:anchor="_Toc155176347" w:history="1">
            <w:r w:rsidR="002B50B0" w:rsidRPr="00670C15">
              <w:rPr>
                <w:rStyle w:val="Hyperlink"/>
                <w:noProof/>
              </w:rPr>
              <w:t>Proposed Scheduling</w:t>
            </w:r>
            <w:r w:rsidR="002B50B0">
              <w:rPr>
                <w:noProof/>
                <w:webHidden/>
              </w:rPr>
              <w:tab/>
            </w:r>
            <w:r w:rsidR="002B50B0">
              <w:rPr>
                <w:noProof/>
                <w:webHidden/>
              </w:rPr>
              <w:fldChar w:fldCharType="begin"/>
            </w:r>
            <w:r w:rsidR="002B50B0">
              <w:rPr>
                <w:noProof/>
                <w:webHidden/>
              </w:rPr>
              <w:instrText xml:space="preserve"> PAGEREF _Toc155176347 \h </w:instrText>
            </w:r>
            <w:r w:rsidR="002B50B0">
              <w:rPr>
                <w:noProof/>
                <w:webHidden/>
              </w:rPr>
            </w:r>
            <w:r w:rsidR="002B50B0">
              <w:rPr>
                <w:noProof/>
                <w:webHidden/>
              </w:rPr>
              <w:fldChar w:fldCharType="separate"/>
            </w:r>
            <w:r w:rsidR="002B50B0">
              <w:rPr>
                <w:noProof/>
                <w:webHidden/>
              </w:rPr>
              <w:t>10</w:t>
            </w:r>
            <w:r w:rsidR="002B50B0">
              <w:rPr>
                <w:noProof/>
                <w:webHidden/>
              </w:rPr>
              <w:fldChar w:fldCharType="end"/>
            </w:r>
          </w:hyperlink>
        </w:p>
        <w:p w14:paraId="35817FF2" w14:textId="4B781494" w:rsidR="002B50B0" w:rsidRDefault="00000000">
          <w:pPr>
            <w:pStyle w:val="TOC3"/>
            <w:rPr>
              <w:rFonts w:asciiTheme="minorHAnsi" w:eastAsiaTheme="minorEastAsia" w:hAnsiTheme="minorHAnsi" w:cstheme="minorBidi"/>
              <w:noProof/>
              <w:color w:val="auto"/>
              <w:szCs w:val="22"/>
              <w:lang w:eastAsia="en-AU"/>
            </w:rPr>
          </w:pPr>
          <w:hyperlink w:anchor="_Toc155176348" w:history="1">
            <w:r w:rsidR="002B50B0" w:rsidRPr="00670C15">
              <w:rPr>
                <w:rStyle w:val="Hyperlink"/>
                <w:noProof/>
              </w:rPr>
              <w:t>Background</w:t>
            </w:r>
            <w:r w:rsidR="002B50B0">
              <w:rPr>
                <w:noProof/>
                <w:webHidden/>
              </w:rPr>
              <w:tab/>
            </w:r>
            <w:r w:rsidR="002B50B0">
              <w:rPr>
                <w:noProof/>
                <w:webHidden/>
              </w:rPr>
              <w:fldChar w:fldCharType="begin"/>
            </w:r>
            <w:r w:rsidR="002B50B0">
              <w:rPr>
                <w:noProof/>
                <w:webHidden/>
              </w:rPr>
              <w:instrText xml:space="preserve"> PAGEREF _Toc155176348 \h </w:instrText>
            </w:r>
            <w:r w:rsidR="002B50B0">
              <w:rPr>
                <w:noProof/>
                <w:webHidden/>
              </w:rPr>
            </w:r>
            <w:r w:rsidR="002B50B0">
              <w:rPr>
                <w:noProof/>
                <w:webHidden/>
              </w:rPr>
              <w:fldChar w:fldCharType="separate"/>
            </w:r>
            <w:r w:rsidR="002B50B0">
              <w:rPr>
                <w:noProof/>
                <w:webHidden/>
              </w:rPr>
              <w:t>11</w:t>
            </w:r>
            <w:r w:rsidR="002B50B0">
              <w:rPr>
                <w:noProof/>
                <w:webHidden/>
              </w:rPr>
              <w:fldChar w:fldCharType="end"/>
            </w:r>
          </w:hyperlink>
        </w:p>
        <w:p w14:paraId="44162D1F" w14:textId="0351071C" w:rsidR="002B50B0" w:rsidRDefault="00000000">
          <w:pPr>
            <w:pStyle w:val="TOC3"/>
            <w:rPr>
              <w:rFonts w:asciiTheme="minorHAnsi" w:eastAsiaTheme="minorEastAsia" w:hAnsiTheme="minorHAnsi" w:cstheme="minorBidi"/>
              <w:noProof/>
              <w:color w:val="auto"/>
              <w:szCs w:val="22"/>
              <w:lang w:eastAsia="en-AU"/>
            </w:rPr>
          </w:pPr>
          <w:hyperlink w:anchor="_Toc155176349" w:history="1">
            <w:r w:rsidR="002B50B0" w:rsidRPr="00670C15">
              <w:rPr>
                <w:rStyle w:val="Hyperlink"/>
                <w:noProof/>
              </w:rPr>
              <w:t>Summary of reasons for the proposal</w:t>
            </w:r>
            <w:r w:rsidR="002B50B0">
              <w:rPr>
                <w:noProof/>
                <w:webHidden/>
              </w:rPr>
              <w:tab/>
            </w:r>
            <w:r w:rsidR="002B50B0">
              <w:rPr>
                <w:noProof/>
                <w:webHidden/>
              </w:rPr>
              <w:fldChar w:fldCharType="begin"/>
            </w:r>
            <w:r w:rsidR="002B50B0">
              <w:rPr>
                <w:noProof/>
                <w:webHidden/>
              </w:rPr>
              <w:instrText xml:space="preserve"> PAGEREF _Toc155176349 \h </w:instrText>
            </w:r>
            <w:r w:rsidR="002B50B0">
              <w:rPr>
                <w:noProof/>
                <w:webHidden/>
              </w:rPr>
            </w:r>
            <w:r w:rsidR="002B50B0">
              <w:rPr>
                <w:noProof/>
                <w:webHidden/>
              </w:rPr>
              <w:fldChar w:fldCharType="separate"/>
            </w:r>
            <w:r w:rsidR="002B50B0">
              <w:rPr>
                <w:noProof/>
                <w:webHidden/>
              </w:rPr>
              <w:t>11</w:t>
            </w:r>
            <w:r w:rsidR="002B50B0">
              <w:rPr>
                <w:noProof/>
                <w:webHidden/>
              </w:rPr>
              <w:fldChar w:fldCharType="end"/>
            </w:r>
          </w:hyperlink>
        </w:p>
        <w:p w14:paraId="21CDDFAC" w14:textId="21F359B8" w:rsidR="002B50B0" w:rsidRDefault="00000000">
          <w:pPr>
            <w:pStyle w:val="TOC3"/>
            <w:rPr>
              <w:rFonts w:asciiTheme="minorHAnsi" w:eastAsiaTheme="minorEastAsia" w:hAnsiTheme="minorHAnsi" w:cstheme="minorBidi"/>
              <w:noProof/>
              <w:color w:val="auto"/>
              <w:szCs w:val="22"/>
              <w:lang w:eastAsia="en-AU"/>
            </w:rPr>
          </w:pPr>
          <w:hyperlink w:anchor="_Toc155176350" w:history="1">
            <w:r w:rsidR="002B50B0" w:rsidRPr="00670C15">
              <w:rPr>
                <w:rStyle w:val="Hyperlink"/>
                <w:noProof/>
              </w:rPr>
              <w:t>Key uses / expected use</w:t>
            </w:r>
            <w:r w:rsidR="002B50B0">
              <w:rPr>
                <w:noProof/>
                <w:webHidden/>
              </w:rPr>
              <w:tab/>
            </w:r>
            <w:r w:rsidR="002B50B0">
              <w:rPr>
                <w:noProof/>
                <w:webHidden/>
              </w:rPr>
              <w:fldChar w:fldCharType="begin"/>
            </w:r>
            <w:r w:rsidR="002B50B0">
              <w:rPr>
                <w:noProof/>
                <w:webHidden/>
              </w:rPr>
              <w:instrText xml:space="preserve"> PAGEREF _Toc155176350 \h </w:instrText>
            </w:r>
            <w:r w:rsidR="002B50B0">
              <w:rPr>
                <w:noProof/>
                <w:webHidden/>
              </w:rPr>
            </w:r>
            <w:r w:rsidR="002B50B0">
              <w:rPr>
                <w:noProof/>
                <w:webHidden/>
              </w:rPr>
              <w:fldChar w:fldCharType="separate"/>
            </w:r>
            <w:r w:rsidR="002B50B0">
              <w:rPr>
                <w:noProof/>
                <w:webHidden/>
              </w:rPr>
              <w:t>11</w:t>
            </w:r>
            <w:r w:rsidR="002B50B0">
              <w:rPr>
                <w:noProof/>
                <w:webHidden/>
              </w:rPr>
              <w:fldChar w:fldCharType="end"/>
            </w:r>
          </w:hyperlink>
        </w:p>
        <w:p w14:paraId="720A820D" w14:textId="77F16BF3" w:rsidR="002B50B0" w:rsidRDefault="00000000">
          <w:pPr>
            <w:pStyle w:val="TOC3"/>
            <w:rPr>
              <w:rFonts w:asciiTheme="minorHAnsi" w:eastAsiaTheme="minorEastAsia" w:hAnsiTheme="minorHAnsi" w:cstheme="minorBidi"/>
              <w:noProof/>
              <w:color w:val="auto"/>
              <w:szCs w:val="22"/>
              <w:lang w:eastAsia="en-AU"/>
            </w:rPr>
          </w:pPr>
          <w:hyperlink w:anchor="_Toc155176351" w:history="1">
            <w:r w:rsidR="002B50B0" w:rsidRPr="00670C15">
              <w:rPr>
                <w:rStyle w:val="Hyperlink"/>
                <w:noProof/>
              </w:rPr>
              <w:t>Australian regulations</w:t>
            </w:r>
            <w:r w:rsidR="002B50B0">
              <w:rPr>
                <w:noProof/>
                <w:webHidden/>
              </w:rPr>
              <w:tab/>
            </w:r>
            <w:r w:rsidR="002B50B0">
              <w:rPr>
                <w:noProof/>
                <w:webHidden/>
              </w:rPr>
              <w:fldChar w:fldCharType="begin"/>
            </w:r>
            <w:r w:rsidR="002B50B0">
              <w:rPr>
                <w:noProof/>
                <w:webHidden/>
              </w:rPr>
              <w:instrText xml:space="preserve"> PAGEREF _Toc155176351 \h </w:instrText>
            </w:r>
            <w:r w:rsidR="002B50B0">
              <w:rPr>
                <w:noProof/>
                <w:webHidden/>
              </w:rPr>
            </w:r>
            <w:r w:rsidR="002B50B0">
              <w:rPr>
                <w:noProof/>
                <w:webHidden/>
              </w:rPr>
              <w:fldChar w:fldCharType="separate"/>
            </w:r>
            <w:r w:rsidR="002B50B0">
              <w:rPr>
                <w:noProof/>
                <w:webHidden/>
              </w:rPr>
              <w:t>11</w:t>
            </w:r>
            <w:r w:rsidR="002B50B0">
              <w:rPr>
                <w:noProof/>
                <w:webHidden/>
              </w:rPr>
              <w:fldChar w:fldCharType="end"/>
            </w:r>
          </w:hyperlink>
        </w:p>
        <w:p w14:paraId="182C323F" w14:textId="2A9648D6" w:rsidR="002B50B0" w:rsidRDefault="00000000">
          <w:pPr>
            <w:pStyle w:val="TOC3"/>
            <w:rPr>
              <w:rFonts w:asciiTheme="minorHAnsi" w:eastAsiaTheme="minorEastAsia" w:hAnsiTheme="minorHAnsi" w:cstheme="minorBidi"/>
              <w:noProof/>
              <w:color w:val="auto"/>
              <w:szCs w:val="22"/>
              <w:lang w:eastAsia="en-AU"/>
            </w:rPr>
          </w:pPr>
          <w:hyperlink w:anchor="_Toc155176352" w:history="1">
            <w:r w:rsidR="002B50B0" w:rsidRPr="00670C15">
              <w:rPr>
                <w:rStyle w:val="Hyperlink"/>
                <w:noProof/>
              </w:rPr>
              <w:t>International regulations</w:t>
            </w:r>
            <w:r w:rsidR="002B50B0">
              <w:rPr>
                <w:noProof/>
                <w:webHidden/>
              </w:rPr>
              <w:tab/>
            </w:r>
            <w:r w:rsidR="002B50B0">
              <w:rPr>
                <w:noProof/>
                <w:webHidden/>
              </w:rPr>
              <w:fldChar w:fldCharType="begin"/>
            </w:r>
            <w:r w:rsidR="002B50B0">
              <w:rPr>
                <w:noProof/>
                <w:webHidden/>
              </w:rPr>
              <w:instrText xml:space="preserve"> PAGEREF _Toc155176352 \h </w:instrText>
            </w:r>
            <w:r w:rsidR="002B50B0">
              <w:rPr>
                <w:noProof/>
                <w:webHidden/>
              </w:rPr>
            </w:r>
            <w:r w:rsidR="002B50B0">
              <w:rPr>
                <w:noProof/>
                <w:webHidden/>
              </w:rPr>
              <w:fldChar w:fldCharType="separate"/>
            </w:r>
            <w:r w:rsidR="002B50B0">
              <w:rPr>
                <w:noProof/>
                <w:webHidden/>
              </w:rPr>
              <w:t>13</w:t>
            </w:r>
            <w:r w:rsidR="002B50B0">
              <w:rPr>
                <w:noProof/>
                <w:webHidden/>
              </w:rPr>
              <w:fldChar w:fldCharType="end"/>
            </w:r>
          </w:hyperlink>
        </w:p>
        <w:p w14:paraId="729068BC" w14:textId="6BE7C1C0" w:rsidR="002B50B0" w:rsidRDefault="00000000">
          <w:pPr>
            <w:pStyle w:val="TOC2"/>
            <w:tabs>
              <w:tab w:val="left" w:pos="1276"/>
            </w:tabs>
            <w:rPr>
              <w:rFonts w:asciiTheme="minorHAnsi" w:eastAsiaTheme="minorEastAsia" w:hAnsiTheme="minorHAnsi" w:cstheme="minorBidi"/>
              <w:noProof/>
              <w:color w:val="auto"/>
              <w:sz w:val="22"/>
              <w:szCs w:val="22"/>
              <w:lang w:eastAsia="en-AU"/>
            </w:rPr>
          </w:pPr>
          <w:hyperlink w:anchor="_Toc155176353" w:history="1">
            <w:r w:rsidR="002B50B0" w:rsidRPr="00670C15">
              <w:rPr>
                <w:rStyle w:val="Hyperlink"/>
                <w:noProof/>
              </w:rPr>
              <w:t>1.3</w:t>
            </w:r>
            <w:r w:rsidR="002B50B0">
              <w:rPr>
                <w:rFonts w:asciiTheme="minorHAnsi" w:eastAsiaTheme="minorEastAsia" w:hAnsiTheme="minorHAnsi" w:cstheme="minorBidi"/>
                <w:noProof/>
                <w:color w:val="auto"/>
                <w:sz w:val="22"/>
                <w:szCs w:val="22"/>
                <w:lang w:eastAsia="en-AU"/>
              </w:rPr>
              <w:tab/>
            </w:r>
            <w:r w:rsidR="002B50B0" w:rsidRPr="00670C15">
              <w:rPr>
                <w:rStyle w:val="Hyperlink"/>
                <w:noProof/>
              </w:rPr>
              <w:t>Dihydrocodeine</w:t>
            </w:r>
            <w:r w:rsidR="002B50B0">
              <w:rPr>
                <w:noProof/>
                <w:webHidden/>
              </w:rPr>
              <w:tab/>
            </w:r>
            <w:r w:rsidR="002B50B0">
              <w:rPr>
                <w:noProof/>
                <w:webHidden/>
              </w:rPr>
              <w:fldChar w:fldCharType="begin"/>
            </w:r>
            <w:r w:rsidR="002B50B0">
              <w:rPr>
                <w:noProof/>
                <w:webHidden/>
              </w:rPr>
              <w:instrText xml:space="preserve"> PAGEREF _Toc155176353 \h </w:instrText>
            </w:r>
            <w:r w:rsidR="002B50B0">
              <w:rPr>
                <w:noProof/>
                <w:webHidden/>
              </w:rPr>
            </w:r>
            <w:r w:rsidR="002B50B0">
              <w:rPr>
                <w:noProof/>
                <w:webHidden/>
              </w:rPr>
              <w:fldChar w:fldCharType="separate"/>
            </w:r>
            <w:r w:rsidR="002B50B0">
              <w:rPr>
                <w:noProof/>
                <w:webHidden/>
              </w:rPr>
              <w:t>14</w:t>
            </w:r>
            <w:r w:rsidR="002B50B0">
              <w:rPr>
                <w:noProof/>
                <w:webHidden/>
              </w:rPr>
              <w:fldChar w:fldCharType="end"/>
            </w:r>
          </w:hyperlink>
        </w:p>
        <w:p w14:paraId="290EE9F0" w14:textId="4375C8AB" w:rsidR="002B50B0" w:rsidRDefault="00000000">
          <w:pPr>
            <w:pStyle w:val="TOC3"/>
            <w:rPr>
              <w:rFonts w:asciiTheme="minorHAnsi" w:eastAsiaTheme="minorEastAsia" w:hAnsiTheme="minorHAnsi" w:cstheme="minorBidi"/>
              <w:noProof/>
              <w:color w:val="auto"/>
              <w:szCs w:val="22"/>
              <w:lang w:eastAsia="en-AU"/>
            </w:rPr>
          </w:pPr>
          <w:hyperlink w:anchor="_Toc155176354" w:history="1">
            <w:r w:rsidR="002B50B0" w:rsidRPr="00670C15">
              <w:rPr>
                <w:rStyle w:val="Hyperlink"/>
                <w:noProof/>
              </w:rPr>
              <w:t>Proposal</w:t>
            </w:r>
            <w:r w:rsidR="002B50B0">
              <w:rPr>
                <w:noProof/>
                <w:webHidden/>
              </w:rPr>
              <w:tab/>
            </w:r>
            <w:r w:rsidR="002B50B0">
              <w:rPr>
                <w:noProof/>
                <w:webHidden/>
              </w:rPr>
              <w:fldChar w:fldCharType="begin"/>
            </w:r>
            <w:r w:rsidR="002B50B0">
              <w:rPr>
                <w:noProof/>
                <w:webHidden/>
              </w:rPr>
              <w:instrText xml:space="preserve"> PAGEREF _Toc155176354 \h </w:instrText>
            </w:r>
            <w:r w:rsidR="002B50B0">
              <w:rPr>
                <w:noProof/>
                <w:webHidden/>
              </w:rPr>
            </w:r>
            <w:r w:rsidR="002B50B0">
              <w:rPr>
                <w:noProof/>
                <w:webHidden/>
              </w:rPr>
              <w:fldChar w:fldCharType="separate"/>
            </w:r>
            <w:r w:rsidR="002B50B0">
              <w:rPr>
                <w:noProof/>
                <w:webHidden/>
              </w:rPr>
              <w:t>14</w:t>
            </w:r>
            <w:r w:rsidR="002B50B0">
              <w:rPr>
                <w:noProof/>
                <w:webHidden/>
              </w:rPr>
              <w:fldChar w:fldCharType="end"/>
            </w:r>
          </w:hyperlink>
        </w:p>
        <w:p w14:paraId="3C31568F" w14:textId="36DC2434" w:rsidR="002B50B0" w:rsidRDefault="00000000">
          <w:pPr>
            <w:pStyle w:val="TOC3"/>
            <w:rPr>
              <w:rFonts w:asciiTheme="minorHAnsi" w:eastAsiaTheme="minorEastAsia" w:hAnsiTheme="minorHAnsi" w:cstheme="minorBidi"/>
              <w:noProof/>
              <w:color w:val="auto"/>
              <w:szCs w:val="22"/>
              <w:lang w:eastAsia="en-AU"/>
            </w:rPr>
          </w:pPr>
          <w:hyperlink w:anchor="_Toc155176355" w:history="1">
            <w:r w:rsidR="002B50B0" w:rsidRPr="00670C15">
              <w:rPr>
                <w:rStyle w:val="Hyperlink"/>
                <w:noProof/>
              </w:rPr>
              <w:t>CAS number</w:t>
            </w:r>
            <w:r w:rsidR="002B50B0">
              <w:rPr>
                <w:noProof/>
                <w:webHidden/>
              </w:rPr>
              <w:tab/>
            </w:r>
            <w:r w:rsidR="002B50B0">
              <w:rPr>
                <w:noProof/>
                <w:webHidden/>
              </w:rPr>
              <w:fldChar w:fldCharType="begin"/>
            </w:r>
            <w:r w:rsidR="002B50B0">
              <w:rPr>
                <w:noProof/>
                <w:webHidden/>
              </w:rPr>
              <w:instrText xml:space="preserve"> PAGEREF _Toc155176355 \h </w:instrText>
            </w:r>
            <w:r w:rsidR="002B50B0">
              <w:rPr>
                <w:noProof/>
                <w:webHidden/>
              </w:rPr>
            </w:r>
            <w:r w:rsidR="002B50B0">
              <w:rPr>
                <w:noProof/>
                <w:webHidden/>
              </w:rPr>
              <w:fldChar w:fldCharType="separate"/>
            </w:r>
            <w:r w:rsidR="002B50B0">
              <w:rPr>
                <w:noProof/>
                <w:webHidden/>
              </w:rPr>
              <w:t>14</w:t>
            </w:r>
            <w:r w:rsidR="002B50B0">
              <w:rPr>
                <w:noProof/>
                <w:webHidden/>
              </w:rPr>
              <w:fldChar w:fldCharType="end"/>
            </w:r>
          </w:hyperlink>
        </w:p>
        <w:p w14:paraId="4BD27288" w14:textId="5910A595" w:rsidR="002B50B0" w:rsidRDefault="00000000">
          <w:pPr>
            <w:pStyle w:val="TOC3"/>
            <w:rPr>
              <w:rFonts w:asciiTheme="minorHAnsi" w:eastAsiaTheme="minorEastAsia" w:hAnsiTheme="minorHAnsi" w:cstheme="minorBidi"/>
              <w:noProof/>
              <w:color w:val="auto"/>
              <w:szCs w:val="22"/>
              <w:lang w:eastAsia="en-AU"/>
            </w:rPr>
          </w:pPr>
          <w:hyperlink w:anchor="_Toc155176356" w:history="1">
            <w:r w:rsidR="002B50B0" w:rsidRPr="00670C15">
              <w:rPr>
                <w:rStyle w:val="Hyperlink"/>
                <w:noProof/>
              </w:rPr>
              <w:t>Alternative names</w:t>
            </w:r>
            <w:r w:rsidR="002B50B0">
              <w:rPr>
                <w:noProof/>
                <w:webHidden/>
              </w:rPr>
              <w:tab/>
            </w:r>
            <w:r w:rsidR="002B50B0">
              <w:rPr>
                <w:noProof/>
                <w:webHidden/>
              </w:rPr>
              <w:fldChar w:fldCharType="begin"/>
            </w:r>
            <w:r w:rsidR="002B50B0">
              <w:rPr>
                <w:noProof/>
                <w:webHidden/>
              </w:rPr>
              <w:instrText xml:space="preserve"> PAGEREF _Toc155176356 \h </w:instrText>
            </w:r>
            <w:r w:rsidR="002B50B0">
              <w:rPr>
                <w:noProof/>
                <w:webHidden/>
              </w:rPr>
            </w:r>
            <w:r w:rsidR="002B50B0">
              <w:rPr>
                <w:noProof/>
                <w:webHidden/>
              </w:rPr>
              <w:fldChar w:fldCharType="separate"/>
            </w:r>
            <w:r w:rsidR="002B50B0">
              <w:rPr>
                <w:noProof/>
                <w:webHidden/>
              </w:rPr>
              <w:t>14</w:t>
            </w:r>
            <w:r w:rsidR="002B50B0">
              <w:rPr>
                <w:noProof/>
                <w:webHidden/>
              </w:rPr>
              <w:fldChar w:fldCharType="end"/>
            </w:r>
          </w:hyperlink>
        </w:p>
        <w:p w14:paraId="6380A94A" w14:textId="4F8C36ED" w:rsidR="002B50B0" w:rsidRDefault="00000000">
          <w:pPr>
            <w:pStyle w:val="TOC3"/>
            <w:rPr>
              <w:rFonts w:asciiTheme="minorHAnsi" w:eastAsiaTheme="minorEastAsia" w:hAnsiTheme="minorHAnsi" w:cstheme="minorBidi"/>
              <w:noProof/>
              <w:color w:val="auto"/>
              <w:szCs w:val="22"/>
              <w:lang w:eastAsia="en-AU"/>
            </w:rPr>
          </w:pPr>
          <w:hyperlink w:anchor="_Toc155176357" w:history="1">
            <w:r w:rsidR="002B50B0" w:rsidRPr="00670C15">
              <w:rPr>
                <w:rStyle w:val="Hyperlink"/>
                <w:noProof/>
              </w:rPr>
              <w:t>Applicant</w:t>
            </w:r>
            <w:r w:rsidR="002B50B0">
              <w:rPr>
                <w:noProof/>
                <w:webHidden/>
              </w:rPr>
              <w:tab/>
            </w:r>
            <w:r w:rsidR="002B50B0">
              <w:rPr>
                <w:noProof/>
                <w:webHidden/>
              </w:rPr>
              <w:fldChar w:fldCharType="begin"/>
            </w:r>
            <w:r w:rsidR="002B50B0">
              <w:rPr>
                <w:noProof/>
                <w:webHidden/>
              </w:rPr>
              <w:instrText xml:space="preserve"> PAGEREF _Toc155176357 \h </w:instrText>
            </w:r>
            <w:r w:rsidR="002B50B0">
              <w:rPr>
                <w:noProof/>
                <w:webHidden/>
              </w:rPr>
            </w:r>
            <w:r w:rsidR="002B50B0">
              <w:rPr>
                <w:noProof/>
                <w:webHidden/>
              </w:rPr>
              <w:fldChar w:fldCharType="separate"/>
            </w:r>
            <w:r w:rsidR="002B50B0">
              <w:rPr>
                <w:noProof/>
                <w:webHidden/>
              </w:rPr>
              <w:t>14</w:t>
            </w:r>
            <w:r w:rsidR="002B50B0">
              <w:rPr>
                <w:noProof/>
                <w:webHidden/>
              </w:rPr>
              <w:fldChar w:fldCharType="end"/>
            </w:r>
          </w:hyperlink>
        </w:p>
        <w:p w14:paraId="59EB6C93" w14:textId="41B23914" w:rsidR="002B50B0" w:rsidRDefault="00000000">
          <w:pPr>
            <w:pStyle w:val="TOC3"/>
            <w:rPr>
              <w:rFonts w:asciiTheme="minorHAnsi" w:eastAsiaTheme="minorEastAsia" w:hAnsiTheme="minorHAnsi" w:cstheme="minorBidi"/>
              <w:noProof/>
              <w:color w:val="auto"/>
              <w:szCs w:val="22"/>
              <w:lang w:eastAsia="en-AU"/>
            </w:rPr>
          </w:pPr>
          <w:hyperlink w:anchor="_Toc155176358" w:history="1">
            <w:r w:rsidR="002B50B0" w:rsidRPr="00670C15">
              <w:rPr>
                <w:rStyle w:val="Hyperlink"/>
                <w:noProof/>
              </w:rPr>
              <w:t>Proposed Scheduling</w:t>
            </w:r>
            <w:r w:rsidR="002B50B0">
              <w:rPr>
                <w:noProof/>
                <w:webHidden/>
              </w:rPr>
              <w:tab/>
            </w:r>
            <w:r w:rsidR="002B50B0">
              <w:rPr>
                <w:noProof/>
                <w:webHidden/>
              </w:rPr>
              <w:fldChar w:fldCharType="begin"/>
            </w:r>
            <w:r w:rsidR="002B50B0">
              <w:rPr>
                <w:noProof/>
                <w:webHidden/>
              </w:rPr>
              <w:instrText xml:space="preserve"> PAGEREF _Toc155176358 \h </w:instrText>
            </w:r>
            <w:r w:rsidR="002B50B0">
              <w:rPr>
                <w:noProof/>
                <w:webHidden/>
              </w:rPr>
            </w:r>
            <w:r w:rsidR="002B50B0">
              <w:rPr>
                <w:noProof/>
                <w:webHidden/>
              </w:rPr>
              <w:fldChar w:fldCharType="separate"/>
            </w:r>
            <w:r w:rsidR="002B50B0">
              <w:rPr>
                <w:noProof/>
                <w:webHidden/>
              </w:rPr>
              <w:t>14</w:t>
            </w:r>
            <w:r w:rsidR="002B50B0">
              <w:rPr>
                <w:noProof/>
                <w:webHidden/>
              </w:rPr>
              <w:fldChar w:fldCharType="end"/>
            </w:r>
          </w:hyperlink>
        </w:p>
        <w:p w14:paraId="37B1246F" w14:textId="4359B908" w:rsidR="002B50B0" w:rsidRDefault="00000000">
          <w:pPr>
            <w:pStyle w:val="TOC3"/>
            <w:rPr>
              <w:rFonts w:asciiTheme="minorHAnsi" w:eastAsiaTheme="minorEastAsia" w:hAnsiTheme="minorHAnsi" w:cstheme="minorBidi"/>
              <w:noProof/>
              <w:color w:val="auto"/>
              <w:szCs w:val="22"/>
              <w:lang w:eastAsia="en-AU"/>
            </w:rPr>
          </w:pPr>
          <w:hyperlink w:anchor="_Toc155176359" w:history="1">
            <w:r w:rsidR="002B50B0" w:rsidRPr="00670C15">
              <w:rPr>
                <w:rStyle w:val="Hyperlink"/>
                <w:noProof/>
              </w:rPr>
              <w:t>Background</w:t>
            </w:r>
            <w:r w:rsidR="002B50B0">
              <w:rPr>
                <w:noProof/>
                <w:webHidden/>
              </w:rPr>
              <w:tab/>
            </w:r>
            <w:r w:rsidR="002B50B0">
              <w:rPr>
                <w:noProof/>
                <w:webHidden/>
              </w:rPr>
              <w:fldChar w:fldCharType="begin"/>
            </w:r>
            <w:r w:rsidR="002B50B0">
              <w:rPr>
                <w:noProof/>
                <w:webHidden/>
              </w:rPr>
              <w:instrText xml:space="preserve"> PAGEREF _Toc155176359 \h </w:instrText>
            </w:r>
            <w:r w:rsidR="002B50B0">
              <w:rPr>
                <w:noProof/>
                <w:webHidden/>
              </w:rPr>
            </w:r>
            <w:r w:rsidR="002B50B0">
              <w:rPr>
                <w:noProof/>
                <w:webHidden/>
              </w:rPr>
              <w:fldChar w:fldCharType="separate"/>
            </w:r>
            <w:r w:rsidR="002B50B0">
              <w:rPr>
                <w:noProof/>
                <w:webHidden/>
              </w:rPr>
              <w:t>15</w:t>
            </w:r>
            <w:r w:rsidR="002B50B0">
              <w:rPr>
                <w:noProof/>
                <w:webHidden/>
              </w:rPr>
              <w:fldChar w:fldCharType="end"/>
            </w:r>
          </w:hyperlink>
        </w:p>
        <w:p w14:paraId="21CF98C8" w14:textId="405C2587" w:rsidR="002B50B0" w:rsidRDefault="00000000">
          <w:pPr>
            <w:pStyle w:val="TOC3"/>
            <w:rPr>
              <w:rFonts w:asciiTheme="minorHAnsi" w:eastAsiaTheme="minorEastAsia" w:hAnsiTheme="minorHAnsi" w:cstheme="minorBidi"/>
              <w:noProof/>
              <w:color w:val="auto"/>
              <w:szCs w:val="22"/>
              <w:lang w:eastAsia="en-AU"/>
            </w:rPr>
          </w:pPr>
          <w:hyperlink w:anchor="_Toc155176360" w:history="1">
            <w:r w:rsidR="002B50B0" w:rsidRPr="00670C15">
              <w:rPr>
                <w:rStyle w:val="Hyperlink"/>
                <w:noProof/>
              </w:rPr>
              <w:t>Summary of applicant’s reasons for the proposal</w:t>
            </w:r>
            <w:r w:rsidR="002B50B0">
              <w:rPr>
                <w:noProof/>
                <w:webHidden/>
              </w:rPr>
              <w:tab/>
            </w:r>
            <w:r w:rsidR="002B50B0">
              <w:rPr>
                <w:noProof/>
                <w:webHidden/>
              </w:rPr>
              <w:fldChar w:fldCharType="begin"/>
            </w:r>
            <w:r w:rsidR="002B50B0">
              <w:rPr>
                <w:noProof/>
                <w:webHidden/>
              </w:rPr>
              <w:instrText xml:space="preserve"> PAGEREF _Toc155176360 \h </w:instrText>
            </w:r>
            <w:r w:rsidR="002B50B0">
              <w:rPr>
                <w:noProof/>
                <w:webHidden/>
              </w:rPr>
            </w:r>
            <w:r w:rsidR="002B50B0">
              <w:rPr>
                <w:noProof/>
                <w:webHidden/>
              </w:rPr>
              <w:fldChar w:fldCharType="separate"/>
            </w:r>
            <w:r w:rsidR="002B50B0">
              <w:rPr>
                <w:noProof/>
                <w:webHidden/>
              </w:rPr>
              <w:t>15</w:t>
            </w:r>
            <w:r w:rsidR="002B50B0">
              <w:rPr>
                <w:noProof/>
                <w:webHidden/>
              </w:rPr>
              <w:fldChar w:fldCharType="end"/>
            </w:r>
          </w:hyperlink>
        </w:p>
        <w:p w14:paraId="3424FE0F" w14:textId="5F6A39B4" w:rsidR="002B50B0" w:rsidRDefault="00000000">
          <w:pPr>
            <w:pStyle w:val="TOC3"/>
            <w:rPr>
              <w:rFonts w:asciiTheme="minorHAnsi" w:eastAsiaTheme="minorEastAsia" w:hAnsiTheme="minorHAnsi" w:cstheme="minorBidi"/>
              <w:noProof/>
              <w:color w:val="auto"/>
              <w:szCs w:val="22"/>
              <w:lang w:eastAsia="en-AU"/>
            </w:rPr>
          </w:pPr>
          <w:hyperlink w:anchor="_Toc155176361" w:history="1">
            <w:r w:rsidR="002B50B0" w:rsidRPr="00670C15">
              <w:rPr>
                <w:rStyle w:val="Hyperlink"/>
                <w:noProof/>
              </w:rPr>
              <w:t>Key uses / expected use</w:t>
            </w:r>
            <w:r w:rsidR="002B50B0">
              <w:rPr>
                <w:noProof/>
                <w:webHidden/>
              </w:rPr>
              <w:tab/>
            </w:r>
            <w:r w:rsidR="002B50B0">
              <w:rPr>
                <w:noProof/>
                <w:webHidden/>
              </w:rPr>
              <w:fldChar w:fldCharType="begin"/>
            </w:r>
            <w:r w:rsidR="002B50B0">
              <w:rPr>
                <w:noProof/>
                <w:webHidden/>
              </w:rPr>
              <w:instrText xml:space="preserve"> PAGEREF _Toc155176361 \h </w:instrText>
            </w:r>
            <w:r w:rsidR="002B50B0">
              <w:rPr>
                <w:noProof/>
                <w:webHidden/>
              </w:rPr>
            </w:r>
            <w:r w:rsidR="002B50B0">
              <w:rPr>
                <w:noProof/>
                <w:webHidden/>
              </w:rPr>
              <w:fldChar w:fldCharType="separate"/>
            </w:r>
            <w:r w:rsidR="002B50B0">
              <w:rPr>
                <w:noProof/>
                <w:webHidden/>
              </w:rPr>
              <w:t>15</w:t>
            </w:r>
            <w:r w:rsidR="002B50B0">
              <w:rPr>
                <w:noProof/>
                <w:webHidden/>
              </w:rPr>
              <w:fldChar w:fldCharType="end"/>
            </w:r>
          </w:hyperlink>
        </w:p>
        <w:p w14:paraId="0A335148" w14:textId="5C0B0B1E" w:rsidR="002B50B0" w:rsidRDefault="00000000">
          <w:pPr>
            <w:pStyle w:val="TOC3"/>
            <w:rPr>
              <w:rFonts w:asciiTheme="minorHAnsi" w:eastAsiaTheme="minorEastAsia" w:hAnsiTheme="minorHAnsi" w:cstheme="minorBidi"/>
              <w:noProof/>
              <w:color w:val="auto"/>
              <w:szCs w:val="22"/>
              <w:lang w:eastAsia="en-AU"/>
            </w:rPr>
          </w:pPr>
          <w:hyperlink w:anchor="_Toc155176362" w:history="1">
            <w:r w:rsidR="002B50B0" w:rsidRPr="00670C15">
              <w:rPr>
                <w:rStyle w:val="Hyperlink"/>
                <w:noProof/>
              </w:rPr>
              <w:t>Australian regulations</w:t>
            </w:r>
            <w:r w:rsidR="002B50B0">
              <w:rPr>
                <w:noProof/>
                <w:webHidden/>
              </w:rPr>
              <w:tab/>
            </w:r>
            <w:r w:rsidR="002B50B0">
              <w:rPr>
                <w:noProof/>
                <w:webHidden/>
              </w:rPr>
              <w:fldChar w:fldCharType="begin"/>
            </w:r>
            <w:r w:rsidR="002B50B0">
              <w:rPr>
                <w:noProof/>
                <w:webHidden/>
              </w:rPr>
              <w:instrText xml:space="preserve"> PAGEREF _Toc155176362 \h </w:instrText>
            </w:r>
            <w:r w:rsidR="002B50B0">
              <w:rPr>
                <w:noProof/>
                <w:webHidden/>
              </w:rPr>
            </w:r>
            <w:r w:rsidR="002B50B0">
              <w:rPr>
                <w:noProof/>
                <w:webHidden/>
              </w:rPr>
              <w:fldChar w:fldCharType="separate"/>
            </w:r>
            <w:r w:rsidR="002B50B0">
              <w:rPr>
                <w:noProof/>
                <w:webHidden/>
              </w:rPr>
              <w:t>15</w:t>
            </w:r>
            <w:r w:rsidR="002B50B0">
              <w:rPr>
                <w:noProof/>
                <w:webHidden/>
              </w:rPr>
              <w:fldChar w:fldCharType="end"/>
            </w:r>
          </w:hyperlink>
        </w:p>
        <w:p w14:paraId="6DC1E3BC" w14:textId="778660C3" w:rsidR="002B50B0" w:rsidRDefault="00000000">
          <w:pPr>
            <w:pStyle w:val="TOC3"/>
            <w:rPr>
              <w:rFonts w:asciiTheme="minorHAnsi" w:eastAsiaTheme="minorEastAsia" w:hAnsiTheme="minorHAnsi" w:cstheme="minorBidi"/>
              <w:noProof/>
              <w:color w:val="auto"/>
              <w:szCs w:val="22"/>
              <w:lang w:eastAsia="en-AU"/>
            </w:rPr>
          </w:pPr>
          <w:hyperlink w:anchor="_Toc155176363" w:history="1">
            <w:r w:rsidR="002B50B0" w:rsidRPr="00670C15">
              <w:rPr>
                <w:rStyle w:val="Hyperlink"/>
                <w:noProof/>
              </w:rPr>
              <w:t>International regulations</w:t>
            </w:r>
            <w:r w:rsidR="002B50B0">
              <w:rPr>
                <w:noProof/>
                <w:webHidden/>
              </w:rPr>
              <w:tab/>
            </w:r>
            <w:r w:rsidR="002B50B0">
              <w:rPr>
                <w:noProof/>
                <w:webHidden/>
              </w:rPr>
              <w:fldChar w:fldCharType="begin"/>
            </w:r>
            <w:r w:rsidR="002B50B0">
              <w:rPr>
                <w:noProof/>
                <w:webHidden/>
              </w:rPr>
              <w:instrText xml:space="preserve"> PAGEREF _Toc155176363 \h </w:instrText>
            </w:r>
            <w:r w:rsidR="002B50B0">
              <w:rPr>
                <w:noProof/>
                <w:webHidden/>
              </w:rPr>
            </w:r>
            <w:r w:rsidR="002B50B0">
              <w:rPr>
                <w:noProof/>
                <w:webHidden/>
              </w:rPr>
              <w:fldChar w:fldCharType="separate"/>
            </w:r>
            <w:r w:rsidR="002B50B0">
              <w:rPr>
                <w:noProof/>
                <w:webHidden/>
              </w:rPr>
              <w:t>17</w:t>
            </w:r>
            <w:r w:rsidR="002B50B0">
              <w:rPr>
                <w:noProof/>
                <w:webHidden/>
              </w:rPr>
              <w:fldChar w:fldCharType="end"/>
            </w:r>
          </w:hyperlink>
        </w:p>
        <w:p w14:paraId="424AA66C" w14:textId="0B85C5D3" w:rsidR="002B50B0" w:rsidRDefault="00000000">
          <w:pPr>
            <w:pStyle w:val="TOC2"/>
            <w:tabs>
              <w:tab w:val="left" w:pos="1276"/>
            </w:tabs>
            <w:rPr>
              <w:rFonts w:asciiTheme="minorHAnsi" w:eastAsiaTheme="minorEastAsia" w:hAnsiTheme="minorHAnsi" w:cstheme="minorBidi"/>
              <w:noProof/>
              <w:color w:val="auto"/>
              <w:sz w:val="22"/>
              <w:szCs w:val="22"/>
              <w:lang w:eastAsia="en-AU"/>
            </w:rPr>
          </w:pPr>
          <w:hyperlink w:anchor="_Toc155176364" w:history="1">
            <w:r w:rsidR="002B50B0" w:rsidRPr="00670C15">
              <w:rPr>
                <w:rStyle w:val="Hyperlink"/>
                <w:noProof/>
              </w:rPr>
              <w:t>1.4</w:t>
            </w:r>
            <w:r w:rsidR="002B50B0">
              <w:rPr>
                <w:rFonts w:asciiTheme="minorHAnsi" w:eastAsiaTheme="minorEastAsia" w:hAnsiTheme="minorHAnsi" w:cstheme="minorBidi"/>
                <w:noProof/>
                <w:color w:val="auto"/>
                <w:sz w:val="22"/>
                <w:szCs w:val="22"/>
                <w:lang w:eastAsia="en-AU"/>
              </w:rPr>
              <w:tab/>
            </w:r>
            <w:r w:rsidR="002B50B0" w:rsidRPr="00670C15">
              <w:rPr>
                <w:rStyle w:val="Hyperlink"/>
                <w:noProof/>
              </w:rPr>
              <w:t>Ethylmorphine</w:t>
            </w:r>
            <w:r w:rsidR="002B50B0">
              <w:rPr>
                <w:noProof/>
                <w:webHidden/>
              </w:rPr>
              <w:tab/>
            </w:r>
            <w:r w:rsidR="002B50B0">
              <w:rPr>
                <w:noProof/>
                <w:webHidden/>
              </w:rPr>
              <w:fldChar w:fldCharType="begin"/>
            </w:r>
            <w:r w:rsidR="002B50B0">
              <w:rPr>
                <w:noProof/>
                <w:webHidden/>
              </w:rPr>
              <w:instrText xml:space="preserve"> PAGEREF _Toc155176364 \h </w:instrText>
            </w:r>
            <w:r w:rsidR="002B50B0">
              <w:rPr>
                <w:noProof/>
                <w:webHidden/>
              </w:rPr>
            </w:r>
            <w:r w:rsidR="002B50B0">
              <w:rPr>
                <w:noProof/>
                <w:webHidden/>
              </w:rPr>
              <w:fldChar w:fldCharType="separate"/>
            </w:r>
            <w:r w:rsidR="002B50B0">
              <w:rPr>
                <w:noProof/>
                <w:webHidden/>
              </w:rPr>
              <w:t>18</w:t>
            </w:r>
            <w:r w:rsidR="002B50B0">
              <w:rPr>
                <w:noProof/>
                <w:webHidden/>
              </w:rPr>
              <w:fldChar w:fldCharType="end"/>
            </w:r>
          </w:hyperlink>
        </w:p>
        <w:p w14:paraId="44DF5247" w14:textId="23A00375" w:rsidR="002B50B0" w:rsidRDefault="00000000">
          <w:pPr>
            <w:pStyle w:val="TOC3"/>
            <w:rPr>
              <w:rFonts w:asciiTheme="minorHAnsi" w:eastAsiaTheme="minorEastAsia" w:hAnsiTheme="minorHAnsi" w:cstheme="minorBidi"/>
              <w:noProof/>
              <w:color w:val="auto"/>
              <w:szCs w:val="22"/>
              <w:lang w:eastAsia="en-AU"/>
            </w:rPr>
          </w:pPr>
          <w:hyperlink w:anchor="_Toc155176365" w:history="1">
            <w:r w:rsidR="002B50B0" w:rsidRPr="00670C15">
              <w:rPr>
                <w:rStyle w:val="Hyperlink"/>
                <w:noProof/>
              </w:rPr>
              <w:t>Proposal</w:t>
            </w:r>
            <w:r w:rsidR="002B50B0">
              <w:rPr>
                <w:noProof/>
                <w:webHidden/>
              </w:rPr>
              <w:tab/>
            </w:r>
            <w:r w:rsidR="002B50B0">
              <w:rPr>
                <w:noProof/>
                <w:webHidden/>
              </w:rPr>
              <w:fldChar w:fldCharType="begin"/>
            </w:r>
            <w:r w:rsidR="002B50B0">
              <w:rPr>
                <w:noProof/>
                <w:webHidden/>
              </w:rPr>
              <w:instrText xml:space="preserve"> PAGEREF _Toc155176365 \h </w:instrText>
            </w:r>
            <w:r w:rsidR="002B50B0">
              <w:rPr>
                <w:noProof/>
                <w:webHidden/>
              </w:rPr>
            </w:r>
            <w:r w:rsidR="002B50B0">
              <w:rPr>
                <w:noProof/>
                <w:webHidden/>
              </w:rPr>
              <w:fldChar w:fldCharType="separate"/>
            </w:r>
            <w:r w:rsidR="002B50B0">
              <w:rPr>
                <w:noProof/>
                <w:webHidden/>
              </w:rPr>
              <w:t>18</w:t>
            </w:r>
            <w:r w:rsidR="002B50B0">
              <w:rPr>
                <w:noProof/>
                <w:webHidden/>
              </w:rPr>
              <w:fldChar w:fldCharType="end"/>
            </w:r>
          </w:hyperlink>
        </w:p>
        <w:p w14:paraId="46644DDA" w14:textId="2DE48544" w:rsidR="002B50B0" w:rsidRDefault="00000000">
          <w:pPr>
            <w:pStyle w:val="TOC3"/>
            <w:rPr>
              <w:rFonts w:asciiTheme="minorHAnsi" w:eastAsiaTheme="minorEastAsia" w:hAnsiTheme="minorHAnsi" w:cstheme="minorBidi"/>
              <w:noProof/>
              <w:color w:val="auto"/>
              <w:szCs w:val="22"/>
              <w:lang w:eastAsia="en-AU"/>
            </w:rPr>
          </w:pPr>
          <w:hyperlink w:anchor="_Toc155176366" w:history="1">
            <w:r w:rsidR="002B50B0" w:rsidRPr="00670C15">
              <w:rPr>
                <w:rStyle w:val="Hyperlink"/>
                <w:noProof/>
              </w:rPr>
              <w:t>CAS number</w:t>
            </w:r>
            <w:r w:rsidR="002B50B0">
              <w:rPr>
                <w:noProof/>
                <w:webHidden/>
              </w:rPr>
              <w:tab/>
            </w:r>
            <w:r w:rsidR="002B50B0">
              <w:rPr>
                <w:noProof/>
                <w:webHidden/>
              </w:rPr>
              <w:fldChar w:fldCharType="begin"/>
            </w:r>
            <w:r w:rsidR="002B50B0">
              <w:rPr>
                <w:noProof/>
                <w:webHidden/>
              </w:rPr>
              <w:instrText xml:space="preserve"> PAGEREF _Toc155176366 \h </w:instrText>
            </w:r>
            <w:r w:rsidR="002B50B0">
              <w:rPr>
                <w:noProof/>
                <w:webHidden/>
              </w:rPr>
            </w:r>
            <w:r w:rsidR="002B50B0">
              <w:rPr>
                <w:noProof/>
                <w:webHidden/>
              </w:rPr>
              <w:fldChar w:fldCharType="separate"/>
            </w:r>
            <w:r w:rsidR="002B50B0">
              <w:rPr>
                <w:noProof/>
                <w:webHidden/>
              </w:rPr>
              <w:t>18</w:t>
            </w:r>
            <w:r w:rsidR="002B50B0">
              <w:rPr>
                <w:noProof/>
                <w:webHidden/>
              </w:rPr>
              <w:fldChar w:fldCharType="end"/>
            </w:r>
          </w:hyperlink>
        </w:p>
        <w:p w14:paraId="110B78CB" w14:textId="6CD5B282" w:rsidR="002B50B0" w:rsidRDefault="00000000">
          <w:pPr>
            <w:pStyle w:val="TOC3"/>
            <w:rPr>
              <w:rFonts w:asciiTheme="minorHAnsi" w:eastAsiaTheme="minorEastAsia" w:hAnsiTheme="minorHAnsi" w:cstheme="minorBidi"/>
              <w:noProof/>
              <w:color w:val="auto"/>
              <w:szCs w:val="22"/>
              <w:lang w:eastAsia="en-AU"/>
            </w:rPr>
          </w:pPr>
          <w:hyperlink w:anchor="_Toc155176367" w:history="1">
            <w:r w:rsidR="002B50B0" w:rsidRPr="00670C15">
              <w:rPr>
                <w:rStyle w:val="Hyperlink"/>
                <w:noProof/>
              </w:rPr>
              <w:t>Alternative names</w:t>
            </w:r>
            <w:r w:rsidR="002B50B0">
              <w:rPr>
                <w:noProof/>
                <w:webHidden/>
              </w:rPr>
              <w:tab/>
            </w:r>
            <w:r w:rsidR="002B50B0">
              <w:rPr>
                <w:noProof/>
                <w:webHidden/>
              </w:rPr>
              <w:fldChar w:fldCharType="begin"/>
            </w:r>
            <w:r w:rsidR="002B50B0">
              <w:rPr>
                <w:noProof/>
                <w:webHidden/>
              </w:rPr>
              <w:instrText xml:space="preserve"> PAGEREF _Toc155176367 \h </w:instrText>
            </w:r>
            <w:r w:rsidR="002B50B0">
              <w:rPr>
                <w:noProof/>
                <w:webHidden/>
              </w:rPr>
            </w:r>
            <w:r w:rsidR="002B50B0">
              <w:rPr>
                <w:noProof/>
                <w:webHidden/>
              </w:rPr>
              <w:fldChar w:fldCharType="separate"/>
            </w:r>
            <w:r w:rsidR="002B50B0">
              <w:rPr>
                <w:noProof/>
                <w:webHidden/>
              </w:rPr>
              <w:t>18</w:t>
            </w:r>
            <w:r w:rsidR="002B50B0">
              <w:rPr>
                <w:noProof/>
                <w:webHidden/>
              </w:rPr>
              <w:fldChar w:fldCharType="end"/>
            </w:r>
          </w:hyperlink>
        </w:p>
        <w:p w14:paraId="0025BA00" w14:textId="78B849A2" w:rsidR="002B50B0" w:rsidRDefault="00000000">
          <w:pPr>
            <w:pStyle w:val="TOC3"/>
            <w:rPr>
              <w:rFonts w:asciiTheme="minorHAnsi" w:eastAsiaTheme="minorEastAsia" w:hAnsiTheme="minorHAnsi" w:cstheme="minorBidi"/>
              <w:noProof/>
              <w:color w:val="auto"/>
              <w:szCs w:val="22"/>
              <w:lang w:eastAsia="en-AU"/>
            </w:rPr>
          </w:pPr>
          <w:hyperlink w:anchor="_Toc155176368" w:history="1">
            <w:r w:rsidR="002B50B0" w:rsidRPr="00670C15">
              <w:rPr>
                <w:rStyle w:val="Hyperlink"/>
                <w:noProof/>
              </w:rPr>
              <w:t>Proposed Scheduling</w:t>
            </w:r>
            <w:r w:rsidR="002B50B0">
              <w:rPr>
                <w:noProof/>
                <w:webHidden/>
              </w:rPr>
              <w:tab/>
            </w:r>
            <w:r w:rsidR="002B50B0">
              <w:rPr>
                <w:noProof/>
                <w:webHidden/>
              </w:rPr>
              <w:fldChar w:fldCharType="begin"/>
            </w:r>
            <w:r w:rsidR="002B50B0">
              <w:rPr>
                <w:noProof/>
                <w:webHidden/>
              </w:rPr>
              <w:instrText xml:space="preserve"> PAGEREF _Toc155176368 \h </w:instrText>
            </w:r>
            <w:r w:rsidR="002B50B0">
              <w:rPr>
                <w:noProof/>
                <w:webHidden/>
              </w:rPr>
            </w:r>
            <w:r w:rsidR="002B50B0">
              <w:rPr>
                <w:noProof/>
                <w:webHidden/>
              </w:rPr>
              <w:fldChar w:fldCharType="separate"/>
            </w:r>
            <w:r w:rsidR="002B50B0">
              <w:rPr>
                <w:noProof/>
                <w:webHidden/>
              </w:rPr>
              <w:t>18</w:t>
            </w:r>
            <w:r w:rsidR="002B50B0">
              <w:rPr>
                <w:noProof/>
                <w:webHidden/>
              </w:rPr>
              <w:fldChar w:fldCharType="end"/>
            </w:r>
          </w:hyperlink>
        </w:p>
        <w:p w14:paraId="425D3298" w14:textId="413FFE5E" w:rsidR="002B50B0" w:rsidRDefault="00000000">
          <w:pPr>
            <w:pStyle w:val="TOC3"/>
            <w:rPr>
              <w:rFonts w:asciiTheme="minorHAnsi" w:eastAsiaTheme="minorEastAsia" w:hAnsiTheme="minorHAnsi" w:cstheme="minorBidi"/>
              <w:noProof/>
              <w:color w:val="auto"/>
              <w:szCs w:val="22"/>
              <w:lang w:eastAsia="en-AU"/>
            </w:rPr>
          </w:pPr>
          <w:hyperlink w:anchor="_Toc155176369" w:history="1">
            <w:r w:rsidR="002B50B0" w:rsidRPr="00670C15">
              <w:rPr>
                <w:rStyle w:val="Hyperlink"/>
                <w:noProof/>
              </w:rPr>
              <w:t>Background</w:t>
            </w:r>
            <w:r w:rsidR="002B50B0">
              <w:rPr>
                <w:noProof/>
                <w:webHidden/>
              </w:rPr>
              <w:tab/>
            </w:r>
            <w:r w:rsidR="002B50B0">
              <w:rPr>
                <w:noProof/>
                <w:webHidden/>
              </w:rPr>
              <w:fldChar w:fldCharType="begin"/>
            </w:r>
            <w:r w:rsidR="002B50B0">
              <w:rPr>
                <w:noProof/>
                <w:webHidden/>
              </w:rPr>
              <w:instrText xml:space="preserve"> PAGEREF _Toc155176369 \h </w:instrText>
            </w:r>
            <w:r w:rsidR="002B50B0">
              <w:rPr>
                <w:noProof/>
                <w:webHidden/>
              </w:rPr>
            </w:r>
            <w:r w:rsidR="002B50B0">
              <w:rPr>
                <w:noProof/>
                <w:webHidden/>
              </w:rPr>
              <w:fldChar w:fldCharType="separate"/>
            </w:r>
            <w:r w:rsidR="002B50B0">
              <w:rPr>
                <w:noProof/>
                <w:webHidden/>
              </w:rPr>
              <w:t>19</w:t>
            </w:r>
            <w:r w:rsidR="002B50B0">
              <w:rPr>
                <w:noProof/>
                <w:webHidden/>
              </w:rPr>
              <w:fldChar w:fldCharType="end"/>
            </w:r>
          </w:hyperlink>
        </w:p>
        <w:p w14:paraId="0C6ACB96" w14:textId="1B0C2B9B" w:rsidR="002B50B0" w:rsidRDefault="00000000">
          <w:pPr>
            <w:pStyle w:val="TOC3"/>
            <w:rPr>
              <w:rFonts w:asciiTheme="minorHAnsi" w:eastAsiaTheme="minorEastAsia" w:hAnsiTheme="minorHAnsi" w:cstheme="minorBidi"/>
              <w:noProof/>
              <w:color w:val="auto"/>
              <w:szCs w:val="22"/>
              <w:lang w:eastAsia="en-AU"/>
            </w:rPr>
          </w:pPr>
          <w:hyperlink w:anchor="_Toc155176370" w:history="1">
            <w:r w:rsidR="002B50B0" w:rsidRPr="00670C15">
              <w:rPr>
                <w:rStyle w:val="Hyperlink"/>
                <w:noProof/>
              </w:rPr>
              <w:t>Summary of reasons for the proposal</w:t>
            </w:r>
            <w:r w:rsidR="002B50B0">
              <w:rPr>
                <w:noProof/>
                <w:webHidden/>
              </w:rPr>
              <w:tab/>
            </w:r>
            <w:r w:rsidR="002B50B0">
              <w:rPr>
                <w:noProof/>
                <w:webHidden/>
              </w:rPr>
              <w:fldChar w:fldCharType="begin"/>
            </w:r>
            <w:r w:rsidR="002B50B0">
              <w:rPr>
                <w:noProof/>
                <w:webHidden/>
              </w:rPr>
              <w:instrText xml:space="preserve"> PAGEREF _Toc155176370 \h </w:instrText>
            </w:r>
            <w:r w:rsidR="002B50B0">
              <w:rPr>
                <w:noProof/>
                <w:webHidden/>
              </w:rPr>
            </w:r>
            <w:r w:rsidR="002B50B0">
              <w:rPr>
                <w:noProof/>
                <w:webHidden/>
              </w:rPr>
              <w:fldChar w:fldCharType="separate"/>
            </w:r>
            <w:r w:rsidR="002B50B0">
              <w:rPr>
                <w:noProof/>
                <w:webHidden/>
              </w:rPr>
              <w:t>19</w:t>
            </w:r>
            <w:r w:rsidR="002B50B0">
              <w:rPr>
                <w:noProof/>
                <w:webHidden/>
              </w:rPr>
              <w:fldChar w:fldCharType="end"/>
            </w:r>
          </w:hyperlink>
        </w:p>
        <w:p w14:paraId="7810FD99" w14:textId="39B55B05" w:rsidR="002B50B0" w:rsidRDefault="00000000">
          <w:pPr>
            <w:pStyle w:val="TOC3"/>
            <w:rPr>
              <w:rFonts w:asciiTheme="minorHAnsi" w:eastAsiaTheme="minorEastAsia" w:hAnsiTheme="minorHAnsi" w:cstheme="minorBidi"/>
              <w:noProof/>
              <w:color w:val="auto"/>
              <w:szCs w:val="22"/>
              <w:lang w:eastAsia="en-AU"/>
            </w:rPr>
          </w:pPr>
          <w:hyperlink w:anchor="_Toc155176371" w:history="1">
            <w:r w:rsidR="002B50B0" w:rsidRPr="00670C15">
              <w:rPr>
                <w:rStyle w:val="Hyperlink"/>
                <w:noProof/>
              </w:rPr>
              <w:t>Key uses / expected use</w:t>
            </w:r>
            <w:r w:rsidR="002B50B0">
              <w:rPr>
                <w:noProof/>
                <w:webHidden/>
              </w:rPr>
              <w:tab/>
            </w:r>
            <w:r w:rsidR="002B50B0">
              <w:rPr>
                <w:noProof/>
                <w:webHidden/>
              </w:rPr>
              <w:fldChar w:fldCharType="begin"/>
            </w:r>
            <w:r w:rsidR="002B50B0">
              <w:rPr>
                <w:noProof/>
                <w:webHidden/>
              </w:rPr>
              <w:instrText xml:space="preserve"> PAGEREF _Toc155176371 \h </w:instrText>
            </w:r>
            <w:r w:rsidR="002B50B0">
              <w:rPr>
                <w:noProof/>
                <w:webHidden/>
              </w:rPr>
            </w:r>
            <w:r w:rsidR="002B50B0">
              <w:rPr>
                <w:noProof/>
                <w:webHidden/>
              </w:rPr>
              <w:fldChar w:fldCharType="separate"/>
            </w:r>
            <w:r w:rsidR="002B50B0">
              <w:rPr>
                <w:noProof/>
                <w:webHidden/>
              </w:rPr>
              <w:t>19</w:t>
            </w:r>
            <w:r w:rsidR="002B50B0">
              <w:rPr>
                <w:noProof/>
                <w:webHidden/>
              </w:rPr>
              <w:fldChar w:fldCharType="end"/>
            </w:r>
          </w:hyperlink>
        </w:p>
        <w:p w14:paraId="3EDDDB0E" w14:textId="1A96205C" w:rsidR="002B50B0" w:rsidRDefault="00000000">
          <w:pPr>
            <w:pStyle w:val="TOC3"/>
            <w:rPr>
              <w:rFonts w:asciiTheme="minorHAnsi" w:eastAsiaTheme="minorEastAsia" w:hAnsiTheme="minorHAnsi" w:cstheme="minorBidi"/>
              <w:noProof/>
              <w:color w:val="auto"/>
              <w:szCs w:val="22"/>
              <w:lang w:eastAsia="en-AU"/>
            </w:rPr>
          </w:pPr>
          <w:hyperlink w:anchor="_Toc155176372" w:history="1">
            <w:r w:rsidR="002B50B0" w:rsidRPr="00670C15">
              <w:rPr>
                <w:rStyle w:val="Hyperlink"/>
                <w:noProof/>
              </w:rPr>
              <w:t>Australian regulations</w:t>
            </w:r>
            <w:r w:rsidR="002B50B0">
              <w:rPr>
                <w:noProof/>
                <w:webHidden/>
              </w:rPr>
              <w:tab/>
            </w:r>
            <w:r w:rsidR="002B50B0">
              <w:rPr>
                <w:noProof/>
                <w:webHidden/>
              </w:rPr>
              <w:fldChar w:fldCharType="begin"/>
            </w:r>
            <w:r w:rsidR="002B50B0">
              <w:rPr>
                <w:noProof/>
                <w:webHidden/>
              </w:rPr>
              <w:instrText xml:space="preserve"> PAGEREF _Toc155176372 \h </w:instrText>
            </w:r>
            <w:r w:rsidR="002B50B0">
              <w:rPr>
                <w:noProof/>
                <w:webHidden/>
              </w:rPr>
            </w:r>
            <w:r w:rsidR="002B50B0">
              <w:rPr>
                <w:noProof/>
                <w:webHidden/>
              </w:rPr>
              <w:fldChar w:fldCharType="separate"/>
            </w:r>
            <w:r w:rsidR="002B50B0">
              <w:rPr>
                <w:noProof/>
                <w:webHidden/>
              </w:rPr>
              <w:t>19</w:t>
            </w:r>
            <w:r w:rsidR="002B50B0">
              <w:rPr>
                <w:noProof/>
                <w:webHidden/>
              </w:rPr>
              <w:fldChar w:fldCharType="end"/>
            </w:r>
          </w:hyperlink>
        </w:p>
        <w:p w14:paraId="60298751" w14:textId="43E923D4" w:rsidR="002B50B0" w:rsidRDefault="00000000">
          <w:pPr>
            <w:pStyle w:val="TOC3"/>
            <w:rPr>
              <w:rFonts w:asciiTheme="minorHAnsi" w:eastAsiaTheme="minorEastAsia" w:hAnsiTheme="minorHAnsi" w:cstheme="minorBidi"/>
              <w:noProof/>
              <w:color w:val="auto"/>
              <w:szCs w:val="22"/>
              <w:lang w:eastAsia="en-AU"/>
            </w:rPr>
          </w:pPr>
          <w:hyperlink w:anchor="_Toc155176373" w:history="1">
            <w:r w:rsidR="002B50B0" w:rsidRPr="00670C15">
              <w:rPr>
                <w:rStyle w:val="Hyperlink"/>
                <w:noProof/>
              </w:rPr>
              <w:t>International regulations</w:t>
            </w:r>
            <w:r w:rsidR="002B50B0">
              <w:rPr>
                <w:noProof/>
                <w:webHidden/>
              </w:rPr>
              <w:tab/>
            </w:r>
            <w:r w:rsidR="002B50B0">
              <w:rPr>
                <w:noProof/>
                <w:webHidden/>
              </w:rPr>
              <w:fldChar w:fldCharType="begin"/>
            </w:r>
            <w:r w:rsidR="002B50B0">
              <w:rPr>
                <w:noProof/>
                <w:webHidden/>
              </w:rPr>
              <w:instrText xml:space="preserve"> PAGEREF _Toc155176373 \h </w:instrText>
            </w:r>
            <w:r w:rsidR="002B50B0">
              <w:rPr>
                <w:noProof/>
                <w:webHidden/>
              </w:rPr>
            </w:r>
            <w:r w:rsidR="002B50B0">
              <w:rPr>
                <w:noProof/>
                <w:webHidden/>
              </w:rPr>
              <w:fldChar w:fldCharType="separate"/>
            </w:r>
            <w:r w:rsidR="002B50B0">
              <w:rPr>
                <w:noProof/>
                <w:webHidden/>
              </w:rPr>
              <w:t>20</w:t>
            </w:r>
            <w:r w:rsidR="002B50B0">
              <w:rPr>
                <w:noProof/>
                <w:webHidden/>
              </w:rPr>
              <w:fldChar w:fldCharType="end"/>
            </w:r>
          </w:hyperlink>
        </w:p>
        <w:p w14:paraId="34392976" w14:textId="09D87195" w:rsidR="002B50B0" w:rsidRDefault="00000000">
          <w:pPr>
            <w:pStyle w:val="TOC1"/>
            <w:tabs>
              <w:tab w:val="left" w:pos="425"/>
            </w:tabs>
            <w:rPr>
              <w:rFonts w:asciiTheme="minorHAnsi" w:eastAsiaTheme="minorEastAsia" w:hAnsiTheme="minorHAnsi" w:cstheme="minorBidi"/>
              <w:b w:val="0"/>
              <w:noProof/>
              <w:color w:val="auto"/>
              <w:sz w:val="22"/>
              <w:szCs w:val="22"/>
              <w:lang w:eastAsia="en-AU"/>
            </w:rPr>
          </w:pPr>
          <w:hyperlink w:anchor="_Toc155176374" w:history="1">
            <w:r w:rsidR="002B50B0" w:rsidRPr="00670C15">
              <w:rPr>
                <w:rStyle w:val="Hyperlink"/>
                <w:rFonts w:cs="Arial"/>
                <w:noProof/>
              </w:rPr>
              <w:t>2</w:t>
            </w:r>
            <w:r w:rsidR="002B50B0">
              <w:rPr>
                <w:rFonts w:asciiTheme="minorHAnsi" w:eastAsiaTheme="minorEastAsia" w:hAnsiTheme="minorHAnsi" w:cstheme="minorBidi"/>
                <w:b w:val="0"/>
                <w:noProof/>
                <w:color w:val="auto"/>
                <w:sz w:val="22"/>
                <w:szCs w:val="22"/>
                <w:lang w:eastAsia="en-AU"/>
              </w:rPr>
              <w:tab/>
            </w:r>
            <w:r w:rsidR="002B50B0" w:rsidRPr="00670C15">
              <w:rPr>
                <w:rStyle w:val="Hyperlink"/>
                <w:rFonts w:cs="Arial"/>
                <w:noProof/>
              </w:rPr>
              <w:t>Proposed amendments referred for scheduling advice to ACCS meeting #38</w:t>
            </w:r>
            <w:r w:rsidR="002B50B0">
              <w:rPr>
                <w:noProof/>
                <w:webHidden/>
              </w:rPr>
              <w:tab/>
            </w:r>
            <w:r w:rsidR="002B50B0">
              <w:rPr>
                <w:noProof/>
                <w:webHidden/>
              </w:rPr>
              <w:fldChar w:fldCharType="begin"/>
            </w:r>
            <w:r w:rsidR="002B50B0">
              <w:rPr>
                <w:noProof/>
                <w:webHidden/>
              </w:rPr>
              <w:instrText xml:space="preserve"> PAGEREF _Toc155176374 \h </w:instrText>
            </w:r>
            <w:r w:rsidR="002B50B0">
              <w:rPr>
                <w:noProof/>
                <w:webHidden/>
              </w:rPr>
            </w:r>
            <w:r w:rsidR="002B50B0">
              <w:rPr>
                <w:noProof/>
                <w:webHidden/>
              </w:rPr>
              <w:fldChar w:fldCharType="separate"/>
            </w:r>
            <w:r w:rsidR="002B50B0">
              <w:rPr>
                <w:noProof/>
                <w:webHidden/>
              </w:rPr>
              <w:t>21</w:t>
            </w:r>
            <w:r w:rsidR="002B50B0">
              <w:rPr>
                <w:noProof/>
                <w:webHidden/>
              </w:rPr>
              <w:fldChar w:fldCharType="end"/>
            </w:r>
          </w:hyperlink>
        </w:p>
        <w:p w14:paraId="0FF85116" w14:textId="61B04448" w:rsidR="002B50B0" w:rsidRDefault="00000000">
          <w:pPr>
            <w:pStyle w:val="TOC2"/>
            <w:tabs>
              <w:tab w:val="left" w:pos="1276"/>
            </w:tabs>
            <w:rPr>
              <w:rFonts w:asciiTheme="minorHAnsi" w:eastAsiaTheme="minorEastAsia" w:hAnsiTheme="minorHAnsi" w:cstheme="minorBidi"/>
              <w:noProof/>
              <w:color w:val="auto"/>
              <w:sz w:val="22"/>
              <w:szCs w:val="22"/>
              <w:lang w:eastAsia="en-AU"/>
            </w:rPr>
          </w:pPr>
          <w:hyperlink w:anchor="_Toc155176375" w:history="1">
            <w:r w:rsidR="002B50B0" w:rsidRPr="00670C15">
              <w:rPr>
                <w:rStyle w:val="Hyperlink"/>
                <w:noProof/>
              </w:rPr>
              <w:t>2.1</w:t>
            </w:r>
            <w:r w:rsidR="002B50B0">
              <w:rPr>
                <w:rFonts w:asciiTheme="minorHAnsi" w:eastAsiaTheme="minorEastAsia" w:hAnsiTheme="minorHAnsi" w:cstheme="minorBidi"/>
                <w:noProof/>
                <w:color w:val="auto"/>
                <w:sz w:val="22"/>
                <w:szCs w:val="22"/>
                <w:lang w:eastAsia="en-AU"/>
              </w:rPr>
              <w:tab/>
            </w:r>
            <w:r w:rsidR="002B50B0" w:rsidRPr="00670C15">
              <w:rPr>
                <w:rStyle w:val="Hyperlink"/>
                <w:noProof/>
              </w:rPr>
              <w:t>Ethyl lactyl retinoate</w:t>
            </w:r>
            <w:r w:rsidR="002B50B0">
              <w:rPr>
                <w:noProof/>
                <w:webHidden/>
              </w:rPr>
              <w:tab/>
            </w:r>
            <w:r w:rsidR="002B50B0">
              <w:rPr>
                <w:noProof/>
                <w:webHidden/>
              </w:rPr>
              <w:fldChar w:fldCharType="begin"/>
            </w:r>
            <w:r w:rsidR="002B50B0">
              <w:rPr>
                <w:noProof/>
                <w:webHidden/>
              </w:rPr>
              <w:instrText xml:space="preserve"> PAGEREF _Toc155176375 \h </w:instrText>
            </w:r>
            <w:r w:rsidR="002B50B0">
              <w:rPr>
                <w:noProof/>
                <w:webHidden/>
              </w:rPr>
            </w:r>
            <w:r w:rsidR="002B50B0">
              <w:rPr>
                <w:noProof/>
                <w:webHidden/>
              </w:rPr>
              <w:fldChar w:fldCharType="separate"/>
            </w:r>
            <w:r w:rsidR="002B50B0">
              <w:rPr>
                <w:noProof/>
                <w:webHidden/>
              </w:rPr>
              <w:t>21</w:t>
            </w:r>
            <w:r w:rsidR="002B50B0">
              <w:rPr>
                <w:noProof/>
                <w:webHidden/>
              </w:rPr>
              <w:fldChar w:fldCharType="end"/>
            </w:r>
          </w:hyperlink>
        </w:p>
        <w:p w14:paraId="444B7BD4" w14:textId="027A53CA" w:rsidR="002B50B0" w:rsidRDefault="00000000">
          <w:pPr>
            <w:pStyle w:val="TOC3"/>
            <w:rPr>
              <w:rFonts w:asciiTheme="minorHAnsi" w:eastAsiaTheme="minorEastAsia" w:hAnsiTheme="minorHAnsi" w:cstheme="minorBidi"/>
              <w:noProof/>
              <w:color w:val="auto"/>
              <w:szCs w:val="22"/>
              <w:lang w:eastAsia="en-AU"/>
            </w:rPr>
          </w:pPr>
          <w:hyperlink w:anchor="_Toc155176376" w:history="1">
            <w:r w:rsidR="002B50B0" w:rsidRPr="00670C15">
              <w:rPr>
                <w:rStyle w:val="Hyperlink"/>
                <w:noProof/>
              </w:rPr>
              <w:t>Proposal</w:t>
            </w:r>
            <w:r w:rsidR="002B50B0">
              <w:rPr>
                <w:noProof/>
                <w:webHidden/>
              </w:rPr>
              <w:tab/>
            </w:r>
            <w:r w:rsidR="002B50B0">
              <w:rPr>
                <w:noProof/>
                <w:webHidden/>
              </w:rPr>
              <w:fldChar w:fldCharType="begin"/>
            </w:r>
            <w:r w:rsidR="002B50B0">
              <w:rPr>
                <w:noProof/>
                <w:webHidden/>
              </w:rPr>
              <w:instrText xml:space="preserve"> PAGEREF _Toc155176376 \h </w:instrText>
            </w:r>
            <w:r w:rsidR="002B50B0">
              <w:rPr>
                <w:noProof/>
                <w:webHidden/>
              </w:rPr>
            </w:r>
            <w:r w:rsidR="002B50B0">
              <w:rPr>
                <w:noProof/>
                <w:webHidden/>
              </w:rPr>
              <w:fldChar w:fldCharType="separate"/>
            </w:r>
            <w:r w:rsidR="002B50B0">
              <w:rPr>
                <w:noProof/>
                <w:webHidden/>
              </w:rPr>
              <w:t>21</w:t>
            </w:r>
            <w:r w:rsidR="002B50B0">
              <w:rPr>
                <w:noProof/>
                <w:webHidden/>
              </w:rPr>
              <w:fldChar w:fldCharType="end"/>
            </w:r>
          </w:hyperlink>
        </w:p>
        <w:p w14:paraId="1EDA4EC2" w14:textId="1F93834E" w:rsidR="002B50B0" w:rsidRDefault="00000000">
          <w:pPr>
            <w:pStyle w:val="TOC3"/>
            <w:rPr>
              <w:rFonts w:asciiTheme="minorHAnsi" w:eastAsiaTheme="minorEastAsia" w:hAnsiTheme="minorHAnsi" w:cstheme="minorBidi"/>
              <w:noProof/>
              <w:color w:val="auto"/>
              <w:szCs w:val="22"/>
              <w:lang w:eastAsia="en-AU"/>
            </w:rPr>
          </w:pPr>
          <w:hyperlink w:anchor="_Toc155176377" w:history="1">
            <w:r w:rsidR="002B50B0" w:rsidRPr="00670C15">
              <w:rPr>
                <w:rStyle w:val="Hyperlink"/>
                <w:noProof/>
              </w:rPr>
              <w:t>CAS Number</w:t>
            </w:r>
            <w:r w:rsidR="002B50B0">
              <w:rPr>
                <w:noProof/>
                <w:webHidden/>
              </w:rPr>
              <w:tab/>
            </w:r>
            <w:r w:rsidR="002B50B0">
              <w:rPr>
                <w:noProof/>
                <w:webHidden/>
              </w:rPr>
              <w:fldChar w:fldCharType="begin"/>
            </w:r>
            <w:r w:rsidR="002B50B0">
              <w:rPr>
                <w:noProof/>
                <w:webHidden/>
              </w:rPr>
              <w:instrText xml:space="preserve"> PAGEREF _Toc155176377 \h </w:instrText>
            </w:r>
            <w:r w:rsidR="002B50B0">
              <w:rPr>
                <w:noProof/>
                <w:webHidden/>
              </w:rPr>
            </w:r>
            <w:r w:rsidR="002B50B0">
              <w:rPr>
                <w:noProof/>
                <w:webHidden/>
              </w:rPr>
              <w:fldChar w:fldCharType="separate"/>
            </w:r>
            <w:r w:rsidR="002B50B0">
              <w:rPr>
                <w:noProof/>
                <w:webHidden/>
              </w:rPr>
              <w:t>21</w:t>
            </w:r>
            <w:r w:rsidR="002B50B0">
              <w:rPr>
                <w:noProof/>
                <w:webHidden/>
              </w:rPr>
              <w:fldChar w:fldCharType="end"/>
            </w:r>
          </w:hyperlink>
        </w:p>
        <w:p w14:paraId="380C1AAE" w14:textId="47B00EF7" w:rsidR="002B50B0" w:rsidRDefault="00000000">
          <w:pPr>
            <w:pStyle w:val="TOC3"/>
            <w:rPr>
              <w:rFonts w:asciiTheme="minorHAnsi" w:eastAsiaTheme="minorEastAsia" w:hAnsiTheme="minorHAnsi" w:cstheme="minorBidi"/>
              <w:noProof/>
              <w:color w:val="auto"/>
              <w:szCs w:val="22"/>
              <w:lang w:eastAsia="en-AU"/>
            </w:rPr>
          </w:pPr>
          <w:hyperlink w:anchor="_Toc155176378" w:history="1">
            <w:r w:rsidR="002B50B0" w:rsidRPr="00670C15">
              <w:rPr>
                <w:rStyle w:val="Hyperlink"/>
                <w:noProof/>
              </w:rPr>
              <w:t>Alternative names</w:t>
            </w:r>
            <w:r w:rsidR="002B50B0">
              <w:rPr>
                <w:noProof/>
                <w:webHidden/>
              </w:rPr>
              <w:tab/>
            </w:r>
            <w:r w:rsidR="002B50B0">
              <w:rPr>
                <w:noProof/>
                <w:webHidden/>
              </w:rPr>
              <w:fldChar w:fldCharType="begin"/>
            </w:r>
            <w:r w:rsidR="002B50B0">
              <w:rPr>
                <w:noProof/>
                <w:webHidden/>
              </w:rPr>
              <w:instrText xml:space="preserve"> PAGEREF _Toc155176378 \h </w:instrText>
            </w:r>
            <w:r w:rsidR="002B50B0">
              <w:rPr>
                <w:noProof/>
                <w:webHidden/>
              </w:rPr>
            </w:r>
            <w:r w:rsidR="002B50B0">
              <w:rPr>
                <w:noProof/>
                <w:webHidden/>
              </w:rPr>
              <w:fldChar w:fldCharType="separate"/>
            </w:r>
            <w:r w:rsidR="002B50B0">
              <w:rPr>
                <w:noProof/>
                <w:webHidden/>
              </w:rPr>
              <w:t>21</w:t>
            </w:r>
            <w:r w:rsidR="002B50B0">
              <w:rPr>
                <w:noProof/>
                <w:webHidden/>
              </w:rPr>
              <w:fldChar w:fldCharType="end"/>
            </w:r>
          </w:hyperlink>
        </w:p>
        <w:p w14:paraId="43685383" w14:textId="760B2E89" w:rsidR="002B50B0" w:rsidRDefault="00000000">
          <w:pPr>
            <w:pStyle w:val="TOC3"/>
            <w:rPr>
              <w:rFonts w:asciiTheme="minorHAnsi" w:eastAsiaTheme="minorEastAsia" w:hAnsiTheme="minorHAnsi" w:cstheme="minorBidi"/>
              <w:noProof/>
              <w:color w:val="auto"/>
              <w:szCs w:val="22"/>
              <w:lang w:eastAsia="en-AU"/>
            </w:rPr>
          </w:pPr>
          <w:hyperlink w:anchor="_Toc155176379" w:history="1">
            <w:r w:rsidR="002B50B0" w:rsidRPr="00670C15">
              <w:rPr>
                <w:rStyle w:val="Hyperlink"/>
                <w:noProof/>
              </w:rPr>
              <w:t>Applicant</w:t>
            </w:r>
            <w:r w:rsidR="002B50B0">
              <w:rPr>
                <w:noProof/>
                <w:webHidden/>
              </w:rPr>
              <w:tab/>
            </w:r>
            <w:r w:rsidR="002B50B0">
              <w:rPr>
                <w:noProof/>
                <w:webHidden/>
              </w:rPr>
              <w:fldChar w:fldCharType="begin"/>
            </w:r>
            <w:r w:rsidR="002B50B0">
              <w:rPr>
                <w:noProof/>
                <w:webHidden/>
              </w:rPr>
              <w:instrText xml:space="preserve"> PAGEREF _Toc155176379 \h </w:instrText>
            </w:r>
            <w:r w:rsidR="002B50B0">
              <w:rPr>
                <w:noProof/>
                <w:webHidden/>
              </w:rPr>
            </w:r>
            <w:r w:rsidR="002B50B0">
              <w:rPr>
                <w:noProof/>
                <w:webHidden/>
              </w:rPr>
              <w:fldChar w:fldCharType="separate"/>
            </w:r>
            <w:r w:rsidR="002B50B0">
              <w:rPr>
                <w:noProof/>
                <w:webHidden/>
              </w:rPr>
              <w:t>21</w:t>
            </w:r>
            <w:r w:rsidR="002B50B0">
              <w:rPr>
                <w:noProof/>
                <w:webHidden/>
              </w:rPr>
              <w:fldChar w:fldCharType="end"/>
            </w:r>
          </w:hyperlink>
        </w:p>
        <w:p w14:paraId="14589B50" w14:textId="2086E28C" w:rsidR="002B50B0" w:rsidRDefault="00000000">
          <w:pPr>
            <w:pStyle w:val="TOC3"/>
            <w:rPr>
              <w:rFonts w:asciiTheme="minorHAnsi" w:eastAsiaTheme="minorEastAsia" w:hAnsiTheme="minorHAnsi" w:cstheme="minorBidi"/>
              <w:noProof/>
              <w:color w:val="auto"/>
              <w:szCs w:val="22"/>
              <w:lang w:eastAsia="en-AU"/>
            </w:rPr>
          </w:pPr>
          <w:hyperlink w:anchor="_Toc155176380" w:history="1">
            <w:r w:rsidR="002B50B0" w:rsidRPr="00670C15">
              <w:rPr>
                <w:rStyle w:val="Hyperlink"/>
                <w:noProof/>
              </w:rPr>
              <w:t>Proposed Scheduling</w:t>
            </w:r>
            <w:r w:rsidR="002B50B0">
              <w:rPr>
                <w:noProof/>
                <w:webHidden/>
              </w:rPr>
              <w:tab/>
            </w:r>
            <w:r w:rsidR="002B50B0">
              <w:rPr>
                <w:noProof/>
                <w:webHidden/>
              </w:rPr>
              <w:fldChar w:fldCharType="begin"/>
            </w:r>
            <w:r w:rsidR="002B50B0">
              <w:rPr>
                <w:noProof/>
                <w:webHidden/>
              </w:rPr>
              <w:instrText xml:space="preserve"> PAGEREF _Toc155176380 \h </w:instrText>
            </w:r>
            <w:r w:rsidR="002B50B0">
              <w:rPr>
                <w:noProof/>
                <w:webHidden/>
              </w:rPr>
            </w:r>
            <w:r w:rsidR="002B50B0">
              <w:rPr>
                <w:noProof/>
                <w:webHidden/>
              </w:rPr>
              <w:fldChar w:fldCharType="separate"/>
            </w:r>
            <w:r w:rsidR="002B50B0">
              <w:rPr>
                <w:noProof/>
                <w:webHidden/>
              </w:rPr>
              <w:t>21</w:t>
            </w:r>
            <w:r w:rsidR="002B50B0">
              <w:rPr>
                <w:noProof/>
                <w:webHidden/>
              </w:rPr>
              <w:fldChar w:fldCharType="end"/>
            </w:r>
          </w:hyperlink>
        </w:p>
        <w:p w14:paraId="264B13EC" w14:textId="3B98337E" w:rsidR="002B50B0" w:rsidRDefault="00000000">
          <w:pPr>
            <w:pStyle w:val="TOC3"/>
            <w:rPr>
              <w:rFonts w:asciiTheme="minorHAnsi" w:eastAsiaTheme="minorEastAsia" w:hAnsiTheme="minorHAnsi" w:cstheme="minorBidi"/>
              <w:noProof/>
              <w:color w:val="auto"/>
              <w:szCs w:val="22"/>
              <w:lang w:eastAsia="en-AU"/>
            </w:rPr>
          </w:pPr>
          <w:hyperlink w:anchor="_Toc155176381" w:history="1">
            <w:r w:rsidR="002B50B0" w:rsidRPr="00670C15">
              <w:rPr>
                <w:rStyle w:val="Hyperlink"/>
                <w:noProof/>
              </w:rPr>
              <w:t>Current Scheduling</w:t>
            </w:r>
            <w:r w:rsidR="002B50B0">
              <w:rPr>
                <w:noProof/>
                <w:webHidden/>
              </w:rPr>
              <w:tab/>
            </w:r>
            <w:r w:rsidR="002B50B0">
              <w:rPr>
                <w:noProof/>
                <w:webHidden/>
              </w:rPr>
              <w:fldChar w:fldCharType="begin"/>
            </w:r>
            <w:r w:rsidR="002B50B0">
              <w:rPr>
                <w:noProof/>
                <w:webHidden/>
              </w:rPr>
              <w:instrText xml:space="preserve"> PAGEREF _Toc155176381 \h </w:instrText>
            </w:r>
            <w:r w:rsidR="002B50B0">
              <w:rPr>
                <w:noProof/>
                <w:webHidden/>
              </w:rPr>
            </w:r>
            <w:r w:rsidR="002B50B0">
              <w:rPr>
                <w:noProof/>
                <w:webHidden/>
              </w:rPr>
              <w:fldChar w:fldCharType="separate"/>
            </w:r>
            <w:r w:rsidR="002B50B0">
              <w:rPr>
                <w:noProof/>
                <w:webHidden/>
              </w:rPr>
              <w:t>21</w:t>
            </w:r>
            <w:r w:rsidR="002B50B0">
              <w:rPr>
                <w:noProof/>
                <w:webHidden/>
              </w:rPr>
              <w:fldChar w:fldCharType="end"/>
            </w:r>
          </w:hyperlink>
        </w:p>
        <w:p w14:paraId="2947FFA1" w14:textId="66D2F78E" w:rsidR="002B50B0" w:rsidRDefault="00000000">
          <w:pPr>
            <w:pStyle w:val="TOC3"/>
            <w:rPr>
              <w:rFonts w:asciiTheme="minorHAnsi" w:eastAsiaTheme="minorEastAsia" w:hAnsiTheme="minorHAnsi" w:cstheme="minorBidi"/>
              <w:noProof/>
              <w:color w:val="auto"/>
              <w:szCs w:val="22"/>
              <w:lang w:eastAsia="en-AU"/>
            </w:rPr>
          </w:pPr>
          <w:hyperlink w:anchor="_Toc155176382" w:history="1">
            <w:r w:rsidR="002B50B0" w:rsidRPr="00670C15">
              <w:rPr>
                <w:rStyle w:val="Hyperlink"/>
                <w:noProof/>
              </w:rPr>
              <w:t>Background</w:t>
            </w:r>
            <w:r w:rsidR="002B50B0">
              <w:rPr>
                <w:noProof/>
                <w:webHidden/>
              </w:rPr>
              <w:tab/>
            </w:r>
            <w:r w:rsidR="002B50B0">
              <w:rPr>
                <w:noProof/>
                <w:webHidden/>
              </w:rPr>
              <w:fldChar w:fldCharType="begin"/>
            </w:r>
            <w:r w:rsidR="002B50B0">
              <w:rPr>
                <w:noProof/>
                <w:webHidden/>
              </w:rPr>
              <w:instrText xml:space="preserve"> PAGEREF _Toc155176382 \h </w:instrText>
            </w:r>
            <w:r w:rsidR="002B50B0">
              <w:rPr>
                <w:noProof/>
                <w:webHidden/>
              </w:rPr>
            </w:r>
            <w:r w:rsidR="002B50B0">
              <w:rPr>
                <w:noProof/>
                <w:webHidden/>
              </w:rPr>
              <w:fldChar w:fldCharType="separate"/>
            </w:r>
            <w:r w:rsidR="002B50B0">
              <w:rPr>
                <w:noProof/>
                <w:webHidden/>
              </w:rPr>
              <w:t>22</w:t>
            </w:r>
            <w:r w:rsidR="002B50B0">
              <w:rPr>
                <w:noProof/>
                <w:webHidden/>
              </w:rPr>
              <w:fldChar w:fldCharType="end"/>
            </w:r>
          </w:hyperlink>
        </w:p>
        <w:p w14:paraId="4A26947C" w14:textId="29A35889" w:rsidR="002B50B0" w:rsidRDefault="00000000">
          <w:pPr>
            <w:pStyle w:val="TOC3"/>
            <w:rPr>
              <w:rFonts w:asciiTheme="minorHAnsi" w:eastAsiaTheme="minorEastAsia" w:hAnsiTheme="minorHAnsi" w:cstheme="minorBidi"/>
              <w:noProof/>
              <w:color w:val="auto"/>
              <w:szCs w:val="22"/>
              <w:lang w:eastAsia="en-AU"/>
            </w:rPr>
          </w:pPr>
          <w:hyperlink w:anchor="_Toc155176383" w:history="1">
            <w:r w:rsidR="002B50B0" w:rsidRPr="00670C15">
              <w:rPr>
                <w:rStyle w:val="Hyperlink"/>
                <w:noProof/>
              </w:rPr>
              <w:t>Summary of applicant’s reasons for the proposal</w:t>
            </w:r>
            <w:r w:rsidR="002B50B0">
              <w:rPr>
                <w:noProof/>
                <w:webHidden/>
              </w:rPr>
              <w:tab/>
            </w:r>
            <w:r w:rsidR="002B50B0">
              <w:rPr>
                <w:noProof/>
                <w:webHidden/>
              </w:rPr>
              <w:fldChar w:fldCharType="begin"/>
            </w:r>
            <w:r w:rsidR="002B50B0">
              <w:rPr>
                <w:noProof/>
                <w:webHidden/>
              </w:rPr>
              <w:instrText xml:space="preserve"> PAGEREF _Toc155176383 \h </w:instrText>
            </w:r>
            <w:r w:rsidR="002B50B0">
              <w:rPr>
                <w:noProof/>
                <w:webHidden/>
              </w:rPr>
            </w:r>
            <w:r w:rsidR="002B50B0">
              <w:rPr>
                <w:noProof/>
                <w:webHidden/>
              </w:rPr>
              <w:fldChar w:fldCharType="separate"/>
            </w:r>
            <w:r w:rsidR="002B50B0">
              <w:rPr>
                <w:noProof/>
                <w:webHidden/>
              </w:rPr>
              <w:t>22</w:t>
            </w:r>
            <w:r w:rsidR="002B50B0">
              <w:rPr>
                <w:noProof/>
                <w:webHidden/>
              </w:rPr>
              <w:fldChar w:fldCharType="end"/>
            </w:r>
          </w:hyperlink>
        </w:p>
        <w:p w14:paraId="451B4073" w14:textId="66161CAE" w:rsidR="002B50B0" w:rsidRDefault="00000000">
          <w:pPr>
            <w:pStyle w:val="TOC3"/>
            <w:rPr>
              <w:rFonts w:asciiTheme="minorHAnsi" w:eastAsiaTheme="minorEastAsia" w:hAnsiTheme="minorHAnsi" w:cstheme="minorBidi"/>
              <w:noProof/>
              <w:color w:val="auto"/>
              <w:szCs w:val="22"/>
              <w:lang w:eastAsia="en-AU"/>
            </w:rPr>
          </w:pPr>
          <w:hyperlink w:anchor="_Toc155176384" w:history="1">
            <w:r w:rsidR="002B50B0" w:rsidRPr="00670C15">
              <w:rPr>
                <w:rStyle w:val="Hyperlink"/>
                <w:noProof/>
              </w:rPr>
              <w:t>Key uses / expected use</w:t>
            </w:r>
            <w:r w:rsidR="002B50B0">
              <w:rPr>
                <w:noProof/>
                <w:webHidden/>
              </w:rPr>
              <w:tab/>
            </w:r>
            <w:r w:rsidR="002B50B0">
              <w:rPr>
                <w:noProof/>
                <w:webHidden/>
              </w:rPr>
              <w:fldChar w:fldCharType="begin"/>
            </w:r>
            <w:r w:rsidR="002B50B0">
              <w:rPr>
                <w:noProof/>
                <w:webHidden/>
              </w:rPr>
              <w:instrText xml:space="preserve"> PAGEREF _Toc155176384 \h </w:instrText>
            </w:r>
            <w:r w:rsidR="002B50B0">
              <w:rPr>
                <w:noProof/>
                <w:webHidden/>
              </w:rPr>
            </w:r>
            <w:r w:rsidR="002B50B0">
              <w:rPr>
                <w:noProof/>
                <w:webHidden/>
              </w:rPr>
              <w:fldChar w:fldCharType="separate"/>
            </w:r>
            <w:r w:rsidR="002B50B0">
              <w:rPr>
                <w:noProof/>
                <w:webHidden/>
              </w:rPr>
              <w:t>22</w:t>
            </w:r>
            <w:r w:rsidR="002B50B0">
              <w:rPr>
                <w:noProof/>
                <w:webHidden/>
              </w:rPr>
              <w:fldChar w:fldCharType="end"/>
            </w:r>
          </w:hyperlink>
        </w:p>
        <w:p w14:paraId="418448BB" w14:textId="55C13D47" w:rsidR="002B50B0" w:rsidRDefault="00000000">
          <w:pPr>
            <w:pStyle w:val="TOC3"/>
            <w:rPr>
              <w:rFonts w:asciiTheme="minorHAnsi" w:eastAsiaTheme="minorEastAsia" w:hAnsiTheme="minorHAnsi" w:cstheme="minorBidi"/>
              <w:noProof/>
              <w:color w:val="auto"/>
              <w:szCs w:val="22"/>
              <w:lang w:eastAsia="en-AU"/>
            </w:rPr>
          </w:pPr>
          <w:hyperlink w:anchor="_Toc155176385" w:history="1">
            <w:r w:rsidR="002B50B0" w:rsidRPr="00670C15">
              <w:rPr>
                <w:rStyle w:val="Hyperlink"/>
                <w:noProof/>
              </w:rPr>
              <w:t>Australian regulations</w:t>
            </w:r>
            <w:r w:rsidR="002B50B0">
              <w:rPr>
                <w:noProof/>
                <w:webHidden/>
              </w:rPr>
              <w:tab/>
            </w:r>
            <w:r w:rsidR="002B50B0">
              <w:rPr>
                <w:noProof/>
                <w:webHidden/>
              </w:rPr>
              <w:fldChar w:fldCharType="begin"/>
            </w:r>
            <w:r w:rsidR="002B50B0">
              <w:rPr>
                <w:noProof/>
                <w:webHidden/>
              </w:rPr>
              <w:instrText xml:space="preserve"> PAGEREF _Toc155176385 \h </w:instrText>
            </w:r>
            <w:r w:rsidR="002B50B0">
              <w:rPr>
                <w:noProof/>
                <w:webHidden/>
              </w:rPr>
            </w:r>
            <w:r w:rsidR="002B50B0">
              <w:rPr>
                <w:noProof/>
                <w:webHidden/>
              </w:rPr>
              <w:fldChar w:fldCharType="separate"/>
            </w:r>
            <w:r w:rsidR="002B50B0">
              <w:rPr>
                <w:noProof/>
                <w:webHidden/>
              </w:rPr>
              <w:t>22</w:t>
            </w:r>
            <w:r w:rsidR="002B50B0">
              <w:rPr>
                <w:noProof/>
                <w:webHidden/>
              </w:rPr>
              <w:fldChar w:fldCharType="end"/>
            </w:r>
          </w:hyperlink>
        </w:p>
        <w:p w14:paraId="0AE6F651" w14:textId="51841B7C" w:rsidR="002B50B0" w:rsidRDefault="00000000">
          <w:pPr>
            <w:pStyle w:val="TOC3"/>
            <w:rPr>
              <w:rFonts w:asciiTheme="minorHAnsi" w:eastAsiaTheme="minorEastAsia" w:hAnsiTheme="minorHAnsi" w:cstheme="minorBidi"/>
              <w:noProof/>
              <w:color w:val="auto"/>
              <w:szCs w:val="22"/>
              <w:lang w:eastAsia="en-AU"/>
            </w:rPr>
          </w:pPr>
          <w:hyperlink w:anchor="_Toc155176386" w:history="1">
            <w:r w:rsidR="002B50B0" w:rsidRPr="00670C15">
              <w:rPr>
                <w:rStyle w:val="Hyperlink"/>
                <w:noProof/>
              </w:rPr>
              <w:t>International regulations</w:t>
            </w:r>
            <w:r w:rsidR="002B50B0">
              <w:rPr>
                <w:noProof/>
                <w:webHidden/>
              </w:rPr>
              <w:tab/>
            </w:r>
            <w:r w:rsidR="002B50B0">
              <w:rPr>
                <w:noProof/>
                <w:webHidden/>
              </w:rPr>
              <w:fldChar w:fldCharType="begin"/>
            </w:r>
            <w:r w:rsidR="002B50B0">
              <w:rPr>
                <w:noProof/>
                <w:webHidden/>
              </w:rPr>
              <w:instrText xml:space="preserve"> PAGEREF _Toc155176386 \h </w:instrText>
            </w:r>
            <w:r w:rsidR="002B50B0">
              <w:rPr>
                <w:noProof/>
                <w:webHidden/>
              </w:rPr>
            </w:r>
            <w:r w:rsidR="002B50B0">
              <w:rPr>
                <w:noProof/>
                <w:webHidden/>
              </w:rPr>
              <w:fldChar w:fldCharType="separate"/>
            </w:r>
            <w:r w:rsidR="002B50B0">
              <w:rPr>
                <w:noProof/>
                <w:webHidden/>
              </w:rPr>
              <w:t>23</w:t>
            </w:r>
            <w:r w:rsidR="002B50B0">
              <w:rPr>
                <w:noProof/>
                <w:webHidden/>
              </w:rPr>
              <w:fldChar w:fldCharType="end"/>
            </w:r>
          </w:hyperlink>
        </w:p>
        <w:p w14:paraId="598446BC" w14:textId="631CC46A" w:rsidR="002B50B0" w:rsidRDefault="00000000">
          <w:pPr>
            <w:pStyle w:val="TOC2"/>
            <w:tabs>
              <w:tab w:val="left" w:pos="1276"/>
            </w:tabs>
            <w:rPr>
              <w:rFonts w:asciiTheme="minorHAnsi" w:eastAsiaTheme="minorEastAsia" w:hAnsiTheme="minorHAnsi" w:cstheme="minorBidi"/>
              <w:noProof/>
              <w:color w:val="auto"/>
              <w:sz w:val="22"/>
              <w:szCs w:val="22"/>
              <w:lang w:eastAsia="en-AU"/>
            </w:rPr>
          </w:pPr>
          <w:hyperlink w:anchor="_Toc155176387" w:history="1">
            <w:r w:rsidR="002B50B0" w:rsidRPr="00670C15">
              <w:rPr>
                <w:rStyle w:val="Hyperlink"/>
                <w:noProof/>
              </w:rPr>
              <w:t>2.2</w:t>
            </w:r>
            <w:r w:rsidR="002B50B0">
              <w:rPr>
                <w:rFonts w:asciiTheme="minorHAnsi" w:eastAsiaTheme="minorEastAsia" w:hAnsiTheme="minorHAnsi" w:cstheme="minorBidi"/>
                <w:noProof/>
                <w:color w:val="auto"/>
                <w:sz w:val="22"/>
                <w:szCs w:val="22"/>
                <w:lang w:eastAsia="en-AU"/>
              </w:rPr>
              <w:tab/>
            </w:r>
            <w:r w:rsidR="002B50B0" w:rsidRPr="00670C15">
              <w:rPr>
                <w:rStyle w:val="Hyperlink"/>
                <w:noProof/>
              </w:rPr>
              <w:t>Niclosamide</w:t>
            </w:r>
            <w:r w:rsidR="002B50B0">
              <w:rPr>
                <w:noProof/>
                <w:webHidden/>
              </w:rPr>
              <w:tab/>
            </w:r>
            <w:r w:rsidR="002B50B0">
              <w:rPr>
                <w:noProof/>
                <w:webHidden/>
              </w:rPr>
              <w:fldChar w:fldCharType="begin"/>
            </w:r>
            <w:r w:rsidR="002B50B0">
              <w:rPr>
                <w:noProof/>
                <w:webHidden/>
              </w:rPr>
              <w:instrText xml:space="preserve"> PAGEREF _Toc155176387 \h </w:instrText>
            </w:r>
            <w:r w:rsidR="002B50B0">
              <w:rPr>
                <w:noProof/>
                <w:webHidden/>
              </w:rPr>
            </w:r>
            <w:r w:rsidR="002B50B0">
              <w:rPr>
                <w:noProof/>
                <w:webHidden/>
              </w:rPr>
              <w:fldChar w:fldCharType="separate"/>
            </w:r>
            <w:r w:rsidR="002B50B0">
              <w:rPr>
                <w:noProof/>
                <w:webHidden/>
              </w:rPr>
              <w:t>24</w:t>
            </w:r>
            <w:r w:rsidR="002B50B0">
              <w:rPr>
                <w:noProof/>
                <w:webHidden/>
              </w:rPr>
              <w:fldChar w:fldCharType="end"/>
            </w:r>
          </w:hyperlink>
        </w:p>
        <w:p w14:paraId="429A74CF" w14:textId="7E39D147" w:rsidR="002B50B0" w:rsidRDefault="00000000">
          <w:pPr>
            <w:pStyle w:val="TOC3"/>
            <w:rPr>
              <w:rFonts w:asciiTheme="minorHAnsi" w:eastAsiaTheme="minorEastAsia" w:hAnsiTheme="minorHAnsi" w:cstheme="minorBidi"/>
              <w:noProof/>
              <w:color w:val="auto"/>
              <w:szCs w:val="22"/>
              <w:lang w:eastAsia="en-AU"/>
            </w:rPr>
          </w:pPr>
          <w:hyperlink w:anchor="_Toc155176388" w:history="1">
            <w:r w:rsidR="002B50B0" w:rsidRPr="00670C15">
              <w:rPr>
                <w:rStyle w:val="Hyperlink"/>
                <w:noProof/>
              </w:rPr>
              <w:t>Proposal</w:t>
            </w:r>
            <w:r w:rsidR="002B50B0">
              <w:rPr>
                <w:noProof/>
                <w:webHidden/>
              </w:rPr>
              <w:tab/>
            </w:r>
            <w:r w:rsidR="002B50B0">
              <w:rPr>
                <w:noProof/>
                <w:webHidden/>
              </w:rPr>
              <w:fldChar w:fldCharType="begin"/>
            </w:r>
            <w:r w:rsidR="002B50B0">
              <w:rPr>
                <w:noProof/>
                <w:webHidden/>
              </w:rPr>
              <w:instrText xml:space="preserve"> PAGEREF _Toc155176388 \h </w:instrText>
            </w:r>
            <w:r w:rsidR="002B50B0">
              <w:rPr>
                <w:noProof/>
                <w:webHidden/>
              </w:rPr>
            </w:r>
            <w:r w:rsidR="002B50B0">
              <w:rPr>
                <w:noProof/>
                <w:webHidden/>
              </w:rPr>
              <w:fldChar w:fldCharType="separate"/>
            </w:r>
            <w:r w:rsidR="002B50B0">
              <w:rPr>
                <w:noProof/>
                <w:webHidden/>
              </w:rPr>
              <w:t>24</w:t>
            </w:r>
            <w:r w:rsidR="002B50B0">
              <w:rPr>
                <w:noProof/>
                <w:webHidden/>
              </w:rPr>
              <w:fldChar w:fldCharType="end"/>
            </w:r>
          </w:hyperlink>
        </w:p>
        <w:p w14:paraId="3A801339" w14:textId="0E7B527C" w:rsidR="002B50B0" w:rsidRDefault="00000000">
          <w:pPr>
            <w:pStyle w:val="TOC3"/>
            <w:rPr>
              <w:rFonts w:asciiTheme="minorHAnsi" w:eastAsiaTheme="minorEastAsia" w:hAnsiTheme="minorHAnsi" w:cstheme="minorBidi"/>
              <w:noProof/>
              <w:color w:val="auto"/>
              <w:szCs w:val="22"/>
              <w:lang w:eastAsia="en-AU"/>
            </w:rPr>
          </w:pPr>
          <w:hyperlink w:anchor="_Toc155176389" w:history="1">
            <w:r w:rsidR="002B50B0" w:rsidRPr="00670C15">
              <w:rPr>
                <w:rStyle w:val="Hyperlink"/>
                <w:noProof/>
              </w:rPr>
              <w:t>CAS Number:</w:t>
            </w:r>
            <w:r w:rsidR="002B50B0">
              <w:rPr>
                <w:noProof/>
                <w:webHidden/>
              </w:rPr>
              <w:tab/>
            </w:r>
            <w:r w:rsidR="002B50B0">
              <w:rPr>
                <w:noProof/>
                <w:webHidden/>
              </w:rPr>
              <w:fldChar w:fldCharType="begin"/>
            </w:r>
            <w:r w:rsidR="002B50B0">
              <w:rPr>
                <w:noProof/>
                <w:webHidden/>
              </w:rPr>
              <w:instrText xml:space="preserve"> PAGEREF _Toc155176389 \h </w:instrText>
            </w:r>
            <w:r w:rsidR="002B50B0">
              <w:rPr>
                <w:noProof/>
                <w:webHidden/>
              </w:rPr>
            </w:r>
            <w:r w:rsidR="002B50B0">
              <w:rPr>
                <w:noProof/>
                <w:webHidden/>
              </w:rPr>
              <w:fldChar w:fldCharType="separate"/>
            </w:r>
            <w:r w:rsidR="002B50B0">
              <w:rPr>
                <w:noProof/>
                <w:webHidden/>
              </w:rPr>
              <w:t>24</w:t>
            </w:r>
            <w:r w:rsidR="002B50B0">
              <w:rPr>
                <w:noProof/>
                <w:webHidden/>
              </w:rPr>
              <w:fldChar w:fldCharType="end"/>
            </w:r>
          </w:hyperlink>
        </w:p>
        <w:p w14:paraId="5E6E4C5E" w14:textId="2BCC75B9" w:rsidR="002B50B0" w:rsidRDefault="00000000">
          <w:pPr>
            <w:pStyle w:val="TOC3"/>
            <w:rPr>
              <w:rFonts w:asciiTheme="minorHAnsi" w:eastAsiaTheme="minorEastAsia" w:hAnsiTheme="minorHAnsi" w:cstheme="minorBidi"/>
              <w:noProof/>
              <w:color w:val="auto"/>
              <w:szCs w:val="22"/>
              <w:lang w:eastAsia="en-AU"/>
            </w:rPr>
          </w:pPr>
          <w:hyperlink w:anchor="_Toc155176390" w:history="1">
            <w:r w:rsidR="002B50B0" w:rsidRPr="00670C15">
              <w:rPr>
                <w:rStyle w:val="Hyperlink"/>
                <w:noProof/>
              </w:rPr>
              <w:t>Alternative names</w:t>
            </w:r>
            <w:r w:rsidR="002B50B0">
              <w:rPr>
                <w:noProof/>
                <w:webHidden/>
              </w:rPr>
              <w:tab/>
            </w:r>
            <w:r w:rsidR="002B50B0">
              <w:rPr>
                <w:noProof/>
                <w:webHidden/>
              </w:rPr>
              <w:fldChar w:fldCharType="begin"/>
            </w:r>
            <w:r w:rsidR="002B50B0">
              <w:rPr>
                <w:noProof/>
                <w:webHidden/>
              </w:rPr>
              <w:instrText xml:space="preserve"> PAGEREF _Toc155176390 \h </w:instrText>
            </w:r>
            <w:r w:rsidR="002B50B0">
              <w:rPr>
                <w:noProof/>
                <w:webHidden/>
              </w:rPr>
            </w:r>
            <w:r w:rsidR="002B50B0">
              <w:rPr>
                <w:noProof/>
                <w:webHidden/>
              </w:rPr>
              <w:fldChar w:fldCharType="separate"/>
            </w:r>
            <w:r w:rsidR="002B50B0">
              <w:rPr>
                <w:noProof/>
                <w:webHidden/>
              </w:rPr>
              <w:t>24</w:t>
            </w:r>
            <w:r w:rsidR="002B50B0">
              <w:rPr>
                <w:noProof/>
                <w:webHidden/>
              </w:rPr>
              <w:fldChar w:fldCharType="end"/>
            </w:r>
          </w:hyperlink>
        </w:p>
        <w:p w14:paraId="4874AA1C" w14:textId="3090DF5E" w:rsidR="002B50B0" w:rsidRDefault="00000000">
          <w:pPr>
            <w:pStyle w:val="TOC3"/>
            <w:rPr>
              <w:rFonts w:asciiTheme="minorHAnsi" w:eastAsiaTheme="minorEastAsia" w:hAnsiTheme="minorHAnsi" w:cstheme="minorBidi"/>
              <w:noProof/>
              <w:color w:val="auto"/>
              <w:szCs w:val="22"/>
              <w:lang w:eastAsia="en-AU"/>
            </w:rPr>
          </w:pPr>
          <w:hyperlink w:anchor="_Toc155176391" w:history="1">
            <w:r w:rsidR="002B50B0" w:rsidRPr="00670C15">
              <w:rPr>
                <w:rStyle w:val="Hyperlink"/>
                <w:noProof/>
              </w:rPr>
              <w:t>Applicant</w:t>
            </w:r>
            <w:r w:rsidR="002B50B0">
              <w:rPr>
                <w:noProof/>
                <w:webHidden/>
              </w:rPr>
              <w:tab/>
            </w:r>
            <w:r w:rsidR="002B50B0">
              <w:rPr>
                <w:noProof/>
                <w:webHidden/>
              </w:rPr>
              <w:fldChar w:fldCharType="begin"/>
            </w:r>
            <w:r w:rsidR="002B50B0">
              <w:rPr>
                <w:noProof/>
                <w:webHidden/>
              </w:rPr>
              <w:instrText xml:space="preserve"> PAGEREF _Toc155176391 \h </w:instrText>
            </w:r>
            <w:r w:rsidR="002B50B0">
              <w:rPr>
                <w:noProof/>
                <w:webHidden/>
              </w:rPr>
            </w:r>
            <w:r w:rsidR="002B50B0">
              <w:rPr>
                <w:noProof/>
                <w:webHidden/>
              </w:rPr>
              <w:fldChar w:fldCharType="separate"/>
            </w:r>
            <w:r w:rsidR="002B50B0">
              <w:rPr>
                <w:noProof/>
                <w:webHidden/>
              </w:rPr>
              <w:t>24</w:t>
            </w:r>
            <w:r w:rsidR="002B50B0">
              <w:rPr>
                <w:noProof/>
                <w:webHidden/>
              </w:rPr>
              <w:fldChar w:fldCharType="end"/>
            </w:r>
          </w:hyperlink>
        </w:p>
        <w:p w14:paraId="3EAEC698" w14:textId="4ECF2EDB" w:rsidR="002B50B0" w:rsidRDefault="00000000">
          <w:pPr>
            <w:pStyle w:val="TOC3"/>
            <w:rPr>
              <w:rFonts w:asciiTheme="minorHAnsi" w:eastAsiaTheme="minorEastAsia" w:hAnsiTheme="minorHAnsi" w:cstheme="minorBidi"/>
              <w:noProof/>
              <w:color w:val="auto"/>
              <w:szCs w:val="22"/>
              <w:lang w:eastAsia="en-AU"/>
            </w:rPr>
          </w:pPr>
          <w:hyperlink w:anchor="_Toc155176392" w:history="1">
            <w:r w:rsidR="002B50B0" w:rsidRPr="00670C15">
              <w:rPr>
                <w:rStyle w:val="Hyperlink"/>
                <w:noProof/>
              </w:rPr>
              <w:t>Proposed Scheduling</w:t>
            </w:r>
            <w:r w:rsidR="002B50B0">
              <w:rPr>
                <w:noProof/>
                <w:webHidden/>
              </w:rPr>
              <w:tab/>
            </w:r>
            <w:r w:rsidR="002B50B0">
              <w:rPr>
                <w:noProof/>
                <w:webHidden/>
              </w:rPr>
              <w:fldChar w:fldCharType="begin"/>
            </w:r>
            <w:r w:rsidR="002B50B0">
              <w:rPr>
                <w:noProof/>
                <w:webHidden/>
              </w:rPr>
              <w:instrText xml:space="preserve"> PAGEREF _Toc155176392 \h </w:instrText>
            </w:r>
            <w:r w:rsidR="002B50B0">
              <w:rPr>
                <w:noProof/>
                <w:webHidden/>
              </w:rPr>
            </w:r>
            <w:r w:rsidR="002B50B0">
              <w:rPr>
                <w:noProof/>
                <w:webHidden/>
              </w:rPr>
              <w:fldChar w:fldCharType="separate"/>
            </w:r>
            <w:r w:rsidR="002B50B0">
              <w:rPr>
                <w:noProof/>
                <w:webHidden/>
              </w:rPr>
              <w:t>24</w:t>
            </w:r>
            <w:r w:rsidR="002B50B0">
              <w:rPr>
                <w:noProof/>
                <w:webHidden/>
              </w:rPr>
              <w:fldChar w:fldCharType="end"/>
            </w:r>
          </w:hyperlink>
        </w:p>
        <w:p w14:paraId="52058790" w14:textId="4C8918B4" w:rsidR="002B50B0" w:rsidRDefault="00000000">
          <w:pPr>
            <w:pStyle w:val="TOC3"/>
            <w:rPr>
              <w:rFonts w:asciiTheme="minorHAnsi" w:eastAsiaTheme="minorEastAsia" w:hAnsiTheme="minorHAnsi" w:cstheme="minorBidi"/>
              <w:noProof/>
              <w:color w:val="auto"/>
              <w:szCs w:val="22"/>
              <w:lang w:eastAsia="en-AU"/>
            </w:rPr>
          </w:pPr>
          <w:hyperlink w:anchor="_Toc155176393" w:history="1">
            <w:r w:rsidR="002B50B0" w:rsidRPr="00670C15">
              <w:rPr>
                <w:rStyle w:val="Hyperlink"/>
                <w:noProof/>
              </w:rPr>
              <w:t>Background</w:t>
            </w:r>
            <w:r w:rsidR="002B50B0">
              <w:rPr>
                <w:noProof/>
                <w:webHidden/>
              </w:rPr>
              <w:tab/>
            </w:r>
            <w:r w:rsidR="002B50B0">
              <w:rPr>
                <w:noProof/>
                <w:webHidden/>
              </w:rPr>
              <w:fldChar w:fldCharType="begin"/>
            </w:r>
            <w:r w:rsidR="002B50B0">
              <w:rPr>
                <w:noProof/>
                <w:webHidden/>
              </w:rPr>
              <w:instrText xml:space="preserve"> PAGEREF _Toc155176393 \h </w:instrText>
            </w:r>
            <w:r w:rsidR="002B50B0">
              <w:rPr>
                <w:noProof/>
                <w:webHidden/>
              </w:rPr>
            </w:r>
            <w:r w:rsidR="002B50B0">
              <w:rPr>
                <w:noProof/>
                <w:webHidden/>
              </w:rPr>
              <w:fldChar w:fldCharType="separate"/>
            </w:r>
            <w:r w:rsidR="002B50B0">
              <w:rPr>
                <w:noProof/>
                <w:webHidden/>
              </w:rPr>
              <w:t>24</w:t>
            </w:r>
            <w:r w:rsidR="002B50B0">
              <w:rPr>
                <w:noProof/>
                <w:webHidden/>
              </w:rPr>
              <w:fldChar w:fldCharType="end"/>
            </w:r>
          </w:hyperlink>
        </w:p>
        <w:p w14:paraId="392E910E" w14:textId="26606759" w:rsidR="002B50B0" w:rsidRDefault="00000000">
          <w:pPr>
            <w:pStyle w:val="TOC3"/>
            <w:rPr>
              <w:rFonts w:asciiTheme="minorHAnsi" w:eastAsiaTheme="minorEastAsia" w:hAnsiTheme="minorHAnsi" w:cstheme="minorBidi"/>
              <w:noProof/>
              <w:color w:val="auto"/>
              <w:szCs w:val="22"/>
              <w:lang w:eastAsia="en-AU"/>
            </w:rPr>
          </w:pPr>
          <w:hyperlink w:anchor="_Toc155176394" w:history="1">
            <w:r w:rsidR="002B50B0" w:rsidRPr="00670C15">
              <w:rPr>
                <w:rStyle w:val="Hyperlink"/>
                <w:noProof/>
              </w:rPr>
              <w:t>Summary of applicant’s reasons for the proposal</w:t>
            </w:r>
            <w:r w:rsidR="002B50B0">
              <w:rPr>
                <w:noProof/>
                <w:webHidden/>
              </w:rPr>
              <w:tab/>
            </w:r>
            <w:r w:rsidR="002B50B0">
              <w:rPr>
                <w:noProof/>
                <w:webHidden/>
              </w:rPr>
              <w:fldChar w:fldCharType="begin"/>
            </w:r>
            <w:r w:rsidR="002B50B0">
              <w:rPr>
                <w:noProof/>
                <w:webHidden/>
              </w:rPr>
              <w:instrText xml:space="preserve"> PAGEREF _Toc155176394 \h </w:instrText>
            </w:r>
            <w:r w:rsidR="002B50B0">
              <w:rPr>
                <w:noProof/>
                <w:webHidden/>
              </w:rPr>
            </w:r>
            <w:r w:rsidR="002B50B0">
              <w:rPr>
                <w:noProof/>
                <w:webHidden/>
              </w:rPr>
              <w:fldChar w:fldCharType="separate"/>
            </w:r>
            <w:r w:rsidR="002B50B0">
              <w:rPr>
                <w:noProof/>
                <w:webHidden/>
              </w:rPr>
              <w:t>25</w:t>
            </w:r>
            <w:r w:rsidR="002B50B0">
              <w:rPr>
                <w:noProof/>
                <w:webHidden/>
              </w:rPr>
              <w:fldChar w:fldCharType="end"/>
            </w:r>
          </w:hyperlink>
        </w:p>
        <w:p w14:paraId="4A7F9596" w14:textId="24431410" w:rsidR="002B50B0" w:rsidRDefault="00000000">
          <w:pPr>
            <w:pStyle w:val="TOC3"/>
            <w:rPr>
              <w:rFonts w:asciiTheme="minorHAnsi" w:eastAsiaTheme="minorEastAsia" w:hAnsiTheme="minorHAnsi" w:cstheme="minorBidi"/>
              <w:noProof/>
              <w:color w:val="auto"/>
              <w:szCs w:val="22"/>
              <w:lang w:eastAsia="en-AU"/>
            </w:rPr>
          </w:pPr>
          <w:hyperlink w:anchor="_Toc155176395" w:history="1">
            <w:r w:rsidR="002B50B0" w:rsidRPr="00670C15">
              <w:rPr>
                <w:rStyle w:val="Hyperlink"/>
                <w:noProof/>
              </w:rPr>
              <w:t>Key uses / expected use</w:t>
            </w:r>
            <w:r w:rsidR="002B50B0">
              <w:rPr>
                <w:noProof/>
                <w:webHidden/>
              </w:rPr>
              <w:tab/>
            </w:r>
            <w:r w:rsidR="002B50B0">
              <w:rPr>
                <w:noProof/>
                <w:webHidden/>
              </w:rPr>
              <w:fldChar w:fldCharType="begin"/>
            </w:r>
            <w:r w:rsidR="002B50B0">
              <w:rPr>
                <w:noProof/>
                <w:webHidden/>
              </w:rPr>
              <w:instrText xml:space="preserve"> PAGEREF _Toc155176395 \h </w:instrText>
            </w:r>
            <w:r w:rsidR="002B50B0">
              <w:rPr>
                <w:noProof/>
                <w:webHidden/>
              </w:rPr>
            </w:r>
            <w:r w:rsidR="002B50B0">
              <w:rPr>
                <w:noProof/>
                <w:webHidden/>
              </w:rPr>
              <w:fldChar w:fldCharType="separate"/>
            </w:r>
            <w:r w:rsidR="002B50B0">
              <w:rPr>
                <w:noProof/>
                <w:webHidden/>
              </w:rPr>
              <w:t>25</w:t>
            </w:r>
            <w:r w:rsidR="002B50B0">
              <w:rPr>
                <w:noProof/>
                <w:webHidden/>
              </w:rPr>
              <w:fldChar w:fldCharType="end"/>
            </w:r>
          </w:hyperlink>
        </w:p>
        <w:p w14:paraId="1B9A6A9E" w14:textId="38E8AF1B" w:rsidR="002B50B0" w:rsidRDefault="00000000">
          <w:pPr>
            <w:pStyle w:val="TOC3"/>
            <w:rPr>
              <w:rFonts w:asciiTheme="minorHAnsi" w:eastAsiaTheme="minorEastAsia" w:hAnsiTheme="minorHAnsi" w:cstheme="minorBidi"/>
              <w:noProof/>
              <w:color w:val="auto"/>
              <w:szCs w:val="22"/>
              <w:lang w:eastAsia="en-AU"/>
            </w:rPr>
          </w:pPr>
          <w:hyperlink w:anchor="_Toc155176396" w:history="1">
            <w:r w:rsidR="002B50B0" w:rsidRPr="00670C15">
              <w:rPr>
                <w:rStyle w:val="Hyperlink"/>
                <w:noProof/>
              </w:rPr>
              <w:t>Australian regulations</w:t>
            </w:r>
            <w:r w:rsidR="002B50B0">
              <w:rPr>
                <w:noProof/>
                <w:webHidden/>
              </w:rPr>
              <w:tab/>
            </w:r>
            <w:r w:rsidR="002B50B0">
              <w:rPr>
                <w:noProof/>
                <w:webHidden/>
              </w:rPr>
              <w:fldChar w:fldCharType="begin"/>
            </w:r>
            <w:r w:rsidR="002B50B0">
              <w:rPr>
                <w:noProof/>
                <w:webHidden/>
              </w:rPr>
              <w:instrText xml:space="preserve"> PAGEREF _Toc155176396 \h </w:instrText>
            </w:r>
            <w:r w:rsidR="002B50B0">
              <w:rPr>
                <w:noProof/>
                <w:webHidden/>
              </w:rPr>
            </w:r>
            <w:r w:rsidR="002B50B0">
              <w:rPr>
                <w:noProof/>
                <w:webHidden/>
              </w:rPr>
              <w:fldChar w:fldCharType="separate"/>
            </w:r>
            <w:r w:rsidR="002B50B0">
              <w:rPr>
                <w:noProof/>
                <w:webHidden/>
              </w:rPr>
              <w:t>25</w:t>
            </w:r>
            <w:r w:rsidR="002B50B0">
              <w:rPr>
                <w:noProof/>
                <w:webHidden/>
              </w:rPr>
              <w:fldChar w:fldCharType="end"/>
            </w:r>
          </w:hyperlink>
        </w:p>
        <w:p w14:paraId="0DF9020C" w14:textId="605535C9" w:rsidR="002B50B0" w:rsidRDefault="00000000">
          <w:pPr>
            <w:pStyle w:val="TOC3"/>
            <w:rPr>
              <w:rFonts w:asciiTheme="minorHAnsi" w:eastAsiaTheme="minorEastAsia" w:hAnsiTheme="minorHAnsi" w:cstheme="minorBidi"/>
              <w:noProof/>
              <w:color w:val="auto"/>
              <w:szCs w:val="22"/>
              <w:lang w:eastAsia="en-AU"/>
            </w:rPr>
          </w:pPr>
          <w:hyperlink w:anchor="_Toc155176397" w:history="1">
            <w:r w:rsidR="002B50B0" w:rsidRPr="00670C15">
              <w:rPr>
                <w:rStyle w:val="Hyperlink"/>
                <w:noProof/>
              </w:rPr>
              <w:t>International regulations</w:t>
            </w:r>
            <w:r w:rsidR="002B50B0">
              <w:rPr>
                <w:noProof/>
                <w:webHidden/>
              </w:rPr>
              <w:tab/>
            </w:r>
            <w:r w:rsidR="002B50B0">
              <w:rPr>
                <w:noProof/>
                <w:webHidden/>
              </w:rPr>
              <w:fldChar w:fldCharType="begin"/>
            </w:r>
            <w:r w:rsidR="002B50B0">
              <w:rPr>
                <w:noProof/>
                <w:webHidden/>
              </w:rPr>
              <w:instrText xml:space="preserve"> PAGEREF _Toc155176397 \h </w:instrText>
            </w:r>
            <w:r w:rsidR="002B50B0">
              <w:rPr>
                <w:noProof/>
                <w:webHidden/>
              </w:rPr>
            </w:r>
            <w:r w:rsidR="002B50B0">
              <w:rPr>
                <w:noProof/>
                <w:webHidden/>
              </w:rPr>
              <w:fldChar w:fldCharType="separate"/>
            </w:r>
            <w:r w:rsidR="002B50B0">
              <w:rPr>
                <w:noProof/>
                <w:webHidden/>
              </w:rPr>
              <w:t>25</w:t>
            </w:r>
            <w:r w:rsidR="002B50B0">
              <w:rPr>
                <w:noProof/>
                <w:webHidden/>
              </w:rPr>
              <w:fldChar w:fldCharType="end"/>
            </w:r>
          </w:hyperlink>
        </w:p>
        <w:p w14:paraId="24D04740" w14:textId="2321C840" w:rsidR="002B50B0" w:rsidRDefault="00000000">
          <w:pPr>
            <w:pStyle w:val="TOC1"/>
            <w:tabs>
              <w:tab w:val="left" w:pos="425"/>
            </w:tabs>
            <w:rPr>
              <w:rFonts w:asciiTheme="minorHAnsi" w:eastAsiaTheme="minorEastAsia" w:hAnsiTheme="minorHAnsi" w:cstheme="minorBidi"/>
              <w:b w:val="0"/>
              <w:noProof/>
              <w:color w:val="auto"/>
              <w:sz w:val="22"/>
              <w:szCs w:val="22"/>
              <w:lang w:eastAsia="en-AU"/>
            </w:rPr>
          </w:pPr>
          <w:hyperlink w:anchor="_Toc155176398" w:history="1">
            <w:r w:rsidR="002B50B0" w:rsidRPr="00670C15">
              <w:rPr>
                <w:rStyle w:val="Hyperlink"/>
                <w:rFonts w:cs="Arial"/>
                <w:noProof/>
              </w:rPr>
              <w:t>3</w:t>
            </w:r>
            <w:r w:rsidR="002B50B0">
              <w:rPr>
                <w:rFonts w:asciiTheme="minorHAnsi" w:eastAsiaTheme="minorEastAsia" w:hAnsiTheme="minorHAnsi" w:cstheme="minorBidi"/>
                <w:b w:val="0"/>
                <w:noProof/>
                <w:color w:val="auto"/>
                <w:sz w:val="22"/>
                <w:szCs w:val="22"/>
                <w:lang w:eastAsia="en-AU"/>
              </w:rPr>
              <w:tab/>
            </w:r>
            <w:r w:rsidR="002B50B0" w:rsidRPr="00670C15">
              <w:rPr>
                <w:rStyle w:val="Hyperlink"/>
                <w:rFonts w:cs="Arial"/>
                <w:noProof/>
              </w:rPr>
              <w:t>Proposed amendments referred for scheduling advice to the Joint ACMS-ACCS meeting #36</w:t>
            </w:r>
            <w:r w:rsidR="002B50B0">
              <w:rPr>
                <w:noProof/>
                <w:webHidden/>
              </w:rPr>
              <w:tab/>
            </w:r>
            <w:r w:rsidR="002B50B0">
              <w:rPr>
                <w:noProof/>
                <w:webHidden/>
              </w:rPr>
              <w:fldChar w:fldCharType="begin"/>
            </w:r>
            <w:r w:rsidR="002B50B0">
              <w:rPr>
                <w:noProof/>
                <w:webHidden/>
              </w:rPr>
              <w:instrText xml:space="preserve"> PAGEREF _Toc155176398 \h </w:instrText>
            </w:r>
            <w:r w:rsidR="002B50B0">
              <w:rPr>
                <w:noProof/>
                <w:webHidden/>
              </w:rPr>
            </w:r>
            <w:r w:rsidR="002B50B0">
              <w:rPr>
                <w:noProof/>
                <w:webHidden/>
              </w:rPr>
              <w:fldChar w:fldCharType="separate"/>
            </w:r>
            <w:r w:rsidR="002B50B0">
              <w:rPr>
                <w:noProof/>
                <w:webHidden/>
              </w:rPr>
              <w:t>27</w:t>
            </w:r>
            <w:r w:rsidR="002B50B0">
              <w:rPr>
                <w:noProof/>
                <w:webHidden/>
              </w:rPr>
              <w:fldChar w:fldCharType="end"/>
            </w:r>
          </w:hyperlink>
        </w:p>
        <w:p w14:paraId="654A2143" w14:textId="18754FE7" w:rsidR="002B50B0" w:rsidRDefault="00000000">
          <w:pPr>
            <w:pStyle w:val="TOC2"/>
            <w:tabs>
              <w:tab w:val="left" w:pos="1276"/>
            </w:tabs>
            <w:rPr>
              <w:rFonts w:asciiTheme="minorHAnsi" w:eastAsiaTheme="minorEastAsia" w:hAnsiTheme="minorHAnsi" w:cstheme="minorBidi"/>
              <w:noProof/>
              <w:color w:val="auto"/>
              <w:sz w:val="22"/>
              <w:szCs w:val="22"/>
              <w:lang w:eastAsia="en-AU"/>
            </w:rPr>
          </w:pPr>
          <w:hyperlink w:anchor="_Toc155176399" w:history="1">
            <w:r w:rsidR="002B50B0" w:rsidRPr="00670C15">
              <w:rPr>
                <w:rStyle w:val="Hyperlink"/>
                <w:noProof/>
              </w:rPr>
              <w:t>2.3</w:t>
            </w:r>
            <w:r w:rsidR="002B50B0">
              <w:rPr>
                <w:rFonts w:asciiTheme="minorHAnsi" w:eastAsiaTheme="minorEastAsia" w:hAnsiTheme="minorHAnsi" w:cstheme="minorBidi"/>
                <w:noProof/>
                <w:color w:val="auto"/>
                <w:sz w:val="22"/>
                <w:szCs w:val="22"/>
                <w:lang w:eastAsia="en-AU"/>
              </w:rPr>
              <w:tab/>
            </w:r>
            <w:r w:rsidR="002B50B0" w:rsidRPr="00670C15">
              <w:rPr>
                <w:rStyle w:val="Hyperlink"/>
                <w:noProof/>
              </w:rPr>
              <w:t>Oxytetracycline</w:t>
            </w:r>
            <w:r w:rsidR="002B50B0">
              <w:rPr>
                <w:noProof/>
                <w:webHidden/>
              </w:rPr>
              <w:tab/>
            </w:r>
            <w:r w:rsidR="002B50B0">
              <w:rPr>
                <w:noProof/>
                <w:webHidden/>
              </w:rPr>
              <w:fldChar w:fldCharType="begin"/>
            </w:r>
            <w:r w:rsidR="002B50B0">
              <w:rPr>
                <w:noProof/>
                <w:webHidden/>
              </w:rPr>
              <w:instrText xml:space="preserve"> PAGEREF _Toc155176399 \h </w:instrText>
            </w:r>
            <w:r w:rsidR="002B50B0">
              <w:rPr>
                <w:noProof/>
                <w:webHidden/>
              </w:rPr>
            </w:r>
            <w:r w:rsidR="002B50B0">
              <w:rPr>
                <w:noProof/>
                <w:webHidden/>
              </w:rPr>
              <w:fldChar w:fldCharType="separate"/>
            </w:r>
            <w:r w:rsidR="002B50B0">
              <w:rPr>
                <w:noProof/>
                <w:webHidden/>
              </w:rPr>
              <w:t>27</w:t>
            </w:r>
            <w:r w:rsidR="002B50B0">
              <w:rPr>
                <w:noProof/>
                <w:webHidden/>
              </w:rPr>
              <w:fldChar w:fldCharType="end"/>
            </w:r>
          </w:hyperlink>
        </w:p>
        <w:p w14:paraId="67EAFE53" w14:textId="38DCA4F8" w:rsidR="002B50B0" w:rsidRDefault="00000000">
          <w:pPr>
            <w:pStyle w:val="TOC3"/>
            <w:rPr>
              <w:rFonts w:asciiTheme="minorHAnsi" w:eastAsiaTheme="minorEastAsia" w:hAnsiTheme="minorHAnsi" w:cstheme="minorBidi"/>
              <w:noProof/>
              <w:color w:val="auto"/>
              <w:szCs w:val="22"/>
              <w:lang w:eastAsia="en-AU"/>
            </w:rPr>
          </w:pPr>
          <w:hyperlink w:anchor="_Toc155176400" w:history="1">
            <w:r w:rsidR="002B50B0" w:rsidRPr="00670C15">
              <w:rPr>
                <w:rStyle w:val="Hyperlink"/>
                <w:noProof/>
              </w:rPr>
              <w:t>Proposal</w:t>
            </w:r>
            <w:r w:rsidR="002B50B0">
              <w:rPr>
                <w:noProof/>
                <w:webHidden/>
              </w:rPr>
              <w:tab/>
            </w:r>
            <w:r w:rsidR="002B50B0">
              <w:rPr>
                <w:noProof/>
                <w:webHidden/>
              </w:rPr>
              <w:fldChar w:fldCharType="begin"/>
            </w:r>
            <w:r w:rsidR="002B50B0">
              <w:rPr>
                <w:noProof/>
                <w:webHidden/>
              </w:rPr>
              <w:instrText xml:space="preserve"> PAGEREF _Toc155176400 \h </w:instrText>
            </w:r>
            <w:r w:rsidR="002B50B0">
              <w:rPr>
                <w:noProof/>
                <w:webHidden/>
              </w:rPr>
            </w:r>
            <w:r w:rsidR="002B50B0">
              <w:rPr>
                <w:noProof/>
                <w:webHidden/>
              </w:rPr>
              <w:fldChar w:fldCharType="separate"/>
            </w:r>
            <w:r w:rsidR="002B50B0">
              <w:rPr>
                <w:noProof/>
                <w:webHidden/>
              </w:rPr>
              <w:t>27</w:t>
            </w:r>
            <w:r w:rsidR="002B50B0">
              <w:rPr>
                <w:noProof/>
                <w:webHidden/>
              </w:rPr>
              <w:fldChar w:fldCharType="end"/>
            </w:r>
          </w:hyperlink>
        </w:p>
        <w:p w14:paraId="3D2BA113" w14:textId="010F5879" w:rsidR="002B50B0" w:rsidRDefault="00000000">
          <w:pPr>
            <w:pStyle w:val="TOC3"/>
            <w:rPr>
              <w:rFonts w:asciiTheme="minorHAnsi" w:eastAsiaTheme="minorEastAsia" w:hAnsiTheme="minorHAnsi" w:cstheme="minorBidi"/>
              <w:noProof/>
              <w:color w:val="auto"/>
              <w:szCs w:val="22"/>
              <w:lang w:eastAsia="en-AU"/>
            </w:rPr>
          </w:pPr>
          <w:hyperlink w:anchor="_Toc155176401" w:history="1">
            <w:r w:rsidR="002B50B0" w:rsidRPr="00670C15">
              <w:rPr>
                <w:rStyle w:val="Hyperlink"/>
                <w:noProof/>
              </w:rPr>
              <w:t>CAS Number</w:t>
            </w:r>
            <w:r w:rsidR="002B50B0">
              <w:rPr>
                <w:noProof/>
                <w:webHidden/>
              </w:rPr>
              <w:tab/>
            </w:r>
            <w:r w:rsidR="002B50B0">
              <w:rPr>
                <w:noProof/>
                <w:webHidden/>
              </w:rPr>
              <w:fldChar w:fldCharType="begin"/>
            </w:r>
            <w:r w:rsidR="002B50B0">
              <w:rPr>
                <w:noProof/>
                <w:webHidden/>
              </w:rPr>
              <w:instrText xml:space="preserve"> PAGEREF _Toc155176401 \h </w:instrText>
            </w:r>
            <w:r w:rsidR="002B50B0">
              <w:rPr>
                <w:noProof/>
                <w:webHidden/>
              </w:rPr>
            </w:r>
            <w:r w:rsidR="002B50B0">
              <w:rPr>
                <w:noProof/>
                <w:webHidden/>
              </w:rPr>
              <w:fldChar w:fldCharType="separate"/>
            </w:r>
            <w:r w:rsidR="002B50B0">
              <w:rPr>
                <w:noProof/>
                <w:webHidden/>
              </w:rPr>
              <w:t>27</w:t>
            </w:r>
            <w:r w:rsidR="002B50B0">
              <w:rPr>
                <w:noProof/>
                <w:webHidden/>
              </w:rPr>
              <w:fldChar w:fldCharType="end"/>
            </w:r>
          </w:hyperlink>
        </w:p>
        <w:p w14:paraId="4DCF3775" w14:textId="2C8B3820" w:rsidR="002B50B0" w:rsidRDefault="00000000">
          <w:pPr>
            <w:pStyle w:val="TOC3"/>
            <w:rPr>
              <w:rFonts w:asciiTheme="minorHAnsi" w:eastAsiaTheme="minorEastAsia" w:hAnsiTheme="minorHAnsi" w:cstheme="minorBidi"/>
              <w:noProof/>
              <w:color w:val="auto"/>
              <w:szCs w:val="22"/>
              <w:lang w:eastAsia="en-AU"/>
            </w:rPr>
          </w:pPr>
          <w:hyperlink w:anchor="_Toc155176402" w:history="1">
            <w:r w:rsidR="002B50B0" w:rsidRPr="00670C15">
              <w:rPr>
                <w:rStyle w:val="Hyperlink"/>
                <w:noProof/>
              </w:rPr>
              <w:t>Alternative names</w:t>
            </w:r>
            <w:r w:rsidR="002B50B0">
              <w:rPr>
                <w:noProof/>
                <w:webHidden/>
              </w:rPr>
              <w:tab/>
            </w:r>
            <w:r w:rsidR="002B50B0">
              <w:rPr>
                <w:noProof/>
                <w:webHidden/>
              </w:rPr>
              <w:fldChar w:fldCharType="begin"/>
            </w:r>
            <w:r w:rsidR="002B50B0">
              <w:rPr>
                <w:noProof/>
                <w:webHidden/>
              </w:rPr>
              <w:instrText xml:space="preserve"> PAGEREF _Toc155176402 \h </w:instrText>
            </w:r>
            <w:r w:rsidR="002B50B0">
              <w:rPr>
                <w:noProof/>
                <w:webHidden/>
              </w:rPr>
            </w:r>
            <w:r w:rsidR="002B50B0">
              <w:rPr>
                <w:noProof/>
                <w:webHidden/>
              </w:rPr>
              <w:fldChar w:fldCharType="separate"/>
            </w:r>
            <w:r w:rsidR="002B50B0">
              <w:rPr>
                <w:noProof/>
                <w:webHidden/>
              </w:rPr>
              <w:t>27</w:t>
            </w:r>
            <w:r w:rsidR="002B50B0">
              <w:rPr>
                <w:noProof/>
                <w:webHidden/>
              </w:rPr>
              <w:fldChar w:fldCharType="end"/>
            </w:r>
          </w:hyperlink>
        </w:p>
        <w:p w14:paraId="218F7060" w14:textId="16027E3C" w:rsidR="002B50B0" w:rsidRDefault="00000000">
          <w:pPr>
            <w:pStyle w:val="TOC3"/>
            <w:rPr>
              <w:rFonts w:asciiTheme="minorHAnsi" w:eastAsiaTheme="minorEastAsia" w:hAnsiTheme="minorHAnsi" w:cstheme="minorBidi"/>
              <w:noProof/>
              <w:color w:val="auto"/>
              <w:szCs w:val="22"/>
              <w:lang w:eastAsia="en-AU"/>
            </w:rPr>
          </w:pPr>
          <w:hyperlink w:anchor="_Toc155176403" w:history="1">
            <w:r w:rsidR="002B50B0" w:rsidRPr="00670C15">
              <w:rPr>
                <w:rStyle w:val="Hyperlink"/>
                <w:noProof/>
              </w:rPr>
              <w:t>Applicant</w:t>
            </w:r>
            <w:r w:rsidR="002B50B0">
              <w:rPr>
                <w:noProof/>
                <w:webHidden/>
              </w:rPr>
              <w:tab/>
            </w:r>
            <w:r w:rsidR="002B50B0">
              <w:rPr>
                <w:noProof/>
                <w:webHidden/>
              </w:rPr>
              <w:fldChar w:fldCharType="begin"/>
            </w:r>
            <w:r w:rsidR="002B50B0">
              <w:rPr>
                <w:noProof/>
                <w:webHidden/>
              </w:rPr>
              <w:instrText xml:space="preserve"> PAGEREF _Toc155176403 \h </w:instrText>
            </w:r>
            <w:r w:rsidR="002B50B0">
              <w:rPr>
                <w:noProof/>
                <w:webHidden/>
              </w:rPr>
            </w:r>
            <w:r w:rsidR="002B50B0">
              <w:rPr>
                <w:noProof/>
                <w:webHidden/>
              </w:rPr>
              <w:fldChar w:fldCharType="separate"/>
            </w:r>
            <w:r w:rsidR="002B50B0">
              <w:rPr>
                <w:noProof/>
                <w:webHidden/>
              </w:rPr>
              <w:t>27</w:t>
            </w:r>
            <w:r w:rsidR="002B50B0">
              <w:rPr>
                <w:noProof/>
                <w:webHidden/>
              </w:rPr>
              <w:fldChar w:fldCharType="end"/>
            </w:r>
          </w:hyperlink>
        </w:p>
        <w:p w14:paraId="16D6E9CB" w14:textId="6D6EF6FD" w:rsidR="002B50B0" w:rsidRDefault="00000000">
          <w:pPr>
            <w:pStyle w:val="TOC3"/>
            <w:rPr>
              <w:rFonts w:asciiTheme="minorHAnsi" w:eastAsiaTheme="minorEastAsia" w:hAnsiTheme="minorHAnsi" w:cstheme="minorBidi"/>
              <w:noProof/>
              <w:color w:val="auto"/>
              <w:szCs w:val="22"/>
              <w:lang w:eastAsia="en-AU"/>
            </w:rPr>
          </w:pPr>
          <w:hyperlink w:anchor="_Toc155176404" w:history="1">
            <w:r w:rsidR="002B50B0" w:rsidRPr="00670C15">
              <w:rPr>
                <w:rStyle w:val="Hyperlink"/>
                <w:noProof/>
              </w:rPr>
              <w:t>Proposed Scheduling</w:t>
            </w:r>
            <w:r w:rsidR="002B50B0">
              <w:rPr>
                <w:noProof/>
                <w:webHidden/>
              </w:rPr>
              <w:tab/>
            </w:r>
            <w:r w:rsidR="002B50B0">
              <w:rPr>
                <w:noProof/>
                <w:webHidden/>
              </w:rPr>
              <w:fldChar w:fldCharType="begin"/>
            </w:r>
            <w:r w:rsidR="002B50B0">
              <w:rPr>
                <w:noProof/>
                <w:webHidden/>
              </w:rPr>
              <w:instrText xml:space="preserve"> PAGEREF _Toc155176404 \h </w:instrText>
            </w:r>
            <w:r w:rsidR="002B50B0">
              <w:rPr>
                <w:noProof/>
                <w:webHidden/>
              </w:rPr>
            </w:r>
            <w:r w:rsidR="002B50B0">
              <w:rPr>
                <w:noProof/>
                <w:webHidden/>
              </w:rPr>
              <w:fldChar w:fldCharType="separate"/>
            </w:r>
            <w:r w:rsidR="002B50B0">
              <w:rPr>
                <w:noProof/>
                <w:webHidden/>
              </w:rPr>
              <w:t>27</w:t>
            </w:r>
            <w:r w:rsidR="002B50B0">
              <w:rPr>
                <w:noProof/>
                <w:webHidden/>
              </w:rPr>
              <w:fldChar w:fldCharType="end"/>
            </w:r>
          </w:hyperlink>
        </w:p>
        <w:p w14:paraId="4DD3DF32" w14:textId="1BAF558F" w:rsidR="002B50B0" w:rsidRDefault="00000000">
          <w:pPr>
            <w:pStyle w:val="TOC3"/>
            <w:rPr>
              <w:rFonts w:asciiTheme="minorHAnsi" w:eastAsiaTheme="minorEastAsia" w:hAnsiTheme="minorHAnsi" w:cstheme="minorBidi"/>
              <w:noProof/>
              <w:color w:val="auto"/>
              <w:szCs w:val="22"/>
              <w:lang w:eastAsia="en-AU"/>
            </w:rPr>
          </w:pPr>
          <w:hyperlink w:anchor="_Toc155176405" w:history="1">
            <w:r w:rsidR="002B50B0" w:rsidRPr="00670C15">
              <w:rPr>
                <w:rStyle w:val="Hyperlink"/>
                <w:noProof/>
              </w:rPr>
              <w:t>Background</w:t>
            </w:r>
            <w:r w:rsidR="002B50B0">
              <w:rPr>
                <w:noProof/>
                <w:webHidden/>
              </w:rPr>
              <w:tab/>
            </w:r>
            <w:r w:rsidR="002B50B0">
              <w:rPr>
                <w:noProof/>
                <w:webHidden/>
              </w:rPr>
              <w:fldChar w:fldCharType="begin"/>
            </w:r>
            <w:r w:rsidR="002B50B0">
              <w:rPr>
                <w:noProof/>
                <w:webHidden/>
              </w:rPr>
              <w:instrText xml:space="preserve"> PAGEREF _Toc155176405 \h </w:instrText>
            </w:r>
            <w:r w:rsidR="002B50B0">
              <w:rPr>
                <w:noProof/>
                <w:webHidden/>
              </w:rPr>
            </w:r>
            <w:r w:rsidR="002B50B0">
              <w:rPr>
                <w:noProof/>
                <w:webHidden/>
              </w:rPr>
              <w:fldChar w:fldCharType="separate"/>
            </w:r>
            <w:r w:rsidR="002B50B0">
              <w:rPr>
                <w:noProof/>
                <w:webHidden/>
              </w:rPr>
              <w:t>28</w:t>
            </w:r>
            <w:r w:rsidR="002B50B0">
              <w:rPr>
                <w:noProof/>
                <w:webHidden/>
              </w:rPr>
              <w:fldChar w:fldCharType="end"/>
            </w:r>
          </w:hyperlink>
        </w:p>
        <w:p w14:paraId="542661D2" w14:textId="4810F216" w:rsidR="002B50B0" w:rsidRDefault="00000000">
          <w:pPr>
            <w:pStyle w:val="TOC3"/>
            <w:rPr>
              <w:rFonts w:asciiTheme="minorHAnsi" w:eastAsiaTheme="minorEastAsia" w:hAnsiTheme="minorHAnsi" w:cstheme="minorBidi"/>
              <w:noProof/>
              <w:color w:val="auto"/>
              <w:szCs w:val="22"/>
              <w:lang w:eastAsia="en-AU"/>
            </w:rPr>
          </w:pPr>
          <w:hyperlink w:anchor="_Toc155176406" w:history="1">
            <w:r w:rsidR="002B50B0" w:rsidRPr="00670C15">
              <w:rPr>
                <w:rStyle w:val="Hyperlink"/>
                <w:noProof/>
              </w:rPr>
              <w:t>Summary of applicant’s reasons for the proposal</w:t>
            </w:r>
            <w:r w:rsidR="002B50B0">
              <w:rPr>
                <w:noProof/>
                <w:webHidden/>
              </w:rPr>
              <w:tab/>
            </w:r>
            <w:r w:rsidR="002B50B0">
              <w:rPr>
                <w:noProof/>
                <w:webHidden/>
              </w:rPr>
              <w:fldChar w:fldCharType="begin"/>
            </w:r>
            <w:r w:rsidR="002B50B0">
              <w:rPr>
                <w:noProof/>
                <w:webHidden/>
              </w:rPr>
              <w:instrText xml:space="preserve"> PAGEREF _Toc155176406 \h </w:instrText>
            </w:r>
            <w:r w:rsidR="002B50B0">
              <w:rPr>
                <w:noProof/>
                <w:webHidden/>
              </w:rPr>
            </w:r>
            <w:r w:rsidR="002B50B0">
              <w:rPr>
                <w:noProof/>
                <w:webHidden/>
              </w:rPr>
              <w:fldChar w:fldCharType="separate"/>
            </w:r>
            <w:r w:rsidR="002B50B0">
              <w:rPr>
                <w:noProof/>
                <w:webHidden/>
              </w:rPr>
              <w:t>28</w:t>
            </w:r>
            <w:r w:rsidR="002B50B0">
              <w:rPr>
                <w:noProof/>
                <w:webHidden/>
              </w:rPr>
              <w:fldChar w:fldCharType="end"/>
            </w:r>
          </w:hyperlink>
        </w:p>
        <w:p w14:paraId="5F839B44" w14:textId="2D516E30" w:rsidR="002B50B0" w:rsidRDefault="00000000">
          <w:pPr>
            <w:pStyle w:val="TOC3"/>
            <w:rPr>
              <w:rFonts w:asciiTheme="minorHAnsi" w:eastAsiaTheme="minorEastAsia" w:hAnsiTheme="minorHAnsi" w:cstheme="minorBidi"/>
              <w:noProof/>
              <w:color w:val="auto"/>
              <w:szCs w:val="22"/>
              <w:lang w:eastAsia="en-AU"/>
            </w:rPr>
          </w:pPr>
          <w:hyperlink w:anchor="_Toc155176407" w:history="1">
            <w:r w:rsidR="002B50B0" w:rsidRPr="00670C15">
              <w:rPr>
                <w:rStyle w:val="Hyperlink"/>
                <w:noProof/>
              </w:rPr>
              <w:t>Key uses / expected use</w:t>
            </w:r>
            <w:r w:rsidR="002B50B0">
              <w:rPr>
                <w:noProof/>
                <w:webHidden/>
              </w:rPr>
              <w:tab/>
            </w:r>
            <w:r w:rsidR="002B50B0">
              <w:rPr>
                <w:noProof/>
                <w:webHidden/>
              </w:rPr>
              <w:fldChar w:fldCharType="begin"/>
            </w:r>
            <w:r w:rsidR="002B50B0">
              <w:rPr>
                <w:noProof/>
                <w:webHidden/>
              </w:rPr>
              <w:instrText xml:space="preserve"> PAGEREF _Toc155176407 \h </w:instrText>
            </w:r>
            <w:r w:rsidR="002B50B0">
              <w:rPr>
                <w:noProof/>
                <w:webHidden/>
              </w:rPr>
            </w:r>
            <w:r w:rsidR="002B50B0">
              <w:rPr>
                <w:noProof/>
                <w:webHidden/>
              </w:rPr>
              <w:fldChar w:fldCharType="separate"/>
            </w:r>
            <w:r w:rsidR="002B50B0">
              <w:rPr>
                <w:noProof/>
                <w:webHidden/>
              </w:rPr>
              <w:t>28</w:t>
            </w:r>
            <w:r w:rsidR="002B50B0">
              <w:rPr>
                <w:noProof/>
                <w:webHidden/>
              </w:rPr>
              <w:fldChar w:fldCharType="end"/>
            </w:r>
          </w:hyperlink>
        </w:p>
        <w:p w14:paraId="56E861B5" w14:textId="64F971BB" w:rsidR="002B50B0" w:rsidRDefault="00000000">
          <w:pPr>
            <w:pStyle w:val="TOC3"/>
            <w:rPr>
              <w:rFonts w:asciiTheme="minorHAnsi" w:eastAsiaTheme="minorEastAsia" w:hAnsiTheme="minorHAnsi" w:cstheme="minorBidi"/>
              <w:noProof/>
              <w:color w:val="auto"/>
              <w:szCs w:val="22"/>
              <w:lang w:eastAsia="en-AU"/>
            </w:rPr>
          </w:pPr>
          <w:hyperlink w:anchor="_Toc155176408" w:history="1">
            <w:r w:rsidR="002B50B0" w:rsidRPr="00670C15">
              <w:rPr>
                <w:rStyle w:val="Hyperlink"/>
                <w:noProof/>
              </w:rPr>
              <w:t>Australian regulations</w:t>
            </w:r>
            <w:r w:rsidR="002B50B0">
              <w:rPr>
                <w:noProof/>
                <w:webHidden/>
              </w:rPr>
              <w:tab/>
            </w:r>
            <w:r w:rsidR="002B50B0">
              <w:rPr>
                <w:noProof/>
                <w:webHidden/>
              </w:rPr>
              <w:fldChar w:fldCharType="begin"/>
            </w:r>
            <w:r w:rsidR="002B50B0">
              <w:rPr>
                <w:noProof/>
                <w:webHidden/>
              </w:rPr>
              <w:instrText xml:space="preserve"> PAGEREF _Toc155176408 \h </w:instrText>
            </w:r>
            <w:r w:rsidR="002B50B0">
              <w:rPr>
                <w:noProof/>
                <w:webHidden/>
              </w:rPr>
            </w:r>
            <w:r w:rsidR="002B50B0">
              <w:rPr>
                <w:noProof/>
                <w:webHidden/>
              </w:rPr>
              <w:fldChar w:fldCharType="separate"/>
            </w:r>
            <w:r w:rsidR="002B50B0">
              <w:rPr>
                <w:noProof/>
                <w:webHidden/>
              </w:rPr>
              <w:t>28</w:t>
            </w:r>
            <w:r w:rsidR="002B50B0">
              <w:rPr>
                <w:noProof/>
                <w:webHidden/>
              </w:rPr>
              <w:fldChar w:fldCharType="end"/>
            </w:r>
          </w:hyperlink>
        </w:p>
        <w:p w14:paraId="2BF94D13" w14:textId="3E9602EA" w:rsidR="002B50B0" w:rsidRDefault="00000000">
          <w:pPr>
            <w:pStyle w:val="TOC3"/>
            <w:rPr>
              <w:rFonts w:asciiTheme="minorHAnsi" w:eastAsiaTheme="minorEastAsia" w:hAnsiTheme="minorHAnsi" w:cstheme="minorBidi"/>
              <w:noProof/>
              <w:color w:val="auto"/>
              <w:szCs w:val="22"/>
              <w:lang w:eastAsia="en-AU"/>
            </w:rPr>
          </w:pPr>
          <w:hyperlink w:anchor="_Toc155176409" w:history="1">
            <w:r w:rsidR="002B50B0" w:rsidRPr="00670C15">
              <w:rPr>
                <w:rStyle w:val="Hyperlink"/>
                <w:noProof/>
              </w:rPr>
              <w:t>International regulations</w:t>
            </w:r>
            <w:r w:rsidR="002B50B0">
              <w:rPr>
                <w:noProof/>
                <w:webHidden/>
              </w:rPr>
              <w:tab/>
            </w:r>
            <w:r w:rsidR="002B50B0">
              <w:rPr>
                <w:noProof/>
                <w:webHidden/>
              </w:rPr>
              <w:fldChar w:fldCharType="begin"/>
            </w:r>
            <w:r w:rsidR="002B50B0">
              <w:rPr>
                <w:noProof/>
                <w:webHidden/>
              </w:rPr>
              <w:instrText xml:space="preserve"> PAGEREF _Toc155176409 \h </w:instrText>
            </w:r>
            <w:r w:rsidR="002B50B0">
              <w:rPr>
                <w:noProof/>
                <w:webHidden/>
              </w:rPr>
            </w:r>
            <w:r w:rsidR="002B50B0">
              <w:rPr>
                <w:noProof/>
                <w:webHidden/>
              </w:rPr>
              <w:fldChar w:fldCharType="separate"/>
            </w:r>
            <w:r w:rsidR="002B50B0">
              <w:rPr>
                <w:noProof/>
                <w:webHidden/>
              </w:rPr>
              <w:t>29</w:t>
            </w:r>
            <w:r w:rsidR="002B50B0">
              <w:rPr>
                <w:noProof/>
                <w:webHidden/>
              </w:rPr>
              <w:fldChar w:fldCharType="end"/>
            </w:r>
          </w:hyperlink>
        </w:p>
        <w:p w14:paraId="160E9019" w14:textId="4F79F618" w:rsidR="002B50B0" w:rsidRDefault="00000000">
          <w:pPr>
            <w:pStyle w:val="TOC2"/>
            <w:tabs>
              <w:tab w:val="left" w:pos="1276"/>
            </w:tabs>
            <w:rPr>
              <w:rFonts w:asciiTheme="minorHAnsi" w:eastAsiaTheme="minorEastAsia" w:hAnsiTheme="minorHAnsi" w:cstheme="minorBidi"/>
              <w:noProof/>
              <w:color w:val="auto"/>
              <w:sz w:val="22"/>
              <w:szCs w:val="22"/>
              <w:lang w:eastAsia="en-AU"/>
            </w:rPr>
          </w:pPr>
          <w:hyperlink w:anchor="_Toc155176410" w:history="1">
            <w:r w:rsidR="002B50B0" w:rsidRPr="00670C15">
              <w:rPr>
                <w:rStyle w:val="Hyperlink"/>
                <w:noProof/>
              </w:rPr>
              <w:t>2.4</w:t>
            </w:r>
            <w:r w:rsidR="002B50B0">
              <w:rPr>
                <w:rFonts w:asciiTheme="minorHAnsi" w:eastAsiaTheme="minorEastAsia" w:hAnsiTheme="minorHAnsi" w:cstheme="minorBidi"/>
                <w:noProof/>
                <w:color w:val="auto"/>
                <w:sz w:val="22"/>
                <w:szCs w:val="22"/>
                <w:lang w:eastAsia="en-AU"/>
              </w:rPr>
              <w:tab/>
            </w:r>
            <w:r w:rsidR="002B50B0" w:rsidRPr="00670C15">
              <w:rPr>
                <w:rStyle w:val="Hyperlink"/>
                <w:noProof/>
              </w:rPr>
              <w:t>Tranexamic acid</w:t>
            </w:r>
            <w:r w:rsidR="002B50B0">
              <w:rPr>
                <w:noProof/>
                <w:webHidden/>
              </w:rPr>
              <w:tab/>
            </w:r>
            <w:r w:rsidR="002B50B0">
              <w:rPr>
                <w:noProof/>
                <w:webHidden/>
              </w:rPr>
              <w:fldChar w:fldCharType="begin"/>
            </w:r>
            <w:r w:rsidR="002B50B0">
              <w:rPr>
                <w:noProof/>
                <w:webHidden/>
              </w:rPr>
              <w:instrText xml:space="preserve"> PAGEREF _Toc155176410 \h </w:instrText>
            </w:r>
            <w:r w:rsidR="002B50B0">
              <w:rPr>
                <w:noProof/>
                <w:webHidden/>
              </w:rPr>
            </w:r>
            <w:r w:rsidR="002B50B0">
              <w:rPr>
                <w:noProof/>
                <w:webHidden/>
              </w:rPr>
              <w:fldChar w:fldCharType="separate"/>
            </w:r>
            <w:r w:rsidR="002B50B0">
              <w:rPr>
                <w:noProof/>
                <w:webHidden/>
              </w:rPr>
              <w:t>30</w:t>
            </w:r>
            <w:r w:rsidR="002B50B0">
              <w:rPr>
                <w:noProof/>
                <w:webHidden/>
              </w:rPr>
              <w:fldChar w:fldCharType="end"/>
            </w:r>
          </w:hyperlink>
        </w:p>
        <w:p w14:paraId="47BAB96B" w14:textId="7446D235" w:rsidR="002B50B0" w:rsidRDefault="00000000">
          <w:pPr>
            <w:pStyle w:val="TOC3"/>
            <w:rPr>
              <w:rFonts w:asciiTheme="minorHAnsi" w:eastAsiaTheme="minorEastAsia" w:hAnsiTheme="minorHAnsi" w:cstheme="minorBidi"/>
              <w:noProof/>
              <w:color w:val="auto"/>
              <w:szCs w:val="22"/>
              <w:lang w:eastAsia="en-AU"/>
            </w:rPr>
          </w:pPr>
          <w:hyperlink w:anchor="_Toc155176411" w:history="1">
            <w:r w:rsidR="002B50B0" w:rsidRPr="00670C15">
              <w:rPr>
                <w:rStyle w:val="Hyperlink"/>
                <w:noProof/>
              </w:rPr>
              <w:t>Proposal</w:t>
            </w:r>
            <w:r w:rsidR="002B50B0">
              <w:rPr>
                <w:noProof/>
                <w:webHidden/>
              </w:rPr>
              <w:tab/>
            </w:r>
            <w:r w:rsidR="002B50B0">
              <w:rPr>
                <w:noProof/>
                <w:webHidden/>
              </w:rPr>
              <w:fldChar w:fldCharType="begin"/>
            </w:r>
            <w:r w:rsidR="002B50B0">
              <w:rPr>
                <w:noProof/>
                <w:webHidden/>
              </w:rPr>
              <w:instrText xml:space="preserve"> PAGEREF _Toc155176411 \h </w:instrText>
            </w:r>
            <w:r w:rsidR="002B50B0">
              <w:rPr>
                <w:noProof/>
                <w:webHidden/>
              </w:rPr>
            </w:r>
            <w:r w:rsidR="002B50B0">
              <w:rPr>
                <w:noProof/>
                <w:webHidden/>
              </w:rPr>
              <w:fldChar w:fldCharType="separate"/>
            </w:r>
            <w:r w:rsidR="002B50B0">
              <w:rPr>
                <w:noProof/>
                <w:webHidden/>
              </w:rPr>
              <w:t>30</w:t>
            </w:r>
            <w:r w:rsidR="002B50B0">
              <w:rPr>
                <w:noProof/>
                <w:webHidden/>
              </w:rPr>
              <w:fldChar w:fldCharType="end"/>
            </w:r>
          </w:hyperlink>
        </w:p>
        <w:p w14:paraId="61680966" w14:textId="4FF20200" w:rsidR="002B50B0" w:rsidRDefault="00000000">
          <w:pPr>
            <w:pStyle w:val="TOC3"/>
            <w:rPr>
              <w:rFonts w:asciiTheme="minorHAnsi" w:eastAsiaTheme="minorEastAsia" w:hAnsiTheme="minorHAnsi" w:cstheme="minorBidi"/>
              <w:noProof/>
              <w:color w:val="auto"/>
              <w:szCs w:val="22"/>
              <w:lang w:eastAsia="en-AU"/>
            </w:rPr>
          </w:pPr>
          <w:hyperlink w:anchor="_Toc155176412" w:history="1">
            <w:r w:rsidR="002B50B0" w:rsidRPr="00670C15">
              <w:rPr>
                <w:rStyle w:val="Hyperlink"/>
                <w:noProof/>
              </w:rPr>
              <w:t>CAS number</w:t>
            </w:r>
            <w:r w:rsidR="002B50B0">
              <w:rPr>
                <w:noProof/>
                <w:webHidden/>
              </w:rPr>
              <w:tab/>
            </w:r>
            <w:r w:rsidR="002B50B0">
              <w:rPr>
                <w:noProof/>
                <w:webHidden/>
              </w:rPr>
              <w:fldChar w:fldCharType="begin"/>
            </w:r>
            <w:r w:rsidR="002B50B0">
              <w:rPr>
                <w:noProof/>
                <w:webHidden/>
              </w:rPr>
              <w:instrText xml:space="preserve"> PAGEREF _Toc155176412 \h </w:instrText>
            </w:r>
            <w:r w:rsidR="002B50B0">
              <w:rPr>
                <w:noProof/>
                <w:webHidden/>
              </w:rPr>
            </w:r>
            <w:r w:rsidR="002B50B0">
              <w:rPr>
                <w:noProof/>
                <w:webHidden/>
              </w:rPr>
              <w:fldChar w:fldCharType="separate"/>
            </w:r>
            <w:r w:rsidR="002B50B0">
              <w:rPr>
                <w:noProof/>
                <w:webHidden/>
              </w:rPr>
              <w:t>30</w:t>
            </w:r>
            <w:r w:rsidR="002B50B0">
              <w:rPr>
                <w:noProof/>
                <w:webHidden/>
              </w:rPr>
              <w:fldChar w:fldCharType="end"/>
            </w:r>
          </w:hyperlink>
        </w:p>
        <w:p w14:paraId="6F3D6B7D" w14:textId="01FD00F6" w:rsidR="002B50B0" w:rsidRDefault="00000000">
          <w:pPr>
            <w:pStyle w:val="TOC3"/>
            <w:rPr>
              <w:rFonts w:asciiTheme="minorHAnsi" w:eastAsiaTheme="minorEastAsia" w:hAnsiTheme="minorHAnsi" w:cstheme="minorBidi"/>
              <w:noProof/>
              <w:color w:val="auto"/>
              <w:szCs w:val="22"/>
              <w:lang w:eastAsia="en-AU"/>
            </w:rPr>
          </w:pPr>
          <w:hyperlink w:anchor="_Toc155176413" w:history="1">
            <w:r w:rsidR="002B50B0" w:rsidRPr="00670C15">
              <w:rPr>
                <w:rStyle w:val="Hyperlink"/>
                <w:noProof/>
              </w:rPr>
              <w:t>Alternative names</w:t>
            </w:r>
            <w:r w:rsidR="002B50B0">
              <w:rPr>
                <w:noProof/>
                <w:webHidden/>
              </w:rPr>
              <w:tab/>
            </w:r>
            <w:r w:rsidR="002B50B0">
              <w:rPr>
                <w:noProof/>
                <w:webHidden/>
              </w:rPr>
              <w:fldChar w:fldCharType="begin"/>
            </w:r>
            <w:r w:rsidR="002B50B0">
              <w:rPr>
                <w:noProof/>
                <w:webHidden/>
              </w:rPr>
              <w:instrText xml:space="preserve"> PAGEREF _Toc155176413 \h </w:instrText>
            </w:r>
            <w:r w:rsidR="002B50B0">
              <w:rPr>
                <w:noProof/>
                <w:webHidden/>
              </w:rPr>
            </w:r>
            <w:r w:rsidR="002B50B0">
              <w:rPr>
                <w:noProof/>
                <w:webHidden/>
              </w:rPr>
              <w:fldChar w:fldCharType="separate"/>
            </w:r>
            <w:r w:rsidR="002B50B0">
              <w:rPr>
                <w:noProof/>
                <w:webHidden/>
              </w:rPr>
              <w:t>30</w:t>
            </w:r>
            <w:r w:rsidR="002B50B0">
              <w:rPr>
                <w:noProof/>
                <w:webHidden/>
              </w:rPr>
              <w:fldChar w:fldCharType="end"/>
            </w:r>
          </w:hyperlink>
        </w:p>
        <w:p w14:paraId="225187A8" w14:textId="4A8282D5" w:rsidR="002B50B0" w:rsidRDefault="00000000">
          <w:pPr>
            <w:pStyle w:val="TOC3"/>
            <w:rPr>
              <w:rFonts w:asciiTheme="minorHAnsi" w:eastAsiaTheme="minorEastAsia" w:hAnsiTheme="minorHAnsi" w:cstheme="minorBidi"/>
              <w:noProof/>
              <w:color w:val="auto"/>
              <w:szCs w:val="22"/>
              <w:lang w:eastAsia="en-AU"/>
            </w:rPr>
          </w:pPr>
          <w:hyperlink w:anchor="_Toc155176414" w:history="1">
            <w:r w:rsidR="002B50B0" w:rsidRPr="00670C15">
              <w:rPr>
                <w:rStyle w:val="Hyperlink"/>
                <w:noProof/>
              </w:rPr>
              <w:t>Applicant</w:t>
            </w:r>
            <w:r w:rsidR="002B50B0">
              <w:rPr>
                <w:noProof/>
                <w:webHidden/>
              </w:rPr>
              <w:tab/>
            </w:r>
            <w:r w:rsidR="002B50B0">
              <w:rPr>
                <w:noProof/>
                <w:webHidden/>
              </w:rPr>
              <w:fldChar w:fldCharType="begin"/>
            </w:r>
            <w:r w:rsidR="002B50B0">
              <w:rPr>
                <w:noProof/>
                <w:webHidden/>
              </w:rPr>
              <w:instrText xml:space="preserve"> PAGEREF _Toc155176414 \h </w:instrText>
            </w:r>
            <w:r w:rsidR="002B50B0">
              <w:rPr>
                <w:noProof/>
                <w:webHidden/>
              </w:rPr>
            </w:r>
            <w:r w:rsidR="002B50B0">
              <w:rPr>
                <w:noProof/>
                <w:webHidden/>
              </w:rPr>
              <w:fldChar w:fldCharType="separate"/>
            </w:r>
            <w:r w:rsidR="002B50B0">
              <w:rPr>
                <w:noProof/>
                <w:webHidden/>
              </w:rPr>
              <w:t>30</w:t>
            </w:r>
            <w:r w:rsidR="002B50B0">
              <w:rPr>
                <w:noProof/>
                <w:webHidden/>
              </w:rPr>
              <w:fldChar w:fldCharType="end"/>
            </w:r>
          </w:hyperlink>
        </w:p>
        <w:p w14:paraId="2CCE0B94" w14:textId="493580D5" w:rsidR="002B50B0" w:rsidRDefault="00000000">
          <w:pPr>
            <w:pStyle w:val="TOC3"/>
            <w:rPr>
              <w:rFonts w:asciiTheme="minorHAnsi" w:eastAsiaTheme="minorEastAsia" w:hAnsiTheme="minorHAnsi" w:cstheme="minorBidi"/>
              <w:noProof/>
              <w:color w:val="auto"/>
              <w:szCs w:val="22"/>
              <w:lang w:eastAsia="en-AU"/>
            </w:rPr>
          </w:pPr>
          <w:hyperlink w:anchor="_Toc155176415" w:history="1">
            <w:r w:rsidR="002B50B0" w:rsidRPr="00670C15">
              <w:rPr>
                <w:rStyle w:val="Hyperlink"/>
                <w:noProof/>
              </w:rPr>
              <w:t>Proposed Scheduling</w:t>
            </w:r>
            <w:r w:rsidR="002B50B0">
              <w:rPr>
                <w:noProof/>
                <w:webHidden/>
              </w:rPr>
              <w:tab/>
            </w:r>
            <w:r w:rsidR="002B50B0">
              <w:rPr>
                <w:noProof/>
                <w:webHidden/>
              </w:rPr>
              <w:fldChar w:fldCharType="begin"/>
            </w:r>
            <w:r w:rsidR="002B50B0">
              <w:rPr>
                <w:noProof/>
                <w:webHidden/>
              </w:rPr>
              <w:instrText xml:space="preserve"> PAGEREF _Toc155176415 \h </w:instrText>
            </w:r>
            <w:r w:rsidR="002B50B0">
              <w:rPr>
                <w:noProof/>
                <w:webHidden/>
              </w:rPr>
            </w:r>
            <w:r w:rsidR="002B50B0">
              <w:rPr>
                <w:noProof/>
                <w:webHidden/>
              </w:rPr>
              <w:fldChar w:fldCharType="separate"/>
            </w:r>
            <w:r w:rsidR="002B50B0">
              <w:rPr>
                <w:noProof/>
                <w:webHidden/>
              </w:rPr>
              <w:t>30</w:t>
            </w:r>
            <w:r w:rsidR="002B50B0">
              <w:rPr>
                <w:noProof/>
                <w:webHidden/>
              </w:rPr>
              <w:fldChar w:fldCharType="end"/>
            </w:r>
          </w:hyperlink>
        </w:p>
        <w:p w14:paraId="779EF48B" w14:textId="2C9B75B7" w:rsidR="002B50B0" w:rsidRDefault="00000000">
          <w:pPr>
            <w:pStyle w:val="TOC3"/>
            <w:rPr>
              <w:rFonts w:asciiTheme="minorHAnsi" w:eastAsiaTheme="minorEastAsia" w:hAnsiTheme="minorHAnsi" w:cstheme="minorBidi"/>
              <w:noProof/>
              <w:color w:val="auto"/>
              <w:szCs w:val="22"/>
              <w:lang w:eastAsia="en-AU"/>
            </w:rPr>
          </w:pPr>
          <w:hyperlink w:anchor="_Toc155176416" w:history="1">
            <w:r w:rsidR="002B50B0" w:rsidRPr="00670C15">
              <w:rPr>
                <w:rStyle w:val="Hyperlink"/>
                <w:noProof/>
              </w:rPr>
              <w:t>Background</w:t>
            </w:r>
            <w:r w:rsidR="002B50B0">
              <w:rPr>
                <w:noProof/>
                <w:webHidden/>
              </w:rPr>
              <w:tab/>
            </w:r>
            <w:r w:rsidR="002B50B0">
              <w:rPr>
                <w:noProof/>
                <w:webHidden/>
              </w:rPr>
              <w:fldChar w:fldCharType="begin"/>
            </w:r>
            <w:r w:rsidR="002B50B0">
              <w:rPr>
                <w:noProof/>
                <w:webHidden/>
              </w:rPr>
              <w:instrText xml:space="preserve"> PAGEREF _Toc155176416 \h </w:instrText>
            </w:r>
            <w:r w:rsidR="002B50B0">
              <w:rPr>
                <w:noProof/>
                <w:webHidden/>
              </w:rPr>
            </w:r>
            <w:r w:rsidR="002B50B0">
              <w:rPr>
                <w:noProof/>
                <w:webHidden/>
              </w:rPr>
              <w:fldChar w:fldCharType="separate"/>
            </w:r>
            <w:r w:rsidR="002B50B0">
              <w:rPr>
                <w:noProof/>
                <w:webHidden/>
              </w:rPr>
              <w:t>30</w:t>
            </w:r>
            <w:r w:rsidR="002B50B0">
              <w:rPr>
                <w:noProof/>
                <w:webHidden/>
              </w:rPr>
              <w:fldChar w:fldCharType="end"/>
            </w:r>
          </w:hyperlink>
        </w:p>
        <w:p w14:paraId="28187926" w14:textId="6C2A5895" w:rsidR="002B50B0" w:rsidRDefault="00000000">
          <w:pPr>
            <w:pStyle w:val="TOC3"/>
            <w:rPr>
              <w:rFonts w:asciiTheme="minorHAnsi" w:eastAsiaTheme="minorEastAsia" w:hAnsiTheme="minorHAnsi" w:cstheme="minorBidi"/>
              <w:noProof/>
              <w:color w:val="auto"/>
              <w:szCs w:val="22"/>
              <w:lang w:eastAsia="en-AU"/>
            </w:rPr>
          </w:pPr>
          <w:hyperlink w:anchor="_Toc155176417" w:history="1">
            <w:r w:rsidR="002B50B0" w:rsidRPr="00670C15">
              <w:rPr>
                <w:rStyle w:val="Hyperlink"/>
                <w:noProof/>
              </w:rPr>
              <w:t>Summary of applicant’s reasons for the proposal</w:t>
            </w:r>
            <w:r w:rsidR="002B50B0">
              <w:rPr>
                <w:noProof/>
                <w:webHidden/>
              </w:rPr>
              <w:tab/>
            </w:r>
            <w:r w:rsidR="002B50B0">
              <w:rPr>
                <w:noProof/>
                <w:webHidden/>
              </w:rPr>
              <w:fldChar w:fldCharType="begin"/>
            </w:r>
            <w:r w:rsidR="002B50B0">
              <w:rPr>
                <w:noProof/>
                <w:webHidden/>
              </w:rPr>
              <w:instrText xml:space="preserve"> PAGEREF _Toc155176417 \h </w:instrText>
            </w:r>
            <w:r w:rsidR="002B50B0">
              <w:rPr>
                <w:noProof/>
                <w:webHidden/>
              </w:rPr>
            </w:r>
            <w:r w:rsidR="002B50B0">
              <w:rPr>
                <w:noProof/>
                <w:webHidden/>
              </w:rPr>
              <w:fldChar w:fldCharType="separate"/>
            </w:r>
            <w:r w:rsidR="002B50B0">
              <w:rPr>
                <w:noProof/>
                <w:webHidden/>
              </w:rPr>
              <w:t>30</w:t>
            </w:r>
            <w:r w:rsidR="002B50B0">
              <w:rPr>
                <w:noProof/>
                <w:webHidden/>
              </w:rPr>
              <w:fldChar w:fldCharType="end"/>
            </w:r>
          </w:hyperlink>
        </w:p>
        <w:p w14:paraId="4DEC7BFF" w14:textId="4D13CB12" w:rsidR="002B50B0" w:rsidRDefault="00000000">
          <w:pPr>
            <w:pStyle w:val="TOC3"/>
            <w:rPr>
              <w:rFonts w:asciiTheme="minorHAnsi" w:eastAsiaTheme="minorEastAsia" w:hAnsiTheme="minorHAnsi" w:cstheme="minorBidi"/>
              <w:noProof/>
              <w:color w:val="auto"/>
              <w:szCs w:val="22"/>
              <w:lang w:eastAsia="en-AU"/>
            </w:rPr>
          </w:pPr>
          <w:hyperlink w:anchor="_Toc155176418" w:history="1">
            <w:r w:rsidR="002B50B0" w:rsidRPr="00670C15">
              <w:rPr>
                <w:rStyle w:val="Hyperlink"/>
                <w:noProof/>
              </w:rPr>
              <w:t>Key uses / expected use</w:t>
            </w:r>
            <w:r w:rsidR="002B50B0">
              <w:rPr>
                <w:noProof/>
                <w:webHidden/>
              </w:rPr>
              <w:tab/>
            </w:r>
            <w:r w:rsidR="002B50B0">
              <w:rPr>
                <w:noProof/>
                <w:webHidden/>
              </w:rPr>
              <w:fldChar w:fldCharType="begin"/>
            </w:r>
            <w:r w:rsidR="002B50B0">
              <w:rPr>
                <w:noProof/>
                <w:webHidden/>
              </w:rPr>
              <w:instrText xml:space="preserve"> PAGEREF _Toc155176418 \h </w:instrText>
            </w:r>
            <w:r w:rsidR="002B50B0">
              <w:rPr>
                <w:noProof/>
                <w:webHidden/>
              </w:rPr>
            </w:r>
            <w:r w:rsidR="002B50B0">
              <w:rPr>
                <w:noProof/>
                <w:webHidden/>
              </w:rPr>
              <w:fldChar w:fldCharType="separate"/>
            </w:r>
            <w:r w:rsidR="002B50B0">
              <w:rPr>
                <w:noProof/>
                <w:webHidden/>
              </w:rPr>
              <w:t>31</w:t>
            </w:r>
            <w:r w:rsidR="002B50B0">
              <w:rPr>
                <w:noProof/>
                <w:webHidden/>
              </w:rPr>
              <w:fldChar w:fldCharType="end"/>
            </w:r>
          </w:hyperlink>
        </w:p>
        <w:p w14:paraId="045DD3A3" w14:textId="782074F8" w:rsidR="002B50B0" w:rsidRDefault="00000000">
          <w:pPr>
            <w:pStyle w:val="TOC3"/>
            <w:rPr>
              <w:rFonts w:asciiTheme="minorHAnsi" w:eastAsiaTheme="minorEastAsia" w:hAnsiTheme="minorHAnsi" w:cstheme="minorBidi"/>
              <w:noProof/>
              <w:color w:val="auto"/>
              <w:szCs w:val="22"/>
              <w:lang w:eastAsia="en-AU"/>
            </w:rPr>
          </w:pPr>
          <w:hyperlink w:anchor="_Toc155176419" w:history="1">
            <w:r w:rsidR="002B50B0" w:rsidRPr="00670C15">
              <w:rPr>
                <w:rStyle w:val="Hyperlink"/>
                <w:noProof/>
              </w:rPr>
              <w:t>Australian regulations</w:t>
            </w:r>
            <w:r w:rsidR="002B50B0">
              <w:rPr>
                <w:noProof/>
                <w:webHidden/>
              </w:rPr>
              <w:tab/>
            </w:r>
            <w:r w:rsidR="002B50B0">
              <w:rPr>
                <w:noProof/>
                <w:webHidden/>
              </w:rPr>
              <w:fldChar w:fldCharType="begin"/>
            </w:r>
            <w:r w:rsidR="002B50B0">
              <w:rPr>
                <w:noProof/>
                <w:webHidden/>
              </w:rPr>
              <w:instrText xml:space="preserve"> PAGEREF _Toc155176419 \h </w:instrText>
            </w:r>
            <w:r w:rsidR="002B50B0">
              <w:rPr>
                <w:noProof/>
                <w:webHidden/>
              </w:rPr>
            </w:r>
            <w:r w:rsidR="002B50B0">
              <w:rPr>
                <w:noProof/>
                <w:webHidden/>
              </w:rPr>
              <w:fldChar w:fldCharType="separate"/>
            </w:r>
            <w:r w:rsidR="002B50B0">
              <w:rPr>
                <w:noProof/>
                <w:webHidden/>
              </w:rPr>
              <w:t>31</w:t>
            </w:r>
            <w:r w:rsidR="002B50B0">
              <w:rPr>
                <w:noProof/>
                <w:webHidden/>
              </w:rPr>
              <w:fldChar w:fldCharType="end"/>
            </w:r>
          </w:hyperlink>
        </w:p>
        <w:p w14:paraId="1E8CBA35" w14:textId="4543912C" w:rsidR="002B50B0" w:rsidRDefault="00000000">
          <w:pPr>
            <w:pStyle w:val="TOC3"/>
            <w:rPr>
              <w:rFonts w:asciiTheme="minorHAnsi" w:eastAsiaTheme="minorEastAsia" w:hAnsiTheme="minorHAnsi" w:cstheme="minorBidi"/>
              <w:noProof/>
              <w:color w:val="auto"/>
              <w:szCs w:val="22"/>
              <w:lang w:eastAsia="en-AU"/>
            </w:rPr>
          </w:pPr>
          <w:hyperlink w:anchor="_Toc155176420" w:history="1">
            <w:r w:rsidR="002B50B0" w:rsidRPr="00670C15">
              <w:rPr>
                <w:rStyle w:val="Hyperlink"/>
                <w:noProof/>
              </w:rPr>
              <w:t>International regulations</w:t>
            </w:r>
            <w:r w:rsidR="002B50B0">
              <w:rPr>
                <w:noProof/>
                <w:webHidden/>
              </w:rPr>
              <w:tab/>
            </w:r>
            <w:r w:rsidR="002B50B0">
              <w:rPr>
                <w:noProof/>
                <w:webHidden/>
              </w:rPr>
              <w:fldChar w:fldCharType="begin"/>
            </w:r>
            <w:r w:rsidR="002B50B0">
              <w:rPr>
                <w:noProof/>
                <w:webHidden/>
              </w:rPr>
              <w:instrText xml:space="preserve"> PAGEREF _Toc155176420 \h </w:instrText>
            </w:r>
            <w:r w:rsidR="002B50B0">
              <w:rPr>
                <w:noProof/>
                <w:webHidden/>
              </w:rPr>
            </w:r>
            <w:r w:rsidR="002B50B0">
              <w:rPr>
                <w:noProof/>
                <w:webHidden/>
              </w:rPr>
              <w:fldChar w:fldCharType="separate"/>
            </w:r>
            <w:r w:rsidR="002B50B0">
              <w:rPr>
                <w:noProof/>
                <w:webHidden/>
              </w:rPr>
              <w:t>32</w:t>
            </w:r>
            <w:r w:rsidR="002B50B0">
              <w:rPr>
                <w:noProof/>
                <w:webHidden/>
              </w:rPr>
              <w:fldChar w:fldCharType="end"/>
            </w:r>
          </w:hyperlink>
        </w:p>
        <w:p w14:paraId="17D03A41" w14:textId="0D1EB3B6" w:rsidR="002B50B0" w:rsidRDefault="00000000">
          <w:pPr>
            <w:pStyle w:val="TOC1"/>
            <w:rPr>
              <w:rFonts w:asciiTheme="minorHAnsi" w:eastAsiaTheme="minorEastAsia" w:hAnsiTheme="minorHAnsi" w:cstheme="minorBidi"/>
              <w:b w:val="0"/>
              <w:noProof/>
              <w:color w:val="auto"/>
              <w:sz w:val="22"/>
              <w:szCs w:val="22"/>
              <w:lang w:eastAsia="en-AU"/>
            </w:rPr>
          </w:pPr>
          <w:hyperlink w:anchor="_Toc155176421" w:history="1">
            <w:r w:rsidR="002B50B0" w:rsidRPr="00670C15">
              <w:rPr>
                <w:rStyle w:val="Hyperlink"/>
                <w:rFonts w:cs="Arial"/>
                <w:noProof/>
              </w:rPr>
              <w:t>How to respond</w:t>
            </w:r>
            <w:r w:rsidR="002B50B0">
              <w:rPr>
                <w:noProof/>
                <w:webHidden/>
              </w:rPr>
              <w:tab/>
            </w:r>
            <w:r w:rsidR="002B50B0">
              <w:rPr>
                <w:noProof/>
                <w:webHidden/>
              </w:rPr>
              <w:fldChar w:fldCharType="begin"/>
            </w:r>
            <w:r w:rsidR="002B50B0">
              <w:rPr>
                <w:noProof/>
                <w:webHidden/>
              </w:rPr>
              <w:instrText xml:space="preserve"> PAGEREF _Toc155176421 \h </w:instrText>
            </w:r>
            <w:r w:rsidR="002B50B0">
              <w:rPr>
                <w:noProof/>
                <w:webHidden/>
              </w:rPr>
            </w:r>
            <w:r w:rsidR="002B50B0">
              <w:rPr>
                <w:noProof/>
                <w:webHidden/>
              </w:rPr>
              <w:fldChar w:fldCharType="separate"/>
            </w:r>
            <w:r w:rsidR="002B50B0">
              <w:rPr>
                <w:noProof/>
                <w:webHidden/>
              </w:rPr>
              <w:t>33</w:t>
            </w:r>
            <w:r w:rsidR="002B50B0">
              <w:rPr>
                <w:noProof/>
                <w:webHidden/>
              </w:rPr>
              <w:fldChar w:fldCharType="end"/>
            </w:r>
          </w:hyperlink>
        </w:p>
        <w:p w14:paraId="2A578F87" w14:textId="4BDB6C06" w:rsidR="002B50B0" w:rsidRDefault="00000000">
          <w:pPr>
            <w:pStyle w:val="TOC1"/>
            <w:rPr>
              <w:rFonts w:asciiTheme="minorHAnsi" w:eastAsiaTheme="minorEastAsia" w:hAnsiTheme="minorHAnsi" w:cstheme="minorBidi"/>
              <w:b w:val="0"/>
              <w:noProof/>
              <w:color w:val="auto"/>
              <w:sz w:val="22"/>
              <w:szCs w:val="22"/>
              <w:lang w:eastAsia="en-AU"/>
            </w:rPr>
          </w:pPr>
          <w:hyperlink w:anchor="_Toc155176422" w:history="1">
            <w:r w:rsidR="002B50B0" w:rsidRPr="00670C15">
              <w:rPr>
                <w:rStyle w:val="Hyperlink"/>
                <w:rFonts w:cs="Arial"/>
                <w:noProof/>
              </w:rPr>
              <w:t>What will happen</w:t>
            </w:r>
            <w:r w:rsidR="002B50B0">
              <w:rPr>
                <w:noProof/>
                <w:webHidden/>
              </w:rPr>
              <w:tab/>
            </w:r>
            <w:r w:rsidR="002B50B0">
              <w:rPr>
                <w:noProof/>
                <w:webHidden/>
              </w:rPr>
              <w:fldChar w:fldCharType="begin"/>
            </w:r>
            <w:r w:rsidR="002B50B0">
              <w:rPr>
                <w:noProof/>
                <w:webHidden/>
              </w:rPr>
              <w:instrText xml:space="preserve"> PAGEREF _Toc155176422 \h </w:instrText>
            </w:r>
            <w:r w:rsidR="002B50B0">
              <w:rPr>
                <w:noProof/>
                <w:webHidden/>
              </w:rPr>
            </w:r>
            <w:r w:rsidR="002B50B0">
              <w:rPr>
                <w:noProof/>
                <w:webHidden/>
              </w:rPr>
              <w:fldChar w:fldCharType="separate"/>
            </w:r>
            <w:r w:rsidR="002B50B0">
              <w:rPr>
                <w:noProof/>
                <w:webHidden/>
              </w:rPr>
              <w:t>33</w:t>
            </w:r>
            <w:r w:rsidR="002B50B0">
              <w:rPr>
                <w:noProof/>
                <w:webHidden/>
              </w:rPr>
              <w:fldChar w:fldCharType="end"/>
            </w:r>
          </w:hyperlink>
        </w:p>
        <w:p w14:paraId="186667CD" w14:textId="7C2A058E" w:rsidR="00C25488" w:rsidRPr="00D149A2" w:rsidRDefault="00C25488" w:rsidP="00C25488">
          <w:pPr>
            <w:rPr>
              <w:rFonts w:cs="Arial"/>
            </w:rPr>
          </w:pPr>
          <w:r w:rsidRPr="00D149A2">
            <w:rPr>
              <w:rFonts w:cs="Arial"/>
            </w:rPr>
            <w:fldChar w:fldCharType="end"/>
          </w:r>
        </w:p>
      </w:sdtContent>
    </w:sdt>
    <w:bookmarkEnd w:id="3" w:displacedByCustomXml="prev"/>
    <w:p w14:paraId="2BA8E38A" w14:textId="77777777" w:rsidR="00C25488" w:rsidRPr="00D149A2" w:rsidRDefault="00C25488" w:rsidP="00C25488">
      <w:pPr>
        <w:rPr>
          <w:rFonts w:cs="Arial"/>
        </w:rPr>
      </w:pPr>
      <w:r w:rsidRPr="00D149A2">
        <w:rPr>
          <w:rFonts w:cs="Arial"/>
        </w:rPr>
        <w:br w:type="page"/>
      </w:r>
    </w:p>
    <w:p w14:paraId="092DE43A" w14:textId="77777777" w:rsidR="00C25488" w:rsidRPr="00D149A2" w:rsidRDefault="00C25488" w:rsidP="00C25488">
      <w:pPr>
        <w:pStyle w:val="Heading2"/>
        <w:rPr>
          <w:rFonts w:cs="Arial"/>
        </w:rPr>
      </w:pPr>
      <w:bookmarkStart w:id="4" w:name="_Toc155176330"/>
      <w:bookmarkStart w:id="5" w:name="_Hlk139892263"/>
      <w:r w:rsidRPr="00D149A2">
        <w:rPr>
          <w:rFonts w:cs="Arial"/>
        </w:rPr>
        <w:lastRenderedPageBreak/>
        <w:t>About this consultation</w:t>
      </w:r>
      <w:bookmarkEnd w:id="4"/>
    </w:p>
    <w:p w14:paraId="4099364C" w14:textId="77777777" w:rsidR="00C25488" w:rsidRPr="00D149A2" w:rsidRDefault="00C25488" w:rsidP="00C25488">
      <w:pPr>
        <w:rPr>
          <w:rFonts w:cs="Arial"/>
          <w:szCs w:val="18"/>
        </w:rPr>
      </w:pPr>
      <w:bookmarkStart w:id="6" w:name="_Toc323739591"/>
      <w:bookmarkStart w:id="7" w:name="_Toc356305218"/>
      <w:r w:rsidRPr="00D149A2">
        <w:rPr>
          <w:rFonts w:cs="Arial"/>
          <w:szCs w:val="18"/>
        </w:rPr>
        <w:t>Subdivision 3D.2 of the </w:t>
      </w:r>
      <w:r w:rsidRPr="00D149A2">
        <w:rPr>
          <w:rFonts w:cs="Arial"/>
          <w:i/>
          <w:iCs/>
          <w:szCs w:val="18"/>
        </w:rPr>
        <w:t>Therapeutic Goods Regulations 1990</w:t>
      </w:r>
      <w:r w:rsidRPr="00D149A2">
        <w:rPr>
          <w:rFonts w:cs="Arial"/>
          <w:szCs w:val="18"/>
        </w:rPr>
        <w:t xml:space="preserve"> (the </w:t>
      </w:r>
      <w:r w:rsidRPr="00D149A2">
        <w:rPr>
          <w:rFonts w:cs="Arial"/>
          <w:b/>
          <w:bCs/>
          <w:szCs w:val="18"/>
        </w:rPr>
        <w:t>Regulations</w:t>
      </w:r>
      <w:r w:rsidRPr="00D149A2">
        <w:rPr>
          <w:rFonts w:cs="Arial"/>
          <w:szCs w:val="18"/>
        </w:rPr>
        <w:t>) sets out the procedure to be followed where the Secretary receives an application under section 52EAA of the </w:t>
      </w:r>
      <w:r w:rsidRPr="00D149A2">
        <w:rPr>
          <w:rFonts w:cs="Arial"/>
          <w:i/>
          <w:iCs/>
          <w:szCs w:val="18"/>
        </w:rPr>
        <w:t>Therapeutic Goods Act 1989</w:t>
      </w:r>
      <w:r w:rsidRPr="00D149A2">
        <w:rPr>
          <w:rFonts w:cs="Arial"/>
          <w:szCs w:val="18"/>
        </w:rPr>
        <w:t xml:space="preserve"> (the </w:t>
      </w:r>
      <w:r w:rsidRPr="00D149A2">
        <w:rPr>
          <w:rFonts w:cs="Arial"/>
          <w:b/>
          <w:bCs/>
          <w:szCs w:val="18"/>
        </w:rPr>
        <w:t>Act</w:t>
      </w:r>
      <w:r w:rsidRPr="00D149A2">
        <w:rPr>
          <w:rFonts w:cs="Arial"/>
          <w:szCs w:val="18"/>
        </w:rPr>
        <w:t>) to amend the current Poisons Standard or decides to amend the Poisons Standard on his or her own initiative and decides to refer the proposed amendment to an expert advisory committee. These include, under regulation 42ZCZK, that the Secretary publish (in a manner the Secretary considers appropriate) the proposed amendment to be referred to an expert advisory committee, the committee to which the proposed amendment will be referred, and the date of the committee meeting. The Secretary must also invite public submissions to be made to the expert advisory committee by a date mentioned in the notice as the closing date, allowing at least 20 business days after publication of the notice.</w:t>
      </w:r>
    </w:p>
    <w:p w14:paraId="50C4E869" w14:textId="34284609" w:rsidR="00C25488" w:rsidRPr="00D149A2" w:rsidRDefault="00C25488" w:rsidP="00C25488">
      <w:pPr>
        <w:rPr>
          <w:rFonts w:cs="Arial"/>
          <w:szCs w:val="18"/>
        </w:rPr>
      </w:pPr>
      <w:r w:rsidRPr="00D149A2">
        <w:rPr>
          <w:rFonts w:cs="Arial"/>
          <w:noProof/>
          <w:szCs w:val="18"/>
        </w:rPr>
        <mc:AlternateContent>
          <mc:Choice Requires="wps">
            <w:drawing>
              <wp:anchor distT="0" distB="0" distL="114300" distR="114300" simplePos="0" relativeHeight="251659264" behindDoc="0" locked="0" layoutInCell="1" allowOverlap="1" wp14:anchorId="0DDABC6F" wp14:editId="1B7BB5CF">
                <wp:simplePos x="0" y="0"/>
                <wp:positionH relativeFrom="margin">
                  <wp:posOffset>0</wp:posOffset>
                </wp:positionH>
                <wp:positionV relativeFrom="paragraph">
                  <wp:posOffset>1007110</wp:posOffset>
                </wp:positionV>
                <wp:extent cx="1828800" cy="1828800"/>
                <wp:effectExtent l="0" t="0" r="25400" b="1333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C6D0E9"/>
                        </a:solidFill>
                        <a:ln w="6350">
                          <a:solidFill>
                            <a:prstClr val="black"/>
                          </a:solidFill>
                        </a:ln>
                      </wps:spPr>
                      <wps:txbx>
                        <w:txbxContent>
                          <w:p w14:paraId="553BA09C" w14:textId="77777777" w:rsidR="00C25488" w:rsidRPr="00520CD5" w:rsidRDefault="00C25488" w:rsidP="00C25488">
                            <w:pPr>
                              <w:rPr>
                                <w:rFonts w:cs="Arial"/>
                                <w:szCs w:val="18"/>
                                <w:lang w:val="en"/>
                              </w:rPr>
                            </w:pPr>
                            <w:r w:rsidRPr="00520CD5">
                              <w:rPr>
                                <w:rFonts w:cs="Arial"/>
                                <w:szCs w:val="18"/>
                              </w:rPr>
                              <w:t>Submissions should be provided through our</w:t>
                            </w:r>
                            <w:r w:rsidRPr="00520CD5">
                              <w:rPr>
                                <w:rFonts w:cs="Arial"/>
                                <w:szCs w:val="18"/>
                                <w:lang w:val="en"/>
                              </w:rPr>
                              <w:t xml:space="preserve"> </w:t>
                            </w:r>
                            <w:hyperlink r:id="rId9" w:history="1">
                              <w:r w:rsidRPr="00520CD5">
                                <w:rPr>
                                  <w:rStyle w:val="Hyperlink"/>
                                  <w:rFonts w:cs="Arial"/>
                                  <w:szCs w:val="18"/>
                                </w:rPr>
                                <w:t>consultation hub</w:t>
                              </w:r>
                            </w:hyperlink>
                            <w:r w:rsidRPr="00520CD5">
                              <w:rPr>
                                <w:rFonts w:cs="Arial"/>
                                <w:szCs w:val="18"/>
                                <w:lang w:val="en"/>
                              </w:rPr>
                              <w:t xml:space="preserve">. </w:t>
                            </w:r>
                            <w:r w:rsidRPr="00520CD5">
                              <w:rPr>
                                <w:rFonts w:cs="Arial"/>
                                <w:szCs w:val="18"/>
                              </w:rPr>
                              <w:t>Any submission about any of the proposals to amend the Poisons Standard will be considered at the next meeting of the</w:t>
                            </w:r>
                            <w:r w:rsidRPr="00520CD5">
                              <w:rPr>
                                <w:rFonts w:cs="Arial"/>
                                <w:szCs w:val="18"/>
                                <w:lang w:val="en"/>
                              </w:rPr>
                              <w:t xml:space="preserve"> </w:t>
                            </w:r>
                            <w:hyperlink r:id="rId10" w:history="1">
                              <w:r w:rsidRPr="00520CD5">
                                <w:rPr>
                                  <w:rStyle w:val="Hyperlink"/>
                                  <w:rFonts w:cs="Arial"/>
                                  <w:szCs w:val="18"/>
                                </w:rPr>
                                <w:t>Advisory Committee on Medicines Scheduling (ACMS)</w:t>
                              </w:r>
                            </w:hyperlink>
                            <w:r w:rsidRPr="00520CD5">
                              <w:rPr>
                                <w:rFonts w:cs="Arial"/>
                                <w:szCs w:val="18"/>
                                <w:lang w:val="en"/>
                              </w:rPr>
                              <w:t xml:space="preserve">, </w:t>
                            </w:r>
                            <w:r w:rsidRPr="00520CD5">
                              <w:rPr>
                                <w:rFonts w:cs="Arial"/>
                                <w:szCs w:val="18"/>
                              </w:rPr>
                              <w:t>meeting of the</w:t>
                            </w:r>
                            <w:r w:rsidRPr="00520CD5">
                              <w:rPr>
                                <w:rFonts w:cs="Arial"/>
                                <w:szCs w:val="18"/>
                                <w:lang w:val="en"/>
                              </w:rPr>
                              <w:t xml:space="preserve"> </w:t>
                            </w:r>
                            <w:hyperlink r:id="rId11" w:history="1">
                              <w:r w:rsidRPr="00520CD5">
                                <w:rPr>
                                  <w:rStyle w:val="Hyperlink"/>
                                  <w:rFonts w:cs="Arial"/>
                                  <w:szCs w:val="18"/>
                                </w:rPr>
                                <w:t>Advisory Committee on Chemicals Scheduling (ACCS)</w:t>
                              </w:r>
                            </w:hyperlink>
                            <w:r w:rsidRPr="00520CD5">
                              <w:rPr>
                                <w:rFonts w:cs="Arial"/>
                                <w:szCs w:val="18"/>
                                <w:lang w:val="en"/>
                              </w:rPr>
                              <w:t xml:space="preserve">, </w:t>
                            </w:r>
                            <w:r w:rsidRPr="00520CD5">
                              <w:rPr>
                                <w:rFonts w:cs="Arial"/>
                                <w:szCs w:val="18"/>
                              </w:rPr>
                              <w:t>or a joint meeting of these two committees.</w:t>
                            </w:r>
                          </w:p>
                          <w:p w14:paraId="6B8D5A0F" w14:textId="1AC5DA10" w:rsidR="00C25488" w:rsidRPr="00520CD5" w:rsidRDefault="00C25488" w:rsidP="00C25488">
                            <w:pPr>
                              <w:rPr>
                                <w:rFonts w:cs="Arial"/>
                                <w:b/>
                                <w:szCs w:val="18"/>
                                <w:lang w:val="en"/>
                              </w:rPr>
                            </w:pPr>
                            <w:r w:rsidRPr="00520CD5">
                              <w:rPr>
                                <w:rFonts w:cs="Arial"/>
                                <w:b/>
                                <w:szCs w:val="18"/>
                                <w:lang w:val="en"/>
                              </w:rPr>
                              <w:t xml:space="preserve">This consultation closes on </w:t>
                            </w:r>
                            <w:r w:rsidR="000B12AF" w:rsidRPr="000B12AF">
                              <w:rPr>
                                <w:rFonts w:cs="Arial"/>
                                <w:b/>
                                <w:szCs w:val="18"/>
                                <w:lang w:val="en"/>
                              </w:rPr>
                              <w:t>5 February 2024</w:t>
                            </w:r>
                            <w:r w:rsidRPr="000B12AF">
                              <w:rPr>
                                <w:rFonts w:cs="Arial"/>
                                <w:b/>
                                <w:szCs w:val="18"/>
                                <w:lang w:val="en"/>
                              </w:rPr>
                              <w:t>.</w:t>
                            </w:r>
                          </w:p>
                          <w:p w14:paraId="28C4E60A" w14:textId="77777777" w:rsidR="00C25488" w:rsidRPr="00520CD5" w:rsidRDefault="00C25488" w:rsidP="00C25488">
                            <w:pPr>
                              <w:rPr>
                                <w:rFonts w:cs="Arial"/>
                                <w:szCs w:val="18"/>
                              </w:rPr>
                            </w:pPr>
                            <w:r w:rsidRPr="00520CD5">
                              <w:rPr>
                                <w:rFonts w:cs="Arial"/>
                                <w:szCs w:val="18"/>
                              </w:rPr>
                              <w:t>We aim to provide documents in an accessible format. If you're having problems using this document, please contact </w:t>
                            </w:r>
                            <w:hyperlink r:id="rId12" w:history="1">
                              <w:r w:rsidRPr="00520CD5">
                                <w:rPr>
                                  <w:rStyle w:val="Hyperlink"/>
                                  <w:rFonts w:cs="Arial"/>
                                  <w:szCs w:val="18"/>
                                </w:rPr>
                                <w:t>medicines.scheduling@health.gov.au</w:t>
                              </w:r>
                            </w:hyperlink>
                            <w:r w:rsidRPr="00520CD5">
                              <w:rPr>
                                <w:rFonts w:cs="Arial"/>
                                <w:szCs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DDABC6F" id="_x0000_t202" coordsize="21600,21600" o:spt="202" path="m,l,21600r21600,l21600,xe">
                <v:stroke joinstyle="miter"/>
                <v:path gradientshapeok="t" o:connecttype="rect"/>
              </v:shapetype>
              <v:shape id="Text Box 1" o:spid="_x0000_s1026" type="#_x0000_t202" style="position:absolute;margin-left:0;margin-top:79.3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" fillcolor="#c6d0e9" strokeweight=".5pt">
                <v:textbox style="mso-fit-shape-to-text:t">
                  <w:txbxContent>
                    <w:p w14:paraId="553BA09C" w14:textId="77777777" w:rsidR="00C25488" w:rsidRPr="00520CD5" w:rsidRDefault="00C25488" w:rsidP="00C25488">
                      <w:pPr>
                        <w:rPr>
                          <w:rFonts w:cs="Arial"/>
                          <w:szCs w:val="18"/>
                          <w:lang w:val="en"/>
                        </w:rPr>
                      </w:pPr>
                      <w:r w:rsidRPr="00520CD5">
                        <w:rPr>
                          <w:rFonts w:cs="Arial"/>
                          <w:szCs w:val="18"/>
                        </w:rPr>
                        <w:t>Submissions should be provided through our</w:t>
                      </w:r>
                      <w:r w:rsidRPr="00520CD5">
                        <w:rPr>
                          <w:rFonts w:cs="Arial"/>
                          <w:szCs w:val="18"/>
                          <w:lang w:val="en"/>
                        </w:rPr>
                        <w:t xml:space="preserve"> </w:t>
                      </w:r>
                      <w:hyperlink r:id="rId13" w:history="1">
                        <w:r w:rsidRPr="00520CD5">
                          <w:rPr>
                            <w:rStyle w:val="Hyperlink"/>
                            <w:rFonts w:cs="Arial"/>
                            <w:szCs w:val="18"/>
                          </w:rPr>
                          <w:t>consultation hub</w:t>
                        </w:r>
                      </w:hyperlink>
                      <w:r w:rsidRPr="00520CD5">
                        <w:rPr>
                          <w:rFonts w:cs="Arial"/>
                          <w:szCs w:val="18"/>
                          <w:lang w:val="en"/>
                        </w:rPr>
                        <w:t xml:space="preserve">. </w:t>
                      </w:r>
                      <w:r w:rsidRPr="00520CD5">
                        <w:rPr>
                          <w:rFonts w:cs="Arial"/>
                          <w:szCs w:val="18"/>
                        </w:rPr>
                        <w:t>Any submission about any of the proposals to amend the Poisons Standard will be considered at the next meeting of the</w:t>
                      </w:r>
                      <w:r w:rsidRPr="00520CD5">
                        <w:rPr>
                          <w:rFonts w:cs="Arial"/>
                          <w:szCs w:val="18"/>
                          <w:lang w:val="en"/>
                        </w:rPr>
                        <w:t xml:space="preserve"> </w:t>
                      </w:r>
                      <w:hyperlink r:id="rId14" w:history="1">
                        <w:r w:rsidRPr="00520CD5">
                          <w:rPr>
                            <w:rStyle w:val="Hyperlink"/>
                            <w:rFonts w:cs="Arial"/>
                            <w:szCs w:val="18"/>
                          </w:rPr>
                          <w:t>Advisory Committee on Medicines Scheduling (ACMS)</w:t>
                        </w:r>
                      </w:hyperlink>
                      <w:r w:rsidRPr="00520CD5">
                        <w:rPr>
                          <w:rFonts w:cs="Arial"/>
                          <w:szCs w:val="18"/>
                          <w:lang w:val="en"/>
                        </w:rPr>
                        <w:t xml:space="preserve">, </w:t>
                      </w:r>
                      <w:r w:rsidRPr="00520CD5">
                        <w:rPr>
                          <w:rFonts w:cs="Arial"/>
                          <w:szCs w:val="18"/>
                        </w:rPr>
                        <w:t>meeting of the</w:t>
                      </w:r>
                      <w:r w:rsidRPr="00520CD5">
                        <w:rPr>
                          <w:rFonts w:cs="Arial"/>
                          <w:szCs w:val="18"/>
                          <w:lang w:val="en"/>
                        </w:rPr>
                        <w:t xml:space="preserve"> </w:t>
                      </w:r>
                      <w:hyperlink r:id="rId15" w:history="1">
                        <w:r w:rsidRPr="00520CD5">
                          <w:rPr>
                            <w:rStyle w:val="Hyperlink"/>
                            <w:rFonts w:cs="Arial"/>
                            <w:szCs w:val="18"/>
                          </w:rPr>
                          <w:t>Advisory Committee on Chemicals Scheduling (ACCS)</w:t>
                        </w:r>
                      </w:hyperlink>
                      <w:r w:rsidRPr="00520CD5">
                        <w:rPr>
                          <w:rFonts w:cs="Arial"/>
                          <w:szCs w:val="18"/>
                          <w:lang w:val="en"/>
                        </w:rPr>
                        <w:t xml:space="preserve">, </w:t>
                      </w:r>
                      <w:r w:rsidRPr="00520CD5">
                        <w:rPr>
                          <w:rFonts w:cs="Arial"/>
                          <w:szCs w:val="18"/>
                        </w:rPr>
                        <w:t>or a joint meeting of these two committees.</w:t>
                      </w:r>
                    </w:p>
                    <w:p w14:paraId="6B8D5A0F" w14:textId="1AC5DA10" w:rsidR="00C25488" w:rsidRPr="00520CD5" w:rsidRDefault="00C25488" w:rsidP="00C25488">
                      <w:pPr>
                        <w:rPr>
                          <w:rFonts w:cs="Arial"/>
                          <w:b/>
                          <w:szCs w:val="18"/>
                          <w:lang w:val="en"/>
                        </w:rPr>
                      </w:pPr>
                      <w:r w:rsidRPr="00520CD5">
                        <w:rPr>
                          <w:rFonts w:cs="Arial"/>
                          <w:b/>
                          <w:szCs w:val="18"/>
                          <w:lang w:val="en"/>
                        </w:rPr>
                        <w:t xml:space="preserve">This consultation closes on </w:t>
                      </w:r>
                      <w:r w:rsidR="000B12AF" w:rsidRPr="000B12AF">
                        <w:rPr>
                          <w:rFonts w:cs="Arial"/>
                          <w:b/>
                          <w:szCs w:val="18"/>
                          <w:lang w:val="en"/>
                        </w:rPr>
                        <w:t>5 February 2024</w:t>
                      </w:r>
                      <w:r w:rsidRPr="000B12AF">
                        <w:rPr>
                          <w:rFonts w:cs="Arial"/>
                          <w:b/>
                          <w:szCs w:val="18"/>
                          <w:lang w:val="en"/>
                        </w:rPr>
                        <w:t>.</w:t>
                      </w:r>
                    </w:p>
                    <w:p w14:paraId="28C4E60A" w14:textId="77777777" w:rsidR="00C25488" w:rsidRPr="00520CD5" w:rsidRDefault="00C25488" w:rsidP="00C25488">
                      <w:pPr>
                        <w:rPr>
                          <w:rFonts w:cs="Arial"/>
                          <w:szCs w:val="18"/>
                        </w:rPr>
                      </w:pPr>
                      <w:r w:rsidRPr="00520CD5">
                        <w:rPr>
                          <w:rFonts w:cs="Arial"/>
                          <w:szCs w:val="18"/>
                        </w:rPr>
                        <w:t>We aim to provide documents in an accessible format. If you're having problems using this document, please contact </w:t>
                      </w:r>
                      <w:hyperlink r:id="rId16" w:history="1">
                        <w:r w:rsidRPr="00520CD5">
                          <w:rPr>
                            <w:rStyle w:val="Hyperlink"/>
                            <w:rFonts w:cs="Arial"/>
                            <w:szCs w:val="18"/>
                          </w:rPr>
                          <w:t>medicines.scheduling@health.gov.au</w:t>
                        </w:r>
                      </w:hyperlink>
                      <w:r w:rsidRPr="00520CD5">
                        <w:rPr>
                          <w:rFonts w:cs="Arial"/>
                          <w:szCs w:val="18"/>
                        </w:rPr>
                        <w:t>.</w:t>
                      </w:r>
                    </w:p>
                  </w:txbxContent>
                </v:textbox>
                <w10:wrap type="square" anchorx="margin"/>
              </v:shape>
            </w:pict>
          </mc:Fallback>
        </mc:AlternateContent>
      </w:r>
      <w:r w:rsidRPr="00D149A2">
        <w:rPr>
          <w:rFonts w:cs="Arial"/>
          <w:szCs w:val="18"/>
        </w:rPr>
        <w:t xml:space="preserve">In accordance with regulation 42ZCZK of the Regulations, the Secretary invites public submissions on scheduling proposals referred to </w:t>
      </w:r>
      <w:r w:rsidRPr="00554449">
        <w:rPr>
          <w:rFonts w:cs="Arial"/>
          <w:szCs w:val="18"/>
        </w:rPr>
        <w:t xml:space="preserve">the </w:t>
      </w:r>
      <w:r w:rsidRPr="00554449">
        <w:rPr>
          <w:rFonts w:cs="Arial"/>
          <w:b/>
          <w:bCs/>
          <w:szCs w:val="18"/>
        </w:rPr>
        <w:t>M</w:t>
      </w:r>
      <w:r w:rsidR="002B50B0">
        <w:rPr>
          <w:rFonts w:cs="Arial"/>
          <w:b/>
          <w:bCs/>
          <w:szCs w:val="18"/>
        </w:rPr>
        <w:t>arch</w:t>
      </w:r>
      <w:r w:rsidRPr="00554449">
        <w:rPr>
          <w:rFonts w:cs="Arial"/>
          <w:b/>
          <w:bCs/>
          <w:szCs w:val="18"/>
        </w:rPr>
        <w:t xml:space="preserve"> 2024 </w:t>
      </w:r>
      <w:r w:rsidRPr="00554449">
        <w:rPr>
          <w:rFonts w:cs="Arial"/>
          <w:szCs w:val="18"/>
        </w:rPr>
        <w:t>meetings of the Advisory Committee on Medicines Scheduling (ACMS #44), Advisory Committee on Chemicals Scheduling (ACCS #38) and Advisory Committee</w:t>
      </w:r>
      <w:r>
        <w:rPr>
          <w:rFonts w:cs="Arial"/>
          <w:szCs w:val="18"/>
        </w:rPr>
        <w:t>s</w:t>
      </w:r>
      <w:r w:rsidRPr="00554449">
        <w:rPr>
          <w:rFonts w:cs="Arial"/>
          <w:szCs w:val="18"/>
        </w:rPr>
        <w:t xml:space="preserve"> on Medicines and Chemicals Scheduling in joint session (Joint ACMS-ACCS #36).</w:t>
      </w:r>
      <w:r w:rsidRPr="00D149A2">
        <w:rPr>
          <w:rFonts w:cs="Arial"/>
          <w:szCs w:val="18"/>
        </w:rPr>
        <w:t xml:space="preserve"> Submissions must be received by close of business </w:t>
      </w:r>
      <w:r w:rsidR="000B12AF" w:rsidRPr="000B12AF">
        <w:rPr>
          <w:rFonts w:cs="Arial"/>
          <w:b/>
          <w:szCs w:val="18"/>
          <w:lang w:val="en"/>
        </w:rPr>
        <w:t>5 February 202</w:t>
      </w:r>
      <w:r w:rsidR="000B12AF">
        <w:rPr>
          <w:rFonts w:cs="Arial"/>
          <w:b/>
          <w:szCs w:val="18"/>
          <w:lang w:val="en"/>
        </w:rPr>
        <w:t>4</w:t>
      </w:r>
      <w:r w:rsidRPr="000B12AF">
        <w:rPr>
          <w:rFonts w:cs="Arial"/>
          <w:szCs w:val="18"/>
        </w:rPr>
        <w:t>.</w:t>
      </w:r>
    </w:p>
    <w:bookmarkEnd w:id="5"/>
    <w:bookmarkEnd w:id="6"/>
    <w:bookmarkEnd w:id="7"/>
    <w:p w14:paraId="2D14E614" w14:textId="77777777" w:rsidR="00C25488" w:rsidRPr="00D149A2" w:rsidRDefault="00C25488" w:rsidP="00C25488">
      <w:pPr>
        <w:rPr>
          <w:rFonts w:cs="Arial"/>
          <w:b/>
          <w:color w:val="001871"/>
          <w:sz w:val="38"/>
        </w:rPr>
      </w:pPr>
      <w:r w:rsidRPr="00D149A2">
        <w:rPr>
          <w:rFonts w:cs="Arial"/>
        </w:rPr>
        <w:br w:type="page"/>
      </w:r>
    </w:p>
    <w:p w14:paraId="15CB5041" w14:textId="6FBB4504" w:rsidR="00C25488" w:rsidRPr="00D149A2" w:rsidRDefault="00C25488">
      <w:pPr>
        <w:pStyle w:val="Heading2"/>
        <w:numPr>
          <w:ilvl w:val="0"/>
          <w:numId w:val="12"/>
        </w:numPr>
        <w:rPr>
          <w:rFonts w:cs="Arial"/>
        </w:rPr>
      </w:pPr>
      <w:bookmarkStart w:id="8" w:name="_Toc155176331"/>
      <w:bookmarkStart w:id="9" w:name="_Hlk139892366"/>
      <w:r w:rsidRPr="00D149A2">
        <w:rPr>
          <w:rFonts w:cs="Arial"/>
        </w:rPr>
        <w:lastRenderedPageBreak/>
        <w:t>Proposed amendment referred for scheduling advice to ACMS meeting #</w:t>
      </w:r>
      <w:r>
        <w:rPr>
          <w:rFonts w:cs="Arial"/>
        </w:rPr>
        <w:t>44</w:t>
      </w:r>
      <w:bookmarkEnd w:id="8"/>
    </w:p>
    <w:p w14:paraId="33D28FED" w14:textId="529F6901" w:rsidR="00C25488" w:rsidRDefault="00712EFB" w:rsidP="001A6E05">
      <w:pPr>
        <w:pStyle w:val="Heading3"/>
      </w:pPr>
      <w:bookmarkStart w:id="10" w:name="_Toc155176332"/>
      <w:r>
        <w:t>1.1</w:t>
      </w:r>
      <w:r>
        <w:tab/>
      </w:r>
      <w:r w:rsidR="00C25488">
        <w:t>Cytisine</w:t>
      </w:r>
      <w:bookmarkEnd w:id="10"/>
    </w:p>
    <w:p w14:paraId="2FE8476C" w14:textId="0DF3F7AB" w:rsidR="00C25488" w:rsidRPr="00D149A2" w:rsidRDefault="00C25488" w:rsidP="008C549F">
      <w:pPr>
        <w:pStyle w:val="Heading4"/>
      </w:pPr>
      <w:bookmarkStart w:id="11" w:name="_Toc155176333"/>
      <w:r w:rsidRPr="00D149A2">
        <w:t>Proposal</w:t>
      </w:r>
      <w:bookmarkEnd w:id="11"/>
    </w:p>
    <w:p w14:paraId="7D08C948" w14:textId="006D5C44" w:rsidR="00C25488" w:rsidRPr="008A0F23" w:rsidRDefault="00C25488" w:rsidP="00C25488">
      <w:pPr>
        <w:rPr>
          <w:rFonts w:cs="Arial"/>
        </w:rPr>
      </w:pPr>
      <w:r w:rsidRPr="008A0F23">
        <w:rPr>
          <w:rFonts w:cs="Arial"/>
        </w:rPr>
        <w:t xml:space="preserve">The applicant proposed to create </w:t>
      </w:r>
      <w:r>
        <w:rPr>
          <w:rFonts w:cs="Arial"/>
        </w:rPr>
        <w:t xml:space="preserve">new </w:t>
      </w:r>
      <w:r w:rsidRPr="008A0F23">
        <w:rPr>
          <w:rFonts w:cs="Arial"/>
        </w:rPr>
        <w:t>Schedule 2 and 4 entries for cytisine. The propos</w:t>
      </w:r>
      <w:r w:rsidR="00885B79">
        <w:rPr>
          <w:rFonts w:cs="Arial"/>
        </w:rPr>
        <w:t>ed amendment</w:t>
      </w:r>
      <w:r w:rsidRPr="008A0F23">
        <w:rPr>
          <w:rFonts w:cs="Arial"/>
        </w:rPr>
        <w:t xml:space="preserve"> would </w:t>
      </w:r>
      <w:r>
        <w:rPr>
          <w:rFonts w:cs="Arial"/>
        </w:rPr>
        <w:t xml:space="preserve">include </w:t>
      </w:r>
      <w:r w:rsidRPr="008A0F23">
        <w:rPr>
          <w:rFonts w:cs="Arial"/>
        </w:rPr>
        <w:t>cytisine in divided preparation</w:t>
      </w:r>
      <w:r w:rsidR="00885B79">
        <w:rPr>
          <w:rFonts w:cs="Arial"/>
        </w:rPr>
        <w:t>s</w:t>
      </w:r>
      <w:r w:rsidRPr="008A0F23">
        <w:rPr>
          <w:rFonts w:cs="Arial"/>
        </w:rPr>
        <w:t xml:space="preserve"> for oral use containing 1.5 mg or less of cytisine per dosage unit in Schedule 2, and all other preparations containing cytisine in Schedule 4.</w:t>
      </w:r>
      <w:r w:rsidR="00885B79">
        <w:rPr>
          <w:rFonts w:cs="Arial"/>
        </w:rPr>
        <w:t xml:space="preserve"> Cytisine is currently an unapproved ingredient in preparations for therapeutic use.</w:t>
      </w:r>
    </w:p>
    <w:p w14:paraId="551EC132" w14:textId="25B1FBF5" w:rsidR="00C25488" w:rsidRPr="00D149A2" w:rsidRDefault="00C25488" w:rsidP="008C549F">
      <w:pPr>
        <w:pStyle w:val="Heading4"/>
      </w:pPr>
      <w:bookmarkStart w:id="12" w:name="_Toc155176334"/>
      <w:r w:rsidRPr="00D149A2">
        <w:t>CAS number</w:t>
      </w:r>
      <w:bookmarkEnd w:id="12"/>
    </w:p>
    <w:p w14:paraId="17E686B0" w14:textId="77777777" w:rsidR="00C25488" w:rsidRPr="00D149A2" w:rsidRDefault="00C25488" w:rsidP="00C25488">
      <w:pPr>
        <w:rPr>
          <w:rFonts w:cs="Arial"/>
        </w:rPr>
      </w:pPr>
      <w:r w:rsidRPr="00145758">
        <w:rPr>
          <w:rFonts w:cs="Arial"/>
        </w:rPr>
        <w:t>485-35-8</w:t>
      </w:r>
    </w:p>
    <w:p w14:paraId="01C9DA85" w14:textId="77777777" w:rsidR="00C25488" w:rsidRPr="00D149A2" w:rsidRDefault="00C25488" w:rsidP="008C549F">
      <w:pPr>
        <w:pStyle w:val="Heading4"/>
      </w:pPr>
      <w:bookmarkStart w:id="13" w:name="_Toc155176335"/>
      <w:r w:rsidRPr="00D149A2">
        <w:t>Alternative names</w:t>
      </w:r>
      <w:bookmarkEnd w:id="13"/>
    </w:p>
    <w:p w14:paraId="37D0C5DB" w14:textId="4F28313F" w:rsidR="00C25488" w:rsidRDefault="00D13BF2" w:rsidP="00C25488">
      <w:pPr>
        <w:rPr>
          <w:rFonts w:cs="Arial"/>
        </w:rPr>
      </w:pPr>
      <w:r>
        <w:rPr>
          <w:rFonts w:cs="Arial"/>
        </w:rPr>
        <w:t>B</w:t>
      </w:r>
      <w:r w:rsidRPr="00E676B2">
        <w:rPr>
          <w:rFonts w:cs="Arial"/>
        </w:rPr>
        <w:t>aptitoxine</w:t>
      </w:r>
    </w:p>
    <w:p w14:paraId="5F433C79" w14:textId="53F6121B" w:rsidR="00C25488" w:rsidRPr="00E676B2" w:rsidRDefault="00D13BF2" w:rsidP="00C25488">
      <w:pPr>
        <w:rPr>
          <w:rFonts w:cs="Arial"/>
        </w:rPr>
      </w:pPr>
      <w:r>
        <w:rPr>
          <w:rFonts w:cs="Arial"/>
        </w:rPr>
        <w:t>C</w:t>
      </w:r>
      <w:r w:rsidRPr="008A0F23">
        <w:rPr>
          <w:rFonts w:cs="Arial"/>
        </w:rPr>
        <w:t>ytisinicline</w:t>
      </w:r>
    </w:p>
    <w:p w14:paraId="3173DD9A" w14:textId="78B67A1C" w:rsidR="00C25488" w:rsidRPr="00E676B2" w:rsidRDefault="00D13BF2" w:rsidP="00C25488">
      <w:pPr>
        <w:rPr>
          <w:rFonts w:cs="Arial"/>
        </w:rPr>
      </w:pPr>
      <w:r>
        <w:rPr>
          <w:rFonts w:cs="Arial"/>
        </w:rPr>
        <w:t>S</w:t>
      </w:r>
      <w:r w:rsidRPr="00E676B2">
        <w:rPr>
          <w:rFonts w:cs="Arial"/>
        </w:rPr>
        <w:t>ophorine</w:t>
      </w:r>
    </w:p>
    <w:p w14:paraId="45092926" w14:textId="0B778307" w:rsidR="00C25488" w:rsidRDefault="00D13BF2" w:rsidP="00C25488">
      <w:pPr>
        <w:rPr>
          <w:rFonts w:cs="Arial"/>
        </w:rPr>
      </w:pPr>
      <w:r>
        <w:rPr>
          <w:rFonts w:cs="Arial"/>
        </w:rPr>
        <w:t>U</w:t>
      </w:r>
      <w:r w:rsidRPr="00E676B2">
        <w:rPr>
          <w:rFonts w:cs="Arial"/>
        </w:rPr>
        <w:t>lexine</w:t>
      </w:r>
    </w:p>
    <w:p w14:paraId="0B7C663B" w14:textId="77777777" w:rsidR="00C25488" w:rsidRPr="00D149A2" w:rsidRDefault="00C25488" w:rsidP="00C25488">
      <w:pPr>
        <w:rPr>
          <w:rFonts w:cs="Arial"/>
        </w:rPr>
      </w:pPr>
      <w:r w:rsidRPr="009D5358">
        <w:rPr>
          <w:rFonts w:cs="Arial"/>
        </w:rPr>
        <w:t>(1</w:t>
      </w:r>
      <w:r w:rsidRPr="009D5358">
        <w:rPr>
          <w:rFonts w:cs="Arial"/>
          <w:i/>
          <w:iCs/>
        </w:rPr>
        <w:t>R</w:t>
      </w:r>
      <w:r w:rsidRPr="009D5358">
        <w:rPr>
          <w:rFonts w:cs="Arial"/>
        </w:rPr>
        <w:t>,5</w:t>
      </w:r>
      <w:r w:rsidRPr="009D5358">
        <w:rPr>
          <w:rFonts w:cs="Arial"/>
          <w:i/>
          <w:iCs/>
        </w:rPr>
        <w:t>S</w:t>
      </w:r>
      <w:r w:rsidRPr="009D5358">
        <w:rPr>
          <w:rFonts w:cs="Arial"/>
        </w:rPr>
        <w:t>)-1,2,3,4,5,6-Hexahydro-1,5-methano-8</w:t>
      </w:r>
      <w:r w:rsidRPr="009D5358">
        <w:rPr>
          <w:rFonts w:cs="Arial"/>
          <w:i/>
          <w:iCs/>
        </w:rPr>
        <w:t>H-</w:t>
      </w:r>
      <w:r w:rsidRPr="009D5358">
        <w:rPr>
          <w:rFonts w:cs="Arial"/>
        </w:rPr>
        <w:t>pyrido-[1,2-</w:t>
      </w:r>
      <w:r w:rsidRPr="009D5358">
        <w:rPr>
          <w:rFonts w:cs="Arial"/>
          <w:i/>
          <w:iCs/>
        </w:rPr>
        <w:t>a</w:t>
      </w:r>
      <w:r w:rsidRPr="009D5358">
        <w:rPr>
          <w:rFonts w:cs="Arial"/>
        </w:rPr>
        <w:t>][1,5]diazocin-8-one</w:t>
      </w:r>
    </w:p>
    <w:p w14:paraId="3E6AAD97" w14:textId="77777777" w:rsidR="00C25488" w:rsidRPr="00D149A2" w:rsidRDefault="00C25488" w:rsidP="008C549F">
      <w:pPr>
        <w:pStyle w:val="Heading4"/>
      </w:pPr>
      <w:bookmarkStart w:id="14" w:name="_Toc155176336"/>
      <w:r w:rsidRPr="00D149A2">
        <w:t>Applicant</w:t>
      </w:r>
      <w:bookmarkEnd w:id="14"/>
    </w:p>
    <w:p w14:paraId="1D9250A0" w14:textId="08138B62" w:rsidR="00C25488" w:rsidRPr="00D149A2" w:rsidRDefault="00C25488" w:rsidP="00C25488">
      <w:pPr>
        <w:rPr>
          <w:rFonts w:cs="Arial"/>
        </w:rPr>
      </w:pPr>
      <w:r w:rsidRPr="00145758">
        <w:rPr>
          <w:rFonts w:cs="Arial"/>
        </w:rPr>
        <w:t>Private applicant</w:t>
      </w:r>
    </w:p>
    <w:p w14:paraId="112BCAA4" w14:textId="77777777" w:rsidR="00C25488" w:rsidRPr="00D149A2" w:rsidRDefault="00C25488" w:rsidP="008C549F">
      <w:pPr>
        <w:pStyle w:val="Heading4"/>
      </w:pPr>
      <w:bookmarkStart w:id="15" w:name="_Toc155176337"/>
      <w:r w:rsidRPr="00D149A2">
        <w:t>Proposed Scheduling</w:t>
      </w:r>
      <w:bookmarkEnd w:id="15"/>
    </w:p>
    <w:p w14:paraId="5809B81D" w14:textId="77777777" w:rsidR="00C25488" w:rsidRPr="00145758" w:rsidRDefault="00C25488" w:rsidP="00C25488">
      <w:pPr>
        <w:rPr>
          <w:rFonts w:cs="Arial"/>
        </w:rPr>
      </w:pPr>
      <w:r>
        <w:rPr>
          <w:rFonts w:cs="Arial"/>
        </w:rPr>
        <w:t>Cytisine</w:t>
      </w:r>
      <w:r w:rsidRPr="00D149A2">
        <w:rPr>
          <w:rFonts w:cs="Arial"/>
        </w:rPr>
        <w:t xml:space="preserve"> is not specifically scheduled in the current Poisons Standard.</w:t>
      </w:r>
    </w:p>
    <w:p w14:paraId="07E915C4" w14:textId="77777777" w:rsidR="00C25488" w:rsidRPr="00554449" w:rsidRDefault="00C25488" w:rsidP="00C25488">
      <w:pPr>
        <w:rPr>
          <w:rFonts w:cs="Arial"/>
          <w:bCs/>
        </w:rPr>
      </w:pPr>
      <w:r w:rsidRPr="00554449">
        <w:rPr>
          <w:rFonts w:cs="Arial"/>
          <w:bCs/>
        </w:rPr>
        <w:t>The applicant’s proposed amendments to the Poisons Standard are</w:t>
      </w:r>
      <w:r w:rsidRPr="00554449">
        <w:rPr>
          <w:rStyle w:val="FootnoteReference"/>
          <w:rFonts w:cs="Arial"/>
          <w:bCs/>
        </w:rPr>
        <w:footnoteReference w:id="1"/>
      </w:r>
      <w:r w:rsidRPr="00554449">
        <w:rPr>
          <w:rFonts w:cs="Arial"/>
          <w:bCs/>
        </w:rPr>
        <w:t>:</w:t>
      </w:r>
    </w:p>
    <w:p w14:paraId="13F4C2E4" w14:textId="77777777" w:rsidR="00C25488" w:rsidRPr="00145758" w:rsidRDefault="00C25488" w:rsidP="00C25488">
      <w:pPr>
        <w:ind w:left="426"/>
        <w:rPr>
          <w:rFonts w:cs="Arial"/>
          <w:b/>
        </w:rPr>
      </w:pPr>
      <w:r w:rsidRPr="00145758">
        <w:rPr>
          <w:rFonts w:cs="Arial"/>
          <w:b/>
        </w:rPr>
        <w:t>Schedule 4 – New Entry</w:t>
      </w:r>
    </w:p>
    <w:p w14:paraId="2FE571A2" w14:textId="77777777" w:rsidR="00C25488" w:rsidRPr="00145758" w:rsidRDefault="00C25488" w:rsidP="00C25488">
      <w:pPr>
        <w:ind w:left="426" w:firstLine="294"/>
        <w:rPr>
          <w:rFonts w:cs="Arial"/>
          <w:color w:val="00B050"/>
          <w:u w:val="single"/>
        </w:rPr>
      </w:pPr>
      <w:r w:rsidRPr="00145758">
        <w:rPr>
          <w:rFonts w:cs="Arial"/>
          <w:color w:val="00B050"/>
          <w:u w:val="single"/>
        </w:rPr>
        <w:t xml:space="preserve">CYTISINE </w:t>
      </w:r>
      <w:r w:rsidRPr="00145758">
        <w:rPr>
          <w:rFonts w:cs="Arial"/>
          <w:b/>
          <w:bCs/>
          <w:color w:val="00B050"/>
          <w:u w:val="single"/>
        </w:rPr>
        <w:t>except</w:t>
      </w:r>
      <w:r w:rsidRPr="00145758">
        <w:rPr>
          <w:rFonts w:cs="Arial"/>
          <w:color w:val="00B050"/>
          <w:u w:val="single"/>
        </w:rPr>
        <w:t xml:space="preserve"> when included in Schedule 2.</w:t>
      </w:r>
    </w:p>
    <w:p w14:paraId="10450E4D" w14:textId="77777777" w:rsidR="00C25488" w:rsidRPr="00145758" w:rsidRDefault="00C25488" w:rsidP="00C25488">
      <w:pPr>
        <w:ind w:left="426"/>
        <w:rPr>
          <w:rFonts w:cs="Arial"/>
          <w:b/>
        </w:rPr>
      </w:pPr>
      <w:r w:rsidRPr="00145758">
        <w:rPr>
          <w:rFonts w:cs="Arial"/>
          <w:b/>
        </w:rPr>
        <w:t>Schedule 2 – New Entry</w:t>
      </w:r>
    </w:p>
    <w:p w14:paraId="44424729" w14:textId="77777777" w:rsidR="00C25488" w:rsidRPr="00145758" w:rsidRDefault="00C25488" w:rsidP="00C25488">
      <w:pPr>
        <w:ind w:left="426" w:firstLine="294"/>
        <w:rPr>
          <w:rFonts w:cs="Arial"/>
          <w:color w:val="00B050"/>
          <w:u w:val="single"/>
        </w:rPr>
      </w:pPr>
      <w:r w:rsidRPr="00145758">
        <w:rPr>
          <w:rFonts w:cs="Arial"/>
          <w:color w:val="00B050"/>
          <w:u w:val="single"/>
        </w:rPr>
        <w:t xml:space="preserve">CYTISINE in </w:t>
      </w:r>
      <w:r w:rsidRPr="63F44CB6">
        <w:rPr>
          <w:rFonts w:cs="Arial"/>
          <w:color w:val="00B050"/>
          <w:u w:val="single"/>
        </w:rPr>
        <w:t>divided preparations</w:t>
      </w:r>
      <w:r w:rsidRPr="00145758">
        <w:rPr>
          <w:rFonts w:cs="Arial"/>
          <w:color w:val="00B050"/>
          <w:u w:val="single"/>
        </w:rPr>
        <w:t xml:space="preserve"> for oral use containing 1.5 mg </w:t>
      </w:r>
      <w:r w:rsidRPr="63F44CB6">
        <w:rPr>
          <w:rFonts w:cs="Arial"/>
          <w:color w:val="00B050"/>
          <w:u w:val="single"/>
        </w:rPr>
        <w:t xml:space="preserve">or less of cytisine </w:t>
      </w:r>
      <w:r w:rsidRPr="00145758">
        <w:rPr>
          <w:rFonts w:cs="Arial"/>
          <w:color w:val="00B050"/>
          <w:u w:val="single"/>
        </w:rPr>
        <w:t xml:space="preserve">per dosage </w:t>
      </w:r>
      <w:r>
        <w:tab/>
      </w:r>
      <w:r w:rsidRPr="00145758">
        <w:rPr>
          <w:rFonts w:cs="Arial"/>
          <w:color w:val="00B050"/>
          <w:u w:val="single"/>
        </w:rPr>
        <w:t>unit.</w:t>
      </w:r>
    </w:p>
    <w:p w14:paraId="3DB0C9A9" w14:textId="77777777" w:rsidR="00C25488" w:rsidRPr="00D149A2" w:rsidRDefault="00C25488" w:rsidP="00C25488">
      <w:pPr>
        <w:ind w:left="426"/>
        <w:rPr>
          <w:rFonts w:cs="Arial"/>
          <w:b/>
        </w:rPr>
      </w:pPr>
      <w:r w:rsidRPr="00145758">
        <w:rPr>
          <w:rFonts w:cs="Arial"/>
          <w:b/>
        </w:rPr>
        <w:t>Index – New Entry</w:t>
      </w:r>
    </w:p>
    <w:p w14:paraId="42352319" w14:textId="77777777" w:rsidR="00C25488" w:rsidRPr="00145758" w:rsidRDefault="00C25488" w:rsidP="00C25488">
      <w:pPr>
        <w:ind w:left="426" w:firstLine="294"/>
        <w:rPr>
          <w:rFonts w:cs="Arial"/>
          <w:b/>
          <w:bCs/>
          <w:color w:val="00B050"/>
          <w:u w:val="single"/>
        </w:rPr>
      </w:pPr>
      <w:r w:rsidRPr="00145758">
        <w:rPr>
          <w:rFonts w:cs="Arial"/>
          <w:b/>
          <w:bCs/>
          <w:color w:val="00B050"/>
          <w:u w:val="single"/>
        </w:rPr>
        <w:t>CYTISINE</w:t>
      </w:r>
    </w:p>
    <w:p w14:paraId="0B905399" w14:textId="77777777" w:rsidR="00C25488" w:rsidRPr="00145758" w:rsidRDefault="00C25488" w:rsidP="00C25488">
      <w:pPr>
        <w:ind w:left="720"/>
        <w:rPr>
          <w:rFonts w:cs="Arial"/>
          <w:color w:val="00B050"/>
          <w:u w:val="single"/>
        </w:rPr>
      </w:pPr>
      <w:r w:rsidRPr="00145758">
        <w:rPr>
          <w:rFonts w:cs="Arial"/>
          <w:color w:val="00B050"/>
          <w:u w:val="single"/>
        </w:rPr>
        <w:t>Schedule 4</w:t>
      </w:r>
      <w:r>
        <w:rPr>
          <w:rFonts w:cs="Arial"/>
          <w:color w:val="00B050"/>
          <w:u w:val="single"/>
        </w:rPr>
        <w:br/>
      </w:r>
      <w:r w:rsidRPr="00145758">
        <w:rPr>
          <w:rFonts w:cs="Arial"/>
          <w:color w:val="00B050"/>
          <w:u w:val="single"/>
        </w:rPr>
        <w:t>Schedule 2</w:t>
      </w:r>
    </w:p>
    <w:p w14:paraId="3AE3BC12" w14:textId="77777777" w:rsidR="00C25488" w:rsidRPr="00D149A2" w:rsidRDefault="00C25488" w:rsidP="008C549F">
      <w:pPr>
        <w:pStyle w:val="Heading4"/>
      </w:pPr>
      <w:bookmarkStart w:id="16" w:name="_Toc155176338"/>
      <w:r w:rsidRPr="7AF7B541">
        <w:lastRenderedPageBreak/>
        <w:t>Background</w:t>
      </w:r>
      <w:bookmarkEnd w:id="16"/>
    </w:p>
    <w:p w14:paraId="4DB2CDD0" w14:textId="57D0FC90" w:rsidR="00C25488" w:rsidRDefault="00C25488" w:rsidP="000D1E74">
      <w:r>
        <w:t xml:space="preserve">Cytisine is a plant-derived </w:t>
      </w:r>
      <w:r w:rsidR="002B50B0">
        <w:t xml:space="preserve">product that can be used as a </w:t>
      </w:r>
      <w:r>
        <w:t xml:space="preserve">smoking cessation aid </w:t>
      </w:r>
      <w:r w:rsidR="002B50B0">
        <w:t>to</w:t>
      </w:r>
      <w:r>
        <w:t xml:space="preserve"> reduce nicotine withdrawal symptoms</w:t>
      </w:r>
      <w:r w:rsidR="00B57BFC">
        <w:t xml:space="preserve">, and </w:t>
      </w:r>
      <w:r>
        <w:t>is proposed to be used as oral tablets for a 25 day course</w:t>
      </w:r>
      <w:r w:rsidR="00B57BFC">
        <w:t xml:space="preserve"> of treatment</w:t>
      </w:r>
      <w:r>
        <w:t>. Cytisine is not listed in the Poisons Standard and has not been previously considered for scheduling.</w:t>
      </w:r>
    </w:p>
    <w:p w14:paraId="5F8E8525" w14:textId="280869A3" w:rsidR="00C25488" w:rsidRDefault="00C25488" w:rsidP="008C549F">
      <w:pPr>
        <w:pStyle w:val="Heading4"/>
      </w:pPr>
      <w:bookmarkStart w:id="17" w:name="_Toc155176339"/>
      <w:r w:rsidRPr="00D149A2">
        <w:t>Summary of applicant’s reasons for the proposal</w:t>
      </w:r>
      <w:bookmarkEnd w:id="17"/>
    </w:p>
    <w:p w14:paraId="7996BB73" w14:textId="077607F1" w:rsidR="00C25488" w:rsidRPr="008A0F23" w:rsidRDefault="00C25488" w:rsidP="00082D97">
      <w:pPr>
        <w:pStyle w:val="ListBullet"/>
      </w:pPr>
      <w:r>
        <w:t>Tobacco smoking is the leading cause of preventable death and disability in Australia</w:t>
      </w:r>
      <w:r w:rsidR="00D13BF2">
        <w:t>.</w:t>
      </w:r>
      <w:r w:rsidR="00BB0B67">
        <w:t xml:space="preserve"> </w:t>
      </w:r>
      <w:r w:rsidR="00D13BF2">
        <w:t>R</w:t>
      </w:r>
      <w:r>
        <w:t>educing harm from tobacco is a high priority in Australia to reduce illness, increase quality of life, save healthcare costs, and reduce health and economic inequalities for smokers.</w:t>
      </w:r>
    </w:p>
    <w:p w14:paraId="26A210E8" w14:textId="38AAC6BB" w:rsidR="00C25488" w:rsidRDefault="00C25488" w:rsidP="00082D97">
      <w:pPr>
        <w:pStyle w:val="ListBullet"/>
      </w:pPr>
      <w:r>
        <w:t xml:space="preserve">Nicotine dependence is a self-identifiable condition and can be self-managed with </w:t>
      </w:r>
      <w:r w:rsidR="00D97F67">
        <w:t>nicotine replacement therapy (NRT)</w:t>
      </w:r>
      <w:r>
        <w:t>, which is available without a prescription.</w:t>
      </w:r>
      <w:r w:rsidR="00D97F67" w:rsidRPr="00D97F67">
        <w:t xml:space="preserve"> </w:t>
      </w:r>
      <w:r w:rsidR="00D97F67">
        <w:t>Cytisine is an alternative to NRT to aid smoking cessation and has comparable efficacy to varenicline (Champix), a prescription medicine indicated for smoking cessation.</w:t>
      </w:r>
    </w:p>
    <w:p w14:paraId="326F5DF0" w14:textId="561B640B" w:rsidR="00C25488" w:rsidRPr="008A0F23" w:rsidRDefault="00C25488" w:rsidP="00082D97">
      <w:pPr>
        <w:pStyle w:val="ListBullet"/>
      </w:pPr>
      <w:r>
        <w:t>The classification of cytisine as a Schedule 2 (Pharmacy Only) medicine will enable more treatment options for smoking cessation be available to consumers, which is likely to have public health benefits for Australia. Being a Schedule 2 medicine, the availability of a pharmacist may also provide guidance for patients when required.</w:t>
      </w:r>
    </w:p>
    <w:p w14:paraId="757388DD" w14:textId="5ED9F798" w:rsidR="00C25488" w:rsidRPr="008A0F23" w:rsidRDefault="00C25488" w:rsidP="00082D97">
      <w:pPr>
        <w:pStyle w:val="ListBullet"/>
      </w:pPr>
      <w:r w:rsidRPr="7AF7B541">
        <w:t>Cytisine has been available for smoking cessation for over 50 years in Central and Eastern European countries. It</w:t>
      </w:r>
      <w:r w:rsidR="00D97F67">
        <w:t xml:space="preserve"> is currently available</w:t>
      </w:r>
      <w:r w:rsidRPr="7AF7B541">
        <w:t xml:space="preserve"> </w:t>
      </w:r>
      <w:r w:rsidR="00D97F67">
        <w:t>without a prescription</w:t>
      </w:r>
      <w:r w:rsidRPr="7AF7B541">
        <w:t xml:space="preserve"> in these countries,</w:t>
      </w:r>
      <w:r w:rsidR="00F13A55">
        <w:t xml:space="preserve"> and </w:t>
      </w:r>
      <w:r w:rsidR="00D97F67">
        <w:t xml:space="preserve">it is </w:t>
      </w:r>
      <w:r w:rsidR="00B105DD">
        <w:t xml:space="preserve">also </w:t>
      </w:r>
      <w:r w:rsidR="00D97F67">
        <w:t>available as a</w:t>
      </w:r>
      <w:r w:rsidRPr="7AF7B541">
        <w:t xml:space="preserve"> non-prescription natural product in Canada</w:t>
      </w:r>
      <w:r w:rsidR="00D97F67">
        <w:t>.</w:t>
      </w:r>
    </w:p>
    <w:p w14:paraId="6C568DD4" w14:textId="0DA7B8FD" w:rsidR="00C25488" w:rsidRPr="00D149A2" w:rsidRDefault="00C25488" w:rsidP="008C549F">
      <w:pPr>
        <w:pStyle w:val="Heading4"/>
      </w:pPr>
      <w:bookmarkStart w:id="18" w:name="_Toc155176340"/>
      <w:r w:rsidRPr="00D149A2">
        <w:t>Key uses / expected use</w:t>
      </w:r>
      <w:bookmarkEnd w:id="18"/>
    </w:p>
    <w:p w14:paraId="4F8BEE7B" w14:textId="77777777" w:rsidR="00C25488" w:rsidRPr="00D149A2" w:rsidRDefault="00C25488" w:rsidP="00C25488">
      <w:pPr>
        <w:rPr>
          <w:rFonts w:cs="Arial"/>
        </w:rPr>
      </w:pPr>
      <w:r w:rsidRPr="00AB40CD">
        <w:rPr>
          <w:rFonts w:cs="Arial"/>
        </w:rPr>
        <w:t>Medicines</w:t>
      </w:r>
    </w:p>
    <w:p w14:paraId="4648D740" w14:textId="77777777" w:rsidR="00C25488" w:rsidRPr="008A0F23" w:rsidRDefault="00C25488" w:rsidP="008C549F">
      <w:pPr>
        <w:pStyle w:val="Heading4"/>
      </w:pPr>
      <w:bookmarkStart w:id="19" w:name="_Toc155176341"/>
      <w:r w:rsidRPr="00D149A2">
        <w:t>Australian regulations</w:t>
      </w:r>
      <w:bookmarkEnd w:id="19"/>
    </w:p>
    <w:p w14:paraId="737681AC" w14:textId="2CB776E0" w:rsidR="00C25488" w:rsidRPr="00977EA7" w:rsidRDefault="00C25488" w:rsidP="00082D97">
      <w:pPr>
        <w:pStyle w:val="ListBullet"/>
      </w:pPr>
      <w:r w:rsidRPr="00977EA7">
        <w:t xml:space="preserve">According to the </w:t>
      </w:r>
      <w:hyperlink r:id="rId17">
        <w:r w:rsidRPr="00977EA7">
          <w:rPr>
            <w:rStyle w:val="Hyperlink"/>
            <w:rFonts w:asciiTheme="minorHAnsi" w:hAnsiTheme="minorHAnsi"/>
          </w:rPr>
          <w:t>TGA Ingredient Database</w:t>
        </w:r>
      </w:hyperlink>
      <w:r w:rsidRPr="00977EA7">
        <w:t>, cytisine is:</w:t>
      </w:r>
    </w:p>
    <w:p w14:paraId="24599201" w14:textId="3D056A2B" w:rsidR="00C25488" w:rsidRPr="0069383B" w:rsidRDefault="00C25488" w:rsidP="00C25488">
      <w:pPr>
        <w:pStyle w:val="ListBullet2"/>
        <w:rPr>
          <w:rFonts w:asciiTheme="minorHAnsi" w:hAnsiTheme="minorHAnsi" w:cstheme="minorHAnsi"/>
        </w:rPr>
      </w:pPr>
      <w:r w:rsidRPr="0069383B">
        <w:rPr>
          <w:rFonts w:asciiTheme="minorHAnsi" w:hAnsiTheme="minorHAnsi" w:cstheme="minorHAnsi"/>
        </w:rPr>
        <w:t>Not available as an Active Ingredient in any application</w:t>
      </w:r>
    </w:p>
    <w:p w14:paraId="1B430735" w14:textId="13C6BA82" w:rsidR="00C25488" w:rsidRPr="0069383B" w:rsidRDefault="00C25488" w:rsidP="00C25488">
      <w:pPr>
        <w:pStyle w:val="ListBullet2"/>
        <w:rPr>
          <w:rFonts w:asciiTheme="minorHAnsi" w:hAnsiTheme="minorHAnsi" w:cstheme="minorHAnsi"/>
        </w:rPr>
      </w:pPr>
      <w:r w:rsidRPr="0069383B">
        <w:rPr>
          <w:rFonts w:asciiTheme="minorHAnsi" w:hAnsiTheme="minorHAnsi" w:cstheme="minorHAnsi"/>
        </w:rPr>
        <w:t>Not available as an Excipient Ingredient in any application</w:t>
      </w:r>
    </w:p>
    <w:p w14:paraId="757843BC" w14:textId="7489F21E" w:rsidR="00C25488" w:rsidRPr="0069383B" w:rsidRDefault="00C25488" w:rsidP="00C25488">
      <w:pPr>
        <w:pStyle w:val="ListBullet2"/>
        <w:rPr>
          <w:rFonts w:asciiTheme="minorHAnsi" w:hAnsiTheme="minorHAnsi" w:cstheme="minorHAnsi"/>
          <w:i/>
        </w:rPr>
      </w:pPr>
      <w:r w:rsidRPr="0069383B">
        <w:rPr>
          <w:rFonts w:asciiTheme="minorHAnsi" w:hAnsiTheme="minorHAnsi" w:cstheme="minorHAnsi"/>
        </w:rPr>
        <w:t>Available for use as an Equivalent Ingredient in Export Only and Over the Counter medicines</w:t>
      </w:r>
    </w:p>
    <w:p w14:paraId="21CB6814" w14:textId="1FF6B80F" w:rsidR="00C25488" w:rsidRPr="00977EA7" w:rsidRDefault="00C25488" w:rsidP="00082D97">
      <w:pPr>
        <w:pStyle w:val="ListBullet"/>
      </w:pPr>
      <w:r w:rsidRPr="00977EA7">
        <w:t xml:space="preserve">As of December 2023, there were no medicines active on the </w:t>
      </w:r>
      <w:hyperlink r:id="rId18">
        <w:r w:rsidRPr="00977EA7">
          <w:rPr>
            <w:rStyle w:val="Hyperlink"/>
            <w:rFonts w:asciiTheme="minorHAnsi" w:hAnsiTheme="minorHAnsi"/>
          </w:rPr>
          <w:t>Australian Register of Therapeutic Goods (ARTG)</w:t>
        </w:r>
      </w:hyperlink>
      <w:r w:rsidRPr="00977EA7">
        <w:t xml:space="preserve"> that contain cytisine as an active ingredient. </w:t>
      </w:r>
    </w:p>
    <w:p w14:paraId="13648695" w14:textId="524F9B78" w:rsidR="00C25488" w:rsidRPr="00977EA7" w:rsidRDefault="00C25488" w:rsidP="00082D97">
      <w:pPr>
        <w:pStyle w:val="ListBullet"/>
      </w:pPr>
      <w:r w:rsidRPr="00977EA7">
        <w:t xml:space="preserve">Cytisine is not permitted to be included in listed medicines as it is not included in the </w:t>
      </w:r>
      <w:hyperlink r:id="rId19">
        <w:r w:rsidRPr="00977EA7">
          <w:rPr>
            <w:rStyle w:val="Hyperlink"/>
            <w:rFonts w:asciiTheme="minorHAnsi" w:hAnsiTheme="minorHAnsi"/>
          </w:rPr>
          <w:t>Therapeutic Goods (Permissible Ingredients) Determination No.4 of 2023</w:t>
        </w:r>
      </w:hyperlink>
      <w:r w:rsidRPr="002B50B0">
        <w:t>.</w:t>
      </w:r>
    </w:p>
    <w:p w14:paraId="128BC844" w14:textId="77777777" w:rsidR="00C25488" w:rsidRPr="00977EA7" w:rsidRDefault="00C25488" w:rsidP="00082D97">
      <w:pPr>
        <w:pStyle w:val="ListBullet"/>
      </w:pPr>
      <w:r w:rsidRPr="00977EA7">
        <w:t xml:space="preserve">Cytisine is not included in the </w:t>
      </w:r>
      <w:hyperlink r:id="rId20">
        <w:r w:rsidRPr="00977EA7">
          <w:rPr>
            <w:rStyle w:val="Hyperlink"/>
            <w:rFonts w:asciiTheme="minorHAnsi" w:hAnsiTheme="minorHAnsi"/>
          </w:rPr>
          <w:t>TGA prescribing medicines in pregnancy database</w:t>
        </w:r>
      </w:hyperlink>
      <w:r w:rsidRPr="00977EA7">
        <w:rPr>
          <w:rStyle w:val="Hyperlink"/>
          <w:rFonts w:asciiTheme="minorHAnsi" w:hAnsiTheme="minorHAnsi"/>
        </w:rPr>
        <w:t>.</w:t>
      </w:r>
      <w:r w:rsidRPr="00977EA7">
        <w:t xml:space="preserve"> </w:t>
      </w:r>
    </w:p>
    <w:p w14:paraId="178E8CC8" w14:textId="77777777" w:rsidR="00C25488" w:rsidRPr="00977EA7" w:rsidRDefault="00C25488" w:rsidP="00082D97">
      <w:pPr>
        <w:pStyle w:val="ListBullet"/>
      </w:pPr>
      <w:r w:rsidRPr="00977EA7">
        <w:t xml:space="preserve">There are no warning statements pertaining to cytisine in the </w:t>
      </w:r>
      <w:hyperlink r:id="rId21">
        <w:r w:rsidRPr="00977EA7">
          <w:rPr>
            <w:rStyle w:val="Hyperlink"/>
            <w:rFonts w:asciiTheme="minorHAnsi" w:hAnsiTheme="minorHAnsi"/>
          </w:rPr>
          <w:t>Therapeutic Goods (Medicines Advisory Statements) Specification 2021</w:t>
        </w:r>
      </w:hyperlink>
      <w:r w:rsidRPr="002B50B0">
        <w:rPr>
          <w:rStyle w:val="Hyperlink"/>
          <w:rFonts w:asciiTheme="minorHAnsi" w:hAnsiTheme="minorHAnsi"/>
          <w:color w:val="auto"/>
          <w:u w:val="none"/>
        </w:rPr>
        <w:t>.</w:t>
      </w:r>
    </w:p>
    <w:p w14:paraId="52BB9159" w14:textId="4CAE27F4" w:rsidR="00C25488" w:rsidRPr="00977EA7" w:rsidRDefault="00C25488" w:rsidP="00082D97">
      <w:pPr>
        <w:pStyle w:val="ListBullet"/>
      </w:pPr>
      <w:r w:rsidRPr="00977EA7">
        <w:t xml:space="preserve">As of December 2023, there were 3 reports of adverse events for products containing cytisine as an active ingredient on the </w:t>
      </w:r>
      <w:hyperlink r:id="rId22">
        <w:r w:rsidRPr="00977EA7">
          <w:rPr>
            <w:rStyle w:val="Hyperlink"/>
            <w:rFonts w:asciiTheme="minorHAnsi" w:hAnsiTheme="minorHAnsi"/>
          </w:rPr>
          <w:t>Database of Adverse Event Notifications (DAEN)</w:t>
        </w:r>
      </w:hyperlink>
      <w:r w:rsidR="00C043F2">
        <w:t>. For all three</w:t>
      </w:r>
      <w:r w:rsidR="00BB0B67">
        <w:t xml:space="preserve"> </w:t>
      </w:r>
      <w:r w:rsidRPr="00977EA7">
        <w:t>cytisine was the single suspected medicine. There were no reports of deaths associated with cytisine use.</w:t>
      </w:r>
    </w:p>
    <w:p w14:paraId="00C3E21F" w14:textId="700AF2D0" w:rsidR="00C25488" w:rsidRDefault="00C25488" w:rsidP="00082D97">
      <w:pPr>
        <w:pStyle w:val="ListBullet"/>
      </w:pPr>
      <w:r w:rsidRPr="00977EA7">
        <w:t xml:space="preserve">As of December 2023, there were no products containing cytisine as an active ingredient/constituent or scheduled substance listed on the </w:t>
      </w:r>
      <w:hyperlink r:id="rId23">
        <w:r w:rsidRPr="00977EA7">
          <w:rPr>
            <w:rStyle w:val="Hyperlink"/>
            <w:rFonts w:asciiTheme="minorHAnsi" w:hAnsiTheme="minorHAnsi"/>
          </w:rPr>
          <w:t>Public Chemical Registration Information System Search (PubCRIS)</w:t>
        </w:r>
      </w:hyperlink>
      <w:r w:rsidRPr="00977EA7">
        <w:t>.</w:t>
      </w:r>
    </w:p>
    <w:p w14:paraId="6F11F894" w14:textId="1337CF80" w:rsidR="002B50B0" w:rsidRPr="00977EA7" w:rsidRDefault="002B50B0" w:rsidP="00082D97">
      <w:pPr>
        <w:pStyle w:val="ListBullet"/>
      </w:pPr>
      <w:r w:rsidRPr="00977EA7">
        <w:t>As of December 2023</w:t>
      </w:r>
      <w:r>
        <w:t>, cytisine is not listed on the Australian Inventory of Industrial Chemicals.</w:t>
      </w:r>
    </w:p>
    <w:p w14:paraId="75C66A1E" w14:textId="57CD37B5" w:rsidR="00C25488" w:rsidRDefault="00C25488" w:rsidP="008C549F">
      <w:pPr>
        <w:pStyle w:val="Heading4"/>
      </w:pPr>
      <w:bookmarkStart w:id="20" w:name="_Toc155176342"/>
      <w:r w:rsidRPr="00D149A2">
        <w:lastRenderedPageBreak/>
        <w:t>International regulations</w:t>
      </w:r>
      <w:bookmarkEnd w:id="20"/>
    </w:p>
    <w:p w14:paraId="758C04F3" w14:textId="77777777" w:rsidR="007435A5" w:rsidRDefault="00C25488" w:rsidP="007435A5">
      <w:pPr>
        <w:pStyle w:val="ListBullet"/>
      </w:pPr>
      <w:r w:rsidRPr="00977EA7">
        <w:t xml:space="preserve">Cytisine is not found in the </w:t>
      </w:r>
      <w:hyperlink r:id="rId24">
        <w:r w:rsidRPr="00977EA7">
          <w:rPr>
            <w:rStyle w:val="Hyperlink"/>
            <w:rFonts w:asciiTheme="minorHAnsi" w:hAnsiTheme="minorHAnsi"/>
          </w:rPr>
          <w:t>US FDA database</w:t>
        </w:r>
      </w:hyperlink>
      <w:r w:rsidRPr="00977EA7">
        <w:t xml:space="preserve">, </w:t>
      </w:r>
      <w:hyperlink r:id="rId25">
        <w:r w:rsidRPr="00977EA7">
          <w:rPr>
            <w:rStyle w:val="Hyperlink"/>
            <w:rFonts w:asciiTheme="minorHAnsi" w:hAnsiTheme="minorHAnsi"/>
          </w:rPr>
          <w:t>New Zealand’s Medsafe database</w:t>
        </w:r>
      </w:hyperlink>
      <w:r w:rsidRPr="00977EA7">
        <w:t xml:space="preserve">, or the </w:t>
      </w:r>
      <w:hyperlink r:id="rId26">
        <w:r w:rsidRPr="00977EA7">
          <w:rPr>
            <w:rStyle w:val="Hyperlink"/>
            <w:rFonts w:asciiTheme="minorHAnsi" w:hAnsiTheme="minorHAnsi"/>
          </w:rPr>
          <w:t xml:space="preserve">UK </w:t>
        </w:r>
        <w:r w:rsidR="00977EA7">
          <w:rPr>
            <w:rStyle w:val="Hyperlink"/>
            <w:rFonts w:asciiTheme="minorHAnsi" w:hAnsiTheme="minorHAnsi"/>
          </w:rPr>
          <w:t>e</w:t>
        </w:r>
        <w:r w:rsidRPr="00977EA7">
          <w:rPr>
            <w:rStyle w:val="Hyperlink"/>
            <w:rFonts w:asciiTheme="minorHAnsi" w:hAnsiTheme="minorHAnsi"/>
          </w:rPr>
          <w:t xml:space="preserve">lectronic </w:t>
        </w:r>
        <w:r w:rsidR="00977EA7">
          <w:rPr>
            <w:rStyle w:val="Hyperlink"/>
            <w:rFonts w:asciiTheme="minorHAnsi" w:hAnsiTheme="minorHAnsi"/>
          </w:rPr>
          <w:t>m</w:t>
        </w:r>
        <w:r w:rsidRPr="00977EA7">
          <w:rPr>
            <w:rStyle w:val="Hyperlink"/>
            <w:rFonts w:asciiTheme="minorHAnsi" w:hAnsiTheme="minorHAnsi"/>
          </w:rPr>
          <w:t xml:space="preserve">edicines </w:t>
        </w:r>
        <w:r w:rsidR="00977EA7">
          <w:rPr>
            <w:rStyle w:val="Hyperlink"/>
            <w:rFonts w:asciiTheme="minorHAnsi" w:hAnsiTheme="minorHAnsi"/>
          </w:rPr>
          <w:t>c</w:t>
        </w:r>
        <w:r w:rsidRPr="00977EA7">
          <w:rPr>
            <w:rStyle w:val="Hyperlink"/>
            <w:rFonts w:asciiTheme="minorHAnsi" w:hAnsiTheme="minorHAnsi"/>
          </w:rPr>
          <w:t>ompendium</w:t>
        </w:r>
      </w:hyperlink>
      <w:r w:rsidR="00977EA7">
        <w:rPr>
          <w:rStyle w:val="Hyperlink"/>
          <w:rFonts w:asciiTheme="minorHAnsi" w:hAnsiTheme="minorHAnsi"/>
        </w:rPr>
        <w:t xml:space="preserve"> (emc)</w:t>
      </w:r>
      <w:r w:rsidRPr="00977EA7">
        <w:t>.</w:t>
      </w:r>
    </w:p>
    <w:p w14:paraId="13BBA676" w14:textId="0BE45DEE" w:rsidR="00C25488" w:rsidRPr="007435A5" w:rsidRDefault="00C25488" w:rsidP="007435A5">
      <w:pPr>
        <w:pStyle w:val="ListBullet"/>
        <w:rPr>
          <w:rStyle w:val="Hyperlink"/>
          <w:rFonts w:asciiTheme="minorHAnsi" w:hAnsiTheme="minorHAnsi"/>
          <w:color w:val="auto"/>
          <w:u w:val="none"/>
        </w:rPr>
      </w:pPr>
      <w:r w:rsidRPr="007435A5">
        <w:rPr>
          <w:rStyle w:val="Hyperlink"/>
          <w:rFonts w:asciiTheme="minorHAnsi" w:hAnsiTheme="minorHAnsi"/>
          <w:color w:val="auto"/>
          <w:u w:val="none"/>
        </w:rPr>
        <w:t>The</w:t>
      </w:r>
      <w:r w:rsidRPr="007435A5">
        <w:t xml:space="preserve"> </w:t>
      </w:r>
      <w:hyperlink r:id="rId27" w:history="1">
        <w:r w:rsidR="00B57BFC" w:rsidRPr="007435A5">
          <w:rPr>
            <w:rStyle w:val="Hyperlink"/>
            <w:rFonts w:asciiTheme="minorHAnsi" w:hAnsiTheme="minorHAnsi"/>
          </w:rPr>
          <w:t>Ireland Health Products Regulatory Authority</w:t>
        </w:r>
      </w:hyperlink>
      <w:r w:rsidRPr="007435A5">
        <w:rPr>
          <w:rStyle w:val="Hyperlink"/>
          <w:rFonts w:asciiTheme="minorHAnsi" w:hAnsiTheme="minorHAnsi"/>
          <w:color w:val="auto"/>
          <w:u w:val="none"/>
        </w:rPr>
        <w:t xml:space="preserve"> has approved one product containing cytisine as an active ingredient. This product is in tablet form (1.5 mg) and is available with a prescription.</w:t>
      </w:r>
    </w:p>
    <w:p w14:paraId="20EDA5EE" w14:textId="77777777" w:rsidR="00C25488" w:rsidRPr="00977EA7" w:rsidRDefault="00C25488" w:rsidP="00082D97">
      <w:pPr>
        <w:pStyle w:val="ListBullet"/>
      </w:pPr>
      <w:r w:rsidRPr="00977EA7">
        <w:t xml:space="preserve">Cytisine is approved as a natural health product in </w:t>
      </w:r>
      <w:hyperlink r:id="rId28">
        <w:r w:rsidRPr="00977EA7">
          <w:rPr>
            <w:rStyle w:val="Hyperlink"/>
            <w:rFonts w:asciiTheme="minorHAnsi" w:hAnsiTheme="minorHAnsi"/>
          </w:rPr>
          <w:t>Canada</w:t>
        </w:r>
      </w:hyperlink>
      <w:r w:rsidRPr="00977EA7">
        <w:t>.</w:t>
      </w:r>
    </w:p>
    <w:p w14:paraId="15117B2B" w14:textId="7B7901D4" w:rsidR="00C25488" w:rsidRPr="00977EA7" w:rsidRDefault="00C25488" w:rsidP="00082D97">
      <w:pPr>
        <w:pStyle w:val="ListBullet"/>
      </w:pPr>
      <w:r w:rsidRPr="00977EA7">
        <w:t xml:space="preserve">Cytisine is available as a non-prescription medicine in </w:t>
      </w:r>
      <w:hyperlink r:id="rId29">
        <w:r w:rsidRPr="00977EA7">
          <w:rPr>
            <w:rStyle w:val="Hyperlink"/>
            <w:rFonts w:asciiTheme="minorHAnsi" w:hAnsiTheme="minorHAnsi"/>
          </w:rPr>
          <w:t>Austria</w:t>
        </w:r>
      </w:hyperlink>
      <w:r w:rsidRPr="00977EA7">
        <w:t xml:space="preserve">, </w:t>
      </w:r>
      <w:hyperlink r:id="rId30">
        <w:r w:rsidRPr="00977EA7">
          <w:rPr>
            <w:rStyle w:val="Hyperlink"/>
            <w:rFonts w:asciiTheme="minorHAnsi" w:hAnsiTheme="minorHAnsi"/>
          </w:rPr>
          <w:t>Poland</w:t>
        </w:r>
      </w:hyperlink>
      <w:r w:rsidRPr="00977EA7">
        <w:t xml:space="preserve">, </w:t>
      </w:r>
      <w:hyperlink r:id="rId31">
        <w:r w:rsidRPr="00977EA7">
          <w:rPr>
            <w:rStyle w:val="Hyperlink"/>
            <w:rFonts w:asciiTheme="minorHAnsi" w:hAnsiTheme="minorHAnsi"/>
          </w:rPr>
          <w:t>Latvia</w:t>
        </w:r>
      </w:hyperlink>
      <w:r w:rsidRPr="00977EA7">
        <w:t xml:space="preserve"> and </w:t>
      </w:r>
      <w:hyperlink r:id="rId32">
        <w:r w:rsidRPr="00977EA7">
          <w:rPr>
            <w:rStyle w:val="Hyperlink"/>
            <w:rFonts w:asciiTheme="minorHAnsi" w:hAnsiTheme="minorHAnsi"/>
          </w:rPr>
          <w:t>Portugal</w:t>
        </w:r>
      </w:hyperlink>
      <w:r w:rsidRPr="00977EA7">
        <w:t>.</w:t>
      </w:r>
    </w:p>
    <w:p w14:paraId="44B273DD" w14:textId="77777777" w:rsidR="0010624D" w:rsidRDefault="0010624D">
      <w:pPr>
        <w:rPr>
          <w:highlight w:val="yellow"/>
        </w:rPr>
      </w:pPr>
      <w:r>
        <w:rPr>
          <w:highlight w:val="yellow"/>
        </w:rPr>
        <w:br w:type="page"/>
      </w:r>
    </w:p>
    <w:p w14:paraId="5A48BDD7" w14:textId="1EAEE89B" w:rsidR="005E581D" w:rsidRDefault="005E581D" w:rsidP="00A204A3">
      <w:pPr>
        <w:pBdr>
          <w:top w:val="single" w:sz="4" w:space="1" w:color="auto"/>
          <w:left w:val="single" w:sz="4" w:space="4" w:color="auto"/>
          <w:bottom w:val="single" w:sz="4" w:space="1" w:color="auto"/>
          <w:right w:val="single" w:sz="4" w:space="4" w:color="auto"/>
        </w:pBdr>
      </w:pPr>
      <w:r>
        <w:lastRenderedPageBreak/>
        <w:t xml:space="preserve">In response to a private application to up-schedule the opioid cough suppressant dihydrocodeine, the Delegate of the Secretary of the Department of Health and Aged Care that is responsible for medicines scheduling </w:t>
      </w:r>
      <w:r w:rsidR="002B50B0">
        <w:t>is proposing</w:t>
      </w:r>
      <w:r>
        <w:t xml:space="preserve"> to up-schedule dextromethorphan and ethylmorphine. These substances are also available for use in over-the-counter </w:t>
      </w:r>
      <w:r w:rsidR="00A204A3">
        <w:t xml:space="preserve">cough and cold </w:t>
      </w:r>
      <w:r>
        <w:t>preparations, but may present similar concerns regarding</w:t>
      </w:r>
      <w:r w:rsidR="00A204A3">
        <w:t xml:space="preserve"> their</w:t>
      </w:r>
      <w:r>
        <w:t xml:space="preserve"> misuse and potential for abuse </w:t>
      </w:r>
      <w:r w:rsidR="00A204A3">
        <w:t>as identified for</w:t>
      </w:r>
      <w:r>
        <w:t xml:space="preserve"> dihydrocodeine.</w:t>
      </w:r>
    </w:p>
    <w:p w14:paraId="01FFBE41" w14:textId="708078BA" w:rsidR="00C25488" w:rsidRPr="00444008" w:rsidRDefault="00712EFB" w:rsidP="001A6E05">
      <w:pPr>
        <w:pStyle w:val="Heading3"/>
      </w:pPr>
      <w:bookmarkStart w:id="21" w:name="_Toc155176343"/>
      <w:r>
        <w:t>1.2</w:t>
      </w:r>
      <w:r>
        <w:tab/>
      </w:r>
      <w:r w:rsidR="00C25488">
        <w:t>Dextromethorphan</w:t>
      </w:r>
      <w:bookmarkEnd w:id="21"/>
    </w:p>
    <w:p w14:paraId="4B32827A" w14:textId="42C49394" w:rsidR="00C25488" w:rsidRPr="00D149A2" w:rsidRDefault="00C25488" w:rsidP="008C549F">
      <w:pPr>
        <w:pStyle w:val="Heading4"/>
      </w:pPr>
      <w:bookmarkStart w:id="22" w:name="_Toc155176344"/>
      <w:r w:rsidRPr="00D149A2">
        <w:t>Proposal</w:t>
      </w:r>
      <w:bookmarkEnd w:id="22"/>
    </w:p>
    <w:p w14:paraId="6BC46B5F" w14:textId="1AB6A4E9" w:rsidR="00C25488" w:rsidRPr="00D149A2" w:rsidRDefault="00C25488" w:rsidP="00C25488">
      <w:pPr>
        <w:rPr>
          <w:rFonts w:cs="Arial"/>
        </w:rPr>
      </w:pPr>
      <w:r w:rsidRPr="00874885">
        <w:rPr>
          <w:rFonts w:cs="Arial"/>
        </w:rPr>
        <w:t>The De</w:t>
      </w:r>
      <w:r w:rsidR="006D41FC" w:rsidRPr="00874885">
        <w:rPr>
          <w:rFonts w:cs="Arial"/>
        </w:rPr>
        <w:t>partment of Health and Aged Care</w:t>
      </w:r>
      <w:r w:rsidRPr="00874885">
        <w:rPr>
          <w:rFonts w:cs="Arial"/>
        </w:rPr>
        <w:t xml:space="preserve"> has proposed moving the current Schedule 2 entry for</w:t>
      </w:r>
      <w:r>
        <w:rPr>
          <w:rFonts w:cs="Arial"/>
        </w:rPr>
        <w:t xml:space="preserve"> dextromethorphan to Schedule 3. Under the proposal, preparations containing 600 mg or less of dextromethorphan with a recommended daily dose of 120 mg or less, will only be available after consultation with a pharmacist. All other preparations of dextromethorphan will remain in Schedule 4 (prescription-only).</w:t>
      </w:r>
    </w:p>
    <w:p w14:paraId="6957FF50" w14:textId="50322A06" w:rsidR="00C25488" w:rsidRPr="00D149A2" w:rsidRDefault="00C25488" w:rsidP="008C549F">
      <w:pPr>
        <w:pStyle w:val="Heading4"/>
      </w:pPr>
      <w:bookmarkStart w:id="23" w:name="_Toc155176345"/>
      <w:r w:rsidRPr="00D149A2">
        <w:t>CAS number</w:t>
      </w:r>
      <w:bookmarkEnd w:id="23"/>
    </w:p>
    <w:p w14:paraId="6FEA9E2A" w14:textId="77777777" w:rsidR="00C25488" w:rsidRPr="00D149A2" w:rsidRDefault="00C25488" w:rsidP="00C25488">
      <w:pPr>
        <w:rPr>
          <w:rFonts w:cs="Arial"/>
        </w:rPr>
      </w:pPr>
      <w:r w:rsidRPr="00F217F6">
        <w:rPr>
          <w:rFonts w:cs="Arial"/>
        </w:rPr>
        <w:t>125-71-3</w:t>
      </w:r>
    </w:p>
    <w:p w14:paraId="16C2A600" w14:textId="77777777" w:rsidR="00C25488" w:rsidRPr="00D149A2" w:rsidRDefault="00C25488" w:rsidP="008C549F">
      <w:pPr>
        <w:pStyle w:val="Heading4"/>
      </w:pPr>
      <w:bookmarkStart w:id="24" w:name="_Toc155176346"/>
      <w:r w:rsidRPr="00D149A2">
        <w:t>Alternative names</w:t>
      </w:r>
      <w:bookmarkEnd w:id="24"/>
    </w:p>
    <w:p w14:paraId="4467017A" w14:textId="77777777" w:rsidR="00C25488" w:rsidRPr="00D149A2" w:rsidRDefault="00C25488" w:rsidP="00C25488">
      <w:pPr>
        <w:rPr>
          <w:rFonts w:cs="Arial"/>
        </w:rPr>
      </w:pPr>
      <w:r>
        <w:rPr>
          <w:rFonts w:cs="Arial"/>
        </w:rPr>
        <w:t>DXM</w:t>
      </w:r>
    </w:p>
    <w:p w14:paraId="14E592FC" w14:textId="77777777" w:rsidR="00C25488" w:rsidRPr="00D149A2" w:rsidRDefault="00C25488" w:rsidP="008C549F">
      <w:pPr>
        <w:pStyle w:val="Heading4"/>
      </w:pPr>
      <w:bookmarkStart w:id="25" w:name="_Toc155176347"/>
      <w:r w:rsidRPr="00D149A2">
        <w:t>Proposed Scheduling</w:t>
      </w:r>
      <w:bookmarkEnd w:id="25"/>
    </w:p>
    <w:p w14:paraId="4644994D" w14:textId="77777777" w:rsidR="00C25488" w:rsidRPr="00554449" w:rsidRDefault="00C25488" w:rsidP="00C25488">
      <w:pPr>
        <w:rPr>
          <w:rFonts w:cs="Arial"/>
          <w:bCs/>
        </w:rPr>
      </w:pPr>
      <w:r w:rsidRPr="00554449">
        <w:rPr>
          <w:rFonts w:cs="Arial"/>
          <w:bCs/>
        </w:rPr>
        <w:t xml:space="preserve">The </w:t>
      </w:r>
      <w:r>
        <w:rPr>
          <w:rFonts w:cs="Arial"/>
          <w:bCs/>
        </w:rPr>
        <w:t>Delegate</w:t>
      </w:r>
      <w:r w:rsidRPr="00554449">
        <w:rPr>
          <w:rFonts w:cs="Arial"/>
          <w:bCs/>
        </w:rPr>
        <w:t>’s proposed amendments to the Poisons Standard are</w:t>
      </w:r>
      <w:r w:rsidRPr="00554449">
        <w:rPr>
          <w:rStyle w:val="FootnoteReference"/>
          <w:rFonts w:cs="Arial"/>
          <w:bCs/>
        </w:rPr>
        <w:footnoteReference w:id="2"/>
      </w:r>
      <w:r w:rsidRPr="00554449">
        <w:rPr>
          <w:rFonts w:cs="Arial"/>
          <w:bCs/>
        </w:rPr>
        <w:t>:</w:t>
      </w:r>
    </w:p>
    <w:p w14:paraId="50B9EAF3" w14:textId="77777777" w:rsidR="00C25488" w:rsidRPr="00D149A2" w:rsidRDefault="00C25488" w:rsidP="00C25488">
      <w:pPr>
        <w:ind w:left="426"/>
        <w:rPr>
          <w:rFonts w:cs="Arial"/>
          <w:b/>
        </w:rPr>
      </w:pPr>
      <w:r w:rsidRPr="00D149A2">
        <w:rPr>
          <w:rFonts w:cs="Arial"/>
          <w:b/>
        </w:rPr>
        <w:t xml:space="preserve">Schedule </w:t>
      </w:r>
      <w:r>
        <w:rPr>
          <w:rFonts w:cs="Arial"/>
          <w:b/>
        </w:rPr>
        <w:t>4 – Amend Entry</w:t>
      </w:r>
    </w:p>
    <w:p w14:paraId="07774D2A" w14:textId="77777777" w:rsidR="00C25488" w:rsidRDefault="00C25488" w:rsidP="00C25488">
      <w:pPr>
        <w:ind w:left="426" w:firstLine="294"/>
        <w:rPr>
          <w:rFonts w:cs="Arial"/>
        </w:rPr>
      </w:pPr>
      <w:r w:rsidRPr="00776605">
        <w:rPr>
          <w:rFonts w:cs="Arial"/>
        </w:rPr>
        <w:t>DEXTROMETHORPHAN (excluding its stereoisomers) </w:t>
      </w:r>
      <w:r w:rsidRPr="00776605">
        <w:rPr>
          <w:rFonts w:cs="Arial"/>
          <w:b/>
          <w:bCs/>
        </w:rPr>
        <w:t>except</w:t>
      </w:r>
      <w:r w:rsidRPr="00776605">
        <w:rPr>
          <w:rFonts w:cs="Arial"/>
        </w:rPr>
        <w:t> when included in Schedule </w:t>
      </w:r>
      <w:r w:rsidRPr="006A2C09">
        <w:rPr>
          <w:rFonts w:cs="Arial"/>
          <w:strike/>
          <w:color w:val="FF0000"/>
        </w:rPr>
        <w:t>2</w:t>
      </w:r>
      <w:r w:rsidRPr="006A2C09">
        <w:rPr>
          <w:rFonts w:cs="Arial"/>
          <w:color w:val="00B050"/>
          <w:u w:val="single"/>
        </w:rPr>
        <w:t>3</w:t>
      </w:r>
      <w:r w:rsidRPr="00776605">
        <w:rPr>
          <w:rFonts w:cs="Arial"/>
        </w:rPr>
        <w:t>.</w:t>
      </w:r>
    </w:p>
    <w:p w14:paraId="06D7F26B" w14:textId="77777777" w:rsidR="00C25488" w:rsidRPr="00776605" w:rsidRDefault="00C25488" w:rsidP="00C25488">
      <w:pPr>
        <w:ind w:left="426"/>
        <w:rPr>
          <w:rFonts w:cs="Arial"/>
          <w:b/>
          <w:bCs/>
        </w:rPr>
      </w:pPr>
      <w:r w:rsidRPr="00776605">
        <w:rPr>
          <w:rFonts w:cs="Arial"/>
          <w:b/>
          <w:bCs/>
        </w:rPr>
        <w:t xml:space="preserve">Schedule </w:t>
      </w:r>
      <w:r>
        <w:rPr>
          <w:rFonts w:cs="Arial"/>
          <w:b/>
          <w:bCs/>
        </w:rPr>
        <w:t>3 – New Entry</w:t>
      </w:r>
    </w:p>
    <w:p w14:paraId="257BA227" w14:textId="77777777" w:rsidR="00C25488" w:rsidRPr="00DD5398" w:rsidRDefault="00C25488" w:rsidP="00C25488">
      <w:pPr>
        <w:ind w:left="720"/>
        <w:rPr>
          <w:rFonts w:cs="Arial"/>
          <w:color w:val="00B050"/>
          <w:u w:val="single"/>
        </w:rPr>
      </w:pPr>
      <w:r w:rsidRPr="00DD5398">
        <w:rPr>
          <w:rFonts w:cs="Arial"/>
          <w:color w:val="00B050"/>
          <w:u w:val="single"/>
        </w:rPr>
        <w:t>DEXTROMETHORPHAN (excluding its stereoisomers) when supplied in a pack containing 600 mg or less of dextromethorphan and with a recommended daily dose of 120 mg or less of dextromethorphan.</w:t>
      </w:r>
    </w:p>
    <w:p w14:paraId="13087D40" w14:textId="77777777" w:rsidR="00C25488" w:rsidRDefault="00C25488" w:rsidP="00C25488">
      <w:pPr>
        <w:ind w:left="426"/>
        <w:rPr>
          <w:rFonts w:cs="Arial"/>
          <w:b/>
          <w:bCs/>
        </w:rPr>
      </w:pPr>
      <w:r w:rsidRPr="002A1BA4">
        <w:rPr>
          <w:rFonts w:cs="Arial"/>
          <w:b/>
          <w:bCs/>
        </w:rPr>
        <w:t>Schedule 2 – Delete Entry</w:t>
      </w:r>
    </w:p>
    <w:p w14:paraId="47B9B3E0" w14:textId="77777777" w:rsidR="00C25488" w:rsidRPr="00FF7FD6" w:rsidRDefault="00C25488" w:rsidP="00C25488">
      <w:pPr>
        <w:ind w:left="720"/>
        <w:rPr>
          <w:rFonts w:cs="Arial"/>
          <w:strike/>
          <w:color w:val="FF0000"/>
        </w:rPr>
      </w:pPr>
      <w:r w:rsidRPr="00DD5398">
        <w:rPr>
          <w:rFonts w:cs="Arial"/>
          <w:strike/>
          <w:color w:val="FF0000"/>
        </w:rPr>
        <w:t>DEXTROMETHORPHAN (excluding its stereoisomers) when supplied in a pack containing 600 mg or less of dextromethorphan and with a recommended daily dose of 120 mg or less of dextromethorphan.</w:t>
      </w:r>
    </w:p>
    <w:p w14:paraId="3A3677FC" w14:textId="371E4260" w:rsidR="00C25488" w:rsidRPr="00D149A2" w:rsidRDefault="00C25488" w:rsidP="00C25488">
      <w:pPr>
        <w:ind w:left="426"/>
        <w:rPr>
          <w:rFonts w:cs="Arial"/>
          <w:b/>
        </w:rPr>
      </w:pPr>
      <w:r w:rsidRPr="00D149A2">
        <w:rPr>
          <w:rFonts w:cs="Arial"/>
          <w:b/>
        </w:rPr>
        <w:t>Index</w:t>
      </w:r>
      <w:r>
        <w:rPr>
          <w:rFonts w:cs="Arial"/>
          <w:b/>
        </w:rPr>
        <w:t xml:space="preserve"> – Amend Entry</w:t>
      </w:r>
    </w:p>
    <w:p w14:paraId="56A5CFB1" w14:textId="77777777" w:rsidR="00C25488" w:rsidRPr="00776605" w:rsidRDefault="00C25488" w:rsidP="00C25488">
      <w:pPr>
        <w:ind w:firstLine="720"/>
        <w:rPr>
          <w:rFonts w:cs="Arial"/>
        </w:rPr>
      </w:pPr>
      <w:r w:rsidRPr="00776605">
        <w:rPr>
          <w:rFonts w:cs="Arial"/>
          <w:b/>
          <w:bCs/>
        </w:rPr>
        <w:t>DEXTROMETHORPHAN</w:t>
      </w:r>
    </w:p>
    <w:p w14:paraId="321DAEA4" w14:textId="77777777" w:rsidR="00C25488" w:rsidRPr="00776605" w:rsidRDefault="00C25488" w:rsidP="00C25488">
      <w:pPr>
        <w:ind w:left="720"/>
        <w:rPr>
          <w:rFonts w:cs="Arial"/>
        </w:rPr>
      </w:pPr>
      <w:r w:rsidRPr="00776605">
        <w:rPr>
          <w:rFonts w:cs="Arial"/>
        </w:rPr>
        <w:t>Schedule 4</w:t>
      </w:r>
      <w:r>
        <w:rPr>
          <w:rFonts w:cs="Arial"/>
        </w:rPr>
        <w:br/>
      </w:r>
      <w:r w:rsidRPr="00FF7FD6">
        <w:rPr>
          <w:rFonts w:cs="Arial"/>
          <w:color w:val="00B050"/>
          <w:u w:val="single"/>
        </w:rPr>
        <w:t>Schedule 3</w:t>
      </w:r>
      <w:r w:rsidRPr="00776605">
        <w:rPr>
          <w:rFonts w:cs="Arial"/>
        </w:rPr>
        <w:br/>
      </w:r>
      <w:r w:rsidRPr="00FF7FD6">
        <w:rPr>
          <w:rFonts w:cs="Arial"/>
          <w:strike/>
          <w:color w:val="FF0000"/>
        </w:rPr>
        <w:t>Schedule 2</w:t>
      </w:r>
    </w:p>
    <w:p w14:paraId="37C18E4A" w14:textId="2C32A24E" w:rsidR="00C25488" w:rsidRPr="00D149A2" w:rsidRDefault="00C25488" w:rsidP="00C25488">
      <w:pPr>
        <w:ind w:left="426"/>
        <w:rPr>
          <w:rFonts w:cs="Arial"/>
          <w:b/>
        </w:rPr>
      </w:pPr>
      <w:r w:rsidRPr="00D31750">
        <w:rPr>
          <w:rFonts w:cs="Arial"/>
          <w:b/>
        </w:rPr>
        <w:t>Appendix H</w:t>
      </w:r>
      <w:r w:rsidR="000B12AF">
        <w:rPr>
          <w:rFonts w:cs="Arial"/>
          <w:b/>
        </w:rPr>
        <w:t>, clause 1</w:t>
      </w:r>
      <w:r w:rsidRPr="00D31750">
        <w:rPr>
          <w:rFonts w:cs="Arial"/>
          <w:b/>
        </w:rPr>
        <w:t xml:space="preserve"> – New Entry</w:t>
      </w:r>
    </w:p>
    <w:p w14:paraId="177C7604" w14:textId="77777777" w:rsidR="00C25488" w:rsidRPr="000B12AF" w:rsidRDefault="00C25488" w:rsidP="00C25488">
      <w:pPr>
        <w:ind w:left="426" w:firstLine="294"/>
        <w:rPr>
          <w:rFonts w:cs="Arial"/>
          <w:color w:val="00B050"/>
          <w:u w:val="single"/>
        </w:rPr>
      </w:pPr>
      <w:r w:rsidRPr="000B12AF">
        <w:rPr>
          <w:rFonts w:cs="Arial"/>
          <w:color w:val="00B050"/>
          <w:u w:val="single"/>
        </w:rPr>
        <w:t>DEXTROMETHORPHAN</w:t>
      </w:r>
    </w:p>
    <w:p w14:paraId="1CC835B9" w14:textId="77777777" w:rsidR="00C25488" w:rsidRPr="00D149A2" w:rsidRDefault="00C25488" w:rsidP="008C549F">
      <w:pPr>
        <w:pStyle w:val="Heading4"/>
      </w:pPr>
      <w:bookmarkStart w:id="26" w:name="_Toc155176348"/>
      <w:r w:rsidRPr="00D149A2">
        <w:lastRenderedPageBreak/>
        <w:t>Background</w:t>
      </w:r>
      <w:bookmarkEnd w:id="26"/>
    </w:p>
    <w:p w14:paraId="47C1AB82" w14:textId="6E88F297" w:rsidR="00C25488" w:rsidRPr="00D149A2" w:rsidRDefault="006D41FC" w:rsidP="00C25488">
      <w:pPr>
        <w:rPr>
          <w:rFonts w:cs="Arial"/>
        </w:rPr>
      </w:pPr>
      <w:r>
        <w:rPr>
          <w:rFonts w:cs="Arial"/>
        </w:rPr>
        <w:t>Dextromethorphan is a cough suppressant that is usually presented in capsules and oral liquids. When taken at doses that significantly exceed therapeutic recommendations, dextromethorphan can act as a dissociative hallucinogen and</w:t>
      </w:r>
      <w:r w:rsidR="002B50B0">
        <w:rPr>
          <w:rFonts w:cs="Arial"/>
        </w:rPr>
        <w:t>,</w:t>
      </w:r>
      <w:r>
        <w:rPr>
          <w:rFonts w:cs="Arial"/>
        </w:rPr>
        <w:t xml:space="preserve"> therefore</w:t>
      </w:r>
      <w:r w:rsidR="002B50B0">
        <w:rPr>
          <w:rFonts w:cs="Arial"/>
        </w:rPr>
        <w:t>,</w:t>
      </w:r>
      <w:r>
        <w:rPr>
          <w:rFonts w:cs="Arial"/>
        </w:rPr>
        <w:t xml:space="preserve"> products containing this substance present with a potential for abuse.</w:t>
      </w:r>
    </w:p>
    <w:p w14:paraId="6BDD87FF" w14:textId="16CF6CCA" w:rsidR="00C25488" w:rsidRPr="00D149A2" w:rsidRDefault="00C25488" w:rsidP="008C549F">
      <w:pPr>
        <w:pStyle w:val="Heading4"/>
      </w:pPr>
      <w:bookmarkStart w:id="27" w:name="_Toc155176349"/>
      <w:r w:rsidRPr="00D149A2">
        <w:t>Summary of reasons for the proposal</w:t>
      </w:r>
      <w:bookmarkEnd w:id="27"/>
    </w:p>
    <w:p w14:paraId="2CB71F73" w14:textId="3B3C3C1D" w:rsidR="00C25488" w:rsidRPr="000420A9" w:rsidRDefault="006D41FC" w:rsidP="00082D97">
      <w:pPr>
        <w:pStyle w:val="ListBullet"/>
      </w:pPr>
      <w:r w:rsidRPr="000420A9">
        <w:t xml:space="preserve">Low-dose preparations of dextromethorphan </w:t>
      </w:r>
      <w:r w:rsidR="00911564" w:rsidRPr="000420A9">
        <w:t>are available as Schedule 2 (pharmacy medicine) products for relief f</w:t>
      </w:r>
      <w:r w:rsidR="009076D7">
        <w:t>rom</w:t>
      </w:r>
      <w:r w:rsidR="00911564" w:rsidRPr="000420A9">
        <w:t xml:space="preserve"> persistent, </w:t>
      </w:r>
      <w:r w:rsidR="003601A3">
        <w:t>dry</w:t>
      </w:r>
      <w:r w:rsidR="003601A3" w:rsidRPr="000420A9">
        <w:t xml:space="preserve"> </w:t>
      </w:r>
      <w:r w:rsidR="00911564" w:rsidRPr="000420A9">
        <w:t>coughs. However, due to the ongoing suspected abuse of dextromethorphan, there are several unconfirmed reports of pharmacists voluntarily placing these products “behind the counter”</w:t>
      </w:r>
      <w:r w:rsidR="000420A9">
        <w:t xml:space="preserve"> and requiring consumers to consult with a pharmacist prior to purchase</w:t>
      </w:r>
      <w:r w:rsidR="00911564" w:rsidRPr="000420A9">
        <w:t>.</w:t>
      </w:r>
    </w:p>
    <w:p w14:paraId="4C698E97" w14:textId="1E4FDD88" w:rsidR="00911564" w:rsidRPr="000420A9" w:rsidRDefault="003601A3" w:rsidP="00082D97">
      <w:pPr>
        <w:pStyle w:val="ListBullet"/>
      </w:pPr>
      <w:r>
        <w:t>The Delegate has received an application</w:t>
      </w:r>
      <w:r w:rsidRPr="00890FB3">
        <w:t xml:space="preserve"> to</w:t>
      </w:r>
      <w:r>
        <w:t xml:space="preserve"> amend the Poisons Standard to delete the current Schedule 3 </w:t>
      </w:r>
      <w:r w:rsidR="00CF7E22">
        <w:t xml:space="preserve">(Pharmacist only) </w:t>
      </w:r>
      <w:r>
        <w:t>entry for dihydrocodeine</w:t>
      </w:r>
      <w:r w:rsidR="00CF7E22">
        <w:t xml:space="preserve"> (see below)</w:t>
      </w:r>
      <w:r>
        <w:t xml:space="preserve">. </w:t>
      </w:r>
      <w:r w:rsidR="00CF7E22">
        <w:t>The proposal would move cough suppression preparations containing dihydrocodeine currently available as Schedule 3 (Pharmacist Only) medicines to Schedule 4 (Prescription Only).</w:t>
      </w:r>
      <w:r w:rsidR="00911564" w:rsidRPr="000420A9">
        <w:t xml:space="preserve"> If dihydrocodeine becomes a prescription-only medicine, misusers of that substance may elect to switch to the more freely</w:t>
      </w:r>
      <w:r w:rsidR="000420A9">
        <w:t xml:space="preserve"> </w:t>
      </w:r>
      <w:r w:rsidR="00911564" w:rsidRPr="000420A9">
        <w:t>available dextromethorphan</w:t>
      </w:r>
      <w:r w:rsidR="007B7F3C">
        <w:t xml:space="preserve"> increasing the risk of its abuse</w:t>
      </w:r>
      <w:r w:rsidR="00911564" w:rsidRPr="000420A9">
        <w:t>.</w:t>
      </w:r>
    </w:p>
    <w:p w14:paraId="1F11E51B" w14:textId="1421831C" w:rsidR="000420A9" w:rsidRPr="000420A9" w:rsidRDefault="000420A9" w:rsidP="00082D97">
      <w:pPr>
        <w:pStyle w:val="ListBullet"/>
      </w:pPr>
      <w:r w:rsidRPr="000420A9">
        <w:t>Dextromethorphan products are not available for self-selection in many comparable international jurisdictions.</w:t>
      </w:r>
    </w:p>
    <w:p w14:paraId="083E4224" w14:textId="53970165" w:rsidR="00C25488" w:rsidRPr="00D149A2" w:rsidRDefault="00C25488" w:rsidP="008C549F">
      <w:pPr>
        <w:pStyle w:val="Heading4"/>
      </w:pPr>
      <w:bookmarkStart w:id="28" w:name="_Toc155176350"/>
      <w:r w:rsidRPr="00D149A2">
        <w:t>Key uses / expected use</w:t>
      </w:r>
      <w:bookmarkEnd w:id="28"/>
    </w:p>
    <w:p w14:paraId="577C1DDE" w14:textId="77777777" w:rsidR="00C25488" w:rsidRPr="00D149A2" w:rsidRDefault="00C25488" w:rsidP="00C25488">
      <w:pPr>
        <w:rPr>
          <w:rFonts w:cs="Arial"/>
        </w:rPr>
      </w:pPr>
      <w:r w:rsidRPr="00C81A41">
        <w:rPr>
          <w:rFonts w:cs="Arial"/>
        </w:rPr>
        <w:t>Medicines</w:t>
      </w:r>
    </w:p>
    <w:p w14:paraId="4F92AFBB" w14:textId="77777777" w:rsidR="00C25488" w:rsidRPr="00D149A2" w:rsidRDefault="00C25488" w:rsidP="008C549F">
      <w:pPr>
        <w:pStyle w:val="Heading4"/>
      </w:pPr>
      <w:bookmarkStart w:id="29" w:name="_Toc155176351"/>
      <w:r w:rsidRPr="00D149A2">
        <w:t>Australian regulations</w:t>
      </w:r>
      <w:bookmarkEnd w:id="29"/>
    </w:p>
    <w:p w14:paraId="496C69DB" w14:textId="77777777" w:rsidR="00C25488" w:rsidRPr="000B12AF" w:rsidRDefault="00C25488" w:rsidP="00082D97">
      <w:pPr>
        <w:pStyle w:val="ListBullet"/>
      </w:pPr>
      <w:r w:rsidRPr="000B12AF">
        <w:t xml:space="preserve">According to the </w:t>
      </w:r>
      <w:hyperlink r:id="rId33" w:history="1">
        <w:r w:rsidRPr="000B12AF">
          <w:rPr>
            <w:rStyle w:val="Hyperlink"/>
            <w:rFonts w:asciiTheme="minorHAnsi" w:hAnsiTheme="minorHAnsi"/>
          </w:rPr>
          <w:t>TGA Ingredient Database</w:t>
        </w:r>
      </w:hyperlink>
      <w:r w:rsidRPr="000B12AF">
        <w:t>, dextromethorphan (as anhydrous or hydrobromide monohydrate) is:</w:t>
      </w:r>
    </w:p>
    <w:p w14:paraId="5F25D6FD" w14:textId="77777777" w:rsidR="00C25488" w:rsidRPr="0069383B" w:rsidRDefault="00C25488" w:rsidP="000C5536">
      <w:pPr>
        <w:pStyle w:val="ListBullet2"/>
        <w:rPr>
          <w:rFonts w:asciiTheme="minorHAnsi" w:hAnsiTheme="minorHAnsi" w:cstheme="minorHAnsi"/>
        </w:rPr>
      </w:pPr>
      <w:r w:rsidRPr="0069383B">
        <w:rPr>
          <w:rFonts w:asciiTheme="minorHAnsi" w:hAnsiTheme="minorHAnsi" w:cstheme="minorHAnsi"/>
        </w:rPr>
        <w:t>Available for use as an Active Ingredient in Biologicals, Export Only, Over the Counter and Prescription Medicines</w:t>
      </w:r>
    </w:p>
    <w:p w14:paraId="49B59F58" w14:textId="77777777" w:rsidR="00C25488" w:rsidRPr="0069383B" w:rsidRDefault="00C25488" w:rsidP="00C25488">
      <w:pPr>
        <w:pStyle w:val="ListBullet2"/>
        <w:rPr>
          <w:rFonts w:asciiTheme="minorHAnsi" w:hAnsiTheme="minorHAnsi" w:cstheme="minorHAnsi"/>
        </w:rPr>
      </w:pPr>
      <w:r w:rsidRPr="0069383B">
        <w:rPr>
          <w:rFonts w:asciiTheme="minorHAnsi" w:hAnsiTheme="minorHAnsi" w:cstheme="minorHAnsi"/>
        </w:rPr>
        <w:t>Available for use as an Excipient Ingredient in Biologicals, Devices and Prescription Medicines</w:t>
      </w:r>
    </w:p>
    <w:p w14:paraId="57AEE156" w14:textId="6B1A6594" w:rsidR="00C25488" w:rsidRPr="0069383B" w:rsidRDefault="00C25488" w:rsidP="00C25488">
      <w:pPr>
        <w:pStyle w:val="ListBullet2"/>
        <w:rPr>
          <w:rFonts w:asciiTheme="minorHAnsi" w:hAnsiTheme="minorHAnsi" w:cstheme="minorHAnsi"/>
        </w:rPr>
      </w:pPr>
      <w:r w:rsidRPr="0069383B">
        <w:rPr>
          <w:rFonts w:asciiTheme="minorHAnsi" w:hAnsiTheme="minorHAnsi" w:cstheme="minorHAnsi"/>
        </w:rPr>
        <w:t xml:space="preserve">Not available as an </w:t>
      </w:r>
      <w:r w:rsidR="009076D7" w:rsidRPr="0069383B">
        <w:rPr>
          <w:rFonts w:asciiTheme="minorHAnsi" w:hAnsiTheme="minorHAnsi" w:cstheme="minorHAnsi"/>
        </w:rPr>
        <w:t>Equivalent</w:t>
      </w:r>
      <w:r w:rsidRPr="0069383B">
        <w:rPr>
          <w:rFonts w:asciiTheme="minorHAnsi" w:hAnsiTheme="minorHAnsi" w:cstheme="minorHAnsi"/>
        </w:rPr>
        <w:t xml:space="preserve"> Ingredient in any application</w:t>
      </w:r>
    </w:p>
    <w:p w14:paraId="6B078F6F" w14:textId="43CBE323" w:rsidR="00C25488" w:rsidRPr="000B12AF" w:rsidRDefault="00C25488" w:rsidP="00082D97">
      <w:pPr>
        <w:pStyle w:val="ListBullet-dotick"/>
      </w:pPr>
      <w:r w:rsidRPr="000B12AF">
        <w:t xml:space="preserve">As of December 2023, there were 55 medicines active on the </w:t>
      </w:r>
      <w:hyperlink r:id="rId34" w:history="1">
        <w:r w:rsidRPr="000B12AF">
          <w:rPr>
            <w:rStyle w:val="Hyperlink"/>
            <w:rFonts w:asciiTheme="minorHAnsi" w:hAnsiTheme="minorHAnsi"/>
          </w:rPr>
          <w:t>Australian Register of Therapeutic Goods (ARTG)</w:t>
        </w:r>
      </w:hyperlink>
      <w:r w:rsidRPr="000B12AF">
        <w:t xml:space="preserve"> that contain </w:t>
      </w:r>
      <w:r w:rsidRPr="00122B25">
        <w:t>dextromethorphan</w:t>
      </w:r>
      <w:r w:rsidRPr="000B12AF">
        <w:t xml:space="preserve"> as an active ingredient. These include 54 non-prescription medicines and one export only medicine.</w:t>
      </w:r>
    </w:p>
    <w:p w14:paraId="1C168472" w14:textId="11DC49A1" w:rsidR="00C25488" w:rsidRPr="000B12AF" w:rsidRDefault="00C25488" w:rsidP="00082D97">
      <w:pPr>
        <w:pStyle w:val="ListBullet"/>
      </w:pPr>
      <w:r w:rsidRPr="000B12AF">
        <w:t xml:space="preserve">Dextromethorphan is not permitted to be included in listed medicines as it is not included in the </w:t>
      </w:r>
      <w:hyperlink r:id="rId35" w:history="1">
        <w:r w:rsidRPr="000B12AF">
          <w:rPr>
            <w:rStyle w:val="Hyperlink"/>
            <w:rFonts w:asciiTheme="minorHAnsi" w:hAnsiTheme="minorHAnsi"/>
          </w:rPr>
          <w:t>Therapeutic Goods (Permissible Ingredients) Determination No.4 of 2023</w:t>
        </w:r>
      </w:hyperlink>
      <w:r w:rsidRPr="002B50B0">
        <w:t>.</w:t>
      </w:r>
    </w:p>
    <w:p w14:paraId="1198C10C" w14:textId="77777777" w:rsidR="002B50B0" w:rsidRDefault="002B50B0">
      <w:pPr>
        <w:rPr>
          <w:rFonts w:eastAsia="Cambria" w:cs="Times New Roman"/>
        </w:rPr>
      </w:pPr>
      <w:r>
        <w:br w:type="page"/>
      </w:r>
    </w:p>
    <w:p w14:paraId="26E3CB47" w14:textId="4B0172AA" w:rsidR="00C25488" w:rsidRPr="000B12AF" w:rsidRDefault="00C25488" w:rsidP="00082D97">
      <w:pPr>
        <w:pStyle w:val="ListBullet"/>
      </w:pPr>
      <w:r w:rsidRPr="000B12AF">
        <w:lastRenderedPageBreak/>
        <w:t xml:space="preserve">The </w:t>
      </w:r>
      <w:hyperlink r:id="rId36" w:history="1">
        <w:r w:rsidRPr="000B12AF">
          <w:rPr>
            <w:rStyle w:val="Hyperlink"/>
            <w:rFonts w:asciiTheme="minorHAnsi" w:hAnsiTheme="minorHAnsi"/>
          </w:rPr>
          <w:t>TGA prescribing medicines in pregnancy database</w:t>
        </w:r>
      </w:hyperlink>
      <w:r w:rsidRPr="000B12AF">
        <w:t xml:space="preserve"> classifies dextromethorphan as:</w:t>
      </w:r>
    </w:p>
    <w:tbl>
      <w:tblPr>
        <w:tblStyle w:val="TableTGAblue"/>
        <w:tblW w:w="0" w:type="auto"/>
        <w:tblLook w:val="04A0" w:firstRow="1" w:lastRow="0" w:firstColumn="1" w:lastColumn="0" w:noHBand="0" w:noVBand="1"/>
      </w:tblPr>
      <w:tblGrid>
        <w:gridCol w:w="1873"/>
        <w:gridCol w:w="1292"/>
        <w:gridCol w:w="1334"/>
        <w:gridCol w:w="1517"/>
        <w:gridCol w:w="1517"/>
        <w:gridCol w:w="1517"/>
      </w:tblGrid>
      <w:tr w:rsidR="009113EE" w:rsidRPr="000B12AF" w14:paraId="13AAB959" w14:textId="77777777" w:rsidTr="00A204A3">
        <w:trPr>
          <w:cnfStyle w:val="100000000000" w:firstRow="1" w:lastRow="0" w:firstColumn="0" w:lastColumn="0" w:oddVBand="0" w:evenVBand="0" w:oddHBand="0" w:evenHBand="0" w:firstRowFirstColumn="0" w:firstRowLastColumn="0" w:lastRowFirstColumn="0" w:lastRowLastColumn="0"/>
        </w:trPr>
        <w:tc>
          <w:tcPr>
            <w:tcW w:w="1767" w:type="dxa"/>
          </w:tcPr>
          <w:p w14:paraId="0BFA2FAC" w14:textId="77777777" w:rsidR="00C25488" w:rsidRPr="006F0487" w:rsidRDefault="00C25488" w:rsidP="006F0487">
            <w:pPr>
              <w:keepLines/>
              <w:spacing w:before="120" w:line="240" w:lineRule="auto"/>
              <w:rPr>
                <w:rFonts w:asciiTheme="minorHAnsi" w:hAnsiTheme="minorHAnsi" w:cstheme="minorHAnsi"/>
                <w:color w:val="FFFFFF" w:themeColor="background1"/>
                <w:sz w:val="20"/>
                <w:szCs w:val="20"/>
              </w:rPr>
            </w:pPr>
            <w:r w:rsidRPr="006F0487">
              <w:rPr>
                <w:rFonts w:asciiTheme="minorHAnsi" w:hAnsiTheme="minorHAnsi" w:cstheme="minorHAnsi"/>
                <w:color w:val="FFFFFF" w:themeColor="background1"/>
                <w:sz w:val="20"/>
                <w:szCs w:val="20"/>
              </w:rPr>
              <w:t>Drug name</w:t>
            </w:r>
          </w:p>
        </w:tc>
        <w:tc>
          <w:tcPr>
            <w:tcW w:w="1418" w:type="dxa"/>
          </w:tcPr>
          <w:p w14:paraId="18039AE6" w14:textId="77777777" w:rsidR="00C25488" w:rsidRPr="006F0487" w:rsidRDefault="00C25488" w:rsidP="006F0487">
            <w:pPr>
              <w:keepLines/>
              <w:spacing w:before="120" w:line="240" w:lineRule="auto"/>
              <w:rPr>
                <w:rFonts w:asciiTheme="minorHAnsi" w:hAnsiTheme="minorHAnsi" w:cstheme="minorHAnsi"/>
                <w:color w:val="FFFFFF" w:themeColor="background1"/>
                <w:sz w:val="20"/>
                <w:szCs w:val="20"/>
              </w:rPr>
            </w:pPr>
            <w:r w:rsidRPr="006F0487">
              <w:rPr>
                <w:rFonts w:asciiTheme="minorHAnsi" w:hAnsiTheme="minorHAnsi" w:cstheme="minorHAnsi"/>
                <w:color w:val="FFFFFF" w:themeColor="background1"/>
                <w:sz w:val="20"/>
                <w:szCs w:val="20"/>
              </w:rPr>
              <w:t>Category</w:t>
            </w:r>
          </w:p>
        </w:tc>
        <w:tc>
          <w:tcPr>
            <w:tcW w:w="1437" w:type="dxa"/>
          </w:tcPr>
          <w:p w14:paraId="5D5A32FC" w14:textId="7939B9FA" w:rsidR="00C25488" w:rsidRPr="006F0487" w:rsidRDefault="00C25488" w:rsidP="006F0487">
            <w:pPr>
              <w:keepLines/>
              <w:spacing w:before="120" w:line="240" w:lineRule="auto"/>
              <w:rPr>
                <w:rFonts w:asciiTheme="minorHAnsi" w:hAnsiTheme="minorHAnsi" w:cstheme="minorHAnsi"/>
                <w:color w:val="FFFFFF" w:themeColor="background1"/>
                <w:sz w:val="20"/>
                <w:szCs w:val="20"/>
              </w:rPr>
            </w:pPr>
            <w:r w:rsidRPr="006F0487">
              <w:rPr>
                <w:rFonts w:asciiTheme="minorHAnsi" w:hAnsiTheme="minorHAnsi" w:cstheme="minorHAnsi"/>
                <w:color w:val="FFFFFF" w:themeColor="background1"/>
                <w:sz w:val="20"/>
                <w:szCs w:val="20"/>
              </w:rPr>
              <w:t>Safety</w:t>
            </w:r>
            <w:r w:rsidR="009113EE" w:rsidRPr="006F0487">
              <w:rPr>
                <w:rFonts w:asciiTheme="minorHAnsi" w:hAnsiTheme="minorHAnsi" w:cstheme="minorHAnsi"/>
                <w:color w:val="FFFFFF" w:themeColor="background1"/>
                <w:sz w:val="20"/>
                <w:szCs w:val="20"/>
              </w:rPr>
              <w:t xml:space="preserve"> </w:t>
            </w:r>
            <w:r w:rsidRPr="006F0487">
              <w:rPr>
                <w:rFonts w:asciiTheme="minorHAnsi" w:hAnsiTheme="minorHAnsi" w:cstheme="minorHAnsi"/>
                <w:color w:val="FFFFFF" w:themeColor="background1"/>
                <w:sz w:val="20"/>
                <w:szCs w:val="20"/>
              </w:rPr>
              <w:t>statement</w:t>
            </w:r>
          </w:p>
        </w:tc>
        <w:tc>
          <w:tcPr>
            <w:tcW w:w="1476" w:type="dxa"/>
          </w:tcPr>
          <w:p w14:paraId="6862C7AF" w14:textId="1A0FA5AA" w:rsidR="00C25488" w:rsidRPr="006F0487" w:rsidRDefault="00C25488" w:rsidP="006F0487">
            <w:pPr>
              <w:keepLines/>
              <w:spacing w:before="120" w:line="240" w:lineRule="auto"/>
              <w:rPr>
                <w:rFonts w:asciiTheme="minorHAnsi" w:hAnsiTheme="minorHAnsi" w:cstheme="minorHAnsi"/>
                <w:color w:val="FFFFFF" w:themeColor="background1"/>
                <w:sz w:val="20"/>
                <w:szCs w:val="20"/>
              </w:rPr>
            </w:pPr>
            <w:r w:rsidRPr="006F0487">
              <w:rPr>
                <w:rFonts w:asciiTheme="minorHAnsi" w:hAnsiTheme="minorHAnsi" w:cstheme="minorHAnsi"/>
                <w:color w:val="FFFFFF" w:themeColor="background1"/>
                <w:sz w:val="20"/>
                <w:szCs w:val="20"/>
              </w:rPr>
              <w:t xml:space="preserve">Classification </w:t>
            </w:r>
            <w:r w:rsidR="006F0487">
              <w:rPr>
                <w:rFonts w:asciiTheme="minorHAnsi" w:hAnsiTheme="minorHAnsi" w:cstheme="minorHAnsi"/>
                <w:color w:val="FFFFFF" w:themeColor="background1"/>
                <w:sz w:val="20"/>
                <w:szCs w:val="20"/>
              </w:rPr>
              <w:t xml:space="preserve">Level </w:t>
            </w:r>
            <w:r w:rsidRPr="006F0487">
              <w:rPr>
                <w:rFonts w:asciiTheme="minorHAnsi" w:hAnsiTheme="minorHAnsi" w:cstheme="minorHAnsi"/>
                <w:color w:val="FFFFFF" w:themeColor="background1"/>
                <w:sz w:val="20"/>
                <w:szCs w:val="20"/>
              </w:rPr>
              <w:t>1</w:t>
            </w:r>
          </w:p>
        </w:tc>
        <w:tc>
          <w:tcPr>
            <w:tcW w:w="1476" w:type="dxa"/>
          </w:tcPr>
          <w:p w14:paraId="3093721F" w14:textId="404D16F5" w:rsidR="00C25488" w:rsidRPr="006F0487" w:rsidRDefault="00C25488" w:rsidP="006F0487">
            <w:pPr>
              <w:keepLines/>
              <w:spacing w:before="120" w:line="240" w:lineRule="auto"/>
              <w:rPr>
                <w:rFonts w:asciiTheme="minorHAnsi" w:hAnsiTheme="minorHAnsi" w:cstheme="minorHAnsi"/>
                <w:color w:val="FFFFFF" w:themeColor="background1"/>
                <w:sz w:val="20"/>
                <w:szCs w:val="20"/>
              </w:rPr>
            </w:pPr>
            <w:r w:rsidRPr="006F0487">
              <w:rPr>
                <w:rFonts w:asciiTheme="minorHAnsi" w:hAnsiTheme="minorHAnsi" w:cstheme="minorHAnsi"/>
                <w:color w:val="FFFFFF" w:themeColor="background1"/>
                <w:sz w:val="20"/>
                <w:szCs w:val="20"/>
              </w:rPr>
              <w:t xml:space="preserve">Classification </w:t>
            </w:r>
            <w:r w:rsidR="006F0487">
              <w:rPr>
                <w:rFonts w:asciiTheme="minorHAnsi" w:hAnsiTheme="minorHAnsi" w:cstheme="minorHAnsi"/>
                <w:color w:val="FFFFFF" w:themeColor="background1"/>
                <w:sz w:val="20"/>
                <w:szCs w:val="20"/>
              </w:rPr>
              <w:t xml:space="preserve">Level </w:t>
            </w:r>
            <w:r w:rsidRPr="006F0487">
              <w:rPr>
                <w:rFonts w:asciiTheme="minorHAnsi" w:hAnsiTheme="minorHAnsi" w:cstheme="minorHAnsi"/>
                <w:color w:val="FFFFFF" w:themeColor="background1"/>
                <w:sz w:val="20"/>
                <w:szCs w:val="20"/>
              </w:rPr>
              <w:t>2</w:t>
            </w:r>
          </w:p>
        </w:tc>
        <w:tc>
          <w:tcPr>
            <w:tcW w:w="1476" w:type="dxa"/>
          </w:tcPr>
          <w:p w14:paraId="238DD82B" w14:textId="62FBA52B" w:rsidR="00C25488" w:rsidRPr="006F0487" w:rsidRDefault="00C25488" w:rsidP="006F0487">
            <w:pPr>
              <w:keepLines/>
              <w:spacing w:before="120" w:line="240" w:lineRule="auto"/>
              <w:rPr>
                <w:rFonts w:asciiTheme="minorHAnsi" w:hAnsiTheme="minorHAnsi" w:cstheme="minorHAnsi"/>
                <w:color w:val="FFFFFF" w:themeColor="background1"/>
                <w:sz w:val="20"/>
                <w:szCs w:val="20"/>
              </w:rPr>
            </w:pPr>
            <w:r w:rsidRPr="006F0487">
              <w:rPr>
                <w:rFonts w:asciiTheme="minorHAnsi" w:hAnsiTheme="minorHAnsi" w:cstheme="minorHAnsi"/>
                <w:color w:val="FFFFFF" w:themeColor="background1"/>
                <w:sz w:val="20"/>
                <w:szCs w:val="20"/>
              </w:rPr>
              <w:t xml:space="preserve">Classification </w:t>
            </w:r>
            <w:r w:rsidR="006F0487">
              <w:rPr>
                <w:rFonts w:asciiTheme="minorHAnsi" w:hAnsiTheme="minorHAnsi" w:cstheme="minorHAnsi"/>
                <w:color w:val="FFFFFF" w:themeColor="background1"/>
                <w:sz w:val="20"/>
                <w:szCs w:val="20"/>
              </w:rPr>
              <w:t xml:space="preserve">Level </w:t>
            </w:r>
            <w:r w:rsidRPr="006F0487">
              <w:rPr>
                <w:rFonts w:asciiTheme="minorHAnsi" w:hAnsiTheme="minorHAnsi" w:cstheme="minorHAnsi"/>
                <w:color w:val="FFFFFF" w:themeColor="background1"/>
                <w:sz w:val="20"/>
                <w:szCs w:val="20"/>
              </w:rPr>
              <w:t>3</w:t>
            </w:r>
          </w:p>
        </w:tc>
      </w:tr>
      <w:tr w:rsidR="00C25488" w:rsidRPr="000B12AF" w14:paraId="34FF6F78" w14:textId="77777777" w:rsidTr="00A204A3">
        <w:tc>
          <w:tcPr>
            <w:tcW w:w="1767" w:type="dxa"/>
          </w:tcPr>
          <w:p w14:paraId="17954900" w14:textId="3D48455F" w:rsidR="00C25488" w:rsidRPr="006F0487" w:rsidRDefault="007E1C57" w:rsidP="006F0487">
            <w:pPr>
              <w:spacing w:before="120" w:line="240" w:lineRule="auto"/>
              <w:rPr>
                <w:rFonts w:cstheme="minorHAnsi"/>
                <w:sz w:val="20"/>
                <w:szCs w:val="20"/>
              </w:rPr>
            </w:pPr>
            <w:r w:rsidRPr="006F0487">
              <w:rPr>
                <w:rFonts w:cstheme="minorHAnsi"/>
                <w:sz w:val="20"/>
                <w:szCs w:val="20"/>
              </w:rPr>
              <w:t>D</w:t>
            </w:r>
            <w:r w:rsidR="00C25488" w:rsidRPr="006F0487">
              <w:rPr>
                <w:rFonts w:cstheme="minorHAnsi"/>
                <w:sz w:val="20"/>
                <w:szCs w:val="20"/>
              </w:rPr>
              <w:t>extromethorphan</w:t>
            </w:r>
          </w:p>
        </w:tc>
        <w:tc>
          <w:tcPr>
            <w:tcW w:w="1418" w:type="dxa"/>
          </w:tcPr>
          <w:p w14:paraId="551E4B48" w14:textId="77777777" w:rsidR="00C25488" w:rsidRPr="006F0487" w:rsidRDefault="00C25488" w:rsidP="006F0487">
            <w:pPr>
              <w:spacing w:before="120" w:line="240" w:lineRule="auto"/>
              <w:rPr>
                <w:rFonts w:cstheme="minorHAnsi"/>
                <w:sz w:val="20"/>
                <w:szCs w:val="20"/>
              </w:rPr>
            </w:pPr>
            <w:r w:rsidRPr="006F0487">
              <w:rPr>
                <w:rFonts w:cstheme="minorHAnsi"/>
                <w:sz w:val="20"/>
                <w:szCs w:val="20"/>
              </w:rPr>
              <w:t>A</w:t>
            </w:r>
          </w:p>
        </w:tc>
        <w:tc>
          <w:tcPr>
            <w:tcW w:w="1437" w:type="dxa"/>
          </w:tcPr>
          <w:p w14:paraId="063AF189" w14:textId="77777777" w:rsidR="00C25488" w:rsidRPr="006F0487" w:rsidRDefault="00C25488" w:rsidP="006F0487">
            <w:pPr>
              <w:spacing w:before="120" w:line="240" w:lineRule="auto"/>
              <w:rPr>
                <w:rFonts w:cstheme="minorHAnsi"/>
                <w:sz w:val="20"/>
                <w:szCs w:val="20"/>
              </w:rPr>
            </w:pPr>
          </w:p>
        </w:tc>
        <w:tc>
          <w:tcPr>
            <w:tcW w:w="1476" w:type="dxa"/>
          </w:tcPr>
          <w:p w14:paraId="1E50C939" w14:textId="77777777" w:rsidR="00C25488" w:rsidRPr="006F0487" w:rsidRDefault="00C25488" w:rsidP="006F0487">
            <w:pPr>
              <w:spacing w:before="120" w:line="240" w:lineRule="auto"/>
              <w:rPr>
                <w:rFonts w:cstheme="minorHAnsi"/>
                <w:sz w:val="20"/>
                <w:szCs w:val="20"/>
              </w:rPr>
            </w:pPr>
            <w:r w:rsidRPr="006F0487">
              <w:rPr>
                <w:rFonts w:cstheme="minorHAnsi"/>
                <w:sz w:val="20"/>
                <w:szCs w:val="20"/>
              </w:rPr>
              <w:t>Respiratory System</w:t>
            </w:r>
          </w:p>
        </w:tc>
        <w:tc>
          <w:tcPr>
            <w:tcW w:w="1476" w:type="dxa"/>
          </w:tcPr>
          <w:p w14:paraId="1C4448E1" w14:textId="77777777" w:rsidR="00C25488" w:rsidRPr="006F0487" w:rsidRDefault="00C25488" w:rsidP="006F0487">
            <w:pPr>
              <w:spacing w:before="120" w:line="240" w:lineRule="auto"/>
              <w:rPr>
                <w:rFonts w:cstheme="minorHAnsi"/>
                <w:sz w:val="20"/>
                <w:szCs w:val="20"/>
              </w:rPr>
            </w:pPr>
            <w:r w:rsidRPr="006F0487">
              <w:rPr>
                <w:rFonts w:cstheme="minorHAnsi"/>
                <w:sz w:val="20"/>
                <w:szCs w:val="20"/>
              </w:rPr>
              <w:t>Antitussives</w:t>
            </w:r>
          </w:p>
        </w:tc>
        <w:tc>
          <w:tcPr>
            <w:tcW w:w="1476" w:type="dxa"/>
          </w:tcPr>
          <w:p w14:paraId="02ACA9EC" w14:textId="77777777" w:rsidR="00C25488" w:rsidRPr="006F0487" w:rsidRDefault="00C25488" w:rsidP="006F0487">
            <w:pPr>
              <w:spacing w:before="120" w:line="240" w:lineRule="auto"/>
              <w:rPr>
                <w:rFonts w:cstheme="minorHAnsi"/>
                <w:sz w:val="20"/>
                <w:szCs w:val="20"/>
              </w:rPr>
            </w:pPr>
          </w:p>
        </w:tc>
      </w:tr>
      <w:tr w:rsidR="00A204A3" w:rsidRPr="00D8009F" w14:paraId="2C810A11" w14:textId="77777777" w:rsidTr="00975BDB">
        <w:tc>
          <w:tcPr>
            <w:tcW w:w="9050" w:type="dxa"/>
            <w:gridSpan w:val="6"/>
          </w:tcPr>
          <w:p w14:paraId="39F2A3C2" w14:textId="2A490F86" w:rsidR="00A204A3" w:rsidRPr="006F0487" w:rsidRDefault="00A204A3" w:rsidP="006F0487">
            <w:pPr>
              <w:keepNext/>
              <w:keepLines/>
              <w:spacing w:before="120" w:line="240" w:lineRule="auto"/>
              <w:rPr>
                <w:bCs/>
              </w:rPr>
            </w:pPr>
            <w:r w:rsidRPr="00D17369">
              <w:rPr>
                <w:rFonts w:ascii="Arial" w:hAnsi="Arial" w:cs="Arial"/>
                <w:b/>
                <w:bCs/>
                <w:color w:val="000000"/>
                <w:sz w:val="16"/>
                <w:szCs w:val="16"/>
              </w:rPr>
              <w:t>Category A</w:t>
            </w:r>
            <w:r w:rsidRPr="00D17369">
              <w:rPr>
                <w:rFonts w:ascii="Arial" w:hAnsi="Arial" w:cs="Arial"/>
                <w:color w:val="000000"/>
                <w:sz w:val="16"/>
                <w:szCs w:val="16"/>
              </w:rPr>
              <w:t xml:space="preserve"> –</w:t>
            </w:r>
            <w:r w:rsidRPr="006F0487">
              <w:rPr>
                <w:rFonts w:cstheme="minorHAnsi"/>
                <w:bCs/>
                <w:sz w:val="20"/>
                <w:szCs w:val="22"/>
              </w:rPr>
              <w:t xml:space="preserve"> </w:t>
            </w:r>
            <w:r w:rsidRPr="00D17369">
              <w:rPr>
                <w:rFonts w:ascii="Arial" w:hAnsi="Arial" w:cs="Arial"/>
                <w:color w:val="000000"/>
                <w:sz w:val="16"/>
                <w:szCs w:val="16"/>
              </w:rPr>
              <w:t>Drugs which have been taken by a large number of pregnant women and women of childbearing age without any proven increase in the frequency of malformations or other direct or indirect harmful effects on the foetus having been observed</w:t>
            </w:r>
            <w:r w:rsidRPr="006F0487">
              <w:rPr>
                <w:rFonts w:cstheme="minorHAnsi"/>
                <w:bCs/>
                <w:sz w:val="20"/>
                <w:szCs w:val="22"/>
              </w:rPr>
              <w:t>.</w:t>
            </w:r>
          </w:p>
        </w:tc>
      </w:tr>
    </w:tbl>
    <w:p w14:paraId="0837181F" w14:textId="77777777" w:rsidR="00C25488" w:rsidRPr="000B12AF" w:rsidRDefault="00C25488" w:rsidP="00082D97">
      <w:pPr>
        <w:pStyle w:val="ListBullet"/>
      </w:pPr>
      <w:r w:rsidRPr="000B12AF">
        <w:t xml:space="preserve">The </w:t>
      </w:r>
      <w:hyperlink r:id="rId37">
        <w:r w:rsidRPr="000B12AF">
          <w:rPr>
            <w:rStyle w:val="Hyperlink"/>
            <w:rFonts w:asciiTheme="minorHAnsi" w:hAnsiTheme="minorHAnsi"/>
          </w:rPr>
          <w:t>Therapeutic Goods (Medicines Advisory Statements) Specification 2021</w:t>
        </w:r>
      </w:hyperlink>
      <w:r w:rsidRPr="000B12AF">
        <w:t xml:space="preserve"> requires the following warning statements pertaining to dextromethorphan to be included on the labelling:</w:t>
      </w:r>
    </w:p>
    <w:tbl>
      <w:tblPr>
        <w:tblStyle w:val="TableTGAblue"/>
        <w:tblW w:w="9067" w:type="dxa"/>
        <w:tblLook w:val="04A0" w:firstRow="1" w:lastRow="0" w:firstColumn="1" w:lastColumn="0" w:noHBand="0" w:noVBand="1"/>
      </w:tblPr>
      <w:tblGrid>
        <w:gridCol w:w="3023"/>
        <w:gridCol w:w="3022"/>
        <w:gridCol w:w="3022"/>
      </w:tblGrid>
      <w:tr w:rsidR="00C25488" w:rsidRPr="009F0C45" w14:paraId="08762BE7" w14:textId="77777777" w:rsidTr="00014837">
        <w:trPr>
          <w:cnfStyle w:val="100000000000" w:firstRow="1" w:lastRow="0" w:firstColumn="0" w:lastColumn="0" w:oddVBand="0" w:evenVBand="0" w:oddHBand="0" w:evenHBand="0" w:firstRowFirstColumn="0" w:firstRowLastColumn="0" w:lastRowFirstColumn="0" w:lastRowLastColumn="0"/>
          <w:trHeight w:val="559"/>
        </w:trPr>
        <w:tc>
          <w:tcPr>
            <w:tcW w:w="3023" w:type="dxa"/>
          </w:tcPr>
          <w:p w14:paraId="44A500B4" w14:textId="77777777" w:rsidR="00C25488" w:rsidRPr="00DD6215" w:rsidRDefault="00C25488" w:rsidP="00DD6215">
            <w:pPr>
              <w:keepLines/>
              <w:spacing w:before="120" w:line="240" w:lineRule="auto"/>
              <w:rPr>
                <w:rFonts w:asciiTheme="minorHAnsi" w:hAnsiTheme="minorHAnsi" w:cstheme="minorHAnsi"/>
                <w:color w:val="FFFFFF" w:themeColor="background1"/>
                <w:sz w:val="20"/>
                <w:szCs w:val="20"/>
              </w:rPr>
            </w:pPr>
            <w:r w:rsidRPr="00DD6215">
              <w:rPr>
                <w:rFonts w:asciiTheme="minorHAnsi" w:hAnsiTheme="minorHAnsi" w:cstheme="minorHAnsi"/>
                <w:color w:val="FFFFFF" w:themeColor="background1"/>
                <w:sz w:val="20"/>
                <w:szCs w:val="20"/>
              </w:rPr>
              <w:t>Substance</w:t>
            </w:r>
          </w:p>
        </w:tc>
        <w:tc>
          <w:tcPr>
            <w:tcW w:w="3022" w:type="dxa"/>
          </w:tcPr>
          <w:p w14:paraId="0918D003" w14:textId="77777777" w:rsidR="00C25488" w:rsidRPr="00DD6215" w:rsidRDefault="00C25488" w:rsidP="00DD6215">
            <w:pPr>
              <w:keepLines/>
              <w:spacing w:before="120" w:line="240" w:lineRule="auto"/>
              <w:rPr>
                <w:rFonts w:asciiTheme="minorHAnsi" w:hAnsiTheme="minorHAnsi" w:cstheme="minorHAnsi"/>
                <w:color w:val="FFFFFF" w:themeColor="background1"/>
                <w:sz w:val="20"/>
                <w:szCs w:val="20"/>
              </w:rPr>
            </w:pPr>
            <w:r w:rsidRPr="00DD6215">
              <w:rPr>
                <w:rFonts w:asciiTheme="minorHAnsi" w:hAnsiTheme="minorHAnsi" w:cstheme="minorHAnsi"/>
                <w:color w:val="FFFFFF" w:themeColor="background1"/>
                <w:sz w:val="20"/>
                <w:szCs w:val="20"/>
              </w:rPr>
              <w:t>Circumstances</w:t>
            </w:r>
          </w:p>
        </w:tc>
        <w:tc>
          <w:tcPr>
            <w:tcW w:w="3022" w:type="dxa"/>
          </w:tcPr>
          <w:p w14:paraId="17F0B5AB" w14:textId="77777777" w:rsidR="00C25488" w:rsidRPr="00DD6215" w:rsidRDefault="00C25488" w:rsidP="00DD6215">
            <w:pPr>
              <w:keepLines/>
              <w:spacing w:before="120" w:line="240" w:lineRule="auto"/>
              <w:rPr>
                <w:rFonts w:asciiTheme="minorHAnsi" w:hAnsiTheme="minorHAnsi" w:cstheme="minorHAnsi"/>
                <w:color w:val="FFFFFF" w:themeColor="background1"/>
                <w:sz w:val="20"/>
                <w:szCs w:val="20"/>
              </w:rPr>
            </w:pPr>
            <w:r w:rsidRPr="00DD6215">
              <w:rPr>
                <w:rFonts w:asciiTheme="minorHAnsi" w:hAnsiTheme="minorHAnsi" w:cstheme="minorHAnsi"/>
                <w:color w:val="FFFFFF" w:themeColor="background1"/>
                <w:sz w:val="20"/>
                <w:szCs w:val="20"/>
              </w:rPr>
              <w:t>Required Statements</w:t>
            </w:r>
          </w:p>
        </w:tc>
      </w:tr>
      <w:tr w:rsidR="00C25488" w:rsidRPr="009F0C45" w14:paraId="0410351E" w14:textId="77777777" w:rsidTr="00014837">
        <w:trPr>
          <w:trHeight w:val="559"/>
        </w:trPr>
        <w:tc>
          <w:tcPr>
            <w:tcW w:w="3023" w:type="dxa"/>
          </w:tcPr>
          <w:p w14:paraId="387EFB09" w14:textId="77777777" w:rsidR="00C25488" w:rsidRPr="00DD6215" w:rsidRDefault="00C25488" w:rsidP="00DD6215">
            <w:pPr>
              <w:spacing w:before="120" w:line="240" w:lineRule="auto"/>
              <w:rPr>
                <w:rFonts w:cstheme="minorHAnsi"/>
                <w:sz w:val="20"/>
                <w:szCs w:val="20"/>
              </w:rPr>
            </w:pPr>
            <w:r w:rsidRPr="00DD6215">
              <w:rPr>
                <w:rFonts w:cstheme="minorHAnsi"/>
                <w:sz w:val="20"/>
                <w:szCs w:val="20"/>
              </w:rPr>
              <w:t xml:space="preserve">Dextromethorphan </w:t>
            </w:r>
          </w:p>
          <w:p w14:paraId="7A7151FF" w14:textId="77777777" w:rsidR="00C25488" w:rsidRPr="00DD6215" w:rsidRDefault="00C25488" w:rsidP="00DD6215">
            <w:pPr>
              <w:spacing w:before="120" w:line="240" w:lineRule="auto"/>
              <w:rPr>
                <w:rFonts w:cstheme="minorHAnsi"/>
                <w:sz w:val="20"/>
                <w:szCs w:val="20"/>
              </w:rPr>
            </w:pPr>
            <w:r w:rsidRPr="00DD6215">
              <w:rPr>
                <w:rFonts w:cstheme="minorHAnsi"/>
                <w:sz w:val="20"/>
                <w:szCs w:val="20"/>
              </w:rPr>
              <w:t>(Entry 1 of 2)</w:t>
            </w:r>
          </w:p>
        </w:tc>
        <w:tc>
          <w:tcPr>
            <w:tcW w:w="3022" w:type="dxa"/>
          </w:tcPr>
          <w:p w14:paraId="686399A6" w14:textId="77777777" w:rsidR="00C25488" w:rsidRPr="00DD6215" w:rsidRDefault="00C25488" w:rsidP="00DD6215">
            <w:pPr>
              <w:spacing w:before="120" w:line="240" w:lineRule="auto"/>
              <w:rPr>
                <w:rFonts w:cstheme="minorHAnsi"/>
                <w:sz w:val="20"/>
                <w:szCs w:val="20"/>
              </w:rPr>
            </w:pPr>
            <w:r w:rsidRPr="00DD6215">
              <w:rPr>
                <w:rFonts w:cstheme="minorHAnsi"/>
                <w:sz w:val="20"/>
                <w:szCs w:val="20"/>
              </w:rPr>
              <w:t>In oral preparations indicated for cough, cold or flu which DO NOT include dosage instructions for children aged under 12 years</w:t>
            </w:r>
          </w:p>
        </w:tc>
        <w:tc>
          <w:tcPr>
            <w:tcW w:w="3022" w:type="dxa"/>
          </w:tcPr>
          <w:p w14:paraId="500A5271" w14:textId="77777777" w:rsidR="00C25488" w:rsidRPr="00DD6215" w:rsidRDefault="00C25488" w:rsidP="00DD6215">
            <w:pPr>
              <w:spacing w:before="120" w:line="240" w:lineRule="auto"/>
              <w:rPr>
                <w:rFonts w:cstheme="minorHAnsi"/>
                <w:sz w:val="20"/>
                <w:szCs w:val="20"/>
              </w:rPr>
            </w:pPr>
            <w:r w:rsidRPr="00DD6215">
              <w:rPr>
                <w:rFonts w:cstheme="minorHAnsi"/>
                <w:sz w:val="20"/>
                <w:szCs w:val="20"/>
              </w:rPr>
              <w:t>Do not give to children under 12 years of age.</w:t>
            </w:r>
          </w:p>
          <w:p w14:paraId="37098A6C" w14:textId="77777777" w:rsidR="00C25488" w:rsidRPr="00DD6215" w:rsidRDefault="00C25488" w:rsidP="00DD6215">
            <w:pPr>
              <w:spacing w:before="120" w:line="240" w:lineRule="auto"/>
              <w:rPr>
                <w:rFonts w:cstheme="minorHAnsi"/>
                <w:sz w:val="20"/>
                <w:szCs w:val="20"/>
              </w:rPr>
            </w:pPr>
            <w:r w:rsidRPr="00DD6215">
              <w:rPr>
                <w:rFonts w:cstheme="minorHAnsi"/>
                <w:sz w:val="20"/>
                <w:szCs w:val="20"/>
              </w:rPr>
              <w:t>If [coughing/symptoms] persist(s), consult your doctor or pharmacist</w:t>
            </w:r>
          </w:p>
        </w:tc>
      </w:tr>
      <w:tr w:rsidR="00C25488" w:rsidRPr="009F0C45" w14:paraId="58604273" w14:textId="77777777" w:rsidTr="00014837">
        <w:trPr>
          <w:trHeight w:val="574"/>
        </w:trPr>
        <w:tc>
          <w:tcPr>
            <w:tcW w:w="3023" w:type="dxa"/>
          </w:tcPr>
          <w:p w14:paraId="7CD2783E" w14:textId="77777777" w:rsidR="00C25488" w:rsidRPr="00DD6215" w:rsidRDefault="00C25488" w:rsidP="00DD6215">
            <w:pPr>
              <w:spacing w:before="120" w:line="240" w:lineRule="auto"/>
              <w:rPr>
                <w:rFonts w:cstheme="minorHAnsi"/>
                <w:sz w:val="20"/>
                <w:szCs w:val="20"/>
              </w:rPr>
            </w:pPr>
            <w:r w:rsidRPr="00DD6215">
              <w:rPr>
                <w:rFonts w:cstheme="minorHAnsi"/>
                <w:sz w:val="20"/>
                <w:szCs w:val="20"/>
              </w:rPr>
              <w:t xml:space="preserve">Dextromethorphan </w:t>
            </w:r>
          </w:p>
          <w:p w14:paraId="315BD324" w14:textId="77777777" w:rsidR="00C25488" w:rsidRPr="00DD6215" w:rsidRDefault="00C25488" w:rsidP="00DD6215">
            <w:pPr>
              <w:spacing w:before="120" w:line="240" w:lineRule="auto"/>
              <w:rPr>
                <w:rFonts w:cstheme="minorHAnsi"/>
                <w:sz w:val="20"/>
                <w:szCs w:val="20"/>
              </w:rPr>
            </w:pPr>
            <w:r w:rsidRPr="00DD6215">
              <w:rPr>
                <w:rFonts w:cstheme="minorHAnsi"/>
                <w:sz w:val="20"/>
                <w:szCs w:val="20"/>
              </w:rPr>
              <w:t>(Entry 2 of 2)</w:t>
            </w:r>
          </w:p>
        </w:tc>
        <w:tc>
          <w:tcPr>
            <w:tcW w:w="3022" w:type="dxa"/>
          </w:tcPr>
          <w:p w14:paraId="2ABFE638" w14:textId="77777777" w:rsidR="00C25488" w:rsidRPr="00DD6215" w:rsidRDefault="00C25488" w:rsidP="00DD6215">
            <w:pPr>
              <w:spacing w:before="120" w:line="240" w:lineRule="auto"/>
              <w:rPr>
                <w:rFonts w:cstheme="minorHAnsi"/>
                <w:sz w:val="20"/>
                <w:szCs w:val="20"/>
              </w:rPr>
            </w:pPr>
            <w:r w:rsidRPr="00DD6215">
              <w:rPr>
                <w:rFonts w:cstheme="minorHAnsi"/>
                <w:sz w:val="20"/>
                <w:szCs w:val="20"/>
              </w:rPr>
              <w:t>In oral preparations indicated for cough, cold or flu which include dosage instructions for children aged from ‘x’ to 11 years (where ‘x’ is 6, 7, 8, 9, 10 or 11)</w:t>
            </w:r>
          </w:p>
        </w:tc>
        <w:tc>
          <w:tcPr>
            <w:tcW w:w="3022" w:type="dxa"/>
          </w:tcPr>
          <w:p w14:paraId="1EEFB987" w14:textId="77777777" w:rsidR="00C25488" w:rsidRPr="00DD6215" w:rsidRDefault="00C25488" w:rsidP="00DD6215">
            <w:pPr>
              <w:spacing w:before="120" w:line="240" w:lineRule="auto"/>
              <w:rPr>
                <w:rFonts w:cstheme="minorHAnsi"/>
                <w:sz w:val="20"/>
                <w:szCs w:val="20"/>
              </w:rPr>
            </w:pPr>
            <w:r w:rsidRPr="00DD6215">
              <w:rPr>
                <w:rFonts w:cstheme="minorHAnsi"/>
                <w:sz w:val="20"/>
                <w:szCs w:val="20"/>
              </w:rPr>
              <w:t>Do not give to children under ‘x’ years of age.</w:t>
            </w:r>
          </w:p>
          <w:p w14:paraId="6DAD38F2" w14:textId="77777777" w:rsidR="00C25488" w:rsidRPr="00992FAB" w:rsidRDefault="00C25488" w:rsidP="00992FAB">
            <w:pPr>
              <w:spacing w:line="240" w:lineRule="auto"/>
              <w:rPr>
                <w:i/>
                <w:iCs/>
              </w:rPr>
            </w:pPr>
            <w:r w:rsidRPr="00992FAB">
              <w:rPr>
                <w:i/>
                <w:iCs/>
                <w:sz w:val="20"/>
                <w:szCs w:val="20"/>
              </w:rPr>
              <w:t>either (if ‘x’ is 11)</w:t>
            </w:r>
          </w:p>
          <w:p w14:paraId="296E9201" w14:textId="77777777" w:rsidR="00C25488" w:rsidRPr="009F0C45" w:rsidRDefault="00C25488" w:rsidP="00DD6215">
            <w:pPr>
              <w:spacing w:before="120" w:line="240" w:lineRule="auto"/>
              <w:ind w:left="212"/>
              <w:rPr>
                <w:rFonts w:cstheme="minorHAnsi"/>
                <w:sz w:val="20"/>
                <w:szCs w:val="20"/>
              </w:rPr>
            </w:pPr>
            <w:r w:rsidRPr="009F0C45">
              <w:rPr>
                <w:rFonts w:cstheme="minorHAnsi"/>
                <w:sz w:val="20"/>
                <w:szCs w:val="20"/>
              </w:rPr>
              <w:t>Do not give to children aged 11 years, except on the advice of a doctor, pharmacist or nurse practitioner.</w:t>
            </w:r>
          </w:p>
          <w:p w14:paraId="11E3EE08" w14:textId="77777777" w:rsidR="00C25488" w:rsidRPr="00992FAB" w:rsidRDefault="00C25488" w:rsidP="00992FAB">
            <w:pPr>
              <w:spacing w:line="240" w:lineRule="auto"/>
              <w:rPr>
                <w:i/>
                <w:iCs/>
                <w:sz w:val="20"/>
                <w:szCs w:val="20"/>
              </w:rPr>
            </w:pPr>
            <w:r w:rsidRPr="00992FAB">
              <w:rPr>
                <w:i/>
                <w:iCs/>
                <w:sz w:val="20"/>
                <w:szCs w:val="20"/>
              </w:rPr>
              <w:t>or (if ‘x’ is 6, 7, 8, 9 or 10)</w:t>
            </w:r>
          </w:p>
          <w:p w14:paraId="702F6F30" w14:textId="77777777" w:rsidR="00C25488" w:rsidRPr="009F0C45" w:rsidRDefault="00C25488" w:rsidP="00DD6215">
            <w:pPr>
              <w:spacing w:before="120" w:line="240" w:lineRule="auto"/>
              <w:ind w:left="212"/>
              <w:rPr>
                <w:rFonts w:cstheme="minorHAnsi"/>
                <w:sz w:val="20"/>
                <w:szCs w:val="20"/>
              </w:rPr>
            </w:pPr>
            <w:r w:rsidRPr="009F0C45">
              <w:rPr>
                <w:rFonts w:cstheme="minorHAnsi"/>
                <w:sz w:val="20"/>
                <w:szCs w:val="20"/>
              </w:rPr>
              <w:t>Do not give to children aged between ‘x’ and 11 years of age, except on the advice of a doctor, pharmacist or nurse practitioner.</w:t>
            </w:r>
          </w:p>
          <w:p w14:paraId="66C96CD0" w14:textId="77777777" w:rsidR="00C25488" w:rsidRPr="00DD6215" w:rsidRDefault="00C25488" w:rsidP="00DD6215">
            <w:pPr>
              <w:spacing w:before="120" w:line="240" w:lineRule="auto"/>
              <w:rPr>
                <w:rFonts w:cstheme="minorHAnsi"/>
                <w:sz w:val="20"/>
                <w:szCs w:val="20"/>
              </w:rPr>
            </w:pPr>
            <w:r w:rsidRPr="00DD6215">
              <w:rPr>
                <w:rFonts w:cstheme="minorHAnsi"/>
                <w:sz w:val="20"/>
                <w:szCs w:val="20"/>
              </w:rPr>
              <w:t>If [coughing/symptoms] persist(s), consult your doctor or pharmacist.</w:t>
            </w:r>
          </w:p>
        </w:tc>
      </w:tr>
    </w:tbl>
    <w:p w14:paraId="2063BC37" w14:textId="77AE0B73" w:rsidR="00C25488" w:rsidRPr="000B12AF" w:rsidRDefault="00CA1396" w:rsidP="00082D97">
      <w:pPr>
        <w:pStyle w:val="ListBullet"/>
      </w:pPr>
      <w:r w:rsidRPr="000B12AF">
        <w:t xml:space="preserve">Between January 2013 and </w:t>
      </w:r>
      <w:r w:rsidR="00530299" w:rsidRPr="000B12AF">
        <w:t xml:space="preserve">December </w:t>
      </w:r>
      <w:r w:rsidR="00C25488" w:rsidRPr="000B12AF">
        <w:t>20</w:t>
      </w:r>
      <w:r w:rsidR="00530299" w:rsidRPr="000B12AF">
        <w:t>23</w:t>
      </w:r>
      <w:r w:rsidR="00C25488" w:rsidRPr="000B12AF">
        <w:t xml:space="preserve">, there were </w:t>
      </w:r>
      <w:r w:rsidR="00530299" w:rsidRPr="000B12AF">
        <w:t>48</w:t>
      </w:r>
      <w:r w:rsidR="00C25488" w:rsidRPr="000B12AF">
        <w:t xml:space="preserve"> reports of adverse events for products containing </w:t>
      </w:r>
      <w:r w:rsidR="00530299" w:rsidRPr="000B12AF">
        <w:t>dextromethorphan</w:t>
      </w:r>
      <w:r w:rsidR="00C25488" w:rsidRPr="000B12AF">
        <w:t xml:space="preserve"> as an active ingredient on the </w:t>
      </w:r>
      <w:hyperlink r:id="rId38">
        <w:r w:rsidR="00C25488" w:rsidRPr="000B12AF">
          <w:rPr>
            <w:rStyle w:val="Hyperlink"/>
            <w:rFonts w:asciiTheme="minorHAnsi" w:hAnsiTheme="minorHAnsi"/>
            <w:color w:val="002C47" w:themeColor="text1"/>
          </w:rPr>
          <w:t>Database of Adverse Event Notifications (DAEN)</w:t>
        </w:r>
      </w:hyperlink>
      <w:r w:rsidR="00C25488" w:rsidRPr="000B12AF">
        <w:t xml:space="preserve">, with </w:t>
      </w:r>
      <w:r w:rsidR="00530299" w:rsidRPr="000B12AF">
        <w:t>34</w:t>
      </w:r>
      <w:r w:rsidR="00C25488" w:rsidRPr="000B12AF">
        <w:t xml:space="preserve"> reports where </w:t>
      </w:r>
      <w:r w:rsidR="00530299" w:rsidRPr="000B12AF">
        <w:t>dextromethorphan</w:t>
      </w:r>
      <w:r w:rsidR="00C25488" w:rsidRPr="000B12AF">
        <w:t xml:space="preserve"> was the single suspected medicine.</w:t>
      </w:r>
      <w:r w:rsidR="00530299" w:rsidRPr="000B12AF">
        <w:t xml:space="preserve"> There were 4 deaths associated with use of dextromethorphan. Reported events were diverse in nature and affected </w:t>
      </w:r>
      <w:r w:rsidRPr="000B12AF">
        <w:t xml:space="preserve">various </w:t>
      </w:r>
      <w:r w:rsidR="00530299" w:rsidRPr="000B12AF">
        <w:t>organ class</w:t>
      </w:r>
      <w:r w:rsidRPr="000B12AF">
        <w:t>es</w:t>
      </w:r>
      <w:r w:rsidR="00530299" w:rsidRPr="000B12AF">
        <w:t>.</w:t>
      </w:r>
    </w:p>
    <w:p w14:paraId="2D385D87" w14:textId="5F201D5E" w:rsidR="00C25488" w:rsidRPr="000B12AF" w:rsidRDefault="00C25488" w:rsidP="00082D97">
      <w:pPr>
        <w:pStyle w:val="ListBullet"/>
      </w:pPr>
      <w:r w:rsidRPr="000B12AF">
        <w:t xml:space="preserve">As of December 2023, there was one product containing dextromethorphan as an active ingredient/constituent or scheduled substance listed on the </w:t>
      </w:r>
      <w:hyperlink r:id="rId39">
        <w:r w:rsidRPr="000B12AF">
          <w:rPr>
            <w:rStyle w:val="Hyperlink"/>
            <w:rFonts w:asciiTheme="minorHAnsi" w:hAnsiTheme="minorHAnsi"/>
          </w:rPr>
          <w:t>Public Chemical Registration Information System Search (PubCRIS)</w:t>
        </w:r>
      </w:hyperlink>
      <w:r w:rsidRPr="002B50B0">
        <w:t>.</w:t>
      </w:r>
    </w:p>
    <w:p w14:paraId="6668CBD2" w14:textId="77777777" w:rsidR="00C25488" w:rsidRPr="00A204A3" w:rsidRDefault="00C25488" w:rsidP="009113EE">
      <w:pPr>
        <w:pStyle w:val="ListBullet2"/>
        <w:rPr>
          <w:rFonts w:cs="Calibri"/>
        </w:rPr>
      </w:pPr>
      <w:r w:rsidRPr="00A204A3">
        <w:rPr>
          <w:rFonts w:cs="Calibri"/>
        </w:rPr>
        <w:t xml:space="preserve">The product is a cough mixture for the treatment and relief of respiratory illnesses in cats and dogs, available by prescription only. </w:t>
      </w:r>
    </w:p>
    <w:p w14:paraId="5D6037F1" w14:textId="2D8965FA" w:rsidR="00C25488" w:rsidRPr="000B12AF" w:rsidRDefault="00C25488" w:rsidP="00082D97">
      <w:pPr>
        <w:pStyle w:val="ListBullet"/>
      </w:pPr>
      <w:r w:rsidRPr="000B12AF">
        <w:lastRenderedPageBreak/>
        <w:t xml:space="preserve">In 2010-2020 the following adverse experiences were recorded for dextromethorphan in the </w:t>
      </w:r>
      <w:hyperlink r:id="rId40" w:history="1">
        <w:r w:rsidRPr="000B12AF">
          <w:rPr>
            <w:rStyle w:val="Hyperlink"/>
            <w:rFonts w:asciiTheme="minorHAnsi" w:hAnsiTheme="minorHAnsi"/>
          </w:rPr>
          <w:t>APVMA Adverse Experience Reporting Program</w:t>
        </w:r>
      </w:hyperlink>
      <w:r w:rsidRPr="000B12AF">
        <w:rPr>
          <w:rStyle w:val="Hyperlink"/>
          <w:rFonts w:asciiTheme="minorHAnsi" w:hAnsiTheme="minorHAnsi"/>
        </w:rPr>
        <w:t xml:space="preserve"> database (AERP)</w:t>
      </w:r>
      <w:r w:rsidRPr="002B50B0">
        <w:rPr>
          <w:rStyle w:val="Hyperlink"/>
          <w:rFonts w:asciiTheme="minorHAnsi" w:hAnsiTheme="minorHAnsi"/>
          <w:color w:val="auto"/>
          <w:u w:val="none"/>
        </w:rPr>
        <w:t>:</w:t>
      </w:r>
    </w:p>
    <w:p w14:paraId="4F4EEDAB" w14:textId="7C8792B1" w:rsidR="00C25488" w:rsidRDefault="00C25488" w:rsidP="00C25488">
      <w:pPr>
        <w:pStyle w:val="ListBullet2"/>
        <w:rPr>
          <w:rFonts w:asciiTheme="minorHAnsi" w:hAnsiTheme="minorHAnsi" w:cstheme="minorHAnsi"/>
        </w:rPr>
      </w:pPr>
      <w:r w:rsidRPr="000B12AF">
        <w:rPr>
          <w:rFonts w:asciiTheme="minorHAnsi" w:hAnsiTheme="minorHAnsi" w:cstheme="minorHAnsi"/>
        </w:rPr>
        <w:t>2 reports of incidents classified as related to animal health (2015 and 2019-20).</w:t>
      </w:r>
    </w:p>
    <w:p w14:paraId="781382DD" w14:textId="3E5F0869" w:rsidR="002B50B0" w:rsidRPr="000B12AF" w:rsidRDefault="002B50B0" w:rsidP="002B50B0">
      <w:pPr>
        <w:pStyle w:val="ListBullet"/>
      </w:pPr>
      <w:r>
        <w:t>As of December 2023, dextromethorphan is not listed on the Australian Inventory of Industrial Chemicals.</w:t>
      </w:r>
    </w:p>
    <w:p w14:paraId="2200A026" w14:textId="77777777" w:rsidR="00C25488" w:rsidRPr="00D149A2" w:rsidRDefault="00C25488" w:rsidP="008C549F">
      <w:pPr>
        <w:pStyle w:val="Heading4"/>
      </w:pPr>
      <w:bookmarkStart w:id="30" w:name="_Toc155176352"/>
      <w:r w:rsidRPr="00D149A2">
        <w:t>International regulations</w:t>
      </w:r>
      <w:bookmarkEnd w:id="30"/>
    </w:p>
    <w:p w14:paraId="7C046A20" w14:textId="7222B2B7" w:rsidR="009113EE" w:rsidRPr="000B12AF" w:rsidRDefault="00C25488" w:rsidP="00286C53">
      <w:pPr>
        <w:pStyle w:val="ListBullet-donotcross"/>
      </w:pPr>
      <w:r w:rsidRPr="000B12AF">
        <w:t xml:space="preserve">The </w:t>
      </w:r>
      <w:hyperlink r:id="rId41" w:history="1">
        <w:r w:rsidRPr="000B12AF">
          <w:rPr>
            <w:rStyle w:val="Hyperlink"/>
            <w:rFonts w:asciiTheme="minorHAnsi" w:hAnsiTheme="minorHAnsi"/>
          </w:rPr>
          <w:t>Health Canada Drug Product Database</w:t>
        </w:r>
      </w:hyperlink>
      <w:r w:rsidRPr="000B12AF">
        <w:t xml:space="preserve"> includes </w:t>
      </w:r>
      <w:r w:rsidR="005E23BD" w:rsidRPr="000B12AF">
        <w:t>11</w:t>
      </w:r>
      <w:r w:rsidR="005E23BD">
        <w:t>6</w:t>
      </w:r>
      <w:r w:rsidR="005E23BD" w:rsidRPr="000B12AF">
        <w:t xml:space="preserve"> </w:t>
      </w:r>
      <w:r w:rsidRPr="000B12AF">
        <w:t>marketed products containing dextromethorphan. All are available as over-the-counter medicines.</w:t>
      </w:r>
    </w:p>
    <w:p w14:paraId="45303B8E" w14:textId="77777777" w:rsidR="00FE3549" w:rsidRDefault="00C25488" w:rsidP="00286C53">
      <w:pPr>
        <w:pStyle w:val="ListBullet-donotcross"/>
        <w:rPr>
          <w:rStyle w:val="Hyperlink"/>
          <w:rFonts w:asciiTheme="minorHAnsi" w:hAnsiTheme="minorHAnsi"/>
          <w:color w:val="auto"/>
          <w:u w:val="none"/>
        </w:rPr>
      </w:pPr>
      <w:r w:rsidRPr="000B12AF">
        <w:rPr>
          <w:rStyle w:val="Hyperlink"/>
          <w:rFonts w:asciiTheme="minorHAnsi" w:hAnsiTheme="minorHAnsi"/>
          <w:color w:val="auto"/>
          <w:u w:val="none"/>
        </w:rPr>
        <w:t>The</w:t>
      </w:r>
      <w:r w:rsidRPr="000B12AF">
        <w:rPr>
          <w:rStyle w:val="Hyperlink"/>
          <w:rFonts w:asciiTheme="minorHAnsi" w:hAnsiTheme="minorHAnsi"/>
          <w:color w:val="auto"/>
        </w:rPr>
        <w:t xml:space="preserve"> </w:t>
      </w:r>
      <w:hyperlink r:id="rId42" w:history="1">
        <w:r w:rsidRPr="000B12AF">
          <w:rPr>
            <w:rStyle w:val="Hyperlink"/>
            <w:rFonts w:asciiTheme="minorHAnsi" w:hAnsiTheme="minorHAnsi"/>
          </w:rPr>
          <w:t>New Zealand Medsafe Medicines Classification Database</w:t>
        </w:r>
      </w:hyperlink>
      <w:r w:rsidRPr="000B12AF">
        <w:rPr>
          <w:rStyle w:val="Hyperlink"/>
          <w:rFonts w:asciiTheme="minorHAnsi" w:hAnsiTheme="minorHAnsi"/>
          <w:color w:val="auto"/>
          <w:u w:val="none"/>
        </w:rPr>
        <w:t xml:space="preserve"> lists dextromethorphan as follows:</w:t>
      </w:r>
    </w:p>
    <w:tbl>
      <w:tblPr>
        <w:tblStyle w:val="TableTGAblue"/>
        <w:tblW w:w="0" w:type="auto"/>
        <w:tblLook w:val="04A0" w:firstRow="1" w:lastRow="0" w:firstColumn="1" w:lastColumn="0" w:noHBand="0" w:noVBand="1"/>
      </w:tblPr>
      <w:tblGrid>
        <w:gridCol w:w="1975"/>
        <w:gridCol w:w="5528"/>
        <w:gridCol w:w="1547"/>
      </w:tblGrid>
      <w:tr w:rsidR="00C32356" w:rsidRPr="002D5EA5" w14:paraId="52641D3D" w14:textId="77777777" w:rsidTr="00CB7FD2">
        <w:trPr>
          <w:cnfStyle w:val="100000000000" w:firstRow="1" w:lastRow="0" w:firstColumn="0" w:lastColumn="0" w:oddVBand="0" w:evenVBand="0" w:oddHBand="0" w:evenHBand="0" w:firstRowFirstColumn="0" w:firstRowLastColumn="0" w:lastRowFirstColumn="0" w:lastRowLastColumn="0"/>
        </w:trPr>
        <w:tc>
          <w:tcPr>
            <w:tcW w:w="1975" w:type="dxa"/>
          </w:tcPr>
          <w:p w14:paraId="4CD71F3B" w14:textId="77777777" w:rsidR="00C32356" w:rsidRPr="002D5EA5" w:rsidRDefault="00C32356" w:rsidP="00CB7FD2">
            <w:pPr>
              <w:pStyle w:val="ListBullet"/>
              <w:numPr>
                <w:ilvl w:val="0"/>
                <w:numId w:val="0"/>
              </w:numPr>
              <w:rPr>
                <w:rStyle w:val="Hyperlink"/>
                <w:rFonts w:asciiTheme="minorHAnsi" w:hAnsiTheme="minorHAnsi"/>
                <w:color w:val="FFFFFF" w:themeColor="background1"/>
                <w:sz w:val="20"/>
                <w:szCs w:val="20"/>
                <w:u w:val="none"/>
              </w:rPr>
            </w:pPr>
            <w:r w:rsidRPr="002D5EA5">
              <w:rPr>
                <w:rStyle w:val="Hyperlink"/>
                <w:rFonts w:asciiTheme="minorHAnsi" w:hAnsiTheme="minorHAnsi"/>
                <w:color w:val="FFFFFF" w:themeColor="background1"/>
                <w:sz w:val="20"/>
                <w:szCs w:val="20"/>
                <w:u w:val="none"/>
              </w:rPr>
              <w:t>Ingredient</w:t>
            </w:r>
          </w:p>
        </w:tc>
        <w:tc>
          <w:tcPr>
            <w:tcW w:w="5528" w:type="dxa"/>
          </w:tcPr>
          <w:p w14:paraId="73D5FA44" w14:textId="77777777" w:rsidR="00C32356" w:rsidRPr="002D5EA5" w:rsidRDefault="00C32356" w:rsidP="00CB7FD2">
            <w:pPr>
              <w:pStyle w:val="ListBullet"/>
              <w:numPr>
                <w:ilvl w:val="0"/>
                <w:numId w:val="0"/>
              </w:numPr>
              <w:rPr>
                <w:rStyle w:val="Hyperlink"/>
                <w:rFonts w:asciiTheme="minorHAnsi" w:hAnsiTheme="minorHAnsi"/>
                <w:color w:val="FFFFFF" w:themeColor="background1"/>
                <w:sz w:val="20"/>
                <w:szCs w:val="20"/>
                <w:u w:val="none"/>
              </w:rPr>
            </w:pPr>
            <w:r w:rsidRPr="002D5EA5">
              <w:rPr>
                <w:rStyle w:val="Hyperlink"/>
                <w:rFonts w:asciiTheme="minorHAnsi" w:hAnsiTheme="minorHAnsi"/>
                <w:color w:val="FFFFFF" w:themeColor="background1"/>
                <w:sz w:val="20"/>
                <w:szCs w:val="20"/>
                <w:u w:val="none"/>
              </w:rPr>
              <w:t>Conditions (if any)</w:t>
            </w:r>
          </w:p>
        </w:tc>
        <w:tc>
          <w:tcPr>
            <w:tcW w:w="1547" w:type="dxa"/>
          </w:tcPr>
          <w:p w14:paraId="72EEE8C1" w14:textId="77777777" w:rsidR="00C32356" w:rsidRPr="002D5EA5" w:rsidRDefault="00C32356" w:rsidP="00CB7FD2">
            <w:pPr>
              <w:pStyle w:val="ListBullet"/>
              <w:numPr>
                <w:ilvl w:val="0"/>
                <w:numId w:val="0"/>
              </w:numPr>
              <w:rPr>
                <w:rStyle w:val="Hyperlink"/>
                <w:rFonts w:asciiTheme="minorHAnsi" w:hAnsiTheme="minorHAnsi"/>
                <w:color w:val="FFFFFF" w:themeColor="background1"/>
                <w:sz w:val="20"/>
                <w:szCs w:val="20"/>
                <w:u w:val="none"/>
              </w:rPr>
            </w:pPr>
            <w:r w:rsidRPr="002D5EA5">
              <w:rPr>
                <w:rStyle w:val="Hyperlink"/>
                <w:rFonts w:asciiTheme="minorHAnsi" w:hAnsiTheme="minorHAnsi"/>
                <w:color w:val="FFFFFF" w:themeColor="background1"/>
                <w:sz w:val="20"/>
                <w:szCs w:val="20"/>
                <w:u w:val="none"/>
              </w:rPr>
              <w:t>Classification</w:t>
            </w:r>
          </w:p>
        </w:tc>
      </w:tr>
      <w:tr w:rsidR="00C32356" w:rsidRPr="002D5EA5" w14:paraId="0998CE75" w14:textId="77777777" w:rsidTr="00CB7FD2">
        <w:tc>
          <w:tcPr>
            <w:tcW w:w="1975" w:type="dxa"/>
          </w:tcPr>
          <w:p w14:paraId="65C28101" w14:textId="77777777" w:rsidR="00C32356" w:rsidRPr="002D5EA5" w:rsidRDefault="00C32356" w:rsidP="00CB7FD2">
            <w:pPr>
              <w:pStyle w:val="ListBullet"/>
              <w:numPr>
                <w:ilvl w:val="0"/>
                <w:numId w:val="0"/>
              </w:numPr>
              <w:ind w:left="22"/>
              <w:rPr>
                <w:rStyle w:val="Hyperlink"/>
                <w:rFonts w:asciiTheme="minorHAnsi" w:hAnsiTheme="minorHAnsi"/>
                <w:color w:val="auto"/>
                <w:sz w:val="20"/>
                <w:szCs w:val="20"/>
                <w:u w:val="none"/>
              </w:rPr>
            </w:pPr>
            <w:r w:rsidRPr="002D5EA5">
              <w:rPr>
                <w:rStyle w:val="Hyperlink"/>
                <w:rFonts w:asciiTheme="minorHAnsi" w:hAnsiTheme="minorHAnsi"/>
                <w:color w:val="auto"/>
                <w:sz w:val="20"/>
                <w:szCs w:val="20"/>
                <w:u w:val="none"/>
              </w:rPr>
              <w:t>Dextromethorphan</w:t>
            </w:r>
          </w:p>
        </w:tc>
        <w:tc>
          <w:tcPr>
            <w:tcW w:w="5528" w:type="dxa"/>
          </w:tcPr>
          <w:p w14:paraId="71DBE704" w14:textId="77777777" w:rsidR="00C32356" w:rsidRPr="002D5EA5" w:rsidRDefault="00C32356" w:rsidP="00CB7FD2">
            <w:pPr>
              <w:pStyle w:val="ListBullet"/>
              <w:numPr>
                <w:ilvl w:val="0"/>
                <w:numId w:val="0"/>
              </w:numPr>
              <w:ind w:left="28"/>
              <w:rPr>
                <w:rStyle w:val="Hyperlink"/>
                <w:rFonts w:asciiTheme="minorHAnsi" w:hAnsiTheme="minorHAnsi"/>
                <w:color w:val="auto"/>
                <w:sz w:val="20"/>
                <w:szCs w:val="20"/>
                <w:u w:val="none"/>
              </w:rPr>
            </w:pPr>
            <w:r w:rsidRPr="002D5EA5">
              <w:rPr>
                <w:rStyle w:val="Hyperlink"/>
                <w:rFonts w:asciiTheme="minorHAnsi" w:hAnsiTheme="minorHAnsi"/>
                <w:b/>
                <w:bCs/>
                <w:color w:val="auto"/>
                <w:sz w:val="20"/>
                <w:szCs w:val="20"/>
                <w:u w:val="none"/>
              </w:rPr>
              <w:t>except</w:t>
            </w:r>
            <w:r w:rsidRPr="002D5EA5">
              <w:rPr>
                <w:rStyle w:val="Hyperlink"/>
                <w:rFonts w:asciiTheme="minorHAnsi" w:hAnsiTheme="minorHAnsi"/>
                <w:color w:val="auto"/>
                <w:sz w:val="20"/>
                <w:szCs w:val="20"/>
                <w:u w:val="none"/>
              </w:rPr>
              <w:t xml:space="preserve"> when specified elsewhere in this schedule</w:t>
            </w:r>
          </w:p>
        </w:tc>
        <w:tc>
          <w:tcPr>
            <w:tcW w:w="1547" w:type="dxa"/>
          </w:tcPr>
          <w:p w14:paraId="1C3A74A0" w14:textId="77777777" w:rsidR="00C32356" w:rsidRPr="002D5EA5" w:rsidRDefault="00C32356" w:rsidP="00CB7FD2">
            <w:pPr>
              <w:pStyle w:val="ListBullet"/>
              <w:numPr>
                <w:ilvl w:val="0"/>
                <w:numId w:val="0"/>
              </w:numPr>
              <w:rPr>
                <w:rStyle w:val="Hyperlink"/>
                <w:rFonts w:asciiTheme="minorHAnsi" w:hAnsiTheme="minorHAnsi"/>
                <w:color w:val="auto"/>
                <w:sz w:val="20"/>
                <w:szCs w:val="20"/>
                <w:u w:val="none"/>
              </w:rPr>
            </w:pPr>
            <w:r w:rsidRPr="002D5EA5">
              <w:rPr>
                <w:rStyle w:val="Hyperlink"/>
                <w:rFonts w:asciiTheme="minorHAnsi" w:hAnsiTheme="minorHAnsi"/>
                <w:color w:val="auto"/>
                <w:sz w:val="20"/>
                <w:szCs w:val="20"/>
                <w:u w:val="none"/>
              </w:rPr>
              <w:t>Prescription</w:t>
            </w:r>
          </w:p>
        </w:tc>
      </w:tr>
      <w:tr w:rsidR="00C32356" w:rsidRPr="002D5EA5" w14:paraId="4C490E13" w14:textId="77777777" w:rsidTr="00CB7FD2">
        <w:tc>
          <w:tcPr>
            <w:tcW w:w="1975" w:type="dxa"/>
          </w:tcPr>
          <w:p w14:paraId="4635180C" w14:textId="77777777" w:rsidR="00C32356" w:rsidRPr="002D5EA5" w:rsidRDefault="00C32356" w:rsidP="00CB7FD2">
            <w:pPr>
              <w:pStyle w:val="ListBullet"/>
              <w:numPr>
                <w:ilvl w:val="0"/>
                <w:numId w:val="0"/>
              </w:numPr>
              <w:rPr>
                <w:rStyle w:val="Hyperlink"/>
                <w:rFonts w:asciiTheme="minorHAnsi" w:hAnsiTheme="minorHAnsi"/>
                <w:color w:val="auto"/>
                <w:sz w:val="20"/>
                <w:szCs w:val="20"/>
                <w:u w:val="none"/>
              </w:rPr>
            </w:pPr>
            <w:r w:rsidRPr="002D5EA5">
              <w:rPr>
                <w:rStyle w:val="Hyperlink"/>
                <w:rFonts w:asciiTheme="minorHAnsi" w:hAnsiTheme="minorHAnsi"/>
                <w:color w:val="auto"/>
                <w:sz w:val="20"/>
                <w:szCs w:val="20"/>
                <w:u w:val="none"/>
              </w:rPr>
              <w:t>Dextromethorphan</w:t>
            </w:r>
          </w:p>
        </w:tc>
        <w:tc>
          <w:tcPr>
            <w:tcW w:w="5528" w:type="dxa"/>
          </w:tcPr>
          <w:p w14:paraId="7DE87160" w14:textId="7AD65A94" w:rsidR="00C32356" w:rsidRPr="002D5EA5" w:rsidRDefault="00C32356" w:rsidP="00CB7FD2">
            <w:pPr>
              <w:pStyle w:val="ListBullet"/>
              <w:numPr>
                <w:ilvl w:val="0"/>
                <w:numId w:val="0"/>
              </w:numPr>
              <w:rPr>
                <w:rStyle w:val="Hyperlink"/>
                <w:rFonts w:asciiTheme="minorHAnsi" w:hAnsiTheme="minorHAnsi"/>
                <w:color w:val="auto"/>
                <w:sz w:val="20"/>
                <w:szCs w:val="20"/>
                <w:u w:val="none"/>
              </w:rPr>
            </w:pPr>
            <w:r w:rsidRPr="002D5EA5">
              <w:rPr>
                <w:rStyle w:val="Hyperlink"/>
                <w:rFonts w:asciiTheme="minorHAnsi" w:hAnsiTheme="minorHAnsi"/>
                <w:color w:val="auto"/>
                <w:sz w:val="20"/>
                <w:szCs w:val="20"/>
                <w:u w:val="none"/>
              </w:rPr>
              <w:t>in liquid form when in packs containing not more than 600</w:t>
            </w:r>
            <w:r w:rsidR="002B50B0">
              <w:rPr>
                <w:rStyle w:val="Hyperlink"/>
                <w:rFonts w:asciiTheme="minorHAnsi" w:hAnsiTheme="minorHAnsi"/>
                <w:color w:val="auto"/>
                <w:sz w:val="20"/>
                <w:szCs w:val="20"/>
                <w:u w:val="none"/>
              </w:rPr>
              <w:t> </w:t>
            </w:r>
            <w:r w:rsidRPr="002D5EA5">
              <w:rPr>
                <w:rStyle w:val="Hyperlink"/>
                <w:rFonts w:asciiTheme="minorHAnsi" w:hAnsiTheme="minorHAnsi"/>
                <w:color w:val="auto"/>
                <w:sz w:val="20"/>
                <w:szCs w:val="20"/>
                <w:u w:val="none"/>
              </w:rPr>
              <w:t>milligrams and with a recommended daily dose of not more than 120 milligrams; in medicines for the treatment of symptoms of cough and cold in adults and children aged 6 years and over</w:t>
            </w:r>
          </w:p>
        </w:tc>
        <w:tc>
          <w:tcPr>
            <w:tcW w:w="1547" w:type="dxa"/>
          </w:tcPr>
          <w:p w14:paraId="59527B17" w14:textId="77777777" w:rsidR="00C32356" w:rsidRPr="002D5EA5" w:rsidRDefault="00C32356" w:rsidP="00CB7FD2">
            <w:pPr>
              <w:pStyle w:val="ListBullet"/>
              <w:numPr>
                <w:ilvl w:val="0"/>
                <w:numId w:val="0"/>
              </w:numPr>
              <w:rPr>
                <w:rStyle w:val="Hyperlink"/>
                <w:rFonts w:asciiTheme="minorHAnsi" w:hAnsiTheme="minorHAnsi"/>
                <w:color w:val="auto"/>
                <w:sz w:val="20"/>
                <w:szCs w:val="20"/>
                <w:u w:val="none"/>
              </w:rPr>
            </w:pPr>
            <w:r w:rsidRPr="002D5EA5">
              <w:rPr>
                <w:rStyle w:val="Hyperlink"/>
                <w:rFonts w:asciiTheme="minorHAnsi" w:hAnsiTheme="minorHAnsi"/>
                <w:color w:val="auto"/>
                <w:sz w:val="20"/>
                <w:szCs w:val="20"/>
                <w:u w:val="none"/>
              </w:rPr>
              <w:t>Restricted</w:t>
            </w:r>
          </w:p>
        </w:tc>
      </w:tr>
    </w:tbl>
    <w:p w14:paraId="41735735" w14:textId="77777777" w:rsidR="00FE3549" w:rsidRDefault="00C25488" w:rsidP="00286C53">
      <w:pPr>
        <w:pStyle w:val="ListBullet-donotcross"/>
        <w:rPr>
          <w:rStyle w:val="Hyperlink"/>
          <w:rFonts w:asciiTheme="minorHAnsi" w:hAnsiTheme="minorHAnsi"/>
          <w:color w:val="auto"/>
          <w:u w:val="none"/>
        </w:rPr>
      </w:pPr>
      <w:r w:rsidRPr="00FE3549">
        <w:rPr>
          <w:rStyle w:val="Hyperlink"/>
          <w:rFonts w:asciiTheme="minorHAnsi" w:hAnsiTheme="minorHAnsi"/>
        </w:rPr>
        <w:t xml:space="preserve">The </w:t>
      </w:r>
      <w:hyperlink r:id="rId43" w:history="1">
        <w:r w:rsidRPr="00FE3549">
          <w:rPr>
            <w:rStyle w:val="Hyperlink"/>
            <w:rFonts w:asciiTheme="minorHAnsi" w:hAnsiTheme="minorHAnsi"/>
          </w:rPr>
          <w:t>US Food and Drug Administration’s Orange Book</w:t>
        </w:r>
      </w:hyperlink>
      <w:r w:rsidRPr="00FE3549">
        <w:rPr>
          <w:rStyle w:val="Hyperlink"/>
          <w:rFonts w:asciiTheme="minorHAnsi" w:hAnsiTheme="minorHAnsi"/>
          <w:color w:val="auto"/>
          <w:u w:val="none"/>
        </w:rPr>
        <w:t xml:space="preserve"> includes 33 approved drug products containing dextromethorphan. These include 16 prescription-only medicines and 17 over-the-counter medicines. All OTC medicines containing dextromethorphan are extended-release tablets or extended-release suspensions.</w:t>
      </w:r>
    </w:p>
    <w:p w14:paraId="1DF15B3E" w14:textId="000B02B4" w:rsidR="00C25488" w:rsidRPr="00FE3549" w:rsidRDefault="00C25488" w:rsidP="00286C53">
      <w:pPr>
        <w:pStyle w:val="ListBullet-donotcross"/>
        <w:rPr>
          <w:rStyle w:val="Hyperlink"/>
          <w:rFonts w:asciiTheme="minorHAnsi" w:hAnsiTheme="minorHAnsi"/>
          <w:color w:val="auto"/>
          <w:u w:val="none"/>
        </w:rPr>
      </w:pPr>
      <w:r w:rsidRPr="00FE3549">
        <w:rPr>
          <w:rStyle w:val="Hyperlink"/>
          <w:rFonts w:asciiTheme="minorHAnsi" w:hAnsiTheme="minorHAnsi"/>
        </w:rPr>
        <w:t xml:space="preserve">Ireland’s </w:t>
      </w:r>
      <w:hyperlink r:id="rId44" w:history="1">
        <w:r w:rsidRPr="00FE3549">
          <w:rPr>
            <w:rStyle w:val="Hyperlink"/>
            <w:rFonts w:asciiTheme="minorHAnsi" w:hAnsiTheme="minorHAnsi"/>
          </w:rPr>
          <w:t>Health Products Regulatory Authority</w:t>
        </w:r>
      </w:hyperlink>
      <w:r w:rsidRPr="00FE3549">
        <w:rPr>
          <w:rStyle w:val="Hyperlink"/>
          <w:rFonts w:asciiTheme="minorHAnsi" w:hAnsiTheme="minorHAnsi"/>
          <w:color w:val="auto"/>
          <w:u w:val="none"/>
        </w:rPr>
        <w:t xml:space="preserve"> regulates 6 products containing dextromethorphan. All are available for supply through pharmacies only.</w:t>
      </w:r>
    </w:p>
    <w:p w14:paraId="613041DE" w14:textId="77777777" w:rsidR="0010624D" w:rsidRDefault="0010624D">
      <w:pPr>
        <w:rPr>
          <w:rFonts w:asciiTheme="majorHAnsi" w:eastAsia="Times New Roman" w:hAnsiTheme="majorHAnsi" w:cs="Arial"/>
          <w:b/>
          <w:bCs/>
          <w:color w:val="001871"/>
          <w:sz w:val="32"/>
          <w:szCs w:val="32"/>
        </w:rPr>
      </w:pPr>
      <w:r>
        <w:rPr>
          <w:rFonts w:cs="Arial"/>
        </w:rPr>
        <w:br w:type="page"/>
      </w:r>
    </w:p>
    <w:p w14:paraId="4F460967" w14:textId="69E53AF4" w:rsidR="00C25488" w:rsidRDefault="00712EFB" w:rsidP="001A6E05">
      <w:pPr>
        <w:pStyle w:val="Heading3"/>
      </w:pPr>
      <w:bookmarkStart w:id="31" w:name="_Toc155176353"/>
      <w:r>
        <w:lastRenderedPageBreak/>
        <w:t>1.3</w:t>
      </w:r>
      <w:r>
        <w:tab/>
      </w:r>
      <w:r w:rsidR="00C25488">
        <w:t>Dihydrocodeine</w:t>
      </w:r>
      <w:bookmarkEnd w:id="31"/>
    </w:p>
    <w:p w14:paraId="4CE390E1" w14:textId="5217C3B9" w:rsidR="00C25488" w:rsidRPr="00D149A2" w:rsidRDefault="00C25488" w:rsidP="008C549F">
      <w:pPr>
        <w:pStyle w:val="Heading4"/>
      </w:pPr>
      <w:bookmarkStart w:id="32" w:name="_Toc155176354"/>
      <w:r w:rsidRPr="00D149A2">
        <w:t>Proposal</w:t>
      </w:r>
      <w:bookmarkEnd w:id="32"/>
    </w:p>
    <w:p w14:paraId="5139E71F" w14:textId="3AD41BF6" w:rsidR="00C25488" w:rsidRDefault="00C25488" w:rsidP="00C25488">
      <w:r>
        <w:t xml:space="preserve">The applicant </w:t>
      </w:r>
      <w:r w:rsidR="00DD5F81">
        <w:t xml:space="preserve">has </w:t>
      </w:r>
      <w:r>
        <w:t>propose</w:t>
      </w:r>
      <w:r w:rsidR="00DD5F81">
        <w:t>d</w:t>
      </w:r>
      <w:r w:rsidRPr="00890FB3">
        <w:t xml:space="preserve"> to</w:t>
      </w:r>
      <w:r>
        <w:t xml:space="preserve"> </w:t>
      </w:r>
      <w:r w:rsidR="00DD5F81">
        <w:t xml:space="preserve">delete </w:t>
      </w:r>
      <w:r>
        <w:t>the current Schedule 3 entry for dihydrocodeine</w:t>
      </w:r>
      <w:r w:rsidR="00DA13DB">
        <w:t xml:space="preserve"> from the Poisons Standard. The proposal would move </w:t>
      </w:r>
      <w:r>
        <w:t xml:space="preserve">cough suppression preparations containing dihydrocodeine </w:t>
      </w:r>
      <w:r w:rsidR="00DA13DB">
        <w:t xml:space="preserve">that are currently available as Schedule 3 (Pharmacist Only) medicines to </w:t>
      </w:r>
      <w:r>
        <w:t>Schedule 4 (Prescription Only).</w:t>
      </w:r>
    </w:p>
    <w:p w14:paraId="356472DE" w14:textId="611A7CCA" w:rsidR="00C25488" w:rsidRPr="00D149A2" w:rsidRDefault="00C25488" w:rsidP="008C549F">
      <w:pPr>
        <w:pStyle w:val="Heading4"/>
      </w:pPr>
      <w:bookmarkStart w:id="33" w:name="_Toc155176355"/>
      <w:r w:rsidRPr="00D149A2">
        <w:t>CAS number</w:t>
      </w:r>
      <w:bookmarkEnd w:id="33"/>
    </w:p>
    <w:p w14:paraId="699789FC" w14:textId="77777777" w:rsidR="00C25488" w:rsidRPr="00D149A2" w:rsidRDefault="00C25488" w:rsidP="00C25488">
      <w:pPr>
        <w:rPr>
          <w:rFonts w:cs="Arial"/>
        </w:rPr>
      </w:pPr>
      <w:r>
        <w:rPr>
          <w:rFonts w:cs="Arial"/>
        </w:rPr>
        <w:t>125-28-0</w:t>
      </w:r>
    </w:p>
    <w:p w14:paraId="7595727E" w14:textId="77777777" w:rsidR="00C25488" w:rsidRPr="00D149A2" w:rsidRDefault="00C25488" w:rsidP="008C549F">
      <w:pPr>
        <w:pStyle w:val="Heading4"/>
      </w:pPr>
      <w:bookmarkStart w:id="34" w:name="_Toc155176356"/>
      <w:r w:rsidRPr="00D149A2">
        <w:t>Alternative names</w:t>
      </w:r>
      <w:bookmarkEnd w:id="34"/>
    </w:p>
    <w:p w14:paraId="12CBDDEB" w14:textId="77777777" w:rsidR="00DD5F81" w:rsidRDefault="00C25488" w:rsidP="00C25488">
      <w:pPr>
        <w:rPr>
          <w:rFonts w:cs="Arial"/>
        </w:rPr>
      </w:pPr>
      <w:r w:rsidRPr="00DA13DB">
        <w:rPr>
          <w:rFonts w:cs="Arial"/>
        </w:rPr>
        <w:t>(5α,6α)-4,5-Epoxy-3-methoxy-17-methylmorphinan-6-ol; 6-hydroxy-3-methoxy-</w:t>
      </w:r>
      <w:r w:rsidRPr="00DA13DB">
        <w:rPr>
          <w:rFonts w:cs="Arial"/>
          <w:i/>
          <w:iCs/>
        </w:rPr>
        <w:t>N-</w:t>
      </w:r>
      <w:r w:rsidRPr="00DA13DB">
        <w:rPr>
          <w:rFonts w:cs="Arial"/>
        </w:rPr>
        <w:t>methyl-4,5-epoxymorphinan</w:t>
      </w:r>
    </w:p>
    <w:p w14:paraId="015645D6" w14:textId="7A510F7B" w:rsidR="00C25488" w:rsidRPr="00DA13DB" w:rsidRDefault="00C25488" w:rsidP="00C25488">
      <w:pPr>
        <w:rPr>
          <w:rFonts w:cs="Arial"/>
        </w:rPr>
      </w:pPr>
      <w:r w:rsidRPr="00DA13DB">
        <w:rPr>
          <w:rFonts w:cs="Arial"/>
        </w:rPr>
        <w:t>Dihydroneopine</w:t>
      </w:r>
    </w:p>
    <w:p w14:paraId="65C1D22B" w14:textId="77777777" w:rsidR="00C25488" w:rsidRPr="00D149A2" w:rsidRDefault="00C25488" w:rsidP="008C549F">
      <w:pPr>
        <w:pStyle w:val="Heading4"/>
      </w:pPr>
      <w:bookmarkStart w:id="35" w:name="_Toc155176357"/>
      <w:r w:rsidRPr="00D149A2">
        <w:t>Applicant</w:t>
      </w:r>
      <w:bookmarkEnd w:id="35"/>
    </w:p>
    <w:p w14:paraId="57A8BB00" w14:textId="2A3378B3" w:rsidR="00C25488" w:rsidRPr="00D149A2" w:rsidRDefault="00C25488" w:rsidP="00C25488">
      <w:pPr>
        <w:rPr>
          <w:rFonts w:cs="Arial"/>
        </w:rPr>
      </w:pPr>
      <w:r w:rsidRPr="00444008">
        <w:rPr>
          <w:rFonts w:cs="Arial"/>
        </w:rPr>
        <w:t>Private applicant</w:t>
      </w:r>
    </w:p>
    <w:p w14:paraId="7F1ACC35" w14:textId="77777777" w:rsidR="00C25488" w:rsidRPr="00D149A2" w:rsidRDefault="00C25488" w:rsidP="008C549F">
      <w:pPr>
        <w:pStyle w:val="Heading4"/>
      </w:pPr>
      <w:bookmarkStart w:id="36" w:name="_Toc155176358"/>
      <w:r w:rsidRPr="00D149A2">
        <w:t>Proposed Scheduling</w:t>
      </w:r>
      <w:bookmarkEnd w:id="36"/>
    </w:p>
    <w:p w14:paraId="42190BF5" w14:textId="77777777" w:rsidR="00C25488" w:rsidRPr="00554449" w:rsidRDefault="00C25488" w:rsidP="00C25488">
      <w:pPr>
        <w:rPr>
          <w:rFonts w:cs="Arial"/>
          <w:bCs/>
        </w:rPr>
      </w:pPr>
      <w:r w:rsidRPr="00554449">
        <w:rPr>
          <w:rFonts w:cs="Arial"/>
          <w:bCs/>
        </w:rPr>
        <w:t xml:space="preserve">The </w:t>
      </w:r>
      <w:r>
        <w:rPr>
          <w:rFonts w:cs="Arial"/>
          <w:bCs/>
        </w:rPr>
        <w:t>applicant</w:t>
      </w:r>
      <w:r w:rsidRPr="00554449">
        <w:rPr>
          <w:rFonts w:cs="Arial"/>
          <w:bCs/>
        </w:rPr>
        <w:t>’s proposed amendments to the Poisons Standard are</w:t>
      </w:r>
      <w:r w:rsidRPr="00554449">
        <w:rPr>
          <w:rStyle w:val="FootnoteReference"/>
          <w:rFonts w:cs="Arial"/>
          <w:bCs/>
        </w:rPr>
        <w:footnoteReference w:id="3"/>
      </w:r>
      <w:r w:rsidRPr="00554449">
        <w:rPr>
          <w:rFonts w:cs="Arial"/>
          <w:bCs/>
        </w:rPr>
        <w:t>:</w:t>
      </w:r>
    </w:p>
    <w:p w14:paraId="55EC95D6" w14:textId="77777777" w:rsidR="00C25488" w:rsidRDefault="00C25488" w:rsidP="00C25488">
      <w:pPr>
        <w:ind w:left="426"/>
        <w:rPr>
          <w:rFonts w:cs="Arial"/>
          <w:b/>
        </w:rPr>
      </w:pPr>
      <w:r>
        <w:rPr>
          <w:rFonts w:cs="Arial"/>
          <w:b/>
        </w:rPr>
        <w:t>Schedule 8 – Amend Entry</w:t>
      </w:r>
    </w:p>
    <w:p w14:paraId="703D18CB" w14:textId="77777777" w:rsidR="00C25488" w:rsidRPr="00851F6F" w:rsidRDefault="00C25488" w:rsidP="00C25488">
      <w:pPr>
        <w:ind w:left="426"/>
        <w:rPr>
          <w:rFonts w:cs="Arial"/>
          <w:b/>
        </w:rPr>
      </w:pPr>
      <w:r>
        <w:rPr>
          <w:rFonts w:cs="Arial"/>
          <w:b/>
        </w:rPr>
        <w:tab/>
      </w:r>
      <w:r w:rsidRPr="00851F6F">
        <w:rPr>
          <w:rFonts w:cs="Arial"/>
          <w:bCs/>
        </w:rPr>
        <w:t>DIHYDROCODEINE</w:t>
      </w:r>
      <w:r w:rsidRPr="00851F6F">
        <w:rPr>
          <w:rFonts w:cs="Arial"/>
          <w:b/>
        </w:rPr>
        <w:t> </w:t>
      </w:r>
      <w:r w:rsidRPr="00851F6F">
        <w:rPr>
          <w:rFonts w:cs="Arial"/>
          <w:b/>
          <w:bCs/>
        </w:rPr>
        <w:t>except</w:t>
      </w:r>
      <w:r w:rsidRPr="00851F6F">
        <w:rPr>
          <w:rFonts w:cs="Arial"/>
          <w:b/>
        </w:rPr>
        <w:t> </w:t>
      </w:r>
      <w:r w:rsidRPr="00851F6F">
        <w:rPr>
          <w:rFonts w:cs="Arial"/>
          <w:bCs/>
        </w:rPr>
        <w:t>when included in Schedule </w:t>
      </w:r>
      <w:r w:rsidRPr="00851F6F">
        <w:rPr>
          <w:rFonts w:cs="Arial"/>
          <w:bCs/>
          <w:strike/>
          <w:color w:val="FF0000"/>
        </w:rPr>
        <w:t xml:space="preserve">3 or </w:t>
      </w:r>
      <w:r w:rsidRPr="00851F6F">
        <w:rPr>
          <w:rFonts w:cs="Arial"/>
          <w:bCs/>
        </w:rPr>
        <w:t>4</w:t>
      </w:r>
      <w:r w:rsidRPr="00851F6F">
        <w:rPr>
          <w:rFonts w:cs="Arial"/>
          <w:b/>
        </w:rPr>
        <w:t>.</w:t>
      </w:r>
    </w:p>
    <w:p w14:paraId="72ED0CB8" w14:textId="77777777" w:rsidR="00C25488" w:rsidRPr="00D149A2" w:rsidRDefault="00C25488" w:rsidP="00C25488">
      <w:pPr>
        <w:ind w:left="426"/>
        <w:rPr>
          <w:rFonts w:cs="Arial"/>
          <w:b/>
        </w:rPr>
      </w:pPr>
      <w:r w:rsidRPr="00D149A2">
        <w:rPr>
          <w:rFonts w:cs="Arial"/>
          <w:b/>
        </w:rPr>
        <w:t xml:space="preserve">Schedule </w:t>
      </w:r>
      <w:r>
        <w:rPr>
          <w:rFonts w:cs="Arial"/>
          <w:b/>
        </w:rPr>
        <w:t>4 – Amend Entry</w:t>
      </w:r>
    </w:p>
    <w:p w14:paraId="0B0DDB1E" w14:textId="77777777" w:rsidR="00C25488" w:rsidRPr="000E76B8" w:rsidRDefault="00C25488" w:rsidP="00C25488">
      <w:pPr>
        <w:ind w:left="720"/>
        <w:rPr>
          <w:rFonts w:cs="Arial"/>
        </w:rPr>
      </w:pPr>
      <w:r w:rsidRPr="000E76B8">
        <w:rPr>
          <w:rFonts w:cs="Arial"/>
        </w:rPr>
        <w:t>DIHYDROCODEINE when compounded with one or more other therapeutically active substances:</w:t>
      </w:r>
    </w:p>
    <w:p w14:paraId="2D9BD382" w14:textId="77777777" w:rsidR="00C25488" w:rsidRPr="000E76B8" w:rsidRDefault="00C25488" w:rsidP="00C25488">
      <w:pPr>
        <w:ind w:left="1275"/>
        <w:rPr>
          <w:rFonts w:cs="Arial"/>
        </w:rPr>
      </w:pPr>
      <w:r w:rsidRPr="000E76B8">
        <w:rPr>
          <w:rFonts w:cs="Arial"/>
        </w:rPr>
        <w:t>(a)  in divided preparations containing not more than 100 mg of dihydrocodeine per dosage unit; or</w:t>
      </w:r>
    </w:p>
    <w:p w14:paraId="4E0DF240" w14:textId="77777777" w:rsidR="00C25488" w:rsidRPr="000E76B8" w:rsidRDefault="00C25488" w:rsidP="00C25488">
      <w:pPr>
        <w:ind w:left="1275"/>
        <w:rPr>
          <w:rFonts w:cs="Arial"/>
          <w:strike/>
          <w:color w:val="FF0000"/>
        </w:rPr>
      </w:pPr>
      <w:r w:rsidRPr="000E76B8">
        <w:rPr>
          <w:rFonts w:cs="Arial"/>
        </w:rPr>
        <w:t>(b)  in undivided preparations with a concentration of not more than 2.5% of dihydrocodeine</w:t>
      </w:r>
      <w:r w:rsidRPr="000E76B8">
        <w:rPr>
          <w:rFonts w:cs="Arial"/>
          <w:strike/>
          <w:color w:val="FF0000"/>
        </w:rPr>
        <w:t>;</w:t>
      </w:r>
    </w:p>
    <w:p w14:paraId="08135ACB" w14:textId="77777777" w:rsidR="00C25488" w:rsidRDefault="00C25488" w:rsidP="00C25488">
      <w:pPr>
        <w:ind w:firstLine="709"/>
        <w:rPr>
          <w:rFonts w:cs="Arial"/>
        </w:rPr>
      </w:pPr>
      <w:r w:rsidRPr="000E76B8">
        <w:rPr>
          <w:rFonts w:cs="Arial"/>
          <w:b/>
          <w:bCs/>
          <w:strike/>
          <w:color w:val="FF0000"/>
        </w:rPr>
        <w:t>except</w:t>
      </w:r>
      <w:r w:rsidRPr="000E76B8">
        <w:rPr>
          <w:rFonts w:cs="Arial"/>
          <w:strike/>
          <w:color w:val="FF0000"/>
        </w:rPr>
        <w:t> when included in Schedule 3</w:t>
      </w:r>
      <w:r w:rsidRPr="000E76B8">
        <w:rPr>
          <w:rFonts w:cs="Arial"/>
        </w:rPr>
        <w:t>.</w:t>
      </w:r>
    </w:p>
    <w:p w14:paraId="698ED38B" w14:textId="77777777" w:rsidR="00C25488" w:rsidRPr="000E76B8" w:rsidRDefault="00C25488" w:rsidP="00C25488">
      <w:pPr>
        <w:ind w:left="426"/>
        <w:rPr>
          <w:rFonts w:cs="Arial"/>
          <w:b/>
          <w:bCs/>
        </w:rPr>
      </w:pPr>
      <w:r w:rsidRPr="00B70A7A">
        <w:rPr>
          <w:rFonts w:cs="Arial"/>
          <w:b/>
          <w:bCs/>
        </w:rPr>
        <w:t>Schedule 3 – Delete Entry</w:t>
      </w:r>
    </w:p>
    <w:p w14:paraId="2756655F" w14:textId="77777777" w:rsidR="00C25488" w:rsidRPr="00DC5F62" w:rsidRDefault="00C25488" w:rsidP="00C25488">
      <w:pPr>
        <w:ind w:left="720"/>
        <w:rPr>
          <w:rFonts w:cs="Arial"/>
          <w:strike/>
          <w:color w:val="FF0000"/>
        </w:rPr>
      </w:pPr>
      <w:r w:rsidRPr="00DC5F62">
        <w:rPr>
          <w:rFonts w:cs="Arial"/>
          <w:strike/>
          <w:color w:val="FF0000"/>
        </w:rPr>
        <w:t>DIHYDROCODEINE when indicated for cough suppression and compounded with one or more other therapeutically active substances:</w:t>
      </w:r>
    </w:p>
    <w:p w14:paraId="387BBA3D" w14:textId="77777777" w:rsidR="00C25488" w:rsidRPr="00DC5F62" w:rsidRDefault="00C25488" w:rsidP="00C25488">
      <w:pPr>
        <w:ind w:left="1275"/>
        <w:rPr>
          <w:rFonts w:cs="Arial"/>
          <w:strike/>
          <w:color w:val="FF0000"/>
        </w:rPr>
      </w:pPr>
      <w:r w:rsidRPr="00DC5F62">
        <w:rPr>
          <w:rFonts w:cs="Arial"/>
          <w:strike/>
          <w:color w:val="FF0000"/>
        </w:rPr>
        <w:t>(a)  in divided preparations containing 10 mg or less of dihydrocodeine per dosage unit and with a recommended dose not exceeding 15 mg of dihydrocodeine; or</w:t>
      </w:r>
    </w:p>
    <w:p w14:paraId="7DA48FFF" w14:textId="77777777" w:rsidR="00C25488" w:rsidRPr="00DC5F62" w:rsidRDefault="00C25488" w:rsidP="00C25488">
      <w:pPr>
        <w:ind w:left="1275"/>
        <w:rPr>
          <w:rFonts w:cs="Arial"/>
          <w:strike/>
          <w:color w:val="FF0000"/>
        </w:rPr>
      </w:pPr>
      <w:r w:rsidRPr="00DC5F62">
        <w:rPr>
          <w:rFonts w:cs="Arial"/>
          <w:strike/>
          <w:color w:val="FF0000"/>
        </w:rPr>
        <w:t>(b)  in undivided preparations containing 0.25% or less of dihydrocodeine with a recommended dose not exceeding 15 mg of dihydrocodeine.</w:t>
      </w:r>
      <w:r>
        <w:rPr>
          <w:rFonts w:cs="Arial"/>
        </w:rPr>
        <w:t xml:space="preserve"> </w:t>
      </w:r>
    </w:p>
    <w:p w14:paraId="04E7786C" w14:textId="77777777" w:rsidR="002B50B0" w:rsidRDefault="002B50B0">
      <w:pPr>
        <w:rPr>
          <w:rFonts w:cs="Arial"/>
          <w:b/>
        </w:rPr>
      </w:pPr>
      <w:r>
        <w:rPr>
          <w:rFonts w:cs="Arial"/>
          <w:b/>
        </w:rPr>
        <w:br w:type="page"/>
      </w:r>
    </w:p>
    <w:p w14:paraId="2D3521AC" w14:textId="13AA3CB4" w:rsidR="00C25488" w:rsidRPr="00D149A2" w:rsidRDefault="00C25488" w:rsidP="00C25488">
      <w:pPr>
        <w:ind w:left="426"/>
        <w:rPr>
          <w:rFonts w:cs="Arial"/>
          <w:b/>
        </w:rPr>
      </w:pPr>
      <w:r w:rsidRPr="00D149A2">
        <w:rPr>
          <w:rFonts w:cs="Arial"/>
          <w:b/>
        </w:rPr>
        <w:lastRenderedPageBreak/>
        <w:t>Index</w:t>
      </w:r>
      <w:r>
        <w:rPr>
          <w:rFonts w:cs="Arial"/>
          <w:b/>
        </w:rPr>
        <w:t xml:space="preserve"> – Amend Entry</w:t>
      </w:r>
    </w:p>
    <w:p w14:paraId="6A599D05" w14:textId="77777777" w:rsidR="00C25488" w:rsidRDefault="00C25488" w:rsidP="00C25488">
      <w:pPr>
        <w:ind w:left="426" w:firstLine="294"/>
        <w:rPr>
          <w:rFonts w:cs="Arial"/>
        </w:rPr>
      </w:pPr>
      <w:r>
        <w:rPr>
          <w:rFonts w:cs="Arial"/>
        </w:rPr>
        <w:t>DIHYDROCODEINE</w:t>
      </w:r>
    </w:p>
    <w:p w14:paraId="0AE9CB58" w14:textId="77777777" w:rsidR="00C25488" w:rsidRPr="00D149A2" w:rsidRDefault="00C25488" w:rsidP="00C25488">
      <w:pPr>
        <w:ind w:left="425" w:firstLine="294"/>
        <w:rPr>
          <w:rFonts w:cs="Arial"/>
        </w:rPr>
      </w:pPr>
      <w:r>
        <w:rPr>
          <w:rFonts w:cs="Arial"/>
        </w:rPr>
        <w:t>Schedule 8</w:t>
      </w:r>
      <w:r>
        <w:br/>
      </w:r>
      <w:r>
        <w:tab/>
      </w:r>
      <w:r>
        <w:rPr>
          <w:rFonts w:cs="Arial"/>
        </w:rPr>
        <w:t>Schedule 4</w:t>
      </w:r>
      <w:r>
        <w:br/>
      </w:r>
      <w:r>
        <w:tab/>
      </w:r>
      <w:r w:rsidRPr="00DC5F62">
        <w:rPr>
          <w:rFonts w:cs="Arial"/>
          <w:strike/>
          <w:color w:val="FF0000"/>
        </w:rPr>
        <w:t>Schedule 3</w:t>
      </w:r>
      <w:r>
        <w:br/>
      </w:r>
      <w:r>
        <w:tab/>
      </w:r>
      <w:r w:rsidRPr="008152B9">
        <w:rPr>
          <w:rFonts w:cs="Arial"/>
        </w:rPr>
        <w:t>Appendix K, clause 1</w:t>
      </w:r>
    </w:p>
    <w:p w14:paraId="462AB27B" w14:textId="77777777" w:rsidR="00C25488" w:rsidRPr="00767E82" w:rsidRDefault="00C25488" w:rsidP="00C25488">
      <w:pPr>
        <w:ind w:left="426"/>
        <w:rPr>
          <w:rFonts w:cs="Arial"/>
          <w:b/>
        </w:rPr>
      </w:pPr>
      <w:r w:rsidRPr="00767E82">
        <w:rPr>
          <w:rFonts w:cs="Arial"/>
          <w:b/>
        </w:rPr>
        <w:t xml:space="preserve">Appendix K, clause 1 </w:t>
      </w:r>
    </w:p>
    <w:p w14:paraId="6F0DE568" w14:textId="320D3A24" w:rsidR="00C25488" w:rsidRDefault="00C25488" w:rsidP="00C25488">
      <w:pPr>
        <w:ind w:left="426" w:firstLine="294"/>
        <w:rPr>
          <w:rFonts w:cs="Arial"/>
        </w:rPr>
      </w:pPr>
      <w:r w:rsidRPr="00767E82">
        <w:rPr>
          <w:rFonts w:cs="Arial"/>
        </w:rPr>
        <w:t>Human medicines required to be labelled with a sedation warning</w:t>
      </w:r>
    </w:p>
    <w:tbl>
      <w:tblPr>
        <w:tblStyle w:val="TableTGAblue"/>
        <w:tblW w:w="3414" w:type="dxa"/>
        <w:tblInd w:w="747" w:type="dxa"/>
        <w:tblLook w:val="04A0" w:firstRow="1" w:lastRow="0" w:firstColumn="1" w:lastColumn="0" w:noHBand="0" w:noVBand="1"/>
      </w:tblPr>
      <w:tblGrid>
        <w:gridCol w:w="864"/>
        <w:gridCol w:w="2550"/>
      </w:tblGrid>
      <w:tr w:rsidR="00C25488" w:rsidRPr="00A204A3" w14:paraId="5235B49B" w14:textId="77777777" w:rsidTr="00014837">
        <w:trPr>
          <w:cnfStyle w:val="100000000000" w:firstRow="1" w:lastRow="0" w:firstColumn="0" w:lastColumn="0" w:oddVBand="0" w:evenVBand="0" w:oddHBand="0" w:evenHBand="0" w:firstRowFirstColumn="0" w:firstRowLastColumn="0" w:lastRowFirstColumn="0" w:lastRowLastColumn="0"/>
          <w:trHeight w:val="547"/>
        </w:trPr>
        <w:tc>
          <w:tcPr>
            <w:tcW w:w="864" w:type="dxa"/>
          </w:tcPr>
          <w:p w14:paraId="0326C6FD" w14:textId="77777777" w:rsidR="00C25488" w:rsidRPr="00977EA7" w:rsidRDefault="00C25488" w:rsidP="00082D97">
            <w:pPr>
              <w:pStyle w:val="ListBullet"/>
              <w:numPr>
                <w:ilvl w:val="0"/>
                <w:numId w:val="0"/>
              </w:numPr>
              <w:rPr>
                <w:rStyle w:val="Hyperlink"/>
                <w:rFonts w:asciiTheme="minorHAnsi" w:hAnsiTheme="minorHAnsi"/>
                <w:b w:val="0"/>
                <w:bCs/>
                <w:color w:val="FFFFFF" w:themeColor="background1"/>
                <w:sz w:val="20"/>
                <w:szCs w:val="20"/>
                <w:u w:val="none"/>
              </w:rPr>
            </w:pPr>
            <w:r w:rsidRPr="00BD2C93">
              <w:rPr>
                <w:rStyle w:val="Hyperlink"/>
                <w:rFonts w:asciiTheme="minorHAnsi" w:hAnsiTheme="minorHAnsi"/>
                <w:color w:val="FFFFFF" w:themeColor="background1"/>
                <w:sz w:val="20"/>
                <w:szCs w:val="20"/>
                <w:u w:val="none"/>
              </w:rPr>
              <w:t>Item</w:t>
            </w:r>
          </w:p>
        </w:tc>
        <w:tc>
          <w:tcPr>
            <w:tcW w:w="2550" w:type="dxa"/>
          </w:tcPr>
          <w:p w14:paraId="01AC834C" w14:textId="77777777" w:rsidR="00C25488" w:rsidRPr="00977EA7" w:rsidRDefault="00C25488" w:rsidP="00082D97">
            <w:pPr>
              <w:pStyle w:val="ListBullet"/>
              <w:numPr>
                <w:ilvl w:val="0"/>
                <w:numId w:val="0"/>
              </w:numPr>
              <w:rPr>
                <w:rStyle w:val="Hyperlink"/>
                <w:rFonts w:asciiTheme="minorHAnsi" w:hAnsiTheme="minorHAnsi"/>
                <w:color w:val="FFFFFF" w:themeColor="background1"/>
                <w:sz w:val="20"/>
                <w:szCs w:val="20"/>
                <w:u w:val="none"/>
              </w:rPr>
            </w:pPr>
            <w:r w:rsidRPr="00977EA7">
              <w:rPr>
                <w:rStyle w:val="Hyperlink"/>
                <w:rFonts w:asciiTheme="minorHAnsi" w:hAnsiTheme="minorHAnsi"/>
                <w:color w:val="FFFFFF" w:themeColor="background1"/>
                <w:sz w:val="20"/>
                <w:szCs w:val="20"/>
                <w:u w:val="none"/>
              </w:rPr>
              <w:t>Poison</w:t>
            </w:r>
          </w:p>
        </w:tc>
      </w:tr>
      <w:tr w:rsidR="001E5A05" w:rsidRPr="00A204A3" w14:paraId="3BD81F96" w14:textId="77777777" w:rsidTr="00014837">
        <w:trPr>
          <w:trHeight w:val="562"/>
        </w:trPr>
        <w:tc>
          <w:tcPr>
            <w:tcW w:w="864" w:type="dxa"/>
          </w:tcPr>
          <w:p w14:paraId="715E7F69" w14:textId="77777777" w:rsidR="00C25488" w:rsidRPr="00977EA7" w:rsidRDefault="00C25488" w:rsidP="00082D97">
            <w:pPr>
              <w:pStyle w:val="ListBullet"/>
              <w:numPr>
                <w:ilvl w:val="0"/>
                <w:numId w:val="0"/>
              </w:numPr>
              <w:rPr>
                <w:rStyle w:val="Hyperlink"/>
                <w:rFonts w:asciiTheme="minorHAnsi" w:hAnsiTheme="minorHAnsi"/>
                <w:color w:val="auto"/>
                <w:sz w:val="20"/>
                <w:szCs w:val="20"/>
                <w:u w:val="none"/>
              </w:rPr>
            </w:pPr>
            <w:r w:rsidRPr="00977EA7">
              <w:rPr>
                <w:rStyle w:val="Hyperlink"/>
                <w:rFonts w:asciiTheme="minorHAnsi" w:hAnsiTheme="minorHAnsi"/>
                <w:color w:val="auto"/>
                <w:sz w:val="20"/>
                <w:szCs w:val="20"/>
                <w:u w:val="none"/>
              </w:rPr>
              <w:t>45</w:t>
            </w:r>
          </w:p>
        </w:tc>
        <w:tc>
          <w:tcPr>
            <w:tcW w:w="2550" w:type="dxa"/>
          </w:tcPr>
          <w:p w14:paraId="514AC0ED" w14:textId="77777777" w:rsidR="00C25488" w:rsidRPr="00977EA7" w:rsidRDefault="00C25488" w:rsidP="00082D97">
            <w:pPr>
              <w:pStyle w:val="ListBullet"/>
              <w:numPr>
                <w:ilvl w:val="0"/>
                <w:numId w:val="0"/>
              </w:numPr>
              <w:ind w:left="-23"/>
              <w:rPr>
                <w:rStyle w:val="Hyperlink"/>
                <w:rFonts w:asciiTheme="minorHAnsi" w:hAnsiTheme="minorHAnsi"/>
                <w:color w:val="auto"/>
                <w:sz w:val="20"/>
                <w:szCs w:val="20"/>
                <w:u w:val="none"/>
              </w:rPr>
            </w:pPr>
            <w:r w:rsidRPr="00977EA7">
              <w:rPr>
                <w:rStyle w:val="Hyperlink"/>
                <w:rFonts w:asciiTheme="minorHAnsi" w:hAnsiTheme="minorHAnsi"/>
                <w:color w:val="auto"/>
                <w:sz w:val="20"/>
                <w:szCs w:val="20"/>
                <w:u w:val="none"/>
              </w:rPr>
              <w:t>DIHYDROCODEINE</w:t>
            </w:r>
          </w:p>
        </w:tc>
      </w:tr>
    </w:tbl>
    <w:p w14:paraId="6D408F03" w14:textId="77777777" w:rsidR="00C25488" w:rsidRPr="00D149A2" w:rsidRDefault="00C25488" w:rsidP="008C549F">
      <w:pPr>
        <w:pStyle w:val="Heading4"/>
      </w:pPr>
      <w:bookmarkStart w:id="37" w:name="_Toc155176359"/>
      <w:r w:rsidRPr="00D149A2">
        <w:t>Background</w:t>
      </w:r>
      <w:bookmarkEnd w:id="37"/>
    </w:p>
    <w:p w14:paraId="60BB57E7" w14:textId="3F036F19" w:rsidR="00C25488" w:rsidRDefault="00C25488" w:rsidP="00C25488">
      <w:pPr>
        <w:rPr>
          <w:rFonts w:cs="Arial"/>
        </w:rPr>
      </w:pPr>
      <w:r w:rsidRPr="5ABB006D">
        <w:rPr>
          <w:rFonts w:cs="Arial"/>
        </w:rPr>
        <w:t xml:space="preserve">Dihydrocodeine is an opioid derivative that is used to relieve </w:t>
      </w:r>
      <w:r w:rsidR="00BB0B67">
        <w:rPr>
          <w:rFonts w:cs="Arial"/>
        </w:rPr>
        <w:t>dry</w:t>
      </w:r>
      <w:r w:rsidR="00BB0B67" w:rsidRPr="5ABB006D">
        <w:rPr>
          <w:rFonts w:cs="Arial"/>
        </w:rPr>
        <w:t xml:space="preserve"> </w:t>
      </w:r>
      <w:r w:rsidRPr="5ABB006D">
        <w:rPr>
          <w:rFonts w:cs="Arial"/>
        </w:rPr>
        <w:t>coughs and to treat moderate to moderately severe pain. Dihydrocodeine has a high risk of dependence</w:t>
      </w:r>
      <w:r w:rsidR="0087447F">
        <w:rPr>
          <w:rFonts w:cs="Arial"/>
        </w:rPr>
        <w:t xml:space="preserve"> even when taken at</w:t>
      </w:r>
      <w:r w:rsidRPr="5ABB006D">
        <w:rPr>
          <w:rFonts w:cs="Arial"/>
        </w:rPr>
        <w:t xml:space="preserve"> therapeutic doses</w:t>
      </w:r>
      <w:r w:rsidR="0087447F">
        <w:rPr>
          <w:rFonts w:cs="Arial"/>
        </w:rPr>
        <w:t xml:space="preserve">. It can also </w:t>
      </w:r>
      <w:r w:rsidRPr="5ABB006D">
        <w:rPr>
          <w:rFonts w:cs="Arial"/>
        </w:rPr>
        <w:t>produce euphoria</w:t>
      </w:r>
      <w:r w:rsidR="0087447F">
        <w:rPr>
          <w:rFonts w:cs="Arial"/>
        </w:rPr>
        <w:t xml:space="preserve"> </w:t>
      </w:r>
      <w:r w:rsidRPr="5ABB006D">
        <w:rPr>
          <w:rFonts w:cs="Arial"/>
        </w:rPr>
        <w:t xml:space="preserve">and has a known potential for abuse. </w:t>
      </w:r>
      <w:r w:rsidR="00E77791">
        <w:rPr>
          <w:rFonts w:cs="Arial"/>
        </w:rPr>
        <w:t xml:space="preserve">As an opioid, the </w:t>
      </w:r>
      <w:r w:rsidRPr="5ABB006D">
        <w:rPr>
          <w:rFonts w:cs="Arial"/>
        </w:rPr>
        <w:t xml:space="preserve">use of dihydrocodeine is associated with </w:t>
      </w:r>
      <w:r w:rsidR="00DD5F81">
        <w:rPr>
          <w:rFonts w:cs="Arial"/>
        </w:rPr>
        <w:t xml:space="preserve">the </w:t>
      </w:r>
      <w:r w:rsidRPr="5ABB006D">
        <w:rPr>
          <w:rFonts w:cs="Arial"/>
        </w:rPr>
        <w:t>risk of respiratory depression, tolerance, physical dependence and withdrawal.</w:t>
      </w:r>
    </w:p>
    <w:p w14:paraId="0E2835D4" w14:textId="32CD180C" w:rsidR="00C25488" w:rsidRDefault="00DA13DB" w:rsidP="00C25488">
      <w:pPr>
        <w:rPr>
          <w:rFonts w:cs="Arial"/>
        </w:rPr>
      </w:pPr>
      <w:r>
        <w:rPr>
          <w:rFonts w:cs="Arial"/>
        </w:rPr>
        <w:t>D</w:t>
      </w:r>
      <w:r w:rsidR="00C25488" w:rsidRPr="5ABB006D">
        <w:rPr>
          <w:rFonts w:cs="Arial"/>
        </w:rPr>
        <w:t xml:space="preserve">ihydrocodeine is available as a Schedule 3 (Pharmacist Only) oral liquid for the relief of stubborn </w:t>
      </w:r>
      <w:r>
        <w:rPr>
          <w:rFonts w:cs="Arial"/>
        </w:rPr>
        <w:t>un</w:t>
      </w:r>
      <w:r w:rsidR="00C25488" w:rsidRPr="5ABB006D">
        <w:rPr>
          <w:rFonts w:cs="Arial"/>
        </w:rPr>
        <w:t xml:space="preserve">productive cough. </w:t>
      </w:r>
      <w:r>
        <w:rPr>
          <w:rFonts w:cs="Arial"/>
        </w:rPr>
        <w:t>There is currently one registered product containing dihydrocodeine that is available as a pharmacist only medicine in Australia.</w:t>
      </w:r>
    </w:p>
    <w:p w14:paraId="37A5B1A0" w14:textId="46FC4CAE" w:rsidR="00C25488" w:rsidRDefault="0087447F" w:rsidP="0087447F">
      <w:r>
        <w:t xml:space="preserve">The scheduling of dihydrocodeine was considered alongside the </w:t>
      </w:r>
      <w:r w:rsidR="008F36D3">
        <w:t>up-scheduling of codeine</w:t>
      </w:r>
      <w:r w:rsidR="00772586">
        <w:t xml:space="preserve"> in 2016</w:t>
      </w:r>
      <w:r>
        <w:t>, which became a prescription-only medicine in February 2018.</w:t>
      </w:r>
      <w:r w:rsidR="00161323">
        <w:t xml:space="preserve"> </w:t>
      </w:r>
      <w:r>
        <w:t>Dihydrocodeine was last considered in 2017, where t</w:t>
      </w:r>
      <w:r w:rsidR="00BB7A90">
        <w:t xml:space="preserve">he Schedule 2 entry </w:t>
      </w:r>
      <w:r>
        <w:t>that</w:t>
      </w:r>
      <w:r w:rsidR="00BB7A90">
        <w:t xml:space="preserve"> included products co-formulated with aspirin</w:t>
      </w:r>
      <w:r w:rsidR="00772586">
        <w:t xml:space="preserve"> </w:t>
      </w:r>
      <w:r w:rsidR="00BB7A90">
        <w:t>was deleted</w:t>
      </w:r>
      <w:r>
        <w:t>, and t</w:t>
      </w:r>
      <w:r w:rsidR="00BB7A90">
        <w:t xml:space="preserve">he Schedule 3 entry was retained </w:t>
      </w:r>
      <w:r w:rsidR="00A204A3">
        <w:t>due to</w:t>
      </w:r>
      <w:r w:rsidR="00BB7A90">
        <w:t xml:space="preserve"> lack of evidence to support its deletion.</w:t>
      </w:r>
    </w:p>
    <w:p w14:paraId="6A9C1606" w14:textId="77777777" w:rsidR="00C25488" w:rsidRPr="00D149A2" w:rsidRDefault="00C25488" w:rsidP="008C549F">
      <w:pPr>
        <w:pStyle w:val="Heading4"/>
      </w:pPr>
      <w:bookmarkStart w:id="38" w:name="_Toc155176360"/>
      <w:r w:rsidRPr="00D149A2">
        <w:t>Summary of applicant’s reasons for the proposal</w:t>
      </w:r>
      <w:bookmarkEnd w:id="38"/>
    </w:p>
    <w:p w14:paraId="0105C84A" w14:textId="01C9DDD7" w:rsidR="00C25488" w:rsidRPr="009A131B" w:rsidRDefault="00C25488" w:rsidP="00205F5F">
      <w:pPr>
        <w:pStyle w:val="ListBullet"/>
      </w:pPr>
      <w:r w:rsidRPr="009A131B">
        <w:t>Dihydrocodeine is a highly addictive substance and is commonly sought out by the public for recreational use or off label management of opioid addiction.</w:t>
      </w:r>
    </w:p>
    <w:p w14:paraId="55E165C5" w14:textId="385026B8" w:rsidR="00C25488" w:rsidRPr="009A131B" w:rsidRDefault="00C25488" w:rsidP="00205F5F">
      <w:pPr>
        <w:pStyle w:val="ListBullet"/>
      </w:pPr>
      <w:r w:rsidRPr="009A131B">
        <w:t>The current formulation of Schedule 3 (Pharmacist Only) dihydrocodeine preparation contains sorbitol which aims to limit potential abuse by exerting unwanted gastrointestinal side effects if daily dose is exceeded. However, this combination does not prevent misuse or overuse of the product.</w:t>
      </w:r>
    </w:p>
    <w:p w14:paraId="430A1AD2" w14:textId="4A6BFA2F" w:rsidR="00C25488" w:rsidRPr="009A131B" w:rsidRDefault="00C25488" w:rsidP="00205F5F">
      <w:pPr>
        <w:pStyle w:val="ListBullet"/>
      </w:pPr>
      <w:r w:rsidRPr="009A131B">
        <w:t xml:space="preserve">Pharmacy settings are unable to control the supply of dihydrocodeine to consumers as other members of the public </w:t>
      </w:r>
      <w:r w:rsidR="002B50B0" w:rsidRPr="009A131B">
        <w:t>can</w:t>
      </w:r>
      <w:r w:rsidRPr="009A131B">
        <w:t xml:space="preserve"> purchase </w:t>
      </w:r>
      <w:r w:rsidR="002B50B0">
        <w:t xml:space="preserve">products </w:t>
      </w:r>
      <w:r w:rsidRPr="009A131B">
        <w:t>on their behalf.</w:t>
      </w:r>
    </w:p>
    <w:p w14:paraId="75B3D0F0" w14:textId="0CEAAA95" w:rsidR="00C25488" w:rsidRPr="00D149A2" w:rsidRDefault="00C25488" w:rsidP="008C549F">
      <w:pPr>
        <w:pStyle w:val="Heading4"/>
      </w:pPr>
      <w:bookmarkStart w:id="39" w:name="_Toc155176361"/>
      <w:r w:rsidRPr="00D149A2">
        <w:t>Key uses / expected use</w:t>
      </w:r>
      <w:bookmarkEnd w:id="39"/>
    </w:p>
    <w:p w14:paraId="0E63818C" w14:textId="77777777" w:rsidR="00C25488" w:rsidRPr="00D149A2" w:rsidRDefault="00C25488" w:rsidP="00C25488">
      <w:pPr>
        <w:rPr>
          <w:rFonts w:cs="Arial"/>
        </w:rPr>
      </w:pPr>
      <w:r w:rsidRPr="005740D4">
        <w:rPr>
          <w:rFonts w:cs="Arial"/>
        </w:rPr>
        <w:t>Medicines</w:t>
      </w:r>
    </w:p>
    <w:p w14:paraId="1A6DA32A" w14:textId="77777777" w:rsidR="00C25488" w:rsidRPr="00D149A2" w:rsidRDefault="00C25488" w:rsidP="008C549F">
      <w:pPr>
        <w:pStyle w:val="Heading4"/>
      </w:pPr>
      <w:bookmarkStart w:id="40" w:name="_Toc155176362"/>
      <w:r w:rsidRPr="00D149A2">
        <w:t>Australian regulations</w:t>
      </w:r>
      <w:bookmarkEnd w:id="40"/>
    </w:p>
    <w:p w14:paraId="7B194AC9" w14:textId="77777777" w:rsidR="00C25488" w:rsidRPr="00977EA7" w:rsidRDefault="00C25488" w:rsidP="00082D97">
      <w:pPr>
        <w:pStyle w:val="ListBullet"/>
      </w:pPr>
      <w:r w:rsidRPr="00977EA7">
        <w:t xml:space="preserve">According to the </w:t>
      </w:r>
      <w:hyperlink r:id="rId45">
        <w:r w:rsidRPr="00977EA7">
          <w:rPr>
            <w:rStyle w:val="Hyperlink"/>
            <w:rFonts w:asciiTheme="minorHAnsi" w:hAnsiTheme="minorHAnsi"/>
          </w:rPr>
          <w:t>TGA Ingredient Database</w:t>
        </w:r>
      </w:hyperlink>
      <w:r w:rsidRPr="00977EA7">
        <w:t>, dihydrocodeine is:</w:t>
      </w:r>
    </w:p>
    <w:p w14:paraId="1456FAA2" w14:textId="0338F066" w:rsidR="00C25488" w:rsidRPr="0069383B" w:rsidRDefault="00C25488" w:rsidP="00C25488">
      <w:pPr>
        <w:pStyle w:val="ListBullet2"/>
        <w:rPr>
          <w:rFonts w:asciiTheme="minorHAnsi" w:hAnsiTheme="minorHAnsi" w:cstheme="minorHAnsi"/>
        </w:rPr>
      </w:pPr>
      <w:r w:rsidRPr="0069383B">
        <w:rPr>
          <w:rFonts w:asciiTheme="minorHAnsi" w:hAnsiTheme="minorHAnsi" w:cstheme="minorHAnsi"/>
        </w:rPr>
        <w:t>Available for use as an Active Ingredient in Biologicals, Export Only, Over the Counter and Prescription Medicines</w:t>
      </w:r>
    </w:p>
    <w:p w14:paraId="67D9C4D5" w14:textId="3A6B2F61" w:rsidR="00C25488" w:rsidRPr="0069383B" w:rsidRDefault="00C25488" w:rsidP="00C25488">
      <w:pPr>
        <w:pStyle w:val="ListBullet2"/>
        <w:rPr>
          <w:rFonts w:asciiTheme="minorHAnsi" w:hAnsiTheme="minorHAnsi" w:cstheme="minorHAnsi"/>
        </w:rPr>
      </w:pPr>
      <w:r w:rsidRPr="0069383B">
        <w:rPr>
          <w:rFonts w:asciiTheme="minorHAnsi" w:hAnsiTheme="minorHAnsi" w:cstheme="minorHAnsi"/>
        </w:rPr>
        <w:t>Available for use as an Excipient Ingredient in Biologicals, Devices and Prescription Medicines</w:t>
      </w:r>
    </w:p>
    <w:p w14:paraId="2861111F" w14:textId="6EB7C231" w:rsidR="00C25488" w:rsidRPr="0069383B" w:rsidRDefault="00C25488" w:rsidP="00C25488">
      <w:pPr>
        <w:pStyle w:val="ListBullet2"/>
        <w:rPr>
          <w:rFonts w:asciiTheme="minorHAnsi" w:hAnsiTheme="minorHAnsi" w:cstheme="minorHAnsi"/>
        </w:rPr>
      </w:pPr>
      <w:r w:rsidRPr="0069383B">
        <w:rPr>
          <w:rFonts w:asciiTheme="minorHAnsi" w:hAnsiTheme="minorHAnsi" w:cstheme="minorHAnsi"/>
        </w:rPr>
        <w:lastRenderedPageBreak/>
        <w:t>Not available as an Equivalent Ingredient in any application</w:t>
      </w:r>
    </w:p>
    <w:p w14:paraId="2EDAA1C3" w14:textId="1F37ADE5" w:rsidR="00C25488" w:rsidRPr="00977EA7" w:rsidRDefault="00C25488" w:rsidP="00082D97">
      <w:pPr>
        <w:pStyle w:val="ListBullet"/>
      </w:pPr>
      <w:r w:rsidRPr="00977EA7">
        <w:t xml:space="preserve">As of December 2023, there was one medicine active on the </w:t>
      </w:r>
      <w:hyperlink r:id="rId46">
        <w:r w:rsidRPr="00977EA7">
          <w:rPr>
            <w:rStyle w:val="Hyperlink"/>
            <w:rFonts w:asciiTheme="minorHAnsi" w:hAnsiTheme="minorHAnsi"/>
          </w:rPr>
          <w:t>Australian Register of Therapeutic Goods (ARTG)</w:t>
        </w:r>
      </w:hyperlink>
      <w:r w:rsidRPr="00977EA7">
        <w:t xml:space="preserve"> that contain dihydrocodeine as an active ingredient</w:t>
      </w:r>
      <w:r w:rsidR="00BB0B67">
        <w:t>.</w:t>
      </w:r>
    </w:p>
    <w:p w14:paraId="147C84F8" w14:textId="77777777" w:rsidR="00C25488" w:rsidRPr="00977EA7" w:rsidRDefault="00C25488" w:rsidP="00082D97">
      <w:pPr>
        <w:pStyle w:val="ListBullet"/>
      </w:pPr>
      <w:r w:rsidRPr="00977EA7">
        <w:t xml:space="preserve">Dihydrocodeine is not permitted to be included in listed medicines as it is not included in the </w:t>
      </w:r>
      <w:hyperlink r:id="rId47">
        <w:r w:rsidRPr="00977EA7">
          <w:rPr>
            <w:rStyle w:val="Hyperlink"/>
            <w:rFonts w:asciiTheme="minorHAnsi" w:hAnsiTheme="minorHAnsi"/>
          </w:rPr>
          <w:t>Therapeutic Goods (Permissible Ingredients) Determination</w:t>
        </w:r>
      </w:hyperlink>
      <w:r w:rsidRPr="00977EA7">
        <w:t xml:space="preserve"> No.4 of 2023. </w:t>
      </w:r>
    </w:p>
    <w:p w14:paraId="0805CA61" w14:textId="77777777" w:rsidR="00C25488" w:rsidRPr="00977EA7" w:rsidRDefault="00C25488" w:rsidP="00082D97">
      <w:pPr>
        <w:pStyle w:val="ListBullet"/>
      </w:pPr>
      <w:r w:rsidRPr="00977EA7">
        <w:t xml:space="preserve">The </w:t>
      </w:r>
      <w:hyperlink r:id="rId48">
        <w:r w:rsidRPr="00977EA7">
          <w:rPr>
            <w:rStyle w:val="Hyperlink"/>
            <w:rFonts w:asciiTheme="minorHAnsi" w:hAnsiTheme="minorHAnsi"/>
          </w:rPr>
          <w:t>TGA prescribing medicines in pregnancy database</w:t>
        </w:r>
      </w:hyperlink>
      <w:r w:rsidRPr="00977EA7">
        <w:t xml:space="preserve"> classifies dihydrocodeine as:</w:t>
      </w:r>
    </w:p>
    <w:tbl>
      <w:tblPr>
        <w:tblStyle w:val="TableTGAblue"/>
        <w:tblW w:w="9062" w:type="dxa"/>
        <w:tblLook w:val="04A0" w:firstRow="1" w:lastRow="0" w:firstColumn="1" w:lastColumn="0" w:noHBand="0" w:noVBand="1"/>
      </w:tblPr>
      <w:tblGrid>
        <w:gridCol w:w="1680"/>
        <w:gridCol w:w="1145"/>
        <w:gridCol w:w="2079"/>
        <w:gridCol w:w="2079"/>
        <w:gridCol w:w="2079"/>
      </w:tblGrid>
      <w:tr w:rsidR="00C25488" w:rsidRPr="00A204A3" w14:paraId="3FBD10AD" w14:textId="77777777" w:rsidTr="00FB214C">
        <w:trPr>
          <w:cnfStyle w:val="100000000000" w:firstRow="1" w:lastRow="0" w:firstColumn="0" w:lastColumn="0" w:oddVBand="0" w:evenVBand="0" w:oddHBand="0" w:evenHBand="0" w:firstRowFirstColumn="0" w:firstRowLastColumn="0" w:lastRowFirstColumn="0" w:lastRowLastColumn="0"/>
          <w:trHeight w:val="505"/>
        </w:trPr>
        <w:tc>
          <w:tcPr>
            <w:tcW w:w="1680" w:type="dxa"/>
          </w:tcPr>
          <w:p w14:paraId="6131AC20" w14:textId="77777777" w:rsidR="00C25488" w:rsidRPr="00977EA7" w:rsidRDefault="00C25488" w:rsidP="00FB214C">
            <w:pPr>
              <w:keepLines/>
              <w:spacing w:before="120" w:after="120" w:line="240" w:lineRule="auto"/>
              <w:rPr>
                <w:rFonts w:asciiTheme="minorHAnsi" w:hAnsiTheme="minorHAnsi" w:cstheme="minorHAnsi"/>
                <w:color w:val="FFFFFF" w:themeColor="background1"/>
                <w:sz w:val="20"/>
                <w:szCs w:val="20"/>
              </w:rPr>
            </w:pPr>
            <w:r w:rsidRPr="00977EA7">
              <w:rPr>
                <w:rFonts w:asciiTheme="minorHAnsi" w:hAnsiTheme="minorHAnsi" w:cstheme="minorHAnsi"/>
                <w:color w:val="FFFFFF" w:themeColor="background1"/>
                <w:sz w:val="20"/>
                <w:szCs w:val="20"/>
              </w:rPr>
              <w:t>Drug name</w:t>
            </w:r>
          </w:p>
        </w:tc>
        <w:tc>
          <w:tcPr>
            <w:tcW w:w="1145" w:type="dxa"/>
          </w:tcPr>
          <w:p w14:paraId="49A52D01" w14:textId="77777777" w:rsidR="00C25488" w:rsidRPr="00977EA7" w:rsidRDefault="00C25488" w:rsidP="00FB214C">
            <w:pPr>
              <w:keepLines/>
              <w:spacing w:before="120" w:after="120" w:line="240" w:lineRule="auto"/>
              <w:rPr>
                <w:rFonts w:asciiTheme="minorHAnsi" w:hAnsiTheme="minorHAnsi" w:cstheme="minorHAnsi"/>
                <w:color w:val="FFFFFF" w:themeColor="background1"/>
                <w:sz w:val="20"/>
                <w:szCs w:val="20"/>
              </w:rPr>
            </w:pPr>
            <w:r w:rsidRPr="00977EA7">
              <w:rPr>
                <w:rFonts w:asciiTheme="minorHAnsi" w:hAnsiTheme="minorHAnsi" w:cstheme="minorHAnsi"/>
                <w:color w:val="FFFFFF" w:themeColor="background1"/>
                <w:sz w:val="20"/>
                <w:szCs w:val="20"/>
              </w:rPr>
              <w:t>Category</w:t>
            </w:r>
          </w:p>
        </w:tc>
        <w:tc>
          <w:tcPr>
            <w:tcW w:w="2079" w:type="dxa"/>
          </w:tcPr>
          <w:p w14:paraId="60BC4FFC" w14:textId="77777777" w:rsidR="00C25488" w:rsidRPr="00977EA7" w:rsidRDefault="00C25488" w:rsidP="00FB214C">
            <w:pPr>
              <w:keepLines/>
              <w:spacing w:before="120" w:after="120" w:line="240" w:lineRule="auto"/>
              <w:rPr>
                <w:rFonts w:asciiTheme="minorHAnsi" w:hAnsiTheme="minorHAnsi" w:cstheme="minorHAnsi"/>
                <w:color w:val="FFFFFF" w:themeColor="background1"/>
                <w:sz w:val="20"/>
                <w:szCs w:val="20"/>
              </w:rPr>
            </w:pPr>
            <w:r w:rsidRPr="00977EA7">
              <w:rPr>
                <w:rFonts w:asciiTheme="minorHAnsi" w:hAnsiTheme="minorHAnsi" w:cstheme="minorHAnsi"/>
                <w:color w:val="FFFFFF" w:themeColor="background1"/>
                <w:sz w:val="20"/>
                <w:szCs w:val="20"/>
              </w:rPr>
              <w:t>Classification Level 1</w:t>
            </w:r>
          </w:p>
        </w:tc>
        <w:tc>
          <w:tcPr>
            <w:tcW w:w="2079" w:type="dxa"/>
          </w:tcPr>
          <w:p w14:paraId="33556178" w14:textId="77777777" w:rsidR="00C25488" w:rsidRPr="00977EA7" w:rsidRDefault="00C25488" w:rsidP="00FB214C">
            <w:pPr>
              <w:keepLines/>
              <w:spacing w:before="120" w:after="120" w:line="240" w:lineRule="auto"/>
              <w:rPr>
                <w:rFonts w:asciiTheme="minorHAnsi" w:hAnsiTheme="minorHAnsi" w:cstheme="minorHAnsi"/>
                <w:color w:val="FFFFFF" w:themeColor="background1"/>
                <w:sz w:val="20"/>
                <w:szCs w:val="20"/>
              </w:rPr>
            </w:pPr>
            <w:r w:rsidRPr="00977EA7">
              <w:rPr>
                <w:rFonts w:asciiTheme="minorHAnsi" w:hAnsiTheme="minorHAnsi" w:cstheme="minorHAnsi"/>
                <w:color w:val="FFFFFF" w:themeColor="background1"/>
                <w:sz w:val="20"/>
                <w:szCs w:val="20"/>
              </w:rPr>
              <w:t>Classification Level 2</w:t>
            </w:r>
          </w:p>
        </w:tc>
        <w:tc>
          <w:tcPr>
            <w:tcW w:w="2079" w:type="dxa"/>
          </w:tcPr>
          <w:p w14:paraId="6D891A26" w14:textId="77777777" w:rsidR="00C25488" w:rsidRPr="00977EA7" w:rsidRDefault="00C25488" w:rsidP="00FB214C">
            <w:pPr>
              <w:keepLines/>
              <w:spacing w:before="120" w:after="120" w:line="240" w:lineRule="auto"/>
              <w:rPr>
                <w:rFonts w:asciiTheme="minorHAnsi" w:hAnsiTheme="minorHAnsi" w:cstheme="minorHAnsi"/>
                <w:color w:val="FFFFFF" w:themeColor="background1"/>
                <w:sz w:val="20"/>
                <w:szCs w:val="20"/>
              </w:rPr>
            </w:pPr>
            <w:r w:rsidRPr="00977EA7">
              <w:rPr>
                <w:rFonts w:asciiTheme="minorHAnsi" w:hAnsiTheme="minorHAnsi" w:cstheme="minorHAnsi"/>
                <w:color w:val="FFFFFF" w:themeColor="background1"/>
                <w:sz w:val="20"/>
                <w:szCs w:val="20"/>
              </w:rPr>
              <w:t>Classification Level 3</w:t>
            </w:r>
          </w:p>
        </w:tc>
      </w:tr>
      <w:tr w:rsidR="00C25488" w:rsidRPr="00A204A3" w14:paraId="1D13C780" w14:textId="77777777" w:rsidTr="00FB214C">
        <w:trPr>
          <w:trHeight w:val="300"/>
        </w:trPr>
        <w:tc>
          <w:tcPr>
            <w:tcW w:w="1680" w:type="dxa"/>
          </w:tcPr>
          <w:p w14:paraId="533593D7" w14:textId="77777777" w:rsidR="00C25488" w:rsidRPr="00977EA7" w:rsidRDefault="00C25488" w:rsidP="00FB214C">
            <w:pPr>
              <w:spacing w:before="120" w:after="120" w:line="240" w:lineRule="auto"/>
              <w:rPr>
                <w:rFonts w:cstheme="minorHAnsi"/>
                <w:sz w:val="20"/>
                <w:szCs w:val="20"/>
              </w:rPr>
            </w:pPr>
            <w:r w:rsidRPr="00977EA7">
              <w:rPr>
                <w:rFonts w:cstheme="minorHAnsi"/>
                <w:sz w:val="20"/>
                <w:szCs w:val="20"/>
              </w:rPr>
              <w:t>Dihydrocodeine</w:t>
            </w:r>
          </w:p>
        </w:tc>
        <w:tc>
          <w:tcPr>
            <w:tcW w:w="1145" w:type="dxa"/>
          </w:tcPr>
          <w:p w14:paraId="49757486" w14:textId="77777777" w:rsidR="00C25488" w:rsidRPr="00977EA7" w:rsidRDefault="00C25488" w:rsidP="00FB214C">
            <w:pPr>
              <w:spacing w:before="120" w:after="120" w:line="240" w:lineRule="auto"/>
              <w:rPr>
                <w:rFonts w:cstheme="minorHAnsi"/>
                <w:sz w:val="20"/>
                <w:szCs w:val="20"/>
              </w:rPr>
            </w:pPr>
            <w:r w:rsidRPr="00977EA7">
              <w:rPr>
                <w:rFonts w:cstheme="minorHAnsi"/>
                <w:sz w:val="20"/>
                <w:szCs w:val="20"/>
              </w:rPr>
              <w:t>A</w:t>
            </w:r>
          </w:p>
        </w:tc>
        <w:tc>
          <w:tcPr>
            <w:tcW w:w="2079" w:type="dxa"/>
          </w:tcPr>
          <w:p w14:paraId="3A041538" w14:textId="77777777" w:rsidR="00C25488" w:rsidRPr="00977EA7" w:rsidRDefault="00C25488" w:rsidP="00FB214C">
            <w:pPr>
              <w:spacing w:before="120" w:after="120" w:line="240" w:lineRule="auto"/>
              <w:rPr>
                <w:rFonts w:cstheme="minorHAnsi"/>
                <w:sz w:val="20"/>
                <w:szCs w:val="20"/>
              </w:rPr>
            </w:pPr>
            <w:r w:rsidRPr="00977EA7">
              <w:rPr>
                <w:rFonts w:cstheme="minorHAnsi"/>
                <w:sz w:val="20"/>
                <w:szCs w:val="20"/>
              </w:rPr>
              <w:t>Central Nervous System</w:t>
            </w:r>
          </w:p>
        </w:tc>
        <w:tc>
          <w:tcPr>
            <w:tcW w:w="2079" w:type="dxa"/>
          </w:tcPr>
          <w:p w14:paraId="49AEC555" w14:textId="77777777" w:rsidR="00C25488" w:rsidRPr="00977EA7" w:rsidRDefault="00C25488" w:rsidP="00FB214C">
            <w:pPr>
              <w:spacing w:before="120" w:after="120" w:line="240" w:lineRule="auto"/>
              <w:rPr>
                <w:rFonts w:cstheme="minorHAnsi"/>
                <w:sz w:val="20"/>
                <w:szCs w:val="20"/>
              </w:rPr>
            </w:pPr>
            <w:r w:rsidRPr="00977EA7">
              <w:rPr>
                <w:rFonts w:cstheme="minorHAnsi"/>
                <w:sz w:val="20"/>
                <w:szCs w:val="20"/>
              </w:rPr>
              <w:t>Analgesics and Antipyretics (see also non-steroidal anti-inflammatory agents)</w:t>
            </w:r>
          </w:p>
        </w:tc>
        <w:tc>
          <w:tcPr>
            <w:tcW w:w="2079" w:type="dxa"/>
          </w:tcPr>
          <w:p w14:paraId="50D52C5D" w14:textId="77777777" w:rsidR="00C25488" w:rsidRPr="00977EA7" w:rsidRDefault="00C25488" w:rsidP="00FB214C">
            <w:pPr>
              <w:spacing w:before="120" w:after="120" w:line="240" w:lineRule="auto"/>
              <w:rPr>
                <w:rFonts w:cstheme="minorHAnsi"/>
                <w:sz w:val="20"/>
                <w:szCs w:val="20"/>
              </w:rPr>
            </w:pPr>
            <w:r w:rsidRPr="00977EA7">
              <w:rPr>
                <w:rFonts w:cstheme="minorHAnsi"/>
                <w:sz w:val="20"/>
                <w:szCs w:val="20"/>
              </w:rPr>
              <w:t>Opioid analgesics</w:t>
            </w:r>
          </w:p>
        </w:tc>
      </w:tr>
      <w:tr w:rsidR="00C25488" w:rsidRPr="00A204A3" w14:paraId="447A18CF" w14:textId="77777777" w:rsidTr="00FB214C">
        <w:tc>
          <w:tcPr>
            <w:tcW w:w="1680" w:type="dxa"/>
          </w:tcPr>
          <w:p w14:paraId="1AD93991" w14:textId="77777777" w:rsidR="00C25488" w:rsidRPr="00977EA7" w:rsidRDefault="00C25488" w:rsidP="00FB214C">
            <w:pPr>
              <w:spacing w:before="120" w:after="120" w:line="240" w:lineRule="auto"/>
              <w:rPr>
                <w:rFonts w:cstheme="minorHAnsi"/>
                <w:sz w:val="20"/>
                <w:szCs w:val="20"/>
              </w:rPr>
            </w:pPr>
            <w:r w:rsidRPr="00977EA7">
              <w:rPr>
                <w:rFonts w:cstheme="minorHAnsi"/>
                <w:sz w:val="20"/>
                <w:szCs w:val="20"/>
              </w:rPr>
              <w:t>Dihydrocodeine</w:t>
            </w:r>
          </w:p>
        </w:tc>
        <w:tc>
          <w:tcPr>
            <w:tcW w:w="1145" w:type="dxa"/>
          </w:tcPr>
          <w:p w14:paraId="1A822EC5" w14:textId="77777777" w:rsidR="00C25488" w:rsidRPr="00977EA7" w:rsidRDefault="00C25488" w:rsidP="00FB214C">
            <w:pPr>
              <w:keepNext/>
              <w:keepLines/>
              <w:spacing w:before="120" w:after="120" w:line="240" w:lineRule="auto"/>
              <w:rPr>
                <w:rFonts w:cstheme="minorHAnsi"/>
                <w:sz w:val="20"/>
                <w:szCs w:val="20"/>
              </w:rPr>
            </w:pPr>
            <w:r w:rsidRPr="00977EA7">
              <w:rPr>
                <w:rFonts w:cstheme="minorHAnsi"/>
                <w:sz w:val="20"/>
                <w:szCs w:val="20"/>
              </w:rPr>
              <w:t>A</w:t>
            </w:r>
          </w:p>
        </w:tc>
        <w:tc>
          <w:tcPr>
            <w:tcW w:w="2079" w:type="dxa"/>
          </w:tcPr>
          <w:p w14:paraId="0F48ECCC" w14:textId="77777777" w:rsidR="00C25488" w:rsidRPr="00977EA7" w:rsidRDefault="00C25488" w:rsidP="00FB214C">
            <w:pPr>
              <w:keepNext/>
              <w:keepLines/>
              <w:spacing w:before="120" w:after="120" w:line="240" w:lineRule="auto"/>
              <w:rPr>
                <w:rFonts w:cstheme="minorHAnsi"/>
                <w:sz w:val="20"/>
                <w:szCs w:val="20"/>
              </w:rPr>
            </w:pPr>
            <w:r w:rsidRPr="00977EA7">
              <w:rPr>
                <w:rFonts w:cstheme="minorHAnsi"/>
                <w:sz w:val="20"/>
                <w:szCs w:val="20"/>
              </w:rPr>
              <w:t>Respiratory System</w:t>
            </w:r>
          </w:p>
        </w:tc>
        <w:tc>
          <w:tcPr>
            <w:tcW w:w="2079" w:type="dxa"/>
          </w:tcPr>
          <w:p w14:paraId="7BB10E8B" w14:textId="77777777" w:rsidR="00C25488" w:rsidRPr="00977EA7" w:rsidRDefault="00C25488" w:rsidP="00FB214C">
            <w:pPr>
              <w:keepNext/>
              <w:keepLines/>
              <w:spacing w:before="120" w:after="120" w:line="240" w:lineRule="auto"/>
              <w:rPr>
                <w:rFonts w:cstheme="minorHAnsi"/>
                <w:sz w:val="20"/>
                <w:szCs w:val="20"/>
              </w:rPr>
            </w:pPr>
            <w:r w:rsidRPr="00977EA7">
              <w:rPr>
                <w:rFonts w:cstheme="minorHAnsi"/>
                <w:sz w:val="20"/>
                <w:szCs w:val="20"/>
              </w:rPr>
              <w:t>Antitussives</w:t>
            </w:r>
          </w:p>
        </w:tc>
        <w:tc>
          <w:tcPr>
            <w:tcW w:w="2079" w:type="dxa"/>
          </w:tcPr>
          <w:p w14:paraId="5287F2CA" w14:textId="77777777" w:rsidR="00C25488" w:rsidRPr="00977EA7" w:rsidRDefault="00C25488" w:rsidP="00FB214C">
            <w:pPr>
              <w:keepNext/>
              <w:keepLines/>
              <w:spacing w:before="120" w:after="120" w:line="240" w:lineRule="auto"/>
              <w:rPr>
                <w:rFonts w:cstheme="minorHAnsi"/>
                <w:sz w:val="20"/>
                <w:szCs w:val="20"/>
              </w:rPr>
            </w:pPr>
          </w:p>
        </w:tc>
      </w:tr>
      <w:tr w:rsidR="00C25488" w:rsidRPr="00D8009F" w14:paraId="4A31E8E3" w14:textId="77777777" w:rsidTr="00FB214C">
        <w:tc>
          <w:tcPr>
            <w:tcW w:w="9062" w:type="dxa"/>
            <w:gridSpan w:val="5"/>
          </w:tcPr>
          <w:p w14:paraId="1B16867B" w14:textId="77777777" w:rsidR="00C25488" w:rsidRPr="009A131B" w:rsidRDefault="00C25488" w:rsidP="001E5A05">
            <w:pPr>
              <w:keepNext/>
              <w:keepLines/>
              <w:spacing w:before="120" w:after="120" w:line="240" w:lineRule="auto"/>
              <w:rPr>
                <w:rFonts w:cstheme="minorHAnsi"/>
                <w:szCs w:val="22"/>
              </w:rPr>
            </w:pPr>
            <w:r w:rsidRPr="00D17369">
              <w:rPr>
                <w:rFonts w:ascii="Arial" w:hAnsi="Arial" w:cs="Arial"/>
                <w:b/>
                <w:bCs/>
                <w:color w:val="000000"/>
                <w:sz w:val="16"/>
                <w:szCs w:val="16"/>
              </w:rPr>
              <w:t>Category A</w:t>
            </w:r>
            <w:r w:rsidRPr="00D17369">
              <w:rPr>
                <w:rFonts w:ascii="Arial" w:hAnsi="Arial" w:cs="Arial"/>
                <w:color w:val="000000"/>
                <w:sz w:val="16"/>
                <w:szCs w:val="16"/>
              </w:rPr>
              <w:t xml:space="preserve"> – Drugs which have been taken by a large number of pregnant women and women of childbearing age without any proven increase in the frequency of malformations or other direct or indirect harmful effects on the foetus having been observed.</w:t>
            </w:r>
          </w:p>
        </w:tc>
      </w:tr>
    </w:tbl>
    <w:p w14:paraId="77C01BE3" w14:textId="77777777" w:rsidR="00C25488" w:rsidRPr="00D149A2" w:rsidRDefault="00C25488" w:rsidP="00082D97">
      <w:pPr>
        <w:pStyle w:val="ListBullet"/>
      </w:pPr>
      <w:r>
        <w:t xml:space="preserve">The </w:t>
      </w:r>
      <w:hyperlink r:id="rId49">
        <w:r w:rsidRPr="7AF7B541">
          <w:rPr>
            <w:rStyle w:val="Hyperlink"/>
          </w:rPr>
          <w:t>Therapeutic Goods (Medicines Advisory Statements) Specification 2021</w:t>
        </w:r>
      </w:hyperlink>
      <w:r>
        <w:t xml:space="preserve"> requires the following warning statements pertaining to dihydrocodeine to be included on the labelling:</w:t>
      </w:r>
    </w:p>
    <w:tbl>
      <w:tblPr>
        <w:tblStyle w:val="TableTGAblue"/>
        <w:tblW w:w="9072" w:type="dxa"/>
        <w:tblInd w:w="-10" w:type="dxa"/>
        <w:tblLook w:val="04A0" w:firstRow="1" w:lastRow="0" w:firstColumn="1" w:lastColumn="0" w:noHBand="0" w:noVBand="1"/>
      </w:tblPr>
      <w:tblGrid>
        <w:gridCol w:w="1872"/>
        <w:gridCol w:w="2806"/>
        <w:gridCol w:w="4394"/>
      </w:tblGrid>
      <w:tr w:rsidR="00C25488" w:rsidRPr="007E1C57" w14:paraId="494E7021" w14:textId="77777777" w:rsidTr="00FB214C">
        <w:trPr>
          <w:cnfStyle w:val="100000000000" w:firstRow="1" w:lastRow="0" w:firstColumn="0" w:lastColumn="0" w:oddVBand="0" w:evenVBand="0" w:oddHBand="0" w:evenHBand="0" w:firstRowFirstColumn="0" w:firstRowLastColumn="0" w:lastRowFirstColumn="0" w:lastRowLastColumn="0"/>
        </w:trPr>
        <w:tc>
          <w:tcPr>
            <w:tcW w:w="1872" w:type="dxa"/>
          </w:tcPr>
          <w:p w14:paraId="1FFAC1FD" w14:textId="77777777" w:rsidR="00C25488" w:rsidRPr="00BD2C93" w:rsidRDefault="00C25488" w:rsidP="00BD2C93">
            <w:pPr>
              <w:keepLines/>
              <w:spacing w:before="120" w:line="240" w:lineRule="auto"/>
              <w:rPr>
                <w:rFonts w:asciiTheme="minorHAnsi" w:hAnsiTheme="minorHAnsi" w:cstheme="minorHAnsi"/>
                <w:color w:val="FFFFFF" w:themeColor="background1"/>
                <w:sz w:val="20"/>
                <w:szCs w:val="20"/>
              </w:rPr>
            </w:pPr>
            <w:r w:rsidRPr="00BD2C93">
              <w:rPr>
                <w:rFonts w:asciiTheme="minorHAnsi" w:hAnsiTheme="minorHAnsi" w:cstheme="minorHAnsi"/>
                <w:color w:val="FFFFFF" w:themeColor="background1"/>
                <w:sz w:val="20"/>
                <w:szCs w:val="20"/>
              </w:rPr>
              <w:t>Substance</w:t>
            </w:r>
          </w:p>
        </w:tc>
        <w:tc>
          <w:tcPr>
            <w:tcW w:w="2806" w:type="dxa"/>
          </w:tcPr>
          <w:p w14:paraId="71F0B763" w14:textId="77777777" w:rsidR="00C25488" w:rsidRPr="00BD2C93" w:rsidRDefault="00C25488" w:rsidP="00BD2C93">
            <w:pPr>
              <w:keepLines/>
              <w:spacing w:before="120" w:line="240" w:lineRule="auto"/>
              <w:rPr>
                <w:rFonts w:asciiTheme="minorHAnsi" w:hAnsiTheme="minorHAnsi" w:cstheme="minorHAnsi"/>
                <w:color w:val="FFFFFF" w:themeColor="background1"/>
                <w:sz w:val="20"/>
                <w:szCs w:val="20"/>
              </w:rPr>
            </w:pPr>
            <w:r w:rsidRPr="00BD2C93">
              <w:rPr>
                <w:rFonts w:asciiTheme="minorHAnsi" w:hAnsiTheme="minorHAnsi" w:cstheme="minorHAnsi"/>
                <w:color w:val="FFFFFF" w:themeColor="background1"/>
                <w:sz w:val="20"/>
                <w:szCs w:val="20"/>
              </w:rPr>
              <w:t xml:space="preserve">Conditions </w:t>
            </w:r>
          </w:p>
        </w:tc>
        <w:tc>
          <w:tcPr>
            <w:tcW w:w="4394" w:type="dxa"/>
          </w:tcPr>
          <w:p w14:paraId="3AB83ECF" w14:textId="77777777" w:rsidR="00C25488" w:rsidRPr="00BD2C93" w:rsidRDefault="00C25488" w:rsidP="00BD2C93">
            <w:pPr>
              <w:keepLines/>
              <w:spacing w:before="120" w:line="240" w:lineRule="auto"/>
              <w:rPr>
                <w:rFonts w:asciiTheme="minorHAnsi" w:hAnsiTheme="minorHAnsi" w:cstheme="minorHAnsi"/>
                <w:color w:val="FFFFFF" w:themeColor="background1"/>
                <w:sz w:val="20"/>
                <w:szCs w:val="20"/>
              </w:rPr>
            </w:pPr>
            <w:r w:rsidRPr="00BD2C93">
              <w:rPr>
                <w:rFonts w:asciiTheme="minorHAnsi" w:hAnsiTheme="minorHAnsi" w:cstheme="minorHAnsi"/>
                <w:color w:val="FFFFFF" w:themeColor="background1"/>
                <w:sz w:val="20"/>
                <w:szCs w:val="20"/>
              </w:rPr>
              <w:t xml:space="preserve">Required Statement(s) </w:t>
            </w:r>
          </w:p>
        </w:tc>
      </w:tr>
      <w:tr w:rsidR="00C25488" w:rsidRPr="007E1C57" w14:paraId="5F0D856A" w14:textId="77777777" w:rsidTr="00FB214C">
        <w:tc>
          <w:tcPr>
            <w:tcW w:w="1872" w:type="dxa"/>
          </w:tcPr>
          <w:p w14:paraId="61306F2A" w14:textId="77777777" w:rsidR="00C25488" w:rsidRPr="00977EA7" w:rsidRDefault="00C25488" w:rsidP="00FB214C">
            <w:pPr>
              <w:spacing w:before="120" w:after="120" w:line="240" w:lineRule="auto"/>
              <w:rPr>
                <w:rFonts w:cstheme="minorHAnsi"/>
                <w:sz w:val="20"/>
                <w:szCs w:val="20"/>
              </w:rPr>
            </w:pPr>
            <w:r w:rsidRPr="00977EA7">
              <w:rPr>
                <w:rFonts w:cstheme="minorHAnsi"/>
                <w:sz w:val="20"/>
                <w:szCs w:val="20"/>
              </w:rPr>
              <w:t>Dihydrocodeine</w:t>
            </w:r>
          </w:p>
        </w:tc>
        <w:tc>
          <w:tcPr>
            <w:tcW w:w="2806" w:type="dxa"/>
          </w:tcPr>
          <w:p w14:paraId="1A257B8C" w14:textId="77777777" w:rsidR="00C25488" w:rsidRPr="00977EA7" w:rsidRDefault="00C25488" w:rsidP="00FB214C">
            <w:pPr>
              <w:spacing w:before="120" w:after="120" w:line="240" w:lineRule="auto"/>
              <w:rPr>
                <w:rFonts w:cstheme="minorHAnsi"/>
                <w:sz w:val="20"/>
                <w:szCs w:val="20"/>
              </w:rPr>
            </w:pPr>
            <w:r w:rsidRPr="00977EA7">
              <w:rPr>
                <w:rFonts w:eastAsia="Arial" w:cstheme="minorHAnsi"/>
                <w:sz w:val="20"/>
                <w:szCs w:val="20"/>
              </w:rPr>
              <w:t>In oral preparations indicated for cough, cold or flu which DO NOT include dosage instructions for children aged under 12 years</w:t>
            </w:r>
          </w:p>
        </w:tc>
        <w:tc>
          <w:tcPr>
            <w:tcW w:w="4394" w:type="dxa"/>
          </w:tcPr>
          <w:p w14:paraId="2B0162CE" w14:textId="77777777" w:rsidR="00C25488" w:rsidRPr="00977EA7" w:rsidRDefault="00C25488" w:rsidP="00FB214C">
            <w:pPr>
              <w:spacing w:before="120" w:after="120" w:line="240" w:lineRule="auto"/>
              <w:rPr>
                <w:rFonts w:cstheme="minorHAnsi"/>
                <w:sz w:val="20"/>
                <w:szCs w:val="20"/>
                <w:lang w:eastAsia="en-US"/>
              </w:rPr>
            </w:pPr>
            <w:r w:rsidRPr="00977EA7">
              <w:rPr>
                <w:rFonts w:cstheme="minorHAnsi"/>
                <w:sz w:val="20"/>
                <w:szCs w:val="20"/>
                <w:lang w:eastAsia="en-US"/>
              </w:rPr>
              <w:t>Do not give to children under 12 years of age.</w:t>
            </w:r>
          </w:p>
          <w:p w14:paraId="6F385478" w14:textId="77777777" w:rsidR="00C25488" w:rsidRPr="00977EA7" w:rsidRDefault="00C25488" w:rsidP="00FB214C">
            <w:pPr>
              <w:spacing w:before="120" w:after="120" w:line="240" w:lineRule="auto"/>
              <w:rPr>
                <w:rFonts w:cstheme="minorHAnsi"/>
                <w:sz w:val="20"/>
                <w:szCs w:val="20"/>
              </w:rPr>
            </w:pPr>
            <w:r w:rsidRPr="00977EA7">
              <w:rPr>
                <w:rFonts w:cstheme="minorHAnsi"/>
                <w:sz w:val="20"/>
                <w:szCs w:val="20"/>
                <w:lang w:eastAsia="en-US"/>
              </w:rPr>
              <w:t>If [coughing/symptoms] persist(s), consult your doctor or pharmacist.</w:t>
            </w:r>
          </w:p>
        </w:tc>
      </w:tr>
      <w:tr w:rsidR="00C25488" w:rsidRPr="007E1C57" w14:paraId="2415D223" w14:textId="77777777" w:rsidTr="00FB214C">
        <w:trPr>
          <w:trHeight w:val="300"/>
        </w:trPr>
        <w:tc>
          <w:tcPr>
            <w:tcW w:w="1872" w:type="dxa"/>
          </w:tcPr>
          <w:p w14:paraId="24C41D3C" w14:textId="77777777" w:rsidR="00C25488" w:rsidRPr="00977EA7" w:rsidRDefault="00C25488" w:rsidP="00FB214C">
            <w:pPr>
              <w:spacing w:before="120" w:after="120" w:line="240" w:lineRule="auto"/>
              <w:rPr>
                <w:rFonts w:cstheme="minorHAnsi"/>
                <w:sz w:val="20"/>
                <w:szCs w:val="20"/>
              </w:rPr>
            </w:pPr>
            <w:r w:rsidRPr="00977EA7">
              <w:rPr>
                <w:rFonts w:cstheme="minorHAnsi"/>
                <w:sz w:val="20"/>
                <w:szCs w:val="20"/>
              </w:rPr>
              <w:t>Dihydrocodeine</w:t>
            </w:r>
          </w:p>
        </w:tc>
        <w:tc>
          <w:tcPr>
            <w:tcW w:w="2806" w:type="dxa"/>
          </w:tcPr>
          <w:p w14:paraId="12A24597" w14:textId="77777777" w:rsidR="00C25488" w:rsidRPr="00977EA7" w:rsidRDefault="00C25488" w:rsidP="00FB214C">
            <w:pPr>
              <w:spacing w:before="120" w:after="120" w:line="240" w:lineRule="auto"/>
              <w:rPr>
                <w:rFonts w:cstheme="minorHAnsi"/>
                <w:sz w:val="20"/>
                <w:szCs w:val="20"/>
              </w:rPr>
            </w:pPr>
            <w:r w:rsidRPr="00977EA7">
              <w:rPr>
                <w:rFonts w:eastAsia="Arial" w:cstheme="minorHAnsi"/>
                <w:sz w:val="20"/>
                <w:szCs w:val="20"/>
              </w:rPr>
              <w:t>In oral preparations indicated for cough, cold or flu which include dosage instructions for children aged from ‘x’ to 11 years (where ‘x’ is 6, 7, 8, 9, 10 or 11)</w:t>
            </w:r>
          </w:p>
        </w:tc>
        <w:tc>
          <w:tcPr>
            <w:tcW w:w="4394" w:type="dxa"/>
          </w:tcPr>
          <w:p w14:paraId="7EBE51F5" w14:textId="77777777" w:rsidR="00977EA7" w:rsidRPr="00977EA7" w:rsidRDefault="00977EA7" w:rsidP="00977EA7">
            <w:pPr>
              <w:spacing w:before="120" w:line="240" w:lineRule="auto"/>
              <w:ind w:left="36"/>
              <w:rPr>
                <w:rFonts w:eastAsia="Arial" w:cstheme="minorHAnsi"/>
                <w:sz w:val="20"/>
                <w:szCs w:val="20"/>
              </w:rPr>
            </w:pPr>
            <w:r w:rsidRPr="00977EA7">
              <w:rPr>
                <w:rFonts w:eastAsia="Arial" w:cstheme="minorHAnsi"/>
                <w:sz w:val="20"/>
                <w:szCs w:val="20"/>
              </w:rPr>
              <w:t>Do not give to children under ‘x’ years of age.</w:t>
            </w:r>
          </w:p>
          <w:p w14:paraId="665B1226" w14:textId="77777777" w:rsidR="00977EA7" w:rsidRPr="00992FAB" w:rsidRDefault="00977EA7" w:rsidP="00992FAB">
            <w:pPr>
              <w:spacing w:line="240" w:lineRule="auto"/>
              <w:rPr>
                <w:i/>
                <w:iCs/>
                <w:sz w:val="20"/>
                <w:szCs w:val="20"/>
              </w:rPr>
            </w:pPr>
            <w:r w:rsidRPr="00992FAB">
              <w:rPr>
                <w:i/>
                <w:iCs/>
                <w:sz w:val="20"/>
                <w:szCs w:val="20"/>
              </w:rPr>
              <w:t>either (if ‘x’ is 11)</w:t>
            </w:r>
          </w:p>
          <w:p w14:paraId="4ED4163E" w14:textId="77777777" w:rsidR="00977EA7" w:rsidRPr="00977EA7" w:rsidRDefault="00977EA7" w:rsidP="00992FAB">
            <w:pPr>
              <w:spacing w:before="120" w:line="240" w:lineRule="auto"/>
              <w:ind w:left="178"/>
              <w:rPr>
                <w:rFonts w:eastAsia="Arial" w:cstheme="minorHAnsi"/>
                <w:sz w:val="20"/>
                <w:szCs w:val="20"/>
              </w:rPr>
            </w:pPr>
            <w:r w:rsidRPr="00977EA7">
              <w:rPr>
                <w:rFonts w:eastAsia="Arial" w:cstheme="minorHAnsi"/>
                <w:sz w:val="20"/>
                <w:szCs w:val="20"/>
              </w:rPr>
              <w:t>Do not give to children aged 11 years, except on the advice of a doctor, pharmacist or nurse practitioner.</w:t>
            </w:r>
          </w:p>
          <w:p w14:paraId="39662B94" w14:textId="77777777" w:rsidR="00977EA7" w:rsidRPr="00992FAB" w:rsidRDefault="00977EA7" w:rsidP="00992FAB">
            <w:pPr>
              <w:spacing w:line="240" w:lineRule="auto"/>
              <w:rPr>
                <w:i/>
                <w:iCs/>
                <w:sz w:val="20"/>
                <w:szCs w:val="20"/>
              </w:rPr>
            </w:pPr>
            <w:r w:rsidRPr="00992FAB">
              <w:rPr>
                <w:i/>
                <w:iCs/>
                <w:sz w:val="20"/>
                <w:szCs w:val="20"/>
              </w:rPr>
              <w:t>or (if ‘x’ is 6, 7, 8, 9 or 10)</w:t>
            </w:r>
          </w:p>
          <w:p w14:paraId="7A3941C8" w14:textId="1FA2AB8D" w:rsidR="00977EA7" w:rsidRPr="00977EA7" w:rsidRDefault="00977EA7" w:rsidP="00992FAB">
            <w:pPr>
              <w:spacing w:before="120" w:after="120" w:line="240" w:lineRule="auto"/>
              <w:ind w:left="178"/>
              <w:rPr>
                <w:rFonts w:eastAsia="Arial" w:cstheme="minorHAnsi"/>
                <w:sz w:val="20"/>
                <w:szCs w:val="20"/>
                <w:lang w:eastAsia="en-US"/>
              </w:rPr>
            </w:pPr>
            <w:r w:rsidRPr="00977EA7">
              <w:rPr>
                <w:rFonts w:eastAsia="Arial" w:cstheme="minorHAnsi"/>
                <w:sz w:val="20"/>
                <w:szCs w:val="20"/>
                <w:lang w:eastAsia="en-US"/>
              </w:rPr>
              <w:t>Do not give to children aged between ‘x’ and 11 years of age, except on the advice of a doctor, pharmacist or nurse practitioner.</w:t>
            </w:r>
          </w:p>
          <w:p w14:paraId="10799A01" w14:textId="1428BF22" w:rsidR="00C25488" w:rsidRPr="00977EA7" w:rsidRDefault="00C25488" w:rsidP="007E1C57">
            <w:pPr>
              <w:spacing w:before="120" w:after="120" w:line="240" w:lineRule="auto"/>
              <w:ind w:left="36"/>
              <w:rPr>
                <w:rFonts w:eastAsia="Arial" w:cstheme="minorHAnsi"/>
                <w:sz w:val="20"/>
                <w:szCs w:val="20"/>
              </w:rPr>
            </w:pPr>
            <w:r w:rsidRPr="00977EA7">
              <w:rPr>
                <w:rFonts w:eastAsia="Arial" w:cstheme="minorHAnsi"/>
                <w:sz w:val="20"/>
                <w:szCs w:val="20"/>
                <w:lang w:eastAsia="en-US"/>
              </w:rPr>
              <w:t>If [coughing/symptoms] persist(s), consult your</w:t>
            </w:r>
            <w:r w:rsidR="00FB214C" w:rsidRPr="00977EA7">
              <w:rPr>
                <w:rFonts w:eastAsia="Arial" w:cstheme="minorHAnsi"/>
                <w:sz w:val="20"/>
                <w:szCs w:val="20"/>
                <w:lang w:eastAsia="en-US"/>
              </w:rPr>
              <w:t xml:space="preserve"> </w:t>
            </w:r>
            <w:r w:rsidRPr="00977EA7">
              <w:rPr>
                <w:rFonts w:eastAsia="Arial" w:cstheme="minorHAnsi"/>
                <w:sz w:val="20"/>
                <w:szCs w:val="20"/>
                <w:lang w:eastAsia="en-US"/>
              </w:rPr>
              <w:t>doctor or pharmacist.</w:t>
            </w:r>
          </w:p>
        </w:tc>
      </w:tr>
    </w:tbl>
    <w:p w14:paraId="742B3DE9" w14:textId="2EBA06E8" w:rsidR="00C25488" w:rsidRPr="00977EA7" w:rsidRDefault="00C25488" w:rsidP="00082D97">
      <w:pPr>
        <w:pStyle w:val="ListBullet"/>
      </w:pPr>
      <w:r w:rsidRPr="00977EA7">
        <w:t xml:space="preserve">From January 2013 to </w:t>
      </w:r>
      <w:r w:rsidR="006A6BF8">
        <w:t>Dec</w:t>
      </w:r>
      <w:r w:rsidRPr="00977EA7">
        <w:t xml:space="preserve">ember 2023, there were </w:t>
      </w:r>
      <w:r w:rsidR="00BB0B67" w:rsidRPr="00977EA7">
        <w:rPr>
          <w:rFonts w:eastAsiaTheme="minorEastAsia"/>
        </w:rPr>
        <w:t>3</w:t>
      </w:r>
      <w:r w:rsidR="00BB0B67">
        <w:rPr>
          <w:rFonts w:eastAsiaTheme="minorEastAsia"/>
        </w:rPr>
        <w:t>9</w:t>
      </w:r>
      <w:r w:rsidR="00BB0B67" w:rsidRPr="00977EA7">
        <w:rPr>
          <w:rFonts w:eastAsiaTheme="minorEastAsia"/>
        </w:rPr>
        <w:t xml:space="preserve"> </w:t>
      </w:r>
      <w:r w:rsidRPr="00977EA7">
        <w:rPr>
          <w:rFonts w:eastAsiaTheme="minorEastAsia"/>
        </w:rPr>
        <w:t xml:space="preserve">reports of adverse events for products </w:t>
      </w:r>
      <w:r w:rsidRPr="00977EA7">
        <w:t xml:space="preserve">containing dihydrocodeine as an active ingredient on the </w:t>
      </w:r>
      <w:hyperlink r:id="rId50">
        <w:r w:rsidRPr="00977EA7">
          <w:rPr>
            <w:rStyle w:val="Hyperlink"/>
            <w:rFonts w:asciiTheme="minorHAnsi" w:hAnsiTheme="minorHAnsi"/>
          </w:rPr>
          <w:t>Database of Adverse Event Notifications (DAEN)</w:t>
        </w:r>
      </w:hyperlink>
      <w:r w:rsidRPr="00977EA7">
        <w:t xml:space="preserve">, with </w:t>
      </w:r>
      <w:r w:rsidR="00BB0B67" w:rsidRPr="00977EA7">
        <w:t>3</w:t>
      </w:r>
      <w:r w:rsidR="00BB0B67">
        <w:t>1</w:t>
      </w:r>
      <w:r w:rsidR="00BB0B67" w:rsidRPr="00977EA7">
        <w:t xml:space="preserve"> </w:t>
      </w:r>
      <w:r w:rsidRPr="00977EA7">
        <w:t>reports where dihydrocodeine was the si</w:t>
      </w:r>
      <w:r w:rsidRPr="00977EA7">
        <w:rPr>
          <w:rFonts w:eastAsiaTheme="minorEastAsia"/>
        </w:rPr>
        <w:t xml:space="preserve">ngle suspected medicine. There were 3 reports of deaths associated with dihydrocodeine use. </w:t>
      </w:r>
      <w:r w:rsidR="00BB0B67" w:rsidRPr="00977EA7">
        <w:rPr>
          <w:rFonts w:eastAsiaTheme="minorEastAsia"/>
        </w:rPr>
        <w:t>3</w:t>
      </w:r>
      <w:r w:rsidR="00BB0B67">
        <w:rPr>
          <w:rFonts w:eastAsiaTheme="minorEastAsia"/>
        </w:rPr>
        <w:t>2</w:t>
      </w:r>
      <w:r w:rsidR="00BB0B67" w:rsidRPr="00977EA7">
        <w:rPr>
          <w:rFonts w:eastAsiaTheme="minorEastAsia"/>
        </w:rPr>
        <w:t xml:space="preserve"> </w:t>
      </w:r>
      <w:r w:rsidRPr="00977EA7">
        <w:rPr>
          <w:rFonts w:eastAsiaTheme="minorEastAsia"/>
        </w:rPr>
        <w:t xml:space="preserve">of the </w:t>
      </w:r>
      <w:r w:rsidR="009F703F" w:rsidRPr="00977EA7">
        <w:rPr>
          <w:rFonts w:eastAsiaTheme="minorEastAsia"/>
        </w:rPr>
        <w:t>adverse events reported</w:t>
      </w:r>
      <w:r w:rsidRPr="00977EA7">
        <w:rPr>
          <w:rFonts w:eastAsiaTheme="minorEastAsia"/>
        </w:rPr>
        <w:t xml:space="preserve"> in that period occurred after 1 February 2018, when codeine was re-scheduled as a prescription-only medicine.</w:t>
      </w:r>
    </w:p>
    <w:p w14:paraId="39F31280" w14:textId="36E86818" w:rsidR="00C25488" w:rsidRDefault="00C25488" w:rsidP="00082D97">
      <w:pPr>
        <w:pStyle w:val="ListBullet"/>
      </w:pPr>
      <w:r w:rsidRPr="00977EA7">
        <w:lastRenderedPageBreak/>
        <w:t>As o</w:t>
      </w:r>
      <w:r w:rsidRPr="00977EA7">
        <w:rPr>
          <w:rFonts w:eastAsiaTheme="minorEastAsia"/>
        </w:rPr>
        <w:t>f December 2023, there were no products containing dihydrocodeine as an</w:t>
      </w:r>
      <w:r w:rsidRPr="00977EA7">
        <w:t xml:space="preserve"> active ingredient/constituent or scheduled substance listed on the </w:t>
      </w:r>
      <w:hyperlink r:id="rId51">
        <w:r w:rsidRPr="00977EA7">
          <w:rPr>
            <w:rStyle w:val="Hyperlink"/>
            <w:rFonts w:asciiTheme="minorHAnsi" w:hAnsiTheme="minorHAnsi"/>
          </w:rPr>
          <w:t>Public Chemical Registration Information System Search (PubCRIS)</w:t>
        </w:r>
      </w:hyperlink>
      <w:r w:rsidRPr="002B50B0">
        <w:t>.</w:t>
      </w:r>
    </w:p>
    <w:p w14:paraId="284F6862" w14:textId="55719C7F" w:rsidR="002B50B0" w:rsidRPr="000B12AF" w:rsidRDefault="002B50B0" w:rsidP="002B50B0">
      <w:pPr>
        <w:pStyle w:val="ListBullet"/>
      </w:pPr>
      <w:r>
        <w:t>As of December 2023, dihydrocodeine is not listed on the Australian Inventory of Industrial Chemicals.</w:t>
      </w:r>
    </w:p>
    <w:p w14:paraId="3D197FE8" w14:textId="2CD980EF" w:rsidR="00C25488" w:rsidRPr="00D149A2" w:rsidRDefault="00C25488" w:rsidP="008C549F">
      <w:pPr>
        <w:pStyle w:val="Heading4"/>
      </w:pPr>
      <w:bookmarkStart w:id="41" w:name="_Toc155176363"/>
      <w:r w:rsidRPr="00D149A2">
        <w:t>International regulations</w:t>
      </w:r>
      <w:bookmarkEnd w:id="41"/>
    </w:p>
    <w:p w14:paraId="164CC518" w14:textId="3952BBA0" w:rsidR="00C25488" w:rsidRPr="00977EA7" w:rsidRDefault="00C25488" w:rsidP="00082D97">
      <w:pPr>
        <w:pStyle w:val="ListBullet"/>
      </w:pPr>
      <w:r w:rsidRPr="00977EA7">
        <w:t xml:space="preserve">According to the </w:t>
      </w:r>
      <w:hyperlink r:id="rId52">
        <w:r w:rsidRPr="00977EA7">
          <w:rPr>
            <w:rStyle w:val="Hyperlink"/>
            <w:rFonts w:asciiTheme="minorHAnsi" w:hAnsiTheme="minorHAnsi"/>
          </w:rPr>
          <w:t>United States Food and Drug Administration Approved Drug Products Database (Drugs@FDA)</w:t>
        </w:r>
      </w:hyperlink>
      <w:r w:rsidRPr="00977EA7">
        <w:t xml:space="preserve">, there </w:t>
      </w:r>
      <w:r w:rsidR="00BB0B67">
        <w:t>is</w:t>
      </w:r>
      <w:r w:rsidR="00BB0B67" w:rsidRPr="00977EA7">
        <w:t xml:space="preserve"> </w:t>
      </w:r>
      <w:r w:rsidRPr="00977EA7">
        <w:t xml:space="preserve">currently </w:t>
      </w:r>
      <w:r w:rsidR="00BB0B67">
        <w:t xml:space="preserve">1 </w:t>
      </w:r>
      <w:r w:rsidRPr="00977EA7">
        <w:t xml:space="preserve">product in the form of capsules/tablets that contain dihydrocodeine as an active ingredient, which </w:t>
      </w:r>
      <w:r w:rsidR="00BB0B67">
        <w:t>is</w:t>
      </w:r>
      <w:r w:rsidR="00BB0B67" w:rsidRPr="00977EA7">
        <w:t xml:space="preserve"> </w:t>
      </w:r>
      <w:r w:rsidRPr="00977EA7">
        <w:t xml:space="preserve">in combination with acetaminophen (paracetamol) and caffeine. </w:t>
      </w:r>
      <w:r w:rsidR="00BB0B67">
        <w:t>This product is a</w:t>
      </w:r>
      <w:r w:rsidRPr="00977EA7">
        <w:t xml:space="preserve"> prescription only medicine.</w:t>
      </w:r>
    </w:p>
    <w:p w14:paraId="4BB65F39" w14:textId="77777777" w:rsidR="003672E6" w:rsidRDefault="00C25488" w:rsidP="003672E6">
      <w:pPr>
        <w:pStyle w:val="ListBullet"/>
      </w:pPr>
      <w:r w:rsidRPr="00977EA7">
        <w:t xml:space="preserve">According to </w:t>
      </w:r>
      <w:hyperlink r:id="rId53">
        <w:r w:rsidRPr="00977EA7">
          <w:rPr>
            <w:rStyle w:val="Hyperlink"/>
            <w:rFonts w:asciiTheme="minorHAnsi" w:hAnsiTheme="minorHAnsi"/>
          </w:rPr>
          <w:t>New Zealand’s Medsafe</w:t>
        </w:r>
      </w:hyperlink>
      <w:r w:rsidRPr="00977EA7">
        <w:t>, dihydrocodeine is variously classified as a prescription medicine, a Class C6 controlled drug (limits on dosage and concentration) and Class C2 controlled drug.</w:t>
      </w:r>
    </w:p>
    <w:p w14:paraId="0BE6D3F5" w14:textId="5234B952" w:rsidR="00C25488" w:rsidRPr="003672E6" w:rsidRDefault="00C25488" w:rsidP="003672E6">
      <w:pPr>
        <w:pStyle w:val="ListBullet"/>
      </w:pPr>
      <w:r w:rsidRPr="00977EA7">
        <w:t xml:space="preserve">No medicines containing dihydrocodeine were included in the </w:t>
      </w:r>
      <w:hyperlink r:id="rId54">
        <w:r w:rsidRPr="003672E6">
          <w:rPr>
            <w:rStyle w:val="Hyperlink"/>
            <w:rFonts w:asciiTheme="minorHAnsi" w:hAnsiTheme="minorHAnsi"/>
          </w:rPr>
          <w:t>Canadian (Health Canada) Drug Product Database</w:t>
        </w:r>
      </w:hyperlink>
      <w:r w:rsidRPr="002B50B0">
        <w:t>.</w:t>
      </w:r>
    </w:p>
    <w:p w14:paraId="315E0890" w14:textId="5D2C3B84" w:rsidR="00C25488" w:rsidRPr="00977EA7" w:rsidRDefault="00C25488" w:rsidP="00082D97">
      <w:pPr>
        <w:pStyle w:val="ListBullet"/>
        <w:rPr>
          <w:i/>
          <w:iCs/>
          <w:color w:val="002C47" w:themeColor="text2"/>
        </w:rPr>
      </w:pPr>
      <w:r w:rsidRPr="00977EA7">
        <w:t xml:space="preserve">According to the </w:t>
      </w:r>
      <w:hyperlink r:id="rId55">
        <w:r w:rsidRPr="00977EA7">
          <w:rPr>
            <w:rStyle w:val="Hyperlink"/>
            <w:rFonts w:asciiTheme="minorHAnsi" w:hAnsiTheme="minorHAnsi"/>
          </w:rPr>
          <w:t>electronic medicines compendium (emc)</w:t>
        </w:r>
      </w:hyperlink>
      <w:r w:rsidRPr="00977EA7">
        <w:t xml:space="preserve">, there are currently </w:t>
      </w:r>
      <w:r w:rsidR="00BB0B67">
        <w:t>4</w:t>
      </w:r>
      <w:r w:rsidR="00BB0B67" w:rsidRPr="00977EA7">
        <w:t xml:space="preserve"> </w:t>
      </w:r>
      <w:r w:rsidRPr="00977EA7">
        <w:t xml:space="preserve">products </w:t>
      </w:r>
      <w:r w:rsidR="009F703F" w:rsidRPr="00977EA7">
        <w:t xml:space="preserve">available in the United Kingdom that are </w:t>
      </w:r>
      <w:r w:rsidRPr="00977EA7">
        <w:t>indicated for the relief of pain that contain dihydrocodeine as a single substance or in combination with paracetamol. All of these are prescription medicines, except for a paracetamol (500 mg) and dihydrocodeine tartrate (7.5 mg) combination product which is available as a pharmacy only medicine.</w:t>
      </w:r>
    </w:p>
    <w:p w14:paraId="7F7B5CBE" w14:textId="4601AF3A" w:rsidR="00C25488" w:rsidRPr="00977EA7" w:rsidRDefault="00C25488" w:rsidP="00082D97">
      <w:pPr>
        <w:pStyle w:val="ListBullet"/>
        <w:rPr>
          <w:i/>
          <w:iCs/>
          <w:color w:val="002C47" w:themeColor="text2"/>
        </w:rPr>
      </w:pPr>
      <w:r w:rsidRPr="00977EA7">
        <w:t xml:space="preserve">Ireland’s </w:t>
      </w:r>
      <w:hyperlink r:id="rId56">
        <w:r w:rsidRPr="00977EA7">
          <w:rPr>
            <w:rStyle w:val="Hyperlink"/>
            <w:rFonts w:asciiTheme="minorHAnsi" w:hAnsiTheme="minorHAnsi"/>
          </w:rPr>
          <w:t>Health Products Regulatory Authority (HPRA)</w:t>
        </w:r>
      </w:hyperlink>
      <w:r w:rsidRPr="00977EA7">
        <w:t xml:space="preserve"> </w:t>
      </w:r>
      <w:r w:rsidR="00DA303C" w:rsidRPr="00977EA7">
        <w:t>regulates</w:t>
      </w:r>
      <w:r w:rsidRPr="00977EA7">
        <w:t xml:space="preserve"> 3 products that contain dihydrocodeine as an active ingredient for the treatment of non-productive cough. All are prescription medicines.</w:t>
      </w:r>
    </w:p>
    <w:p w14:paraId="4180AA21" w14:textId="77777777" w:rsidR="001A6E05" w:rsidRDefault="001A6E05">
      <w:pPr>
        <w:rPr>
          <w:rFonts w:eastAsia="Times New Roman" w:cs="Times New Roman"/>
          <w:b/>
          <w:bCs/>
          <w:color w:val="001871"/>
          <w:sz w:val="32"/>
          <w:szCs w:val="32"/>
        </w:rPr>
      </w:pPr>
      <w:r>
        <w:br w:type="page"/>
      </w:r>
    </w:p>
    <w:p w14:paraId="77E631F0" w14:textId="3FE17D6B" w:rsidR="00C25488" w:rsidRPr="00A61885" w:rsidRDefault="00712EFB" w:rsidP="001A6E05">
      <w:pPr>
        <w:pStyle w:val="Heading3"/>
      </w:pPr>
      <w:bookmarkStart w:id="42" w:name="_Toc155176364"/>
      <w:r>
        <w:lastRenderedPageBreak/>
        <w:t>1.4</w:t>
      </w:r>
      <w:r>
        <w:tab/>
      </w:r>
      <w:r w:rsidR="00C25488">
        <w:t>Ethylmorphine</w:t>
      </w:r>
      <w:bookmarkEnd w:id="42"/>
    </w:p>
    <w:p w14:paraId="5516BB06" w14:textId="4EC0DF92" w:rsidR="00C25488" w:rsidRPr="00D149A2" w:rsidRDefault="00C25488" w:rsidP="008C549F">
      <w:pPr>
        <w:pStyle w:val="Heading4"/>
      </w:pPr>
      <w:bookmarkStart w:id="43" w:name="_Toc122614215"/>
      <w:bookmarkStart w:id="44" w:name="_Toc155176365"/>
      <w:r w:rsidRPr="00D149A2">
        <w:t>Proposal</w:t>
      </w:r>
      <w:bookmarkEnd w:id="43"/>
      <w:bookmarkEnd w:id="44"/>
    </w:p>
    <w:p w14:paraId="6411B250" w14:textId="660862E2" w:rsidR="00C25488" w:rsidRPr="00D149A2" w:rsidRDefault="00C25488" w:rsidP="00C25488">
      <w:pPr>
        <w:rPr>
          <w:rFonts w:cs="Arial"/>
        </w:rPr>
      </w:pPr>
      <w:r>
        <w:rPr>
          <w:rFonts w:cs="Arial"/>
        </w:rPr>
        <w:t>The De</w:t>
      </w:r>
      <w:r w:rsidR="009F703F">
        <w:rPr>
          <w:rFonts w:cs="Arial"/>
        </w:rPr>
        <w:t>partment of Health and Aged Care</w:t>
      </w:r>
      <w:r>
        <w:rPr>
          <w:rFonts w:cs="Arial"/>
        </w:rPr>
        <w:t xml:space="preserve"> has proposed deletion of the Schedule 2 entry for ethylmorphine. This will effectively classify all preparations containing ethylmorphine as prescription-only medicines.</w:t>
      </w:r>
    </w:p>
    <w:p w14:paraId="15F29ECD" w14:textId="1D80965D" w:rsidR="00C25488" w:rsidRPr="00D149A2" w:rsidRDefault="00C25488" w:rsidP="008C549F">
      <w:pPr>
        <w:pStyle w:val="Heading4"/>
      </w:pPr>
      <w:bookmarkStart w:id="45" w:name="_Toc122614216"/>
      <w:bookmarkStart w:id="46" w:name="_Toc155176366"/>
      <w:r w:rsidRPr="00D149A2">
        <w:t>CAS number</w:t>
      </w:r>
      <w:bookmarkEnd w:id="45"/>
      <w:bookmarkEnd w:id="46"/>
    </w:p>
    <w:p w14:paraId="17C2DBFE" w14:textId="77777777" w:rsidR="00C25488" w:rsidRPr="00D149A2" w:rsidRDefault="00C25488" w:rsidP="00C25488">
      <w:pPr>
        <w:rPr>
          <w:rFonts w:cs="Arial"/>
        </w:rPr>
      </w:pPr>
      <w:r>
        <w:rPr>
          <w:rFonts w:cs="Arial"/>
        </w:rPr>
        <w:t>76-58-4</w:t>
      </w:r>
    </w:p>
    <w:p w14:paraId="297E579F" w14:textId="77777777" w:rsidR="00C25488" w:rsidRPr="00D149A2" w:rsidRDefault="00C25488" w:rsidP="008C549F">
      <w:pPr>
        <w:pStyle w:val="Heading4"/>
      </w:pPr>
      <w:bookmarkStart w:id="47" w:name="_Toc122614217"/>
      <w:bookmarkStart w:id="48" w:name="_Toc155176367"/>
      <w:r w:rsidRPr="00D149A2">
        <w:t>Alternative names</w:t>
      </w:r>
      <w:bookmarkEnd w:id="47"/>
      <w:bookmarkEnd w:id="48"/>
    </w:p>
    <w:p w14:paraId="0DE1AA53" w14:textId="77777777" w:rsidR="009F703F" w:rsidRDefault="00C25488" w:rsidP="00C25488">
      <w:pPr>
        <w:rPr>
          <w:rFonts w:cs="Arial"/>
        </w:rPr>
      </w:pPr>
      <w:r>
        <w:rPr>
          <w:rFonts w:cs="Arial"/>
        </w:rPr>
        <w:t>Codethyline</w:t>
      </w:r>
    </w:p>
    <w:p w14:paraId="6EF43903" w14:textId="069ED25A" w:rsidR="00C25488" w:rsidRPr="00D149A2" w:rsidRDefault="009F703F" w:rsidP="00C25488">
      <w:pPr>
        <w:rPr>
          <w:rFonts w:cs="Arial"/>
        </w:rPr>
      </w:pPr>
      <w:r>
        <w:rPr>
          <w:rFonts w:cs="Arial"/>
        </w:rPr>
        <w:t>D</w:t>
      </w:r>
      <w:r w:rsidR="00C25488">
        <w:rPr>
          <w:rFonts w:cs="Arial"/>
        </w:rPr>
        <w:t>ionine</w:t>
      </w:r>
    </w:p>
    <w:p w14:paraId="3A9D8C2D" w14:textId="1F4BCCB8" w:rsidR="00C25488" w:rsidRPr="00D149A2" w:rsidRDefault="00C25488" w:rsidP="008C549F">
      <w:pPr>
        <w:pStyle w:val="Heading4"/>
      </w:pPr>
      <w:bookmarkStart w:id="49" w:name="_Toc122614219"/>
      <w:bookmarkStart w:id="50" w:name="_Toc155176368"/>
      <w:r w:rsidRPr="00D149A2">
        <w:t>Proposed Scheduling</w:t>
      </w:r>
      <w:bookmarkEnd w:id="49"/>
      <w:bookmarkEnd w:id="50"/>
    </w:p>
    <w:p w14:paraId="49176174" w14:textId="77777777" w:rsidR="00C25488" w:rsidRPr="00554449" w:rsidRDefault="00C25488" w:rsidP="00C25488">
      <w:pPr>
        <w:rPr>
          <w:rFonts w:cs="Arial"/>
          <w:bCs/>
        </w:rPr>
      </w:pPr>
      <w:r w:rsidRPr="00554449">
        <w:rPr>
          <w:rFonts w:cs="Arial"/>
          <w:bCs/>
        </w:rPr>
        <w:t xml:space="preserve">The </w:t>
      </w:r>
      <w:r>
        <w:rPr>
          <w:rFonts w:cs="Arial"/>
          <w:bCs/>
        </w:rPr>
        <w:t>Delegate</w:t>
      </w:r>
      <w:r w:rsidRPr="00554449">
        <w:rPr>
          <w:rFonts w:cs="Arial"/>
          <w:bCs/>
        </w:rPr>
        <w:t>’s proposed amendments to the Poisons Standard are</w:t>
      </w:r>
      <w:r w:rsidRPr="00554449">
        <w:rPr>
          <w:rStyle w:val="FootnoteReference"/>
          <w:rFonts w:cs="Arial"/>
          <w:bCs/>
        </w:rPr>
        <w:footnoteReference w:id="4"/>
      </w:r>
      <w:r w:rsidRPr="00554449">
        <w:rPr>
          <w:rFonts w:cs="Arial"/>
          <w:bCs/>
        </w:rPr>
        <w:t>:</w:t>
      </w:r>
    </w:p>
    <w:p w14:paraId="21028771" w14:textId="77777777" w:rsidR="00C25488" w:rsidRPr="00D149A2" w:rsidRDefault="00C25488" w:rsidP="00C25488">
      <w:pPr>
        <w:ind w:left="426"/>
        <w:rPr>
          <w:rFonts w:cs="Arial"/>
          <w:b/>
        </w:rPr>
      </w:pPr>
      <w:r w:rsidRPr="00D149A2">
        <w:rPr>
          <w:rFonts w:cs="Arial"/>
          <w:b/>
        </w:rPr>
        <w:t xml:space="preserve">Schedule </w:t>
      </w:r>
      <w:r>
        <w:rPr>
          <w:rFonts w:cs="Arial"/>
          <w:b/>
        </w:rPr>
        <w:t>8 – Amend Entry</w:t>
      </w:r>
    </w:p>
    <w:p w14:paraId="7912CDE4" w14:textId="069D2D9E" w:rsidR="00C25488" w:rsidRDefault="00C25488" w:rsidP="00C25488">
      <w:pPr>
        <w:ind w:left="426" w:firstLine="294"/>
        <w:rPr>
          <w:rFonts w:cs="Arial"/>
        </w:rPr>
      </w:pPr>
      <w:r>
        <w:rPr>
          <w:rFonts w:cs="Arial"/>
        </w:rPr>
        <w:t xml:space="preserve">ETHYLMORPHINE </w:t>
      </w:r>
      <w:r w:rsidRPr="001E2850">
        <w:rPr>
          <w:rFonts w:cs="Arial"/>
          <w:b/>
          <w:bCs/>
        </w:rPr>
        <w:t>except</w:t>
      </w:r>
      <w:r>
        <w:rPr>
          <w:rFonts w:cs="Arial"/>
        </w:rPr>
        <w:t xml:space="preserve"> when included in Schedule </w:t>
      </w:r>
      <w:r w:rsidR="00714741">
        <w:rPr>
          <w:rFonts w:cs="Arial"/>
          <w:strike/>
          <w:color w:val="FF0000"/>
        </w:rPr>
        <w:t>2</w:t>
      </w:r>
      <w:r w:rsidRPr="001F092F">
        <w:rPr>
          <w:rFonts w:cs="Arial"/>
          <w:strike/>
          <w:color w:val="FF0000"/>
        </w:rPr>
        <w:t xml:space="preserve"> or </w:t>
      </w:r>
      <w:r>
        <w:rPr>
          <w:rFonts w:cs="Arial"/>
        </w:rPr>
        <w:t>4.</w:t>
      </w:r>
    </w:p>
    <w:p w14:paraId="6171ADD8" w14:textId="77777777" w:rsidR="00C25488" w:rsidRPr="00914474" w:rsidRDefault="00C25488" w:rsidP="00C25488">
      <w:pPr>
        <w:ind w:left="426"/>
        <w:rPr>
          <w:rFonts w:cs="Arial"/>
          <w:b/>
          <w:bCs/>
        </w:rPr>
      </w:pPr>
      <w:r w:rsidRPr="00914474">
        <w:rPr>
          <w:rFonts w:cs="Arial"/>
          <w:b/>
          <w:bCs/>
        </w:rPr>
        <w:t>Schedule 4 – Amend Entry</w:t>
      </w:r>
    </w:p>
    <w:p w14:paraId="612727C9" w14:textId="77777777" w:rsidR="00C25488" w:rsidRDefault="00C25488" w:rsidP="00C25488">
      <w:pPr>
        <w:ind w:left="720" w:firstLine="6"/>
        <w:rPr>
          <w:rFonts w:cs="Arial"/>
        </w:rPr>
      </w:pPr>
      <w:r>
        <w:rPr>
          <w:rFonts w:cs="Arial"/>
        </w:rPr>
        <w:t>ETHYLMORPHINE when compounded with one or more other therapeutically active substances:</w:t>
      </w:r>
    </w:p>
    <w:p w14:paraId="362E2E93" w14:textId="77777777" w:rsidR="00C25488" w:rsidRDefault="00C25488" w:rsidP="001A06A9">
      <w:pPr>
        <w:pStyle w:val="ListBulleta"/>
      </w:pPr>
      <w:r>
        <w:t>in divided preparations containing not more than 100 mg of ethylmorphine per dosage unit; or</w:t>
      </w:r>
    </w:p>
    <w:p w14:paraId="24BD8E1A" w14:textId="77777777" w:rsidR="00C25488" w:rsidRDefault="00C25488" w:rsidP="001A06A9">
      <w:pPr>
        <w:pStyle w:val="ListBulleta"/>
      </w:pPr>
      <w:r>
        <w:t>in undivided preparations with a concentration of not more than 2.5% of ethylmorphine</w:t>
      </w:r>
      <w:r w:rsidRPr="00914474">
        <w:rPr>
          <w:strike/>
          <w:color w:val="FF0000"/>
        </w:rPr>
        <w:t>;</w:t>
      </w:r>
    </w:p>
    <w:p w14:paraId="170146FA" w14:textId="77777777" w:rsidR="00C25488" w:rsidRPr="009F4E87" w:rsidRDefault="00C25488" w:rsidP="001A06A9">
      <w:pPr>
        <w:pStyle w:val="ListBulleta"/>
        <w:numPr>
          <w:ilvl w:val="0"/>
          <w:numId w:val="0"/>
        </w:numPr>
        <w:ind w:left="709"/>
        <w:rPr>
          <w:strike/>
          <w:color w:val="FF0000"/>
        </w:rPr>
      </w:pPr>
      <w:r w:rsidRPr="009F4E87">
        <w:rPr>
          <w:b/>
          <w:bCs/>
          <w:strike/>
          <w:color w:val="FF0000"/>
        </w:rPr>
        <w:t>except</w:t>
      </w:r>
      <w:r w:rsidRPr="009F4E87">
        <w:rPr>
          <w:strike/>
          <w:color w:val="FF0000"/>
        </w:rPr>
        <w:t xml:space="preserve"> when included in Schedule 2</w:t>
      </w:r>
      <w:r w:rsidRPr="009F4E87">
        <w:t>.</w:t>
      </w:r>
    </w:p>
    <w:p w14:paraId="270C9BE5" w14:textId="77777777" w:rsidR="00C25488" w:rsidRDefault="00C25488" w:rsidP="00C25488">
      <w:pPr>
        <w:ind w:left="426"/>
        <w:rPr>
          <w:rFonts w:cs="Arial"/>
          <w:b/>
        </w:rPr>
      </w:pPr>
      <w:r>
        <w:rPr>
          <w:rFonts w:cs="Arial"/>
          <w:b/>
        </w:rPr>
        <w:t>Schedule 2 – Delete Entry</w:t>
      </w:r>
    </w:p>
    <w:p w14:paraId="29C56713" w14:textId="77777777" w:rsidR="00C25488" w:rsidRPr="00714741" w:rsidRDefault="00C25488" w:rsidP="00C25488">
      <w:pPr>
        <w:ind w:left="426"/>
        <w:rPr>
          <w:rFonts w:cs="Arial"/>
          <w:bCs/>
          <w:strike/>
          <w:color w:val="FF0000"/>
        </w:rPr>
      </w:pPr>
      <w:r w:rsidRPr="00931483">
        <w:rPr>
          <w:rFonts w:cs="Arial"/>
          <w:b/>
          <w:color w:val="FF0000"/>
        </w:rPr>
        <w:tab/>
      </w:r>
      <w:r w:rsidRPr="00714741">
        <w:rPr>
          <w:rFonts w:cs="Arial"/>
          <w:bCs/>
          <w:strike/>
          <w:color w:val="FF0000"/>
        </w:rPr>
        <w:t>ETHYLMORPHINE when:</w:t>
      </w:r>
    </w:p>
    <w:p w14:paraId="1510174D" w14:textId="77777777" w:rsidR="00C25488" w:rsidRPr="00C82233" w:rsidRDefault="00C25488">
      <w:pPr>
        <w:pStyle w:val="ListBulleta"/>
        <w:numPr>
          <w:ilvl w:val="0"/>
          <w:numId w:val="8"/>
        </w:numPr>
        <w:rPr>
          <w:strike/>
          <w:color w:val="FF0000"/>
        </w:rPr>
      </w:pPr>
      <w:r w:rsidRPr="00C82233">
        <w:rPr>
          <w:strike/>
          <w:color w:val="FF0000"/>
        </w:rPr>
        <w:t>compounded with one or more other therapeutically active substances:</w:t>
      </w:r>
    </w:p>
    <w:p w14:paraId="255A9ED2" w14:textId="77777777" w:rsidR="00C25488" w:rsidRPr="00C82233" w:rsidRDefault="00C25488" w:rsidP="00082D97">
      <w:pPr>
        <w:pStyle w:val="ListBulleti"/>
        <w:rPr>
          <w:strike/>
          <w:color w:val="FF0000"/>
        </w:rPr>
      </w:pPr>
      <w:r w:rsidRPr="00C82233">
        <w:rPr>
          <w:strike/>
          <w:color w:val="FF0000"/>
        </w:rPr>
        <w:t>in divided preparations containing 10 mg or less of ethylmorphine per dosage unit; or</w:t>
      </w:r>
    </w:p>
    <w:p w14:paraId="208B9A75" w14:textId="77777777" w:rsidR="00C25488" w:rsidRPr="00C82233" w:rsidRDefault="00C25488" w:rsidP="00082D97">
      <w:pPr>
        <w:pStyle w:val="ListBulleti"/>
        <w:rPr>
          <w:strike/>
          <w:color w:val="FF0000"/>
        </w:rPr>
      </w:pPr>
      <w:r w:rsidRPr="00C82233">
        <w:rPr>
          <w:strike/>
          <w:color w:val="FF0000"/>
        </w:rPr>
        <w:t>in undivided preparations containing 0.25% or less of ethylmorphine; and</w:t>
      </w:r>
    </w:p>
    <w:p w14:paraId="26B14EE0" w14:textId="77777777" w:rsidR="00C25488" w:rsidRPr="00C82233" w:rsidRDefault="00C25488" w:rsidP="001A06A9">
      <w:pPr>
        <w:pStyle w:val="ListBulleta"/>
        <w:rPr>
          <w:strike/>
          <w:color w:val="FF0000"/>
        </w:rPr>
      </w:pPr>
      <w:r w:rsidRPr="00C82233">
        <w:rPr>
          <w:strike/>
          <w:color w:val="FF0000"/>
        </w:rPr>
        <w:t>labelled with a recommended dose not exceeding 15 mg of ethylmorphine.</w:t>
      </w:r>
    </w:p>
    <w:p w14:paraId="7B2BAF14" w14:textId="028D9B2B" w:rsidR="00C25488" w:rsidRPr="00D149A2" w:rsidRDefault="00C25488" w:rsidP="00C25488">
      <w:pPr>
        <w:ind w:left="426"/>
        <w:rPr>
          <w:rFonts w:cs="Arial"/>
          <w:b/>
        </w:rPr>
      </w:pPr>
      <w:r w:rsidRPr="00D149A2">
        <w:rPr>
          <w:rFonts w:cs="Arial"/>
          <w:b/>
        </w:rPr>
        <w:t>Index</w:t>
      </w:r>
      <w:r>
        <w:rPr>
          <w:rFonts w:cs="Arial"/>
          <w:b/>
        </w:rPr>
        <w:t xml:space="preserve"> – Amend Entry</w:t>
      </w:r>
    </w:p>
    <w:p w14:paraId="55E88BF3" w14:textId="77777777" w:rsidR="00C25488" w:rsidRDefault="00C25488" w:rsidP="00C25488">
      <w:pPr>
        <w:ind w:left="426" w:firstLine="294"/>
        <w:rPr>
          <w:rFonts w:cs="Arial"/>
        </w:rPr>
      </w:pPr>
      <w:r>
        <w:rPr>
          <w:rFonts w:cs="Arial"/>
        </w:rPr>
        <w:t>ETHYLMORPHINE</w:t>
      </w:r>
    </w:p>
    <w:p w14:paraId="554DC284" w14:textId="1527A4B3" w:rsidR="00C25488" w:rsidRPr="00D149A2" w:rsidRDefault="00C25488" w:rsidP="00C25488">
      <w:pPr>
        <w:ind w:left="426" w:firstLine="294"/>
        <w:rPr>
          <w:rFonts w:cs="Arial"/>
        </w:rPr>
      </w:pPr>
      <w:r>
        <w:rPr>
          <w:rFonts w:cs="Arial"/>
        </w:rPr>
        <w:t>Schedule 8</w:t>
      </w:r>
      <w:r>
        <w:rPr>
          <w:rFonts w:cs="Arial"/>
        </w:rPr>
        <w:br/>
      </w:r>
      <w:r>
        <w:rPr>
          <w:rFonts w:cs="Arial"/>
        </w:rPr>
        <w:tab/>
        <w:t>Schedule 4</w:t>
      </w:r>
      <w:r>
        <w:rPr>
          <w:rFonts w:cs="Arial"/>
        </w:rPr>
        <w:br/>
      </w:r>
      <w:r>
        <w:rPr>
          <w:rFonts w:cs="Arial"/>
        </w:rPr>
        <w:tab/>
      </w:r>
      <w:r w:rsidRPr="00426EA6">
        <w:rPr>
          <w:rFonts w:cs="Arial"/>
          <w:strike/>
          <w:color w:val="FF0000"/>
        </w:rPr>
        <w:t xml:space="preserve">Schedule </w:t>
      </w:r>
      <w:r w:rsidR="00714741">
        <w:rPr>
          <w:rFonts w:cs="Arial"/>
          <w:strike/>
          <w:color w:val="FF0000"/>
        </w:rPr>
        <w:t>2</w:t>
      </w:r>
    </w:p>
    <w:p w14:paraId="232C289B" w14:textId="1FDDA271" w:rsidR="00C25488" w:rsidRPr="00D149A2" w:rsidRDefault="00C25488" w:rsidP="008C549F">
      <w:pPr>
        <w:pStyle w:val="Heading4"/>
      </w:pPr>
      <w:bookmarkStart w:id="51" w:name="_Toc122614220"/>
      <w:bookmarkStart w:id="52" w:name="_Toc155176369"/>
      <w:r w:rsidRPr="00D149A2">
        <w:lastRenderedPageBreak/>
        <w:t>Background</w:t>
      </w:r>
      <w:bookmarkEnd w:id="51"/>
      <w:bookmarkEnd w:id="52"/>
    </w:p>
    <w:p w14:paraId="701E964D" w14:textId="53C25FB0" w:rsidR="00C25488" w:rsidRPr="00D149A2" w:rsidRDefault="00C25488" w:rsidP="00C25488">
      <w:pPr>
        <w:rPr>
          <w:rFonts w:cs="Arial"/>
        </w:rPr>
      </w:pPr>
      <w:r>
        <w:rPr>
          <w:rFonts w:cs="Arial"/>
        </w:rPr>
        <w:t xml:space="preserve">Ethylmorphine is an opioid analgesic that has previously been available over-the-counter in low-dose oral solutions as a cough suppressant. While there are currently no registered OTC products containing ethylmorphine, under the existing scheduling </w:t>
      </w:r>
      <w:r w:rsidR="00931483">
        <w:rPr>
          <w:rFonts w:cs="Arial"/>
        </w:rPr>
        <w:t xml:space="preserve">some preparations of </w:t>
      </w:r>
      <w:r>
        <w:rPr>
          <w:rFonts w:cs="Arial"/>
        </w:rPr>
        <w:t xml:space="preserve">ethylmorphine can still be </w:t>
      </w:r>
      <w:r w:rsidR="00931483">
        <w:rPr>
          <w:rFonts w:cs="Arial"/>
        </w:rPr>
        <w:t xml:space="preserve">imported, or used in </w:t>
      </w:r>
      <w:r>
        <w:rPr>
          <w:rFonts w:cs="Arial"/>
        </w:rPr>
        <w:t xml:space="preserve">compounded </w:t>
      </w:r>
      <w:r w:rsidR="00931483">
        <w:rPr>
          <w:rFonts w:cs="Arial"/>
        </w:rPr>
        <w:t xml:space="preserve">medicines, </w:t>
      </w:r>
      <w:r>
        <w:rPr>
          <w:rFonts w:cs="Arial"/>
        </w:rPr>
        <w:t>for cough suppression without requirement for a prescription.</w:t>
      </w:r>
    </w:p>
    <w:p w14:paraId="6078F990" w14:textId="684B571D" w:rsidR="00C25488" w:rsidRPr="00D149A2" w:rsidRDefault="00C25488" w:rsidP="008C549F">
      <w:pPr>
        <w:pStyle w:val="Heading4"/>
      </w:pPr>
      <w:bookmarkStart w:id="53" w:name="_Toc122614221"/>
      <w:bookmarkStart w:id="54" w:name="_Toc155176370"/>
      <w:r w:rsidRPr="00D149A2">
        <w:t>Summary of reasons for the proposal</w:t>
      </w:r>
      <w:bookmarkEnd w:id="53"/>
      <w:bookmarkEnd w:id="54"/>
    </w:p>
    <w:p w14:paraId="1C0AF13E" w14:textId="7B618C2B" w:rsidR="00C25488" w:rsidRPr="00931483" w:rsidRDefault="00C25488" w:rsidP="002B50B0">
      <w:pPr>
        <w:pStyle w:val="ListBullet-donotcross"/>
        <w:numPr>
          <w:ilvl w:val="0"/>
          <w:numId w:val="0"/>
        </w:numPr>
      </w:pPr>
      <w:r w:rsidRPr="00931483">
        <w:t xml:space="preserve">The current </w:t>
      </w:r>
      <w:r w:rsidRPr="00286C53">
        <w:t>Schedule</w:t>
      </w:r>
      <w:r w:rsidRPr="00931483">
        <w:t xml:space="preserve"> 2 entry for ethylmorphine is a legacy entry that has not been considered by a scheduling committee since the early 1990s. As outlined in the proposal for dihydrocodeine</w:t>
      </w:r>
      <w:r w:rsidR="00931483">
        <w:t xml:space="preserve"> (see above)</w:t>
      </w:r>
      <w:r w:rsidRPr="00931483">
        <w:t xml:space="preserve">, it may not be appropriate for any opioid to be available to patients without oversight </w:t>
      </w:r>
      <w:r w:rsidR="00931483" w:rsidRPr="00931483">
        <w:t xml:space="preserve">from a pharmacist or doctor, </w:t>
      </w:r>
      <w:r w:rsidRPr="00931483">
        <w:t xml:space="preserve">due to the associated risks of </w:t>
      </w:r>
      <w:r w:rsidR="001A06A9" w:rsidRPr="00931483">
        <w:t>dependence</w:t>
      </w:r>
      <w:r w:rsidR="001A06A9">
        <w:t>, potential for abuse</w:t>
      </w:r>
      <w:r w:rsidR="001A06A9" w:rsidRPr="00931483">
        <w:t xml:space="preserve"> </w:t>
      </w:r>
      <w:r w:rsidR="001A06A9">
        <w:t xml:space="preserve">and </w:t>
      </w:r>
      <w:r w:rsidRPr="00931483">
        <w:t>respiratory depression.</w:t>
      </w:r>
    </w:p>
    <w:p w14:paraId="6AD58886" w14:textId="48E5E4F0" w:rsidR="00C25488" w:rsidRPr="00D149A2" w:rsidRDefault="00C25488" w:rsidP="008C549F">
      <w:pPr>
        <w:pStyle w:val="Heading4"/>
      </w:pPr>
      <w:bookmarkStart w:id="55" w:name="_Toc122614222"/>
      <w:bookmarkStart w:id="56" w:name="_Toc155176371"/>
      <w:r w:rsidRPr="00D149A2">
        <w:t>Key uses / expected use</w:t>
      </w:r>
      <w:bookmarkEnd w:id="55"/>
      <w:bookmarkEnd w:id="56"/>
    </w:p>
    <w:p w14:paraId="1CE374F1" w14:textId="77777777" w:rsidR="00C25488" w:rsidRPr="00D149A2" w:rsidRDefault="00C25488" w:rsidP="00C25488">
      <w:pPr>
        <w:rPr>
          <w:rFonts w:cs="Arial"/>
        </w:rPr>
      </w:pPr>
      <w:r w:rsidRPr="004C4F24">
        <w:rPr>
          <w:rFonts w:cs="Arial"/>
        </w:rPr>
        <w:t>Medicines</w:t>
      </w:r>
    </w:p>
    <w:p w14:paraId="5D0A098E" w14:textId="6E6E7624" w:rsidR="00C25488" w:rsidRPr="00D149A2" w:rsidRDefault="00C25488" w:rsidP="008C549F">
      <w:pPr>
        <w:pStyle w:val="Heading4"/>
      </w:pPr>
      <w:bookmarkStart w:id="57" w:name="_Toc122614223"/>
      <w:bookmarkStart w:id="58" w:name="_Toc155176372"/>
      <w:r w:rsidRPr="00D149A2">
        <w:t>Australian regulations</w:t>
      </w:r>
      <w:bookmarkEnd w:id="57"/>
      <w:bookmarkEnd w:id="58"/>
    </w:p>
    <w:p w14:paraId="651D7BC7" w14:textId="77777777" w:rsidR="00C25488" w:rsidRPr="000D5419" w:rsidRDefault="00C25488" w:rsidP="00082D97">
      <w:pPr>
        <w:pStyle w:val="ListBullet"/>
      </w:pPr>
      <w:r w:rsidRPr="000D5419">
        <w:t xml:space="preserve">According to the </w:t>
      </w:r>
      <w:hyperlink r:id="rId57">
        <w:r w:rsidRPr="000D5419">
          <w:rPr>
            <w:rStyle w:val="Hyperlink"/>
            <w:rFonts w:asciiTheme="minorHAnsi" w:hAnsiTheme="minorHAnsi"/>
          </w:rPr>
          <w:t>TGA Ingredient Database</w:t>
        </w:r>
      </w:hyperlink>
      <w:r w:rsidRPr="000D5419">
        <w:t>, ethylmorphine (as hydrochloride dihydrate) is:</w:t>
      </w:r>
    </w:p>
    <w:p w14:paraId="3722706A" w14:textId="77777777" w:rsidR="00C25488" w:rsidRPr="0069383B" w:rsidRDefault="00C25488" w:rsidP="00C25488">
      <w:pPr>
        <w:pStyle w:val="ListBullet2"/>
        <w:rPr>
          <w:rFonts w:asciiTheme="minorHAnsi" w:hAnsiTheme="minorHAnsi" w:cstheme="minorHAnsi"/>
        </w:rPr>
      </w:pPr>
      <w:r w:rsidRPr="0069383B">
        <w:rPr>
          <w:rFonts w:asciiTheme="minorHAnsi" w:hAnsiTheme="minorHAnsi" w:cstheme="minorHAnsi"/>
        </w:rPr>
        <w:t>Available for use as an Active Ingredient in Biologicals, Export Only, Over the Counter, and Prescription Medicines</w:t>
      </w:r>
    </w:p>
    <w:p w14:paraId="3F3F544C" w14:textId="77777777" w:rsidR="00C25488" w:rsidRPr="0069383B" w:rsidRDefault="00C25488" w:rsidP="00C25488">
      <w:pPr>
        <w:pStyle w:val="ListBullet2"/>
        <w:rPr>
          <w:rFonts w:asciiTheme="minorHAnsi" w:hAnsiTheme="minorHAnsi" w:cstheme="minorHAnsi"/>
        </w:rPr>
      </w:pPr>
      <w:r w:rsidRPr="0069383B">
        <w:rPr>
          <w:rFonts w:asciiTheme="minorHAnsi" w:hAnsiTheme="minorHAnsi" w:cstheme="minorHAnsi"/>
        </w:rPr>
        <w:t>Available for use as an Excipient Ingredient in Biologicals, Devices and Prescription Medicines</w:t>
      </w:r>
    </w:p>
    <w:p w14:paraId="7B91AD84" w14:textId="1AA1D381" w:rsidR="00C25488" w:rsidRPr="0069383B" w:rsidRDefault="00C25488" w:rsidP="00C25488">
      <w:pPr>
        <w:pStyle w:val="ListBullet2"/>
        <w:rPr>
          <w:rFonts w:asciiTheme="minorHAnsi" w:hAnsiTheme="minorHAnsi" w:cstheme="minorHAnsi"/>
        </w:rPr>
      </w:pPr>
      <w:r w:rsidRPr="0069383B">
        <w:rPr>
          <w:rFonts w:asciiTheme="minorHAnsi" w:hAnsiTheme="minorHAnsi" w:cstheme="minorHAnsi"/>
        </w:rPr>
        <w:t>Not available as an Equivalent Ingredient in any application</w:t>
      </w:r>
    </w:p>
    <w:p w14:paraId="1EBA8CDA" w14:textId="5F6DEBAA" w:rsidR="00C25488" w:rsidRPr="000D5419" w:rsidRDefault="00C25488" w:rsidP="00082D97">
      <w:pPr>
        <w:pStyle w:val="ListBullet"/>
      </w:pPr>
      <w:r w:rsidRPr="000D5419">
        <w:t xml:space="preserve">As of December 2023, there were no medicines active on the </w:t>
      </w:r>
      <w:hyperlink r:id="rId58">
        <w:r w:rsidRPr="000D5419">
          <w:rPr>
            <w:rStyle w:val="Hyperlink"/>
            <w:rFonts w:asciiTheme="minorHAnsi" w:hAnsiTheme="minorHAnsi"/>
          </w:rPr>
          <w:t>Australian Register of Therapeutic Goods (ARTG)</w:t>
        </w:r>
      </w:hyperlink>
      <w:r w:rsidRPr="000D5419">
        <w:t xml:space="preserve"> that contain ethylmorphine as an active ingredient.</w:t>
      </w:r>
    </w:p>
    <w:p w14:paraId="75BA503F" w14:textId="482CD514" w:rsidR="00C25488" w:rsidRPr="000D5419" w:rsidRDefault="00C25488" w:rsidP="00082D97">
      <w:pPr>
        <w:pStyle w:val="ListBullet"/>
      </w:pPr>
      <w:r w:rsidRPr="000D5419">
        <w:t xml:space="preserve">Ethylmorphine is not permitted to be included in listed medicines as it is not included in the </w:t>
      </w:r>
      <w:hyperlink r:id="rId59">
        <w:r w:rsidRPr="000D5419">
          <w:rPr>
            <w:rStyle w:val="Hyperlink"/>
            <w:rFonts w:asciiTheme="minorHAnsi" w:hAnsiTheme="minorHAnsi"/>
          </w:rPr>
          <w:t>Therapeutic Goods (Permissible Ingredients) Determination No.4 of 2023</w:t>
        </w:r>
      </w:hyperlink>
      <w:r w:rsidRPr="002B50B0">
        <w:t>.</w:t>
      </w:r>
    </w:p>
    <w:p w14:paraId="07A584EA" w14:textId="77777777" w:rsidR="00C25488" w:rsidRPr="000D5419" w:rsidRDefault="00C25488" w:rsidP="00082D97">
      <w:pPr>
        <w:pStyle w:val="ListBullet"/>
      </w:pPr>
      <w:r w:rsidRPr="000D5419">
        <w:t xml:space="preserve">The </w:t>
      </w:r>
      <w:hyperlink r:id="rId60">
        <w:r w:rsidRPr="000D5419">
          <w:rPr>
            <w:rStyle w:val="Hyperlink"/>
            <w:rFonts w:asciiTheme="minorHAnsi" w:hAnsiTheme="minorHAnsi"/>
          </w:rPr>
          <w:t>TGA prescribing medicines in pregnancy database</w:t>
        </w:r>
      </w:hyperlink>
      <w:r w:rsidRPr="000D5419">
        <w:t xml:space="preserve"> does not include ethylmorphine.</w:t>
      </w:r>
    </w:p>
    <w:p w14:paraId="73E8BA94" w14:textId="12FC90C7" w:rsidR="00C25488" w:rsidRPr="000D5419" w:rsidRDefault="00C25488" w:rsidP="00082D97">
      <w:pPr>
        <w:pStyle w:val="ListBullet"/>
      </w:pPr>
      <w:r w:rsidRPr="000D5419">
        <w:t xml:space="preserve">There are no warning statements pertaining to ethylmorphine in the </w:t>
      </w:r>
      <w:hyperlink r:id="rId61">
        <w:r w:rsidRPr="000D5419">
          <w:rPr>
            <w:rStyle w:val="Hyperlink"/>
            <w:rFonts w:asciiTheme="minorHAnsi" w:hAnsiTheme="minorHAnsi"/>
          </w:rPr>
          <w:t>Therapeutic Goods (Medicines Advisory Statements) Specification 2021</w:t>
        </w:r>
      </w:hyperlink>
      <w:r w:rsidR="002B50B0" w:rsidRPr="002B50B0">
        <w:rPr>
          <w:rStyle w:val="Hyperlink"/>
          <w:rFonts w:asciiTheme="minorHAnsi" w:hAnsiTheme="minorHAnsi"/>
          <w:color w:val="auto"/>
          <w:u w:val="none"/>
        </w:rPr>
        <w:t>.</w:t>
      </w:r>
    </w:p>
    <w:p w14:paraId="424ABB19" w14:textId="49AC2268" w:rsidR="00C25488" w:rsidRPr="000D5419" w:rsidRDefault="00C25488" w:rsidP="00082D97">
      <w:pPr>
        <w:pStyle w:val="ListBullet"/>
      </w:pPr>
      <w:r w:rsidRPr="000D5419">
        <w:t xml:space="preserve">As of December 2023, there were 2 reports of adverse events for products containing ethylmorphine as an active ingredient on the </w:t>
      </w:r>
      <w:hyperlink r:id="rId62">
        <w:r w:rsidRPr="000D5419">
          <w:rPr>
            <w:rStyle w:val="Hyperlink"/>
            <w:rFonts w:asciiTheme="minorHAnsi" w:hAnsiTheme="minorHAnsi"/>
          </w:rPr>
          <w:t>Database of Adverse Event Notifications (DAEN)</w:t>
        </w:r>
      </w:hyperlink>
      <w:r w:rsidRPr="000D5419">
        <w:rPr>
          <w:rStyle w:val="Hyperlink"/>
          <w:rFonts w:asciiTheme="minorHAnsi" w:hAnsiTheme="minorHAnsi"/>
        </w:rPr>
        <w:t xml:space="preserve">, </w:t>
      </w:r>
      <w:r w:rsidRPr="000D5419">
        <w:t>with one report where ethylmorphine was the single suspected medicine. There were no reports of death associated with ethylmorphine use.</w:t>
      </w:r>
    </w:p>
    <w:p w14:paraId="47F88752" w14:textId="6AF498DA" w:rsidR="00C25488" w:rsidRDefault="00C25488" w:rsidP="00082D97">
      <w:pPr>
        <w:pStyle w:val="ListBullet"/>
      </w:pPr>
      <w:r w:rsidRPr="000D5419">
        <w:t xml:space="preserve">As of December 2023, there were no products containing ethylmorphine as an active ingredient/constituent or scheduled substance listed on the </w:t>
      </w:r>
      <w:hyperlink r:id="rId63">
        <w:r w:rsidRPr="000D5419">
          <w:rPr>
            <w:rStyle w:val="Hyperlink"/>
            <w:rFonts w:asciiTheme="minorHAnsi" w:hAnsiTheme="minorHAnsi"/>
          </w:rPr>
          <w:t>Public Chemical Registration Information System Search (PubCRIS)</w:t>
        </w:r>
      </w:hyperlink>
      <w:r w:rsidRPr="002B50B0">
        <w:t>.</w:t>
      </w:r>
    </w:p>
    <w:p w14:paraId="37335EFE" w14:textId="4D05C306" w:rsidR="002B50B0" w:rsidRPr="000B12AF" w:rsidRDefault="002B50B0" w:rsidP="002B50B0">
      <w:pPr>
        <w:pStyle w:val="ListBullet"/>
      </w:pPr>
      <w:r>
        <w:t>As of December 2023, ethylmorphine is not listed on the Australian Inventory of Industrial Chemicals.</w:t>
      </w:r>
    </w:p>
    <w:p w14:paraId="017CF663" w14:textId="77777777" w:rsidR="002B50B0" w:rsidRDefault="002B50B0">
      <w:pPr>
        <w:rPr>
          <w:rFonts w:eastAsia="Cambria" w:cs="Times New Roman"/>
          <w:bCs/>
          <w:color w:val="001871"/>
          <w:sz w:val="28"/>
          <w:szCs w:val="26"/>
        </w:rPr>
      </w:pPr>
      <w:bookmarkStart w:id="59" w:name="_Toc122614224"/>
      <w:r>
        <w:br w:type="page"/>
      </w:r>
    </w:p>
    <w:p w14:paraId="246C3B71" w14:textId="17D5D5EF" w:rsidR="00C25488" w:rsidRPr="00D149A2" w:rsidRDefault="00C25488" w:rsidP="008C549F">
      <w:pPr>
        <w:pStyle w:val="Heading4"/>
      </w:pPr>
      <w:bookmarkStart w:id="60" w:name="_Toc155176373"/>
      <w:r w:rsidRPr="00D149A2">
        <w:lastRenderedPageBreak/>
        <w:t>International regulations</w:t>
      </w:r>
      <w:bookmarkEnd w:id="59"/>
      <w:bookmarkEnd w:id="60"/>
    </w:p>
    <w:p w14:paraId="6731320B" w14:textId="77777777" w:rsidR="00C25488" w:rsidRPr="000D5419" w:rsidRDefault="00C25488" w:rsidP="00082D97">
      <w:pPr>
        <w:pStyle w:val="ListBullet"/>
      </w:pPr>
      <w:r w:rsidRPr="000D5419">
        <w:t xml:space="preserve">Ethylmorphine is not listed on the </w:t>
      </w:r>
      <w:hyperlink r:id="rId64">
        <w:r w:rsidRPr="000D5419">
          <w:rPr>
            <w:rStyle w:val="Hyperlink"/>
            <w:rFonts w:asciiTheme="minorHAnsi" w:hAnsiTheme="minorHAnsi"/>
          </w:rPr>
          <w:t>Health Canada Drug Product Database</w:t>
        </w:r>
      </w:hyperlink>
      <w:r w:rsidRPr="000D5419">
        <w:t>.</w:t>
      </w:r>
    </w:p>
    <w:p w14:paraId="6559C196" w14:textId="28FBC897" w:rsidR="00C25488" w:rsidRPr="000D5419" w:rsidRDefault="00C25488" w:rsidP="00082D97">
      <w:pPr>
        <w:pStyle w:val="ListBullet"/>
      </w:pPr>
      <w:r w:rsidRPr="000D5419">
        <w:t xml:space="preserve">Ethylmorphine is listed on </w:t>
      </w:r>
      <w:hyperlink r:id="rId65">
        <w:r w:rsidR="001A71ED" w:rsidRPr="00977EA7">
          <w:rPr>
            <w:rStyle w:val="Hyperlink"/>
            <w:rFonts w:asciiTheme="minorHAnsi" w:hAnsiTheme="minorHAnsi"/>
          </w:rPr>
          <w:t>New Zealand’s Medsafe</w:t>
        </w:r>
      </w:hyperlink>
      <w:r w:rsidRPr="000D5419">
        <w:t xml:space="preserve"> Classification Database as follows:</w:t>
      </w:r>
    </w:p>
    <w:tbl>
      <w:tblPr>
        <w:tblStyle w:val="TableTGAblue"/>
        <w:tblW w:w="0" w:type="auto"/>
        <w:tblLook w:val="04A0" w:firstRow="1" w:lastRow="0" w:firstColumn="1" w:lastColumn="0" w:noHBand="0" w:noVBand="1"/>
      </w:tblPr>
      <w:tblGrid>
        <w:gridCol w:w="1550"/>
        <w:gridCol w:w="4961"/>
        <w:gridCol w:w="2539"/>
      </w:tblGrid>
      <w:tr w:rsidR="00C25488" w:rsidRPr="000D5419" w14:paraId="5CC7C061" w14:textId="77777777" w:rsidTr="00014837">
        <w:trPr>
          <w:cnfStyle w:val="100000000000" w:firstRow="1" w:lastRow="0" w:firstColumn="0" w:lastColumn="0" w:oddVBand="0" w:evenVBand="0" w:oddHBand="0" w:evenHBand="0" w:firstRowFirstColumn="0" w:firstRowLastColumn="0" w:lastRowFirstColumn="0" w:lastRowLastColumn="0"/>
        </w:trPr>
        <w:tc>
          <w:tcPr>
            <w:tcW w:w="1550" w:type="dxa"/>
          </w:tcPr>
          <w:p w14:paraId="3F647F6B" w14:textId="77777777" w:rsidR="00C25488" w:rsidRPr="00DA6D4E" w:rsidRDefault="00C25488" w:rsidP="00082D97">
            <w:pPr>
              <w:pStyle w:val="ListBullet"/>
              <w:numPr>
                <w:ilvl w:val="0"/>
                <w:numId w:val="0"/>
              </w:numPr>
              <w:rPr>
                <w:rStyle w:val="Hyperlink"/>
                <w:rFonts w:asciiTheme="minorHAnsi" w:hAnsiTheme="minorHAnsi"/>
                <w:color w:val="FFFFFF" w:themeColor="background1"/>
                <w:sz w:val="20"/>
                <w:szCs w:val="20"/>
                <w:u w:val="none"/>
              </w:rPr>
            </w:pPr>
            <w:r w:rsidRPr="00DA6D4E">
              <w:rPr>
                <w:rStyle w:val="Hyperlink"/>
                <w:rFonts w:asciiTheme="minorHAnsi" w:hAnsiTheme="minorHAnsi"/>
                <w:color w:val="FFFFFF" w:themeColor="background1"/>
                <w:sz w:val="20"/>
                <w:szCs w:val="20"/>
                <w:u w:val="none"/>
              </w:rPr>
              <w:t>Ingredient</w:t>
            </w:r>
          </w:p>
        </w:tc>
        <w:tc>
          <w:tcPr>
            <w:tcW w:w="4961" w:type="dxa"/>
          </w:tcPr>
          <w:p w14:paraId="0D79033E" w14:textId="77777777" w:rsidR="00C25488" w:rsidRPr="00DA6D4E" w:rsidRDefault="00C25488" w:rsidP="00082D97">
            <w:pPr>
              <w:pStyle w:val="ListBullet"/>
              <w:numPr>
                <w:ilvl w:val="0"/>
                <w:numId w:val="0"/>
              </w:numPr>
              <w:rPr>
                <w:rStyle w:val="Hyperlink"/>
                <w:rFonts w:asciiTheme="minorHAnsi" w:hAnsiTheme="minorHAnsi"/>
                <w:color w:val="FFFFFF" w:themeColor="background1"/>
                <w:sz w:val="20"/>
                <w:szCs w:val="20"/>
                <w:u w:val="none"/>
              </w:rPr>
            </w:pPr>
            <w:r w:rsidRPr="00DA6D4E">
              <w:rPr>
                <w:rStyle w:val="Hyperlink"/>
                <w:rFonts w:asciiTheme="minorHAnsi" w:hAnsiTheme="minorHAnsi"/>
                <w:color w:val="FFFFFF" w:themeColor="background1"/>
                <w:sz w:val="20"/>
                <w:szCs w:val="20"/>
                <w:u w:val="none"/>
              </w:rPr>
              <w:t>Conditions (if any)</w:t>
            </w:r>
          </w:p>
        </w:tc>
        <w:tc>
          <w:tcPr>
            <w:tcW w:w="2539" w:type="dxa"/>
          </w:tcPr>
          <w:p w14:paraId="767E0D0E" w14:textId="77777777" w:rsidR="00C25488" w:rsidRPr="00DA6D4E" w:rsidRDefault="00C25488" w:rsidP="00082D97">
            <w:pPr>
              <w:pStyle w:val="ListBullet"/>
              <w:numPr>
                <w:ilvl w:val="0"/>
                <w:numId w:val="0"/>
              </w:numPr>
              <w:rPr>
                <w:rStyle w:val="Hyperlink"/>
                <w:rFonts w:asciiTheme="minorHAnsi" w:hAnsiTheme="minorHAnsi"/>
                <w:color w:val="FFFFFF" w:themeColor="background1"/>
                <w:sz w:val="20"/>
                <w:szCs w:val="20"/>
                <w:u w:val="none"/>
              </w:rPr>
            </w:pPr>
            <w:r w:rsidRPr="00DA6D4E">
              <w:rPr>
                <w:rStyle w:val="Hyperlink"/>
                <w:rFonts w:asciiTheme="minorHAnsi" w:hAnsiTheme="minorHAnsi"/>
                <w:color w:val="FFFFFF" w:themeColor="background1"/>
                <w:sz w:val="20"/>
                <w:szCs w:val="20"/>
                <w:u w:val="none"/>
              </w:rPr>
              <w:t>Classification</w:t>
            </w:r>
          </w:p>
        </w:tc>
      </w:tr>
      <w:tr w:rsidR="00C25488" w:rsidRPr="000D5419" w14:paraId="732F71A9" w14:textId="77777777" w:rsidTr="00014837">
        <w:tc>
          <w:tcPr>
            <w:tcW w:w="1550" w:type="dxa"/>
          </w:tcPr>
          <w:p w14:paraId="762C3176" w14:textId="77777777" w:rsidR="00C25488" w:rsidRPr="00DA6D4E" w:rsidRDefault="00C25488" w:rsidP="00DA6D4E">
            <w:pPr>
              <w:pStyle w:val="ListBullet"/>
              <w:numPr>
                <w:ilvl w:val="0"/>
                <w:numId w:val="0"/>
              </w:numPr>
              <w:ind w:left="22"/>
              <w:rPr>
                <w:rStyle w:val="Hyperlink"/>
                <w:rFonts w:asciiTheme="minorHAnsi" w:hAnsiTheme="minorHAnsi"/>
                <w:color w:val="auto"/>
                <w:sz w:val="20"/>
                <w:szCs w:val="20"/>
                <w:u w:val="none"/>
              </w:rPr>
            </w:pPr>
            <w:r w:rsidRPr="00DA6D4E">
              <w:rPr>
                <w:rStyle w:val="Hyperlink"/>
                <w:rFonts w:asciiTheme="minorHAnsi" w:hAnsiTheme="minorHAnsi"/>
                <w:color w:val="auto"/>
                <w:sz w:val="20"/>
                <w:szCs w:val="20"/>
                <w:u w:val="none"/>
              </w:rPr>
              <w:t>Ethylmorphine</w:t>
            </w:r>
          </w:p>
        </w:tc>
        <w:tc>
          <w:tcPr>
            <w:tcW w:w="4961" w:type="dxa"/>
          </w:tcPr>
          <w:p w14:paraId="18726F1C" w14:textId="2F3530B7" w:rsidR="00C25488" w:rsidRPr="00DA6D4E" w:rsidRDefault="00C25488" w:rsidP="00DA6D4E">
            <w:pPr>
              <w:pStyle w:val="ListBullet"/>
              <w:numPr>
                <w:ilvl w:val="0"/>
                <w:numId w:val="0"/>
              </w:numPr>
              <w:ind w:left="22"/>
              <w:rPr>
                <w:rStyle w:val="Hyperlink"/>
                <w:rFonts w:asciiTheme="minorHAnsi" w:hAnsiTheme="minorHAnsi"/>
                <w:color w:val="auto"/>
                <w:sz w:val="20"/>
                <w:szCs w:val="20"/>
                <w:u w:val="none"/>
              </w:rPr>
            </w:pPr>
            <w:r w:rsidRPr="00DA6D4E">
              <w:rPr>
                <w:rStyle w:val="Hyperlink"/>
                <w:rFonts w:asciiTheme="minorHAnsi" w:hAnsiTheme="minorHAnsi"/>
                <w:color w:val="auto"/>
                <w:sz w:val="20"/>
                <w:szCs w:val="20"/>
                <w:u w:val="none"/>
              </w:rPr>
              <w:t>Other than a preparation or mixture described in Schedule 3, Part 6</w:t>
            </w:r>
            <w:r w:rsidR="00DA6D4E">
              <w:rPr>
                <w:rStyle w:val="Hyperlink"/>
                <w:rFonts w:asciiTheme="minorHAnsi" w:hAnsiTheme="minorHAnsi"/>
                <w:color w:val="auto"/>
                <w:sz w:val="20"/>
                <w:szCs w:val="20"/>
                <w:u w:val="none"/>
              </w:rPr>
              <w:t>.</w:t>
            </w:r>
          </w:p>
        </w:tc>
        <w:tc>
          <w:tcPr>
            <w:tcW w:w="2539" w:type="dxa"/>
          </w:tcPr>
          <w:p w14:paraId="791D46BB" w14:textId="77777777" w:rsidR="00C25488" w:rsidRPr="00DA6D4E" w:rsidRDefault="00C25488" w:rsidP="00DA6D4E">
            <w:pPr>
              <w:pStyle w:val="ListBullet"/>
              <w:numPr>
                <w:ilvl w:val="0"/>
                <w:numId w:val="0"/>
              </w:numPr>
              <w:ind w:left="22"/>
              <w:rPr>
                <w:rStyle w:val="Hyperlink"/>
                <w:rFonts w:asciiTheme="minorHAnsi" w:hAnsiTheme="minorHAnsi"/>
                <w:color w:val="auto"/>
                <w:sz w:val="20"/>
                <w:szCs w:val="20"/>
                <w:u w:val="none"/>
              </w:rPr>
            </w:pPr>
            <w:r w:rsidRPr="00DA6D4E">
              <w:rPr>
                <w:rStyle w:val="Hyperlink"/>
                <w:rFonts w:asciiTheme="minorHAnsi" w:hAnsiTheme="minorHAnsi"/>
                <w:color w:val="auto"/>
                <w:sz w:val="20"/>
                <w:szCs w:val="20"/>
                <w:u w:val="none"/>
              </w:rPr>
              <w:t>Class C3 Controlled Drug</w:t>
            </w:r>
          </w:p>
        </w:tc>
      </w:tr>
      <w:tr w:rsidR="00C25488" w:rsidRPr="000D5419" w14:paraId="39D25B56" w14:textId="77777777" w:rsidTr="00014837">
        <w:tc>
          <w:tcPr>
            <w:tcW w:w="1550" w:type="dxa"/>
          </w:tcPr>
          <w:p w14:paraId="7E2858CD" w14:textId="77777777" w:rsidR="00C25488" w:rsidRPr="00DA6D4E" w:rsidRDefault="00C25488" w:rsidP="00082D97">
            <w:pPr>
              <w:pStyle w:val="ListBullet"/>
              <w:numPr>
                <w:ilvl w:val="0"/>
                <w:numId w:val="0"/>
              </w:numPr>
              <w:ind w:left="22"/>
              <w:rPr>
                <w:rStyle w:val="Hyperlink"/>
                <w:rFonts w:asciiTheme="minorHAnsi" w:hAnsiTheme="minorHAnsi"/>
                <w:color w:val="auto"/>
                <w:sz w:val="20"/>
                <w:szCs w:val="20"/>
                <w:u w:val="none"/>
              </w:rPr>
            </w:pPr>
            <w:r w:rsidRPr="00DA6D4E">
              <w:rPr>
                <w:rStyle w:val="Hyperlink"/>
                <w:rFonts w:asciiTheme="minorHAnsi" w:hAnsiTheme="minorHAnsi"/>
                <w:color w:val="auto"/>
                <w:sz w:val="20"/>
                <w:szCs w:val="20"/>
                <w:u w:val="none"/>
              </w:rPr>
              <w:t>Ethylmorphine</w:t>
            </w:r>
          </w:p>
        </w:tc>
        <w:tc>
          <w:tcPr>
            <w:tcW w:w="4961" w:type="dxa"/>
          </w:tcPr>
          <w:p w14:paraId="6CE3ACC7" w14:textId="31A1C5A3" w:rsidR="00C25488" w:rsidRPr="00DA6D4E" w:rsidRDefault="00C25488" w:rsidP="00082D97">
            <w:pPr>
              <w:pStyle w:val="ListBullet"/>
              <w:numPr>
                <w:ilvl w:val="0"/>
                <w:numId w:val="0"/>
              </w:numPr>
              <w:rPr>
                <w:rStyle w:val="Hyperlink"/>
                <w:rFonts w:asciiTheme="minorHAnsi" w:hAnsiTheme="minorHAnsi"/>
                <w:color w:val="auto"/>
                <w:sz w:val="20"/>
                <w:szCs w:val="20"/>
                <w:u w:val="none"/>
              </w:rPr>
            </w:pPr>
            <w:r w:rsidRPr="00DA6D4E">
              <w:rPr>
                <w:rStyle w:val="Hyperlink"/>
                <w:rFonts w:asciiTheme="minorHAnsi" w:hAnsiTheme="minorHAnsi"/>
                <w:color w:val="auto"/>
                <w:sz w:val="20"/>
                <w:szCs w:val="20"/>
                <w:u w:val="none"/>
              </w:rPr>
              <w:t>(i) Compounded with one or more other pharmacologically active ingredients in such a way that the substance cannot be recovered by readily applicable means or in a yield which would constitute a risk to health; and (ii) Containing not more than 100</w:t>
            </w:r>
            <w:r w:rsidR="002B50B0">
              <w:rPr>
                <w:rStyle w:val="Hyperlink"/>
                <w:rFonts w:asciiTheme="minorHAnsi" w:hAnsiTheme="minorHAnsi"/>
                <w:color w:val="auto"/>
                <w:sz w:val="20"/>
                <w:szCs w:val="20"/>
                <w:u w:val="none"/>
              </w:rPr>
              <w:t> </w:t>
            </w:r>
            <w:r w:rsidRPr="00DA6D4E">
              <w:rPr>
                <w:rStyle w:val="Hyperlink"/>
                <w:rFonts w:asciiTheme="minorHAnsi" w:hAnsiTheme="minorHAnsi"/>
                <w:color w:val="auto"/>
                <w:sz w:val="20"/>
                <w:szCs w:val="20"/>
                <w:u w:val="none"/>
              </w:rPr>
              <w:t>milligrams of the substance in each dosage unit and with a concentration of not more than 2.5 percent in undivided preparations.</w:t>
            </w:r>
          </w:p>
        </w:tc>
        <w:tc>
          <w:tcPr>
            <w:tcW w:w="2539" w:type="dxa"/>
          </w:tcPr>
          <w:p w14:paraId="75683551" w14:textId="77777777" w:rsidR="00C25488" w:rsidRPr="00DA6D4E" w:rsidRDefault="00C25488" w:rsidP="00082D97">
            <w:pPr>
              <w:pStyle w:val="ListBullet"/>
              <w:numPr>
                <w:ilvl w:val="0"/>
                <w:numId w:val="0"/>
              </w:numPr>
              <w:rPr>
                <w:rStyle w:val="Hyperlink"/>
                <w:rFonts w:asciiTheme="minorHAnsi" w:hAnsiTheme="minorHAnsi"/>
                <w:color w:val="auto"/>
                <w:sz w:val="20"/>
                <w:szCs w:val="20"/>
                <w:u w:val="none"/>
              </w:rPr>
            </w:pPr>
            <w:r w:rsidRPr="00DA6D4E">
              <w:rPr>
                <w:rStyle w:val="Hyperlink"/>
                <w:rFonts w:asciiTheme="minorHAnsi" w:hAnsiTheme="minorHAnsi"/>
                <w:color w:val="auto"/>
                <w:sz w:val="20"/>
                <w:szCs w:val="20"/>
                <w:u w:val="none"/>
              </w:rPr>
              <w:t>Class C6 Controlled Drug</w:t>
            </w:r>
          </w:p>
        </w:tc>
      </w:tr>
    </w:tbl>
    <w:p w14:paraId="5606D645" w14:textId="6ED57845" w:rsidR="00C25488" w:rsidRPr="000D5419" w:rsidRDefault="00C25488" w:rsidP="00286C53">
      <w:pPr>
        <w:pStyle w:val="ListBullet-donotcross"/>
      </w:pPr>
      <w:r w:rsidRPr="000D5419">
        <w:t xml:space="preserve">Ethylmorphine is not included on the </w:t>
      </w:r>
      <w:hyperlink r:id="rId66">
        <w:r w:rsidRPr="000D5419">
          <w:rPr>
            <w:rStyle w:val="Hyperlink"/>
            <w:rFonts w:asciiTheme="minorHAnsi" w:hAnsiTheme="minorHAnsi"/>
          </w:rPr>
          <w:t>FDA’s Approved Drugs Database</w:t>
        </w:r>
      </w:hyperlink>
      <w:r w:rsidRPr="000D5419">
        <w:t xml:space="preserve">. Ethylmorphine is a Schedule II controlled substance </w:t>
      </w:r>
      <w:r w:rsidR="007E1C57" w:rsidRPr="000D5419">
        <w:t xml:space="preserve">in the United States </w:t>
      </w:r>
      <w:r w:rsidRPr="000D5419">
        <w:t xml:space="preserve">under the </w:t>
      </w:r>
      <w:hyperlink r:id="rId67">
        <w:r w:rsidRPr="000D5419">
          <w:rPr>
            <w:rStyle w:val="Hyperlink"/>
            <w:rFonts w:asciiTheme="minorHAnsi" w:hAnsiTheme="minorHAnsi"/>
          </w:rPr>
          <w:t>Controlled Substances Act</w:t>
        </w:r>
      </w:hyperlink>
      <w:r w:rsidRPr="000D5419">
        <w:t>.</w:t>
      </w:r>
    </w:p>
    <w:p w14:paraId="06F512ED" w14:textId="77777777" w:rsidR="007E1C57" w:rsidRDefault="007E1C57" w:rsidP="00534E76">
      <w:pPr>
        <w:rPr>
          <w:rFonts w:asciiTheme="majorHAnsi" w:eastAsia="Times New Roman" w:hAnsiTheme="majorHAnsi" w:cs="Arial"/>
          <w:b/>
          <w:bCs/>
          <w:color w:val="001871"/>
          <w:sz w:val="38"/>
          <w:szCs w:val="38"/>
        </w:rPr>
      </w:pPr>
      <w:bookmarkStart w:id="61" w:name="_Toc122614225"/>
      <w:bookmarkEnd w:id="9"/>
      <w:r>
        <w:rPr>
          <w:rFonts w:cs="Arial"/>
        </w:rPr>
        <w:br w:type="page"/>
      </w:r>
    </w:p>
    <w:p w14:paraId="5F5701B6" w14:textId="63EB05D8" w:rsidR="00C25488" w:rsidRPr="00D149A2" w:rsidRDefault="00C25488">
      <w:pPr>
        <w:pStyle w:val="Heading2"/>
        <w:numPr>
          <w:ilvl w:val="0"/>
          <w:numId w:val="14"/>
        </w:numPr>
        <w:rPr>
          <w:rFonts w:cs="Arial"/>
        </w:rPr>
      </w:pPr>
      <w:bookmarkStart w:id="62" w:name="_Toc155176374"/>
      <w:r w:rsidRPr="00D149A2">
        <w:rPr>
          <w:rFonts w:cs="Arial"/>
        </w:rPr>
        <w:lastRenderedPageBreak/>
        <w:t>Proposed amendments referred for scheduling advice to ACCS meeting #</w:t>
      </w:r>
      <w:bookmarkEnd w:id="61"/>
      <w:r>
        <w:rPr>
          <w:rFonts w:cs="Arial"/>
        </w:rPr>
        <w:t>38</w:t>
      </w:r>
      <w:bookmarkEnd w:id="62"/>
    </w:p>
    <w:p w14:paraId="27E98B7E" w14:textId="53DC31BB" w:rsidR="00C25488" w:rsidRPr="00D149A2" w:rsidRDefault="00C25488">
      <w:pPr>
        <w:pStyle w:val="Heading3"/>
        <w:numPr>
          <w:ilvl w:val="1"/>
          <w:numId w:val="13"/>
        </w:numPr>
      </w:pPr>
      <w:bookmarkStart w:id="63" w:name="_Toc155176375"/>
      <w:r>
        <w:t>Ethyl lactyl retinoate</w:t>
      </w:r>
      <w:bookmarkEnd w:id="63"/>
    </w:p>
    <w:p w14:paraId="45993B96" w14:textId="37DB940B" w:rsidR="00C25488" w:rsidRPr="00D149A2" w:rsidRDefault="00C25488" w:rsidP="008C549F">
      <w:pPr>
        <w:pStyle w:val="Heading4"/>
      </w:pPr>
      <w:bookmarkStart w:id="64" w:name="_Toc155176376"/>
      <w:r w:rsidRPr="00D149A2">
        <w:t>Proposal</w:t>
      </w:r>
      <w:bookmarkEnd w:id="64"/>
    </w:p>
    <w:p w14:paraId="228FC907" w14:textId="355BA0FA" w:rsidR="00C25488" w:rsidRPr="00D149A2" w:rsidRDefault="00C25488" w:rsidP="00C25488">
      <w:pPr>
        <w:rPr>
          <w:rFonts w:cs="Arial"/>
        </w:rPr>
      </w:pPr>
      <w:r>
        <w:rPr>
          <w:rFonts w:cs="Arial"/>
        </w:rPr>
        <w:t>The applicant has proposed an amendment to the Schedule 4 entry for tretinoin to exempt dermal cosmetic preparations that contain ethyl lactyl retinoate. Under the current scheduling, ethyl lactyl retinoate may be interpreted as a derivative of tretinoin and</w:t>
      </w:r>
      <w:r w:rsidR="002B50B0">
        <w:rPr>
          <w:rFonts w:cs="Arial"/>
        </w:rPr>
        <w:t>,</w:t>
      </w:r>
      <w:r>
        <w:rPr>
          <w:rFonts w:cs="Arial"/>
        </w:rPr>
        <w:t xml:space="preserve"> therefore</w:t>
      </w:r>
      <w:r w:rsidR="002B50B0">
        <w:rPr>
          <w:rFonts w:cs="Arial"/>
        </w:rPr>
        <w:t>,</w:t>
      </w:r>
      <w:r>
        <w:rPr>
          <w:rFonts w:cs="Arial"/>
        </w:rPr>
        <w:t xml:space="preserve"> subject to the controls imposed on Schedule 4 substances, such as the requirement for a valid prescription.</w:t>
      </w:r>
    </w:p>
    <w:p w14:paraId="011FDBBA" w14:textId="717E8F56" w:rsidR="00C25488" w:rsidRPr="00D149A2" w:rsidRDefault="00C25488" w:rsidP="008C549F">
      <w:pPr>
        <w:pStyle w:val="Heading4"/>
      </w:pPr>
      <w:bookmarkStart w:id="65" w:name="_Toc155176377"/>
      <w:r w:rsidRPr="00D149A2">
        <w:t>CAS Number</w:t>
      </w:r>
      <w:bookmarkEnd w:id="65"/>
    </w:p>
    <w:p w14:paraId="3E3D1B4E" w14:textId="77777777" w:rsidR="00C25488" w:rsidRPr="00D149A2" w:rsidRDefault="00C25488" w:rsidP="00C25488">
      <w:pPr>
        <w:rPr>
          <w:rFonts w:cs="Arial"/>
        </w:rPr>
      </w:pPr>
      <w:r>
        <w:rPr>
          <w:rFonts w:cs="Arial"/>
        </w:rPr>
        <w:t>74534-80-8</w:t>
      </w:r>
    </w:p>
    <w:p w14:paraId="494D43AC" w14:textId="77777777" w:rsidR="00C25488" w:rsidRPr="00D149A2" w:rsidRDefault="00C25488" w:rsidP="008C549F">
      <w:pPr>
        <w:pStyle w:val="Heading4"/>
      </w:pPr>
      <w:bookmarkStart w:id="66" w:name="_Toc155176378"/>
      <w:r w:rsidRPr="00D149A2">
        <w:t>Alternative names</w:t>
      </w:r>
      <w:bookmarkEnd w:id="66"/>
    </w:p>
    <w:p w14:paraId="3429F59A" w14:textId="77777777" w:rsidR="00C25488" w:rsidRPr="00D149A2" w:rsidRDefault="00C25488" w:rsidP="00C25488">
      <w:pPr>
        <w:rPr>
          <w:rFonts w:cs="Arial"/>
        </w:rPr>
      </w:pPr>
      <w:r w:rsidRPr="00700A16">
        <w:rPr>
          <w:rFonts w:cs="Arial"/>
        </w:rPr>
        <w:t xml:space="preserve">Retinoic </w:t>
      </w:r>
      <w:r>
        <w:rPr>
          <w:rFonts w:cs="Arial"/>
        </w:rPr>
        <w:t>a</w:t>
      </w:r>
      <w:r w:rsidRPr="00700A16">
        <w:rPr>
          <w:rFonts w:cs="Arial"/>
        </w:rPr>
        <w:t>cid, 2-</w:t>
      </w:r>
      <w:r>
        <w:rPr>
          <w:rFonts w:cs="Arial"/>
        </w:rPr>
        <w:t>e</w:t>
      </w:r>
      <w:r w:rsidRPr="00700A16">
        <w:rPr>
          <w:rFonts w:cs="Arial"/>
        </w:rPr>
        <w:t>thoxy-1-</w:t>
      </w:r>
      <w:r>
        <w:rPr>
          <w:rFonts w:cs="Arial"/>
        </w:rPr>
        <w:t>m</w:t>
      </w:r>
      <w:r w:rsidRPr="00700A16">
        <w:rPr>
          <w:rFonts w:cs="Arial"/>
        </w:rPr>
        <w:t>ethyl-2-</w:t>
      </w:r>
      <w:r>
        <w:rPr>
          <w:rFonts w:cs="Arial"/>
        </w:rPr>
        <w:t>o</w:t>
      </w:r>
      <w:r w:rsidRPr="00700A16">
        <w:rPr>
          <w:rFonts w:cs="Arial"/>
        </w:rPr>
        <w:t xml:space="preserve">xoethyl </w:t>
      </w:r>
      <w:r>
        <w:rPr>
          <w:rFonts w:cs="Arial"/>
        </w:rPr>
        <w:t>e</w:t>
      </w:r>
      <w:r w:rsidRPr="00700A16">
        <w:rPr>
          <w:rFonts w:cs="Arial"/>
        </w:rPr>
        <w:t>ster</w:t>
      </w:r>
    </w:p>
    <w:p w14:paraId="48BFDFCC" w14:textId="77777777" w:rsidR="00C25488" w:rsidRPr="00D149A2" w:rsidRDefault="00C25488" w:rsidP="008C549F">
      <w:pPr>
        <w:pStyle w:val="Heading4"/>
      </w:pPr>
      <w:bookmarkStart w:id="67" w:name="_Toc155176379"/>
      <w:r w:rsidRPr="00D149A2">
        <w:t>Applicant</w:t>
      </w:r>
      <w:bookmarkEnd w:id="67"/>
    </w:p>
    <w:p w14:paraId="03F9808F" w14:textId="77777777" w:rsidR="00C25488" w:rsidRPr="00D149A2" w:rsidRDefault="00C25488" w:rsidP="00C25488">
      <w:pPr>
        <w:rPr>
          <w:rFonts w:cs="Arial"/>
        </w:rPr>
      </w:pPr>
      <w:r w:rsidRPr="004F3F60">
        <w:rPr>
          <w:rFonts w:cs="Arial"/>
        </w:rPr>
        <w:t>Private applicant</w:t>
      </w:r>
    </w:p>
    <w:p w14:paraId="15C5B38F" w14:textId="0385C48E" w:rsidR="00C25488" w:rsidRDefault="00C25488" w:rsidP="008C549F">
      <w:pPr>
        <w:pStyle w:val="Heading4"/>
      </w:pPr>
      <w:bookmarkStart w:id="68" w:name="_Toc155176380"/>
      <w:r w:rsidRPr="00D149A2">
        <w:t>Proposed Scheduling</w:t>
      </w:r>
      <w:bookmarkEnd w:id="68"/>
    </w:p>
    <w:p w14:paraId="453E9525" w14:textId="77777777" w:rsidR="00D24348" w:rsidRDefault="00D24348" w:rsidP="00D24348">
      <w:pPr>
        <w:spacing w:before="120"/>
        <w:rPr>
          <w:rFonts w:cs="Arial"/>
          <w:bCs/>
        </w:rPr>
      </w:pPr>
      <w:r>
        <w:rPr>
          <w:rFonts w:cs="Arial"/>
          <w:bCs/>
        </w:rPr>
        <w:t>The applicant has proposed amendments to the Poisons Standard as follows:</w:t>
      </w:r>
    </w:p>
    <w:p w14:paraId="0CEC9066" w14:textId="77777777" w:rsidR="00D24348" w:rsidRPr="00D24348" w:rsidRDefault="00D24348" w:rsidP="00D24348">
      <w:pPr>
        <w:ind w:left="426"/>
        <w:rPr>
          <w:rFonts w:cs="Arial"/>
          <w:b/>
        </w:rPr>
      </w:pPr>
      <w:r w:rsidRPr="00D24348">
        <w:rPr>
          <w:rFonts w:cs="Arial"/>
          <w:b/>
        </w:rPr>
        <w:t>Schedule 4</w:t>
      </w:r>
    </w:p>
    <w:p w14:paraId="6A6C585E" w14:textId="77777777" w:rsidR="00D24348" w:rsidRDefault="00D24348" w:rsidP="00D24348">
      <w:pPr>
        <w:ind w:left="426"/>
        <w:rPr>
          <w:rFonts w:cs="Arial"/>
          <w:bCs/>
        </w:rPr>
      </w:pPr>
      <w:r>
        <w:rPr>
          <w:rFonts w:cs="Arial"/>
          <w:bCs/>
        </w:rPr>
        <w:tab/>
        <w:t># TRETINOIN except:</w:t>
      </w:r>
    </w:p>
    <w:p w14:paraId="5986FAA5" w14:textId="77777777" w:rsidR="00D24348" w:rsidRPr="001A06A9" w:rsidRDefault="00D24348">
      <w:pPr>
        <w:pStyle w:val="ListBulleta"/>
        <w:numPr>
          <w:ilvl w:val="0"/>
          <w:numId w:val="10"/>
        </w:numPr>
        <w:rPr>
          <w:color w:val="00B050"/>
          <w:u w:val="single"/>
        </w:rPr>
      </w:pPr>
      <w:r>
        <w:t>the ester hydroxypinacolone retinoate in preparations for dermal use containing 0.5% or less of hydroxypinacolone retinoate</w:t>
      </w:r>
      <w:r w:rsidRPr="001A06A9">
        <w:rPr>
          <w:color w:val="00B050"/>
          <w:u w:val="single"/>
        </w:rPr>
        <w:t>; or</w:t>
      </w:r>
    </w:p>
    <w:p w14:paraId="2A4A6662" w14:textId="41A591F1" w:rsidR="00D24348" w:rsidRPr="001A06A9" w:rsidRDefault="00D24348">
      <w:pPr>
        <w:pStyle w:val="ListBulleta"/>
        <w:numPr>
          <w:ilvl w:val="0"/>
          <w:numId w:val="10"/>
        </w:numPr>
      </w:pPr>
      <w:r w:rsidRPr="001A06A9">
        <w:rPr>
          <w:color w:val="00B050"/>
          <w:u w:val="single"/>
        </w:rPr>
        <w:t>ethyl lactyl retinoate for dermal use in preparations containing 0.1% or less of ethyl lactyl retinoate</w:t>
      </w:r>
      <w:r w:rsidRPr="001A06A9">
        <w:t>.</w:t>
      </w:r>
    </w:p>
    <w:p w14:paraId="3083B257" w14:textId="51626A9E" w:rsidR="00D24348" w:rsidRPr="00D24348" w:rsidRDefault="00D24348" w:rsidP="008C549F">
      <w:pPr>
        <w:pStyle w:val="Heading4"/>
      </w:pPr>
      <w:bookmarkStart w:id="69" w:name="_Toc155176381"/>
      <w:r w:rsidRPr="00D24348">
        <w:t>Current Scheduling</w:t>
      </w:r>
      <w:bookmarkEnd w:id="69"/>
    </w:p>
    <w:p w14:paraId="5C8644F9" w14:textId="1B7E5523" w:rsidR="00C25488" w:rsidRDefault="00C25488" w:rsidP="00C25488">
      <w:pPr>
        <w:rPr>
          <w:rFonts w:cs="Arial"/>
        </w:rPr>
      </w:pPr>
      <w:r>
        <w:rPr>
          <w:rFonts w:cs="Arial"/>
        </w:rPr>
        <w:t xml:space="preserve">Ethyl lactyl retinoate </w:t>
      </w:r>
      <w:r w:rsidRPr="00D149A2">
        <w:rPr>
          <w:rFonts w:cs="Arial"/>
        </w:rPr>
        <w:t>is not specifically scheduled in the current Poisons Standard</w:t>
      </w:r>
      <w:r>
        <w:rPr>
          <w:rFonts w:cs="Arial"/>
        </w:rPr>
        <w:t>, but may be captured as a derivative of TRE</w:t>
      </w:r>
      <w:r w:rsidR="00D24348">
        <w:rPr>
          <w:rFonts w:cs="Arial"/>
        </w:rPr>
        <w:t>T</w:t>
      </w:r>
      <w:r>
        <w:rPr>
          <w:rFonts w:cs="Arial"/>
        </w:rPr>
        <w:t>INOIN:</w:t>
      </w:r>
    </w:p>
    <w:p w14:paraId="2610DE00" w14:textId="77777777" w:rsidR="00C25488" w:rsidRPr="00D149A2" w:rsidRDefault="00C25488" w:rsidP="00C25488">
      <w:pPr>
        <w:ind w:left="426"/>
        <w:rPr>
          <w:rFonts w:cs="Arial"/>
          <w:b/>
        </w:rPr>
      </w:pPr>
      <w:r w:rsidRPr="00D149A2">
        <w:rPr>
          <w:rFonts w:cs="Arial"/>
          <w:b/>
        </w:rPr>
        <w:t xml:space="preserve">Schedule </w:t>
      </w:r>
      <w:r>
        <w:rPr>
          <w:rFonts w:cs="Arial"/>
          <w:b/>
        </w:rPr>
        <w:t>4</w:t>
      </w:r>
    </w:p>
    <w:p w14:paraId="70215BCC" w14:textId="77777777" w:rsidR="00C25488" w:rsidRDefault="00C25488" w:rsidP="00C25488">
      <w:pPr>
        <w:ind w:left="720" w:firstLine="6"/>
        <w:rPr>
          <w:rFonts w:cs="Arial"/>
        </w:rPr>
      </w:pPr>
      <w:r>
        <w:rPr>
          <w:rFonts w:cs="Arial"/>
        </w:rPr>
        <w:t xml:space="preserve"># TRETINOIN </w:t>
      </w:r>
      <w:r w:rsidRPr="00CB0DA2">
        <w:rPr>
          <w:rFonts w:cs="Arial"/>
          <w:b/>
          <w:bCs/>
        </w:rPr>
        <w:t>except</w:t>
      </w:r>
      <w:r>
        <w:rPr>
          <w:rFonts w:cs="Arial"/>
        </w:rPr>
        <w:t xml:space="preserve"> the ester hydroxypinacolone retinoate in preparations for dermal use containing 0.5% or less of hydroxypinacolone retinoate.</w:t>
      </w:r>
    </w:p>
    <w:p w14:paraId="4ACB8AFC" w14:textId="77777777" w:rsidR="00C25488" w:rsidRPr="00D149A2" w:rsidRDefault="00C25488" w:rsidP="00C25488">
      <w:pPr>
        <w:ind w:left="426"/>
        <w:rPr>
          <w:rFonts w:cs="Arial"/>
          <w:b/>
        </w:rPr>
      </w:pPr>
      <w:r w:rsidRPr="00D149A2">
        <w:rPr>
          <w:rFonts w:cs="Arial"/>
          <w:b/>
        </w:rPr>
        <w:t>Index</w:t>
      </w:r>
    </w:p>
    <w:p w14:paraId="7D9FB258" w14:textId="77777777" w:rsidR="00C25488" w:rsidRDefault="00C25488" w:rsidP="00C25488">
      <w:pPr>
        <w:rPr>
          <w:rFonts w:cs="Arial"/>
        </w:rPr>
      </w:pPr>
      <w:r>
        <w:rPr>
          <w:rFonts w:cs="Arial"/>
        </w:rPr>
        <w:tab/>
        <w:t>TRETINOIN</w:t>
      </w:r>
    </w:p>
    <w:p w14:paraId="7289E123" w14:textId="77777777" w:rsidR="00C25488" w:rsidRDefault="00C25488" w:rsidP="00C25488">
      <w:pPr>
        <w:rPr>
          <w:rFonts w:cs="Arial"/>
        </w:rPr>
      </w:pPr>
      <w:r>
        <w:rPr>
          <w:rFonts w:cs="Arial"/>
        </w:rPr>
        <w:tab/>
        <w:t>Schedule 4</w:t>
      </w:r>
      <w:r>
        <w:rPr>
          <w:rFonts w:cs="Arial"/>
        </w:rPr>
        <w:br/>
      </w:r>
      <w:r>
        <w:rPr>
          <w:rFonts w:cs="Arial"/>
        </w:rPr>
        <w:tab/>
        <w:t>Appendix D, clause 4</w:t>
      </w:r>
      <w:r>
        <w:rPr>
          <w:rFonts w:cs="Arial"/>
        </w:rPr>
        <w:br/>
      </w:r>
      <w:r>
        <w:rPr>
          <w:rFonts w:cs="Arial"/>
        </w:rPr>
        <w:tab/>
        <w:t>Appendix F, clause 4</w:t>
      </w:r>
      <w:r>
        <w:rPr>
          <w:rFonts w:cs="Arial"/>
        </w:rPr>
        <w:br/>
      </w:r>
      <w:r>
        <w:rPr>
          <w:rFonts w:cs="Arial"/>
        </w:rPr>
        <w:tab/>
        <w:t>Appendix L, clause 2</w:t>
      </w:r>
    </w:p>
    <w:p w14:paraId="2E8EEFA1" w14:textId="2A9063E9" w:rsidR="00C25488" w:rsidRDefault="00C25488" w:rsidP="00C25488">
      <w:pPr>
        <w:rPr>
          <w:rFonts w:cs="Arial"/>
        </w:rPr>
      </w:pPr>
      <w:r w:rsidRPr="00D149A2">
        <w:rPr>
          <w:rFonts w:cs="Arial"/>
        </w:rPr>
        <w:t xml:space="preserve">It </w:t>
      </w:r>
      <w:r>
        <w:rPr>
          <w:rFonts w:cs="Arial"/>
        </w:rPr>
        <w:t>may</w:t>
      </w:r>
      <w:r w:rsidRPr="00D149A2">
        <w:rPr>
          <w:rFonts w:cs="Arial"/>
        </w:rPr>
        <w:t xml:space="preserve"> also </w:t>
      </w:r>
      <w:r>
        <w:rPr>
          <w:rFonts w:cs="Arial"/>
        </w:rPr>
        <w:t xml:space="preserve">be </w:t>
      </w:r>
      <w:r w:rsidRPr="00D149A2">
        <w:rPr>
          <w:rFonts w:cs="Arial"/>
        </w:rPr>
        <w:t>included under the entr</w:t>
      </w:r>
      <w:r>
        <w:rPr>
          <w:rFonts w:cs="Arial"/>
        </w:rPr>
        <w:t>ies</w:t>
      </w:r>
      <w:r w:rsidRPr="00D149A2">
        <w:rPr>
          <w:rFonts w:cs="Arial"/>
        </w:rPr>
        <w:t xml:space="preserve"> </w:t>
      </w:r>
      <w:r>
        <w:rPr>
          <w:rFonts w:cs="Arial"/>
        </w:rPr>
        <w:t>for TRETINOIN</w:t>
      </w:r>
      <w:r w:rsidRPr="00D149A2">
        <w:rPr>
          <w:rFonts w:cs="Arial"/>
        </w:rPr>
        <w:t xml:space="preserve"> in Appendi</w:t>
      </w:r>
      <w:r>
        <w:rPr>
          <w:rFonts w:cs="Arial"/>
        </w:rPr>
        <w:t>ces</w:t>
      </w:r>
      <w:r w:rsidRPr="00D149A2">
        <w:rPr>
          <w:rFonts w:cs="Arial"/>
        </w:rPr>
        <w:t xml:space="preserve"> </w:t>
      </w:r>
      <w:r>
        <w:rPr>
          <w:rFonts w:cs="Arial"/>
        </w:rPr>
        <w:t>D</w:t>
      </w:r>
      <w:r w:rsidR="00DA5D1B">
        <w:rPr>
          <w:rFonts w:cs="Arial"/>
        </w:rPr>
        <w:t xml:space="preserve"> and</w:t>
      </w:r>
      <w:r>
        <w:rPr>
          <w:rFonts w:cs="Arial"/>
        </w:rPr>
        <w:t xml:space="preserve"> F</w:t>
      </w:r>
      <w:r w:rsidRPr="00D149A2">
        <w:rPr>
          <w:rFonts w:cs="Arial"/>
        </w:rPr>
        <w:t xml:space="preserve"> as follows:</w:t>
      </w:r>
    </w:p>
    <w:p w14:paraId="3C8BCD54" w14:textId="79E5C87B" w:rsidR="00C25488" w:rsidRDefault="00C25488" w:rsidP="00C25488">
      <w:pPr>
        <w:ind w:left="426"/>
        <w:rPr>
          <w:rFonts w:cs="Arial"/>
          <w:b/>
        </w:rPr>
      </w:pPr>
      <w:r w:rsidRPr="00EC5374">
        <w:rPr>
          <w:rFonts w:cs="Arial"/>
          <w:b/>
        </w:rPr>
        <w:lastRenderedPageBreak/>
        <w:t xml:space="preserve">Appendix </w:t>
      </w:r>
      <w:r w:rsidR="00EC5374" w:rsidRPr="00EC5374">
        <w:rPr>
          <w:rFonts w:cs="Arial"/>
          <w:b/>
        </w:rPr>
        <w:t>D</w:t>
      </w:r>
      <w:r w:rsidRPr="00EC5374">
        <w:rPr>
          <w:rFonts w:cs="Arial"/>
          <w:b/>
        </w:rPr>
        <w:t xml:space="preserve">, </w:t>
      </w:r>
      <w:r w:rsidR="00EC5374" w:rsidRPr="00EC5374">
        <w:rPr>
          <w:rFonts w:cs="Arial"/>
          <w:b/>
        </w:rPr>
        <w:t>clause 4 (Poisons only available from or on the order of a specialist physician)</w:t>
      </w:r>
    </w:p>
    <w:p w14:paraId="092EA9F4" w14:textId="7E1C81F4" w:rsidR="00EC5374" w:rsidRDefault="00EC5374" w:rsidP="00C25488">
      <w:pPr>
        <w:ind w:left="426"/>
        <w:rPr>
          <w:rFonts w:cs="Arial"/>
          <w:bCs/>
        </w:rPr>
      </w:pPr>
      <w:r w:rsidRPr="00EC5374">
        <w:rPr>
          <w:rFonts w:cs="Arial"/>
          <w:bCs/>
        </w:rPr>
        <w:tab/>
        <w:t>TRETINOIN for human oral use</w:t>
      </w:r>
    </w:p>
    <w:p w14:paraId="26B278B6" w14:textId="217BE95B" w:rsidR="00DA5D1B" w:rsidRDefault="00DA5D1B" w:rsidP="00C25488">
      <w:pPr>
        <w:ind w:left="426"/>
        <w:rPr>
          <w:rFonts w:cs="Arial"/>
          <w:b/>
        </w:rPr>
      </w:pPr>
      <w:r w:rsidRPr="00205A51">
        <w:rPr>
          <w:rFonts w:cs="Arial"/>
          <w:b/>
        </w:rPr>
        <w:t>Appendix F, clause 4</w:t>
      </w:r>
    </w:p>
    <w:tbl>
      <w:tblPr>
        <w:tblStyle w:val="TableTGAblue"/>
        <w:tblW w:w="8646" w:type="dxa"/>
        <w:tblInd w:w="416" w:type="dxa"/>
        <w:tblLook w:val="04A0" w:firstRow="1" w:lastRow="0" w:firstColumn="1" w:lastColumn="0" w:noHBand="0" w:noVBand="1"/>
      </w:tblPr>
      <w:tblGrid>
        <w:gridCol w:w="699"/>
        <w:gridCol w:w="3544"/>
        <w:gridCol w:w="4403"/>
      </w:tblGrid>
      <w:tr w:rsidR="001365CC" w:rsidRPr="009D790A" w14:paraId="6DB3B725" w14:textId="77777777" w:rsidTr="00D46F0F">
        <w:trPr>
          <w:cnfStyle w:val="100000000000" w:firstRow="1" w:lastRow="0" w:firstColumn="0" w:lastColumn="0" w:oddVBand="0" w:evenVBand="0" w:oddHBand="0" w:evenHBand="0" w:firstRowFirstColumn="0" w:firstRowLastColumn="0" w:lastRowFirstColumn="0" w:lastRowLastColumn="0"/>
        </w:trPr>
        <w:tc>
          <w:tcPr>
            <w:tcW w:w="699" w:type="dxa"/>
          </w:tcPr>
          <w:p w14:paraId="2B3A005C" w14:textId="50FED10B" w:rsidR="001365CC" w:rsidRPr="009D790A" w:rsidRDefault="001365CC" w:rsidP="00D46F0F">
            <w:pPr>
              <w:spacing w:before="60" w:after="60" w:line="240" w:lineRule="auto"/>
              <w:rPr>
                <w:rFonts w:asciiTheme="minorHAnsi" w:hAnsiTheme="minorHAnsi" w:cstheme="minorHAnsi"/>
                <w:bCs/>
                <w:sz w:val="20"/>
                <w:szCs w:val="20"/>
              </w:rPr>
            </w:pPr>
            <w:r w:rsidRPr="009D790A">
              <w:rPr>
                <w:rFonts w:asciiTheme="minorHAnsi" w:hAnsiTheme="minorHAnsi" w:cstheme="minorHAnsi"/>
                <w:bCs/>
                <w:sz w:val="20"/>
                <w:szCs w:val="20"/>
              </w:rPr>
              <w:t>Item</w:t>
            </w:r>
          </w:p>
        </w:tc>
        <w:tc>
          <w:tcPr>
            <w:tcW w:w="3544" w:type="dxa"/>
          </w:tcPr>
          <w:p w14:paraId="6B2C8403" w14:textId="4C57960D" w:rsidR="001365CC" w:rsidRPr="009D790A" w:rsidRDefault="001365CC" w:rsidP="00D46F0F">
            <w:pPr>
              <w:spacing w:before="60" w:after="60" w:line="240" w:lineRule="auto"/>
              <w:rPr>
                <w:rFonts w:asciiTheme="minorHAnsi" w:hAnsiTheme="minorHAnsi" w:cstheme="minorHAnsi"/>
                <w:bCs/>
                <w:sz w:val="20"/>
                <w:szCs w:val="20"/>
              </w:rPr>
            </w:pPr>
            <w:r w:rsidRPr="009D790A">
              <w:rPr>
                <w:rFonts w:asciiTheme="minorHAnsi" w:hAnsiTheme="minorHAnsi" w:cstheme="minorHAnsi"/>
                <w:bCs/>
                <w:sz w:val="20"/>
                <w:szCs w:val="20"/>
              </w:rPr>
              <w:t>Poison</w:t>
            </w:r>
          </w:p>
        </w:tc>
        <w:tc>
          <w:tcPr>
            <w:tcW w:w="4403" w:type="dxa"/>
          </w:tcPr>
          <w:p w14:paraId="25D168F1" w14:textId="7BB7A108" w:rsidR="001365CC" w:rsidRPr="009D790A" w:rsidRDefault="001365CC" w:rsidP="00D46F0F">
            <w:pPr>
              <w:spacing w:before="60" w:after="60" w:line="240" w:lineRule="auto"/>
              <w:rPr>
                <w:rFonts w:asciiTheme="minorHAnsi" w:hAnsiTheme="minorHAnsi" w:cstheme="minorHAnsi"/>
                <w:bCs/>
                <w:sz w:val="20"/>
                <w:szCs w:val="20"/>
              </w:rPr>
            </w:pPr>
            <w:r w:rsidRPr="009D790A">
              <w:rPr>
                <w:rFonts w:asciiTheme="minorHAnsi" w:hAnsiTheme="minorHAnsi" w:cstheme="minorHAnsi"/>
                <w:bCs/>
                <w:sz w:val="20"/>
                <w:szCs w:val="20"/>
              </w:rPr>
              <w:t>Warning statement</w:t>
            </w:r>
          </w:p>
        </w:tc>
      </w:tr>
      <w:tr w:rsidR="00D46F0F" w:rsidRPr="009D790A" w14:paraId="277840C0" w14:textId="77777777" w:rsidTr="00D46F0F">
        <w:tc>
          <w:tcPr>
            <w:tcW w:w="699" w:type="dxa"/>
            <w:vMerge w:val="restart"/>
          </w:tcPr>
          <w:p w14:paraId="2285FF3A" w14:textId="5ABC0D43" w:rsidR="00D46F0F" w:rsidRPr="009D790A" w:rsidRDefault="00D46F0F" w:rsidP="00D46F0F">
            <w:pPr>
              <w:spacing w:before="60" w:after="60" w:line="240" w:lineRule="auto"/>
              <w:rPr>
                <w:rFonts w:cstheme="minorHAnsi"/>
                <w:bCs/>
                <w:sz w:val="20"/>
                <w:szCs w:val="20"/>
              </w:rPr>
            </w:pPr>
            <w:r w:rsidRPr="009D790A">
              <w:rPr>
                <w:rFonts w:cstheme="minorHAnsi"/>
                <w:bCs/>
                <w:sz w:val="20"/>
                <w:szCs w:val="20"/>
              </w:rPr>
              <w:t>343</w:t>
            </w:r>
          </w:p>
        </w:tc>
        <w:tc>
          <w:tcPr>
            <w:tcW w:w="3544" w:type="dxa"/>
            <w:vMerge w:val="restart"/>
          </w:tcPr>
          <w:p w14:paraId="099D266C" w14:textId="6A1B6349" w:rsidR="00D46F0F" w:rsidRPr="009D790A" w:rsidRDefault="00D46F0F" w:rsidP="00D46F0F">
            <w:pPr>
              <w:spacing w:before="60" w:after="60" w:line="240" w:lineRule="auto"/>
              <w:rPr>
                <w:rFonts w:cstheme="minorHAnsi"/>
                <w:bCs/>
                <w:sz w:val="20"/>
                <w:szCs w:val="20"/>
              </w:rPr>
            </w:pPr>
            <w:r w:rsidRPr="009D790A">
              <w:rPr>
                <w:rFonts w:cstheme="minorHAnsi"/>
                <w:bCs/>
                <w:sz w:val="20"/>
                <w:szCs w:val="20"/>
              </w:rPr>
              <w:t>TRETINOIN – for human oral use</w:t>
            </w:r>
          </w:p>
        </w:tc>
        <w:tc>
          <w:tcPr>
            <w:tcW w:w="4403" w:type="dxa"/>
          </w:tcPr>
          <w:p w14:paraId="6CD7A23F" w14:textId="1ED680C0" w:rsidR="00D46F0F" w:rsidRPr="009D790A" w:rsidRDefault="00D46F0F" w:rsidP="00D46F0F">
            <w:pPr>
              <w:spacing w:before="60" w:after="60" w:line="240" w:lineRule="auto"/>
              <w:rPr>
                <w:rFonts w:cstheme="minorHAnsi"/>
                <w:bCs/>
                <w:sz w:val="20"/>
                <w:szCs w:val="20"/>
              </w:rPr>
            </w:pPr>
            <w:r w:rsidRPr="009D790A">
              <w:rPr>
                <w:rFonts w:cstheme="minorHAnsi"/>
                <w:b/>
                <w:sz w:val="20"/>
                <w:szCs w:val="20"/>
              </w:rPr>
              <w:t>7</w:t>
            </w:r>
            <w:r w:rsidRPr="009D790A">
              <w:rPr>
                <w:rFonts w:cstheme="minorHAnsi"/>
                <w:bCs/>
                <w:sz w:val="20"/>
                <w:szCs w:val="20"/>
              </w:rPr>
              <w:t xml:space="preserve"> – WARNING – Causes birth defects</w:t>
            </w:r>
          </w:p>
        </w:tc>
      </w:tr>
      <w:tr w:rsidR="00D46F0F" w:rsidRPr="009D790A" w14:paraId="46B814C2" w14:textId="77777777" w:rsidTr="00D46F0F">
        <w:tc>
          <w:tcPr>
            <w:tcW w:w="699" w:type="dxa"/>
            <w:vMerge/>
          </w:tcPr>
          <w:p w14:paraId="4B58D4F3" w14:textId="77777777" w:rsidR="00D46F0F" w:rsidRPr="009D790A" w:rsidRDefault="00D46F0F" w:rsidP="00D46F0F">
            <w:pPr>
              <w:spacing w:before="60" w:after="60" w:line="240" w:lineRule="auto"/>
              <w:rPr>
                <w:rFonts w:cstheme="minorHAnsi"/>
                <w:bCs/>
                <w:sz w:val="20"/>
                <w:szCs w:val="20"/>
              </w:rPr>
            </w:pPr>
          </w:p>
        </w:tc>
        <w:tc>
          <w:tcPr>
            <w:tcW w:w="3544" w:type="dxa"/>
            <w:vMerge/>
          </w:tcPr>
          <w:p w14:paraId="29EE47E5" w14:textId="77777777" w:rsidR="00D46F0F" w:rsidRPr="009D790A" w:rsidRDefault="00D46F0F" w:rsidP="00D46F0F">
            <w:pPr>
              <w:spacing w:before="60" w:after="60" w:line="240" w:lineRule="auto"/>
              <w:rPr>
                <w:rFonts w:cstheme="minorHAnsi"/>
                <w:bCs/>
                <w:sz w:val="20"/>
                <w:szCs w:val="20"/>
              </w:rPr>
            </w:pPr>
          </w:p>
        </w:tc>
        <w:tc>
          <w:tcPr>
            <w:tcW w:w="4403" w:type="dxa"/>
          </w:tcPr>
          <w:p w14:paraId="3548D8F6" w14:textId="0D763483" w:rsidR="00D46F0F" w:rsidRPr="009D790A" w:rsidRDefault="00D46F0F" w:rsidP="00D46F0F">
            <w:pPr>
              <w:spacing w:before="60" w:after="60" w:line="240" w:lineRule="auto"/>
              <w:rPr>
                <w:rFonts w:cstheme="minorHAnsi"/>
                <w:bCs/>
                <w:sz w:val="20"/>
                <w:szCs w:val="20"/>
              </w:rPr>
            </w:pPr>
            <w:r w:rsidRPr="009D790A">
              <w:rPr>
                <w:rFonts w:cstheme="minorHAnsi"/>
                <w:b/>
                <w:sz w:val="20"/>
                <w:szCs w:val="20"/>
              </w:rPr>
              <w:t>62</w:t>
            </w:r>
            <w:r w:rsidRPr="009D790A">
              <w:rPr>
                <w:rFonts w:cstheme="minorHAnsi"/>
                <w:bCs/>
                <w:sz w:val="20"/>
                <w:szCs w:val="20"/>
              </w:rPr>
              <w:t xml:space="preserve"> – Do not use if pregnant</w:t>
            </w:r>
          </w:p>
        </w:tc>
      </w:tr>
      <w:tr w:rsidR="00D46F0F" w:rsidRPr="009D790A" w14:paraId="4D0832B6" w14:textId="77777777" w:rsidTr="00D46F0F">
        <w:tc>
          <w:tcPr>
            <w:tcW w:w="699" w:type="dxa"/>
            <w:vMerge/>
          </w:tcPr>
          <w:p w14:paraId="1F012395" w14:textId="77777777" w:rsidR="00D46F0F" w:rsidRPr="009D790A" w:rsidRDefault="00D46F0F" w:rsidP="00D46F0F">
            <w:pPr>
              <w:spacing w:before="60" w:after="60" w:line="240" w:lineRule="auto"/>
              <w:rPr>
                <w:rFonts w:cstheme="minorHAnsi"/>
                <w:bCs/>
                <w:sz w:val="20"/>
                <w:szCs w:val="20"/>
              </w:rPr>
            </w:pPr>
          </w:p>
        </w:tc>
        <w:tc>
          <w:tcPr>
            <w:tcW w:w="3544" w:type="dxa"/>
            <w:vMerge/>
          </w:tcPr>
          <w:p w14:paraId="09BEBB16" w14:textId="77777777" w:rsidR="00D46F0F" w:rsidRPr="009D790A" w:rsidRDefault="00D46F0F" w:rsidP="00D46F0F">
            <w:pPr>
              <w:spacing w:before="60" w:after="60" w:line="240" w:lineRule="auto"/>
              <w:rPr>
                <w:rFonts w:cstheme="minorHAnsi"/>
                <w:bCs/>
                <w:sz w:val="20"/>
                <w:szCs w:val="20"/>
              </w:rPr>
            </w:pPr>
          </w:p>
        </w:tc>
        <w:tc>
          <w:tcPr>
            <w:tcW w:w="4403" w:type="dxa"/>
          </w:tcPr>
          <w:p w14:paraId="751BF80E" w14:textId="73A3892B" w:rsidR="00D46F0F" w:rsidRPr="009D790A" w:rsidRDefault="00D46F0F" w:rsidP="00D46F0F">
            <w:pPr>
              <w:spacing w:before="60" w:after="60" w:line="240" w:lineRule="auto"/>
              <w:rPr>
                <w:rFonts w:cstheme="minorHAnsi"/>
                <w:bCs/>
                <w:sz w:val="20"/>
                <w:szCs w:val="20"/>
              </w:rPr>
            </w:pPr>
            <w:r w:rsidRPr="009D790A">
              <w:rPr>
                <w:rFonts w:cstheme="minorHAnsi"/>
                <w:b/>
                <w:sz w:val="20"/>
                <w:szCs w:val="20"/>
              </w:rPr>
              <w:t>76</w:t>
            </w:r>
            <w:r w:rsidRPr="009D790A">
              <w:rPr>
                <w:rFonts w:cstheme="minorHAnsi"/>
                <w:bCs/>
                <w:sz w:val="20"/>
                <w:szCs w:val="20"/>
              </w:rPr>
              <w:t xml:space="preserve"> – Do not become pregnant during use or within (Insert number of months as per approved Product Information) month(s) of stopping treatment</w:t>
            </w:r>
          </w:p>
        </w:tc>
      </w:tr>
      <w:tr w:rsidR="00D46F0F" w:rsidRPr="009D790A" w14:paraId="12A1EE88" w14:textId="77777777" w:rsidTr="00D46F0F">
        <w:tc>
          <w:tcPr>
            <w:tcW w:w="699" w:type="dxa"/>
            <w:vMerge w:val="restart"/>
          </w:tcPr>
          <w:p w14:paraId="4E8E533F" w14:textId="488AD7CE" w:rsidR="00D46F0F" w:rsidRPr="009D790A" w:rsidRDefault="00D46F0F" w:rsidP="00D46F0F">
            <w:pPr>
              <w:spacing w:before="60" w:after="60" w:line="240" w:lineRule="auto"/>
              <w:rPr>
                <w:rFonts w:cstheme="minorHAnsi"/>
                <w:bCs/>
                <w:sz w:val="20"/>
                <w:szCs w:val="20"/>
              </w:rPr>
            </w:pPr>
            <w:r w:rsidRPr="009D790A">
              <w:rPr>
                <w:rFonts w:cstheme="minorHAnsi"/>
                <w:bCs/>
                <w:sz w:val="20"/>
                <w:szCs w:val="20"/>
              </w:rPr>
              <w:t>344</w:t>
            </w:r>
          </w:p>
        </w:tc>
        <w:tc>
          <w:tcPr>
            <w:tcW w:w="3544" w:type="dxa"/>
            <w:vMerge w:val="restart"/>
          </w:tcPr>
          <w:p w14:paraId="451C7DA4" w14:textId="1E1B41FE" w:rsidR="00D46F0F" w:rsidRPr="009D790A" w:rsidRDefault="00D46F0F" w:rsidP="00D46F0F">
            <w:pPr>
              <w:spacing w:before="60" w:after="60" w:line="240" w:lineRule="auto"/>
              <w:rPr>
                <w:rFonts w:cstheme="minorHAnsi"/>
                <w:bCs/>
                <w:sz w:val="20"/>
                <w:szCs w:val="20"/>
              </w:rPr>
            </w:pPr>
            <w:r w:rsidRPr="009D790A">
              <w:rPr>
                <w:rFonts w:cstheme="minorHAnsi"/>
                <w:bCs/>
                <w:sz w:val="20"/>
                <w:szCs w:val="20"/>
              </w:rPr>
              <w:t>TRETINOIN – for topical use</w:t>
            </w:r>
          </w:p>
        </w:tc>
        <w:tc>
          <w:tcPr>
            <w:tcW w:w="4403" w:type="dxa"/>
          </w:tcPr>
          <w:p w14:paraId="710CC9AD" w14:textId="5FE868B8" w:rsidR="00D46F0F" w:rsidRPr="009D790A" w:rsidRDefault="00D46F0F" w:rsidP="00D46F0F">
            <w:pPr>
              <w:spacing w:before="60" w:after="60" w:line="240" w:lineRule="auto"/>
              <w:rPr>
                <w:rFonts w:cstheme="minorHAnsi"/>
                <w:bCs/>
                <w:sz w:val="20"/>
                <w:szCs w:val="20"/>
              </w:rPr>
            </w:pPr>
            <w:r w:rsidRPr="009D790A">
              <w:rPr>
                <w:rFonts w:cstheme="minorHAnsi"/>
                <w:b/>
                <w:sz w:val="20"/>
                <w:szCs w:val="20"/>
              </w:rPr>
              <w:t>62</w:t>
            </w:r>
            <w:r w:rsidRPr="009D790A">
              <w:rPr>
                <w:rFonts w:cstheme="minorHAnsi"/>
                <w:bCs/>
                <w:sz w:val="20"/>
                <w:szCs w:val="20"/>
              </w:rPr>
              <w:t xml:space="preserve"> – Do not use if pregnant</w:t>
            </w:r>
          </w:p>
        </w:tc>
      </w:tr>
      <w:tr w:rsidR="00D46F0F" w:rsidRPr="009D790A" w14:paraId="7FF66C29" w14:textId="77777777" w:rsidTr="00D46F0F">
        <w:tc>
          <w:tcPr>
            <w:tcW w:w="699" w:type="dxa"/>
            <w:vMerge/>
          </w:tcPr>
          <w:p w14:paraId="7B23360F" w14:textId="77777777" w:rsidR="00D46F0F" w:rsidRPr="009D790A" w:rsidRDefault="00D46F0F" w:rsidP="00D46F0F">
            <w:pPr>
              <w:spacing w:before="60" w:after="60" w:line="240" w:lineRule="auto"/>
              <w:rPr>
                <w:rFonts w:cstheme="minorHAnsi"/>
                <w:bCs/>
                <w:sz w:val="20"/>
                <w:szCs w:val="20"/>
              </w:rPr>
            </w:pPr>
          </w:p>
        </w:tc>
        <w:tc>
          <w:tcPr>
            <w:tcW w:w="3544" w:type="dxa"/>
            <w:vMerge/>
          </w:tcPr>
          <w:p w14:paraId="10DDC4C7" w14:textId="77777777" w:rsidR="00D46F0F" w:rsidRPr="009D790A" w:rsidRDefault="00D46F0F" w:rsidP="00D46F0F">
            <w:pPr>
              <w:spacing w:before="60" w:after="60" w:line="240" w:lineRule="auto"/>
              <w:rPr>
                <w:rFonts w:cstheme="minorHAnsi"/>
                <w:bCs/>
                <w:sz w:val="20"/>
                <w:szCs w:val="20"/>
              </w:rPr>
            </w:pPr>
          </w:p>
        </w:tc>
        <w:tc>
          <w:tcPr>
            <w:tcW w:w="4403" w:type="dxa"/>
          </w:tcPr>
          <w:p w14:paraId="26D2CC5A" w14:textId="72D8F078" w:rsidR="00D46F0F" w:rsidRPr="009D790A" w:rsidRDefault="00D46F0F" w:rsidP="00D46F0F">
            <w:pPr>
              <w:spacing w:before="60" w:after="60" w:line="240" w:lineRule="auto"/>
              <w:rPr>
                <w:rFonts w:cstheme="minorHAnsi"/>
                <w:bCs/>
                <w:sz w:val="20"/>
                <w:szCs w:val="20"/>
              </w:rPr>
            </w:pPr>
            <w:r w:rsidRPr="009D790A">
              <w:rPr>
                <w:rFonts w:cstheme="minorHAnsi"/>
                <w:b/>
                <w:sz w:val="20"/>
                <w:szCs w:val="20"/>
              </w:rPr>
              <w:t>77</w:t>
            </w:r>
            <w:r w:rsidRPr="009D790A">
              <w:rPr>
                <w:rFonts w:cstheme="minorHAnsi"/>
                <w:bCs/>
                <w:sz w:val="20"/>
                <w:szCs w:val="20"/>
              </w:rPr>
              <w:t xml:space="preserve"> – WARNING – May cause birth defects</w:t>
            </w:r>
          </w:p>
        </w:tc>
      </w:tr>
    </w:tbl>
    <w:p w14:paraId="33F44910" w14:textId="77777777" w:rsidR="00C25488" w:rsidRPr="00D149A2" w:rsidRDefault="00C25488" w:rsidP="008C549F">
      <w:pPr>
        <w:pStyle w:val="Heading4"/>
      </w:pPr>
      <w:bookmarkStart w:id="70" w:name="_Toc155176382"/>
      <w:r w:rsidRPr="00D149A2">
        <w:t>Background</w:t>
      </w:r>
      <w:bookmarkEnd w:id="70"/>
    </w:p>
    <w:p w14:paraId="3DA3BF42" w14:textId="1B053043" w:rsidR="00C25488" w:rsidRPr="00D149A2" w:rsidRDefault="00D24348" w:rsidP="00C25488">
      <w:pPr>
        <w:rPr>
          <w:rFonts w:cs="Arial"/>
        </w:rPr>
      </w:pPr>
      <w:r>
        <w:rPr>
          <w:rFonts w:cs="Arial"/>
        </w:rPr>
        <w:t xml:space="preserve">Ethyl lactyl retinoate is an ester of tretinoin that, under the provision for derivatives in the Poisons Standard, may be captured by the Schedule 4 entry for that substance. Ethyl lactyl retinoate has potential for use in cosmetic preparations as it may have </w:t>
      </w:r>
      <w:r w:rsidR="002B50B0">
        <w:rPr>
          <w:rFonts w:cs="Arial"/>
        </w:rPr>
        <w:t xml:space="preserve">several </w:t>
      </w:r>
      <w:r>
        <w:rPr>
          <w:rFonts w:cs="Arial"/>
        </w:rPr>
        <w:t>beneficial effects on the skin</w:t>
      </w:r>
      <w:r w:rsidR="007E1C57">
        <w:rPr>
          <w:rFonts w:cs="Arial"/>
        </w:rPr>
        <w:t>.</w:t>
      </w:r>
      <w:r>
        <w:rPr>
          <w:rFonts w:cs="Arial"/>
        </w:rPr>
        <w:t xml:space="preserve"> </w:t>
      </w:r>
      <w:r w:rsidR="007E1C57">
        <w:rPr>
          <w:rFonts w:cs="Arial"/>
        </w:rPr>
        <w:t xml:space="preserve">The substance </w:t>
      </w:r>
      <w:r w:rsidR="00280576">
        <w:rPr>
          <w:rFonts w:cs="Arial"/>
        </w:rPr>
        <w:t>has been suggested as a safer and better tolerated option than several other retinoids for this purpose.</w:t>
      </w:r>
    </w:p>
    <w:p w14:paraId="4DED15A7" w14:textId="77777777" w:rsidR="00C25488" w:rsidRPr="00D149A2" w:rsidRDefault="00C25488" w:rsidP="008C549F">
      <w:pPr>
        <w:pStyle w:val="Heading4"/>
      </w:pPr>
      <w:bookmarkStart w:id="71" w:name="_Toc155176383"/>
      <w:r w:rsidRPr="00D149A2">
        <w:t>Summary of applicant’s reasons for the proposal</w:t>
      </w:r>
      <w:bookmarkEnd w:id="71"/>
    </w:p>
    <w:p w14:paraId="1B6476DF" w14:textId="347B56F1" w:rsidR="00C25488" w:rsidRPr="003E5287" w:rsidRDefault="003E5287" w:rsidP="00286C53">
      <w:pPr>
        <w:pStyle w:val="ListBullet-donotcross"/>
      </w:pPr>
      <w:r w:rsidRPr="003E5287">
        <w:t>Ethyl lactyl retinoate does not hydrolyse in vivo</w:t>
      </w:r>
      <w:r w:rsidR="005E23BD">
        <w:t xml:space="preserve"> to retinoic acid and </w:t>
      </w:r>
      <w:r w:rsidR="005E23BD" w:rsidRPr="00082D97">
        <w:rPr>
          <w:rStyle w:val="cf01"/>
          <w:rFonts w:asciiTheme="minorHAnsi" w:hAnsiTheme="minorHAnsi" w:cstheme="minorHAnsi"/>
          <w:sz w:val="20"/>
          <w:szCs w:val="20"/>
        </w:rPr>
        <w:t>its binding to retinoid receptor is sterically hindered</w:t>
      </w:r>
      <w:r w:rsidR="00082D97">
        <w:rPr>
          <w:rStyle w:val="cf01"/>
          <w:rFonts w:asciiTheme="minorHAnsi" w:hAnsiTheme="minorHAnsi" w:cstheme="minorHAnsi"/>
          <w:sz w:val="20"/>
          <w:szCs w:val="20"/>
        </w:rPr>
        <w:t>.</w:t>
      </w:r>
      <w:r w:rsidRPr="003E5287">
        <w:t xml:space="preserve"> Both of these factors contribute to the greatly enhanced safety profile of </w:t>
      </w:r>
      <w:r w:rsidR="002B50B0">
        <w:t>e</w:t>
      </w:r>
      <w:r w:rsidR="002B50B0" w:rsidRPr="003E5287">
        <w:t xml:space="preserve">thyl lactyl retinoate </w:t>
      </w:r>
      <w:r w:rsidRPr="003E5287">
        <w:t>when compared to substances such as tretinoin and retinoic acid.</w:t>
      </w:r>
    </w:p>
    <w:p w14:paraId="0CAAB2A7" w14:textId="1B6D9D13" w:rsidR="003E5287" w:rsidRPr="003E5287" w:rsidRDefault="002B50B0" w:rsidP="00286C53">
      <w:pPr>
        <w:pStyle w:val="ListBullet-donotcross"/>
      </w:pPr>
      <w:r>
        <w:t>e</w:t>
      </w:r>
      <w:r w:rsidRPr="003E5287">
        <w:t xml:space="preserve">thyl lactyl retinoate </w:t>
      </w:r>
      <w:r w:rsidR="003E5287" w:rsidRPr="003E5287">
        <w:t>has demonstrated lower potential for causing dermal irritation than other retinoids, illustrating the safety of its use as a dermal cosmetic ingredient at the low concentrations specified in this proposal.</w:t>
      </w:r>
    </w:p>
    <w:p w14:paraId="679D4AD0" w14:textId="511395FF" w:rsidR="003E5287" w:rsidRPr="003E5287" w:rsidRDefault="003E5287" w:rsidP="00286C53">
      <w:pPr>
        <w:pStyle w:val="ListBullet-donotcross"/>
      </w:pPr>
      <w:r w:rsidRPr="003E5287">
        <w:t xml:space="preserve">The substance has a similar safety profile to hydroxypinacolone retinoate, which was exempted from the scheduling entry for tretinoin on 1 February 2023. </w:t>
      </w:r>
    </w:p>
    <w:p w14:paraId="7830FC42" w14:textId="4605022A" w:rsidR="00C25488" w:rsidRPr="00D149A2" w:rsidRDefault="00C25488" w:rsidP="008C549F">
      <w:pPr>
        <w:pStyle w:val="Heading4"/>
      </w:pPr>
      <w:bookmarkStart w:id="72" w:name="_Toc155176384"/>
      <w:r w:rsidRPr="00D149A2">
        <w:t>Key uses / expected use</w:t>
      </w:r>
      <w:bookmarkEnd w:id="72"/>
    </w:p>
    <w:p w14:paraId="0A4A7979" w14:textId="13393EAD" w:rsidR="00C25488" w:rsidRPr="00D149A2" w:rsidRDefault="003E5287" w:rsidP="00C25488">
      <w:pPr>
        <w:rPr>
          <w:rFonts w:cs="Arial"/>
        </w:rPr>
      </w:pPr>
      <w:r w:rsidRPr="003E5287">
        <w:rPr>
          <w:rFonts w:cs="Arial"/>
        </w:rPr>
        <w:t>C</w:t>
      </w:r>
      <w:r w:rsidR="00C25488" w:rsidRPr="003E5287">
        <w:rPr>
          <w:rFonts w:cs="Arial"/>
        </w:rPr>
        <w:t>osmetic</w:t>
      </w:r>
      <w:r w:rsidRPr="003E5287">
        <w:rPr>
          <w:rFonts w:cs="Arial"/>
        </w:rPr>
        <w:t>s</w:t>
      </w:r>
    </w:p>
    <w:p w14:paraId="6622D66B" w14:textId="77777777" w:rsidR="00C25488" w:rsidRPr="00D149A2" w:rsidRDefault="00C25488" w:rsidP="008C549F">
      <w:pPr>
        <w:pStyle w:val="Heading4"/>
      </w:pPr>
      <w:bookmarkStart w:id="73" w:name="_Toc155176385"/>
      <w:r w:rsidRPr="00D149A2">
        <w:t>Australian regulations</w:t>
      </w:r>
      <w:bookmarkEnd w:id="73"/>
    </w:p>
    <w:p w14:paraId="50E98C34" w14:textId="50CA7D0E" w:rsidR="003E5287" w:rsidRPr="009D790A" w:rsidRDefault="003E5287" w:rsidP="00082D97">
      <w:pPr>
        <w:pStyle w:val="ListBullet"/>
      </w:pPr>
      <w:r w:rsidRPr="009D790A">
        <w:t xml:space="preserve">Ethyl lactyl retinoate is not included in the </w:t>
      </w:r>
      <w:hyperlink r:id="rId68">
        <w:r w:rsidRPr="009D790A">
          <w:rPr>
            <w:rStyle w:val="Hyperlink"/>
            <w:rFonts w:asciiTheme="minorHAnsi" w:hAnsiTheme="minorHAnsi"/>
          </w:rPr>
          <w:t>TGA Ingredient Database</w:t>
        </w:r>
      </w:hyperlink>
      <w:r w:rsidR="006F75B0" w:rsidRPr="009D790A">
        <w:rPr>
          <w:rStyle w:val="Hyperlink"/>
          <w:rFonts w:asciiTheme="minorHAnsi" w:hAnsiTheme="minorHAnsi"/>
          <w:color w:val="auto"/>
          <w:u w:val="none"/>
        </w:rPr>
        <w:t xml:space="preserve"> or</w:t>
      </w:r>
      <w:r w:rsidRPr="009D790A">
        <w:rPr>
          <w:rStyle w:val="Hyperlink"/>
          <w:rFonts w:asciiTheme="minorHAnsi" w:hAnsiTheme="minorHAnsi"/>
          <w:color w:val="auto"/>
          <w:u w:val="none"/>
        </w:rPr>
        <w:t xml:space="preserve"> any products in the</w:t>
      </w:r>
      <w:r w:rsidRPr="009D790A">
        <w:rPr>
          <w:rStyle w:val="Hyperlink"/>
          <w:rFonts w:asciiTheme="minorHAnsi" w:hAnsiTheme="minorHAnsi"/>
        </w:rPr>
        <w:t xml:space="preserve"> </w:t>
      </w:r>
      <w:hyperlink r:id="rId69">
        <w:r w:rsidRPr="009D790A">
          <w:rPr>
            <w:rStyle w:val="Hyperlink"/>
            <w:rFonts w:asciiTheme="minorHAnsi" w:hAnsiTheme="minorHAnsi"/>
          </w:rPr>
          <w:t>Australian Register of Therapeutic Goods (ARTG)</w:t>
        </w:r>
      </w:hyperlink>
      <w:r w:rsidR="006F75B0" w:rsidRPr="002B50B0">
        <w:rPr>
          <w:rStyle w:val="Hyperlink"/>
          <w:rFonts w:asciiTheme="minorHAnsi" w:hAnsiTheme="minorHAnsi"/>
          <w:color w:val="auto"/>
          <w:u w:val="none"/>
        </w:rPr>
        <w:t>.</w:t>
      </w:r>
    </w:p>
    <w:p w14:paraId="210ABCD7" w14:textId="73170201" w:rsidR="00C25488" w:rsidRPr="009D790A" w:rsidRDefault="006F75B0" w:rsidP="00082D97">
      <w:pPr>
        <w:pStyle w:val="ListBullet"/>
      </w:pPr>
      <w:r w:rsidRPr="009D790A">
        <w:t>Ethyl lactyl retinoate</w:t>
      </w:r>
      <w:r w:rsidR="00C25488" w:rsidRPr="009D790A">
        <w:t xml:space="preserve"> is not permitted to be included in listed medicines as it is not included in the </w:t>
      </w:r>
      <w:hyperlink r:id="rId70">
        <w:r w:rsidR="00C25488" w:rsidRPr="009D790A">
          <w:rPr>
            <w:rStyle w:val="Hyperlink"/>
            <w:rFonts w:asciiTheme="minorHAnsi" w:hAnsiTheme="minorHAnsi"/>
          </w:rPr>
          <w:t>Therapeutic Goods (Permissible Ingredients) Determination</w:t>
        </w:r>
      </w:hyperlink>
      <w:r w:rsidR="00C25488" w:rsidRPr="009D790A">
        <w:t xml:space="preserve"> No.</w:t>
      </w:r>
      <w:r w:rsidRPr="009D790A">
        <w:t>4</w:t>
      </w:r>
      <w:r w:rsidR="00C25488" w:rsidRPr="009D790A">
        <w:t xml:space="preserve"> of 20</w:t>
      </w:r>
      <w:r w:rsidRPr="009D790A">
        <w:t>23</w:t>
      </w:r>
      <w:r w:rsidR="00C25488" w:rsidRPr="009D790A">
        <w:t xml:space="preserve">. </w:t>
      </w:r>
    </w:p>
    <w:p w14:paraId="33FB3A5B" w14:textId="4A05F02F" w:rsidR="00C25488" w:rsidRPr="009D790A" w:rsidRDefault="006F75B0" w:rsidP="00082D97">
      <w:pPr>
        <w:pStyle w:val="ListBullet"/>
      </w:pPr>
      <w:r w:rsidRPr="009D790A">
        <w:t>Ethyl lactyl retinoate is not included in t</w:t>
      </w:r>
      <w:r w:rsidR="00C25488" w:rsidRPr="009D790A">
        <w:t xml:space="preserve">he </w:t>
      </w:r>
      <w:hyperlink r:id="rId71">
        <w:r w:rsidR="00C25488" w:rsidRPr="009D790A">
          <w:rPr>
            <w:rStyle w:val="Hyperlink"/>
            <w:rFonts w:asciiTheme="minorHAnsi" w:hAnsiTheme="minorHAnsi"/>
          </w:rPr>
          <w:t>TGA prescribing medicines in pregnancy database</w:t>
        </w:r>
      </w:hyperlink>
      <w:r w:rsidRPr="009D790A">
        <w:t>.</w:t>
      </w:r>
    </w:p>
    <w:p w14:paraId="07596717" w14:textId="44B56A94" w:rsidR="00C25488" w:rsidRPr="009D790A" w:rsidRDefault="00C25488" w:rsidP="00082D97">
      <w:pPr>
        <w:pStyle w:val="ListBullet"/>
      </w:pPr>
      <w:r w:rsidRPr="009D790A">
        <w:t xml:space="preserve">There are no warning statements pertaining to </w:t>
      </w:r>
      <w:r w:rsidR="006F75B0" w:rsidRPr="009D790A">
        <w:t>ethyl lactyl retinoate</w:t>
      </w:r>
      <w:r w:rsidRPr="009D790A">
        <w:t xml:space="preserve"> in the </w:t>
      </w:r>
      <w:hyperlink r:id="rId72">
        <w:r w:rsidRPr="009D790A">
          <w:rPr>
            <w:rStyle w:val="Hyperlink"/>
            <w:rFonts w:asciiTheme="minorHAnsi" w:hAnsiTheme="minorHAnsi"/>
          </w:rPr>
          <w:t>Therapeutic Goods (Medicines Advisory Statements) Specification 2021</w:t>
        </w:r>
      </w:hyperlink>
      <w:r w:rsidR="006F75B0" w:rsidRPr="009D790A">
        <w:rPr>
          <w:rStyle w:val="Hyperlink"/>
          <w:rFonts w:asciiTheme="minorHAnsi" w:hAnsiTheme="minorHAnsi"/>
          <w:u w:val="none"/>
        </w:rPr>
        <w:t>.</w:t>
      </w:r>
    </w:p>
    <w:p w14:paraId="172B89A5" w14:textId="39A4758C" w:rsidR="00C25488" w:rsidRPr="009D790A" w:rsidRDefault="00C25488" w:rsidP="00082D97">
      <w:pPr>
        <w:pStyle w:val="ListBullet"/>
      </w:pPr>
      <w:r w:rsidRPr="009D790A">
        <w:t xml:space="preserve">As of </w:t>
      </w:r>
      <w:r w:rsidR="006F75B0" w:rsidRPr="009D790A">
        <w:t xml:space="preserve">December </w:t>
      </w:r>
      <w:r w:rsidRPr="009D790A">
        <w:t>20</w:t>
      </w:r>
      <w:r w:rsidR="006F75B0" w:rsidRPr="009D790A">
        <w:t>23</w:t>
      </w:r>
      <w:r w:rsidRPr="009D790A">
        <w:t xml:space="preserve">, there were </w:t>
      </w:r>
      <w:r w:rsidR="006F75B0" w:rsidRPr="009D790A">
        <w:t>no</w:t>
      </w:r>
      <w:r w:rsidRPr="009D790A">
        <w:t xml:space="preserve"> reports of adverse events for products containing </w:t>
      </w:r>
      <w:r w:rsidR="006F75B0" w:rsidRPr="009D790A">
        <w:t>ethyl lactyl retinoate</w:t>
      </w:r>
      <w:r w:rsidRPr="009D790A">
        <w:t xml:space="preserve"> as an active ingredient on the </w:t>
      </w:r>
      <w:hyperlink r:id="rId73">
        <w:r w:rsidRPr="009D790A">
          <w:rPr>
            <w:rStyle w:val="Hyperlink"/>
            <w:rFonts w:asciiTheme="minorHAnsi" w:hAnsiTheme="minorHAnsi"/>
          </w:rPr>
          <w:t>Database of Adverse Event Notifications (DAEN)</w:t>
        </w:r>
      </w:hyperlink>
      <w:r w:rsidRPr="009D790A">
        <w:t>.</w:t>
      </w:r>
    </w:p>
    <w:p w14:paraId="29C288FA" w14:textId="543BE45E" w:rsidR="002D3321" w:rsidRPr="009D790A" w:rsidRDefault="00C25488" w:rsidP="00082D97">
      <w:pPr>
        <w:pStyle w:val="ListBullet"/>
      </w:pPr>
      <w:r w:rsidRPr="009D790A">
        <w:lastRenderedPageBreak/>
        <w:t xml:space="preserve">As of </w:t>
      </w:r>
      <w:r w:rsidR="002D3321" w:rsidRPr="009D790A">
        <w:t xml:space="preserve">December </w:t>
      </w:r>
      <w:r w:rsidRPr="009D790A">
        <w:t>20</w:t>
      </w:r>
      <w:r w:rsidR="002D3321" w:rsidRPr="009D790A">
        <w:t>23</w:t>
      </w:r>
      <w:r w:rsidRPr="009D790A">
        <w:t xml:space="preserve">, there were no products containing </w:t>
      </w:r>
      <w:r w:rsidR="002D3321" w:rsidRPr="009D790A">
        <w:t xml:space="preserve">ethyl lactyl retinoate </w:t>
      </w:r>
      <w:r w:rsidRPr="009D790A">
        <w:t xml:space="preserve">as an active ingredient/constituent or scheduled substance listed on the </w:t>
      </w:r>
      <w:hyperlink r:id="rId74">
        <w:r w:rsidRPr="009D790A">
          <w:rPr>
            <w:rStyle w:val="Hyperlink"/>
            <w:rFonts w:asciiTheme="minorHAnsi" w:hAnsiTheme="minorHAnsi"/>
          </w:rPr>
          <w:t>Public Chemical Registration Information System Search (PubCRIS)</w:t>
        </w:r>
      </w:hyperlink>
      <w:r w:rsidRPr="009D790A">
        <w:t>.</w:t>
      </w:r>
    </w:p>
    <w:p w14:paraId="7AA36F5B" w14:textId="0E32F70A" w:rsidR="00C25488" w:rsidRPr="009D790A" w:rsidRDefault="002D3321" w:rsidP="00082D97">
      <w:pPr>
        <w:pStyle w:val="ListBullet"/>
      </w:pPr>
      <w:r w:rsidRPr="009D790A">
        <w:t xml:space="preserve">Ethyl lactyl retinoate is not </w:t>
      </w:r>
      <w:r w:rsidR="002B50B0">
        <w:t>listed on t</w:t>
      </w:r>
      <w:r w:rsidRPr="009D790A">
        <w:t xml:space="preserve">he </w:t>
      </w:r>
      <w:r w:rsidR="002B50B0">
        <w:t>Australian Inventory of Industrial Chemicals</w:t>
      </w:r>
      <w:r w:rsidRPr="009D790A">
        <w:t>.</w:t>
      </w:r>
    </w:p>
    <w:p w14:paraId="6AF3FCDA" w14:textId="73BA5748" w:rsidR="00C25488" w:rsidRPr="00D149A2" w:rsidRDefault="00C25488" w:rsidP="008C549F">
      <w:pPr>
        <w:pStyle w:val="Heading4"/>
      </w:pPr>
      <w:bookmarkStart w:id="74" w:name="_Toc155176386"/>
      <w:r w:rsidRPr="00D149A2">
        <w:t>International regulations</w:t>
      </w:r>
      <w:bookmarkEnd w:id="74"/>
    </w:p>
    <w:p w14:paraId="5255DB98" w14:textId="77777777" w:rsidR="00203D1C" w:rsidRDefault="007E1C57" w:rsidP="00203D1C">
      <w:pPr>
        <w:pStyle w:val="ListBullet"/>
      </w:pPr>
      <w:r w:rsidRPr="009D790A">
        <w:t xml:space="preserve">Ethyl lactyl retinoate is included on the </w:t>
      </w:r>
      <w:hyperlink r:id="rId75" w:history="1">
        <w:r w:rsidRPr="009D790A">
          <w:rPr>
            <w:rStyle w:val="Hyperlink"/>
            <w:rFonts w:asciiTheme="minorHAnsi" w:hAnsiTheme="minorHAnsi"/>
          </w:rPr>
          <w:t>European Commission’s CosIng database of cosmetic ingredients</w:t>
        </w:r>
      </w:hyperlink>
      <w:r w:rsidR="00D37D99" w:rsidRPr="009D790A">
        <w:t xml:space="preserve"> as an abrasive and skin conditioner.</w:t>
      </w:r>
    </w:p>
    <w:p w14:paraId="045212F7" w14:textId="3E0148E2" w:rsidR="00C25488" w:rsidRPr="00203D1C" w:rsidRDefault="00D37D99" w:rsidP="00203D1C">
      <w:pPr>
        <w:pStyle w:val="ListBullet"/>
      </w:pPr>
      <w:r w:rsidRPr="009D790A">
        <w:t xml:space="preserve">Ethyl lactyl retinoate is not present on the databases of the </w:t>
      </w:r>
      <w:hyperlink r:id="rId76" w:history="1">
        <w:r w:rsidRPr="00203D1C">
          <w:rPr>
            <w:rStyle w:val="Hyperlink"/>
            <w:rFonts w:asciiTheme="minorHAnsi" w:hAnsiTheme="minorHAnsi"/>
          </w:rPr>
          <w:t>European Chemicals Agency</w:t>
        </w:r>
      </w:hyperlink>
      <w:r w:rsidRPr="009D790A">
        <w:t xml:space="preserve">, </w:t>
      </w:r>
      <w:hyperlink r:id="rId77" w:history="1">
        <w:r w:rsidRPr="00203D1C">
          <w:rPr>
            <w:rStyle w:val="Hyperlink"/>
            <w:rFonts w:asciiTheme="minorHAnsi" w:hAnsiTheme="minorHAnsi"/>
          </w:rPr>
          <w:t>United States Environmental Protection Agency</w:t>
        </w:r>
      </w:hyperlink>
      <w:r w:rsidRPr="009D790A">
        <w:t xml:space="preserve">, or </w:t>
      </w:r>
      <w:hyperlink r:id="rId78" w:history="1">
        <w:r w:rsidRPr="00203D1C">
          <w:rPr>
            <w:rStyle w:val="Hyperlink"/>
            <w:rFonts w:asciiTheme="minorHAnsi" w:hAnsiTheme="minorHAnsi"/>
          </w:rPr>
          <w:t>New Zealand Inventory of Chemicals (NZIoC)</w:t>
        </w:r>
      </w:hyperlink>
      <w:r w:rsidRPr="009D790A">
        <w:t>.</w:t>
      </w:r>
    </w:p>
    <w:p w14:paraId="23E686E7" w14:textId="61F1BB1A" w:rsidR="00D37D99" w:rsidRPr="009D790A" w:rsidRDefault="00D37D99" w:rsidP="00082D97">
      <w:pPr>
        <w:pStyle w:val="ListBullet"/>
        <w:rPr>
          <w:rStyle w:val="Hyperlink"/>
          <w:rFonts w:asciiTheme="minorHAnsi" w:hAnsiTheme="minorHAnsi"/>
          <w:color w:val="auto"/>
          <w:u w:val="none"/>
        </w:rPr>
      </w:pPr>
      <w:r w:rsidRPr="009D790A">
        <w:rPr>
          <w:rStyle w:val="Hyperlink"/>
          <w:rFonts w:asciiTheme="minorHAnsi" w:hAnsiTheme="minorHAnsi"/>
          <w:color w:val="auto"/>
          <w:u w:val="none"/>
        </w:rPr>
        <w:t xml:space="preserve">Ethyl lactyl retinoate is not present in the FDA’s </w:t>
      </w:r>
      <w:hyperlink r:id="rId79" w:history="1">
        <w:r w:rsidRPr="009D790A">
          <w:rPr>
            <w:rStyle w:val="Hyperlink"/>
            <w:rFonts w:asciiTheme="minorHAnsi" w:hAnsiTheme="minorHAnsi"/>
          </w:rPr>
          <w:t>Approved Drugs database</w:t>
        </w:r>
      </w:hyperlink>
      <w:r w:rsidRPr="009D790A">
        <w:rPr>
          <w:rStyle w:val="Hyperlink"/>
          <w:rFonts w:asciiTheme="minorHAnsi" w:hAnsiTheme="minorHAnsi"/>
          <w:color w:val="auto"/>
          <w:u w:val="none"/>
        </w:rPr>
        <w:t xml:space="preserve">, New Zealand Medsafe’s </w:t>
      </w:r>
      <w:hyperlink r:id="rId80" w:history="1">
        <w:r w:rsidRPr="009D790A">
          <w:rPr>
            <w:rStyle w:val="Hyperlink"/>
            <w:rFonts w:asciiTheme="minorHAnsi" w:hAnsiTheme="minorHAnsi"/>
          </w:rPr>
          <w:t>Medicines Classification Database</w:t>
        </w:r>
      </w:hyperlink>
      <w:r w:rsidRPr="009D790A">
        <w:rPr>
          <w:rStyle w:val="Hyperlink"/>
          <w:rFonts w:asciiTheme="minorHAnsi" w:hAnsiTheme="minorHAnsi"/>
          <w:color w:val="auto"/>
          <w:u w:val="none"/>
        </w:rPr>
        <w:t xml:space="preserve">, or Health Canada’s </w:t>
      </w:r>
      <w:hyperlink r:id="rId81" w:history="1">
        <w:r w:rsidRPr="009D790A">
          <w:rPr>
            <w:rStyle w:val="Hyperlink"/>
            <w:rFonts w:asciiTheme="minorHAnsi" w:hAnsiTheme="minorHAnsi"/>
          </w:rPr>
          <w:t>Drug Product Database</w:t>
        </w:r>
      </w:hyperlink>
      <w:r w:rsidRPr="009D790A">
        <w:rPr>
          <w:rStyle w:val="Hyperlink"/>
          <w:rFonts w:asciiTheme="minorHAnsi" w:hAnsiTheme="minorHAnsi"/>
          <w:color w:val="auto"/>
          <w:u w:val="none"/>
        </w:rPr>
        <w:t>.</w:t>
      </w:r>
    </w:p>
    <w:p w14:paraId="02AD0A7E" w14:textId="77777777" w:rsidR="00C25488" w:rsidRPr="00D149A2" w:rsidRDefault="00C25488" w:rsidP="00C25488">
      <w:pPr>
        <w:rPr>
          <w:rFonts w:eastAsia="Times New Roman" w:cs="Arial"/>
          <w:b/>
          <w:bCs/>
          <w:color w:val="001871"/>
          <w:sz w:val="38"/>
          <w:szCs w:val="38"/>
        </w:rPr>
      </w:pPr>
      <w:r w:rsidRPr="00D149A2">
        <w:rPr>
          <w:rFonts w:cs="Arial"/>
        </w:rPr>
        <w:br w:type="page"/>
      </w:r>
    </w:p>
    <w:p w14:paraId="437839DF" w14:textId="77777777" w:rsidR="00C25488" w:rsidRPr="00D149A2" w:rsidRDefault="00C25488">
      <w:pPr>
        <w:pStyle w:val="Heading3"/>
        <w:numPr>
          <w:ilvl w:val="1"/>
          <w:numId w:val="13"/>
        </w:numPr>
      </w:pPr>
      <w:bookmarkStart w:id="75" w:name="_Toc155176387"/>
      <w:r>
        <w:lastRenderedPageBreak/>
        <w:t>Niclosamide</w:t>
      </w:r>
      <w:bookmarkEnd w:id="75"/>
    </w:p>
    <w:p w14:paraId="7650FF65" w14:textId="4ACA1F15" w:rsidR="00C25488" w:rsidRPr="00D149A2" w:rsidRDefault="00C25488" w:rsidP="008C549F">
      <w:pPr>
        <w:pStyle w:val="Heading4"/>
      </w:pPr>
      <w:bookmarkStart w:id="76" w:name="_Toc155176388"/>
      <w:r w:rsidRPr="00D149A2">
        <w:t>Proposal</w:t>
      </w:r>
      <w:bookmarkEnd w:id="76"/>
    </w:p>
    <w:p w14:paraId="1C62BF4D" w14:textId="77777777" w:rsidR="00C25488" w:rsidRDefault="00C25488" w:rsidP="00C25488">
      <w:pPr>
        <w:rPr>
          <w:rFonts w:cs="Arial"/>
        </w:rPr>
      </w:pPr>
      <w:r w:rsidRPr="03530AF1">
        <w:rPr>
          <w:rFonts w:cs="Arial"/>
        </w:rPr>
        <w:t>The applicant proposed to create a Schedule 5 entry for niclosamide when in tablet or paste preparations for companion animals, and a Schedule 6 entry for niclosamide except when included in Schedule 2 or 5.</w:t>
      </w:r>
    </w:p>
    <w:p w14:paraId="1351BF52" w14:textId="77777777" w:rsidR="00C25488" w:rsidRPr="00D149A2" w:rsidRDefault="00C25488" w:rsidP="008C549F">
      <w:pPr>
        <w:pStyle w:val="Heading4"/>
      </w:pPr>
      <w:bookmarkStart w:id="77" w:name="_Toc155176389"/>
      <w:r w:rsidRPr="00D149A2">
        <w:t>CAS Number:</w:t>
      </w:r>
      <w:bookmarkEnd w:id="77"/>
    </w:p>
    <w:p w14:paraId="4225782B" w14:textId="77777777" w:rsidR="00C25488" w:rsidRPr="00D149A2" w:rsidRDefault="00C25488" w:rsidP="00C25488">
      <w:pPr>
        <w:rPr>
          <w:rFonts w:cs="Arial"/>
        </w:rPr>
      </w:pPr>
      <w:r w:rsidRPr="30D39D10">
        <w:rPr>
          <w:rFonts w:cs="Arial"/>
        </w:rPr>
        <w:t>50-65-7</w:t>
      </w:r>
    </w:p>
    <w:p w14:paraId="327FD91F" w14:textId="77777777" w:rsidR="00C25488" w:rsidRPr="00D149A2" w:rsidRDefault="00C25488" w:rsidP="008C549F">
      <w:pPr>
        <w:pStyle w:val="Heading4"/>
      </w:pPr>
      <w:bookmarkStart w:id="78" w:name="_Toc155176390"/>
      <w:r w:rsidRPr="00D149A2">
        <w:t>Alternative names</w:t>
      </w:r>
      <w:bookmarkEnd w:id="78"/>
    </w:p>
    <w:p w14:paraId="6DB94962" w14:textId="77777777" w:rsidR="00C25488" w:rsidRPr="00D149A2" w:rsidRDefault="00C25488" w:rsidP="00C25488">
      <w:pPr>
        <w:rPr>
          <w:rFonts w:eastAsia="Calibri" w:cs="Calibri"/>
        </w:rPr>
      </w:pPr>
      <w:r w:rsidRPr="30D39D10">
        <w:t>5-Chloro-</w:t>
      </w:r>
      <w:r w:rsidRPr="30D39D10">
        <w:rPr>
          <w:i/>
          <w:iCs/>
        </w:rPr>
        <w:t>N-</w:t>
      </w:r>
      <w:r w:rsidRPr="30D39D10">
        <w:t>(2-chloro-4-nitrophenyl)-2-hydroxybenzamide</w:t>
      </w:r>
    </w:p>
    <w:p w14:paraId="78412D9C" w14:textId="0E8FAFCE" w:rsidR="00C25488" w:rsidRDefault="00C25488" w:rsidP="00C25488">
      <w:r w:rsidRPr="30D39D10">
        <w:rPr>
          <w:i/>
          <w:iCs/>
        </w:rPr>
        <w:t>N-</w:t>
      </w:r>
      <w:r w:rsidRPr="30D39D10">
        <w:t>(2′-chloro-4′-nitrophenyl)-5-chlorosalicylamide</w:t>
      </w:r>
    </w:p>
    <w:p w14:paraId="3958277C" w14:textId="03D39B8F" w:rsidR="00706970" w:rsidRDefault="00706970" w:rsidP="00C25488">
      <w:r w:rsidRPr="00706970">
        <w:t>2’,5-dichloro-4’-nitrosalicylanilide</w:t>
      </w:r>
    </w:p>
    <w:p w14:paraId="777FA0FF" w14:textId="77777777" w:rsidR="00C25488" w:rsidRPr="00D149A2" w:rsidRDefault="00C25488" w:rsidP="008C549F">
      <w:pPr>
        <w:pStyle w:val="Heading4"/>
      </w:pPr>
      <w:bookmarkStart w:id="79" w:name="_Toc155176391"/>
      <w:r w:rsidRPr="00D149A2">
        <w:t>Applicant</w:t>
      </w:r>
      <w:bookmarkEnd w:id="79"/>
    </w:p>
    <w:p w14:paraId="7650430E" w14:textId="18B4CAA9" w:rsidR="00C25488" w:rsidRPr="00D149A2" w:rsidRDefault="00C25488" w:rsidP="00C25488">
      <w:pPr>
        <w:rPr>
          <w:rFonts w:cs="Arial"/>
        </w:rPr>
      </w:pPr>
      <w:r w:rsidRPr="30D39D10">
        <w:rPr>
          <w:rFonts w:cs="Arial"/>
        </w:rPr>
        <w:t>Australian Pesticides and Veterinary Medicines Authority (APVMA)</w:t>
      </w:r>
    </w:p>
    <w:p w14:paraId="00296A00" w14:textId="77777777" w:rsidR="00C25488" w:rsidRPr="00D149A2" w:rsidRDefault="00C25488" w:rsidP="008C549F">
      <w:pPr>
        <w:pStyle w:val="Heading4"/>
      </w:pPr>
      <w:bookmarkStart w:id="80" w:name="_Toc155176392"/>
      <w:r w:rsidRPr="00D149A2">
        <w:t>Proposed Scheduling</w:t>
      </w:r>
      <w:bookmarkEnd w:id="80"/>
    </w:p>
    <w:p w14:paraId="4FD4237E" w14:textId="30456AE8" w:rsidR="00C25488" w:rsidRPr="00EC5374" w:rsidRDefault="00C25488" w:rsidP="00C25488">
      <w:pPr>
        <w:rPr>
          <w:rFonts w:cs="Arial"/>
          <w:bCs/>
        </w:rPr>
      </w:pPr>
      <w:r w:rsidRPr="00EC5374">
        <w:rPr>
          <w:rFonts w:cs="Arial"/>
          <w:bCs/>
        </w:rPr>
        <w:t>The applicant’s proposed amendments to the Poisons Standard are</w:t>
      </w:r>
      <w:r w:rsidR="00EC5374">
        <w:rPr>
          <w:rFonts w:cs="Arial"/>
          <w:bCs/>
        </w:rPr>
        <w:t>:</w:t>
      </w:r>
      <w:r w:rsidRPr="00EC5374">
        <w:rPr>
          <w:rStyle w:val="FootnoteReference"/>
          <w:rFonts w:cs="Arial"/>
          <w:bCs/>
        </w:rPr>
        <w:footnoteReference w:id="5"/>
      </w:r>
    </w:p>
    <w:p w14:paraId="18627A09" w14:textId="77777777" w:rsidR="00C25488" w:rsidRPr="00D149A2" w:rsidRDefault="00C25488" w:rsidP="00C25488">
      <w:pPr>
        <w:ind w:left="426"/>
        <w:rPr>
          <w:rFonts w:cs="Arial"/>
          <w:b/>
        </w:rPr>
      </w:pPr>
      <w:r w:rsidRPr="03530AF1">
        <w:rPr>
          <w:rFonts w:cs="Arial"/>
          <w:b/>
          <w:bCs/>
        </w:rPr>
        <w:t>Schedule 6 – New entry</w:t>
      </w:r>
    </w:p>
    <w:p w14:paraId="14F0644B" w14:textId="1DA4F14C" w:rsidR="00C25488" w:rsidRDefault="00C25488" w:rsidP="00C25488">
      <w:pPr>
        <w:ind w:left="426" w:firstLine="294"/>
        <w:rPr>
          <w:rFonts w:cs="Arial"/>
          <w:color w:val="00B050"/>
          <w:u w:val="single"/>
        </w:rPr>
      </w:pPr>
      <w:r w:rsidRPr="03530AF1">
        <w:rPr>
          <w:rFonts w:cs="Arial"/>
          <w:color w:val="00B050"/>
          <w:u w:val="single"/>
        </w:rPr>
        <w:t xml:space="preserve">NICLOSAMIDE </w:t>
      </w:r>
      <w:r w:rsidRPr="03530AF1">
        <w:rPr>
          <w:rFonts w:cs="Arial"/>
          <w:b/>
          <w:bCs/>
          <w:color w:val="00B050"/>
          <w:u w:val="single"/>
        </w:rPr>
        <w:t>except</w:t>
      </w:r>
      <w:r w:rsidRPr="03530AF1">
        <w:rPr>
          <w:rFonts w:cs="Arial"/>
          <w:color w:val="00B050"/>
          <w:u w:val="single"/>
        </w:rPr>
        <w:t xml:space="preserve"> when included in Schedule 2 or 5.</w:t>
      </w:r>
    </w:p>
    <w:p w14:paraId="65444D7D" w14:textId="77777777" w:rsidR="00C25488" w:rsidRDefault="00C25488" w:rsidP="00C25488">
      <w:pPr>
        <w:ind w:left="426"/>
        <w:rPr>
          <w:rFonts w:cs="Arial"/>
          <w:b/>
          <w:bCs/>
          <w:highlight w:val="yellow"/>
        </w:rPr>
      </w:pPr>
      <w:r w:rsidRPr="03530AF1">
        <w:rPr>
          <w:rFonts w:cs="Arial"/>
          <w:b/>
          <w:bCs/>
        </w:rPr>
        <w:t>Schedule 5 – New entry</w:t>
      </w:r>
    </w:p>
    <w:p w14:paraId="085D8FC0" w14:textId="77777777" w:rsidR="00C25488" w:rsidRDefault="00C25488" w:rsidP="00C25488">
      <w:pPr>
        <w:ind w:left="426" w:firstLine="294"/>
        <w:rPr>
          <w:rFonts w:cs="Arial"/>
          <w:u w:val="single"/>
        </w:rPr>
      </w:pPr>
      <w:r w:rsidRPr="03530AF1">
        <w:rPr>
          <w:rFonts w:cs="Arial"/>
          <w:color w:val="00B050"/>
          <w:u w:val="single"/>
        </w:rPr>
        <w:t>NICLOSAMIDE in tablet or paste preparations for companion animals.</w:t>
      </w:r>
    </w:p>
    <w:p w14:paraId="08607C57" w14:textId="77777777" w:rsidR="00C25488" w:rsidRDefault="00C25488" w:rsidP="00C25488">
      <w:pPr>
        <w:ind w:left="426"/>
        <w:rPr>
          <w:rFonts w:cs="Arial"/>
          <w:b/>
          <w:bCs/>
          <w:highlight w:val="yellow"/>
        </w:rPr>
      </w:pPr>
      <w:r w:rsidRPr="03530AF1">
        <w:rPr>
          <w:rFonts w:cs="Arial"/>
          <w:b/>
          <w:bCs/>
        </w:rPr>
        <w:t xml:space="preserve">Schedule 2 </w:t>
      </w:r>
    </w:p>
    <w:p w14:paraId="788EC2EF" w14:textId="77777777" w:rsidR="00C25488" w:rsidRDefault="00C25488" w:rsidP="00C25488">
      <w:pPr>
        <w:ind w:left="426" w:firstLine="294"/>
        <w:rPr>
          <w:rFonts w:cs="Arial"/>
        </w:rPr>
      </w:pPr>
      <w:r w:rsidRPr="03530AF1">
        <w:rPr>
          <w:rFonts w:cs="Arial"/>
        </w:rPr>
        <w:t>NICLOSAMIDE for human therapeutic use.</w:t>
      </w:r>
    </w:p>
    <w:p w14:paraId="17D946E9" w14:textId="77777777" w:rsidR="00C25488" w:rsidRPr="00D149A2" w:rsidRDefault="00C25488" w:rsidP="00C25488">
      <w:pPr>
        <w:ind w:left="426"/>
        <w:rPr>
          <w:rFonts w:cs="Arial"/>
          <w:b/>
        </w:rPr>
      </w:pPr>
      <w:r w:rsidRPr="03530AF1">
        <w:rPr>
          <w:rFonts w:cs="Arial"/>
          <w:b/>
        </w:rPr>
        <w:t>Index – Amend Entry</w:t>
      </w:r>
    </w:p>
    <w:p w14:paraId="05820455" w14:textId="77777777" w:rsidR="00C25488" w:rsidRDefault="00C25488" w:rsidP="00C25488">
      <w:pPr>
        <w:ind w:left="426" w:firstLine="294"/>
      </w:pPr>
      <w:r w:rsidRPr="03530AF1">
        <w:rPr>
          <w:rFonts w:cs="Arial"/>
          <w:b/>
          <w:bCs/>
        </w:rPr>
        <w:t>NICLOSAMIDE</w:t>
      </w:r>
    </w:p>
    <w:p w14:paraId="67ECE062" w14:textId="77777777" w:rsidR="00C25488" w:rsidRDefault="00C25488" w:rsidP="00C25488">
      <w:pPr>
        <w:ind w:left="720"/>
        <w:rPr>
          <w:rFonts w:cs="Arial"/>
        </w:rPr>
      </w:pPr>
      <w:r w:rsidRPr="03530AF1">
        <w:rPr>
          <w:rFonts w:cs="Arial"/>
          <w:color w:val="00B050"/>
          <w:u w:val="single"/>
        </w:rPr>
        <w:t>Schedule 6</w:t>
      </w:r>
      <w:r>
        <w:br/>
      </w:r>
      <w:r w:rsidRPr="03530AF1">
        <w:rPr>
          <w:rFonts w:cs="Arial"/>
          <w:color w:val="00B050"/>
          <w:u w:val="single"/>
        </w:rPr>
        <w:t>Schedule 5</w:t>
      </w:r>
      <w:r>
        <w:br/>
      </w:r>
      <w:r w:rsidRPr="03530AF1">
        <w:rPr>
          <w:rFonts w:cs="Arial"/>
        </w:rPr>
        <w:t>Schedule 2</w:t>
      </w:r>
    </w:p>
    <w:p w14:paraId="0568EF97" w14:textId="77777777" w:rsidR="00C25488" w:rsidRPr="00D149A2" w:rsidRDefault="00C25488" w:rsidP="008C549F">
      <w:pPr>
        <w:pStyle w:val="Heading4"/>
      </w:pPr>
      <w:bookmarkStart w:id="81" w:name="_Toc155176393"/>
      <w:r w:rsidRPr="00D149A2">
        <w:t>Background</w:t>
      </w:r>
      <w:bookmarkEnd w:id="81"/>
    </w:p>
    <w:p w14:paraId="072D2DB1" w14:textId="33F82A1B" w:rsidR="00DA303C" w:rsidRPr="00E9026A" w:rsidRDefault="00C25488" w:rsidP="006D5E7E">
      <w:r w:rsidRPr="00E9026A">
        <w:t>Niclosamide is an anthelmintic medication used to treat parasitic infections in humans and animals. At present, niclosamide is available in veterinary products as an oral worming treatment in dogs and cats</w:t>
      </w:r>
      <w:r w:rsidR="00DA303C" w:rsidRPr="00E9026A">
        <w:t>.</w:t>
      </w:r>
      <w:r w:rsidRPr="00E9026A">
        <w:t xml:space="preserve"> Niclosamide has been widely used overseas to control aquatic (freshwater) snails</w:t>
      </w:r>
      <w:r w:rsidR="002B50B0">
        <w:t>. H</w:t>
      </w:r>
      <w:r w:rsidRPr="00E9026A">
        <w:t>owever, it has not previously been used in agriculture in Australia.</w:t>
      </w:r>
      <w:r w:rsidR="000B04C6" w:rsidRPr="00E9026A">
        <w:t xml:space="preserve"> </w:t>
      </w:r>
      <w:r w:rsidR="000B04C6">
        <w:t>Recently an emergency permit was issued to control rice snails (PER93840, 2023).</w:t>
      </w:r>
    </w:p>
    <w:p w14:paraId="25BC1B1F" w14:textId="115036CB" w:rsidR="00C25488" w:rsidRPr="00E9026A" w:rsidRDefault="00C25488" w:rsidP="006D5E7E">
      <w:r w:rsidRPr="00E9026A">
        <w:lastRenderedPageBreak/>
        <w:t xml:space="preserve">Niclosamide for human therapeutic use is </w:t>
      </w:r>
      <w:r w:rsidR="00DA303C" w:rsidRPr="00E9026A">
        <w:t xml:space="preserve">included </w:t>
      </w:r>
      <w:r w:rsidRPr="00E9026A">
        <w:t>in Schedule 2 of the Poisons Standard</w:t>
      </w:r>
      <w:r w:rsidR="002B50B0">
        <w:t>.</w:t>
      </w:r>
      <w:r w:rsidR="00DA303C" w:rsidRPr="00E9026A">
        <w:t xml:space="preserve"> </w:t>
      </w:r>
      <w:r w:rsidR="002B50B0">
        <w:t>Ho</w:t>
      </w:r>
      <w:r w:rsidR="00DA303C" w:rsidRPr="00E9026A">
        <w:t>wever there are presently no products for human therapeutic use listed on the ARTG that contain niclosamide.</w:t>
      </w:r>
    </w:p>
    <w:p w14:paraId="2A2EC370" w14:textId="77777777" w:rsidR="00C25488" w:rsidRDefault="00C25488" w:rsidP="008C549F">
      <w:pPr>
        <w:pStyle w:val="Heading4"/>
      </w:pPr>
      <w:bookmarkStart w:id="82" w:name="_Toc155176394"/>
      <w:r w:rsidRPr="7AF7B541">
        <w:t>Summary of applicant’s reasons for the proposal</w:t>
      </w:r>
      <w:bookmarkEnd w:id="82"/>
    </w:p>
    <w:p w14:paraId="5F0C5735" w14:textId="69B64089" w:rsidR="00C25488" w:rsidRPr="00E23EEC" w:rsidRDefault="00E23EEC" w:rsidP="002B50B0">
      <w:pPr>
        <w:pStyle w:val="ListBullet-donotcross"/>
        <w:numPr>
          <w:ilvl w:val="0"/>
          <w:numId w:val="0"/>
        </w:numPr>
      </w:pPr>
      <w:r w:rsidRPr="00E23EEC">
        <w:t>Niclosamide is a molluscicide and anthe</w:t>
      </w:r>
      <w:r w:rsidR="000B04C6">
        <w:t>l</w:t>
      </w:r>
      <w:r w:rsidRPr="00E23EEC">
        <w:t>mintic that has a significant history of use for the control of parasites in both human and veterinary settings. While there are already unscheduled niclosamide products marketed in Australia for use in cats and dogs, an application for use of the substance in a new molluscicide product has prompted this proposal to include such use in the Poisons Standard.</w:t>
      </w:r>
    </w:p>
    <w:p w14:paraId="777A7CF1" w14:textId="7D159FFF" w:rsidR="00C25488" w:rsidRPr="00D149A2" w:rsidRDefault="00C25488" w:rsidP="008C549F">
      <w:pPr>
        <w:pStyle w:val="Heading4"/>
      </w:pPr>
      <w:bookmarkStart w:id="83" w:name="_Toc155176395"/>
      <w:r w:rsidRPr="00D149A2">
        <w:t>Key uses / expected use</w:t>
      </w:r>
      <w:bookmarkEnd w:id="83"/>
    </w:p>
    <w:p w14:paraId="311830F3" w14:textId="77777777" w:rsidR="00C25488" w:rsidRPr="00D149A2" w:rsidRDefault="00C25488" w:rsidP="00C25488">
      <w:pPr>
        <w:rPr>
          <w:rFonts w:cs="Arial"/>
        </w:rPr>
      </w:pPr>
      <w:r w:rsidRPr="03530AF1">
        <w:rPr>
          <w:rFonts w:cs="Arial"/>
        </w:rPr>
        <w:t>Medicines, veterinary, and agriculture</w:t>
      </w:r>
    </w:p>
    <w:p w14:paraId="081A9673" w14:textId="77777777" w:rsidR="00C25488" w:rsidRPr="00D149A2" w:rsidRDefault="00C25488" w:rsidP="008C549F">
      <w:pPr>
        <w:pStyle w:val="Heading4"/>
      </w:pPr>
      <w:bookmarkStart w:id="84" w:name="_Toc155176396"/>
      <w:r w:rsidRPr="00D149A2">
        <w:t>Australian regulations</w:t>
      </w:r>
      <w:bookmarkEnd w:id="84"/>
    </w:p>
    <w:p w14:paraId="7F0A67C8" w14:textId="77777777" w:rsidR="00C25488" w:rsidRPr="002264A8" w:rsidRDefault="00C25488" w:rsidP="00082D97">
      <w:pPr>
        <w:pStyle w:val="ListBullet"/>
      </w:pPr>
      <w:r w:rsidRPr="002264A8">
        <w:t xml:space="preserve">According to the </w:t>
      </w:r>
      <w:hyperlink r:id="rId82">
        <w:r w:rsidRPr="002264A8">
          <w:rPr>
            <w:rStyle w:val="Hyperlink"/>
            <w:rFonts w:asciiTheme="minorHAnsi" w:hAnsiTheme="minorHAnsi"/>
          </w:rPr>
          <w:t>TGA Ingredient Database</w:t>
        </w:r>
      </w:hyperlink>
      <w:r w:rsidRPr="002264A8">
        <w:t>, niclosamide is:</w:t>
      </w:r>
    </w:p>
    <w:p w14:paraId="4D3C51BA" w14:textId="14AA6364" w:rsidR="00C25488" w:rsidRPr="0069383B" w:rsidRDefault="00C25488" w:rsidP="00DA303C">
      <w:pPr>
        <w:pStyle w:val="ListBullet2"/>
        <w:rPr>
          <w:rFonts w:asciiTheme="minorHAnsi" w:hAnsiTheme="minorHAnsi" w:cstheme="minorHAnsi"/>
        </w:rPr>
      </w:pPr>
      <w:r w:rsidRPr="0069383B">
        <w:rPr>
          <w:rFonts w:asciiTheme="minorHAnsi" w:hAnsiTheme="minorHAnsi" w:cstheme="minorHAnsi"/>
        </w:rPr>
        <w:t>Available for use as an Active Ingredient in: Biologicals, Prescription Medicines</w:t>
      </w:r>
    </w:p>
    <w:p w14:paraId="1E181FF8" w14:textId="67B3B740" w:rsidR="00C25488" w:rsidRPr="0069383B" w:rsidRDefault="00C25488" w:rsidP="00DA303C">
      <w:pPr>
        <w:pStyle w:val="ListBullet2"/>
        <w:rPr>
          <w:rFonts w:asciiTheme="minorHAnsi" w:hAnsiTheme="minorHAnsi" w:cstheme="minorHAnsi"/>
        </w:rPr>
      </w:pPr>
      <w:r w:rsidRPr="0069383B">
        <w:rPr>
          <w:rFonts w:asciiTheme="minorHAnsi" w:hAnsiTheme="minorHAnsi" w:cstheme="minorHAnsi"/>
        </w:rPr>
        <w:t>Available for use as an Excipient Ingredient in: Biologicals, Devices, Prescription Medicines</w:t>
      </w:r>
    </w:p>
    <w:p w14:paraId="1E8F26F1" w14:textId="4D3BBF86" w:rsidR="00C25488" w:rsidRPr="0069383B" w:rsidRDefault="00C25488" w:rsidP="00DA303C">
      <w:pPr>
        <w:pStyle w:val="ListBullet2"/>
        <w:rPr>
          <w:rFonts w:asciiTheme="minorHAnsi" w:hAnsiTheme="minorHAnsi" w:cstheme="minorHAnsi"/>
        </w:rPr>
      </w:pPr>
      <w:r w:rsidRPr="0069383B">
        <w:rPr>
          <w:rFonts w:asciiTheme="minorHAnsi" w:hAnsiTheme="minorHAnsi" w:cstheme="minorHAnsi"/>
        </w:rPr>
        <w:t>Not available as an Equivalent Ingredient in any application</w:t>
      </w:r>
    </w:p>
    <w:p w14:paraId="74D5A7B7" w14:textId="0953F10C" w:rsidR="00C25488" w:rsidRPr="002264A8" w:rsidRDefault="00C25488" w:rsidP="00082D97">
      <w:pPr>
        <w:pStyle w:val="ListBullet"/>
      </w:pPr>
      <w:r w:rsidRPr="002264A8">
        <w:t xml:space="preserve">As of December 2023, there were </w:t>
      </w:r>
      <w:r w:rsidRPr="002264A8">
        <w:rPr>
          <w:rFonts w:eastAsiaTheme="minorEastAsia"/>
        </w:rPr>
        <w:t xml:space="preserve">no medicines active on the </w:t>
      </w:r>
      <w:hyperlink r:id="rId83">
        <w:r w:rsidRPr="002264A8">
          <w:rPr>
            <w:rStyle w:val="Hyperlink"/>
            <w:rFonts w:asciiTheme="minorHAnsi" w:hAnsiTheme="minorHAnsi"/>
          </w:rPr>
          <w:t>Australian Register of Therapeutic Goods (ARTG)</w:t>
        </w:r>
      </w:hyperlink>
      <w:r w:rsidRPr="002264A8">
        <w:t xml:space="preserve"> that contain niclosamide as an active ingredient. </w:t>
      </w:r>
    </w:p>
    <w:p w14:paraId="43901237" w14:textId="77777777" w:rsidR="00C25488" w:rsidRPr="002264A8" w:rsidRDefault="00C25488" w:rsidP="00082D97">
      <w:pPr>
        <w:pStyle w:val="ListBullet"/>
      </w:pPr>
      <w:r w:rsidRPr="002264A8">
        <w:t xml:space="preserve">Niclosamide is not permitted to be included in listed medicines as it is not included in the </w:t>
      </w:r>
      <w:hyperlink r:id="rId84">
        <w:r w:rsidRPr="002264A8">
          <w:rPr>
            <w:rStyle w:val="Hyperlink"/>
            <w:rFonts w:asciiTheme="minorHAnsi" w:hAnsiTheme="minorHAnsi"/>
          </w:rPr>
          <w:t>Therapeutic Goods (Permissible Ingredients) Determination</w:t>
        </w:r>
      </w:hyperlink>
      <w:r w:rsidRPr="002264A8">
        <w:t xml:space="preserve"> No.4 of 2023 </w:t>
      </w:r>
    </w:p>
    <w:p w14:paraId="5E70911C" w14:textId="77777777" w:rsidR="00203D1C" w:rsidRDefault="00C25488" w:rsidP="00203D1C">
      <w:pPr>
        <w:pStyle w:val="ListBullet"/>
      </w:pPr>
      <w:r w:rsidRPr="002264A8">
        <w:t xml:space="preserve">Niclosamide is not listed in the </w:t>
      </w:r>
      <w:hyperlink r:id="rId85">
        <w:r w:rsidRPr="002264A8">
          <w:rPr>
            <w:rStyle w:val="Hyperlink"/>
            <w:rFonts w:asciiTheme="minorHAnsi" w:hAnsiTheme="minorHAnsi"/>
          </w:rPr>
          <w:t>TGA prescribing medicines in pregnancy database</w:t>
        </w:r>
        <w:r w:rsidRPr="002B50B0">
          <w:rPr>
            <w:rStyle w:val="Hyperlink"/>
            <w:rFonts w:asciiTheme="minorHAnsi" w:hAnsiTheme="minorHAnsi"/>
            <w:color w:val="auto"/>
            <w:u w:val="none"/>
          </w:rPr>
          <w:t>.</w:t>
        </w:r>
      </w:hyperlink>
    </w:p>
    <w:p w14:paraId="67F5E5FF" w14:textId="7C583184" w:rsidR="00C25488" w:rsidRPr="00203D1C" w:rsidRDefault="00C25488" w:rsidP="00203D1C">
      <w:pPr>
        <w:pStyle w:val="ListBullet"/>
        <w:rPr>
          <w:rStyle w:val="Hyperlink"/>
          <w:color w:val="auto"/>
          <w:u w:val="none"/>
        </w:rPr>
      </w:pPr>
      <w:r w:rsidRPr="002264A8">
        <w:t xml:space="preserve">There are no warning statements pertaining to niclosamide in the </w:t>
      </w:r>
      <w:hyperlink r:id="rId86">
        <w:r w:rsidRPr="00203D1C">
          <w:rPr>
            <w:rStyle w:val="Hyperlink"/>
            <w:rFonts w:asciiTheme="minorHAnsi" w:hAnsiTheme="minorHAnsi"/>
          </w:rPr>
          <w:t>Therapeutic Goods (Medicines Advisory Statements) Specification 2021</w:t>
        </w:r>
        <w:r w:rsidRPr="002B50B0">
          <w:rPr>
            <w:rStyle w:val="Hyperlink"/>
            <w:rFonts w:asciiTheme="minorHAnsi" w:hAnsiTheme="minorHAnsi"/>
            <w:color w:val="auto"/>
            <w:u w:val="none"/>
          </w:rPr>
          <w:t>.</w:t>
        </w:r>
      </w:hyperlink>
    </w:p>
    <w:p w14:paraId="5F855EFF" w14:textId="77777777" w:rsidR="00C25488" w:rsidRPr="002264A8" w:rsidRDefault="00C25488" w:rsidP="00082D97">
      <w:pPr>
        <w:pStyle w:val="ListBullet"/>
      </w:pPr>
      <w:r w:rsidRPr="002264A8">
        <w:t xml:space="preserve">As of December 2023, there were 3 reports of adverse events for products containing niclosamide as an active ingredient on the </w:t>
      </w:r>
      <w:hyperlink r:id="rId87">
        <w:r w:rsidRPr="002264A8">
          <w:rPr>
            <w:rStyle w:val="Hyperlink"/>
            <w:rFonts w:asciiTheme="minorHAnsi" w:hAnsiTheme="minorHAnsi"/>
          </w:rPr>
          <w:t>Database of Adverse Event Notifications (DAEN)</w:t>
        </w:r>
      </w:hyperlink>
      <w:r w:rsidRPr="002264A8">
        <w:t>, with 1 report where niclosamide was the single suspected medicine. There were no reports of deaths associated with niclosamide use.</w:t>
      </w:r>
    </w:p>
    <w:p w14:paraId="1A9A440A" w14:textId="77777777" w:rsidR="00C25488" w:rsidRPr="002264A8" w:rsidRDefault="00C25488" w:rsidP="00082D97">
      <w:pPr>
        <w:pStyle w:val="ListBullet"/>
      </w:pPr>
      <w:r w:rsidRPr="002264A8">
        <w:t xml:space="preserve">As of December 2023, there were 13 products </w:t>
      </w:r>
      <w:r w:rsidRPr="002264A8">
        <w:rPr>
          <w:rFonts w:eastAsiaTheme="minorEastAsia"/>
        </w:rPr>
        <w:t xml:space="preserve">containing niclosamide as an active ingredient/constituent or scheduled substance listed on the </w:t>
      </w:r>
      <w:hyperlink r:id="rId88">
        <w:r w:rsidRPr="002264A8">
          <w:rPr>
            <w:rStyle w:val="Hyperlink"/>
            <w:rFonts w:asciiTheme="minorHAnsi" w:hAnsiTheme="minorHAnsi"/>
          </w:rPr>
          <w:t>Public Chemical Registration Information System Search (PubCRIS)</w:t>
        </w:r>
      </w:hyperlink>
      <w:r w:rsidRPr="002B50B0">
        <w:t>.</w:t>
      </w:r>
      <w:r w:rsidRPr="002264A8">
        <w:t xml:space="preserve"> These include oral tablets and oral pastes for animal use.</w:t>
      </w:r>
    </w:p>
    <w:p w14:paraId="2B310096" w14:textId="7E4ACD26" w:rsidR="00C25488" w:rsidRPr="002264A8" w:rsidRDefault="00C25488" w:rsidP="00082D97">
      <w:pPr>
        <w:pStyle w:val="ListBullet"/>
      </w:pPr>
      <w:r w:rsidRPr="002264A8">
        <w:t xml:space="preserve">In 2015-2020 the following adverse experiences were recorded for niclosamidein the </w:t>
      </w:r>
      <w:hyperlink r:id="rId89" w:history="1">
        <w:r w:rsidRPr="002264A8">
          <w:rPr>
            <w:rStyle w:val="Hyperlink"/>
            <w:rFonts w:asciiTheme="minorHAnsi" w:hAnsiTheme="minorHAnsi"/>
          </w:rPr>
          <w:t>APVMA Adverse Experience Reporting Program</w:t>
        </w:r>
      </w:hyperlink>
      <w:r w:rsidRPr="002264A8">
        <w:rPr>
          <w:rStyle w:val="Hyperlink"/>
          <w:rFonts w:asciiTheme="minorHAnsi" w:hAnsiTheme="minorHAnsi"/>
        </w:rPr>
        <w:t xml:space="preserve"> database (AERP)</w:t>
      </w:r>
      <w:r w:rsidRPr="002B50B0">
        <w:rPr>
          <w:rStyle w:val="Hyperlink"/>
          <w:rFonts w:asciiTheme="minorHAnsi" w:hAnsiTheme="minorHAnsi"/>
          <w:color w:val="auto"/>
          <w:u w:val="none"/>
        </w:rPr>
        <w:t>:</w:t>
      </w:r>
    </w:p>
    <w:p w14:paraId="11F042E0" w14:textId="7B73F6E4" w:rsidR="00C25488" w:rsidRDefault="00C25488" w:rsidP="00C25488">
      <w:pPr>
        <w:pStyle w:val="ListBullet2"/>
        <w:rPr>
          <w:rFonts w:asciiTheme="minorHAnsi" w:hAnsiTheme="minorHAnsi" w:cstheme="minorHAnsi"/>
        </w:rPr>
      </w:pPr>
      <w:r w:rsidRPr="002264A8">
        <w:rPr>
          <w:rFonts w:asciiTheme="minorHAnsi" w:hAnsiTheme="minorHAnsi" w:cstheme="minorHAnsi"/>
        </w:rPr>
        <w:t>1 report of a serious incident classified as related to animal health reported (2018-2019).</w:t>
      </w:r>
    </w:p>
    <w:p w14:paraId="2AD38762" w14:textId="0D5ED99F" w:rsidR="002B50B0" w:rsidRPr="002264A8" w:rsidRDefault="002B50B0" w:rsidP="002B50B0">
      <w:pPr>
        <w:pStyle w:val="ListBullet"/>
      </w:pPr>
      <w:r>
        <w:t xml:space="preserve">As of December 2023, niclosamide is listed on the </w:t>
      </w:r>
      <w:hyperlink r:id="rId90" w:history="1">
        <w:r w:rsidRPr="002B50B0">
          <w:rPr>
            <w:rStyle w:val="Hyperlink"/>
          </w:rPr>
          <w:t>Australian Inventory of Industrial Chemicals</w:t>
        </w:r>
      </w:hyperlink>
      <w:r>
        <w:t>.</w:t>
      </w:r>
    </w:p>
    <w:p w14:paraId="494250AF" w14:textId="77777777" w:rsidR="00C25488" w:rsidRPr="00D149A2" w:rsidRDefault="00C25488" w:rsidP="008C549F">
      <w:pPr>
        <w:pStyle w:val="Heading4"/>
      </w:pPr>
      <w:bookmarkStart w:id="85" w:name="_Toc155176397"/>
      <w:r w:rsidRPr="00D149A2">
        <w:t>International regulations</w:t>
      </w:r>
      <w:bookmarkEnd w:id="85"/>
    </w:p>
    <w:p w14:paraId="1C33561E" w14:textId="77777777" w:rsidR="00C25488" w:rsidRPr="002264A8" w:rsidRDefault="00C25488" w:rsidP="00082D97">
      <w:pPr>
        <w:pStyle w:val="ListBullet"/>
      </w:pPr>
      <w:r w:rsidRPr="002264A8">
        <w:t xml:space="preserve">According to the </w:t>
      </w:r>
      <w:hyperlink r:id="rId91">
        <w:r w:rsidRPr="002264A8">
          <w:rPr>
            <w:rStyle w:val="Hyperlink"/>
            <w:rFonts w:asciiTheme="minorHAnsi" w:hAnsiTheme="minorHAnsi"/>
          </w:rPr>
          <w:t>European Chemicals Agency (ECHA)</w:t>
        </w:r>
      </w:hyperlink>
      <w:r w:rsidRPr="002264A8">
        <w:t xml:space="preserve">, niclosamide causes serious eye irritation, and is very toxic to aquatic life, and very toxic to aquatic life with long lasting effects. </w:t>
      </w:r>
    </w:p>
    <w:p w14:paraId="787B8EA4" w14:textId="77777777" w:rsidR="00C25488" w:rsidRPr="002264A8" w:rsidRDefault="00C25488" w:rsidP="00082D97">
      <w:pPr>
        <w:pStyle w:val="ListBullet"/>
      </w:pPr>
      <w:r w:rsidRPr="002264A8">
        <w:t xml:space="preserve">Niclosamide is not listed in the </w:t>
      </w:r>
      <w:hyperlink r:id="rId92">
        <w:r w:rsidRPr="002264A8">
          <w:rPr>
            <w:rStyle w:val="Hyperlink"/>
            <w:rFonts w:asciiTheme="minorHAnsi" w:hAnsiTheme="minorHAnsi"/>
          </w:rPr>
          <w:t>EU Pesticides database</w:t>
        </w:r>
      </w:hyperlink>
      <w:r w:rsidRPr="002264A8">
        <w:t>.</w:t>
      </w:r>
    </w:p>
    <w:p w14:paraId="371C304D" w14:textId="77777777" w:rsidR="00C25488" w:rsidRPr="002264A8" w:rsidRDefault="00C25488" w:rsidP="00082D97">
      <w:pPr>
        <w:pStyle w:val="ListBullet"/>
      </w:pPr>
      <w:r w:rsidRPr="002264A8">
        <w:t xml:space="preserve">In Canada, there are currently 4 products containing niclosamide listed in the </w:t>
      </w:r>
      <w:hyperlink r:id="rId93">
        <w:r w:rsidRPr="002264A8">
          <w:rPr>
            <w:rStyle w:val="Hyperlink"/>
            <w:rFonts w:asciiTheme="minorHAnsi" w:hAnsiTheme="minorHAnsi"/>
          </w:rPr>
          <w:t>Pesticide Product Information Database</w:t>
        </w:r>
      </w:hyperlink>
      <w:r w:rsidRPr="002264A8">
        <w:t xml:space="preserve">. Niclosamide is not listed in the </w:t>
      </w:r>
      <w:hyperlink r:id="rId94">
        <w:r w:rsidRPr="002264A8">
          <w:rPr>
            <w:rStyle w:val="Hyperlink"/>
            <w:rFonts w:asciiTheme="minorHAnsi" w:hAnsiTheme="minorHAnsi"/>
          </w:rPr>
          <w:t>Health Canada Drug Product Database</w:t>
        </w:r>
      </w:hyperlink>
      <w:r w:rsidRPr="002264A8">
        <w:t>.</w:t>
      </w:r>
    </w:p>
    <w:p w14:paraId="0C661EF8" w14:textId="5C4D61C7" w:rsidR="00C25488" w:rsidRPr="002264A8" w:rsidRDefault="00C25488" w:rsidP="00082D97">
      <w:pPr>
        <w:pStyle w:val="ListBullet"/>
      </w:pPr>
      <w:r w:rsidRPr="002264A8">
        <w:lastRenderedPageBreak/>
        <w:t xml:space="preserve">In New Zealand, niclosamide is listed on the </w:t>
      </w:r>
      <w:hyperlink r:id="rId95">
        <w:r w:rsidRPr="002264A8">
          <w:rPr>
            <w:rStyle w:val="Hyperlink"/>
            <w:rFonts w:asciiTheme="minorHAnsi" w:hAnsiTheme="minorHAnsi"/>
          </w:rPr>
          <w:t>Inventory of Chemicals</w:t>
        </w:r>
      </w:hyperlink>
      <w:r w:rsidRPr="002264A8">
        <w:t xml:space="preserve"> without individual approval but may be used under an appropriate group standard. </w:t>
      </w:r>
      <w:hyperlink r:id="rId96">
        <w:r w:rsidRPr="002264A8">
          <w:rPr>
            <w:rStyle w:val="Hyperlink"/>
            <w:rFonts w:asciiTheme="minorHAnsi" w:hAnsiTheme="minorHAnsi"/>
          </w:rPr>
          <w:t>New Zealand Medsafe</w:t>
        </w:r>
      </w:hyperlink>
      <w:r w:rsidRPr="002264A8">
        <w:t xml:space="preserve"> classifies niclosamide as</w:t>
      </w:r>
      <w:r w:rsidR="00E23EEC" w:rsidRPr="002264A8">
        <w:t xml:space="preserve"> a</w:t>
      </w:r>
      <w:r w:rsidRPr="002264A8">
        <w:t xml:space="preserve"> pharmacy only medicine.</w:t>
      </w:r>
      <w:bookmarkStart w:id="86" w:name="_Toc122614237"/>
    </w:p>
    <w:p w14:paraId="43A6B39D" w14:textId="77777777" w:rsidR="001A6E05" w:rsidRDefault="001A6E05">
      <w:pPr>
        <w:rPr>
          <w:rFonts w:eastAsia="Times New Roman" w:cs="Arial"/>
          <w:b/>
          <w:bCs/>
          <w:color w:val="001871"/>
          <w:sz w:val="38"/>
          <w:szCs w:val="38"/>
        </w:rPr>
      </w:pPr>
      <w:r>
        <w:rPr>
          <w:rFonts w:cs="Arial"/>
        </w:rPr>
        <w:br w:type="page"/>
      </w:r>
    </w:p>
    <w:p w14:paraId="32A40CEA" w14:textId="4B5C20A5" w:rsidR="00226A10" w:rsidRPr="00286C53" w:rsidRDefault="00C25488" w:rsidP="00286C53">
      <w:pPr>
        <w:pStyle w:val="Heading2"/>
        <w:numPr>
          <w:ilvl w:val="0"/>
          <w:numId w:val="12"/>
        </w:numPr>
        <w:rPr>
          <w:rFonts w:cs="Arial"/>
        </w:rPr>
      </w:pPr>
      <w:bookmarkStart w:id="87" w:name="_Toc155176398"/>
      <w:r w:rsidRPr="00D149A2">
        <w:rPr>
          <w:rFonts w:cs="Arial"/>
        </w:rPr>
        <w:lastRenderedPageBreak/>
        <w:t>Proposed amendments referred for scheduling advice to the Joint ACMS-ACCS meeting #</w:t>
      </w:r>
      <w:bookmarkEnd w:id="86"/>
      <w:r>
        <w:rPr>
          <w:rFonts w:cs="Arial"/>
        </w:rPr>
        <w:t>36</w:t>
      </w:r>
      <w:bookmarkEnd w:id="87"/>
    </w:p>
    <w:p w14:paraId="256CFB0D" w14:textId="6C969729" w:rsidR="00C25488" w:rsidRPr="00D149A2" w:rsidRDefault="00C25488" w:rsidP="00226A10">
      <w:pPr>
        <w:pStyle w:val="Heading3"/>
        <w:numPr>
          <w:ilvl w:val="1"/>
          <w:numId w:val="13"/>
        </w:numPr>
      </w:pPr>
      <w:bookmarkStart w:id="88" w:name="_Toc155176399"/>
      <w:r>
        <w:t>Oxytetracycline</w:t>
      </w:r>
      <w:bookmarkEnd w:id="88"/>
    </w:p>
    <w:p w14:paraId="60E7EE39" w14:textId="2ACDA079" w:rsidR="00C25488" w:rsidRPr="00D149A2" w:rsidRDefault="00C25488" w:rsidP="008C549F">
      <w:pPr>
        <w:pStyle w:val="Heading4"/>
      </w:pPr>
      <w:bookmarkStart w:id="89" w:name="_Toc155176400"/>
      <w:r w:rsidRPr="00D149A2">
        <w:t>Proposal</w:t>
      </w:r>
      <w:bookmarkEnd w:id="89"/>
    </w:p>
    <w:p w14:paraId="3CAAEC01" w14:textId="5E725706" w:rsidR="00C25488" w:rsidRDefault="00C25488" w:rsidP="00C25488">
      <w:pPr>
        <w:rPr>
          <w:rFonts w:cs="Arial"/>
        </w:rPr>
      </w:pPr>
      <w:r w:rsidRPr="03530AF1">
        <w:rPr>
          <w:rFonts w:cs="Arial"/>
        </w:rPr>
        <w:t>The applicant proposed to</w:t>
      </w:r>
      <w:r>
        <w:rPr>
          <w:rFonts w:cs="Arial"/>
        </w:rPr>
        <w:t xml:space="preserve"> amend</w:t>
      </w:r>
      <w:r w:rsidRPr="03530AF1">
        <w:rPr>
          <w:rFonts w:cs="Arial"/>
        </w:rPr>
        <w:t xml:space="preserve"> </w:t>
      </w:r>
      <w:r>
        <w:rPr>
          <w:rFonts w:cs="Arial"/>
        </w:rPr>
        <w:t>the</w:t>
      </w:r>
      <w:r w:rsidRPr="03530AF1">
        <w:rPr>
          <w:rFonts w:cs="Arial"/>
        </w:rPr>
        <w:t xml:space="preserve"> Schedule 5 entry</w:t>
      </w:r>
      <w:r w:rsidR="00EC6947">
        <w:rPr>
          <w:rFonts w:cs="Arial"/>
        </w:rPr>
        <w:t xml:space="preserve"> for oxytetracycline</w:t>
      </w:r>
      <w:r w:rsidRPr="03530AF1">
        <w:rPr>
          <w:rFonts w:cs="Arial"/>
        </w:rPr>
        <w:t xml:space="preserve"> </w:t>
      </w:r>
      <w:r>
        <w:rPr>
          <w:rFonts w:cs="Arial"/>
        </w:rPr>
        <w:t>to include topical preparations for animals t</w:t>
      </w:r>
      <w:r w:rsidR="00EC6947">
        <w:rPr>
          <w:rFonts w:cs="Arial"/>
        </w:rPr>
        <w:t xml:space="preserve">o </w:t>
      </w:r>
      <w:r>
        <w:rPr>
          <w:rFonts w:cs="Arial"/>
        </w:rPr>
        <w:t>treat superficial skin infections.</w:t>
      </w:r>
      <w:r w:rsidR="00EC6947">
        <w:rPr>
          <w:rFonts w:cs="Arial"/>
        </w:rPr>
        <w:t xml:space="preserve"> These preparations are currently included in the Schedule 4 entry for the substance and are available by prescription only.</w:t>
      </w:r>
    </w:p>
    <w:p w14:paraId="042CC067" w14:textId="3E9C4FB9" w:rsidR="00C25488" w:rsidRPr="00D149A2" w:rsidRDefault="00C25488" w:rsidP="008C549F">
      <w:pPr>
        <w:pStyle w:val="Heading4"/>
      </w:pPr>
      <w:bookmarkStart w:id="90" w:name="_Toc155176401"/>
      <w:r w:rsidRPr="00D149A2">
        <w:t>CAS Number</w:t>
      </w:r>
      <w:bookmarkEnd w:id="90"/>
    </w:p>
    <w:p w14:paraId="43DDE152" w14:textId="77777777" w:rsidR="00C25488" w:rsidRPr="00D149A2" w:rsidRDefault="00C25488" w:rsidP="00C25488">
      <w:pPr>
        <w:rPr>
          <w:rFonts w:cs="Arial"/>
        </w:rPr>
      </w:pPr>
      <w:r w:rsidRPr="008A75E3">
        <w:rPr>
          <w:rFonts w:cs="Arial"/>
        </w:rPr>
        <w:t>79-57-2</w:t>
      </w:r>
    </w:p>
    <w:p w14:paraId="3219DF95" w14:textId="77777777" w:rsidR="00C25488" w:rsidRPr="00D149A2" w:rsidRDefault="00C25488" w:rsidP="008C549F">
      <w:pPr>
        <w:pStyle w:val="Heading4"/>
      </w:pPr>
      <w:bookmarkStart w:id="91" w:name="_Toc155176402"/>
      <w:r w:rsidRPr="00D149A2">
        <w:t>Alternative names</w:t>
      </w:r>
      <w:bookmarkEnd w:id="91"/>
    </w:p>
    <w:p w14:paraId="25A313F9" w14:textId="12C8DB93" w:rsidR="00C25488" w:rsidRPr="00D149A2" w:rsidRDefault="00EC4683" w:rsidP="00C25488">
      <w:pPr>
        <w:rPr>
          <w:rFonts w:cs="Arial"/>
        </w:rPr>
      </w:pPr>
      <w:r>
        <w:rPr>
          <w:rFonts w:cs="Arial"/>
        </w:rPr>
        <w:t>H</w:t>
      </w:r>
      <w:r w:rsidR="00C25488" w:rsidRPr="008A75E3">
        <w:rPr>
          <w:rFonts w:cs="Arial"/>
        </w:rPr>
        <w:t>ydroxytetracycline</w:t>
      </w:r>
    </w:p>
    <w:p w14:paraId="7C41FDD0" w14:textId="77777777" w:rsidR="00C25488" w:rsidRPr="00D149A2" w:rsidRDefault="00C25488" w:rsidP="008C549F">
      <w:pPr>
        <w:pStyle w:val="Heading4"/>
      </w:pPr>
      <w:bookmarkStart w:id="92" w:name="_Toc155176403"/>
      <w:r w:rsidRPr="00D149A2">
        <w:t>Applicant</w:t>
      </w:r>
      <w:bookmarkEnd w:id="92"/>
    </w:p>
    <w:p w14:paraId="0AB303E9" w14:textId="0ACF4F5A" w:rsidR="00C25488" w:rsidRPr="00D149A2" w:rsidRDefault="00C25488" w:rsidP="00C25488">
      <w:pPr>
        <w:rPr>
          <w:rFonts w:cs="Arial"/>
        </w:rPr>
      </w:pPr>
      <w:r w:rsidRPr="009A01FB">
        <w:rPr>
          <w:rFonts w:cs="Arial"/>
        </w:rPr>
        <w:t>Private applicant</w:t>
      </w:r>
    </w:p>
    <w:p w14:paraId="10A9B220" w14:textId="77777777" w:rsidR="00C25488" w:rsidRPr="00D149A2" w:rsidRDefault="00C25488" w:rsidP="008C549F">
      <w:pPr>
        <w:pStyle w:val="Heading4"/>
      </w:pPr>
      <w:bookmarkStart w:id="93" w:name="_Toc155176404"/>
      <w:r w:rsidRPr="00D149A2">
        <w:t>Proposed Scheduling</w:t>
      </w:r>
      <w:bookmarkEnd w:id="93"/>
    </w:p>
    <w:p w14:paraId="59233D1B" w14:textId="77777777" w:rsidR="00C25488" w:rsidRPr="002264A8" w:rsidRDefault="00C25488" w:rsidP="00C25488">
      <w:pPr>
        <w:rPr>
          <w:rFonts w:cs="Arial"/>
          <w:bCs/>
        </w:rPr>
      </w:pPr>
      <w:r w:rsidRPr="002264A8">
        <w:rPr>
          <w:rFonts w:cs="Arial"/>
          <w:bCs/>
        </w:rPr>
        <w:t>The applicant’s proposed amendments to the Poisons Standard are</w:t>
      </w:r>
      <w:r w:rsidRPr="002264A8">
        <w:rPr>
          <w:rStyle w:val="FootnoteReference"/>
          <w:rFonts w:cs="Arial"/>
          <w:bCs/>
        </w:rPr>
        <w:footnoteReference w:id="6"/>
      </w:r>
      <w:r w:rsidRPr="002264A8">
        <w:rPr>
          <w:rFonts w:cs="Arial"/>
          <w:bCs/>
        </w:rPr>
        <w:t>:</w:t>
      </w:r>
    </w:p>
    <w:p w14:paraId="37EC1997" w14:textId="77777777" w:rsidR="00C25488" w:rsidRPr="00D149A2" w:rsidRDefault="00C25488" w:rsidP="00C25488">
      <w:pPr>
        <w:ind w:left="426"/>
        <w:rPr>
          <w:rFonts w:cs="Arial"/>
          <w:b/>
        </w:rPr>
      </w:pPr>
      <w:r w:rsidRPr="009A01FB">
        <w:rPr>
          <w:rFonts w:cs="Arial"/>
          <w:b/>
        </w:rPr>
        <w:t>Schedule 5 – Amend Entry</w:t>
      </w:r>
    </w:p>
    <w:p w14:paraId="779E7518" w14:textId="5AFD3BB1" w:rsidR="00C25488" w:rsidRDefault="00C25488" w:rsidP="00EC6947">
      <w:pPr>
        <w:ind w:left="426" w:firstLine="294"/>
        <w:rPr>
          <w:rFonts w:cs="Arial"/>
        </w:rPr>
      </w:pPr>
      <w:r>
        <w:rPr>
          <w:rFonts w:cs="Arial"/>
        </w:rPr>
        <w:t>OXYTETRACYCLINE</w:t>
      </w:r>
      <w:r w:rsidR="00EC4683">
        <w:rPr>
          <w:rFonts w:cs="Arial"/>
        </w:rPr>
        <w:t xml:space="preserve"> in preparations:</w:t>
      </w:r>
    </w:p>
    <w:p w14:paraId="14FEFF40" w14:textId="77777777" w:rsidR="00C25488" w:rsidRPr="00747EB5" w:rsidRDefault="00C25488">
      <w:pPr>
        <w:pStyle w:val="ListBulleta"/>
        <w:numPr>
          <w:ilvl w:val="0"/>
          <w:numId w:val="9"/>
        </w:numPr>
      </w:pPr>
      <w:r w:rsidRPr="00747EB5">
        <w:t>for topical application to animals</w:t>
      </w:r>
      <w:r w:rsidRPr="001A06A9">
        <w:rPr>
          <w:color w:val="00B050"/>
          <w:u w:val="single"/>
        </w:rPr>
        <w:t>:</w:t>
      </w:r>
    </w:p>
    <w:p w14:paraId="1592F286" w14:textId="77777777" w:rsidR="00C25488" w:rsidRPr="00010A77" w:rsidRDefault="00C25488" w:rsidP="00992FAB">
      <w:pPr>
        <w:pStyle w:val="ListParagraph"/>
        <w:numPr>
          <w:ilvl w:val="1"/>
          <w:numId w:val="7"/>
        </w:numPr>
      </w:pPr>
      <w:r w:rsidRPr="00010A77">
        <w:t xml:space="preserve">for ocular use </w:t>
      </w:r>
      <w:r w:rsidRPr="00010A77">
        <w:rPr>
          <w:strike/>
          <w:color w:val="FF0000"/>
        </w:rPr>
        <w:t>only</w:t>
      </w:r>
      <w:r w:rsidRPr="00010A77">
        <w:t xml:space="preserve">; </w:t>
      </w:r>
      <w:r w:rsidRPr="00010A77">
        <w:rPr>
          <w:color w:val="00B050"/>
          <w:u w:val="single"/>
        </w:rPr>
        <w:t>or</w:t>
      </w:r>
    </w:p>
    <w:p w14:paraId="416EC1F7" w14:textId="6B0B4B4D" w:rsidR="00C25488" w:rsidRPr="00706970" w:rsidRDefault="00C25488" w:rsidP="00992FAB">
      <w:pPr>
        <w:pStyle w:val="ListParagraph"/>
        <w:numPr>
          <w:ilvl w:val="1"/>
          <w:numId w:val="7"/>
        </w:numPr>
      </w:pPr>
      <w:r w:rsidRPr="00286C53">
        <w:rPr>
          <w:color w:val="00B050"/>
          <w:u w:val="single"/>
        </w:rPr>
        <w:t>to treat superficial skin infections</w:t>
      </w:r>
      <w:r w:rsidRPr="00010A77">
        <w:t>; or</w:t>
      </w:r>
    </w:p>
    <w:p w14:paraId="5113FEEA" w14:textId="3FE7CDA4" w:rsidR="00C25488" w:rsidRPr="009A01FB" w:rsidRDefault="00C25488" w:rsidP="001A06A9">
      <w:pPr>
        <w:pStyle w:val="ListBulleta"/>
      </w:pPr>
      <w:r w:rsidRPr="009A01FB">
        <w:t>containing 40% or less of oxytetracycline per dose, when packed and labelled for the treatment of ornamental caged birds or ornamental fish only.</w:t>
      </w:r>
    </w:p>
    <w:p w14:paraId="07273D37" w14:textId="77777777" w:rsidR="00C25488" w:rsidRPr="00D149A2" w:rsidRDefault="00C25488" w:rsidP="00C25488">
      <w:pPr>
        <w:ind w:left="426"/>
        <w:rPr>
          <w:rFonts w:cs="Arial"/>
          <w:b/>
        </w:rPr>
      </w:pPr>
      <w:r w:rsidRPr="00D149A2">
        <w:rPr>
          <w:rFonts w:cs="Arial"/>
          <w:b/>
        </w:rPr>
        <w:t xml:space="preserve">Schedule </w:t>
      </w:r>
      <w:r>
        <w:rPr>
          <w:rFonts w:cs="Arial"/>
          <w:b/>
        </w:rPr>
        <w:t>4</w:t>
      </w:r>
    </w:p>
    <w:p w14:paraId="0764112B" w14:textId="77777777" w:rsidR="00C25488" w:rsidRDefault="00C25488" w:rsidP="00EC6947">
      <w:pPr>
        <w:ind w:left="426" w:firstLine="294"/>
        <w:rPr>
          <w:rFonts w:cs="Arial"/>
        </w:rPr>
      </w:pPr>
      <w:r>
        <w:rPr>
          <w:rFonts w:cs="Arial"/>
        </w:rPr>
        <w:t xml:space="preserve">OXYTETRACYCLINE </w:t>
      </w:r>
      <w:r w:rsidRPr="009A01FB">
        <w:rPr>
          <w:rFonts w:cs="Arial"/>
          <w:b/>
          <w:bCs/>
        </w:rPr>
        <w:t>except</w:t>
      </w:r>
      <w:r w:rsidRPr="009A01FB">
        <w:rPr>
          <w:rFonts w:cs="Arial"/>
        </w:rPr>
        <w:t> when included in Schedule 5.</w:t>
      </w:r>
    </w:p>
    <w:p w14:paraId="24F35C37" w14:textId="77777777" w:rsidR="00C25488" w:rsidRPr="00D149A2" w:rsidRDefault="00C25488" w:rsidP="00C25488">
      <w:pPr>
        <w:ind w:left="426"/>
        <w:rPr>
          <w:rFonts w:cs="Arial"/>
          <w:b/>
        </w:rPr>
      </w:pPr>
      <w:r w:rsidRPr="009A01FB">
        <w:rPr>
          <w:rFonts w:cs="Arial"/>
          <w:b/>
        </w:rPr>
        <w:t xml:space="preserve">Index </w:t>
      </w:r>
    </w:p>
    <w:p w14:paraId="2725694C" w14:textId="77777777" w:rsidR="00C25488" w:rsidRPr="009A01FB" w:rsidRDefault="00C25488" w:rsidP="00EC6947">
      <w:pPr>
        <w:ind w:left="426" w:firstLine="294"/>
        <w:rPr>
          <w:rFonts w:cs="Arial"/>
        </w:rPr>
      </w:pPr>
      <w:r w:rsidRPr="009A01FB">
        <w:rPr>
          <w:rFonts w:cs="Arial"/>
          <w:b/>
          <w:bCs/>
        </w:rPr>
        <w:t>OXYTETRACYCLINE</w:t>
      </w:r>
    </w:p>
    <w:p w14:paraId="61454EBE" w14:textId="77777777" w:rsidR="00C25488" w:rsidRPr="00D149A2" w:rsidRDefault="00C25488" w:rsidP="00EC6947">
      <w:pPr>
        <w:ind w:left="720"/>
        <w:rPr>
          <w:rFonts w:cs="Arial"/>
        </w:rPr>
      </w:pPr>
      <w:r w:rsidRPr="009A01FB">
        <w:rPr>
          <w:rFonts w:cs="Arial"/>
        </w:rPr>
        <w:t>Schedule 5</w:t>
      </w:r>
      <w:r w:rsidRPr="009A01FB">
        <w:rPr>
          <w:rFonts w:cs="Arial"/>
        </w:rPr>
        <w:br/>
        <w:t>Schedule 4</w:t>
      </w:r>
    </w:p>
    <w:p w14:paraId="3AEAA976" w14:textId="77777777" w:rsidR="00C25488" w:rsidRPr="00D149A2" w:rsidRDefault="00C25488" w:rsidP="008C549F">
      <w:pPr>
        <w:pStyle w:val="Heading4"/>
      </w:pPr>
      <w:bookmarkStart w:id="94" w:name="_Toc155176405"/>
      <w:r w:rsidRPr="00D149A2">
        <w:lastRenderedPageBreak/>
        <w:t>Background</w:t>
      </w:r>
      <w:bookmarkEnd w:id="94"/>
    </w:p>
    <w:p w14:paraId="5773F6EC" w14:textId="30D23192" w:rsidR="00C25488" w:rsidRPr="00AA45B2" w:rsidRDefault="00C25488" w:rsidP="00C25488">
      <w:pPr>
        <w:rPr>
          <w:rFonts w:cs="Arial"/>
        </w:rPr>
      </w:pPr>
      <w:r w:rsidRPr="00AA45B2">
        <w:rPr>
          <w:rFonts w:cs="Arial"/>
        </w:rPr>
        <w:t xml:space="preserve">Oxytetracycline is a broad-spectrum antibiotic that belongs to the tetracycline drug class. </w:t>
      </w:r>
      <w:r w:rsidR="00AA45B2" w:rsidRPr="00AA45B2">
        <w:rPr>
          <w:rFonts w:cs="Arial"/>
        </w:rPr>
        <w:t>The substance can be used for the treatment of bacterial infections in humans</w:t>
      </w:r>
      <w:r w:rsidR="002B50B0">
        <w:rPr>
          <w:rFonts w:cs="Arial"/>
        </w:rPr>
        <w:t>.</w:t>
      </w:r>
      <w:r w:rsidR="00AA45B2" w:rsidRPr="00AA45B2">
        <w:rPr>
          <w:rFonts w:cs="Arial"/>
        </w:rPr>
        <w:t xml:space="preserve"> </w:t>
      </w:r>
      <w:r w:rsidR="002B50B0">
        <w:rPr>
          <w:rFonts w:cs="Arial"/>
        </w:rPr>
        <w:t>H</w:t>
      </w:r>
      <w:r w:rsidR="00AA45B2" w:rsidRPr="00AA45B2">
        <w:rPr>
          <w:rFonts w:cs="Arial"/>
        </w:rPr>
        <w:t>owever</w:t>
      </w:r>
      <w:r w:rsidR="002B50B0">
        <w:rPr>
          <w:rFonts w:cs="Arial"/>
        </w:rPr>
        <w:t>,</w:t>
      </w:r>
      <w:r w:rsidR="00AA45B2" w:rsidRPr="00AA45B2">
        <w:rPr>
          <w:rFonts w:cs="Arial"/>
        </w:rPr>
        <w:t xml:space="preserve"> in Australia use of oxytetracycline is currently limited to veterinary settings. The application seeks to make topical preparations of oxytetracycline for veterinary use available without requiring a prescription.</w:t>
      </w:r>
    </w:p>
    <w:p w14:paraId="7538B189" w14:textId="296707DC" w:rsidR="00C25488" w:rsidRDefault="00C25488" w:rsidP="008C549F">
      <w:pPr>
        <w:pStyle w:val="Heading4"/>
      </w:pPr>
      <w:bookmarkStart w:id="95" w:name="_Toc155176406"/>
      <w:r w:rsidRPr="00D149A2">
        <w:t>Summary of applicant’s reasons for the proposal</w:t>
      </w:r>
      <w:bookmarkEnd w:id="95"/>
    </w:p>
    <w:p w14:paraId="15D4AEE1" w14:textId="77777777" w:rsidR="00290F88" w:rsidRPr="0013214C" w:rsidRDefault="00290F88" w:rsidP="00082D97">
      <w:pPr>
        <w:pStyle w:val="ListBullet"/>
      </w:pPr>
      <w:r w:rsidRPr="0013214C">
        <w:t>Oxytetracycline is a broad-spectrum bacteriostatic antibiotic that is effective against a wide range of Gram-positive and Gram-negative bacteria. Direct access to oxytetracycline benefits farmers when they do not have veterinarian access and could serve as a first line defence against superficial infections.</w:t>
      </w:r>
    </w:p>
    <w:p w14:paraId="1B459F0B" w14:textId="7EF31441" w:rsidR="00290F88" w:rsidRPr="0013214C" w:rsidRDefault="00290F88" w:rsidP="00082D97">
      <w:pPr>
        <w:pStyle w:val="ListBullet"/>
      </w:pPr>
      <w:r w:rsidRPr="0013214C">
        <w:t>Topical veterinary applications of oxytetracycline are used in the treatment of foot rot in sheep, digital dermatitis in cattle and superficial skin infections caused by oxytetracycline sensitive organisms in pigs,</w:t>
      </w:r>
      <w:r w:rsidR="0013214C" w:rsidRPr="0013214C">
        <w:t xml:space="preserve"> </w:t>
      </w:r>
      <w:r w:rsidRPr="0013214C">
        <w:t>sheep and cattle.</w:t>
      </w:r>
    </w:p>
    <w:p w14:paraId="58F33067" w14:textId="0AC47FA4" w:rsidR="00290F88" w:rsidRPr="0013214C" w:rsidRDefault="0013214C" w:rsidP="00082D97">
      <w:pPr>
        <w:pStyle w:val="ListBullet"/>
      </w:pPr>
      <w:r w:rsidRPr="0013214C">
        <w:t>Topical o</w:t>
      </w:r>
      <w:r w:rsidR="00290F88" w:rsidRPr="0013214C">
        <w:t>xytetracycline absorption is negligible and the drug acts via direct contact with bacteria on the skin and in superficial lesions on external body surfaces.</w:t>
      </w:r>
    </w:p>
    <w:p w14:paraId="0494BD3B" w14:textId="2F6162A3" w:rsidR="00290F88" w:rsidRPr="0013214C" w:rsidRDefault="00290F88" w:rsidP="00082D97">
      <w:pPr>
        <w:pStyle w:val="ListBullet"/>
      </w:pPr>
      <w:r w:rsidRPr="0013214C">
        <w:t>Topical oxytetracycline formulations can achieve a nil meat and milk withhold.</w:t>
      </w:r>
    </w:p>
    <w:p w14:paraId="592C43CB" w14:textId="4611D990" w:rsidR="00290F88" w:rsidRPr="0013214C" w:rsidRDefault="00290F88" w:rsidP="00082D97">
      <w:pPr>
        <w:pStyle w:val="ListBullet"/>
      </w:pPr>
      <w:r w:rsidRPr="0013214C">
        <w:t>Oxytetracycline is not considered to present a significant risk in the development of antimicrobial resistance in the treatment of infections in humans. Oxytetracycline are used in human therapeutics and are classed as antibiotics of low importance.</w:t>
      </w:r>
    </w:p>
    <w:p w14:paraId="1231A7E7" w14:textId="35D434B1" w:rsidR="00290F88" w:rsidRPr="0013214C" w:rsidRDefault="00290F88" w:rsidP="00082D97">
      <w:pPr>
        <w:pStyle w:val="ListBullet"/>
      </w:pPr>
      <w:r w:rsidRPr="0013214C">
        <w:t>Allergic reactions to any residues of oxytetracycline are not expected to occur.</w:t>
      </w:r>
    </w:p>
    <w:p w14:paraId="0598B188" w14:textId="28F639CD" w:rsidR="00290F88" w:rsidRPr="0013214C" w:rsidRDefault="00290F88" w:rsidP="00082D97">
      <w:pPr>
        <w:pStyle w:val="ListBullet"/>
      </w:pPr>
      <w:r w:rsidRPr="0013214C">
        <w:t>The toxicity, teratogenicity and carcinogenicity of topical formulations are deemed low to no risk.</w:t>
      </w:r>
    </w:p>
    <w:p w14:paraId="6304ACED" w14:textId="045709F7" w:rsidR="00C25488" w:rsidRPr="00D149A2" w:rsidRDefault="00C25488" w:rsidP="008C549F">
      <w:pPr>
        <w:pStyle w:val="Heading4"/>
      </w:pPr>
      <w:bookmarkStart w:id="96" w:name="_Toc155176407"/>
      <w:r w:rsidRPr="00D149A2">
        <w:t>Key uses / expected use</w:t>
      </w:r>
      <w:bookmarkEnd w:id="96"/>
    </w:p>
    <w:p w14:paraId="456AF6EF" w14:textId="13E3164C" w:rsidR="00C25488" w:rsidRPr="00D149A2" w:rsidRDefault="00C25488" w:rsidP="00C25488">
      <w:pPr>
        <w:rPr>
          <w:rFonts w:cs="Arial"/>
        </w:rPr>
      </w:pPr>
      <w:r w:rsidRPr="00AA45B2">
        <w:rPr>
          <w:rFonts w:cs="Arial"/>
        </w:rPr>
        <w:t>Medicines, veterinary</w:t>
      </w:r>
      <w:r w:rsidR="00AA45B2" w:rsidRPr="00AA45B2">
        <w:rPr>
          <w:rFonts w:cs="Arial"/>
        </w:rPr>
        <w:t xml:space="preserve"> medicines</w:t>
      </w:r>
      <w:r w:rsidRPr="00D149A2">
        <w:rPr>
          <w:rFonts w:cs="Arial"/>
          <w:highlight w:val="green"/>
        </w:rPr>
        <w:t xml:space="preserve"> </w:t>
      </w:r>
    </w:p>
    <w:p w14:paraId="33900BD0" w14:textId="77777777" w:rsidR="00C25488" w:rsidRPr="00D149A2" w:rsidRDefault="00C25488" w:rsidP="008C549F">
      <w:pPr>
        <w:pStyle w:val="Heading4"/>
      </w:pPr>
      <w:bookmarkStart w:id="97" w:name="_Toc155176408"/>
      <w:r w:rsidRPr="00D149A2">
        <w:t>Australian regulations</w:t>
      </w:r>
      <w:bookmarkEnd w:id="97"/>
    </w:p>
    <w:p w14:paraId="7B750BA6" w14:textId="27CCF563" w:rsidR="00C25488" w:rsidRPr="00D149A2" w:rsidRDefault="00AB22F5" w:rsidP="00082D97">
      <w:pPr>
        <w:pStyle w:val="ListBullet"/>
      </w:pPr>
      <w:bookmarkStart w:id="98" w:name="_Hlk153793867"/>
      <w:r>
        <w:t>Oxytetracycline is not listed on the</w:t>
      </w:r>
      <w:r w:rsidR="00C25488">
        <w:t xml:space="preserve"> </w:t>
      </w:r>
      <w:hyperlink r:id="rId97">
        <w:r w:rsidR="00C25488" w:rsidRPr="03530AF1">
          <w:rPr>
            <w:rStyle w:val="Hyperlink"/>
          </w:rPr>
          <w:t>TGA Ingredient Database</w:t>
        </w:r>
      </w:hyperlink>
      <w:r>
        <w:t>.</w:t>
      </w:r>
    </w:p>
    <w:bookmarkEnd w:id="98"/>
    <w:p w14:paraId="544CD0D2" w14:textId="10BB693F" w:rsidR="00C25488" w:rsidRPr="00D149A2" w:rsidRDefault="00C25488" w:rsidP="00082D97">
      <w:pPr>
        <w:pStyle w:val="ListBullet"/>
      </w:pPr>
      <w:r w:rsidRPr="00D149A2">
        <w:t xml:space="preserve">As of </w:t>
      </w:r>
      <w:r w:rsidR="00E1576E" w:rsidRPr="00AB22F5">
        <w:t>15</w:t>
      </w:r>
      <w:r w:rsidRPr="00AB22F5">
        <w:t xml:space="preserve"> </w:t>
      </w:r>
      <w:r w:rsidR="00E1576E" w:rsidRPr="00AB22F5">
        <w:t>December</w:t>
      </w:r>
      <w:r w:rsidRPr="00AB22F5">
        <w:t xml:space="preserve"> 20</w:t>
      </w:r>
      <w:r w:rsidR="00E1576E" w:rsidRPr="00AB22F5">
        <w:t>23</w:t>
      </w:r>
      <w:r w:rsidRPr="00AB22F5">
        <w:t>,</w:t>
      </w:r>
      <w:r w:rsidRPr="00D149A2">
        <w:t xml:space="preserve"> there were</w:t>
      </w:r>
      <w:r w:rsidR="00E1576E">
        <w:t xml:space="preserve"> </w:t>
      </w:r>
      <w:r w:rsidR="002B50B0">
        <w:t>no</w:t>
      </w:r>
      <w:r w:rsidRPr="00D149A2">
        <w:t xml:space="preserve"> medicines active on the </w:t>
      </w:r>
      <w:hyperlink r:id="rId98">
        <w:r w:rsidRPr="03530AF1">
          <w:rPr>
            <w:rStyle w:val="Hyperlink"/>
          </w:rPr>
          <w:t>Australian Register of Therapeutic Goods (ARTG)</w:t>
        </w:r>
      </w:hyperlink>
      <w:r w:rsidRPr="00D149A2">
        <w:t xml:space="preserve"> that contain </w:t>
      </w:r>
      <w:r w:rsidR="00AB22F5">
        <w:t>oxytetracycline</w:t>
      </w:r>
      <w:r w:rsidRPr="00D149A2">
        <w:t xml:space="preserve"> as an active ingredient.</w:t>
      </w:r>
    </w:p>
    <w:p w14:paraId="5729BDF6" w14:textId="0A98532C" w:rsidR="00C25488" w:rsidRPr="00D149A2" w:rsidRDefault="00AB22F5" w:rsidP="00082D97">
      <w:pPr>
        <w:pStyle w:val="ListBullet"/>
      </w:pPr>
      <w:r>
        <w:t xml:space="preserve">Oxytetracycline </w:t>
      </w:r>
      <w:r w:rsidR="00C25488">
        <w:t xml:space="preserve">is not permitted to be included in listed medicines as it is not included in the </w:t>
      </w:r>
      <w:hyperlink r:id="rId99">
        <w:r w:rsidR="00C25488" w:rsidRPr="03530AF1">
          <w:rPr>
            <w:rStyle w:val="Hyperlink"/>
          </w:rPr>
          <w:t>Therapeutic Goods (Permissible Ingredients) Determination</w:t>
        </w:r>
      </w:hyperlink>
      <w:r w:rsidR="00C25488">
        <w:t xml:space="preserve"> No.</w:t>
      </w:r>
      <w:r>
        <w:t>4</w:t>
      </w:r>
      <w:r w:rsidR="00C25488">
        <w:t xml:space="preserve"> of 20</w:t>
      </w:r>
      <w:r>
        <w:t>23</w:t>
      </w:r>
      <w:r w:rsidR="00C25488">
        <w:t>.</w:t>
      </w:r>
    </w:p>
    <w:p w14:paraId="47F9EF52" w14:textId="4109D175" w:rsidR="00C25488" w:rsidRDefault="00C25488" w:rsidP="00082D97">
      <w:pPr>
        <w:pStyle w:val="ListBullet"/>
      </w:pPr>
      <w:r>
        <w:t xml:space="preserve">The </w:t>
      </w:r>
      <w:hyperlink r:id="rId100">
        <w:r w:rsidRPr="03530AF1">
          <w:rPr>
            <w:rStyle w:val="Hyperlink"/>
          </w:rPr>
          <w:t>TGA prescribing medicines in pregnancy database</w:t>
        </w:r>
      </w:hyperlink>
      <w:r>
        <w:t xml:space="preserve"> classifies </w:t>
      </w:r>
      <w:r w:rsidR="00A2130C">
        <w:t>oxytetracycline</w:t>
      </w:r>
      <w:r>
        <w:t xml:space="preserve"> as:</w:t>
      </w:r>
    </w:p>
    <w:tbl>
      <w:tblPr>
        <w:tblStyle w:val="TableTGAblue"/>
        <w:tblW w:w="9062" w:type="dxa"/>
        <w:tblLook w:val="04A0" w:firstRow="1" w:lastRow="0" w:firstColumn="1" w:lastColumn="0" w:noHBand="0" w:noVBand="1"/>
      </w:tblPr>
      <w:tblGrid>
        <w:gridCol w:w="1680"/>
        <w:gridCol w:w="1145"/>
        <w:gridCol w:w="2079"/>
        <w:gridCol w:w="2079"/>
        <w:gridCol w:w="2079"/>
      </w:tblGrid>
      <w:tr w:rsidR="00617BD6" w:rsidRPr="002264A8" w14:paraId="5AAD9DDD" w14:textId="77777777" w:rsidTr="006173B3">
        <w:trPr>
          <w:cnfStyle w:val="100000000000" w:firstRow="1" w:lastRow="0" w:firstColumn="0" w:lastColumn="0" w:oddVBand="0" w:evenVBand="0" w:oddHBand="0" w:evenHBand="0" w:firstRowFirstColumn="0" w:firstRowLastColumn="0" w:lastRowFirstColumn="0" w:lastRowLastColumn="0"/>
          <w:trHeight w:val="505"/>
        </w:trPr>
        <w:tc>
          <w:tcPr>
            <w:tcW w:w="1680" w:type="dxa"/>
          </w:tcPr>
          <w:p w14:paraId="48B5BC5C" w14:textId="77777777" w:rsidR="00617BD6" w:rsidRPr="002264A8" w:rsidRDefault="00617BD6" w:rsidP="006173B3">
            <w:pPr>
              <w:keepLines/>
              <w:spacing w:before="120" w:after="120" w:line="240" w:lineRule="auto"/>
              <w:rPr>
                <w:rFonts w:asciiTheme="minorHAnsi" w:hAnsiTheme="minorHAnsi" w:cstheme="minorHAnsi"/>
                <w:color w:val="FFFFFF" w:themeColor="background1"/>
                <w:sz w:val="20"/>
                <w:szCs w:val="20"/>
              </w:rPr>
            </w:pPr>
            <w:r w:rsidRPr="002264A8">
              <w:rPr>
                <w:rFonts w:asciiTheme="minorHAnsi" w:hAnsiTheme="minorHAnsi" w:cstheme="minorHAnsi"/>
                <w:color w:val="FFFFFF" w:themeColor="background1"/>
                <w:sz w:val="20"/>
                <w:szCs w:val="20"/>
              </w:rPr>
              <w:t>Drug name</w:t>
            </w:r>
          </w:p>
        </w:tc>
        <w:tc>
          <w:tcPr>
            <w:tcW w:w="1145" w:type="dxa"/>
          </w:tcPr>
          <w:p w14:paraId="7F07EB23" w14:textId="77777777" w:rsidR="00617BD6" w:rsidRPr="002264A8" w:rsidRDefault="00617BD6" w:rsidP="006173B3">
            <w:pPr>
              <w:keepLines/>
              <w:spacing w:before="120" w:after="120" w:line="240" w:lineRule="auto"/>
              <w:rPr>
                <w:rFonts w:asciiTheme="minorHAnsi" w:hAnsiTheme="minorHAnsi" w:cstheme="minorHAnsi"/>
                <w:color w:val="FFFFFF" w:themeColor="background1"/>
                <w:sz w:val="20"/>
                <w:szCs w:val="20"/>
              </w:rPr>
            </w:pPr>
            <w:r w:rsidRPr="002264A8">
              <w:rPr>
                <w:rFonts w:asciiTheme="minorHAnsi" w:hAnsiTheme="minorHAnsi" w:cstheme="minorHAnsi"/>
                <w:color w:val="FFFFFF" w:themeColor="background1"/>
                <w:sz w:val="20"/>
                <w:szCs w:val="20"/>
              </w:rPr>
              <w:t>Category</w:t>
            </w:r>
          </w:p>
        </w:tc>
        <w:tc>
          <w:tcPr>
            <w:tcW w:w="2079" w:type="dxa"/>
          </w:tcPr>
          <w:p w14:paraId="6DD4961F" w14:textId="77777777" w:rsidR="00617BD6" w:rsidRPr="002264A8" w:rsidRDefault="00617BD6" w:rsidP="006173B3">
            <w:pPr>
              <w:keepLines/>
              <w:spacing w:before="120" w:after="120" w:line="240" w:lineRule="auto"/>
              <w:rPr>
                <w:rFonts w:asciiTheme="minorHAnsi" w:hAnsiTheme="minorHAnsi" w:cstheme="minorHAnsi"/>
                <w:color w:val="FFFFFF" w:themeColor="background1"/>
                <w:sz w:val="20"/>
                <w:szCs w:val="20"/>
              </w:rPr>
            </w:pPr>
            <w:r w:rsidRPr="002264A8">
              <w:rPr>
                <w:rFonts w:asciiTheme="minorHAnsi" w:hAnsiTheme="minorHAnsi" w:cstheme="minorHAnsi"/>
                <w:color w:val="FFFFFF" w:themeColor="background1"/>
                <w:sz w:val="20"/>
                <w:szCs w:val="20"/>
              </w:rPr>
              <w:t>Classification Level 1</w:t>
            </w:r>
          </w:p>
        </w:tc>
        <w:tc>
          <w:tcPr>
            <w:tcW w:w="2079" w:type="dxa"/>
          </w:tcPr>
          <w:p w14:paraId="0F901F92" w14:textId="77777777" w:rsidR="00617BD6" w:rsidRPr="002264A8" w:rsidRDefault="00617BD6" w:rsidP="006173B3">
            <w:pPr>
              <w:keepLines/>
              <w:spacing w:before="120" w:after="120" w:line="240" w:lineRule="auto"/>
              <w:rPr>
                <w:rFonts w:asciiTheme="minorHAnsi" w:hAnsiTheme="minorHAnsi" w:cstheme="minorHAnsi"/>
                <w:color w:val="FFFFFF" w:themeColor="background1"/>
                <w:sz w:val="20"/>
                <w:szCs w:val="20"/>
              </w:rPr>
            </w:pPr>
            <w:r w:rsidRPr="002264A8">
              <w:rPr>
                <w:rFonts w:asciiTheme="minorHAnsi" w:hAnsiTheme="minorHAnsi" w:cstheme="minorHAnsi"/>
                <w:color w:val="FFFFFF" w:themeColor="background1"/>
                <w:sz w:val="20"/>
                <w:szCs w:val="20"/>
              </w:rPr>
              <w:t>Classification Level 2</w:t>
            </w:r>
          </w:p>
        </w:tc>
        <w:tc>
          <w:tcPr>
            <w:tcW w:w="2079" w:type="dxa"/>
          </w:tcPr>
          <w:p w14:paraId="2717E4B4" w14:textId="77777777" w:rsidR="00617BD6" w:rsidRPr="002264A8" w:rsidRDefault="00617BD6" w:rsidP="006173B3">
            <w:pPr>
              <w:keepLines/>
              <w:spacing w:before="120" w:after="120" w:line="240" w:lineRule="auto"/>
              <w:rPr>
                <w:rFonts w:asciiTheme="minorHAnsi" w:hAnsiTheme="minorHAnsi" w:cstheme="minorHAnsi"/>
                <w:color w:val="FFFFFF" w:themeColor="background1"/>
                <w:sz w:val="20"/>
                <w:szCs w:val="20"/>
              </w:rPr>
            </w:pPr>
            <w:r w:rsidRPr="002264A8">
              <w:rPr>
                <w:rFonts w:asciiTheme="minorHAnsi" w:hAnsiTheme="minorHAnsi" w:cstheme="minorHAnsi"/>
                <w:color w:val="FFFFFF" w:themeColor="background1"/>
                <w:sz w:val="20"/>
                <w:szCs w:val="20"/>
              </w:rPr>
              <w:t>Classification Level 3</w:t>
            </w:r>
          </w:p>
        </w:tc>
      </w:tr>
      <w:tr w:rsidR="00617BD6" w:rsidRPr="002264A8" w14:paraId="6B2D79B3" w14:textId="77777777" w:rsidTr="006173B3">
        <w:trPr>
          <w:trHeight w:val="300"/>
        </w:trPr>
        <w:tc>
          <w:tcPr>
            <w:tcW w:w="1680" w:type="dxa"/>
          </w:tcPr>
          <w:p w14:paraId="518E0445" w14:textId="5740E2C1" w:rsidR="00617BD6" w:rsidRPr="002264A8" w:rsidRDefault="00617BD6" w:rsidP="006173B3">
            <w:pPr>
              <w:spacing w:before="120" w:after="120" w:line="240" w:lineRule="auto"/>
              <w:rPr>
                <w:rFonts w:cstheme="minorHAnsi"/>
                <w:sz w:val="20"/>
                <w:szCs w:val="20"/>
              </w:rPr>
            </w:pPr>
            <w:r w:rsidRPr="002264A8">
              <w:rPr>
                <w:rFonts w:cstheme="minorHAnsi"/>
                <w:sz w:val="20"/>
                <w:szCs w:val="20"/>
              </w:rPr>
              <w:t>Oxytetracycline</w:t>
            </w:r>
          </w:p>
        </w:tc>
        <w:tc>
          <w:tcPr>
            <w:tcW w:w="1145" w:type="dxa"/>
          </w:tcPr>
          <w:p w14:paraId="5046B4DD" w14:textId="3580ED21" w:rsidR="00617BD6" w:rsidRPr="002264A8" w:rsidRDefault="00617BD6" w:rsidP="006173B3">
            <w:pPr>
              <w:spacing w:before="120" w:after="120" w:line="240" w:lineRule="auto"/>
              <w:rPr>
                <w:rFonts w:cstheme="minorHAnsi"/>
                <w:sz w:val="20"/>
                <w:szCs w:val="20"/>
              </w:rPr>
            </w:pPr>
            <w:r w:rsidRPr="002264A8">
              <w:rPr>
                <w:rFonts w:cstheme="minorHAnsi"/>
                <w:sz w:val="20"/>
                <w:szCs w:val="20"/>
              </w:rPr>
              <w:t>D</w:t>
            </w:r>
          </w:p>
        </w:tc>
        <w:tc>
          <w:tcPr>
            <w:tcW w:w="2079" w:type="dxa"/>
          </w:tcPr>
          <w:p w14:paraId="43956E68" w14:textId="30ECB609" w:rsidR="00617BD6" w:rsidRPr="002264A8" w:rsidRDefault="00617BD6" w:rsidP="006173B3">
            <w:pPr>
              <w:spacing w:before="120" w:after="120" w:line="240" w:lineRule="auto"/>
              <w:rPr>
                <w:rFonts w:cstheme="minorHAnsi"/>
                <w:sz w:val="20"/>
                <w:szCs w:val="20"/>
              </w:rPr>
            </w:pPr>
            <w:r w:rsidRPr="002264A8">
              <w:rPr>
                <w:rFonts w:cstheme="minorHAnsi"/>
                <w:sz w:val="20"/>
                <w:szCs w:val="20"/>
              </w:rPr>
              <w:t>Antimicrobials</w:t>
            </w:r>
          </w:p>
        </w:tc>
        <w:tc>
          <w:tcPr>
            <w:tcW w:w="2079" w:type="dxa"/>
          </w:tcPr>
          <w:p w14:paraId="56B969BE" w14:textId="1EFB4638" w:rsidR="00617BD6" w:rsidRPr="002264A8" w:rsidRDefault="00617BD6" w:rsidP="006173B3">
            <w:pPr>
              <w:spacing w:before="120" w:after="120" w:line="240" w:lineRule="auto"/>
              <w:rPr>
                <w:rFonts w:cstheme="minorHAnsi"/>
                <w:sz w:val="20"/>
                <w:szCs w:val="20"/>
              </w:rPr>
            </w:pPr>
            <w:r w:rsidRPr="002264A8">
              <w:rPr>
                <w:rFonts w:cstheme="minorHAnsi"/>
                <w:sz w:val="20"/>
                <w:szCs w:val="20"/>
              </w:rPr>
              <w:t>Antibiotics</w:t>
            </w:r>
          </w:p>
        </w:tc>
        <w:tc>
          <w:tcPr>
            <w:tcW w:w="2079" w:type="dxa"/>
          </w:tcPr>
          <w:p w14:paraId="221A6F53" w14:textId="5297DE9A" w:rsidR="00617BD6" w:rsidRPr="002264A8" w:rsidRDefault="00617BD6" w:rsidP="006173B3">
            <w:pPr>
              <w:spacing w:before="120" w:after="120" w:line="240" w:lineRule="auto"/>
              <w:rPr>
                <w:rFonts w:cstheme="minorHAnsi"/>
                <w:sz w:val="20"/>
                <w:szCs w:val="20"/>
              </w:rPr>
            </w:pPr>
            <w:r w:rsidRPr="002264A8">
              <w:rPr>
                <w:rFonts w:cstheme="minorHAnsi"/>
                <w:sz w:val="20"/>
                <w:szCs w:val="20"/>
              </w:rPr>
              <w:t>Tetracyclines</w:t>
            </w:r>
          </w:p>
        </w:tc>
      </w:tr>
      <w:tr w:rsidR="00617BD6" w:rsidRPr="00D8009F" w14:paraId="50A8C58B" w14:textId="77777777" w:rsidTr="006173B3">
        <w:tc>
          <w:tcPr>
            <w:tcW w:w="9062" w:type="dxa"/>
            <w:gridSpan w:val="5"/>
          </w:tcPr>
          <w:p w14:paraId="13AF8C5F" w14:textId="489AEAA3" w:rsidR="00617BD6" w:rsidRPr="00D8009F" w:rsidRDefault="00617BD6" w:rsidP="006173B3">
            <w:pPr>
              <w:keepNext/>
              <w:keepLines/>
              <w:spacing w:before="120" w:after="120" w:line="240" w:lineRule="auto"/>
              <w:rPr>
                <w:rFonts w:cstheme="minorHAnsi"/>
                <w:sz w:val="16"/>
                <w:szCs w:val="16"/>
              </w:rPr>
            </w:pPr>
            <w:r w:rsidRPr="00D8009F">
              <w:rPr>
                <w:rFonts w:cstheme="minorHAnsi"/>
                <w:b/>
                <w:sz w:val="16"/>
                <w:szCs w:val="16"/>
              </w:rPr>
              <w:t>Category D</w:t>
            </w:r>
            <w:r w:rsidRPr="00D8009F">
              <w:rPr>
                <w:rFonts w:cstheme="minorHAnsi"/>
                <w:sz w:val="16"/>
                <w:szCs w:val="16"/>
              </w:rPr>
              <w:t xml:space="preserve"> – Drugs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tc>
      </w:tr>
    </w:tbl>
    <w:p w14:paraId="46CCFC38" w14:textId="16AD271D" w:rsidR="00C25488" w:rsidRPr="00D149A2" w:rsidRDefault="00C25488" w:rsidP="00082D97">
      <w:pPr>
        <w:pStyle w:val="ListBullet"/>
      </w:pPr>
      <w:r w:rsidRPr="00D149A2">
        <w:t>The</w:t>
      </w:r>
      <w:r w:rsidR="00617BD6">
        <w:t xml:space="preserve"> are no warning statements pertaining to oxytetracycline in the </w:t>
      </w:r>
      <w:hyperlink r:id="rId101">
        <w:r w:rsidRPr="03530AF1">
          <w:rPr>
            <w:rStyle w:val="Hyperlink"/>
          </w:rPr>
          <w:t>Therapeutic Goods (Medicines Advisory Statements) Specification 2021</w:t>
        </w:r>
      </w:hyperlink>
      <w:r w:rsidR="002B50B0" w:rsidRPr="002B50B0">
        <w:rPr>
          <w:rStyle w:val="Hyperlink"/>
          <w:color w:val="auto"/>
          <w:u w:val="none"/>
        </w:rPr>
        <w:t>.</w:t>
      </w:r>
    </w:p>
    <w:p w14:paraId="40F4D379" w14:textId="1809A02C" w:rsidR="00C25488" w:rsidRPr="00D149A2" w:rsidRDefault="00C25488" w:rsidP="00082D97">
      <w:pPr>
        <w:pStyle w:val="ListBullet"/>
      </w:pPr>
      <w:r w:rsidRPr="00D149A2">
        <w:t xml:space="preserve">As of </w:t>
      </w:r>
      <w:r w:rsidR="00526B5E">
        <w:t>December 2023</w:t>
      </w:r>
      <w:r w:rsidRPr="00D149A2">
        <w:t xml:space="preserve">, there were </w:t>
      </w:r>
      <w:r w:rsidR="00526B5E">
        <w:t>17</w:t>
      </w:r>
      <w:r w:rsidRPr="00D149A2">
        <w:t xml:space="preserve"> reports of adverse events for products containing </w:t>
      </w:r>
      <w:r w:rsidR="00526B5E">
        <w:t>oxytetracycline</w:t>
      </w:r>
      <w:r w:rsidRPr="00D149A2">
        <w:t xml:space="preserve"> as an active ingredient on the </w:t>
      </w:r>
      <w:hyperlink r:id="rId102">
        <w:r w:rsidRPr="03530AF1">
          <w:rPr>
            <w:rStyle w:val="Hyperlink"/>
          </w:rPr>
          <w:t>Database of Adverse Event Notifications (DAEN)</w:t>
        </w:r>
      </w:hyperlink>
      <w:r w:rsidRPr="00D149A2">
        <w:t xml:space="preserve">, </w:t>
      </w:r>
      <w:r w:rsidRPr="00D149A2">
        <w:lastRenderedPageBreak/>
        <w:t xml:space="preserve">with </w:t>
      </w:r>
      <w:r w:rsidR="00526B5E">
        <w:t>13</w:t>
      </w:r>
      <w:r w:rsidRPr="00D149A2">
        <w:t xml:space="preserve"> reports where </w:t>
      </w:r>
      <w:r w:rsidR="00526B5E">
        <w:t>oxytetracycline</w:t>
      </w:r>
      <w:r w:rsidRPr="00D149A2">
        <w:t xml:space="preserve"> was the single suspected medicine. There were </w:t>
      </w:r>
      <w:r w:rsidRPr="00526B5E">
        <w:t>no</w:t>
      </w:r>
      <w:r w:rsidR="00526B5E" w:rsidRPr="00526B5E">
        <w:t xml:space="preserve"> </w:t>
      </w:r>
      <w:r w:rsidRPr="00526B5E">
        <w:t xml:space="preserve">reports of deaths associated with </w:t>
      </w:r>
      <w:r w:rsidR="00526B5E" w:rsidRPr="00526B5E">
        <w:t>oxytetracycline</w:t>
      </w:r>
      <w:r w:rsidRPr="00526B5E">
        <w:t xml:space="preserve"> use</w:t>
      </w:r>
      <w:r w:rsidR="00526B5E" w:rsidRPr="00526B5E">
        <w:t>.</w:t>
      </w:r>
    </w:p>
    <w:p w14:paraId="047909FE" w14:textId="00C15A73" w:rsidR="00C25488" w:rsidRPr="00D149A2" w:rsidRDefault="00C25488" w:rsidP="00082D97">
      <w:pPr>
        <w:pStyle w:val="ListBullet"/>
      </w:pPr>
      <w:r w:rsidRPr="00D149A2">
        <w:t xml:space="preserve">As of </w:t>
      </w:r>
      <w:r w:rsidR="00526B5E">
        <w:t>December 2023</w:t>
      </w:r>
      <w:r w:rsidRPr="00D149A2">
        <w:t xml:space="preserve">, there were </w:t>
      </w:r>
      <w:r w:rsidR="00526B5E">
        <w:t>73</w:t>
      </w:r>
      <w:r w:rsidRPr="00D149A2">
        <w:t xml:space="preserve"> products containing </w:t>
      </w:r>
      <w:r w:rsidR="00526B5E">
        <w:t>oxytetracycline</w:t>
      </w:r>
      <w:r w:rsidRPr="00D149A2">
        <w:t xml:space="preserve"> as an active ingredient/constituent or scheduled substance listed on the </w:t>
      </w:r>
      <w:hyperlink r:id="rId103">
        <w:r w:rsidRPr="03530AF1">
          <w:rPr>
            <w:rStyle w:val="Hyperlink"/>
          </w:rPr>
          <w:t>Public Chemical Registration Information System Search (PubCRIS)</w:t>
        </w:r>
      </w:hyperlink>
      <w:r w:rsidRPr="00D149A2">
        <w:t>.</w:t>
      </w:r>
    </w:p>
    <w:p w14:paraId="02189ED4" w14:textId="14B7A8F9" w:rsidR="00C25488" w:rsidRPr="00D149A2" w:rsidRDefault="00C25488" w:rsidP="00082D97">
      <w:pPr>
        <w:pStyle w:val="ListBullet"/>
      </w:pPr>
      <w:r w:rsidRPr="00D149A2">
        <w:t xml:space="preserve">In </w:t>
      </w:r>
      <w:r w:rsidR="00082D97">
        <w:t>2010-2020</w:t>
      </w:r>
      <w:r w:rsidRPr="00D149A2">
        <w:t xml:space="preserve"> the following adverse experiences were recorded for </w:t>
      </w:r>
      <w:r w:rsidR="00307D58">
        <w:t>oxytetracycline</w:t>
      </w:r>
      <w:r w:rsidRPr="00D149A2">
        <w:t xml:space="preserve"> in the </w:t>
      </w:r>
      <w:hyperlink r:id="rId104" w:history="1">
        <w:r w:rsidRPr="00D149A2">
          <w:rPr>
            <w:rStyle w:val="Hyperlink"/>
          </w:rPr>
          <w:t>APVMA Adverse Experience Reporting Program</w:t>
        </w:r>
      </w:hyperlink>
      <w:r w:rsidRPr="00D149A2">
        <w:rPr>
          <w:rStyle w:val="Hyperlink"/>
        </w:rPr>
        <w:t xml:space="preserve"> database (AERP)</w:t>
      </w:r>
      <w:r w:rsidRPr="002B50B0">
        <w:rPr>
          <w:rStyle w:val="Hyperlink"/>
          <w:color w:val="auto"/>
          <w:u w:val="none"/>
        </w:rPr>
        <w:t>:</w:t>
      </w:r>
    </w:p>
    <w:p w14:paraId="7C0FB7D7" w14:textId="11530995" w:rsidR="00307D58" w:rsidRPr="007D1FF8" w:rsidRDefault="00307D58" w:rsidP="00C25488">
      <w:pPr>
        <w:pStyle w:val="ListBullet2"/>
        <w:rPr>
          <w:rFonts w:cs="Arial"/>
        </w:rPr>
      </w:pPr>
      <w:r w:rsidRPr="007D1FF8">
        <w:rPr>
          <w:rFonts w:cs="Arial"/>
        </w:rPr>
        <w:t>2</w:t>
      </w:r>
      <w:r w:rsidR="00C25488" w:rsidRPr="007D1FF8">
        <w:rPr>
          <w:rFonts w:cs="Arial"/>
        </w:rPr>
        <w:t xml:space="preserve"> report</w:t>
      </w:r>
      <w:r w:rsidRPr="007D1FF8">
        <w:rPr>
          <w:rFonts w:cs="Arial"/>
        </w:rPr>
        <w:t>s</w:t>
      </w:r>
      <w:r w:rsidR="00C25488" w:rsidRPr="007D1FF8">
        <w:rPr>
          <w:rFonts w:cs="Arial"/>
        </w:rPr>
        <w:t xml:space="preserve"> of serious inciden</w:t>
      </w:r>
      <w:r w:rsidR="00D8009F" w:rsidRPr="007D1FF8">
        <w:rPr>
          <w:rFonts w:cs="Arial"/>
        </w:rPr>
        <w:t>t</w:t>
      </w:r>
      <w:r w:rsidR="00C25488" w:rsidRPr="007D1FF8">
        <w:rPr>
          <w:rFonts w:cs="Arial"/>
        </w:rPr>
        <w:t xml:space="preserve">s classified as related to animal health reported </w:t>
      </w:r>
      <w:r w:rsidR="005262E9" w:rsidRPr="007D1FF8">
        <w:rPr>
          <w:rFonts w:cs="Arial"/>
        </w:rPr>
        <w:t xml:space="preserve">in the </w:t>
      </w:r>
      <w:r w:rsidRPr="007D1FF8">
        <w:rPr>
          <w:rFonts w:cs="Arial"/>
        </w:rPr>
        <w:t>2018/2019 financial year</w:t>
      </w:r>
      <w:r w:rsidR="00C25488" w:rsidRPr="007D1FF8">
        <w:rPr>
          <w:rFonts w:cs="Arial"/>
        </w:rPr>
        <w:t>.</w:t>
      </w:r>
    </w:p>
    <w:p w14:paraId="0591E863" w14:textId="64DA1EF7" w:rsidR="00C25488" w:rsidRPr="007D1FF8" w:rsidRDefault="00307D58" w:rsidP="00C25488">
      <w:pPr>
        <w:pStyle w:val="ListBullet2"/>
        <w:rPr>
          <w:rFonts w:cs="Arial"/>
        </w:rPr>
      </w:pPr>
      <w:r w:rsidRPr="007D1FF8">
        <w:rPr>
          <w:rFonts w:cs="Arial"/>
        </w:rPr>
        <w:t xml:space="preserve">1 report of </w:t>
      </w:r>
      <w:r w:rsidR="005262E9" w:rsidRPr="007D1FF8">
        <w:rPr>
          <w:rFonts w:cs="Arial"/>
        </w:rPr>
        <w:t>a serious incident classified as related to animal health reported in 2011.</w:t>
      </w:r>
    </w:p>
    <w:p w14:paraId="07CA2620" w14:textId="1EE2CC27" w:rsidR="005262E9" w:rsidRDefault="005262E9" w:rsidP="005262E9">
      <w:pPr>
        <w:pStyle w:val="ListBullet2"/>
        <w:rPr>
          <w:rFonts w:cs="Arial"/>
        </w:rPr>
      </w:pPr>
      <w:r w:rsidRPr="007D1FF8">
        <w:rPr>
          <w:rFonts w:cs="Arial"/>
        </w:rPr>
        <w:t>3 reports of serious inciden</w:t>
      </w:r>
      <w:r w:rsidR="00D8009F" w:rsidRPr="007D1FF8">
        <w:rPr>
          <w:rFonts w:cs="Arial"/>
        </w:rPr>
        <w:t>t</w:t>
      </w:r>
      <w:r w:rsidRPr="007D1FF8">
        <w:rPr>
          <w:rFonts w:cs="Arial"/>
        </w:rPr>
        <w:t>s classified as related to animal health reported in 2009.</w:t>
      </w:r>
    </w:p>
    <w:p w14:paraId="7DBEAADD" w14:textId="554338C8" w:rsidR="002B50B0" w:rsidRPr="007D1FF8" w:rsidRDefault="002B50B0" w:rsidP="002B50B0">
      <w:pPr>
        <w:pStyle w:val="ListBullet"/>
      </w:pPr>
      <w:r>
        <w:t>As of December 2023, oxytetracycline is not listed on the Australian Inventory of Industrial Chemicals.</w:t>
      </w:r>
    </w:p>
    <w:p w14:paraId="498CC860" w14:textId="77777777" w:rsidR="00C25488" w:rsidRPr="00D149A2" w:rsidRDefault="00C25488" w:rsidP="008C549F">
      <w:pPr>
        <w:pStyle w:val="Heading4"/>
      </w:pPr>
      <w:bookmarkStart w:id="99" w:name="_Toc155176409"/>
      <w:r w:rsidRPr="00D149A2">
        <w:t>International regulations</w:t>
      </w:r>
      <w:bookmarkEnd w:id="99"/>
    </w:p>
    <w:p w14:paraId="4486712F" w14:textId="77777777" w:rsidR="00A952B8" w:rsidRDefault="00AF203C" w:rsidP="00A952B8">
      <w:pPr>
        <w:pStyle w:val="ListBullet"/>
      </w:pPr>
      <w:r w:rsidRPr="00404726">
        <w:t xml:space="preserve">The </w:t>
      </w:r>
      <w:hyperlink r:id="rId105" w:history="1">
        <w:r w:rsidRPr="00404726">
          <w:rPr>
            <w:rStyle w:val="Hyperlink"/>
            <w:rFonts w:asciiTheme="majorHAnsi" w:hAnsiTheme="majorHAnsi" w:cstheme="majorHAnsi"/>
          </w:rPr>
          <w:t>United States Environmental Protection Agency’s (US EPA) Office of Pesticides</w:t>
        </w:r>
      </w:hyperlink>
      <w:r w:rsidRPr="00404726">
        <w:t xml:space="preserve"> Programs list oxytetracycline hydrochloride under reregistration.</w:t>
      </w:r>
    </w:p>
    <w:p w14:paraId="0F241021" w14:textId="77777777" w:rsidR="00A952B8" w:rsidRDefault="00D33279" w:rsidP="00A952B8">
      <w:pPr>
        <w:pStyle w:val="ListBullet"/>
      </w:pPr>
      <w:r w:rsidRPr="00404726">
        <w:t xml:space="preserve">According to the </w:t>
      </w:r>
      <w:r w:rsidRPr="005044D8">
        <w:t>classification</w:t>
      </w:r>
      <w:r w:rsidRPr="00404726">
        <w:t xml:space="preserve"> provided by companies to t</w:t>
      </w:r>
      <w:r w:rsidR="00AF203C" w:rsidRPr="00404726">
        <w:t xml:space="preserve">he </w:t>
      </w:r>
      <w:hyperlink r:id="rId106" w:history="1">
        <w:r w:rsidR="00AF203C" w:rsidRPr="00A952B8">
          <w:rPr>
            <w:rStyle w:val="Hyperlink"/>
            <w:rFonts w:asciiTheme="majorHAnsi" w:hAnsiTheme="majorHAnsi" w:cstheme="majorHAnsi"/>
          </w:rPr>
          <w:t>European Chemicals Agency (ECHA</w:t>
        </w:r>
      </w:hyperlink>
      <w:r w:rsidR="00AF203C" w:rsidRPr="00404726">
        <w:t xml:space="preserve">) </w:t>
      </w:r>
      <w:r w:rsidRPr="00404726">
        <w:t xml:space="preserve">in classification, labelling and packaging (CLP) notifications, oxytetracycline </w:t>
      </w:r>
      <w:r w:rsidR="00AF203C" w:rsidRPr="00404726">
        <w:t>is very toxic to aquatic life with long lasting effects, is very toxic to aquatic life, may damage fertility or the unborn child, is harmful if swallowed, is harmful in contact with skin, is harmful if inhaled, is suspected of damaging fertility or the unborn child, causes serious eye irritation, may cause harm to breast-fed children, may cause an allergic skin reaction, causes skin irritation and may cause respiratory irritation.</w:t>
      </w:r>
    </w:p>
    <w:p w14:paraId="18006AE1" w14:textId="0EE62D32" w:rsidR="00A952B8" w:rsidRDefault="00D33279" w:rsidP="00A952B8">
      <w:pPr>
        <w:pStyle w:val="ListBullet"/>
      </w:pPr>
      <w:r w:rsidRPr="00A952B8">
        <w:rPr>
          <w:rStyle w:val="Hyperlink"/>
          <w:rFonts w:asciiTheme="majorHAnsi" w:hAnsiTheme="majorHAnsi" w:cstheme="majorHAnsi"/>
        </w:rPr>
        <w:t xml:space="preserve">The New Zealand Inventory of Chemicals (NZIOC) lists oxytetracycline compounds as </w:t>
      </w:r>
      <w:r w:rsidRPr="00404726">
        <w:t>does not have an individual approval but may be used under an appropriate group standard</w:t>
      </w:r>
      <w:r w:rsidR="00EB1DEA" w:rsidRPr="00404726">
        <w:t>.</w:t>
      </w:r>
    </w:p>
    <w:p w14:paraId="4350372F" w14:textId="70EB9001" w:rsidR="00B976E9" w:rsidRPr="00A952B8" w:rsidRDefault="00B976E9" w:rsidP="00A952B8">
      <w:pPr>
        <w:pStyle w:val="ListBullet"/>
        <w:rPr>
          <w:rStyle w:val="Hyperlink"/>
          <w:color w:val="auto"/>
          <w:u w:val="none"/>
        </w:rPr>
      </w:pPr>
      <w:r w:rsidRPr="00A952B8">
        <w:rPr>
          <w:rStyle w:val="Hyperlink"/>
          <w:rFonts w:asciiTheme="majorHAnsi" w:hAnsiTheme="majorHAnsi" w:cstheme="majorHAnsi"/>
          <w:color w:val="auto"/>
          <w:u w:val="none"/>
        </w:rPr>
        <w:t xml:space="preserve">The </w:t>
      </w:r>
      <w:hyperlink r:id="rId107" w:history="1">
        <w:r w:rsidRPr="00A952B8">
          <w:rPr>
            <w:rStyle w:val="Hyperlink"/>
            <w:rFonts w:asciiTheme="majorHAnsi" w:hAnsiTheme="majorHAnsi" w:cstheme="majorHAnsi"/>
          </w:rPr>
          <w:t>Canada’s Pest Management Regulation Agency</w:t>
        </w:r>
      </w:hyperlink>
      <w:r w:rsidRPr="00A952B8">
        <w:rPr>
          <w:rStyle w:val="Hyperlink"/>
          <w:rFonts w:asciiTheme="majorHAnsi" w:hAnsiTheme="majorHAnsi" w:cstheme="majorHAnsi"/>
        </w:rPr>
        <w:t xml:space="preserve"> </w:t>
      </w:r>
      <w:r w:rsidRPr="00A952B8">
        <w:rPr>
          <w:rStyle w:val="Hyperlink"/>
          <w:rFonts w:asciiTheme="majorHAnsi" w:hAnsiTheme="majorHAnsi" w:cstheme="majorHAnsi"/>
          <w:color w:val="auto"/>
          <w:u w:val="none"/>
        </w:rPr>
        <w:t>does not list oxytetracycline.</w:t>
      </w:r>
    </w:p>
    <w:p w14:paraId="4CE83CCC" w14:textId="2F609727" w:rsidR="00B976E9" w:rsidRPr="00404726" w:rsidRDefault="00B976E9" w:rsidP="00082D97">
      <w:pPr>
        <w:pStyle w:val="ListBullet"/>
      </w:pPr>
      <w:r w:rsidRPr="00404726">
        <w:rPr>
          <w:rStyle w:val="Hyperlink"/>
          <w:rFonts w:asciiTheme="majorHAnsi" w:hAnsiTheme="majorHAnsi" w:cstheme="majorHAnsi"/>
          <w:color w:val="auto"/>
          <w:u w:val="none"/>
        </w:rPr>
        <w:t xml:space="preserve">The </w:t>
      </w:r>
      <w:hyperlink r:id="rId108" w:history="1">
        <w:r w:rsidRPr="00404726">
          <w:rPr>
            <w:rStyle w:val="Hyperlink"/>
            <w:rFonts w:asciiTheme="majorHAnsi" w:hAnsiTheme="majorHAnsi" w:cstheme="majorHAnsi"/>
          </w:rPr>
          <w:t>United States Food and Drug Administration Approved Drug Products Database (Drugs@FDA)</w:t>
        </w:r>
      </w:hyperlink>
      <w:r w:rsidRPr="00404726">
        <w:t xml:space="preserve"> includes 14 discontinued products containing oxytetracycline.</w:t>
      </w:r>
    </w:p>
    <w:p w14:paraId="3D51B267" w14:textId="0CF53B5F" w:rsidR="00B976E9" w:rsidRPr="00404726" w:rsidRDefault="00404726" w:rsidP="00082D97">
      <w:pPr>
        <w:pStyle w:val="ListBullet"/>
        <w:rPr>
          <w:rStyle w:val="Hyperlink"/>
          <w:rFonts w:asciiTheme="majorHAnsi" w:hAnsiTheme="majorHAnsi" w:cstheme="majorHAnsi"/>
          <w:color w:val="auto"/>
          <w:u w:val="none"/>
        </w:rPr>
      </w:pPr>
      <w:r w:rsidRPr="00404726">
        <w:rPr>
          <w:rStyle w:val="Hyperlink"/>
          <w:rFonts w:asciiTheme="majorHAnsi" w:hAnsiTheme="majorHAnsi" w:cstheme="majorHAnsi"/>
          <w:color w:val="auto"/>
          <w:u w:val="none"/>
        </w:rPr>
        <w:t>The</w:t>
      </w:r>
      <w:r w:rsidRPr="00404726">
        <w:rPr>
          <w:rStyle w:val="Hyperlink"/>
          <w:rFonts w:asciiTheme="majorHAnsi" w:hAnsiTheme="majorHAnsi" w:cstheme="majorHAnsi"/>
          <w:color w:val="auto"/>
        </w:rPr>
        <w:t xml:space="preserve"> </w:t>
      </w:r>
      <w:hyperlink r:id="rId109" w:history="1">
        <w:r w:rsidRPr="00404726">
          <w:rPr>
            <w:rStyle w:val="Hyperlink"/>
            <w:rFonts w:asciiTheme="majorHAnsi" w:hAnsiTheme="majorHAnsi" w:cstheme="majorHAnsi"/>
          </w:rPr>
          <w:t>New Zealand Medsafe Medicines Classification Database</w:t>
        </w:r>
      </w:hyperlink>
      <w:r w:rsidRPr="00404726">
        <w:rPr>
          <w:rStyle w:val="Hyperlink"/>
          <w:rFonts w:asciiTheme="majorHAnsi" w:hAnsiTheme="majorHAnsi" w:cstheme="majorHAnsi"/>
          <w:color w:val="auto"/>
          <w:u w:val="none"/>
        </w:rPr>
        <w:t xml:space="preserve"> lists oxytetracycline as a prescription medicine.</w:t>
      </w:r>
    </w:p>
    <w:p w14:paraId="7B62A710" w14:textId="279391A8" w:rsidR="00C25488" w:rsidRPr="00404726" w:rsidRDefault="00404726" w:rsidP="00082D97">
      <w:pPr>
        <w:pStyle w:val="ListBullet"/>
      </w:pPr>
      <w:bookmarkStart w:id="100" w:name="_Hlk153785727"/>
      <w:r w:rsidRPr="00404726">
        <w:t xml:space="preserve">The </w:t>
      </w:r>
      <w:hyperlink r:id="rId110" w:history="1">
        <w:r w:rsidRPr="00404726">
          <w:rPr>
            <w:rStyle w:val="Hyperlink"/>
            <w:rFonts w:asciiTheme="majorHAnsi" w:hAnsiTheme="majorHAnsi" w:cstheme="majorHAnsi"/>
          </w:rPr>
          <w:t>Health Canada Drug Product Database</w:t>
        </w:r>
      </w:hyperlink>
      <w:r w:rsidRPr="00404726">
        <w:t xml:space="preserve"> includes 15 marketed products containing oxytetracycline. All are available for supply as prescription and classed as veterinary products.</w:t>
      </w:r>
    </w:p>
    <w:bookmarkEnd w:id="100"/>
    <w:p w14:paraId="1A33339C" w14:textId="77777777" w:rsidR="001A6E05" w:rsidRDefault="001A6E05">
      <w:pPr>
        <w:rPr>
          <w:rFonts w:eastAsia="Times New Roman" w:cs="Times New Roman"/>
          <w:b/>
          <w:bCs/>
          <w:color w:val="001871"/>
          <w:sz w:val="32"/>
          <w:szCs w:val="32"/>
        </w:rPr>
      </w:pPr>
      <w:r>
        <w:br w:type="page"/>
      </w:r>
    </w:p>
    <w:p w14:paraId="2EA34F46" w14:textId="6D4564A6" w:rsidR="00C25488" w:rsidRDefault="00C25488" w:rsidP="00226A10">
      <w:pPr>
        <w:pStyle w:val="Heading3"/>
        <w:numPr>
          <w:ilvl w:val="1"/>
          <w:numId w:val="13"/>
        </w:numPr>
      </w:pPr>
      <w:bookmarkStart w:id="101" w:name="_Toc155176410"/>
      <w:r>
        <w:lastRenderedPageBreak/>
        <w:t>Tranexamic acid</w:t>
      </w:r>
      <w:bookmarkEnd w:id="101"/>
    </w:p>
    <w:p w14:paraId="4A24F0F1" w14:textId="77777777" w:rsidR="00C25488" w:rsidRPr="00D149A2" w:rsidRDefault="00C25488" w:rsidP="008C549F">
      <w:pPr>
        <w:pStyle w:val="Heading4"/>
      </w:pPr>
      <w:bookmarkStart w:id="102" w:name="_Toc155176411"/>
      <w:r w:rsidRPr="00D149A2">
        <w:t>Proposal</w:t>
      </w:r>
      <w:bookmarkEnd w:id="102"/>
    </w:p>
    <w:p w14:paraId="063C3674" w14:textId="59B6240B" w:rsidR="00C25488" w:rsidRPr="00D149A2" w:rsidRDefault="00AA45B2" w:rsidP="00C25488">
      <w:pPr>
        <w:rPr>
          <w:rFonts w:cs="Arial"/>
        </w:rPr>
      </w:pPr>
      <w:r>
        <w:rPr>
          <w:rFonts w:cs="Arial"/>
        </w:rPr>
        <w:t>The applicant proposed exemption of topical cosmetic preparations containing up to 3% tranexamic acid from the Schedule 4 entry for the substance. At present, the scheduling exemption is limited to the derivative cetyl tranexamate.</w:t>
      </w:r>
    </w:p>
    <w:p w14:paraId="4F01BF01" w14:textId="6F0A138D" w:rsidR="00C25488" w:rsidRPr="00D149A2" w:rsidRDefault="00C25488" w:rsidP="008C549F">
      <w:pPr>
        <w:pStyle w:val="Heading4"/>
      </w:pPr>
      <w:bookmarkStart w:id="103" w:name="_Toc155176412"/>
      <w:r w:rsidRPr="00D149A2">
        <w:t>CAS number</w:t>
      </w:r>
      <w:bookmarkEnd w:id="103"/>
    </w:p>
    <w:p w14:paraId="1109726A" w14:textId="548AB513" w:rsidR="00C25488" w:rsidRPr="00D149A2" w:rsidRDefault="00AA45B2" w:rsidP="00C25488">
      <w:pPr>
        <w:rPr>
          <w:rFonts w:cs="Arial"/>
        </w:rPr>
      </w:pPr>
      <w:r>
        <w:rPr>
          <w:rFonts w:cs="Arial"/>
        </w:rPr>
        <w:t>1197-18-8</w:t>
      </w:r>
    </w:p>
    <w:p w14:paraId="3277194F" w14:textId="77777777" w:rsidR="00C25488" w:rsidRPr="00D149A2" w:rsidRDefault="00C25488" w:rsidP="008C549F">
      <w:pPr>
        <w:pStyle w:val="Heading4"/>
      </w:pPr>
      <w:bookmarkStart w:id="104" w:name="_Toc155176413"/>
      <w:r w:rsidRPr="00D149A2">
        <w:t>Alternative names</w:t>
      </w:r>
      <w:bookmarkEnd w:id="104"/>
    </w:p>
    <w:p w14:paraId="26706378" w14:textId="7F59F935" w:rsidR="009D2465" w:rsidRDefault="009D2465" w:rsidP="009D2465">
      <w:pPr>
        <w:autoSpaceDE w:val="0"/>
        <w:autoSpaceDN w:val="0"/>
        <w:adjustRightInd w:val="0"/>
        <w:spacing w:after="0" w:line="240" w:lineRule="auto"/>
        <w:rPr>
          <w:rFonts w:cs="Arial"/>
          <w:color w:val="000000"/>
        </w:rPr>
      </w:pPr>
      <w:r w:rsidRPr="009D2465">
        <w:rPr>
          <w:rFonts w:cs="Arial"/>
          <w:color w:val="000000"/>
        </w:rPr>
        <w:t>Cyclohexanecarboxylic acid, 4-(aminomethyl)-, trans-</w:t>
      </w:r>
    </w:p>
    <w:p w14:paraId="479DF406" w14:textId="26AB4D44" w:rsidR="009D2465" w:rsidRDefault="009D2465" w:rsidP="007263DD">
      <w:pPr>
        <w:autoSpaceDE w:val="0"/>
        <w:autoSpaceDN w:val="0"/>
        <w:adjustRightInd w:val="0"/>
        <w:spacing w:before="240" w:line="240" w:lineRule="auto"/>
        <w:rPr>
          <w:rFonts w:cs="Arial"/>
          <w:color w:val="000000"/>
        </w:rPr>
      </w:pPr>
      <w:r>
        <w:rPr>
          <w:rFonts w:cs="Arial"/>
          <w:color w:val="000000"/>
        </w:rPr>
        <w:t>TXA</w:t>
      </w:r>
    </w:p>
    <w:p w14:paraId="523C64C7" w14:textId="77777777" w:rsidR="00C25488" w:rsidRPr="00D149A2" w:rsidRDefault="00C25488" w:rsidP="008C549F">
      <w:pPr>
        <w:pStyle w:val="Heading4"/>
      </w:pPr>
      <w:bookmarkStart w:id="105" w:name="_Toc155176414"/>
      <w:r w:rsidRPr="00D149A2">
        <w:t>Applicant</w:t>
      </w:r>
      <w:bookmarkEnd w:id="105"/>
    </w:p>
    <w:p w14:paraId="71F3000E" w14:textId="0F98411E" w:rsidR="00C25488" w:rsidRPr="00D149A2" w:rsidRDefault="00C25488" w:rsidP="00C25488">
      <w:pPr>
        <w:rPr>
          <w:rFonts w:cs="Arial"/>
        </w:rPr>
      </w:pPr>
      <w:r w:rsidRPr="009D2465">
        <w:rPr>
          <w:rFonts w:cs="Arial"/>
        </w:rPr>
        <w:t>Private applicant</w:t>
      </w:r>
    </w:p>
    <w:p w14:paraId="12560A28" w14:textId="77777777" w:rsidR="00C25488" w:rsidRPr="00D149A2" w:rsidRDefault="00C25488" w:rsidP="008C549F">
      <w:pPr>
        <w:pStyle w:val="Heading4"/>
      </w:pPr>
      <w:bookmarkStart w:id="106" w:name="_Toc155176415"/>
      <w:r w:rsidRPr="00D149A2">
        <w:t>Proposed Scheduling</w:t>
      </w:r>
      <w:bookmarkEnd w:id="106"/>
    </w:p>
    <w:p w14:paraId="2283C965" w14:textId="0B8457B4" w:rsidR="00C25488" w:rsidRPr="009D2465" w:rsidRDefault="00C25488" w:rsidP="00C25488">
      <w:pPr>
        <w:rPr>
          <w:rFonts w:cs="Arial"/>
          <w:bCs/>
        </w:rPr>
      </w:pPr>
      <w:r w:rsidRPr="009D2465">
        <w:rPr>
          <w:rFonts w:cs="Arial"/>
          <w:bCs/>
        </w:rPr>
        <w:t>The applicant’s proposed amendments to the Poisons Standard are</w:t>
      </w:r>
      <w:r w:rsidR="009D2465" w:rsidRPr="009D2465">
        <w:rPr>
          <w:rFonts w:cs="Arial"/>
          <w:bCs/>
        </w:rPr>
        <w:t>:</w:t>
      </w:r>
      <w:r w:rsidRPr="009D2465">
        <w:rPr>
          <w:rStyle w:val="FootnoteReference"/>
          <w:rFonts w:cs="Arial"/>
          <w:bCs/>
        </w:rPr>
        <w:footnoteReference w:id="7"/>
      </w:r>
    </w:p>
    <w:p w14:paraId="34D1FA90" w14:textId="36182473" w:rsidR="00C25488" w:rsidRDefault="00C25488" w:rsidP="00C25488">
      <w:pPr>
        <w:ind w:left="426"/>
        <w:rPr>
          <w:rFonts w:cs="Arial"/>
          <w:b/>
        </w:rPr>
      </w:pPr>
      <w:r w:rsidRPr="009D2465">
        <w:rPr>
          <w:rFonts w:cs="Arial"/>
          <w:b/>
        </w:rPr>
        <w:t xml:space="preserve">Schedule </w:t>
      </w:r>
      <w:r w:rsidR="009D2465" w:rsidRPr="009D2465">
        <w:rPr>
          <w:rFonts w:cs="Arial"/>
          <w:b/>
        </w:rPr>
        <w:t>4</w:t>
      </w:r>
      <w:r w:rsidRPr="009D2465">
        <w:rPr>
          <w:rFonts w:cs="Arial"/>
          <w:b/>
        </w:rPr>
        <w:t xml:space="preserve"> –</w:t>
      </w:r>
      <w:r w:rsidR="009D2465" w:rsidRPr="009D2465">
        <w:rPr>
          <w:rFonts w:cs="Arial"/>
          <w:b/>
        </w:rPr>
        <w:t xml:space="preserve"> </w:t>
      </w:r>
      <w:r w:rsidRPr="009D2465">
        <w:rPr>
          <w:rFonts w:cs="Arial"/>
          <w:b/>
        </w:rPr>
        <w:t>Amend Entry</w:t>
      </w:r>
    </w:p>
    <w:p w14:paraId="573B1BC1" w14:textId="28B7A008" w:rsidR="009D2465" w:rsidRPr="00D149A2" w:rsidRDefault="009D2465" w:rsidP="0010624D">
      <w:pPr>
        <w:ind w:left="720" w:firstLine="6"/>
        <w:rPr>
          <w:rFonts w:cs="Arial"/>
          <w:b/>
        </w:rPr>
      </w:pPr>
      <w:r w:rsidRPr="0010624D">
        <w:rPr>
          <w:rFonts w:cs="Arial"/>
          <w:bCs/>
        </w:rPr>
        <w:t>TRANEXAMIC ACID</w:t>
      </w:r>
      <w:r>
        <w:rPr>
          <w:rFonts w:cs="Arial"/>
          <w:b/>
        </w:rPr>
        <w:t xml:space="preserve"> </w:t>
      </w:r>
      <w:r w:rsidR="0010624D">
        <w:rPr>
          <w:rFonts w:cs="Arial"/>
          <w:b/>
        </w:rPr>
        <w:t xml:space="preserve">except </w:t>
      </w:r>
      <w:r w:rsidR="0010624D" w:rsidRPr="0010624D">
        <w:rPr>
          <w:rFonts w:cs="Arial"/>
          <w:bCs/>
        </w:rPr>
        <w:t xml:space="preserve">in preparations containing 3% or less of </w:t>
      </w:r>
      <w:r w:rsidR="0010624D" w:rsidRPr="0010624D">
        <w:rPr>
          <w:rFonts w:cs="Arial"/>
          <w:bCs/>
          <w:strike/>
          <w:color w:val="FF0000"/>
        </w:rPr>
        <w:t>cetyl tranexamate hydrochloride</w:t>
      </w:r>
      <w:r w:rsidR="0010624D" w:rsidRPr="0010624D">
        <w:rPr>
          <w:rFonts w:cs="Arial"/>
          <w:bCs/>
          <w:color w:val="00B050"/>
          <w:u w:val="single"/>
        </w:rPr>
        <w:t>tranexamic acid</w:t>
      </w:r>
      <w:r w:rsidR="0010624D" w:rsidRPr="0010624D">
        <w:rPr>
          <w:rFonts w:cs="Arial"/>
          <w:bCs/>
        </w:rPr>
        <w:t xml:space="preserve"> for dermal cosmetic use.</w:t>
      </w:r>
    </w:p>
    <w:p w14:paraId="4152AE1F" w14:textId="3C5001C9" w:rsidR="00C25488" w:rsidRPr="00D149A2" w:rsidRDefault="00C25488" w:rsidP="00C25488">
      <w:pPr>
        <w:ind w:left="426"/>
        <w:rPr>
          <w:rFonts w:cs="Arial"/>
          <w:b/>
        </w:rPr>
      </w:pPr>
      <w:r w:rsidRPr="0010624D">
        <w:rPr>
          <w:rFonts w:cs="Arial"/>
          <w:b/>
        </w:rPr>
        <w:t>Index</w:t>
      </w:r>
    </w:p>
    <w:p w14:paraId="01E9A6E6" w14:textId="0942CF02" w:rsidR="0010624D" w:rsidRDefault="0010624D" w:rsidP="0010624D">
      <w:pPr>
        <w:ind w:left="426" w:firstLine="294"/>
        <w:rPr>
          <w:rFonts w:cs="Arial"/>
        </w:rPr>
      </w:pPr>
      <w:r w:rsidRPr="0010624D">
        <w:rPr>
          <w:rFonts w:cs="Arial"/>
          <w:b/>
          <w:bCs/>
        </w:rPr>
        <w:t>TRANEXAMIC ACID</w:t>
      </w:r>
      <w:r>
        <w:rPr>
          <w:rFonts w:cs="Arial"/>
        </w:rPr>
        <w:br/>
      </w:r>
      <w:r>
        <w:rPr>
          <w:rFonts w:cs="Arial"/>
        </w:rPr>
        <w:tab/>
        <w:t>cross reference: CETYL TRANEXAMATE</w:t>
      </w:r>
    </w:p>
    <w:p w14:paraId="630C4542" w14:textId="0EA7A5EF" w:rsidR="0010624D" w:rsidRPr="00D149A2" w:rsidRDefault="0010624D" w:rsidP="0010624D">
      <w:pPr>
        <w:ind w:left="426" w:firstLine="294"/>
        <w:rPr>
          <w:rFonts w:cs="Arial"/>
        </w:rPr>
      </w:pPr>
      <w:r>
        <w:rPr>
          <w:rFonts w:cs="Arial"/>
        </w:rPr>
        <w:t>Schedule 4</w:t>
      </w:r>
    </w:p>
    <w:p w14:paraId="17BEF0AB" w14:textId="77777777" w:rsidR="00C25488" w:rsidRPr="00D149A2" w:rsidRDefault="00C25488" w:rsidP="008C549F">
      <w:pPr>
        <w:pStyle w:val="Heading4"/>
      </w:pPr>
      <w:bookmarkStart w:id="107" w:name="_Toc155176416"/>
      <w:r w:rsidRPr="00D149A2">
        <w:t>Background</w:t>
      </w:r>
      <w:bookmarkEnd w:id="107"/>
    </w:p>
    <w:p w14:paraId="733F9248" w14:textId="5A4A6663" w:rsidR="001E0D73" w:rsidRDefault="001E0D73" w:rsidP="001E0D73">
      <w:pPr>
        <w:rPr>
          <w:rFonts w:cs="Arial"/>
          <w:highlight w:val="green"/>
        </w:rPr>
      </w:pPr>
      <w:r w:rsidRPr="00490710">
        <w:rPr>
          <w:rFonts w:cs="Arial"/>
        </w:rPr>
        <w:t>Tranexamic acid</w:t>
      </w:r>
      <w:r>
        <w:rPr>
          <w:rFonts w:cs="Arial"/>
        </w:rPr>
        <w:t xml:space="preserve"> is used therapeutically as an intravenous injectable prior to dental extraction in patients with haemophilia to reduce risk of haemorrhaging, and orally in the treatment of heavy menstrual bleeding. It is also used in topical preparations up to a 3% concentration as a cosmetic skin conditioning agent to improve skin complexion</w:t>
      </w:r>
      <w:r w:rsidR="00CA4232">
        <w:rPr>
          <w:rFonts w:cs="Arial"/>
        </w:rPr>
        <w:t>. However, in Australia tranexamic acid products are</w:t>
      </w:r>
      <w:r>
        <w:rPr>
          <w:rFonts w:cs="Arial"/>
        </w:rPr>
        <w:t xml:space="preserve"> only registered and marketed for therapeutic uses.</w:t>
      </w:r>
    </w:p>
    <w:p w14:paraId="56C99BBE" w14:textId="77777777" w:rsidR="00C25488" w:rsidRPr="00D149A2" w:rsidRDefault="00C25488" w:rsidP="008C549F">
      <w:pPr>
        <w:pStyle w:val="Heading4"/>
      </w:pPr>
      <w:bookmarkStart w:id="108" w:name="_Toc155176417"/>
      <w:r w:rsidRPr="00D149A2">
        <w:t>Summary of applicant’s reasons for the proposal</w:t>
      </w:r>
      <w:bookmarkEnd w:id="108"/>
    </w:p>
    <w:p w14:paraId="02AD8EED" w14:textId="39BA6436" w:rsidR="00D8009F" w:rsidRDefault="001E0D73" w:rsidP="00286C53">
      <w:pPr>
        <w:pStyle w:val="ListBullet-donotcross"/>
      </w:pPr>
      <w:r>
        <w:t>Tranexamic acid has a well-established safety profile in</w:t>
      </w:r>
      <w:r w:rsidR="00CA4232">
        <w:t xml:space="preserve"> intravenous (</w:t>
      </w:r>
      <w:r>
        <w:t>IV</w:t>
      </w:r>
      <w:r w:rsidR="00CA4232">
        <w:t>)</w:t>
      </w:r>
      <w:r>
        <w:t xml:space="preserve"> and oral preparations. Notably tranexamic has low acute oral toxicity and does not cause irritation to the eyes or skin, or skin sensitisation.</w:t>
      </w:r>
    </w:p>
    <w:p w14:paraId="4724ECE0" w14:textId="3EA32C21" w:rsidR="00D8009F" w:rsidRDefault="00CA4232" w:rsidP="00286C53">
      <w:pPr>
        <w:pStyle w:val="ListBullet-donotcross"/>
      </w:pPr>
      <w:r>
        <w:t>O</w:t>
      </w:r>
      <w:r w:rsidR="001E0D73">
        <w:t>cular toxicity ha</w:t>
      </w:r>
      <w:r w:rsidR="00C13D49">
        <w:t>s</w:t>
      </w:r>
      <w:r w:rsidR="001E0D73">
        <w:t xml:space="preserve"> been reported </w:t>
      </w:r>
      <w:r w:rsidR="00D07B52">
        <w:t xml:space="preserve">in dogs </w:t>
      </w:r>
      <w:r w:rsidR="001E0D73">
        <w:t>at repeated high doses but would be negligible in the proposed dosage form.</w:t>
      </w:r>
    </w:p>
    <w:p w14:paraId="232BC1D2" w14:textId="28753115" w:rsidR="001E0D73" w:rsidRPr="00A10EB5" w:rsidRDefault="00D8009F" w:rsidP="00286C53">
      <w:pPr>
        <w:pStyle w:val="ListBullet-donotcross"/>
      </w:pPr>
      <w:r>
        <w:lastRenderedPageBreak/>
        <w:t>T</w:t>
      </w:r>
      <w:r w:rsidR="001E0D73">
        <w:t>here is no risk of substance abuse or misuse at the proposed dosage and is highly unlikely to result in serious adverse effects.</w:t>
      </w:r>
    </w:p>
    <w:p w14:paraId="3BE58F28" w14:textId="5E92D469" w:rsidR="00C25488" w:rsidRPr="00D149A2" w:rsidRDefault="00C25488" w:rsidP="008C549F">
      <w:pPr>
        <w:pStyle w:val="Heading4"/>
      </w:pPr>
      <w:bookmarkStart w:id="109" w:name="_Toc155176418"/>
      <w:r w:rsidRPr="00D149A2">
        <w:t>Key uses / expected use</w:t>
      </w:r>
      <w:bookmarkEnd w:id="109"/>
    </w:p>
    <w:p w14:paraId="70B1C440" w14:textId="12B04667" w:rsidR="00C25488" w:rsidRPr="00D149A2" w:rsidRDefault="00C25488" w:rsidP="00C25488">
      <w:pPr>
        <w:rPr>
          <w:rFonts w:cs="Arial"/>
        </w:rPr>
      </w:pPr>
      <w:r w:rsidRPr="0010624D">
        <w:rPr>
          <w:rFonts w:cs="Arial"/>
        </w:rPr>
        <w:t>Medicines, cosmetic</w:t>
      </w:r>
      <w:r w:rsidR="0010624D" w:rsidRPr="0010624D">
        <w:rPr>
          <w:rFonts w:cs="Arial"/>
        </w:rPr>
        <w:t>s</w:t>
      </w:r>
    </w:p>
    <w:p w14:paraId="6EC2B978" w14:textId="77777777" w:rsidR="00C25488" w:rsidRPr="00D149A2" w:rsidRDefault="00C25488" w:rsidP="008C549F">
      <w:pPr>
        <w:pStyle w:val="Heading4"/>
      </w:pPr>
      <w:bookmarkStart w:id="110" w:name="_Toc155176419"/>
      <w:r w:rsidRPr="00D149A2">
        <w:t>Australian regulations</w:t>
      </w:r>
      <w:bookmarkEnd w:id="110"/>
    </w:p>
    <w:p w14:paraId="76A7092E" w14:textId="77777777" w:rsidR="001E0D73" w:rsidRDefault="001E0D73" w:rsidP="00082D97">
      <w:pPr>
        <w:pStyle w:val="ListBullet"/>
      </w:pPr>
      <w:bookmarkStart w:id="111" w:name="_Toc122614249"/>
      <w:r w:rsidRPr="00D149A2">
        <w:t xml:space="preserve">According to the </w:t>
      </w:r>
      <w:hyperlink r:id="rId111" w:history="1">
        <w:r w:rsidRPr="00D149A2">
          <w:rPr>
            <w:rStyle w:val="Hyperlink"/>
          </w:rPr>
          <w:t>TGA Ingredient Database</w:t>
        </w:r>
      </w:hyperlink>
      <w:r w:rsidRPr="00D149A2">
        <w:t xml:space="preserve">, </w:t>
      </w:r>
      <w:r>
        <w:t>tranexamic acid</w:t>
      </w:r>
      <w:r w:rsidRPr="00D149A2">
        <w:t xml:space="preserve"> is:</w:t>
      </w:r>
    </w:p>
    <w:p w14:paraId="01181922" w14:textId="77777777" w:rsidR="001E0D73" w:rsidRPr="0069383B" w:rsidRDefault="001E0D73" w:rsidP="00D8009F">
      <w:pPr>
        <w:pStyle w:val="ListBullet2"/>
      </w:pPr>
      <w:r w:rsidRPr="0069383B">
        <w:t>Available for use as an Active Ingredient in: Biologicals, Export Only, Over the Counter, Prescription Medicines</w:t>
      </w:r>
    </w:p>
    <w:p w14:paraId="1488E4BA" w14:textId="77777777" w:rsidR="001E0D73" w:rsidRPr="0069383B" w:rsidRDefault="001E0D73" w:rsidP="00D8009F">
      <w:pPr>
        <w:pStyle w:val="ListBullet2"/>
      </w:pPr>
      <w:r w:rsidRPr="0069383B">
        <w:t>Available for use as an Excipient Ingredient in: Biologicals, Devices, Export Only, Over the Counter, Prescription Medicines</w:t>
      </w:r>
    </w:p>
    <w:p w14:paraId="62BB6FF6" w14:textId="5F9566DB" w:rsidR="001E0D73" w:rsidRPr="0069383B" w:rsidRDefault="001E0D73" w:rsidP="00D8009F">
      <w:pPr>
        <w:pStyle w:val="ListBullet2"/>
      </w:pPr>
      <w:r w:rsidRPr="0069383B">
        <w:t>Not available as an Equivalent Ingredient in any application</w:t>
      </w:r>
    </w:p>
    <w:p w14:paraId="4BC32524" w14:textId="3A663B04" w:rsidR="001E0D73" w:rsidRPr="00D149A2" w:rsidRDefault="001E0D73" w:rsidP="00082D97">
      <w:pPr>
        <w:pStyle w:val="ListBullet"/>
      </w:pPr>
      <w:r w:rsidRPr="00063A38">
        <w:t>As of December 2023, there were 27</w:t>
      </w:r>
      <w:r w:rsidRPr="00D149A2">
        <w:t xml:space="preserve"> medicines active on the </w:t>
      </w:r>
      <w:hyperlink r:id="rId112" w:history="1">
        <w:r w:rsidRPr="00D149A2">
          <w:rPr>
            <w:rStyle w:val="Hyperlink"/>
          </w:rPr>
          <w:t>Australian Register of Therapeutic Goods (ARTG)</w:t>
        </w:r>
      </w:hyperlink>
      <w:r w:rsidRPr="00D149A2">
        <w:t xml:space="preserve"> that contain </w:t>
      </w:r>
      <w:r>
        <w:t>tranexamic acid</w:t>
      </w:r>
      <w:r w:rsidRPr="00D149A2">
        <w:t xml:space="preserve"> as an active ingredient. </w:t>
      </w:r>
      <w:r w:rsidR="00D8009F">
        <w:t>All registered medicines are</w:t>
      </w:r>
      <w:r w:rsidRPr="00D149A2">
        <w:t xml:space="preserve"> prescription</w:t>
      </w:r>
      <w:r w:rsidR="00D8009F">
        <w:t>-only</w:t>
      </w:r>
      <w:r w:rsidRPr="00D149A2">
        <w:t>.</w:t>
      </w:r>
    </w:p>
    <w:p w14:paraId="1874C679" w14:textId="77777777" w:rsidR="001E0D73" w:rsidRPr="00D149A2" w:rsidRDefault="001E0D73" w:rsidP="00082D97">
      <w:pPr>
        <w:pStyle w:val="ListBullet"/>
      </w:pPr>
      <w:r>
        <w:t>Tranexamic acid</w:t>
      </w:r>
      <w:r w:rsidRPr="00D149A2">
        <w:t xml:space="preserve"> is not permitted to be included in listed medicines as it is not included in the </w:t>
      </w:r>
      <w:hyperlink r:id="rId113" w:history="1">
        <w:r w:rsidRPr="00D149A2">
          <w:rPr>
            <w:rStyle w:val="Hyperlink"/>
          </w:rPr>
          <w:t>Therapeutic Goods (Permissible Ingredients) Determination</w:t>
        </w:r>
      </w:hyperlink>
      <w:r w:rsidRPr="00D149A2">
        <w:t xml:space="preserve"> No.</w:t>
      </w:r>
      <w:r>
        <w:t xml:space="preserve"> 4</w:t>
      </w:r>
      <w:r w:rsidRPr="00D149A2">
        <w:t xml:space="preserve"> of 20</w:t>
      </w:r>
      <w:r>
        <w:t>23</w:t>
      </w:r>
      <w:r w:rsidRPr="00D149A2">
        <w:t xml:space="preserve">. </w:t>
      </w:r>
    </w:p>
    <w:p w14:paraId="52EED51D" w14:textId="438E4D96" w:rsidR="001E0D73" w:rsidRDefault="001E0D73" w:rsidP="00082D97">
      <w:pPr>
        <w:pStyle w:val="ListBullet"/>
      </w:pPr>
      <w:r w:rsidRPr="00D149A2">
        <w:t xml:space="preserve">The </w:t>
      </w:r>
      <w:hyperlink r:id="rId114" w:history="1">
        <w:r w:rsidRPr="00D149A2">
          <w:rPr>
            <w:rStyle w:val="Hyperlink"/>
          </w:rPr>
          <w:t>TGA prescribing medicines in pregnancy database</w:t>
        </w:r>
      </w:hyperlink>
      <w:r w:rsidRPr="00D149A2">
        <w:t xml:space="preserve"> classifies </w:t>
      </w:r>
      <w:r>
        <w:t>tranexamic acid</w:t>
      </w:r>
      <w:r w:rsidRPr="00D149A2">
        <w:t xml:space="preserve"> as:</w:t>
      </w:r>
    </w:p>
    <w:tbl>
      <w:tblPr>
        <w:tblStyle w:val="TableTGAblue1"/>
        <w:tblW w:w="9072" w:type="dxa"/>
        <w:tblInd w:w="-10" w:type="dxa"/>
        <w:tblLook w:val="04A0" w:firstRow="1" w:lastRow="0" w:firstColumn="1" w:lastColumn="0" w:noHBand="0" w:noVBand="1"/>
      </w:tblPr>
      <w:tblGrid>
        <w:gridCol w:w="1607"/>
        <w:gridCol w:w="1698"/>
        <w:gridCol w:w="1922"/>
        <w:gridCol w:w="1922"/>
        <w:gridCol w:w="1923"/>
      </w:tblGrid>
      <w:tr w:rsidR="001E0D73" w:rsidRPr="00D8009F" w14:paraId="4401FFA0" w14:textId="77777777" w:rsidTr="00A331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tcPr>
          <w:p w14:paraId="54BBE231" w14:textId="77777777" w:rsidR="001E0D73" w:rsidRPr="00D8009F" w:rsidRDefault="001E0D73" w:rsidP="00D8009F">
            <w:pPr>
              <w:keepLines/>
              <w:spacing w:before="60" w:after="60"/>
              <w:rPr>
                <w:rFonts w:ascii="Arial" w:hAnsi="Arial" w:cs="Arial"/>
                <w:sz w:val="20"/>
                <w:szCs w:val="20"/>
              </w:rPr>
            </w:pPr>
            <w:r w:rsidRPr="00D8009F">
              <w:rPr>
                <w:rFonts w:ascii="Arial" w:hAnsi="Arial" w:cs="Arial"/>
                <w:sz w:val="20"/>
                <w:szCs w:val="20"/>
              </w:rPr>
              <w:t>Drug name</w:t>
            </w:r>
          </w:p>
        </w:tc>
        <w:tc>
          <w:tcPr>
            <w:tcW w:w="1698" w:type="dxa"/>
          </w:tcPr>
          <w:p w14:paraId="46E14FE9" w14:textId="77777777" w:rsidR="001E0D73" w:rsidRPr="00D8009F" w:rsidRDefault="001E0D73" w:rsidP="00D8009F">
            <w:pPr>
              <w:keepLines/>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8009F">
              <w:rPr>
                <w:rFonts w:ascii="Arial" w:hAnsi="Arial" w:cs="Arial"/>
                <w:sz w:val="20"/>
                <w:szCs w:val="20"/>
              </w:rPr>
              <w:t>Category</w:t>
            </w:r>
          </w:p>
        </w:tc>
        <w:tc>
          <w:tcPr>
            <w:tcW w:w="1922" w:type="dxa"/>
          </w:tcPr>
          <w:p w14:paraId="4CC37CE1" w14:textId="77777777" w:rsidR="001E0D73" w:rsidRPr="00D8009F" w:rsidRDefault="001E0D73" w:rsidP="00D8009F">
            <w:pPr>
              <w:keepLines/>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8009F">
              <w:rPr>
                <w:rFonts w:ascii="Arial" w:hAnsi="Arial" w:cs="Arial"/>
                <w:sz w:val="20"/>
                <w:szCs w:val="20"/>
              </w:rPr>
              <w:t>Classification Level 1</w:t>
            </w:r>
          </w:p>
        </w:tc>
        <w:tc>
          <w:tcPr>
            <w:tcW w:w="1922" w:type="dxa"/>
          </w:tcPr>
          <w:p w14:paraId="029A9869" w14:textId="77777777" w:rsidR="001E0D73" w:rsidRPr="00D8009F" w:rsidRDefault="001E0D73" w:rsidP="00D8009F">
            <w:pPr>
              <w:keepLines/>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8009F">
              <w:rPr>
                <w:rFonts w:ascii="Arial" w:hAnsi="Arial" w:cs="Arial"/>
                <w:sz w:val="20"/>
                <w:szCs w:val="20"/>
              </w:rPr>
              <w:t>Classification Level 2</w:t>
            </w:r>
          </w:p>
        </w:tc>
        <w:tc>
          <w:tcPr>
            <w:tcW w:w="1923" w:type="dxa"/>
          </w:tcPr>
          <w:p w14:paraId="7FD5B15B" w14:textId="77777777" w:rsidR="001E0D73" w:rsidRPr="00D8009F" w:rsidRDefault="001E0D73" w:rsidP="00D8009F">
            <w:pPr>
              <w:keepLines/>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8009F">
              <w:rPr>
                <w:rFonts w:ascii="Arial" w:hAnsi="Arial" w:cs="Arial"/>
                <w:sz w:val="20"/>
                <w:szCs w:val="20"/>
              </w:rPr>
              <w:t>Classification Level 3</w:t>
            </w:r>
          </w:p>
        </w:tc>
      </w:tr>
      <w:tr w:rsidR="001E0D73" w:rsidRPr="00D8009F" w14:paraId="44AF4DA3" w14:textId="77777777" w:rsidTr="00A331F4">
        <w:tc>
          <w:tcPr>
            <w:cnfStyle w:val="001000000000" w:firstRow="0" w:lastRow="0" w:firstColumn="1" w:lastColumn="0" w:oddVBand="0" w:evenVBand="0" w:oddHBand="0" w:evenHBand="0" w:firstRowFirstColumn="0" w:firstRowLastColumn="0" w:lastRowFirstColumn="0" w:lastRowLastColumn="0"/>
            <w:tcW w:w="1607" w:type="dxa"/>
          </w:tcPr>
          <w:p w14:paraId="1BB86895" w14:textId="77777777" w:rsidR="001E0D73" w:rsidRPr="00D8009F" w:rsidRDefault="001E0D73" w:rsidP="00D8009F">
            <w:pPr>
              <w:keepNext/>
              <w:keepLines/>
              <w:spacing w:before="60" w:after="60"/>
              <w:rPr>
                <w:rFonts w:ascii="Arial" w:hAnsi="Arial" w:cs="Arial"/>
                <w:sz w:val="20"/>
                <w:szCs w:val="20"/>
              </w:rPr>
            </w:pPr>
            <w:r w:rsidRPr="00D8009F">
              <w:rPr>
                <w:rFonts w:ascii="Arial" w:hAnsi="Arial" w:cs="Arial"/>
                <w:sz w:val="20"/>
                <w:szCs w:val="20"/>
              </w:rPr>
              <w:t>Tranexamic acid</w:t>
            </w:r>
          </w:p>
        </w:tc>
        <w:tc>
          <w:tcPr>
            <w:tcW w:w="1698" w:type="dxa"/>
          </w:tcPr>
          <w:p w14:paraId="0C90CC3D" w14:textId="77777777" w:rsidR="001E0D73" w:rsidRPr="00D8009F" w:rsidRDefault="001E0D73" w:rsidP="00D8009F">
            <w:pPr>
              <w:keepNext/>
              <w:keepLine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009F">
              <w:rPr>
                <w:rFonts w:ascii="Arial" w:hAnsi="Arial" w:cs="Arial"/>
                <w:sz w:val="20"/>
                <w:szCs w:val="20"/>
              </w:rPr>
              <w:t>B1</w:t>
            </w:r>
          </w:p>
        </w:tc>
        <w:tc>
          <w:tcPr>
            <w:tcW w:w="1922" w:type="dxa"/>
          </w:tcPr>
          <w:p w14:paraId="29F7E4CD" w14:textId="77777777" w:rsidR="001E0D73" w:rsidRPr="00D8009F" w:rsidRDefault="001E0D73" w:rsidP="00D8009F">
            <w:pPr>
              <w:keepNext/>
              <w:keepLine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009F">
              <w:rPr>
                <w:rFonts w:ascii="Arial" w:hAnsi="Arial" w:cs="Arial"/>
                <w:sz w:val="20"/>
                <w:szCs w:val="20"/>
              </w:rPr>
              <w:t>Cardiovascular System</w:t>
            </w:r>
          </w:p>
        </w:tc>
        <w:tc>
          <w:tcPr>
            <w:tcW w:w="1922" w:type="dxa"/>
          </w:tcPr>
          <w:p w14:paraId="26115F7F" w14:textId="77777777" w:rsidR="001E0D73" w:rsidRPr="00D8009F" w:rsidRDefault="001E0D73" w:rsidP="00D8009F">
            <w:pPr>
              <w:keepNext/>
              <w:keepLine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8009F">
              <w:rPr>
                <w:rFonts w:ascii="Arial" w:hAnsi="Arial" w:cs="Arial"/>
                <w:sz w:val="20"/>
                <w:szCs w:val="20"/>
              </w:rPr>
              <w:t>Haemostatic agents</w:t>
            </w:r>
          </w:p>
        </w:tc>
        <w:tc>
          <w:tcPr>
            <w:tcW w:w="1923" w:type="dxa"/>
          </w:tcPr>
          <w:p w14:paraId="03894882" w14:textId="77777777" w:rsidR="001E0D73" w:rsidRPr="00D8009F" w:rsidRDefault="001E0D73" w:rsidP="00D8009F">
            <w:pPr>
              <w:keepNext/>
              <w:keepLine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E0D73" w:rsidRPr="00D8009F" w14:paraId="00A0A496" w14:textId="77777777" w:rsidTr="00A331F4">
        <w:tc>
          <w:tcPr>
            <w:cnfStyle w:val="001000000000" w:firstRow="0" w:lastRow="0" w:firstColumn="1" w:lastColumn="0" w:oddVBand="0" w:evenVBand="0" w:oddHBand="0" w:evenHBand="0" w:firstRowFirstColumn="0" w:firstRowLastColumn="0" w:lastRowFirstColumn="0" w:lastRowLastColumn="0"/>
            <w:tcW w:w="9072" w:type="dxa"/>
            <w:gridSpan w:val="5"/>
          </w:tcPr>
          <w:p w14:paraId="144238B7" w14:textId="77777777" w:rsidR="001E0D73" w:rsidRPr="00D8009F" w:rsidRDefault="001E0D73" w:rsidP="00D8009F">
            <w:pPr>
              <w:keepNext/>
              <w:keepLines/>
              <w:spacing w:before="60" w:after="60"/>
              <w:rPr>
                <w:rFonts w:ascii="Arial" w:hAnsi="Arial" w:cs="Arial"/>
                <w:sz w:val="16"/>
                <w:szCs w:val="16"/>
              </w:rPr>
            </w:pPr>
            <w:r w:rsidRPr="00D17369">
              <w:rPr>
                <w:rFonts w:ascii="Arial" w:hAnsi="Arial" w:cs="Arial"/>
                <w:b/>
                <w:bCs/>
                <w:sz w:val="16"/>
                <w:szCs w:val="16"/>
              </w:rPr>
              <w:t>Category B1</w:t>
            </w:r>
            <w:r w:rsidRPr="00D8009F">
              <w:rPr>
                <w:rFonts w:ascii="Arial" w:hAnsi="Arial" w:cs="Arial"/>
                <w:sz w:val="16"/>
                <w:szCs w:val="16"/>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4B86776E" w14:textId="77777777" w:rsidR="001E0D73" w:rsidRPr="00D8009F" w:rsidRDefault="001E0D73" w:rsidP="00D8009F">
            <w:pPr>
              <w:keepNext/>
              <w:keepLines/>
              <w:spacing w:before="60" w:after="60"/>
              <w:rPr>
                <w:rFonts w:ascii="Arial" w:hAnsi="Arial" w:cs="Arial"/>
                <w:sz w:val="16"/>
                <w:szCs w:val="16"/>
              </w:rPr>
            </w:pPr>
            <w:r w:rsidRPr="00D8009F">
              <w:rPr>
                <w:rFonts w:ascii="Arial" w:hAnsi="Arial" w:cs="Arial"/>
                <w:sz w:val="16"/>
                <w:szCs w:val="16"/>
              </w:rPr>
              <w:t>Studies in animals have not shown evidence of an increased occurrence of foetal damage.</w:t>
            </w:r>
          </w:p>
        </w:tc>
      </w:tr>
    </w:tbl>
    <w:p w14:paraId="614E05DC" w14:textId="0BC24434" w:rsidR="001E0D73" w:rsidRPr="00D149A2" w:rsidRDefault="001E0D73" w:rsidP="00082D97">
      <w:pPr>
        <w:pStyle w:val="ListBullet"/>
      </w:pPr>
      <w:r w:rsidRPr="00D149A2">
        <w:t xml:space="preserve">There are no warning statements pertaining to </w:t>
      </w:r>
      <w:r>
        <w:t>tranexamic acid</w:t>
      </w:r>
      <w:r w:rsidRPr="00D149A2">
        <w:t xml:space="preserve"> in the </w:t>
      </w:r>
      <w:hyperlink r:id="rId115" w:history="1">
        <w:r w:rsidRPr="00D149A2">
          <w:rPr>
            <w:rStyle w:val="Hyperlink"/>
          </w:rPr>
          <w:t>Therapeutic Goods (Medicines Advisory Statements) Specification 2021</w:t>
        </w:r>
      </w:hyperlink>
      <w:r w:rsidR="002B50B0" w:rsidRPr="002B50B0">
        <w:rPr>
          <w:rStyle w:val="Hyperlink"/>
          <w:color w:val="auto"/>
          <w:u w:val="none"/>
        </w:rPr>
        <w:t>.</w:t>
      </w:r>
    </w:p>
    <w:p w14:paraId="0943AEFA" w14:textId="6331BE1E" w:rsidR="001E0D73" w:rsidRPr="00D149A2" w:rsidRDefault="002B1355" w:rsidP="00082D97">
      <w:pPr>
        <w:pStyle w:val="ListBullet"/>
      </w:pPr>
      <w:r>
        <w:t>Between January 2013 and</w:t>
      </w:r>
      <w:r w:rsidR="001E0D73" w:rsidRPr="00D149A2">
        <w:t xml:space="preserve"> </w:t>
      </w:r>
      <w:r w:rsidR="001E0D73" w:rsidRPr="00D760B5">
        <w:t xml:space="preserve">December 2023, there were </w:t>
      </w:r>
      <w:r>
        <w:t>84</w:t>
      </w:r>
      <w:r w:rsidR="001E0D73" w:rsidRPr="00D760B5">
        <w:t xml:space="preserve"> reports of adverse events for products containing tranexamic acid as an</w:t>
      </w:r>
      <w:r w:rsidR="001E0D73" w:rsidRPr="00D149A2">
        <w:t xml:space="preserve"> active ingredient on the </w:t>
      </w:r>
      <w:hyperlink r:id="rId116" w:history="1">
        <w:r w:rsidR="001E0D73" w:rsidRPr="00D149A2">
          <w:rPr>
            <w:rStyle w:val="Hyperlink"/>
          </w:rPr>
          <w:t>Database of Adverse Event Notifications (DAEN)</w:t>
        </w:r>
      </w:hyperlink>
      <w:r w:rsidR="001E0D73" w:rsidRPr="00D149A2">
        <w:t xml:space="preserve">, with </w:t>
      </w:r>
      <w:r>
        <w:t>49</w:t>
      </w:r>
      <w:r w:rsidR="001E0D73" w:rsidRPr="00D149A2">
        <w:t xml:space="preserve"> reports where </w:t>
      </w:r>
      <w:r w:rsidR="001E0D73">
        <w:t>tranexamic acid</w:t>
      </w:r>
      <w:r w:rsidR="001E0D73" w:rsidRPr="00D149A2">
        <w:t xml:space="preserve"> was the single suspected medicine. There were </w:t>
      </w:r>
      <w:r>
        <w:t>3</w:t>
      </w:r>
      <w:r w:rsidR="001E0D73" w:rsidRPr="00D149A2">
        <w:t xml:space="preserve"> reports of deaths associated with </w:t>
      </w:r>
      <w:r w:rsidR="001E0D73">
        <w:t>tranexamic acid</w:t>
      </w:r>
      <w:r w:rsidR="001E0D73" w:rsidRPr="00D149A2">
        <w:t xml:space="preserve"> use</w:t>
      </w:r>
      <w:r w:rsidR="001E0D73">
        <w:t>.</w:t>
      </w:r>
      <w:r w:rsidR="00D8009F">
        <w:t xml:space="preserve"> The reported events were varied in nature and affected various organ classes.</w:t>
      </w:r>
    </w:p>
    <w:p w14:paraId="049C6F6F" w14:textId="7E8CE1B3" w:rsidR="001E0D73" w:rsidRPr="00D149A2" w:rsidRDefault="001E0D73" w:rsidP="00082D97">
      <w:pPr>
        <w:pStyle w:val="ListBullet"/>
      </w:pPr>
      <w:r w:rsidRPr="00D149A2">
        <w:t xml:space="preserve">As </w:t>
      </w:r>
      <w:r w:rsidRPr="003405B4">
        <w:t>of December 2023</w:t>
      </w:r>
      <w:r w:rsidRPr="00D149A2">
        <w:t xml:space="preserve">, there </w:t>
      </w:r>
      <w:r>
        <w:t xml:space="preserve">was </w:t>
      </w:r>
      <w:r w:rsidR="00D8009F">
        <w:t>one</w:t>
      </w:r>
      <w:r w:rsidRPr="00D149A2">
        <w:t xml:space="preserve"> product containing </w:t>
      </w:r>
      <w:r>
        <w:t>tranexamic acid</w:t>
      </w:r>
      <w:r w:rsidRPr="00D149A2">
        <w:t xml:space="preserve"> as an active ingredient/constituent or scheduled substance listed on the </w:t>
      </w:r>
      <w:hyperlink r:id="rId117" w:history="1">
        <w:r w:rsidRPr="00D149A2">
          <w:rPr>
            <w:rStyle w:val="Hyperlink"/>
          </w:rPr>
          <w:t>Public Chemical Registration Information System Search (PubCRIS)</w:t>
        </w:r>
      </w:hyperlink>
      <w:r w:rsidRPr="00D149A2">
        <w:t xml:space="preserve">.  </w:t>
      </w:r>
    </w:p>
    <w:p w14:paraId="006BBB29" w14:textId="14E0D6E4" w:rsidR="001E0D73" w:rsidRPr="002B50B0" w:rsidRDefault="001E0D73" w:rsidP="00082D97">
      <w:pPr>
        <w:pStyle w:val="ListBullet"/>
        <w:rPr>
          <w:rStyle w:val="Hyperlink"/>
          <w:color w:val="auto"/>
          <w:u w:val="none"/>
        </w:rPr>
      </w:pPr>
      <w:r w:rsidRPr="00D149A2">
        <w:t>In 20</w:t>
      </w:r>
      <w:r w:rsidR="00CA4232">
        <w:t>10</w:t>
      </w:r>
      <w:r w:rsidRPr="00D149A2">
        <w:t>-20</w:t>
      </w:r>
      <w:r w:rsidR="00CA4232">
        <w:t>20</w:t>
      </w:r>
      <w:r w:rsidRPr="00D149A2">
        <w:t xml:space="preserve"> </w:t>
      </w:r>
      <w:r w:rsidR="00D8009F">
        <w:t>no</w:t>
      </w:r>
      <w:r w:rsidRPr="00D149A2">
        <w:t xml:space="preserve"> adverse experiences were recorded for </w:t>
      </w:r>
      <w:r>
        <w:t>tranexamic acid</w:t>
      </w:r>
      <w:r w:rsidRPr="00D149A2">
        <w:t xml:space="preserve"> in the </w:t>
      </w:r>
      <w:hyperlink r:id="rId118" w:history="1">
        <w:r w:rsidRPr="00D149A2">
          <w:rPr>
            <w:rStyle w:val="Hyperlink"/>
          </w:rPr>
          <w:t>APVMA Adverse Experience Reporting Program</w:t>
        </w:r>
      </w:hyperlink>
      <w:r w:rsidRPr="00D149A2">
        <w:rPr>
          <w:rStyle w:val="Hyperlink"/>
        </w:rPr>
        <w:t xml:space="preserve"> database (AERP)</w:t>
      </w:r>
      <w:r w:rsidR="00D8009F" w:rsidRPr="002B50B0">
        <w:rPr>
          <w:rStyle w:val="Hyperlink"/>
          <w:color w:val="auto"/>
          <w:u w:val="none"/>
        </w:rPr>
        <w:t>.</w:t>
      </w:r>
    </w:p>
    <w:p w14:paraId="10A0A7B2" w14:textId="0747C7B6" w:rsidR="002B50B0" w:rsidRPr="00D149A2" w:rsidRDefault="002B50B0" w:rsidP="00082D97">
      <w:pPr>
        <w:pStyle w:val="ListBullet"/>
      </w:pPr>
      <w:r>
        <w:t>As of December 2023, tranexamic acid is not listed on the Australian Inventory of Industrial Chemicals.</w:t>
      </w:r>
    </w:p>
    <w:p w14:paraId="79091274" w14:textId="77777777" w:rsidR="00C25488" w:rsidRPr="00D149A2" w:rsidRDefault="00C25488" w:rsidP="008C549F">
      <w:pPr>
        <w:pStyle w:val="Heading4"/>
      </w:pPr>
      <w:bookmarkStart w:id="112" w:name="_Toc155176420"/>
      <w:r w:rsidRPr="00D149A2">
        <w:lastRenderedPageBreak/>
        <w:t>International regulations</w:t>
      </w:r>
      <w:bookmarkEnd w:id="112"/>
    </w:p>
    <w:p w14:paraId="5C7134BE" w14:textId="67C54950" w:rsidR="002B1355" w:rsidRDefault="001E0D73" w:rsidP="00286C53">
      <w:pPr>
        <w:pStyle w:val="ListBullet-donotcross"/>
      </w:pPr>
      <w:r>
        <w:t xml:space="preserve">In the USA, the </w:t>
      </w:r>
      <w:hyperlink r:id="rId119" w:history="1">
        <w:r w:rsidRPr="001E0D73">
          <w:rPr>
            <w:rStyle w:val="Hyperlink"/>
          </w:rPr>
          <w:t>FDA Drug Products Database</w:t>
        </w:r>
      </w:hyperlink>
      <w:r>
        <w:t xml:space="preserve"> lists tranexamic acid as available as a prescription-only medicine as an injectable (100 mg/mL), intravenous solution (10 mg/mL), and oral preparations (650 mg).</w:t>
      </w:r>
    </w:p>
    <w:p w14:paraId="1D36E357" w14:textId="32B33F3C" w:rsidR="001E0D73" w:rsidRDefault="002B1355" w:rsidP="00286C53">
      <w:pPr>
        <w:pStyle w:val="ListBullet-donotcross"/>
      </w:pPr>
      <w:r>
        <w:t>T</w:t>
      </w:r>
      <w:r w:rsidR="001E0D73">
        <w:t xml:space="preserve">he </w:t>
      </w:r>
      <w:r>
        <w:t xml:space="preserve">Health </w:t>
      </w:r>
      <w:r w:rsidR="001E0D73">
        <w:t>Canad</w:t>
      </w:r>
      <w:r>
        <w:t>a</w:t>
      </w:r>
      <w:r w:rsidR="001E0D73">
        <w:t xml:space="preserve"> </w:t>
      </w:r>
      <w:hyperlink r:id="rId120" w:history="1">
        <w:r w:rsidR="001E0D73" w:rsidRPr="00F61FF8">
          <w:rPr>
            <w:rStyle w:val="Hyperlink"/>
          </w:rPr>
          <w:t>Drug Product Database</w:t>
        </w:r>
      </w:hyperlink>
      <w:r w:rsidR="001E0D73">
        <w:t xml:space="preserve"> classifies </w:t>
      </w:r>
      <w:r>
        <w:t xml:space="preserve">tranexamic acid </w:t>
      </w:r>
      <w:r w:rsidR="001E0D73">
        <w:t>as a prescription</w:t>
      </w:r>
      <w:r>
        <w:t>-only</w:t>
      </w:r>
      <w:r w:rsidR="001E0D73">
        <w:t xml:space="preserve"> medicine.</w:t>
      </w:r>
    </w:p>
    <w:p w14:paraId="55F2E8BD" w14:textId="169A64BF" w:rsidR="002B1355" w:rsidRDefault="001E0D73" w:rsidP="00286C53">
      <w:pPr>
        <w:pStyle w:val="ListBullet-donotcross"/>
      </w:pPr>
      <w:r>
        <w:t xml:space="preserve">The </w:t>
      </w:r>
      <w:hyperlink r:id="rId121" w:history="1">
        <w:r w:rsidRPr="00F61FF8">
          <w:rPr>
            <w:rStyle w:val="Hyperlink"/>
          </w:rPr>
          <w:t>ECHA</w:t>
        </w:r>
      </w:hyperlink>
      <w:r>
        <w:t xml:space="preserve"> lists tranexamic acid as a ‘GHS07: Health Hazard’ with a CLP statement that the substance causes serious eye irritations, causes skin irritation and may cause respiratory irritation. In Europe, tranexamic acid is also listed as an astringent and skin conditioning </w:t>
      </w:r>
      <w:hyperlink r:id="rId122" w:history="1">
        <w:r w:rsidRPr="00F61FF8">
          <w:rPr>
            <w:rStyle w:val="Hyperlink"/>
          </w:rPr>
          <w:t>cosmetic ingredient</w:t>
        </w:r>
      </w:hyperlink>
      <w:r>
        <w:t>.</w:t>
      </w:r>
    </w:p>
    <w:p w14:paraId="5DBC3DAC" w14:textId="62D77CF7" w:rsidR="001E0D73" w:rsidRDefault="001E0D73" w:rsidP="00286C53">
      <w:pPr>
        <w:pStyle w:val="ListBullet-donotcross"/>
      </w:pPr>
      <w:r>
        <w:t>Oral and injectable preparations of tranexamic acid are available as prescription-only medicine</w:t>
      </w:r>
      <w:r w:rsidR="002B1355">
        <w:t>s</w:t>
      </w:r>
      <w:r>
        <w:t xml:space="preserve"> </w:t>
      </w:r>
      <w:r w:rsidR="00F61FF8">
        <w:t>o</w:t>
      </w:r>
      <w:r>
        <w:t xml:space="preserve">n the </w:t>
      </w:r>
      <w:hyperlink r:id="rId123" w:history="1">
        <w:r w:rsidRPr="00F61FF8">
          <w:rPr>
            <w:rStyle w:val="Hyperlink"/>
          </w:rPr>
          <w:t>UK</w:t>
        </w:r>
        <w:r w:rsidR="00F61FF8" w:rsidRPr="00F61FF8">
          <w:rPr>
            <w:rStyle w:val="Hyperlink"/>
          </w:rPr>
          <w:t xml:space="preserve"> MHRA</w:t>
        </w:r>
      </w:hyperlink>
      <w:r>
        <w:t xml:space="preserve"> and </w:t>
      </w:r>
      <w:hyperlink r:id="rId124" w:history="1">
        <w:r w:rsidRPr="00F61FF8">
          <w:rPr>
            <w:rStyle w:val="Hyperlink"/>
          </w:rPr>
          <w:t>Ireland</w:t>
        </w:r>
        <w:r w:rsidR="00F61FF8" w:rsidRPr="00F61FF8">
          <w:rPr>
            <w:rStyle w:val="Hyperlink"/>
          </w:rPr>
          <w:t>’s HPRA</w:t>
        </w:r>
      </w:hyperlink>
      <w:r>
        <w:t xml:space="preserve">. </w:t>
      </w:r>
    </w:p>
    <w:p w14:paraId="1A964305" w14:textId="3C17AF54" w:rsidR="002B1355" w:rsidRDefault="001E0D73" w:rsidP="00286C53">
      <w:pPr>
        <w:pStyle w:val="ListBullet-donotcross"/>
      </w:pPr>
      <w:r>
        <w:t xml:space="preserve">The </w:t>
      </w:r>
      <w:hyperlink r:id="rId125" w:history="1">
        <w:r w:rsidRPr="00F61FF8">
          <w:rPr>
            <w:rStyle w:val="Hyperlink"/>
          </w:rPr>
          <w:t>New Zealand Inventory of Chemicals</w:t>
        </w:r>
      </w:hyperlink>
      <w:r>
        <w:t xml:space="preserve"> lists tranexamic acid as </w:t>
      </w:r>
      <w:r w:rsidRPr="00417C16">
        <w:t>Cyclohexanecarboxylic acid, 4-(aminomethyl)-, trans-</w:t>
      </w:r>
      <w:r>
        <w:t>, and does not have an individual approval but may be used as a component in a product covered by a group standard. It is not approved for use as a chemical in its own right.</w:t>
      </w:r>
    </w:p>
    <w:p w14:paraId="1996CAC0" w14:textId="7FE1F58E" w:rsidR="001E0D73" w:rsidRDefault="001E0D73" w:rsidP="00286C53">
      <w:pPr>
        <w:pStyle w:val="ListBullet-donotcross"/>
      </w:pPr>
      <w:r>
        <w:t>As a medicine, tranexamic acid is classified as a prescription medicine</w:t>
      </w:r>
      <w:r w:rsidR="00F61FF8">
        <w:t xml:space="preserve"> on the </w:t>
      </w:r>
      <w:hyperlink r:id="rId126" w:history="1">
        <w:r w:rsidR="00F61FF8" w:rsidRPr="00D149A2">
          <w:rPr>
            <w:rStyle w:val="Hyperlink"/>
            <w:rFonts w:cs="Arial"/>
          </w:rPr>
          <w:t>New Zealand Medicines and Medical Devices Safety Authority (MedSafe</w:t>
        </w:r>
      </w:hyperlink>
      <w:r w:rsidR="00F61FF8" w:rsidRPr="00D149A2">
        <w:rPr>
          <w:rFonts w:cs="Arial"/>
        </w:rPr>
        <w:t>)</w:t>
      </w:r>
      <w:r w:rsidR="00F61FF8">
        <w:t>.</w:t>
      </w:r>
    </w:p>
    <w:p w14:paraId="61C89ED1" w14:textId="77777777" w:rsidR="006A6BF8" w:rsidRDefault="006A6BF8">
      <w:pPr>
        <w:rPr>
          <w:rFonts w:eastAsia="Times New Roman" w:cs="Arial"/>
          <w:b/>
          <w:bCs/>
          <w:color w:val="001871"/>
          <w:sz w:val="38"/>
          <w:szCs w:val="38"/>
        </w:rPr>
      </w:pPr>
      <w:r>
        <w:rPr>
          <w:rFonts w:cs="Arial"/>
        </w:rPr>
        <w:br w:type="page"/>
      </w:r>
    </w:p>
    <w:p w14:paraId="02AE4424" w14:textId="457CDA1F" w:rsidR="00C25488" w:rsidRPr="00D149A2" w:rsidRDefault="00C25488" w:rsidP="00C25488">
      <w:pPr>
        <w:pStyle w:val="Heading2"/>
        <w:rPr>
          <w:rFonts w:cs="Arial"/>
        </w:rPr>
      </w:pPr>
      <w:bookmarkStart w:id="113" w:name="_Toc155176421"/>
      <w:r w:rsidRPr="00D149A2">
        <w:rPr>
          <w:rFonts w:cs="Arial"/>
        </w:rPr>
        <w:lastRenderedPageBreak/>
        <w:t>How to respond</w:t>
      </w:r>
      <w:bookmarkEnd w:id="111"/>
      <w:bookmarkEnd w:id="113"/>
    </w:p>
    <w:p w14:paraId="7278B7B9" w14:textId="26FFD72C" w:rsidR="00C25488" w:rsidRPr="002B1355" w:rsidRDefault="00C25488" w:rsidP="00C25488">
      <w:pPr>
        <w:rPr>
          <w:rFonts w:asciiTheme="minorHAnsi" w:hAnsiTheme="minorHAnsi" w:cstheme="minorHAnsi"/>
          <w:szCs w:val="22"/>
        </w:rPr>
      </w:pPr>
      <w:r w:rsidRPr="0010624D">
        <w:rPr>
          <w:rFonts w:cs="Calibri"/>
          <w:szCs w:val="22"/>
        </w:rPr>
        <w:t xml:space="preserve">Submissions must be provided by the closing date of </w:t>
      </w:r>
      <w:r w:rsidR="002B1355">
        <w:rPr>
          <w:rFonts w:cs="Calibri"/>
          <w:b/>
          <w:szCs w:val="22"/>
        </w:rPr>
        <w:t>5</w:t>
      </w:r>
      <w:r w:rsidRPr="0010624D">
        <w:rPr>
          <w:rFonts w:cs="Calibri"/>
          <w:b/>
          <w:szCs w:val="22"/>
        </w:rPr>
        <w:t xml:space="preserve"> </w:t>
      </w:r>
      <w:r w:rsidR="002B1355">
        <w:rPr>
          <w:rFonts w:cs="Calibri"/>
          <w:b/>
          <w:szCs w:val="22"/>
        </w:rPr>
        <w:t>February</w:t>
      </w:r>
      <w:r w:rsidRPr="0010624D">
        <w:rPr>
          <w:rFonts w:cs="Calibri"/>
          <w:b/>
          <w:szCs w:val="22"/>
        </w:rPr>
        <w:t xml:space="preserve"> 20</w:t>
      </w:r>
      <w:r w:rsidR="002B1355">
        <w:rPr>
          <w:rFonts w:cs="Calibri"/>
          <w:b/>
          <w:szCs w:val="22"/>
        </w:rPr>
        <w:t>24</w:t>
      </w:r>
      <w:r w:rsidRPr="0010624D">
        <w:rPr>
          <w:rFonts w:cs="Calibri"/>
          <w:szCs w:val="22"/>
        </w:rPr>
        <w:t xml:space="preserve"> through our </w:t>
      </w:r>
      <w:hyperlink r:id="rId127" w:history="1">
        <w:r w:rsidRPr="002B1355">
          <w:rPr>
            <w:rStyle w:val="Hyperlink"/>
            <w:rFonts w:cs="Calibri"/>
            <w:szCs w:val="22"/>
          </w:rPr>
          <w:t>consultation hub</w:t>
        </w:r>
      </w:hyperlink>
      <w:r w:rsidRPr="0010624D">
        <w:rPr>
          <w:rFonts w:cs="Calibri"/>
          <w:szCs w:val="22"/>
        </w:rPr>
        <w:t xml:space="preserve">. Any submission about any of the proposals to amend the Poisons Standard will be considered at the </w:t>
      </w:r>
      <w:r w:rsidRPr="002B1355">
        <w:rPr>
          <w:rFonts w:asciiTheme="minorHAnsi" w:hAnsiTheme="minorHAnsi" w:cstheme="minorHAnsi"/>
          <w:szCs w:val="22"/>
        </w:rPr>
        <w:t>next meeting of the </w:t>
      </w:r>
      <w:hyperlink r:id="rId128" w:history="1">
        <w:r w:rsidRPr="002B1355">
          <w:rPr>
            <w:rStyle w:val="Hyperlink"/>
            <w:rFonts w:asciiTheme="minorHAnsi" w:hAnsiTheme="minorHAnsi" w:cstheme="minorHAnsi"/>
            <w:szCs w:val="22"/>
          </w:rPr>
          <w:t>Advisory Committee on Medicines Scheduling (ACMS)</w:t>
        </w:r>
      </w:hyperlink>
      <w:r w:rsidRPr="002B1355">
        <w:rPr>
          <w:rFonts w:asciiTheme="minorHAnsi" w:hAnsiTheme="minorHAnsi" w:cstheme="minorHAnsi"/>
          <w:szCs w:val="22"/>
        </w:rPr>
        <w:t>, meeting of the </w:t>
      </w:r>
      <w:hyperlink r:id="rId129" w:history="1">
        <w:r w:rsidRPr="002B1355">
          <w:rPr>
            <w:rStyle w:val="Hyperlink"/>
            <w:rFonts w:asciiTheme="minorHAnsi" w:hAnsiTheme="minorHAnsi" w:cstheme="minorHAnsi"/>
            <w:szCs w:val="22"/>
          </w:rPr>
          <w:t>Advisory Committee on Chemicals Scheduling (ACCS)</w:t>
        </w:r>
      </w:hyperlink>
      <w:r w:rsidRPr="002B1355">
        <w:rPr>
          <w:rFonts w:asciiTheme="minorHAnsi" w:hAnsiTheme="minorHAnsi" w:cstheme="minorHAnsi"/>
          <w:szCs w:val="22"/>
        </w:rPr>
        <w:t>, or a joint meeting of these two committees.</w:t>
      </w:r>
    </w:p>
    <w:p w14:paraId="1C2D1937" w14:textId="77777777" w:rsidR="00C25488" w:rsidRPr="00D149A2" w:rsidRDefault="00C25488" w:rsidP="00C25488">
      <w:pPr>
        <w:pStyle w:val="Heading2"/>
        <w:rPr>
          <w:rFonts w:cs="Arial"/>
        </w:rPr>
      </w:pPr>
      <w:bookmarkStart w:id="114" w:name="_Toc122614250"/>
      <w:bookmarkStart w:id="115" w:name="_Toc155176422"/>
      <w:r w:rsidRPr="00D149A2">
        <w:rPr>
          <w:rFonts w:cs="Arial"/>
        </w:rPr>
        <w:t>What will happen</w:t>
      </w:r>
      <w:bookmarkEnd w:id="114"/>
      <w:bookmarkEnd w:id="115"/>
    </w:p>
    <w:p w14:paraId="092D17D8" w14:textId="79FB6033" w:rsidR="00C25488" w:rsidRPr="002B1355" w:rsidRDefault="0001227F" w:rsidP="00C25488">
      <w:pPr>
        <w:rPr>
          <w:rFonts w:asciiTheme="minorHAnsi" w:hAnsiTheme="minorHAnsi" w:cstheme="minorHAnsi"/>
          <w:szCs w:val="18"/>
        </w:rPr>
      </w:pPr>
      <w:r>
        <w:t xml:space="preserve">All public </w:t>
      </w:r>
      <w:r w:rsidR="00F47367">
        <w:t>submissions</w:t>
      </w:r>
      <w:r>
        <w:t xml:space="preserve"> will</w:t>
      </w:r>
      <w:r w:rsidR="00F47367">
        <w:t xml:space="preserve"> be published on the TGA website at</w:t>
      </w:r>
      <w:r>
        <w:t xml:space="preserve"> </w:t>
      </w:r>
      <w:hyperlink r:id="rId130" w:history="1">
        <w:r>
          <w:rPr>
            <w:rStyle w:val="Hyperlink"/>
            <w:rFonts w:asciiTheme="minorHAnsi" w:hAnsiTheme="minorHAnsi" w:cstheme="minorHAnsi"/>
            <w:szCs w:val="18"/>
          </w:rPr>
          <w:t>public submissions on scheduling matters</w:t>
        </w:r>
      </w:hyperlink>
      <w:r w:rsidR="00C25488" w:rsidRPr="002B1355">
        <w:rPr>
          <w:rFonts w:asciiTheme="minorHAnsi" w:hAnsiTheme="minorHAnsi" w:cstheme="minorHAnsi"/>
          <w:szCs w:val="18"/>
        </w:rPr>
        <w:t>, unless marked confidential.</w:t>
      </w:r>
    </w:p>
    <w:p w14:paraId="7CB172EC" w14:textId="725784A7" w:rsidR="00C25488" w:rsidRPr="00F47367" w:rsidRDefault="00C25488" w:rsidP="00F47367">
      <w:pPr>
        <w:rPr>
          <w:rFonts w:asciiTheme="minorHAnsi" w:hAnsiTheme="minorHAnsi" w:cstheme="minorHAnsi"/>
          <w:szCs w:val="18"/>
        </w:rPr>
        <w:sectPr w:rsidR="00C25488" w:rsidRPr="00F47367" w:rsidSect="007C6748">
          <w:headerReference w:type="default" r:id="rId131"/>
          <w:footerReference w:type="default" r:id="rId132"/>
          <w:headerReference w:type="first" r:id="rId133"/>
          <w:pgSz w:w="11906" w:h="16838" w:code="9"/>
          <w:pgMar w:top="1134" w:right="1418" w:bottom="1361" w:left="1418" w:header="573" w:footer="567" w:gutter="0"/>
          <w:cols w:space="708"/>
          <w:titlePg/>
          <w:docGrid w:linePitch="360"/>
        </w:sectPr>
      </w:pPr>
      <w:r w:rsidRPr="002B1355">
        <w:rPr>
          <w:rFonts w:asciiTheme="minorHAnsi" w:hAnsiTheme="minorHAnsi" w:cstheme="minorHAnsi"/>
          <w:szCs w:val="18"/>
        </w:rPr>
        <w:t xml:space="preserve">Following consideration of public submissions received before the closing date and advice from the expert advisory committee/s, decisions on the proposed amendments will be published as </w:t>
      </w:r>
      <w:hyperlink r:id="rId134" w:history="1">
        <w:r w:rsidR="00F47367">
          <w:rPr>
            <w:rStyle w:val="Hyperlink"/>
            <w:rFonts w:asciiTheme="minorHAnsi" w:hAnsiTheme="minorHAnsi" w:cstheme="minorHAnsi"/>
            <w:szCs w:val="18"/>
          </w:rPr>
          <w:t>interim decisions</w:t>
        </w:r>
      </w:hyperlink>
      <w:r w:rsidR="00F47367" w:rsidRPr="00F47367">
        <w:t xml:space="preserve"> </w:t>
      </w:r>
      <w:r w:rsidR="00F47367">
        <w:t>on the TGA website and furthers comments will be sought.</w:t>
      </w:r>
    </w:p>
    <w:p w14:paraId="5CF71483" w14:textId="77777777" w:rsidR="00C25488" w:rsidRPr="00D149A2" w:rsidRDefault="00C25488" w:rsidP="00C25488">
      <w:pPr>
        <w:rPr>
          <w:rFonts w:cs="Arial"/>
        </w:rPr>
      </w:pPr>
    </w:p>
    <w:p w14:paraId="631DD696" w14:textId="77777777" w:rsidR="00B528AB" w:rsidRPr="00C25488" w:rsidRDefault="00B528AB" w:rsidP="00C25488"/>
    <w:sectPr w:rsidR="00B528AB" w:rsidRPr="00C25488" w:rsidSect="00537B47">
      <w:headerReference w:type="first" r:id="rId135"/>
      <w:footerReference w:type="first" r:id="rId13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19379" w14:textId="77777777" w:rsidR="008E30F0" w:rsidRDefault="008E30F0" w:rsidP="00537B47">
      <w:pPr>
        <w:spacing w:after="0" w:line="240" w:lineRule="auto"/>
      </w:pPr>
      <w:r>
        <w:separator/>
      </w:r>
    </w:p>
  </w:endnote>
  <w:endnote w:type="continuationSeparator" w:id="0">
    <w:p w14:paraId="79065D43" w14:textId="77777777" w:rsidR="008E30F0" w:rsidRDefault="008E30F0" w:rsidP="0053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C25488" w:rsidRPr="002D5EA5" w14:paraId="62289714" w14:textId="77777777" w:rsidTr="00CF5D3B">
      <w:trPr>
        <w:trHeight w:val="423"/>
      </w:trPr>
      <w:tc>
        <w:tcPr>
          <w:tcW w:w="7338" w:type="dxa"/>
          <w:tcBorders>
            <w:top w:val="single" w:sz="4" w:space="0" w:color="auto"/>
          </w:tcBorders>
        </w:tcPr>
        <w:p w14:paraId="3ED99660" w14:textId="2A2340BE" w:rsidR="00C25488" w:rsidRPr="002D5EA5" w:rsidRDefault="00C25488" w:rsidP="00174D43">
          <w:pPr>
            <w:ind w:left="-105"/>
            <w:rPr>
              <w:rFonts w:asciiTheme="minorHAnsi" w:hAnsiTheme="minorHAnsi" w:cstheme="minorHAnsi"/>
              <w:sz w:val="17"/>
              <w:szCs w:val="17"/>
              <w:highlight w:val="yellow"/>
            </w:rPr>
          </w:pPr>
          <w:r w:rsidRPr="002D5EA5">
            <w:rPr>
              <w:rFonts w:asciiTheme="minorHAnsi" w:hAnsiTheme="minorHAnsi" w:cstheme="minorHAnsi"/>
              <w:sz w:val="17"/>
              <w:szCs w:val="17"/>
            </w:rPr>
            <w:t xml:space="preserve">Consultation: Proposed amendments to the Poisons Standard – ACMS #44, ACCS #38 and Joint ACMS-ACCS #36 meetings, March 2024 </w:t>
          </w:r>
          <w:r w:rsidRPr="002D5EA5">
            <w:rPr>
              <w:rFonts w:asciiTheme="minorHAnsi" w:hAnsiTheme="minorHAnsi" w:cstheme="minorHAnsi"/>
              <w:sz w:val="17"/>
              <w:szCs w:val="17"/>
            </w:rPr>
            <w:br/>
          </w:r>
        </w:p>
      </w:tc>
      <w:tc>
        <w:tcPr>
          <w:tcW w:w="1734" w:type="dxa"/>
          <w:tcBorders>
            <w:top w:val="single" w:sz="4" w:space="0" w:color="auto"/>
          </w:tcBorders>
        </w:tcPr>
        <w:sdt>
          <w:sdtPr>
            <w:rPr>
              <w:rFonts w:asciiTheme="minorHAnsi" w:hAnsiTheme="minorHAnsi" w:cstheme="minorHAnsi"/>
              <w:sz w:val="17"/>
              <w:szCs w:val="17"/>
            </w:rPr>
            <w:id w:val="11571659"/>
            <w:docPartObj>
              <w:docPartGallery w:val="Page Numbers (Top of Page)"/>
              <w:docPartUnique/>
            </w:docPartObj>
          </w:sdtPr>
          <w:sdtContent>
            <w:p w14:paraId="3C6AA429" w14:textId="77777777" w:rsidR="00C25488" w:rsidRPr="002D5EA5" w:rsidRDefault="00C25488" w:rsidP="00DA13DB">
              <w:pPr>
                <w:ind w:left="498" w:right="-102"/>
                <w:jc w:val="right"/>
                <w:rPr>
                  <w:rFonts w:asciiTheme="minorHAnsi" w:hAnsiTheme="minorHAnsi" w:cstheme="minorHAnsi"/>
                  <w:sz w:val="17"/>
                  <w:szCs w:val="17"/>
                </w:rPr>
              </w:pPr>
              <w:r w:rsidRPr="002D5EA5">
                <w:rPr>
                  <w:rFonts w:asciiTheme="minorHAnsi" w:hAnsiTheme="minorHAnsi" w:cstheme="minorHAnsi"/>
                  <w:sz w:val="17"/>
                  <w:szCs w:val="17"/>
                </w:rPr>
                <w:t xml:space="preserve">Page </w:t>
              </w:r>
              <w:r w:rsidRPr="002D5EA5">
                <w:rPr>
                  <w:rFonts w:asciiTheme="minorHAnsi" w:hAnsiTheme="minorHAnsi" w:cstheme="minorHAnsi"/>
                  <w:sz w:val="17"/>
                  <w:szCs w:val="17"/>
                </w:rPr>
                <w:fldChar w:fldCharType="begin"/>
              </w:r>
              <w:r w:rsidRPr="002D5EA5">
                <w:rPr>
                  <w:rFonts w:asciiTheme="minorHAnsi" w:hAnsiTheme="minorHAnsi" w:cstheme="minorHAnsi"/>
                  <w:sz w:val="17"/>
                  <w:szCs w:val="17"/>
                </w:rPr>
                <w:instrText xml:space="preserve"> PAGE </w:instrText>
              </w:r>
              <w:r w:rsidRPr="002D5EA5">
                <w:rPr>
                  <w:rFonts w:asciiTheme="minorHAnsi" w:hAnsiTheme="minorHAnsi" w:cstheme="minorHAnsi"/>
                  <w:sz w:val="17"/>
                  <w:szCs w:val="17"/>
                </w:rPr>
                <w:fldChar w:fldCharType="separate"/>
              </w:r>
              <w:r w:rsidRPr="002D5EA5">
                <w:rPr>
                  <w:rFonts w:asciiTheme="minorHAnsi" w:hAnsiTheme="minorHAnsi" w:cstheme="minorHAnsi"/>
                  <w:noProof/>
                  <w:sz w:val="17"/>
                  <w:szCs w:val="17"/>
                </w:rPr>
                <w:t>6</w:t>
              </w:r>
              <w:r w:rsidRPr="002D5EA5">
                <w:rPr>
                  <w:rFonts w:asciiTheme="minorHAnsi" w:hAnsiTheme="minorHAnsi" w:cstheme="minorHAnsi"/>
                  <w:noProof/>
                  <w:sz w:val="17"/>
                  <w:szCs w:val="17"/>
                </w:rPr>
                <w:fldChar w:fldCharType="end"/>
              </w:r>
              <w:r w:rsidRPr="002D5EA5">
                <w:rPr>
                  <w:rFonts w:asciiTheme="minorHAnsi" w:hAnsiTheme="minorHAnsi" w:cstheme="minorHAnsi"/>
                  <w:sz w:val="17"/>
                  <w:szCs w:val="17"/>
                </w:rPr>
                <w:t xml:space="preserve"> of </w:t>
              </w:r>
              <w:r w:rsidRPr="002D5EA5">
                <w:rPr>
                  <w:rFonts w:asciiTheme="minorHAnsi" w:hAnsiTheme="minorHAnsi" w:cstheme="minorHAnsi"/>
                  <w:sz w:val="17"/>
                  <w:szCs w:val="17"/>
                </w:rPr>
                <w:fldChar w:fldCharType="begin"/>
              </w:r>
              <w:r w:rsidRPr="002D5EA5">
                <w:rPr>
                  <w:rFonts w:asciiTheme="minorHAnsi" w:hAnsiTheme="minorHAnsi" w:cstheme="minorHAnsi"/>
                  <w:sz w:val="17"/>
                  <w:szCs w:val="17"/>
                </w:rPr>
                <w:instrText xml:space="preserve"> NUMPAGES  </w:instrText>
              </w:r>
              <w:r w:rsidRPr="002D5EA5">
                <w:rPr>
                  <w:rFonts w:asciiTheme="minorHAnsi" w:hAnsiTheme="minorHAnsi" w:cstheme="minorHAnsi"/>
                  <w:sz w:val="17"/>
                  <w:szCs w:val="17"/>
                </w:rPr>
                <w:fldChar w:fldCharType="separate"/>
              </w:r>
              <w:r w:rsidRPr="002D5EA5">
                <w:rPr>
                  <w:rFonts w:asciiTheme="minorHAnsi" w:hAnsiTheme="minorHAnsi" w:cstheme="minorHAnsi"/>
                  <w:noProof/>
                  <w:sz w:val="17"/>
                  <w:szCs w:val="17"/>
                </w:rPr>
                <w:t>7</w:t>
              </w:r>
              <w:r w:rsidRPr="002D5EA5">
                <w:rPr>
                  <w:rFonts w:asciiTheme="minorHAnsi" w:hAnsiTheme="minorHAnsi" w:cstheme="minorHAnsi"/>
                  <w:noProof/>
                  <w:sz w:val="17"/>
                  <w:szCs w:val="17"/>
                </w:rPr>
                <w:fldChar w:fldCharType="end"/>
              </w:r>
            </w:p>
          </w:sdtContent>
        </w:sdt>
      </w:tc>
    </w:tr>
  </w:tbl>
  <w:p w14:paraId="4A38C078" w14:textId="77777777" w:rsidR="00C25488" w:rsidRPr="00B90A0A" w:rsidRDefault="00C25488" w:rsidP="002B50B0">
    <w:pPr>
      <w:pStyle w:val="Footer"/>
      <w:tabs>
        <w:tab w:val="left" w:pos="7620"/>
        <w:tab w:val="right" w:pos="8504"/>
      </w:tabs>
      <w:rPr>
        <w:rFonts w:cstheme="minorHAns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2A3A4D33" w14:textId="77777777" w:rsidTr="00574690">
      <w:trPr>
        <w:trHeight w:hRule="exact" w:val="565"/>
        <w:jc w:val="center"/>
      </w:trPr>
      <w:tc>
        <w:tcPr>
          <w:tcW w:w="9145" w:type="dxa"/>
        </w:tcPr>
        <w:p w14:paraId="3D636C30" w14:textId="20E7DED0" w:rsidR="00B528AB" w:rsidRPr="00215D48" w:rsidRDefault="00B528AB" w:rsidP="00B528AB">
          <w:pPr>
            <w:pStyle w:val="TGASignoff"/>
          </w:pPr>
          <w:r w:rsidRPr="00215D48">
            <w:t>Therapeutic Goods Administration</w:t>
          </w:r>
        </w:p>
      </w:tc>
    </w:tr>
    <w:tr w:rsidR="00B528AB" w:rsidRPr="00215D48" w14:paraId="4C9886D0" w14:textId="77777777" w:rsidTr="00574690">
      <w:trPr>
        <w:trHeight w:val="963"/>
        <w:jc w:val="center"/>
      </w:trPr>
      <w:tc>
        <w:tcPr>
          <w:tcW w:w="9145" w:type="dxa"/>
          <w:tcMar>
            <w:top w:w="28" w:type="dxa"/>
          </w:tcMar>
        </w:tcPr>
        <w:p w14:paraId="19B05640" w14:textId="77777777" w:rsidR="00B528AB" w:rsidRPr="00215D48" w:rsidRDefault="00B528AB" w:rsidP="00B528AB">
          <w:pPr>
            <w:pStyle w:val="Address"/>
            <w:jc w:val="center"/>
          </w:pPr>
          <w:r w:rsidRPr="00215D48">
            <w:t>PO Box 100 Woden ACT 2606 Australia</w:t>
          </w:r>
        </w:p>
        <w:p w14:paraId="1CE99BFC"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020 653  Fax: </w:t>
          </w:r>
          <w:r w:rsidRPr="00BA0DFC">
            <w:t>02 6203 1605</w:t>
          </w:r>
        </w:p>
        <w:p w14:paraId="4911D801"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r w:rsidR="00B528AB" w:rsidRPr="00215D48" w14:paraId="3CB7FA62" w14:textId="77777777" w:rsidTr="00574690">
      <w:trPr>
        <w:trHeight w:val="251"/>
        <w:jc w:val="center"/>
      </w:trPr>
      <w:tc>
        <w:tcPr>
          <w:tcW w:w="9145" w:type="dxa"/>
          <w:tcMar>
            <w:top w:w="28" w:type="dxa"/>
          </w:tcMar>
        </w:tcPr>
        <w:p w14:paraId="1278BB59" w14:textId="64041C9D" w:rsidR="00B528AB" w:rsidRPr="00215D48" w:rsidRDefault="00B528AB" w:rsidP="006A6BF8">
          <w:pPr>
            <w:pStyle w:val="Address"/>
          </w:pPr>
        </w:p>
      </w:tc>
    </w:tr>
  </w:tbl>
  <w:p w14:paraId="790D4C27"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B2162" w14:textId="77777777" w:rsidR="008E30F0" w:rsidRDefault="008E30F0" w:rsidP="00537B47">
      <w:pPr>
        <w:spacing w:after="0" w:line="240" w:lineRule="auto"/>
      </w:pPr>
      <w:r>
        <w:separator/>
      </w:r>
    </w:p>
  </w:footnote>
  <w:footnote w:type="continuationSeparator" w:id="0">
    <w:p w14:paraId="6525F65E" w14:textId="77777777" w:rsidR="008E30F0" w:rsidRDefault="008E30F0" w:rsidP="00537B47">
      <w:pPr>
        <w:spacing w:after="0" w:line="240" w:lineRule="auto"/>
      </w:pPr>
      <w:r>
        <w:continuationSeparator/>
      </w:r>
    </w:p>
  </w:footnote>
  <w:footnote w:id="1">
    <w:p w14:paraId="4EA03669" w14:textId="77777777" w:rsidR="00C25488" w:rsidRPr="00E62F35" w:rsidRDefault="00C25488" w:rsidP="00C25488">
      <w:pPr>
        <w:rPr>
          <w:sz w:val="18"/>
          <w:szCs w:val="18"/>
        </w:rPr>
      </w:pPr>
      <w:r w:rsidRPr="00E62F35">
        <w:rPr>
          <w:rStyle w:val="FootnoteReference"/>
          <w:rFonts w:asciiTheme="majorHAnsi" w:hAnsiTheme="majorHAnsi" w:cstheme="majorHAnsi"/>
          <w:sz w:val="18"/>
          <w:szCs w:val="18"/>
        </w:rPr>
        <w:footnoteRef/>
      </w:r>
      <w:r w:rsidRPr="00E62F35">
        <w:rPr>
          <w:sz w:val="18"/>
          <w:szCs w:val="18"/>
        </w:rPr>
        <w:t xml:space="preserve"> Proposed additions are shown in green underlined font, proposed deletions are shown in red strikethrough font, and text without this formatting represents the current text in the Poisons Standard.</w:t>
      </w:r>
    </w:p>
  </w:footnote>
  <w:footnote w:id="2">
    <w:p w14:paraId="735429CA" w14:textId="77777777" w:rsidR="00C25488" w:rsidRPr="00E62F35" w:rsidRDefault="00C25488" w:rsidP="00C25488">
      <w:pPr>
        <w:rPr>
          <w:sz w:val="18"/>
          <w:szCs w:val="18"/>
        </w:rPr>
      </w:pPr>
      <w:r w:rsidRPr="00E62F35">
        <w:rPr>
          <w:rStyle w:val="FootnoteReference"/>
          <w:rFonts w:asciiTheme="majorHAnsi" w:hAnsiTheme="majorHAnsi" w:cstheme="majorHAnsi"/>
          <w:sz w:val="18"/>
          <w:szCs w:val="18"/>
        </w:rPr>
        <w:footnoteRef/>
      </w:r>
      <w:r w:rsidRPr="00E62F35">
        <w:rPr>
          <w:sz w:val="18"/>
          <w:szCs w:val="18"/>
        </w:rPr>
        <w:t xml:space="preserve"> Proposed additions are shown in green underlined font, proposed deletions are shown in red strikethrough font, and text without this formatting represents the current text in the Poisons Standard.</w:t>
      </w:r>
    </w:p>
  </w:footnote>
  <w:footnote w:id="3">
    <w:p w14:paraId="7ED42DCE" w14:textId="77777777" w:rsidR="00C25488" w:rsidRPr="00E62F35" w:rsidRDefault="00C25488" w:rsidP="00C25488">
      <w:pPr>
        <w:rPr>
          <w:sz w:val="18"/>
          <w:szCs w:val="18"/>
        </w:rPr>
      </w:pPr>
      <w:r w:rsidRPr="00E62F35">
        <w:rPr>
          <w:rStyle w:val="FootnoteReference"/>
          <w:rFonts w:asciiTheme="majorHAnsi" w:hAnsiTheme="majorHAnsi" w:cstheme="majorHAnsi"/>
          <w:sz w:val="18"/>
          <w:szCs w:val="18"/>
        </w:rPr>
        <w:footnoteRef/>
      </w:r>
      <w:r w:rsidRPr="00E62F35">
        <w:rPr>
          <w:sz w:val="18"/>
          <w:szCs w:val="18"/>
        </w:rPr>
        <w:t xml:space="preserve"> Proposed additions are shown in green underlined font, proposed deletions are shown in red strikethrough font, and text without this formatting represents the current text in the Poisons Standard.</w:t>
      </w:r>
    </w:p>
  </w:footnote>
  <w:footnote w:id="4">
    <w:p w14:paraId="2CEE28C1" w14:textId="77777777" w:rsidR="00C25488" w:rsidRPr="00E62F35" w:rsidRDefault="00C25488" w:rsidP="00C25488">
      <w:pPr>
        <w:rPr>
          <w:sz w:val="18"/>
          <w:szCs w:val="18"/>
        </w:rPr>
      </w:pPr>
      <w:r w:rsidRPr="00E62F35">
        <w:rPr>
          <w:rStyle w:val="FootnoteReference"/>
          <w:rFonts w:asciiTheme="majorHAnsi" w:hAnsiTheme="majorHAnsi" w:cstheme="majorHAnsi"/>
          <w:sz w:val="18"/>
          <w:szCs w:val="18"/>
        </w:rPr>
        <w:footnoteRef/>
      </w:r>
      <w:r w:rsidRPr="00E62F35">
        <w:rPr>
          <w:sz w:val="18"/>
          <w:szCs w:val="18"/>
        </w:rPr>
        <w:t xml:space="preserve"> Proposed additions are shown in green underlined font, proposed deletions are shown in red strikethrough font, and text without this formatting represents the current text in the Poisons Standard.</w:t>
      </w:r>
    </w:p>
  </w:footnote>
  <w:footnote w:id="5">
    <w:p w14:paraId="1D9A6CE7" w14:textId="77777777" w:rsidR="00C25488" w:rsidRPr="00A1663F" w:rsidRDefault="00C25488" w:rsidP="00C25488">
      <w:pPr>
        <w:rPr>
          <w:sz w:val="18"/>
          <w:szCs w:val="18"/>
        </w:rPr>
      </w:pPr>
      <w:r w:rsidRPr="00A1663F">
        <w:rPr>
          <w:rStyle w:val="FootnoteReference"/>
          <w:rFonts w:asciiTheme="majorHAnsi" w:hAnsiTheme="majorHAnsi" w:cstheme="majorHAnsi"/>
          <w:sz w:val="18"/>
          <w:szCs w:val="18"/>
        </w:rPr>
        <w:footnoteRef/>
      </w:r>
      <w:r w:rsidRPr="00A1663F">
        <w:rPr>
          <w:sz w:val="18"/>
          <w:szCs w:val="18"/>
        </w:rPr>
        <w:t xml:space="preserve"> Proposed additions are shown in green underlined font, proposed deletions are shown in red strikethrough font, and text without this formatting represents the current text in the Poisons Standard.</w:t>
      </w:r>
    </w:p>
  </w:footnote>
  <w:footnote w:id="6">
    <w:p w14:paraId="58BCC5CA" w14:textId="77777777" w:rsidR="00C25488" w:rsidRPr="00AA45B2" w:rsidRDefault="00C25488" w:rsidP="00C25488">
      <w:pPr>
        <w:rPr>
          <w:rFonts w:cs="Calibri"/>
          <w:sz w:val="18"/>
          <w:szCs w:val="18"/>
        </w:rPr>
      </w:pPr>
      <w:r w:rsidRPr="00AA45B2">
        <w:rPr>
          <w:rStyle w:val="FootnoteReference"/>
          <w:rFonts w:cs="Calibri"/>
          <w:sz w:val="18"/>
          <w:szCs w:val="18"/>
        </w:rPr>
        <w:footnoteRef/>
      </w:r>
      <w:r w:rsidRPr="00AA45B2">
        <w:rPr>
          <w:rFonts w:cs="Calibri"/>
          <w:sz w:val="18"/>
          <w:szCs w:val="18"/>
        </w:rPr>
        <w:t xml:space="preserve"> Proposed additions are shown in green underlined font, proposed deletions are shown in red strikethrough font, and text without this formatting represents the current text in the Poisons Standard.</w:t>
      </w:r>
    </w:p>
  </w:footnote>
  <w:footnote w:id="7">
    <w:p w14:paraId="65ADC49E" w14:textId="77777777" w:rsidR="00C25488" w:rsidRPr="008007EB" w:rsidRDefault="00C25488" w:rsidP="00C25488">
      <w:pPr>
        <w:rPr>
          <w:sz w:val="17"/>
          <w:szCs w:val="17"/>
        </w:rPr>
      </w:pPr>
      <w:r w:rsidRPr="008007EB">
        <w:rPr>
          <w:rStyle w:val="FootnoteReference"/>
          <w:rFonts w:asciiTheme="majorHAnsi" w:hAnsiTheme="majorHAnsi" w:cstheme="majorHAnsi"/>
          <w:sz w:val="17"/>
          <w:szCs w:val="17"/>
        </w:rPr>
        <w:footnoteRef/>
      </w:r>
      <w:r w:rsidRPr="008007EB">
        <w:rPr>
          <w:sz w:val="17"/>
          <w:szCs w:val="17"/>
        </w:rPr>
        <w:t xml:space="preserve"> Proposed additions are shown in green underlined font, proposed deletions are shown in red strikethrough font, and text without this formatting represents the current text in the Poisons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D011" w14:textId="4574B0CF" w:rsidR="00C25488" w:rsidRPr="00D37F62" w:rsidRDefault="00C25488" w:rsidP="0036197E">
    <w:pPr>
      <w:pStyle w:val="Header"/>
      <w:tabs>
        <w:tab w:val="clear" w:pos="9026"/>
        <w:tab w:val="right" w:pos="9070"/>
      </w:tabs>
      <w:rPr>
        <w:rFonts w:cs="Arial"/>
        <w:sz w:val="18"/>
      </w:rPr>
    </w:pPr>
    <w:bookmarkStart w:id="116" w:name="_Hlk139891503"/>
    <w:bookmarkStart w:id="117" w:name="_Hlk139891504"/>
    <w:bookmarkStart w:id="118" w:name="_Hlk139891507"/>
    <w:bookmarkStart w:id="119" w:name="_Hlk139891508"/>
    <w:bookmarkStart w:id="120" w:name="_Hlk139891512"/>
    <w:bookmarkStart w:id="121" w:name="_Hlk139891513"/>
    <w:bookmarkStart w:id="122" w:name="_Hlk139891537"/>
    <w:bookmarkStart w:id="123" w:name="_Hlk139891538"/>
    <w:r w:rsidRPr="00D37F62">
      <w:rPr>
        <w:rFonts w:cs="Arial"/>
        <w:sz w:val="18"/>
      </w:rPr>
      <w:t>Therapeutic Goods Administration</w:t>
    </w:r>
    <w:bookmarkEnd w:id="116"/>
    <w:bookmarkEnd w:id="117"/>
    <w:bookmarkEnd w:id="118"/>
    <w:bookmarkEnd w:id="119"/>
    <w:bookmarkEnd w:id="120"/>
    <w:bookmarkEnd w:id="121"/>
    <w:bookmarkEnd w:id="122"/>
    <w:bookmarkEnd w:id="12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C25488" w:rsidRPr="002B29B2" w14:paraId="6C6E89BB" w14:textId="77777777" w:rsidTr="00014837">
      <w:trPr>
        <w:trHeight w:hRule="exact" w:val="8845"/>
      </w:trPr>
      <w:tc>
        <w:tcPr>
          <w:tcW w:w="11964" w:type="dxa"/>
          <w:vAlign w:val="center"/>
        </w:tcPr>
        <w:p w14:paraId="73D92508" w14:textId="7B7CF355" w:rsidR="00C25488" w:rsidRPr="002B29B2" w:rsidRDefault="00C25488" w:rsidP="007C6748">
          <w:pPr>
            <w:ind w:left="-57"/>
            <w:rPr>
              <w:noProof/>
            </w:rPr>
          </w:pPr>
        </w:p>
      </w:tc>
    </w:tr>
  </w:tbl>
  <w:p w14:paraId="67A6C570" w14:textId="77777777" w:rsidR="00C25488" w:rsidRPr="007C6748" w:rsidRDefault="00C25488" w:rsidP="007C6748">
    <w:pPr>
      <w:rPr>
        <w:noProof/>
      </w:rPr>
    </w:pPr>
    <w:r>
      <w:rPr>
        <w:noProof/>
        <w:lang w:eastAsia="en-AU"/>
      </w:rPr>
      <w:drawing>
        <wp:anchor distT="0" distB="0" distL="114300" distR="114300" simplePos="0" relativeHeight="251660288" behindDoc="0" locked="0" layoutInCell="1" allowOverlap="1" wp14:anchorId="5CFB5288" wp14:editId="309A25C4">
          <wp:simplePos x="0" y="0"/>
          <wp:positionH relativeFrom="column">
            <wp:posOffset>-400050</wp:posOffset>
          </wp:positionH>
          <wp:positionV relativeFrom="paragraph">
            <wp:posOffset>-116205</wp:posOffset>
          </wp:positionV>
          <wp:extent cx="2676525" cy="621665"/>
          <wp:effectExtent l="0" t="0" r="9525" b="698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B29B2">
      <w:rPr>
        <w:noProof/>
        <w:lang w:eastAsia="en-AU"/>
      </w:rPr>
      <w:drawing>
        <wp:anchor distT="0" distB="0" distL="114300" distR="114300" simplePos="0" relativeHeight="251659264" behindDoc="0" locked="0" layoutInCell="0" allowOverlap="1" wp14:anchorId="24A79B6F" wp14:editId="4D02B2E3">
          <wp:simplePos x="0" y="0"/>
          <wp:positionH relativeFrom="page">
            <wp:align>left</wp:align>
          </wp:positionH>
          <wp:positionV relativeFrom="page">
            <wp:posOffset>3239495</wp:posOffset>
          </wp:positionV>
          <wp:extent cx="7663815" cy="4323091"/>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9AE3" w14:textId="6FF3EAA0" w:rsidR="00B528AB" w:rsidRDefault="00B528AB" w:rsidP="005F6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578109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26A52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56667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A37399"/>
    <w:multiLevelType w:val="multilevel"/>
    <w:tmpl w:val="46163836"/>
    <w:lvl w:ilvl="0">
      <w:start w:val="1"/>
      <w:numFmt w:val="decimal"/>
      <w:lvlText w:val="%1"/>
      <w:lvlJc w:val="left"/>
      <w:pPr>
        <w:ind w:left="680" w:hanging="680"/>
      </w:pPr>
      <w:rPr>
        <w:rFonts w:ascii="Arial" w:hAnsi="Arial" w:hint="default"/>
        <w:b/>
        <w:i w:val="0"/>
        <w:sz w:val="38"/>
      </w:rPr>
    </w:lvl>
    <w:lvl w:ilvl="1">
      <w:start w:val="1"/>
      <w:numFmt w:val="decimal"/>
      <w:lvlText w:val="%2.1"/>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1ABD74D0"/>
    <w:multiLevelType w:val="hybridMultilevel"/>
    <w:tmpl w:val="D3EA53B2"/>
    <w:lvl w:ilvl="0" w:tplc="639E1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23FB1C56"/>
    <w:multiLevelType w:val="multilevel"/>
    <w:tmpl w:val="339EBC96"/>
    <w:lvl w:ilvl="0">
      <w:start w:val="1"/>
      <w:numFmt w:val="bullet"/>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0" w15:restartNumberingAfterBreak="0">
    <w:nsid w:val="2E924211"/>
    <w:multiLevelType w:val="hybridMultilevel"/>
    <w:tmpl w:val="6F42D6BE"/>
    <w:lvl w:ilvl="0" w:tplc="F692F658">
      <w:start w:val="1"/>
      <w:numFmt w:val="lowerLetter"/>
      <w:pStyle w:val="ListBulleta"/>
      <w:lvlText w:val="%1)"/>
      <w:lvlJc w:val="left"/>
      <w:pPr>
        <w:ind w:left="1146" w:hanging="360"/>
      </w:pPr>
      <w:rPr>
        <w:color w:val="auto"/>
      </w:rPr>
    </w:lvl>
    <w:lvl w:ilvl="1" w:tplc="0C090019">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1" w15:restartNumberingAfterBreak="0">
    <w:nsid w:val="3053245A"/>
    <w:multiLevelType w:val="multilevel"/>
    <w:tmpl w:val="4322C0E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4F7912C9"/>
    <w:multiLevelType w:val="multilevel"/>
    <w:tmpl w:val="D6F4F1DE"/>
    <w:lvl w:ilvl="0">
      <w:start w:val="1"/>
      <w:numFmt w:val="bullet"/>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3"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1889577"/>
    <w:multiLevelType w:val="hybridMultilevel"/>
    <w:tmpl w:val="322E7C66"/>
    <w:lvl w:ilvl="0" w:tplc="C226A240">
      <w:start w:val="1"/>
      <w:numFmt w:val="lowerLetter"/>
      <w:lvlText w:val="(%1)"/>
      <w:lvlJc w:val="left"/>
      <w:pPr>
        <w:ind w:left="1080" w:hanging="360"/>
      </w:pPr>
    </w:lvl>
    <w:lvl w:ilvl="1" w:tplc="B87E470C">
      <w:start w:val="1"/>
      <w:numFmt w:val="lowerRoman"/>
      <w:lvlText w:val="(%2)"/>
      <w:lvlJc w:val="right"/>
      <w:pPr>
        <w:ind w:left="1800" w:hanging="360"/>
      </w:pPr>
      <w:rPr>
        <w:i w:val="0"/>
        <w:iCs w:val="0"/>
      </w:rPr>
    </w:lvl>
    <w:lvl w:ilvl="2" w:tplc="57D879AC">
      <w:start w:val="1"/>
      <w:numFmt w:val="lowerRoman"/>
      <w:lvlText w:val="%3."/>
      <w:lvlJc w:val="right"/>
      <w:pPr>
        <w:ind w:left="2520" w:hanging="180"/>
      </w:pPr>
    </w:lvl>
    <w:lvl w:ilvl="3" w:tplc="31FA8B16">
      <w:start w:val="1"/>
      <w:numFmt w:val="decimal"/>
      <w:lvlText w:val="%4."/>
      <w:lvlJc w:val="left"/>
      <w:pPr>
        <w:ind w:left="3240" w:hanging="360"/>
      </w:pPr>
    </w:lvl>
    <w:lvl w:ilvl="4" w:tplc="40405E50">
      <w:start w:val="1"/>
      <w:numFmt w:val="lowerLetter"/>
      <w:lvlText w:val="%5."/>
      <w:lvlJc w:val="left"/>
      <w:pPr>
        <w:ind w:left="3960" w:hanging="360"/>
      </w:pPr>
    </w:lvl>
    <w:lvl w:ilvl="5" w:tplc="9A04247A">
      <w:start w:val="1"/>
      <w:numFmt w:val="lowerRoman"/>
      <w:lvlText w:val="%6."/>
      <w:lvlJc w:val="right"/>
      <w:pPr>
        <w:ind w:left="4680" w:hanging="180"/>
      </w:pPr>
    </w:lvl>
    <w:lvl w:ilvl="6" w:tplc="C450CBDE">
      <w:start w:val="1"/>
      <w:numFmt w:val="decimal"/>
      <w:lvlText w:val="%7."/>
      <w:lvlJc w:val="left"/>
      <w:pPr>
        <w:ind w:left="5400" w:hanging="360"/>
      </w:pPr>
    </w:lvl>
    <w:lvl w:ilvl="7" w:tplc="B7AA6A34">
      <w:start w:val="1"/>
      <w:numFmt w:val="lowerLetter"/>
      <w:lvlText w:val="%8."/>
      <w:lvlJc w:val="left"/>
      <w:pPr>
        <w:ind w:left="6120" w:hanging="360"/>
      </w:pPr>
    </w:lvl>
    <w:lvl w:ilvl="8" w:tplc="AED23B38">
      <w:start w:val="1"/>
      <w:numFmt w:val="lowerRoman"/>
      <w:lvlText w:val="%9."/>
      <w:lvlJc w:val="right"/>
      <w:pPr>
        <w:ind w:left="6840" w:hanging="180"/>
      </w:pPr>
    </w:lvl>
  </w:abstractNum>
  <w:abstractNum w:abstractNumId="15" w15:restartNumberingAfterBreak="0">
    <w:nsid w:val="73CA5936"/>
    <w:multiLevelType w:val="hybridMultilevel"/>
    <w:tmpl w:val="77489B50"/>
    <w:lvl w:ilvl="0" w:tplc="C414A440">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16" w15:restartNumberingAfterBreak="0">
    <w:nsid w:val="7DB85C59"/>
    <w:multiLevelType w:val="multilevel"/>
    <w:tmpl w:val="93FA4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834369178">
    <w:abstractNumId w:val="5"/>
  </w:num>
  <w:num w:numId="2" w16cid:durableId="729621980">
    <w:abstractNumId w:val="3"/>
  </w:num>
  <w:num w:numId="3" w16cid:durableId="1693191331">
    <w:abstractNumId w:val="6"/>
  </w:num>
  <w:num w:numId="4" w16cid:durableId="1860776656">
    <w:abstractNumId w:val="13"/>
  </w:num>
  <w:num w:numId="5" w16cid:durableId="697313088">
    <w:abstractNumId w:val="10"/>
  </w:num>
  <w:num w:numId="6" w16cid:durableId="1872526790">
    <w:abstractNumId w:val="8"/>
  </w:num>
  <w:num w:numId="7" w16cid:durableId="1774016209">
    <w:abstractNumId w:val="14"/>
  </w:num>
  <w:num w:numId="8" w16cid:durableId="517742544">
    <w:abstractNumId w:val="10"/>
    <w:lvlOverride w:ilvl="0">
      <w:startOverride w:val="1"/>
    </w:lvlOverride>
  </w:num>
  <w:num w:numId="9" w16cid:durableId="1584028992">
    <w:abstractNumId w:val="10"/>
    <w:lvlOverride w:ilvl="0">
      <w:startOverride w:val="1"/>
    </w:lvlOverride>
  </w:num>
  <w:num w:numId="10" w16cid:durableId="1978416541">
    <w:abstractNumId w:val="10"/>
    <w:lvlOverride w:ilvl="0">
      <w:startOverride w:val="1"/>
    </w:lvlOverride>
  </w:num>
  <w:num w:numId="11" w16cid:durableId="418212989">
    <w:abstractNumId w:val="7"/>
    <w:lvlOverride w:ilvl="0">
      <w:lvl w:ilvl="0">
        <w:start w:val="4"/>
        <w:numFmt w:val="bullet"/>
        <w:pStyle w:val="ListBullet"/>
        <w:lvlText w:val="•"/>
        <w:lvlJc w:val="left"/>
        <w:pPr>
          <w:ind w:left="360" w:hanging="360"/>
        </w:pPr>
        <w:rPr>
          <w:rFonts w:ascii="Cambria" w:eastAsia="Cambria" w:hAnsi="Cambria" w:hint="default"/>
          <w:color w:val="auto"/>
        </w:rPr>
      </w:lvl>
    </w:lvlOverride>
  </w:num>
  <w:num w:numId="12" w16cid:durableId="1085230575">
    <w:abstractNumId w:val="4"/>
  </w:num>
  <w:num w:numId="13" w16cid:durableId="2073773050">
    <w:abstractNumId w:val="11"/>
  </w:num>
  <w:num w:numId="14" w16cid:durableId="6150682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0411985">
    <w:abstractNumId w:val="16"/>
  </w:num>
  <w:num w:numId="16" w16cid:durableId="1136676818">
    <w:abstractNumId w:val="15"/>
  </w:num>
  <w:num w:numId="17" w16cid:durableId="1587838106">
    <w:abstractNumId w:val="2"/>
  </w:num>
  <w:num w:numId="18" w16cid:durableId="24865245">
    <w:abstractNumId w:val="9"/>
  </w:num>
  <w:num w:numId="19" w16cid:durableId="70741767">
    <w:abstractNumId w:val="12"/>
  </w:num>
  <w:num w:numId="20" w16cid:durableId="730738580">
    <w:abstractNumId w:val="1"/>
  </w:num>
  <w:num w:numId="21" w16cid:durableId="146408852">
    <w:abstractNumId w:val="0"/>
  </w:num>
  <w:num w:numId="22" w16cid:durableId="55592375">
    <w:abstractNumId w:val="7"/>
    <w:lvlOverride w:ilvl="0">
      <w:lvl w:ilvl="0">
        <w:start w:val="4"/>
        <w:numFmt w:val="bullet"/>
        <w:pStyle w:val="ListBullet"/>
        <w:lvlText w:val="•"/>
        <w:lvlJc w:val="left"/>
        <w:pPr>
          <w:ind w:left="360" w:hanging="360"/>
        </w:pPr>
        <w:rPr>
          <w:rFonts w:ascii="Cambria" w:eastAsia="Cambria" w:hAnsi="Cambria" w:hint="default"/>
          <w:color w:val="auto"/>
        </w:rPr>
      </w:lvl>
    </w:lvlOverride>
  </w:num>
  <w:num w:numId="23" w16cid:durableId="504321043">
    <w:abstractNumId w:val="7"/>
    <w:lvlOverride w:ilvl="0">
      <w:lvl w:ilvl="0">
        <w:start w:val="4"/>
        <w:numFmt w:val="bullet"/>
        <w:pStyle w:val="ListBullet"/>
        <w:lvlText w:val="•"/>
        <w:lvlJc w:val="left"/>
        <w:pPr>
          <w:ind w:left="360" w:hanging="360"/>
        </w:pPr>
        <w:rPr>
          <w:rFonts w:ascii="Cambria" w:eastAsia="Cambria" w:hAnsi="Cambria" w:hint="default"/>
          <w:color w:val="auto"/>
        </w:rPr>
      </w:lvl>
    </w:lvlOverride>
  </w:num>
  <w:num w:numId="24" w16cid:durableId="710108940">
    <w:abstractNumId w:val="7"/>
    <w:lvlOverride w:ilvl="0">
      <w:lvl w:ilvl="0">
        <w:start w:val="4"/>
        <w:numFmt w:val="bullet"/>
        <w:pStyle w:val="ListBullet"/>
        <w:lvlText w:val="•"/>
        <w:lvlJc w:val="left"/>
        <w:pPr>
          <w:ind w:left="360" w:hanging="360"/>
        </w:pPr>
        <w:rPr>
          <w:rFonts w:ascii="Cambria" w:eastAsia="Cambria" w:hAnsi="Cambria" w:hint="default"/>
          <w:color w:val="auto"/>
        </w:rPr>
      </w:lvl>
    </w:lvlOverride>
  </w:num>
  <w:num w:numId="25" w16cid:durableId="140077655">
    <w:abstractNumId w:val="7"/>
    <w:lvlOverride w:ilvl="0">
      <w:lvl w:ilvl="0">
        <w:start w:val="4"/>
        <w:numFmt w:val="bullet"/>
        <w:pStyle w:val="ListBullet"/>
        <w:lvlText w:val="•"/>
        <w:lvlJc w:val="left"/>
        <w:pPr>
          <w:ind w:left="360" w:hanging="360"/>
        </w:pPr>
        <w:rPr>
          <w:rFonts w:ascii="Cambria" w:eastAsia="Cambria" w:hAnsi="Cambria" w:hint="default"/>
          <w:color w:val="auto"/>
        </w:rPr>
      </w:lvl>
    </w:lvlOverride>
  </w:num>
  <w:num w:numId="26" w16cid:durableId="611740094">
    <w:abstractNumId w:val="7"/>
    <w:lvlOverride w:ilvl="0">
      <w:lvl w:ilvl="0">
        <w:start w:val="4"/>
        <w:numFmt w:val="bullet"/>
        <w:pStyle w:val="ListBullet"/>
        <w:lvlText w:val="•"/>
        <w:lvlJc w:val="left"/>
        <w:pPr>
          <w:ind w:left="360" w:hanging="360"/>
        </w:pPr>
        <w:rPr>
          <w:rFonts w:ascii="Cambria" w:eastAsia="Cambria" w:hAnsi="Cambria" w:hint="default"/>
          <w:color w:val="auto"/>
        </w:rPr>
      </w:lvl>
    </w:lvlOverride>
  </w:num>
  <w:num w:numId="27" w16cid:durableId="213082727">
    <w:abstractNumId w:val="7"/>
    <w:lvlOverride w:ilvl="0">
      <w:lvl w:ilvl="0">
        <w:start w:val="4"/>
        <w:numFmt w:val="bullet"/>
        <w:pStyle w:val="ListBullet"/>
        <w:lvlText w:val="•"/>
        <w:lvlJc w:val="left"/>
        <w:pPr>
          <w:ind w:left="360" w:hanging="360"/>
        </w:pPr>
        <w:rPr>
          <w:rFonts w:ascii="Cambria" w:eastAsia="Cambria" w:hAnsi="Cambria" w:hint="default"/>
          <w:color w:val="auto"/>
        </w:rPr>
      </w:lvl>
    </w:lvlOverride>
  </w:num>
  <w:num w:numId="28" w16cid:durableId="2050840016">
    <w:abstractNumId w:val="7"/>
    <w:lvlOverride w:ilvl="0">
      <w:lvl w:ilvl="0">
        <w:start w:val="4"/>
        <w:numFmt w:val="bullet"/>
        <w:pStyle w:val="ListBullet"/>
        <w:lvlText w:val="•"/>
        <w:lvlJc w:val="left"/>
        <w:pPr>
          <w:ind w:left="360" w:hanging="360"/>
        </w:pPr>
        <w:rPr>
          <w:rFonts w:ascii="Cambria" w:eastAsia="Cambria" w:hAnsi="Cambria" w:hint="default"/>
          <w:color w:val="auto"/>
        </w:rPr>
      </w:lvl>
    </w:lvlOverride>
  </w:num>
  <w:num w:numId="29" w16cid:durableId="867984770">
    <w:abstractNumId w:val="7"/>
    <w:lvlOverride w:ilvl="0">
      <w:lvl w:ilvl="0">
        <w:start w:val="4"/>
        <w:numFmt w:val="bullet"/>
        <w:pStyle w:val="ListBullet"/>
        <w:lvlText w:val="•"/>
        <w:lvlJc w:val="left"/>
        <w:pPr>
          <w:ind w:left="360" w:hanging="360"/>
        </w:pPr>
      </w:lvl>
    </w:lvlOverride>
  </w:num>
  <w:num w:numId="30" w16cid:durableId="90946411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88"/>
    <w:rsid w:val="00006ABA"/>
    <w:rsid w:val="00010A77"/>
    <w:rsid w:val="0001227F"/>
    <w:rsid w:val="00023AFE"/>
    <w:rsid w:val="0003685C"/>
    <w:rsid w:val="000420A9"/>
    <w:rsid w:val="00046BA6"/>
    <w:rsid w:val="00054C25"/>
    <w:rsid w:val="00082D97"/>
    <w:rsid w:val="000A291D"/>
    <w:rsid w:val="000B04C6"/>
    <w:rsid w:val="000B12AF"/>
    <w:rsid w:val="000C5536"/>
    <w:rsid w:val="000D1E74"/>
    <w:rsid w:val="000D5419"/>
    <w:rsid w:val="000E462A"/>
    <w:rsid w:val="000E59BF"/>
    <w:rsid w:val="000F3046"/>
    <w:rsid w:val="001041CF"/>
    <w:rsid w:val="0010624D"/>
    <w:rsid w:val="001073F6"/>
    <w:rsid w:val="0011606E"/>
    <w:rsid w:val="00122B25"/>
    <w:rsid w:val="0013214C"/>
    <w:rsid w:val="001365CC"/>
    <w:rsid w:val="0014345A"/>
    <w:rsid w:val="00161323"/>
    <w:rsid w:val="0016606E"/>
    <w:rsid w:val="00166922"/>
    <w:rsid w:val="00182102"/>
    <w:rsid w:val="001831DC"/>
    <w:rsid w:val="00185C17"/>
    <w:rsid w:val="001A06A9"/>
    <w:rsid w:val="001A65B8"/>
    <w:rsid w:val="001A6E05"/>
    <w:rsid w:val="001A6E57"/>
    <w:rsid w:val="001A71ED"/>
    <w:rsid w:val="001B6340"/>
    <w:rsid w:val="001D2569"/>
    <w:rsid w:val="001E0D73"/>
    <w:rsid w:val="001E5A05"/>
    <w:rsid w:val="001E7EAD"/>
    <w:rsid w:val="0020324F"/>
    <w:rsid w:val="00203D1C"/>
    <w:rsid w:val="00205A51"/>
    <w:rsid w:val="00205F5F"/>
    <w:rsid w:val="002264A8"/>
    <w:rsid w:val="00226A10"/>
    <w:rsid w:val="002530E1"/>
    <w:rsid w:val="00277FF7"/>
    <w:rsid w:val="00280576"/>
    <w:rsid w:val="00286C53"/>
    <w:rsid w:val="00290F88"/>
    <w:rsid w:val="0029352C"/>
    <w:rsid w:val="002A0D54"/>
    <w:rsid w:val="002B1355"/>
    <w:rsid w:val="002B50B0"/>
    <w:rsid w:val="002D3321"/>
    <w:rsid w:val="002D5EA5"/>
    <w:rsid w:val="002D77EF"/>
    <w:rsid w:val="002E78AB"/>
    <w:rsid w:val="002F34B5"/>
    <w:rsid w:val="003046C3"/>
    <w:rsid w:val="00307D58"/>
    <w:rsid w:val="00323033"/>
    <w:rsid w:val="00344DB7"/>
    <w:rsid w:val="003601A3"/>
    <w:rsid w:val="00361F17"/>
    <w:rsid w:val="0036431F"/>
    <w:rsid w:val="003672E6"/>
    <w:rsid w:val="003B7809"/>
    <w:rsid w:val="003C7210"/>
    <w:rsid w:val="003E08CD"/>
    <w:rsid w:val="003E5287"/>
    <w:rsid w:val="003F6641"/>
    <w:rsid w:val="00404726"/>
    <w:rsid w:val="00411DC0"/>
    <w:rsid w:val="00442370"/>
    <w:rsid w:val="00444E0E"/>
    <w:rsid w:val="0048784A"/>
    <w:rsid w:val="004A1013"/>
    <w:rsid w:val="004C7671"/>
    <w:rsid w:val="004E2F19"/>
    <w:rsid w:val="004F49F4"/>
    <w:rsid w:val="004F7F33"/>
    <w:rsid w:val="005044D8"/>
    <w:rsid w:val="00505A6B"/>
    <w:rsid w:val="00511261"/>
    <w:rsid w:val="00511BB6"/>
    <w:rsid w:val="005262E9"/>
    <w:rsid w:val="00526B5E"/>
    <w:rsid w:val="00530299"/>
    <w:rsid w:val="00534E76"/>
    <w:rsid w:val="00537B47"/>
    <w:rsid w:val="0054650B"/>
    <w:rsid w:val="005673AE"/>
    <w:rsid w:val="0057427E"/>
    <w:rsid w:val="00574AB1"/>
    <w:rsid w:val="0058575E"/>
    <w:rsid w:val="0058710E"/>
    <w:rsid w:val="00594F93"/>
    <w:rsid w:val="00597751"/>
    <w:rsid w:val="005A6E8C"/>
    <w:rsid w:val="005C6091"/>
    <w:rsid w:val="005E23BD"/>
    <w:rsid w:val="005E581D"/>
    <w:rsid w:val="005E7B9D"/>
    <w:rsid w:val="005F6958"/>
    <w:rsid w:val="006053ED"/>
    <w:rsid w:val="006076B0"/>
    <w:rsid w:val="00617BD6"/>
    <w:rsid w:val="00676DC0"/>
    <w:rsid w:val="0069383B"/>
    <w:rsid w:val="006A57BE"/>
    <w:rsid w:val="006A6BF8"/>
    <w:rsid w:val="006B0267"/>
    <w:rsid w:val="006B19D8"/>
    <w:rsid w:val="006D41FC"/>
    <w:rsid w:val="006D4313"/>
    <w:rsid w:val="006D5E7E"/>
    <w:rsid w:val="006E0470"/>
    <w:rsid w:val="006E2B42"/>
    <w:rsid w:val="006F0487"/>
    <w:rsid w:val="006F36B1"/>
    <w:rsid w:val="006F75B0"/>
    <w:rsid w:val="00706970"/>
    <w:rsid w:val="00712EFB"/>
    <w:rsid w:val="00714741"/>
    <w:rsid w:val="007263DD"/>
    <w:rsid w:val="0073265F"/>
    <w:rsid w:val="007435A5"/>
    <w:rsid w:val="0074423A"/>
    <w:rsid w:val="00752547"/>
    <w:rsid w:val="007633FE"/>
    <w:rsid w:val="00771A62"/>
    <w:rsid w:val="00772586"/>
    <w:rsid w:val="00775FA5"/>
    <w:rsid w:val="007B79A7"/>
    <w:rsid w:val="007B7F3C"/>
    <w:rsid w:val="007D1FF8"/>
    <w:rsid w:val="007E1C57"/>
    <w:rsid w:val="007F0A77"/>
    <w:rsid w:val="007F400E"/>
    <w:rsid w:val="007F5F27"/>
    <w:rsid w:val="00820CF4"/>
    <w:rsid w:val="00830C91"/>
    <w:rsid w:val="008314F5"/>
    <w:rsid w:val="00835839"/>
    <w:rsid w:val="00864FAF"/>
    <w:rsid w:val="0087447F"/>
    <w:rsid w:val="00874885"/>
    <w:rsid w:val="00885B79"/>
    <w:rsid w:val="0089410A"/>
    <w:rsid w:val="00894612"/>
    <w:rsid w:val="008B011F"/>
    <w:rsid w:val="008C549F"/>
    <w:rsid w:val="008C7764"/>
    <w:rsid w:val="008D60FD"/>
    <w:rsid w:val="008E30F0"/>
    <w:rsid w:val="008E6696"/>
    <w:rsid w:val="008E728F"/>
    <w:rsid w:val="008F36D3"/>
    <w:rsid w:val="009076D7"/>
    <w:rsid w:val="009113EE"/>
    <w:rsid w:val="00911564"/>
    <w:rsid w:val="00922F8F"/>
    <w:rsid w:val="0092573E"/>
    <w:rsid w:val="00931149"/>
    <w:rsid w:val="00931483"/>
    <w:rsid w:val="009329AE"/>
    <w:rsid w:val="00954C25"/>
    <w:rsid w:val="00973F91"/>
    <w:rsid w:val="00977EA7"/>
    <w:rsid w:val="00977F26"/>
    <w:rsid w:val="009873CC"/>
    <w:rsid w:val="00992FAB"/>
    <w:rsid w:val="009A131B"/>
    <w:rsid w:val="009A4C15"/>
    <w:rsid w:val="009B28BA"/>
    <w:rsid w:val="009D2465"/>
    <w:rsid w:val="009D790A"/>
    <w:rsid w:val="009F0C45"/>
    <w:rsid w:val="009F4E87"/>
    <w:rsid w:val="009F703F"/>
    <w:rsid w:val="00A10F7B"/>
    <w:rsid w:val="00A1663F"/>
    <w:rsid w:val="00A204A3"/>
    <w:rsid w:val="00A2130C"/>
    <w:rsid w:val="00A331F4"/>
    <w:rsid w:val="00A34B38"/>
    <w:rsid w:val="00A552CC"/>
    <w:rsid w:val="00A741E9"/>
    <w:rsid w:val="00A852ED"/>
    <w:rsid w:val="00A9170F"/>
    <w:rsid w:val="00A952B8"/>
    <w:rsid w:val="00AA45B2"/>
    <w:rsid w:val="00AB22F5"/>
    <w:rsid w:val="00AC6C8C"/>
    <w:rsid w:val="00AF203C"/>
    <w:rsid w:val="00B105DD"/>
    <w:rsid w:val="00B1199F"/>
    <w:rsid w:val="00B20BCD"/>
    <w:rsid w:val="00B270BF"/>
    <w:rsid w:val="00B274A3"/>
    <w:rsid w:val="00B45DFA"/>
    <w:rsid w:val="00B528AB"/>
    <w:rsid w:val="00B55641"/>
    <w:rsid w:val="00B57BFC"/>
    <w:rsid w:val="00B95805"/>
    <w:rsid w:val="00B973CA"/>
    <w:rsid w:val="00B976E9"/>
    <w:rsid w:val="00BA389C"/>
    <w:rsid w:val="00BA538B"/>
    <w:rsid w:val="00BA7A1C"/>
    <w:rsid w:val="00BB0B67"/>
    <w:rsid w:val="00BB7A90"/>
    <w:rsid w:val="00BC4008"/>
    <w:rsid w:val="00BD2C93"/>
    <w:rsid w:val="00BF44D7"/>
    <w:rsid w:val="00BF572E"/>
    <w:rsid w:val="00C043F2"/>
    <w:rsid w:val="00C12A2D"/>
    <w:rsid w:val="00C13D49"/>
    <w:rsid w:val="00C217B5"/>
    <w:rsid w:val="00C25429"/>
    <w:rsid w:val="00C25488"/>
    <w:rsid w:val="00C32356"/>
    <w:rsid w:val="00C4143D"/>
    <w:rsid w:val="00C53609"/>
    <w:rsid w:val="00C538FC"/>
    <w:rsid w:val="00C7426D"/>
    <w:rsid w:val="00C82233"/>
    <w:rsid w:val="00CA1396"/>
    <w:rsid w:val="00CA4232"/>
    <w:rsid w:val="00CB364C"/>
    <w:rsid w:val="00CB3A5B"/>
    <w:rsid w:val="00CC3276"/>
    <w:rsid w:val="00CE4729"/>
    <w:rsid w:val="00CF7E22"/>
    <w:rsid w:val="00D07B52"/>
    <w:rsid w:val="00D13BF2"/>
    <w:rsid w:val="00D13F8A"/>
    <w:rsid w:val="00D1537E"/>
    <w:rsid w:val="00D17369"/>
    <w:rsid w:val="00D24348"/>
    <w:rsid w:val="00D33279"/>
    <w:rsid w:val="00D37D99"/>
    <w:rsid w:val="00D46F0F"/>
    <w:rsid w:val="00D54708"/>
    <w:rsid w:val="00D718FC"/>
    <w:rsid w:val="00D760ED"/>
    <w:rsid w:val="00D8009F"/>
    <w:rsid w:val="00D82083"/>
    <w:rsid w:val="00D918D5"/>
    <w:rsid w:val="00D97F67"/>
    <w:rsid w:val="00DA13DB"/>
    <w:rsid w:val="00DA303C"/>
    <w:rsid w:val="00DA5D1B"/>
    <w:rsid w:val="00DA6D4E"/>
    <w:rsid w:val="00DA72D2"/>
    <w:rsid w:val="00DC19B2"/>
    <w:rsid w:val="00DC21E6"/>
    <w:rsid w:val="00DD3815"/>
    <w:rsid w:val="00DD5F81"/>
    <w:rsid w:val="00DD6215"/>
    <w:rsid w:val="00E00631"/>
    <w:rsid w:val="00E1576E"/>
    <w:rsid w:val="00E17F93"/>
    <w:rsid w:val="00E23EEC"/>
    <w:rsid w:val="00E45144"/>
    <w:rsid w:val="00E46FB6"/>
    <w:rsid w:val="00E77791"/>
    <w:rsid w:val="00E85435"/>
    <w:rsid w:val="00E86A87"/>
    <w:rsid w:val="00E9026A"/>
    <w:rsid w:val="00E905BC"/>
    <w:rsid w:val="00EB1567"/>
    <w:rsid w:val="00EB1DEA"/>
    <w:rsid w:val="00EB5488"/>
    <w:rsid w:val="00EC4683"/>
    <w:rsid w:val="00EC5374"/>
    <w:rsid w:val="00EC6947"/>
    <w:rsid w:val="00ED2BE2"/>
    <w:rsid w:val="00EF16ED"/>
    <w:rsid w:val="00EF4D68"/>
    <w:rsid w:val="00F0577F"/>
    <w:rsid w:val="00F1039B"/>
    <w:rsid w:val="00F13A55"/>
    <w:rsid w:val="00F1549A"/>
    <w:rsid w:val="00F35094"/>
    <w:rsid w:val="00F47367"/>
    <w:rsid w:val="00F6055F"/>
    <w:rsid w:val="00F61FF8"/>
    <w:rsid w:val="00F678FE"/>
    <w:rsid w:val="00F86F06"/>
    <w:rsid w:val="00F9588F"/>
    <w:rsid w:val="00F9735A"/>
    <w:rsid w:val="00FB101D"/>
    <w:rsid w:val="00FB1E19"/>
    <w:rsid w:val="00FB214C"/>
    <w:rsid w:val="00FB6F5D"/>
    <w:rsid w:val="00FD5B56"/>
    <w:rsid w:val="00FE35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4901"/>
  <w15:chartTrackingRefBased/>
  <w15:docId w15:val="{5C4EFED2-DCA2-40AC-9138-37AEEFEB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E19"/>
  </w:style>
  <w:style w:type="paragraph" w:styleId="Heading1">
    <w:name w:val="heading 1"/>
    <w:basedOn w:val="Normal"/>
    <w:next w:val="Normal"/>
    <w:link w:val="Heading1Char"/>
    <w:uiPriority w:val="9"/>
    <w:qFormat/>
    <w:rsid w:val="00FB1E19"/>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FB1E19"/>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FB1E19"/>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FB1E19"/>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FB1E19"/>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FB1E19"/>
    <w:pPr>
      <w:keepNext/>
      <w:keepLines/>
      <w:spacing w:before="240" w:line="240" w:lineRule="atLeast"/>
      <w:outlineLvl w:val="5"/>
    </w:pPr>
    <w:rPr>
      <w:rFonts w:eastAsia="Times New Roman" w:cs="Times New Roman"/>
      <w:bCs/>
      <w:color w:val="001871"/>
      <w:sz w:val="24"/>
      <w:szCs w:val="21"/>
    </w:rPr>
  </w:style>
  <w:style w:type="paragraph" w:styleId="Heading7">
    <w:name w:val="heading 7"/>
    <w:basedOn w:val="Normal"/>
    <w:next w:val="Normal"/>
    <w:link w:val="Heading7Char"/>
    <w:uiPriority w:val="9"/>
    <w:rsid w:val="00C25488"/>
    <w:pPr>
      <w:keepNext/>
      <w:keepLines/>
      <w:spacing w:before="240" w:after="60" w:line="180" w:lineRule="atLeast"/>
      <w:outlineLvl w:val="6"/>
    </w:pPr>
    <w:rPr>
      <w:rFonts w:eastAsia="Times New Roman"/>
      <w:bCs/>
      <w:i/>
    </w:rPr>
  </w:style>
  <w:style w:type="paragraph" w:styleId="Heading8">
    <w:name w:val="heading 8"/>
    <w:basedOn w:val="Normal"/>
    <w:next w:val="Normal"/>
    <w:link w:val="Heading8Char"/>
    <w:autoRedefine/>
    <w:uiPriority w:val="9"/>
    <w:semiHidden/>
    <w:unhideWhenUsed/>
    <w:qFormat/>
    <w:rsid w:val="00C25488"/>
    <w:pPr>
      <w:keepNext/>
      <w:keepLines/>
      <w:spacing w:before="200" w:after="0"/>
      <w:ind w:left="1440" w:hanging="1440"/>
      <w:outlineLvl w:val="7"/>
    </w:pPr>
    <w:rPr>
      <w:rFonts w:eastAsiaTheme="majorEastAsia" w:cstheme="majorBidi"/>
    </w:rPr>
  </w:style>
  <w:style w:type="paragraph" w:styleId="Heading9">
    <w:name w:val="heading 9"/>
    <w:basedOn w:val="Normal"/>
    <w:next w:val="Normal"/>
    <w:link w:val="Heading9Char"/>
    <w:uiPriority w:val="9"/>
    <w:semiHidden/>
    <w:unhideWhenUsed/>
    <w:qFormat/>
    <w:rsid w:val="00C25488"/>
    <w:pPr>
      <w:keepNext/>
      <w:keepLines/>
      <w:spacing w:before="200" w:after="0"/>
      <w:ind w:left="1584" w:hanging="1584"/>
      <w:outlineLvl w:val="8"/>
    </w:pPr>
    <w:rPr>
      <w:rFonts w:asciiTheme="majorHAnsi" w:eastAsiaTheme="majorEastAsia" w:hAnsiTheme="majorHAnsi" w:cstheme="majorBidi"/>
      <w:i/>
      <w:iCs/>
      <w:color w:val="0070B5"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FB1E19"/>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FB1E19"/>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FB1E19"/>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FB1E19"/>
    <w:rPr>
      <w:rFonts w:eastAsia="Cambria" w:cs="Times New Roman"/>
      <w:color w:val="333F4A"/>
      <w:sz w:val="17"/>
    </w:rPr>
  </w:style>
  <w:style w:type="paragraph" w:styleId="Footer">
    <w:name w:val="footer"/>
    <w:basedOn w:val="Normal"/>
    <w:link w:val="FooterChar"/>
    <w:uiPriority w:val="99"/>
    <w:rsid w:val="00FB1E19"/>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FB1E19"/>
    <w:rPr>
      <w:rFonts w:eastAsia="Cambria" w:cs="Times New Roman"/>
      <w:color w:val="333F4A"/>
      <w:sz w:val="17"/>
    </w:rPr>
  </w:style>
  <w:style w:type="paragraph" w:customStyle="1" w:styleId="Address">
    <w:name w:val="Address"/>
    <w:basedOn w:val="Normal"/>
    <w:rsid w:val="00FB1E19"/>
    <w:pPr>
      <w:spacing w:after="0" w:line="240" w:lineRule="auto"/>
    </w:pPr>
    <w:rPr>
      <w:rFonts w:eastAsia="Cambria" w:cs="Times New Roman"/>
      <w:color w:val="333F48"/>
      <w:sz w:val="21"/>
    </w:rPr>
  </w:style>
  <w:style w:type="paragraph" w:styleId="Date">
    <w:name w:val="Date"/>
    <w:basedOn w:val="Normal"/>
    <w:next w:val="Normal"/>
    <w:link w:val="DateChar"/>
    <w:uiPriority w:val="99"/>
    <w:rsid w:val="00FB1E19"/>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FB1E19"/>
    <w:rPr>
      <w:rFonts w:eastAsia="Cambria" w:cs="Times New Roman"/>
      <w:color w:val="333F4A"/>
      <w:sz w:val="28"/>
    </w:rPr>
  </w:style>
  <w:style w:type="character" w:styleId="FootnoteReference">
    <w:name w:val="footnote reference"/>
    <w:basedOn w:val="DefaultParagraphFont"/>
    <w:uiPriority w:val="99"/>
    <w:unhideWhenUsed/>
    <w:rsid w:val="00FB1E19"/>
    <w:rPr>
      <w:vertAlign w:val="superscript"/>
    </w:rPr>
  </w:style>
  <w:style w:type="paragraph" w:styleId="FootnoteText">
    <w:name w:val="footnote text"/>
    <w:basedOn w:val="Normal"/>
    <w:link w:val="FootnoteTextChar"/>
    <w:rsid w:val="00FB1E19"/>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FB1E19"/>
    <w:rPr>
      <w:rFonts w:eastAsia="Cambria" w:cs="Times New Roman"/>
      <w:color w:val="333F48"/>
      <w:sz w:val="16"/>
    </w:rPr>
  </w:style>
  <w:style w:type="paragraph" w:customStyle="1" w:styleId="Headernoline">
    <w:name w:val="Header no line"/>
    <w:basedOn w:val="Header"/>
    <w:rsid w:val="00FB1E19"/>
    <w:pPr>
      <w:pBdr>
        <w:bottom w:val="none" w:sz="0" w:space="0" w:color="auto"/>
      </w:pBdr>
      <w:spacing w:line="240" w:lineRule="atLeast"/>
    </w:pPr>
  </w:style>
  <w:style w:type="character" w:customStyle="1" w:styleId="Heading2Char">
    <w:name w:val="Heading 2 Char"/>
    <w:basedOn w:val="DefaultParagraphFont"/>
    <w:link w:val="Heading2"/>
    <w:rsid w:val="00FB1E19"/>
    <w:rPr>
      <w:rFonts w:eastAsia="Times New Roman" w:cs="Times New Roman"/>
      <w:b/>
      <w:bCs/>
      <w:color w:val="001871"/>
      <w:sz w:val="38"/>
      <w:szCs w:val="38"/>
    </w:rPr>
  </w:style>
  <w:style w:type="character" w:customStyle="1" w:styleId="Heading3Char">
    <w:name w:val="Heading 3 Char"/>
    <w:basedOn w:val="DefaultParagraphFont"/>
    <w:link w:val="Heading3"/>
    <w:rsid w:val="00FB1E19"/>
    <w:rPr>
      <w:rFonts w:eastAsia="Times New Roman" w:cs="Times New Roman"/>
      <w:b/>
      <w:bCs/>
      <w:color w:val="001871"/>
      <w:sz w:val="32"/>
      <w:szCs w:val="32"/>
    </w:rPr>
  </w:style>
  <w:style w:type="character" w:customStyle="1" w:styleId="Heading4Char">
    <w:name w:val="Heading 4 Char"/>
    <w:basedOn w:val="DefaultParagraphFont"/>
    <w:link w:val="Heading4"/>
    <w:rsid w:val="00FB1E19"/>
    <w:rPr>
      <w:rFonts w:eastAsia="Cambria" w:cs="Times New Roman"/>
      <w:bCs/>
      <w:color w:val="001871"/>
      <w:sz w:val="28"/>
      <w:szCs w:val="26"/>
    </w:rPr>
  </w:style>
  <w:style w:type="character" w:customStyle="1" w:styleId="Heading5Char">
    <w:name w:val="Heading 5 Char"/>
    <w:basedOn w:val="DefaultParagraphFont"/>
    <w:link w:val="Heading5"/>
    <w:uiPriority w:val="9"/>
    <w:rsid w:val="00FB1E19"/>
    <w:rPr>
      <w:rFonts w:eastAsia="Times New Roman" w:cs="Times New Roman"/>
      <w:bCs/>
      <w:i/>
      <w:color w:val="001871"/>
      <w:sz w:val="26"/>
      <w:szCs w:val="26"/>
    </w:rPr>
  </w:style>
  <w:style w:type="character" w:customStyle="1" w:styleId="Heading6Char">
    <w:name w:val="Heading 6 Char"/>
    <w:basedOn w:val="DefaultParagraphFont"/>
    <w:link w:val="Heading6"/>
    <w:uiPriority w:val="9"/>
    <w:rsid w:val="00FB1E19"/>
    <w:rPr>
      <w:rFonts w:eastAsia="Times New Roman" w:cs="Times New Roman"/>
      <w:bCs/>
      <w:color w:val="001871"/>
      <w:sz w:val="24"/>
      <w:szCs w:val="21"/>
    </w:rPr>
  </w:style>
  <w:style w:type="character" w:styleId="Hyperlink">
    <w:name w:val="Hyperlink"/>
    <w:aliases w:val="OECD Hyperlink"/>
    <w:basedOn w:val="DefaultParagraphFont"/>
    <w:uiPriority w:val="99"/>
    <w:unhideWhenUsed/>
    <w:rsid w:val="00FB1E19"/>
    <w:rPr>
      <w:rFonts w:ascii="Arial" w:hAnsi="Arial"/>
      <w:color w:val="0000FF"/>
      <w:u w:val="single"/>
    </w:rPr>
  </w:style>
  <w:style w:type="paragraph" w:customStyle="1" w:styleId="LegalCopy">
    <w:name w:val="Legal Copy"/>
    <w:basedOn w:val="Footer"/>
    <w:rsid w:val="00FB1E19"/>
  </w:style>
  <w:style w:type="paragraph" w:customStyle="1" w:styleId="LegalSubheading">
    <w:name w:val="Legal Subheading"/>
    <w:basedOn w:val="Normal"/>
    <w:rsid w:val="00FB1E19"/>
    <w:pPr>
      <w:outlineLvl w:val="1"/>
    </w:pPr>
    <w:rPr>
      <w:sz w:val="17"/>
    </w:rPr>
  </w:style>
  <w:style w:type="paragraph" w:customStyle="1" w:styleId="Legislation">
    <w:name w:val="Legislation"/>
    <w:basedOn w:val="Normal"/>
    <w:qFormat/>
    <w:rsid w:val="00FB1E19"/>
    <w:pPr>
      <w:jc w:val="center"/>
    </w:pPr>
    <w:rPr>
      <w:i/>
      <w:color w:val="333F48"/>
    </w:rPr>
  </w:style>
  <w:style w:type="paragraph" w:styleId="ListBullet">
    <w:name w:val="List Bullet"/>
    <w:basedOn w:val="Normal"/>
    <w:autoRedefine/>
    <w:uiPriority w:val="2"/>
    <w:qFormat/>
    <w:rsid w:val="00FB1E19"/>
    <w:pPr>
      <w:numPr>
        <w:numId w:val="30"/>
      </w:numPr>
      <w:spacing w:before="120" w:after="180" w:line="240" w:lineRule="atLeast"/>
    </w:pPr>
    <w:rPr>
      <w:rFonts w:eastAsia="Cambria" w:cs="Times New Roman"/>
    </w:rPr>
  </w:style>
  <w:style w:type="paragraph" w:customStyle="1" w:styleId="Numberbullet0">
    <w:name w:val="Number bullet"/>
    <w:basedOn w:val="ListBullet"/>
    <w:uiPriority w:val="3"/>
    <w:qFormat/>
    <w:rsid w:val="00FB1E19"/>
    <w:pPr>
      <w:numPr>
        <w:numId w:val="1"/>
      </w:numPr>
    </w:pPr>
  </w:style>
  <w:style w:type="paragraph" w:customStyle="1" w:styleId="Legislation-list">
    <w:name w:val="Legislation-list"/>
    <w:basedOn w:val="Numberbullet0"/>
    <w:qFormat/>
    <w:rsid w:val="00FB1E19"/>
    <w:pPr>
      <w:numPr>
        <w:numId w:val="2"/>
      </w:numPr>
      <w:jc w:val="center"/>
    </w:pPr>
    <w:rPr>
      <w:i/>
    </w:rPr>
  </w:style>
  <w:style w:type="paragraph" w:customStyle="1" w:styleId="ListBullet-dotick">
    <w:name w:val="List Bullet - do (tick)"/>
    <w:basedOn w:val="ListBullet"/>
    <w:autoRedefine/>
    <w:uiPriority w:val="1"/>
    <w:qFormat/>
    <w:rsid w:val="00FB1E19"/>
    <w:pPr>
      <w:tabs>
        <w:tab w:val="left" w:pos="425"/>
      </w:tabs>
    </w:pPr>
  </w:style>
  <w:style w:type="paragraph" w:customStyle="1" w:styleId="ListBullet-donotcross">
    <w:name w:val="List Bullet - do not (cross)"/>
    <w:basedOn w:val="ListBullet"/>
    <w:autoRedefine/>
    <w:uiPriority w:val="1"/>
    <w:qFormat/>
    <w:rsid w:val="00FB1E19"/>
    <w:pPr>
      <w:ind w:left="357" w:hanging="357"/>
    </w:pPr>
    <w:rPr>
      <w:rFonts w:eastAsiaTheme="minorHAnsi" w:cstheme="minorBidi"/>
      <w:szCs w:val="22"/>
    </w:rPr>
  </w:style>
  <w:style w:type="paragraph" w:styleId="ListBullet2">
    <w:name w:val="List Bullet 2"/>
    <w:basedOn w:val="Normal"/>
    <w:autoRedefine/>
    <w:uiPriority w:val="2"/>
    <w:qFormat/>
    <w:rsid w:val="00FB1E19"/>
    <w:pPr>
      <w:numPr>
        <w:ilvl w:val="1"/>
        <w:numId w:val="30"/>
      </w:numPr>
      <w:spacing w:before="120" w:after="180" w:line="240" w:lineRule="atLeast"/>
    </w:pPr>
    <w:rPr>
      <w:rFonts w:eastAsia="Cambria" w:cs="Times New Roman"/>
    </w:rPr>
  </w:style>
  <w:style w:type="paragraph" w:styleId="ListBullet3">
    <w:name w:val="List Bullet 3"/>
    <w:basedOn w:val="Normal"/>
    <w:uiPriority w:val="2"/>
    <w:qFormat/>
    <w:rsid w:val="00FB1E19"/>
    <w:pPr>
      <w:numPr>
        <w:numId w:val="3"/>
      </w:numPr>
      <w:spacing w:before="120" w:after="180" w:line="240" w:lineRule="atLeast"/>
    </w:pPr>
    <w:rPr>
      <w:rFonts w:eastAsia="Cambria" w:cs="Times New Roman"/>
      <w:color w:val="333F48"/>
    </w:rPr>
  </w:style>
  <w:style w:type="numbering" w:customStyle="1" w:styleId="ListBullets">
    <w:name w:val="ListBullets"/>
    <w:uiPriority w:val="99"/>
    <w:locked/>
    <w:rsid w:val="00FB1E19"/>
    <w:pPr>
      <w:numPr>
        <w:numId w:val="30"/>
      </w:numPr>
    </w:pPr>
  </w:style>
  <w:style w:type="paragraph" w:customStyle="1" w:styleId="NonTOCheading2">
    <w:name w:val="Non TOC heading 2"/>
    <w:basedOn w:val="Normal"/>
    <w:next w:val="Normal"/>
    <w:rsid w:val="00FB1E19"/>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FB1E19"/>
    <w:pPr>
      <w:numPr>
        <w:numId w:val="1"/>
      </w:numPr>
    </w:pPr>
  </w:style>
  <w:style w:type="paragraph" w:customStyle="1" w:styleId="Numberbullet3">
    <w:name w:val="Number bullet 3"/>
    <w:basedOn w:val="Normal"/>
    <w:uiPriority w:val="3"/>
    <w:qFormat/>
    <w:rsid w:val="00FB1E19"/>
    <w:pPr>
      <w:numPr>
        <w:numId w:val="4"/>
      </w:numPr>
      <w:spacing w:before="120" w:after="180" w:line="240" w:lineRule="atLeast"/>
    </w:pPr>
    <w:rPr>
      <w:rFonts w:eastAsia="Cambria" w:cs="Times New Roman"/>
      <w:color w:val="333F48"/>
    </w:rPr>
  </w:style>
  <w:style w:type="numbering" w:customStyle="1" w:styleId="NumberBullet">
    <w:name w:val="NumberBullet"/>
    <w:uiPriority w:val="99"/>
    <w:locked/>
    <w:rsid w:val="00FB1E19"/>
    <w:pPr>
      <w:numPr>
        <w:numId w:val="1"/>
      </w:numPr>
    </w:pPr>
  </w:style>
  <w:style w:type="paragraph" w:styleId="Subtitle">
    <w:name w:val="Subtitle"/>
    <w:basedOn w:val="Normal"/>
    <w:link w:val="SubtitleChar"/>
    <w:uiPriority w:val="11"/>
    <w:rsid w:val="00FB1E19"/>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FB1E19"/>
    <w:rPr>
      <w:rFonts w:eastAsia="Times New Roman" w:cs="Times New Roman"/>
      <w:bCs/>
      <w:iCs/>
      <w:color w:val="006BA6"/>
      <w:sz w:val="40"/>
      <w:szCs w:val="24"/>
    </w:rPr>
  </w:style>
  <w:style w:type="paragraph" w:customStyle="1" w:styleId="Tabledescription">
    <w:name w:val="Table description"/>
    <w:basedOn w:val="Normal"/>
    <w:next w:val="Normal"/>
    <w:rsid w:val="00FB1E19"/>
    <w:pPr>
      <w:spacing w:before="120" w:after="240" w:line="180" w:lineRule="atLeast"/>
    </w:pPr>
    <w:rPr>
      <w:rFonts w:eastAsia="Cambria" w:cs="Times New Roman"/>
      <w:color w:val="333F48"/>
      <w:sz w:val="18"/>
    </w:rPr>
  </w:style>
  <w:style w:type="table" w:styleId="TableGrid">
    <w:name w:val="Table Grid"/>
    <w:basedOn w:val="TableNormal"/>
    <w:uiPriority w:val="59"/>
    <w:rsid w:val="00FB1E19"/>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FB1E19"/>
    <w:pPr>
      <w:keepNext/>
      <w:spacing w:before="120" w:after="180" w:line="240" w:lineRule="atLeast"/>
    </w:pPr>
    <w:rPr>
      <w:rFonts w:eastAsia="Cambria" w:cs="Times New Roman"/>
      <w:b/>
      <w:color w:val="333F48"/>
    </w:rPr>
  </w:style>
  <w:style w:type="paragraph" w:customStyle="1" w:styleId="TGASignoff">
    <w:name w:val="TGA Signoff"/>
    <w:basedOn w:val="Normal"/>
    <w:rsid w:val="00FB1E19"/>
    <w:pPr>
      <w:spacing w:before="120" w:after="360" w:line="240" w:lineRule="atLeast"/>
      <w:jc w:val="center"/>
    </w:pPr>
    <w:rPr>
      <w:rFonts w:eastAsia="Cambria" w:cs="Times New Roman"/>
      <w:b/>
      <w:color w:val="333F48"/>
      <w:sz w:val="28"/>
    </w:rPr>
  </w:style>
  <w:style w:type="paragraph" w:styleId="Title">
    <w:name w:val="Title"/>
    <w:link w:val="TitleChar"/>
    <w:uiPriority w:val="10"/>
    <w:rsid w:val="00FB1E19"/>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FB1E19"/>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FB1E19"/>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FB1E19"/>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FB1E19"/>
    <w:pPr>
      <w:keepNext/>
      <w:keepLines/>
      <w:tabs>
        <w:tab w:val="right" w:leader="hyphen" w:pos="8505"/>
      </w:tabs>
      <w:spacing w:before="60" w:after="0" w:line="240" w:lineRule="atLeast"/>
      <w:ind w:left="851"/>
    </w:pPr>
    <w:rPr>
      <w:rFonts w:eastAsia="Cambria" w:cs="Times New Roman"/>
      <w:color w:val="333F48"/>
      <w:sz w:val="22"/>
    </w:rPr>
  </w:style>
  <w:style w:type="character" w:customStyle="1" w:styleId="Heading1Char">
    <w:name w:val="Heading 1 Char"/>
    <w:basedOn w:val="DefaultParagraphFont"/>
    <w:link w:val="Heading1"/>
    <w:uiPriority w:val="9"/>
    <w:rsid w:val="00FB1E19"/>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FB1E19"/>
    <w:pPr>
      <w:outlineLvl w:val="9"/>
    </w:pPr>
    <w:rPr>
      <w:lang w:val="en-US"/>
    </w:rPr>
  </w:style>
  <w:style w:type="character" w:styleId="PlaceholderText">
    <w:name w:val="Placeholder Text"/>
    <w:basedOn w:val="DefaultParagraphFont"/>
    <w:uiPriority w:val="99"/>
    <w:semiHidden/>
    <w:rsid w:val="00FB1E19"/>
    <w:rPr>
      <w:color w:val="808080"/>
    </w:rPr>
  </w:style>
  <w:style w:type="paragraph" w:styleId="ListParagraph">
    <w:name w:val="List Paragraph"/>
    <w:basedOn w:val="ListBullet"/>
    <w:autoRedefine/>
    <w:uiPriority w:val="34"/>
    <w:qFormat/>
    <w:rsid w:val="00FB1E19"/>
    <w:pPr>
      <w:ind w:left="357" w:hanging="357"/>
      <w:contextualSpacing/>
    </w:pPr>
  </w:style>
  <w:style w:type="character" w:customStyle="1" w:styleId="Heading7Char">
    <w:name w:val="Heading 7 Char"/>
    <w:basedOn w:val="DefaultParagraphFont"/>
    <w:link w:val="Heading7"/>
    <w:uiPriority w:val="9"/>
    <w:rsid w:val="00C25488"/>
    <w:rPr>
      <w:rFonts w:eastAsia="Times New Roman"/>
      <w:bCs/>
      <w:i/>
    </w:rPr>
  </w:style>
  <w:style w:type="character" w:customStyle="1" w:styleId="Heading8Char">
    <w:name w:val="Heading 8 Char"/>
    <w:basedOn w:val="DefaultParagraphFont"/>
    <w:link w:val="Heading8"/>
    <w:uiPriority w:val="9"/>
    <w:semiHidden/>
    <w:rsid w:val="00C25488"/>
    <w:rPr>
      <w:rFonts w:eastAsiaTheme="majorEastAsia" w:cstheme="majorBidi"/>
    </w:rPr>
  </w:style>
  <w:style w:type="character" w:customStyle="1" w:styleId="Heading9Char">
    <w:name w:val="Heading 9 Char"/>
    <w:basedOn w:val="DefaultParagraphFont"/>
    <w:link w:val="Heading9"/>
    <w:uiPriority w:val="9"/>
    <w:semiHidden/>
    <w:rsid w:val="00C25488"/>
    <w:rPr>
      <w:rFonts w:asciiTheme="majorHAnsi" w:eastAsiaTheme="majorEastAsia" w:hAnsiTheme="majorHAnsi" w:cstheme="majorBidi"/>
      <w:i/>
      <w:iCs/>
      <w:color w:val="0070B5" w:themeColor="text1" w:themeTint="BF"/>
    </w:rPr>
  </w:style>
  <w:style w:type="paragraph" w:styleId="DocumentMap">
    <w:name w:val="Document Map"/>
    <w:basedOn w:val="Normal"/>
    <w:link w:val="DocumentMapChar"/>
    <w:uiPriority w:val="99"/>
    <w:semiHidden/>
    <w:unhideWhenUsed/>
    <w:rsid w:val="00C25488"/>
    <w:pPr>
      <w:spacing w:after="0" w:line="240" w:lineRule="auto"/>
    </w:pPr>
    <w:rPr>
      <w:rFonts w:ascii="Tahoma" w:eastAsia="Cambria" w:hAnsi="Tahoma" w:cs="Tahoma"/>
      <w:sz w:val="16"/>
      <w:szCs w:val="16"/>
    </w:rPr>
  </w:style>
  <w:style w:type="character" w:customStyle="1" w:styleId="DocumentMapChar">
    <w:name w:val="Document Map Char"/>
    <w:basedOn w:val="DefaultParagraphFont"/>
    <w:link w:val="DocumentMap"/>
    <w:uiPriority w:val="99"/>
    <w:semiHidden/>
    <w:rsid w:val="00C25488"/>
    <w:rPr>
      <w:rFonts w:ascii="Tahoma" w:eastAsia="Cambria" w:hAnsi="Tahoma" w:cs="Tahoma"/>
      <w:sz w:val="16"/>
      <w:szCs w:val="16"/>
    </w:rPr>
  </w:style>
  <w:style w:type="paragraph" w:styleId="BalloonText">
    <w:name w:val="Balloon Text"/>
    <w:basedOn w:val="Normal"/>
    <w:link w:val="BalloonTextChar"/>
    <w:uiPriority w:val="99"/>
    <w:semiHidden/>
    <w:unhideWhenUsed/>
    <w:rsid w:val="00C25488"/>
    <w:rPr>
      <w:rFonts w:ascii="Tahoma" w:hAnsi="Tahoma" w:cs="Tahoma"/>
      <w:sz w:val="16"/>
      <w:szCs w:val="16"/>
    </w:rPr>
  </w:style>
  <w:style w:type="character" w:customStyle="1" w:styleId="BalloonTextChar">
    <w:name w:val="Balloon Text Char"/>
    <w:basedOn w:val="DefaultParagraphFont"/>
    <w:link w:val="BalloonText"/>
    <w:uiPriority w:val="99"/>
    <w:semiHidden/>
    <w:rsid w:val="00C25488"/>
    <w:rPr>
      <w:rFonts w:ascii="Tahoma" w:hAnsi="Tahoma" w:cs="Tahoma"/>
      <w:sz w:val="16"/>
      <w:szCs w:val="16"/>
    </w:rPr>
  </w:style>
  <w:style w:type="paragraph" w:styleId="TOC4">
    <w:name w:val="toc 4"/>
    <w:basedOn w:val="Normal"/>
    <w:next w:val="Normal"/>
    <w:autoRedefine/>
    <w:uiPriority w:val="39"/>
    <w:unhideWhenUsed/>
    <w:rsid w:val="00C25488"/>
    <w:pPr>
      <w:keepLines/>
      <w:tabs>
        <w:tab w:val="right" w:leader="underscore" w:pos="9072"/>
      </w:tabs>
      <w:spacing w:after="100"/>
      <w:ind w:left="1276"/>
    </w:pPr>
  </w:style>
  <w:style w:type="paragraph" w:styleId="TOC5">
    <w:name w:val="toc 5"/>
    <w:basedOn w:val="Normal"/>
    <w:next w:val="Normal"/>
    <w:autoRedefine/>
    <w:uiPriority w:val="39"/>
    <w:unhideWhenUsed/>
    <w:rsid w:val="00C25488"/>
    <w:pPr>
      <w:keepLines/>
      <w:tabs>
        <w:tab w:val="left" w:leader="underscore" w:pos="9072"/>
      </w:tabs>
      <w:spacing w:after="100"/>
      <w:ind w:left="1701"/>
    </w:pPr>
    <w:rPr>
      <w:noProof/>
    </w:rPr>
  </w:style>
  <w:style w:type="paragraph" w:styleId="TOC6">
    <w:name w:val="toc 6"/>
    <w:basedOn w:val="Normal"/>
    <w:next w:val="Normal"/>
    <w:autoRedefine/>
    <w:uiPriority w:val="39"/>
    <w:unhideWhenUsed/>
    <w:rsid w:val="00C25488"/>
    <w:pPr>
      <w:tabs>
        <w:tab w:val="right" w:pos="8505"/>
      </w:tabs>
      <w:spacing w:after="100"/>
      <w:ind w:left="2126"/>
    </w:pPr>
  </w:style>
  <w:style w:type="paragraph" w:styleId="TOC7">
    <w:name w:val="toc 7"/>
    <w:basedOn w:val="Normal"/>
    <w:next w:val="Normal"/>
    <w:autoRedefine/>
    <w:uiPriority w:val="39"/>
    <w:unhideWhenUsed/>
    <w:rsid w:val="00C25488"/>
    <w:pPr>
      <w:spacing w:after="100"/>
      <w:ind w:left="2211"/>
    </w:pPr>
  </w:style>
  <w:style w:type="character" w:styleId="FollowedHyperlink">
    <w:name w:val="FollowedHyperlink"/>
    <w:basedOn w:val="DefaultParagraphFont"/>
    <w:semiHidden/>
    <w:unhideWhenUsed/>
    <w:rsid w:val="00C25488"/>
    <w:rPr>
      <w:color w:val="800080"/>
      <w:u w:val="single"/>
    </w:rPr>
  </w:style>
  <w:style w:type="paragraph" w:customStyle="1" w:styleId="HeaderNoLine0">
    <w:name w:val="Header No Line"/>
    <w:basedOn w:val="Header"/>
    <w:rsid w:val="00C25488"/>
    <w:pPr>
      <w:pBdr>
        <w:bottom w:val="none" w:sz="0" w:space="0" w:color="auto"/>
      </w:pBdr>
    </w:pPr>
    <w:rPr>
      <w:rFonts w:ascii="Cambria" w:hAnsi="Cambria"/>
    </w:rPr>
  </w:style>
  <w:style w:type="table" w:styleId="LightShading-Accent2">
    <w:name w:val="Light Shading Accent 2"/>
    <w:basedOn w:val="TableNormal"/>
    <w:uiPriority w:val="60"/>
    <w:rsid w:val="00C25488"/>
    <w:pPr>
      <w:spacing w:after="200" w:line="0" w:lineRule="auto"/>
    </w:pPr>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rsid w:val="00C25488"/>
    <w:pPr>
      <w:spacing w:after="200" w:line="0" w:lineRule="auto"/>
    </w:pPr>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Reference">
    <w:name w:val="Reference"/>
    <w:basedOn w:val="Normal"/>
    <w:rsid w:val="00C25488"/>
    <w:pPr>
      <w:spacing w:before="40"/>
      <w:ind w:left="170" w:hanging="170"/>
    </w:pPr>
    <w:rPr>
      <w:sz w:val="19"/>
    </w:rPr>
  </w:style>
  <w:style w:type="paragraph" w:styleId="EndnoteText">
    <w:name w:val="endnote text"/>
    <w:basedOn w:val="FootnoteText"/>
    <w:link w:val="EndnoteTextChar"/>
    <w:semiHidden/>
    <w:unhideWhenUsed/>
    <w:rsid w:val="00C25488"/>
  </w:style>
  <w:style w:type="character" w:customStyle="1" w:styleId="EndnoteTextChar">
    <w:name w:val="Endnote Text Char"/>
    <w:basedOn w:val="DefaultParagraphFont"/>
    <w:link w:val="EndnoteText"/>
    <w:semiHidden/>
    <w:rsid w:val="00C25488"/>
    <w:rPr>
      <w:rFonts w:eastAsia="Cambria" w:cs="Times New Roman"/>
      <w:color w:val="333F48"/>
      <w:sz w:val="16"/>
    </w:rPr>
  </w:style>
  <w:style w:type="table" w:customStyle="1" w:styleId="TableTGAblue">
    <w:name w:val="Table TGA blue"/>
    <w:basedOn w:val="TableNormal"/>
    <w:uiPriority w:val="99"/>
    <w:qFormat/>
    <w:rsid w:val="009113EE"/>
    <w:pPr>
      <w:spacing w:after="200" w:line="0" w:lineRule="auto"/>
    </w:pPr>
    <w:rPr>
      <w:rFonts w:asciiTheme="minorHAnsi" w:eastAsia="Cambria" w:hAnsiTheme="minorHAnsi"/>
      <w:sz w:val="22"/>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Yu Gothic Light" w:hAnsi="Yu Gothic Light"/>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C25488"/>
    <w:pPr>
      <w:spacing w:after="200" w:line="0" w:lineRule="auto"/>
    </w:pPr>
    <w:rPr>
      <w:rFonts w:ascii="Cambria" w:eastAsia="Cambria" w:hAnsi="Cambria"/>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Yu Gothic Light" w:hAnsi="Yu Gothic Light"/>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Yu Gothic Light" w:hAnsi="Yu Gothic Light"/>
        <w:b/>
        <w:i w:val="0"/>
        <w:color w:val="FFFFFF"/>
        <w:sz w:val="19"/>
      </w:rPr>
    </w:tblStylePr>
  </w:style>
  <w:style w:type="numbering" w:customStyle="1" w:styleId="NumberBullet1">
    <w:name w:val="NumberBullet1"/>
    <w:uiPriority w:val="99"/>
    <w:rsid w:val="00C25488"/>
  </w:style>
  <w:style w:type="numbering" w:customStyle="1" w:styleId="ListBullets1">
    <w:name w:val="ListBullets1"/>
    <w:uiPriority w:val="99"/>
    <w:rsid w:val="00C25488"/>
  </w:style>
  <w:style w:type="character" w:styleId="EndnoteReference">
    <w:name w:val="endnote reference"/>
    <w:basedOn w:val="DefaultParagraphFont"/>
    <w:uiPriority w:val="99"/>
    <w:semiHidden/>
    <w:unhideWhenUsed/>
    <w:rsid w:val="00C25488"/>
    <w:rPr>
      <w:vertAlign w:val="superscript"/>
    </w:rPr>
  </w:style>
  <w:style w:type="table" w:customStyle="1" w:styleId="LightShading1">
    <w:name w:val="Light Shading1"/>
    <w:basedOn w:val="TableNormal"/>
    <w:uiPriority w:val="60"/>
    <w:rsid w:val="00C25488"/>
    <w:pPr>
      <w:spacing w:after="0" w:line="240" w:lineRule="auto"/>
    </w:pPr>
    <w:rPr>
      <w:rFonts w:ascii="Cambria" w:eastAsia="Cambria" w:hAnsi="Cambria" w:cs="Times New Roman"/>
      <w:color w:val="002035" w:themeColor="text1" w:themeShade="BF"/>
      <w:lang w:eastAsia="en-AU"/>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Figuredescription">
    <w:name w:val="Figure description"/>
    <w:basedOn w:val="Normal"/>
    <w:next w:val="Normal"/>
    <w:rsid w:val="00C25488"/>
    <w:pPr>
      <w:spacing w:after="240" w:line="180" w:lineRule="atLeast"/>
    </w:pPr>
    <w:rPr>
      <w:sz w:val="18"/>
    </w:rPr>
  </w:style>
  <w:style w:type="paragraph" w:customStyle="1" w:styleId="Figuretitle">
    <w:name w:val="Figure title"/>
    <w:basedOn w:val="Normal"/>
    <w:next w:val="Normal"/>
    <w:rsid w:val="00C25488"/>
    <w:pPr>
      <w:outlineLvl w:val="4"/>
    </w:pPr>
    <w:rPr>
      <w:b/>
    </w:rPr>
  </w:style>
  <w:style w:type="paragraph" w:customStyle="1" w:styleId="Quotation">
    <w:name w:val="Quotation"/>
    <w:basedOn w:val="Normal"/>
    <w:next w:val="Normal"/>
    <w:uiPriority w:val="4"/>
    <w:qFormat/>
    <w:rsid w:val="00C25488"/>
    <w:pPr>
      <w:ind w:left="425"/>
    </w:pPr>
  </w:style>
  <w:style w:type="character" w:styleId="CommentReference">
    <w:name w:val="annotation reference"/>
    <w:basedOn w:val="DefaultParagraphFont"/>
    <w:uiPriority w:val="99"/>
    <w:semiHidden/>
    <w:unhideWhenUsed/>
    <w:rsid w:val="00C25488"/>
    <w:rPr>
      <w:sz w:val="16"/>
      <w:szCs w:val="16"/>
    </w:rPr>
  </w:style>
  <w:style w:type="paragraph" w:styleId="CommentText">
    <w:name w:val="annotation text"/>
    <w:basedOn w:val="Normal"/>
    <w:link w:val="CommentTextChar"/>
    <w:uiPriority w:val="99"/>
    <w:unhideWhenUsed/>
    <w:rsid w:val="00C25488"/>
    <w:pPr>
      <w:spacing w:before="120" w:line="240" w:lineRule="auto"/>
    </w:pPr>
    <w:rPr>
      <w:rFonts w:ascii="Cambria" w:hAnsi="Cambria" w:cs="Times New Roman"/>
    </w:rPr>
  </w:style>
  <w:style w:type="character" w:customStyle="1" w:styleId="CommentTextChar">
    <w:name w:val="Comment Text Char"/>
    <w:basedOn w:val="DefaultParagraphFont"/>
    <w:link w:val="CommentText"/>
    <w:uiPriority w:val="99"/>
    <w:rsid w:val="00C25488"/>
    <w:rPr>
      <w:rFonts w:ascii="Cambria" w:hAnsi="Cambria" w:cs="Times New Roman"/>
    </w:rPr>
  </w:style>
  <w:style w:type="paragraph" w:styleId="CommentSubject">
    <w:name w:val="annotation subject"/>
    <w:basedOn w:val="CommentText"/>
    <w:next w:val="CommentText"/>
    <w:link w:val="CommentSubjectChar"/>
    <w:uiPriority w:val="99"/>
    <w:semiHidden/>
    <w:unhideWhenUsed/>
    <w:rsid w:val="00C25488"/>
    <w:rPr>
      <w:b/>
      <w:bCs/>
    </w:rPr>
  </w:style>
  <w:style w:type="character" w:customStyle="1" w:styleId="CommentSubjectChar">
    <w:name w:val="Comment Subject Char"/>
    <w:basedOn w:val="CommentTextChar"/>
    <w:link w:val="CommentSubject"/>
    <w:uiPriority w:val="99"/>
    <w:semiHidden/>
    <w:rsid w:val="00C25488"/>
    <w:rPr>
      <w:rFonts w:ascii="Cambria" w:hAnsi="Cambria" w:cs="Times New Roman"/>
      <w:b/>
      <w:bCs/>
    </w:rPr>
  </w:style>
  <w:style w:type="table" w:styleId="LightList-Accent1">
    <w:name w:val="Light List Accent 1"/>
    <w:basedOn w:val="TableNormal"/>
    <w:uiPriority w:val="61"/>
    <w:rsid w:val="00C25488"/>
    <w:pPr>
      <w:spacing w:after="0" w:line="240" w:lineRule="auto"/>
    </w:pPr>
    <w:rPr>
      <w:rFonts w:asciiTheme="minorHAnsi" w:eastAsiaTheme="minorEastAsia" w:hAnsiTheme="minorHAnsi"/>
      <w:sz w:val="22"/>
      <w:szCs w:val="22"/>
    </w:rPr>
    <w:tblPr>
      <w:tblStyleRowBandSize w:val="1"/>
      <w:tblStyleColBandSize w:val="1"/>
      <w:tblBorders>
        <w:top w:val="single" w:sz="8" w:space="0" w:color="0047BB" w:themeColor="accent1"/>
        <w:left w:val="single" w:sz="8" w:space="0" w:color="0047BB" w:themeColor="accent1"/>
        <w:bottom w:val="single" w:sz="8" w:space="0" w:color="0047BB" w:themeColor="accent1"/>
        <w:right w:val="single" w:sz="8" w:space="0" w:color="0047BB" w:themeColor="accent1"/>
      </w:tblBorders>
    </w:tblPr>
    <w:tblStylePr w:type="firstRow">
      <w:pPr>
        <w:spacing w:before="0" w:after="0" w:line="240" w:lineRule="auto"/>
      </w:pPr>
      <w:rPr>
        <w:b/>
        <w:bCs/>
        <w:color w:val="FFFFFF" w:themeColor="background1"/>
      </w:rPr>
      <w:tblPr/>
      <w:tcPr>
        <w:shd w:val="clear" w:color="auto" w:fill="0047BB" w:themeFill="accent1"/>
      </w:tcPr>
    </w:tblStylePr>
    <w:tblStylePr w:type="lastRow">
      <w:pPr>
        <w:spacing w:before="0" w:after="0" w:line="240" w:lineRule="auto"/>
      </w:pPr>
      <w:rPr>
        <w:b/>
        <w:bCs/>
      </w:rPr>
      <w:tblPr/>
      <w:tcPr>
        <w:tcBorders>
          <w:top w:val="double" w:sz="6" w:space="0" w:color="0047BB" w:themeColor="accent1"/>
          <w:left w:val="single" w:sz="8" w:space="0" w:color="0047BB" w:themeColor="accent1"/>
          <w:bottom w:val="single" w:sz="8" w:space="0" w:color="0047BB" w:themeColor="accent1"/>
          <w:right w:val="single" w:sz="8" w:space="0" w:color="0047BB" w:themeColor="accent1"/>
        </w:tcBorders>
      </w:tcPr>
    </w:tblStylePr>
    <w:tblStylePr w:type="firstCol">
      <w:rPr>
        <w:b/>
        <w:bCs/>
      </w:rPr>
    </w:tblStylePr>
    <w:tblStylePr w:type="lastCol">
      <w:rPr>
        <w:b/>
        <w:bCs/>
      </w:rPr>
    </w:tblStylePr>
    <w:tblStylePr w:type="band1Vert">
      <w:tblPr/>
      <w:tcPr>
        <w:tcBorders>
          <w:top w:val="single" w:sz="8" w:space="0" w:color="0047BB" w:themeColor="accent1"/>
          <w:left w:val="single" w:sz="8" w:space="0" w:color="0047BB" w:themeColor="accent1"/>
          <w:bottom w:val="single" w:sz="8" w:space="0" w:color="0047BB" w:themeColor="accent1"/>
          <w:right w:val="single" w:sz="8" w:space="0" w:color="0047BB" w:themeColor="accent1"/>
        </w:tcBorders>
      </w:tcPr>
    </w:tblStylePr>
    <w:tblStylePr w:type="band1Horz">
      <w:tblPr/>
      <w:tcPr>
        <w:tcBorders>
          <w:top w:val="single" w:sz="8" w:space="0" w:color="0047BB" w:themeColor="accent1"/>
          <w:left w:val="single" w:sz="8" w:space="0" w:color="0047BB" w:themeColor="accent1"/>
          <w:bottom w:val="single" w:sz="8" w:space="0" w:color="0047BB" w:themeColor="accent1"/>
          <w:right w:val="single" w:sz="8" w:space="0" w:color="0047BB" w:themeColor="accent1"/>
        </w:tcBorders>
      </w:tcPr>
    </w:tblStylePr>
  </w:style>
  <w:style w:type="paragraph" w:styleId="TOC9">
    <w:name w:val="toc 9"/>
    <w:basedOn w:val="Normal"/>
    <w:next w:val="Normal"/>
    <w:autoRedefine/>
    <w:uiPriority w:val="39"/>
    <w:unhideWhenUsed/>
    <w:rsid w:val="00C25488"/>
    <w:pPr>
      <w:spacing w:before="120" w:after="100"/>
      <w:ind w:left="1760"/>
    </w:pPr>
    <w:rPr>
      <w:rFonts w:ascii="Cambria" w:hAnsi="Cambria" w:cs="Times New Roman"/>
    </w:rPr>
  </w:style>
  <w:style w:type="paragraph" w:customStyle="1" w:styleId="TableTitle0">
    <w:name w:val="Table Title"/>
    <w:basedOn w:val="Normal"/>
    <w:next w:val="Normal"/>
    <w:autoRedefine/>
    <w:qFormat/>
    <w:rsid w:val="00C25488"/>
    <w:rPr>
      <w:rFonts w:cs="Times New Roman"/>
      <w:b/>
    </w:rPr>
  </w:style>
  <w:style w:type="character" w:styleId="Strong">
    <w:name w:val="Strong"/>
    <w:basedOn w:val="DefaultParagraphFont"/>
    <w:uiPriority w:val="22"/>
    <w:qFormat/>
    <w:rsid w:val="00C25488"/>
    <w:rPr>
      <w:rFonts w:ascii="Arial" w:hAnsi="Arial"/>
      <w:b/>
      <w:bCs/>
      <w:color w:val="002C47" w:themeColor="text1"/>
    </w:rPr>
  </w:style>
  <w:style w:type="paragraph" w:customStyle="1" w:styleId="Default">
    <w:name w:val="Default"/>
    <w:rsid w:val="00C25488"/>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character" w:customStyle="1" w:styleId="fontstyle01">
    <w:name w:val="fontstyle01"/>
    <w:basedOn w:val="DefaultParagraphFont"/>
    <w:rsid w:val="00C25488"/>
    <w:rPr>
      <w:rFonts w:ascii="Cambria" w:hAnsi="Cambria" w:hint="default"/>
      <w:b w:val="0"/>
      <w:bCs w:val="0"/>
      <w:i w:val="0"/>
      <w:iCs w:val="0"/>
      <w:color w:val="000000"/>
      <w:sz w:val="22"/>
      <w:szCs w:val="22"/>
    </w:rPr>
  </w:style>
  <w:style w:type="character" w:customStyle="1" w:styleId="fontstyle21">
    <w:name w:val="fontstyle21"/>
    <w:basedOn w:val="DefaultParagraphFont"/>
    <w:rsid w:val="00C25488"/>
    <w:rPr>
      <w:rFonts w:ascii="Cambria-Bold" w:hAnsi="Cambria-Bold" w:hint="default"/>
      <w:b/>
      <w:bCs/>
      <w:i w:val="0"/>
      <w:iCs w:val="0"/>
      <w:color w:val="000000"/>
      <w:sz w:val="22"/>
      <w:szCs w:val="22"/>
    </w:rPr>
  </w:style>
  <w:style w:type="paragraph" w:styleId="Revision">
    <w:name w:val="Revision"/>
    <w:hidden/>
    <w:uiPriority w:val="99"/>
    <w:semiHidden/>
    <w:rsid w:val="00C25488"/>
    <w:pPr>
      <w:spacing w:after="0" w:line="240" w:lineRule="auto"/>
    </w:pPr>
    <w:rPr>
      <w:rFonts w:ascii="Cambria" w:eastAsia="Cambria" w:hAnsi="Cambria" w:cs="Times New Roman"/>
      <w:sz w:val="22"/>
    </w:rPr>
  </w:style>
  <w:style w:type="paragraph" w:customStyle="1" w:styleId="ListBulleta">
    <w:name w:val="List Bullet a)"/>
    <w:basedOn w:val="ListBullet"/>
    <w:autoRedefine/>
    <w:uiPriority w:val="1"/>
    <w:qFormat/>
    <w:rsid w:val="001A06A9"/>
    <w:pPr>
      <w:numPr>
        <w:numId w:val="5"/>
      </w:numPr>
    </w:pPr>
  </w:style>
  <w:style w:type="paragraph" w:customStyle="1" w:styleId="ListBulleti">
    <w:name w:val="List Bullet i)"/>
    <w:basedOn w:val="ListBullet"/>
    <w:autoRedefine/>
    <w:uiPriority w:val="1"/>
    <w:qFormat/>
    <w:rsid w:val="00C25488"/>
    <w:pPr>
      <w:numPr>
        <w:numId w:val="6"/>
      </w:numPr>
    </w:pPr>
  </w:style>
  <w:style w:type="character" w:customStyle="1" w:styleId="Style1">
    <w:name w:val="Style1"/>
    <w:basedOn w:val="DefaultParagraphFont"/>
    <w:uiPriority w:val="1"/>
    <w:rsid w:val="00C25488"/>
    <w:rPr>
      <w:rFonts w:ascii="Cambria" w:hAnsi="Cambria"/>
      <w:sz w:val="22"/>
    </w:rPr>
  </w:style>
  <w:style w:type="paragraph" w:styleId="NormalWeb">
    <w:name w:val="Normal (Web)"/>
    <w:basedOn w:val="Normal"/>
    <w:uiPriority w:val="99"/>
    <w:semiHidden/>
    <w:unhideWhenUsed/>
    <w:rsid w:val="00C2548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C25488"/>
    <w:rPr>
      <w:color w:val="605E5C"/>
      <w:shd w:val="clear" w:color="auto" w:fill="E1DFDD"/>
    </w:rPr>
  </w:style>
  <w:style w:type="paragraph" w:styleId="NoSpacing">
    <w:name w:val="No Spacing"/>
    <w:autoRedefine/>
    <w:uiPriority w:val="1"/>
    <w:qFormat/>
    <w:rsid w:val="00C25488"/>
    <w:pPr>
      <w:spacing w:after="0" w:line="240" w:lineRule="auto"/>
    </w:pPr>
    <w:rPr>
      <w:color w:val="002C47" w:themeColor="text1"/>
      <w:sz w:val="22"/>
    </w:rPr>
  </w:style>
  <w:style w:type="character" w:styleId="SubtleReference">
    <w:name w:val="Subtle Reference"/>
    <w:basedOn w:val="DefaultParagraphFont"/>
    <w:uiPriority w:val="31"/>
    <w:qFormat/>
    <w:rsid w:val="00C25488"/>
    <w:rPr>
      <w:rFonts w:ascii="Arial" w:hAnsi="Arial"/>
      <w:smallCaps/>
      <w:color w:val="00395D" w:themeColor="text1" w:themeTint="F2"/>
    </w:rPr>
  </w:style>
  <w:style w:type="paragraph" w:styleId="Quote">
    <w:name w:val="Quote"/>
    <w:basedOn w:val="Normal"/>
    <w:next w:val="Normal"/>
    <w:link w:val="QuoteChar"/>
    <w:autoRedefine/>
    <w:uiPriority w:val="29"/>
    <w:qFormat/>
    <w:rsid w:val="00C25488"/>
    <w:pPr>
      <w:spacing w:before="200" w:after="160"/>
      <w:ind w:left="864" w:right="864"/>
      <w:jc w:val="center"/>
    </w:pPr>
    <w:rPr>
      <w:i/>
      <w:iCs/>
    </w:rPr>
  </w:style>
  <w:style w:type="character" w:customStyle="1" w:styleId="QuoteChar">
    <w:name w:val="Quote Char"/>
    <w:basedOn w:val="DefaultParagraphFont"/>
    <w:link w:val="Quote"/>
    <w:uiPriority w:val="29"/>
    <w:rsid w:val="00C25488"/>
    <w:rPr>
      <w:i/>
      <w:iCs/>
    </w:rPr>
  </w:style>
  <w:style w:type="character" w:styleId="SubtleEmphasis">
    <w:name w:val="Subtle Emphasis"/>
    <w:basedOn w:val="DefaultParagraphFont"/>
    <w:uiPriority w:val="19"/>
    <w:qFormat/>
    <w:rsid w:val="00C25488"/>
    <w:rPr>
      <w:rFonts w:ascii="Arial" w:hAnsi="Arial"/>
      <w:i/>
      <w:iCs/>
      <w:color w:val="002C47" w:themeColor="text1"/>
    </w:rPr>
  </w:style>
  <w:style w:type="character" w:styleId="IntenseEmphasis">
    <w:name w:val="Intense Emphasis"/>
    <w:basedOn w:val="DefaultParagraphFont"/>
    <w:uiPriority w:val="21"/>
    <w:qFormat/>
    <w:rsid w:val="00C25488"/>
    <w:rPr>
      <w:rFonts w:ascii="Arial" w:hAnsi="Arial"/>
      <w:i/>
      <w:iCs/>
      <w:color w:val="auto"/>
    </w:rPr>
  </w:style>
  <w:style w:type="character" w:styleId="Emphasis">
    <w:name w:val="Emphasis"/>
    <w:basedOn w:val="DefaultParagraphFont"/>
    <w:uiPriority w:val="20"/>
    <w:qFormat/>
    <w:rsid w:val="00C25488"/>
    <w:rPr>
      <w:rFonts w:ascii="Arial" w:hAnsi="Arial"/>
      <w:i/>
      <w:iCs/>
    </w:rPr>
  </w:style>
  <w:style w:type="character" w:styleId="IntenseReference">
    <w:name w:val="Intense Reference"/>
    <w:basedOn w:val="DefaultParagraphFont"/>
    <w:uiPriority w:val="32"/>
    <w:qFormat/>
    <w:rsid w:val="00C25488"/>
    <w:rPr>
      <w:rFonts w:ascii="Arial" w:hAnsi="Arial"/>
      <w:b/>
      <w:bCs/>
      <w:smallCaps/>
      <w:color w:val="00235D" w:themeColor="accent1" w:themeShade="80"/>
      <w:spacing w:val="5"/>
    </w:rPr>
  </w:style>
  <w:style w:type="character" w:styleId="BookTitle">
    <w:name w:val="Book Title"/>
    <w:basedOn w:val="DefaultParagraphFont"/>
    <w:uiPriority w:val="33"/>
    <w:qFormat/>
    <w:rsid w:val="00C25488"/>
    <w:rPr>
      <w:rFonts w:ascii="Arial" w:hAnsi="Arial"/>
      <w:b/>
      <w:bCs/>
      <w:i/>
      <w:iCs/>
      <w:spacing w:val="5"/>
    </w:rPr>
  </w:style>
  <w:style w:type="paragraph" w:styleId="TOC8">
    <w:name w:val="toc 8"/>
    <w:basedOn w:val="Normal"/>
    <w:next w:val="Normal"/>
    <w:autoRedefine/>
    <w:uiPriority w:val="39"/>
    <w:unhideWhenUsed/>
    <w:rsid w:val="00C25488"/>
    <w:pPr>
      <w:spacing w:after="100"/>
      <w:ind w:left="1540"/>
    </w:pPr>
    <w:rPr>
      <w:rFonts w:eastAsiaTheme="minorEastAsia"/>
      <w:lang w:eastAsia="en-AU"/>
    </w:rPr>
  </w:style>
  <w:style w:type="paragraph" w:customStyle="1" w:styleId="Notes">
    <w:name w:val="Notes"/>
    <w:basedOn w:val="Normal"/>
    <w:semiHidden/>
    <w:locked/>
    <w:rsid w:val="00C25488"/>
    <w:pPr>
      <w:spacing w:line="240" w:lineRule="auto"/>
    </w:pPr>
    <w:rPr>
      <w:sz w:val="16"/>
    </w:rPr>
  </w:style>
  <w:style w:type="paragraph" w:customStyle="1" w:styleId="Subject">
    <w:name w:val="Subject"/>
    <w:basedOn w:val="Normal"/>
    <w:rsid w:val="00C25488"/>
    <w:rPr>
      <w:b/>
    </w:rPr>
  </w:style>
  <w:style w:type="paragraph" w:styleId="Caption">
    <w:name w:val="caption"/>
    <w:basedOn w:val="Tabletitle"/>
    <w:next w:val="Normal"/>
    <w:uiPriority w:val="35"/>
    <w:semiHidden/>
    <w:rsid w:val="00C25488"/>
  </w:style>
  <w:style w:type="paragraph" w:customStyle="1" w:styleId="FlowChartWhiteText">
    <w:name w:val="Flow Chart White Text"/>
    <w:basedOn w:val="Normal"/>
    <w:semiHidden/>
    <w:unhideWhenUsed/>
    <w:rsid w:val="00C25488"/>
    <w:pPr>
      <w:jc w:val="center"/>
    </w:pPr>
    <w:rPr>
      <w:color w:val="FFFFFF"/>
    </w:rPr>
  </w:style>
  <w:style w:type="paragraph" w:customStyle="1" w:styleId="FlowchartText">
    <w:name w:val="Flowchart Text"/>
    <w:basedOn w:val="Normal"/>
    <w:semiHidden/>
    <w:unhideWhenUsed/>
    <w:rsid w:val="00C25488"/>
    <w:pPr>
      <w:jc w:val="center"/>
    </w:pPr>
  </w:style>
  <w:style w:type="paragraph" w:styleId="TableofFigures">
    <w:name w:val="table of figures"/>
    <w:basedOn w:val="Normal"/>
    <w:next w:val="Normal"/>
    <w:uiPriority w:val="99"/>
    <w:semiHidden/>
    <w:unhideWhenUsed/>
    <w:rsid w:val="00C25488"/>
  </w:style>
  <w:style w:type="table" w:customStyle="1" w:styleId="TableGrid1">
    <w:name w:val="Table Grid1"/>
    <w:basedOn w:val="TableNormal"/>
    <w:next w:val="TableGrid"/>
    <w:uiPriority w:val="39"/>
    <w:rsid w:val="00C2548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1">
    <w:name w:val="Table TGA blue1"/>
    <w:basedOn w:val="TableNormal"/>
    <w:uiPriority w:val="99"/>
    <w:qFormat/>
    <w:rsid w:val="001E0D73"/>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character" w:customStyle="1" w:styleId="cf01">
    <w:name w:val="cf01"/>
    <w:basedOn w:val="DefaultParagraphFont"/>
    <w:rsid w:val="005E23B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edicines.org.uk/emc/search?q=bilastine" TargetMode="External"/><Relationship Id="rId117" Type="http://schemas.openxmlformats.org/officeDocument/2006/relationships/hyperlink" Target="https://portal.apvma.gov.au/pubcris" TargetMode="External"/><Relationship Id="rId21" Type="http://schemas.openxmlformats.org/officeDocument/2006/relationships/hyperlink" Target="https://www.legislation.gov.au/Details/F2021L01888" TargetMode="External"/><Relationship Id="rId42" Type="http://schemas.openxmlformats.org/officeDocument/2006/relationships/hyperlink" Target="https://www.medsafe.govt.nz/profs/class/classintro.asp" TargetMode="External"/><Relationship Id="rId47" Type="http://schemas.openxmlformats.org/officeDocument/2006/relationships/hyperlink" Target="https://www.legislation.gov.au/Search/Therapeutic%20Goods%20$LB$Permissible%20Ingredients$RB$%20Determination" TargetMode="External"/><Relationship Id="rId63" Type="http://schemas.openxmlformats.org/officeDocument/2006/relationships/hyperlink" Target="https://portal.apvma.gov.au/pubcris" TargetMode="External"/><Relationship Id="rId68" Type="http://schemas.openxmlformats.org/officeDocument/2006/relationships/hyperlink" Target="https://www.ebs.tga.gov.au/" TargetMode="External"/><Relationship Id="rId84" Type="http://schemas.openxmlformats.org/officeDocument/2006/relationships/hyperlink" Target="https://www.legislation.gov.au/Search/Therapeutic%20Goods%20$LB$Permissible%20Ingredients$RB$%20Determination" TargetMode="External"/><Relationship Id="rId89" Type="http://schemas.openxmlformats.org/officeDocument/2006/relationships/hyperlink" Target="https://apvma.gov.au/node/10946" TargetMode="External"/><Relationship Id="rId112" Type="http://schemas.openxmlformats.org/officeDocument/2006/relationships/hyperlink" Target="https://www.tga.gov.au/artg" TargetMode="External"/><Relationship Id="rId133" Type="http://schemas.openxmlformats.org/officeDocument/2006/relationships/header" Target="header2.xml"/><Relationship Id="rId138" Type="http://schemas.openxmlformats.org/officeDocument/2006/relationships/theme" Target="theme/theme1.xml"/><Relationship Id="rId16" Type="http://schemas.openxmlformats.org/officeDocument/2006/relationships/hyperlink" Target="mailto:medicines.scheduling@health.gov.au" TargetMode="External"/><Relationship Id="rId107" Type="http://schemas.openxmlformats.org/officeDocument/2006/relationships/hyperlink" Target="https://pest-control.canada.ca/pesticide-registry/en/index.html" TargetMode="External"/><Relationship Id="rId11" Type="http://schemas.openxmlformats.org/officeDocument/2006/relationships/hyperlink" Target="https://www.tga.gov.au/committee/advisory-committee-chemicals-scheduling-accs" TargetMode="External"/><Relationship Id="rId32" Type="http://schemas.openxmlformats.org/officeDocument/2006/relationships/hyperlink" Target="https://extranet.infarmed.pt/INFOMED-fo/index.xhtml" TargetMode="External"/><Relationship Id="rId37" Type="http://schemas.openxmlformats.org/officeDocument/2006/relationships/hyperlink" Target="https://www.legislation.gov.au/Details/F2021L01888" TargetMode="External"/><Relationship Id="rId53" Type="http://schemas.openxmlformats.org/officeDocument/2006/relationships/hyperlink" Target="https://www.medsafe.govt.nz/profs/class/classintro.asp" TargetMode="External"/><Relationship Id="rId58" Type="http://schemas.openxmlformats.org/officeDocument/2006/relationships/hyperlink" Target="https://www.tga.gov.au/resources/artg" TargetMode="External"/><Relationship Id="rId74" Type="http://schemas.openxmlformats.org/officeDocument/2006/relationships/hyperlink" Target="https://portal.apvma.gov.au/pubcris" TargetMode="External"/><Relationship Id="rId79" Type="http://schemas.openxmlformats.org/officeDocument/2006/relationships/hyperlink" Target="https://www.accessdata.fda.gov/scripts/cder/daf/" TargetMode="External"/><Relationship Id="rId102" Type="http://schemas.openxmlformats.org/officeDocument/2006/relationships/hyperlink" Target="https://apps.tga.gov.au/Prod/daen/daen-entry.aspx" TargetMode="External"/><Relationship Id="rId123" Type="http://schemas.openxmlformats.org/officeDocument/2006/relationships/hyperlink" Target="https://products.mhra.gov.uk/" TargetMode="External"/><Relationship Id="rId128" Type="http://schemas.openxmlformats.org/officeDocument/2006/relationships/hyperlink" Target="https://www.tga.gov.au/about-tga/advisory-bodies-and-committees/advisory-committee-medicines-scheduling-acms" TargetMode="External"/><Relationship Id="rId5" Type="http://schemas.openxmlformats.org/officeDocument/2006/relationships/webSettings" Target="webSettings.xml"/><Relationship Id="rId90" Type="http://schemas.openxmlformats.org/officeDocument/2006/relationships/hyperlink" Target="https://services.industrialchemicals.gov.au/chemical-details-page/?id=8fd75d93-0eb0-ec11-8108-005056a07365" TargetMode="External"/><Relationship Id="rId95" Type="http://schemas.openxmlformats.org/officeDocument/2006/relationships/hyperlink" Target="https://www.epa.govt.nz/database-search/new-zealand-inventory-of-chemicals-nzioc/DatabaseSearchForm/?SiteDatabaseSearchFilters=36&amp;Keyword=acequinocyl&amp;DatabaseType=NZIOC" TargetMode="External"/><Relationship Id="rId14" Type="http://schemas.openxmlformats.org/officeDocument/2006/relationships/hyperlink" Target="https://www.tga.gov.au/committee/advisory-committee-medicines-scheduling-acms" TargetMode="External"/><Relationship Id="rId22" Type="http://schemas.openxmlformats.org/officeDocument/2006/relationships/hyperlink" Target="https://daen.tga.gov.au/medicines-terms-condition/" TargetMode="External"/><Relationship Id="rId27" Type="http://schemas.openxmlformats.org/officeDocument/2006/relationships/hyperlink" Target="http://www.hpra.ie/homepage/medicines/medicines-information/find-a-medicine/results?query=cytisine&amp;field=" TargetMode="External"/><Relationship Id="rId30" Type="http://schemas.openxmlformats.org/officeDocument/2006/relationships/hyperlink" Target="https://rejestry.ezdrowie.gov.pl/rpl/search/public" TargetMode="External"/><Relationship Id="rId35" Type="http://schemas.openxmlformats.org/officeDocument/2006/relationships/hyperlink" Target="https://www.legislation.gov.au/Search/Therapeutic%20Goods%20$LB$Permissible%20Ingredients$RB$%20Determination" TargetMode="External"/><Relationship Id="rId43" Type="http://schemas.openxmlformats.org/officeDocument/2006/relationships/hyperlink" Target="https://www.accessdata.fda.gov/scripts/cder/ob/index.cfm" TargetMode="External"/><Relationship Id="rId48" Type="http://schemas.openxmlformats.org/officeDocument/2006/relationships/hyperlink" Target="https://www.tga.gov.au/prescribing-medicines-pregnancy-database" TargetMode="External"/><Relationship Id="rId56" Type="http://schemas.openxmlformats.org/officeDocument/2006/relationships/hyperlink" Target="https://www.hpra.ie/" TargetMode="External"/><Relationship Id="rId64" Type="http://schemas.openxmlformats.org/officeDocument/2006/relationships/hyperlink" Target="https://health-products.canada.ca/dpd-bdpp/dispatch-repartition" TargetMode="External"/><Relationship Id="rId69" Type="http://schemas.openxmlformats.org/officeDocument/2006/relationships/hyperlink" Target="https://www.tga.gov.au/artg" TargetMode="External"/><Relationship Id="rId77" Type="http://schemas.openxmlformats.org/officeDocument/2006/relationships/hyperlink" Target="https://ordspub.epa.gov/ords/pesticides/f?p=CHEMICALSEARCH:1:" TargetMode="External"/><Relationship Id="rId100" Type="http://schemas.openxmlformats.org/officeDocument/2006/relationships/hyperlink" Target="https://www.tga.gov.au/prescribing-medicines-pregnancy-database" TargetMode="External"/><Relationship Id="rId105" Type="http://schemas.openxmlformats.org/officeDocument/2006/relationships/hyperlink" Target="https://ordspub.epa.gov/ords/pesticides/f?p=CHEMICALSEARCH:1:" TargetMode="External"/><Relationship Id="rId113" Type="http://schemas.openxmlformats.org/officeDocument/2006/relationships/hyperlink" Target="https://www.legislation.gov.au/Search/Therapeutic%20Goods%20$LB$Permissible%20Ingredients$RB$%20Determination" TargetMode="External"/><Relationship Id="rId118" Type="http://schemas.openxmlformats.org/officeDocument/2006/relationships/hyperlink" Target="https://apvma.gov.au/node/10946" TargetMode="External"/><Relationship Id="rId126" Type="http://schemas.openxmlformats.org/officeDocument/2006/relationships/hyperlink" Target="https://www.medsafe.govt.nz/profs/class/classintro.asp" TargetMode="External"/><Relationship Id="rId134" Type="http://schemas.openxmlformats.org/officeDocument/2006/relationships/hyperlink" Target="https://www.tga.gov.au/resources/publication/scheduling-decisions-interim" TargetMode="External"/><Relationship Id="rId8" Type="http://schemas.openxmlformats.org/officeDocument/2006/relationships/hyperlink" Target="mailto:tga.copyright@tga.gov.au" TargetMode="External"/><Relationship Id="rId51" Type="http://schemas.openxmlformats.org/officeDocument/2006/relationships/hyperlink" Target="https://portal.apvma.gov.au/pubcris" TargetMode="External"/><Relationship Id="rId72" Type="http://schemas.openxmlformats.org/officeDocument/2006/relationships/hyperlink" Target="https://www.legislation.gov.au/Details/F2021L01888" TargetMode="External"/><Relationship Id="rId80" Type="http://schemas.openxmlformats.org/officeDocument/2006/relationships/hyperlink" Target="https://www.medsafe.govt.nz/profs/class/classintro.asp" TargetMode="External"/><Relationship Id="rId85" Type="http://schemas.openxmlformats.org/officeDocument/2006/relationships/hyperlink" Target="https://www.tga.gov.au/prescribing-medicines-pregnancy-database" TargetMode="External"/><Relationship Id="rId93" Type="http://schemas.openxmlformats.org/officeDocument/2006/relationships/hyperlink" Target="https://pest-control.canada.ca/pesticide-registry/en/product-search.html" TargetMode="External"/><Relationship Id="rId98" Type="http://schemas.openxmlformats.org/officeDocument/2006/relationships/hyperlink" Target="https://www.tga.gov.au/artg" TargetMode="External"/><Relationship Id="rId121" Type="http://schemas.openxmlformats.org/officeDocument/2006/relationships/hyperlink" Target="https://echa.europa.eu/search-for-chemicals" TargetMode="External"/><Relationship Id="rId3" Type="http://schemas.openxmlformats.org/officeDocument/2006/relationships/styles" Target="styles.xml"/><Relationship Id="rId12" Type="http://schemas.openxmlformats.org/officeDocument/2006/relationships/hyperlink" Target="mailto:medicines.scheduling@health.gov.au" TargetMode="External"/><Relationship Id="rId17" Type="http://schemas.openxmlformats.org/officeDocument/2006/relationships/hyperlink" Target="https://www.ebs.tga.gov.au/" TargetMode="External"/><Relationship Id="rId25" Type="http://schemas.openxmlformats.org/officeDocument/2006/relationships/hyperlink" Target="https://www.medsafe.govt.nz/profs/class/classintro.asp" TargetMode="External"/><Relationship Id="rId33" Type="http://schemas.openxmlformats.org/officeDocument/2006/relationships/hyperlink" Target="https://www.ebs.tga.gov.au/" TargetMode="External"/><Relationship Id="rId38" Type="http://schemas.openxmlformats.org/officeDocument/2006/relationships/hyperlink" Target="https://daen.tga.gov.au/medicines-terms-condition/" TargetMode="External"/><Relationship Id="rId46" Type="http://schemas.openxmlformats.org/officeDocument/2006/relationships/hyperlink" Target="https://www.tga.gov.au/artg" TargetMode="External"/><Relationship Id="rId59" Type="http://schemas.openxmlformats.org/officeDocument/2006/relationships/hyperlink" Target="https://www.legislation.gov.au/Details/F2023L01369" TargetMode="External"/><Relationship Id="rId67" Type="http://schemas.openxmlformats.org/officeDocument/2006/relationships/hyperlink" Target="https://uscode.house.gov/view.xhtml;jsessionid=2C85B8DEBFB1BB15A7D31E29A34C3DAA?req=granuleid%3AUSC-prelim-title21&amp;saved=%7CZ3JhbnVsZWlkOlVTQy1wcmVsaW0tdGl0bGUyMS1zZWN0aW9uODAx%7C%7C%7C0%7Cfalse%7Cprelim&amp;edition=prelim" TargetMode="External"/><Relationship Id="rId103" Type="http://schemas.openxmlformats.org/officeDocument/2006/relationships/hyperlink" Target="https://portal.apvma.gov.au/pubcris" TargetMode="External"/><Relationship Id="rId108" Type="http://schemas.openxmlformats.org/officeDocument/2006/relationships/hyperlink" Target="https://www.accessdata.fda.gov/scripts/cder/daf/" TargetMode="External"/><Relationship Id="rId116" Type="http://schemas.openxmlformats.org/officeDocument/2006/relationships/hyperlink" Target="https://apps.tga.gov.au/Prod/daen/daen-entry.aspx" TargetMode="External"/><Relationship Id="rId124" Type="http://schemas.openxmlformats.org/officeDocument/2006/relationships/hyperlink" Target="https://www.hpra.ie/homepage/medicines/medicines-information/find-a-medicine" TargetMode="External"/><Relationship Id="rId129" Type="http://schemas.openxmlformats.org/officeDocument/2006/relationships/hyperlink" Target="https://www.tga.gov.au/about-tga/advisory-bodies-and-committees/advisory-committee-chemicals-scheduling-accs" TargetMode="External"/><Relationship Id="rId137" Type="http://schemas.openxmlformats.org/officeDocument/2006/relationships/fontTable" Target="fontTable.xml"/><Relationship Id="rId20" Type="http://schemas.openxmlformats.org/officeDocument/2006/relationships/hyperlink" Target="https://www.tga.gov.au/products/medicines/find-information-about-medicine/prescribing-medicines-pregnancy-database" TargetMode="External"/><Relationship Id="rId41" Type="http://schemas.openxmlformats.org/officeDocument/2006/relationships/hyperlink" Target="https://health-products.canada.ca/dpd-bdpp/" TargetMode="External"/><Relationship Id="rId54" Type="http://schemas.openxmlformats.org/officeDocument/2006/relationships/hyperlink" Target="https://health-products.canada.ca/dpd-bdpp/index-eng.jsp" TargetMode="External"/><Relationship Id="rId62" Type="http://schemas.openxmlformats.org/officeDocument/2006/relationships/hyperlink" Target="https://apps.tga.gov.au/Prod/daen/daen-entry.aspx" TargetMode="External"/><Relationship Id="rId70" Type="http://schemas.openxmlformats.org/officeDocument/2006/relationships/hyperlink" Target="https://www.legislation.gov.au/Search/Therapeutic%20Goods%20$LB$Permissible%20Ingredients$RB$%20Determination" TargetMode="External"/><Relationship Id="rId75" Type="http://schemas.openxmlformats.org/officeDocument/2006/relationships/hyperlink" Target="https://ec.europa.eu/growth/tools-databases/cosing/details/92016" TargetMode="External"/><Relationship Id="rId83" Type="http://schemas.openxmlformats.org/officeDocument/2006/relationships/hyperlink" Target="https://www.tga.gov.au/artg" TargetMode="External"/><Relationship Id="rId88" Type="http://schemas.openxmlformats.org/officeDocument/2006/relationships/hyperlink" Target="https://portal.apvma.gov.au/pubcris" TargetMode="External"/><Relationship Id="rId91" Type="http://schemas.openxmlformats.org/officeDocument/2006/relationships/hyperlink" Target="https://echa.europa.eu/search-for-chemicals" TargetMode="External"/><Relationship Id="rId96" Type="http://schemas.openxmlformats.org/officeDocument/2006/relationships/hyperlink" Target="https://www.medsafe.govt.nz/profs/class/classintro.asp" TargetMode="External"/><Relationship Id="rId111" Type="http://schemas.openxmlformats.org/officeDocument/2006/relationships/hyperlink" Target="https://www.ebs.tga.gov.au/" TargetMode="External"/><Relationship Id="rId13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ga.gov.au/committee/advisory-committee-chemicals-scheduling-accs" TargetMode="External"/><Relationship Id="rId23" Type="http://schemas.openxmlformats.org/officeDocument/2006/relationships/hyperlink" Target="https://portal.apvma.gov.au/pubcris" TargetMode="External"/><Relationship Id="rId28" Type="http://schemas.openxmlformats.org/officeDocument/2006/relationships/hyperlink" Target="https://webprod.hc-sc.gc.ca/nhpid-bdipsn/ingredReq.do?id=15084&amp;lang=eng" TargetMode="External"/><Relationship Id="rId36" Type="http://schemas.openxmlformats.org/officeDocument/2006/relationships/hyperlink" Target="https://www.tga.gov.au/products/medicines/find-information-about-medicine/prescribing-medicines-pregnancy-database" TargetMode="External"/><Relationship Id="rId49" Type="http://schemas.openxmlformats.org/officeDocument/2006/relationships/hyperlink" Target="https://www.legislation.gov.au/Details/F2021L01888" TargetMode="External"/><Relationship Id="rId57" Type="http://schemas.openxmlformats.org/officeDocument/2006/relationships/hyperlink" Target="https://www.ebs.tga.gov.au/" TargetMode="External"/><Relationship Id="rId106" Type="http://schemas.openxmlformats.org/officeDocument/2006/relationships/hyperlink" Target="https://echa.europa.eu/search-for-chemicals" TargetMode="External"/><Relationship Id="rId114" Type="http://schemas.openxmlformats.org/officeDocument/2006/relationships/hyperlink" Target="https://www.tga.gov.au/prescribing-medicines-pregnancy-database" TargetMode="External"/><Relationship Id="rId119" Type="http://schemas.openxmlformats.org/officeDocument/2006/relationships/hyperlink" Target="https://www.accessdata.fda.gov/scripts/cder/daf/" TargetMode="External"/><Relationship Id="rId127" Type="http://schemas.openxmlformats.org/officeDocument/2006/relationships/hyperlink" Target="https://consultations.tga.gov.au/" TargetMode="External"/><Relationship Id="rId10" Type="http://schemas.openxmlformats.org/officeDocument/2006/relationships/hyperlink" Target="https://www.tga.gov.au/committee/advisory-committee-medicines-scheduling-acms" TargetMode="External"/><Relationship Id="rId31" Type="http://schemas.openxmlformats.org/officeDocument/2006/relationships/hyperlink" Target="https://dati.zva.gov.lv/zalu-registrs/en" TargetMode="External"/><Relationship Id="rId44" Type="http://schemas.openxmlformats.org/officeDocument/2006/relationships/hyperlink" Target="https://www.hpra.ie/" TargetMode="External"/><Relationship Id="rId52" Type="http://schemas.openxmlformats.org/officeDocument/2006/relationships/hyperlink" Target="https://www.accessdata.fda.gov/scripts/cder/daf/" TargetMode="External"/><Relationship Id="rId60" Type="http://schemas.openxmlformats.org/officeDocument/2006/relationships/hyperlink" Target="https://www.tga.gov.au/prescribing-medicines-pregnancy-database" TargetMode="External"/><Relationship Id="rId65" Type="http://schemas.openxmlformats.org/officeDocument/2006/relationships/hyperlink" Target="https://www.medsafe.govt.nz/profs/class/classintro.asp" TargetMode="External"/><Relationship Id="rId73" Type="http://schemas.openxmlformats.org/officeDocument/2006/relationships/hyperlink" Target="https://daen.tga.gov.au/medicines-search/" TargetMode="External"/><Relationship Id="rId78" Type="http://schemas.openxmlformats.org/officeDocument/2006/relationships/hyperlink" Target="https://www.epa.govt.nz/database-search/new-zealand-inventory-of-chemicals-nzioc/" TargetMode="External"/><Relationship Id="rId81" Type="http://schemas.openxmlformats.org/officeDocument/2006/relationships/hyperlink" Target="https://health-products.canada.ca/dpd-bdpp/" TargetMode="External"/><Relationship Id="rId86" Type="http://schemas.openxmlformats.org/officeDocument/2006/relationships/hyperlink" Target="https://www.legislation.gov.au/Details/F2021L01888" TargetMode="External"/><Relationship Id="rId94" Type="http://schemas.openxmlformats.org/officeDocument/2006/relationships/hyperlink" Target="https://health-products.canada.ca/dpd-bdpp/" TargetMode="External"/><Relationship Id="rId99" Type="http://schemas.openxmlformats.org/officeDocument/2006/relationships/hyperlink" Target="https://www.legislation.gov.au/Search/Therapeutic%20Goods%20$LB$Permissible%20Ingredients$RB$%20Determination" TargetMode="External"/><Relationship Id="rId101" Type="http://schemas.openxmlformats.org/officeDocument/2006/relationships/hyperlink" Target="https://www.legislation.gov.au/Details/F2021L01888" TargetMode="External"/><Relationship Id="rId122" Type="http://schemas.openxmlformats.org/officeDocument/2006/relationships/hyperlink" Target="https://ec.europa.eu/growth/tools-databases/cosing/" TargetMode="External"/><Relationship Id="rId130" Type="http://schemas.openxmlformats.org/officeDocument/2006/relationships/hyperlink" Target="https://www.tga.gov.au/resources/publication/scheduling-submissions" TargetMode="External"/><Relationship Id="rId13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onsultations.tga.gov.au/tga/november_2021_interim" TargetMode="External"/><Relationship Id="rId13" Type="http://schemas.openxmlformats.org/officeDocument/2006/relationships/hyperlink" Target="https://consultations.tga.gov.au/tga/november_2021_interim" TargetMode="External"/><Relationship Id="rId18" Type="http://schemas.openxmlformats.org/officeDocument/2006/relationships/hyperlink" Target="https://www.tga.gov.au/artg" TargetMode="External"/><Relationship Id="rId39" Type="http://schemas.openxmlformats.org/officeDocument/2006/relationships/hyperlink" Target="https://portal.apvma.gov.au/pubcris" TargetMode="External"/><Relationship Id="rId109" Type="http://schemas.openxmlformats.org/officeDocument/2006/relationships/hyperlink" Target="https://www.medsafe.govt.nz/profs/class/classintro.asp" TargetMode="External"/><Relationship Id="rId34" Type="http://schemas.openxmlformats.org/officeDocument/2006/relationships/hyperlink" Target="https://www.tga.gov.au/artg" TargetMode="External"/><Relationship Id="rId50" Type="http://schemas.openxmlformats.org/officeDocument/2006/relationships/hyperlink" Target="https://apps.tga.gov.au/Prod/daen/daen-entry.aspx" TargetMode="External"/><Relationship Id="rId55" Type="http://schemas.openxmlformats.org/officeDocument/2006/relationships/hyperlink" Target="https://www.medicines.org.uk/emc" TargetMode="External"/><Relationship Id="rId76" Type="http://schemas.openxmlformats.org/officeDocument/2006/relationships/hyperlink" Target="https://echa.europa.eu/search-for-chemicals" TargetMode="External"/><Relationship Id="rId97" Type="http://schemas.openxmlformats.org/officeDocument/2006/relationships/hyperlink" Target="https://www.ebs.tga.gov.au/" TargetMode="External"/><Relationship Id="rId104" Type="http://schemas.openxmlformats.org/officeDocument/2006/relationships/hyperlink" Target="https://apvma.gov.au/node/10946" TargetMode="External"/><Relationship Id="rId120" Type="http://schemas.openxmlformats.org/officeDocument/2006/relationships/hyperlink" Target="https://health-products.canada.ca/dpd-bdpp/index-eng.jsp" TargetMode="External"/><Relationship Id="rId125" Type="http://schemas.openxmlformats.org/officeDocument/2006/relationships/hyperlink" Target="https://www.epa.govt.nz/database-search/new-zealand-inventory-of-chemicals-nzioc/DatabaseSearchForm/?SiteDatabaseSearchFilters=36&amp;Keyword=acequinocyl&amp;DatabaseType=NZIOC" TargetMode="External"/><Relationship Id="rId7" Type="http://schemas.openxmlformats.org/officeDocument/2006/relationships/endnotes" Target="endnotes.xml"/><Relationship Id="rId71" Type="http://schemas.openxmlformats.org/officeDocument/2006/relationships/hyperlink" Target="https://www.tga.gov.au/prescribing-medicines-pregnancy-database" TargetMode="External"/><Relationship Id="rId92" Type="http://schemas.openxmlformats.org/officeDocument/2006/relationships/hyperlink" Target="https://ec.europa.eu/food/plant/pesticides/eu-pesticides-database/start/screen/active-substances" TargetMode="External"/><Relationship Id="rId2" Type="http://schemas.openxmlformats.org/officeDocument/2006/relationships/numbering" Target="numbering.xml"/><Relationship Id="rId29" Type="http://schemas.openxmlformats.org/officeDocument/2006/relationships/hyperlink" Target="https://aspregister.basg.gv.at/aspregister/faces/aspregister.jspx" TargetMode="External"/><Relationship Id="rId24" Type="http://schemas.openxmlformats.org/officeDocument/2006/relationships/hyperlink" Target="https://www.accessdata.fda.gov/scripts/cder/daf/index.cfm?event=BasicSearch.process" TargetMode="External"/><Relationship Id="rId40" Type="http://schemas.openxmlformats.org/officeDocument/2006/relationships/hyperlink" Target="https://apvma.gov.au/node/10946" TargetMode="External"/><Relationship Id="rId45" Type="http://schemas.openxmlformats.org/officeDocument/2006/relationships/hyperlink" Target="https://www.ebs.tga.gov.au/" TargetMode="External"/><Relationship Id="rId66" Type="http://schemas.openxmlformats.org/officeDocument/2006/relationships/hyperlink" Target="https://www.accessdata.fda.gov/scripts/cder/daf/index.cfm" TargetMode="External"/><Relationship Id="rId87" Type="http://schemas.openxmlformats.org/officeDocument/2006/relationships/hyperlink" Target="https://apps.tga.gov.au/Prod/daen/daen-entry.aspx" TargetMode="External"/><Relationship Id="rId110" Type="http://schemas.openxmlformats.org/officeDocument/2006/relationships/hyperlink" Target="https://health-products.canada.ca/dpd-bdpp/" TargetMode="External"/><Relationship Id="rId115" Type="http://schemas.openxmlformats.org/officeDocument/2006/relationships/hyperlink" Target="https://www.legislation.gov.au/Details/F2021L01888" TargetMode="External"/><Relationship Id="rId131" Type="http://schemas.openxmlformats.org/officeDocument/2006/relationships/header" Target="header1.xml"/><Relationship Id="rId136" Type="http://schemas.openxmlformats.org/officeDocument/2006/relationships/footer" Target="footer2.xml"/><Relationship Id="rId61" Type="http://schemas.openxmlformats.org/officeDocument/2006/relationships/hyperlink" Target="https://www.legislation.gov.au/Details/F2021L01888" TargetMode="External"/><Relationship Id="rId82" Type="http://schemas.openxmlformats.org/officeDocument/2006/relationships/hyperlink" Target="https://www.ebs.tga.gov.au/" TargetMode="External"/><Relationship Id="rId19" Type="http://schemas.openxmlformats.org/officeDocument/2006/relationships/hyperlink" Target="https://www.legislation.gov.au/Details/F2023L01369"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lld\OneDrive%20-%20Department%20of%20Health\Documents\Custom%20Office%20Templates\External%20publication%20PMPN.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5356B-DC58-4A77-B71A-25E0004F0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 PMPN.dotx</Template>
  <TotalTime>2</TotalTime>
  <Pages>34</Pages>
  <Words>9900</Words>
  <Characters>56433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CHILLINGWORTH, Dion</dc:creator>
  <cp:keywords/>
  <dc:description/>
  <cp:lastModifiedBy>CHAKRABARTI, Apratim</cp:lastModifiedBy>
  <cp:revision>3</cp:revision>
  <dcterms:created xsi:type="dcterms:W3CDTF">2024-01-03T02:47:00Z</dcterms:created>
  <dcterms:modified xsi:type="dcterms:W3CDTF">2024-01-03T23:59:00Z</dcterms:modified>
</cp:coreProperties>
</file>